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F294CD">
      <w:pPr>
        <w:pStyle w:val="19"/>
        <w:ind w:left="0" w:leftChars="0" w:firstLine="0" w:firstLineChars="0"/>
        <w:rPr>
          <w:rFonts w:hint="eastAsia"/>
          <w:color w:val="auto"/>
          <w:highlight w:val="none"/>
        </w:rPr>
      </w:pPr>
      <w:bookmarkStart w:id="0" w:name="_Toc144974479"/>
      <w:bookmarkStart w:id="1" w:name="_Toc179632527"/>
      <w:bookmarkStart w:id="2" w:name="_Toc152045511"/>
      <w:bookmarkStart w:id="3" w:name="_Toc152042287"/>
      <w:bookmarkStart w:id="4" w:name="OLE_LINK2"/>
      <w:bookmarkStart w:id="5" w:name="OLE_LINK4"/>
      <w:bookmarkStart w:id="6" w:name="OLE_LINK5"/>
      <w:bookmarkStart w:id="7" w:name="OLE_LINK3"/>
      <w:bookmarkStart w:id="8" w:name="OLE_LINK1"/>
    </w:p>
    <w:p w14:paraId="358D16D4">
      <w:pPr>
        <w:rPr>
          <w:rFonts w:hint="eastAsia"/>
          <w:color w:val="auto"/>
          <w:highlight w:val="none"/>
        </w:rPr>
      </w:pPr>
    </w:p>
    <w:p w14:paraId="3AED9497">
      <w:pPr>
        <w:adjustRightInd w:val="0"/>
        <w:snapToGrid w:val="0"/>
        <w:spacing w:line="360" w:lineRule="auto"/>
        <w:jc w:val="center"/>
        <w:rPr>
          <w:rFonts w:hint="eastAsia" w:ascii="宋体" w:hAnsi="宋体" w:cs="宋体"/>
          <w:b/>
          <w:bCs/>
          <w:color w:val="auto"/>
          <w:sz w:val="44"/>
          <w:szCs w:val="44"/>
          <w:highlight w:val="none"/>
          <w:u w:val="none"/>
          <w:lang w:val="en-US" w:eastAsia="zh-CN"/>
        </w:rPr>
      </w:pPr>
      <w:r>
        <w:rPr>
          <w:rFonts w:hint="eastAsia" w:ascii="宋体" w:hAnsi="宋体" w:cs="宋体"/>
          <w:b/>
          <w:bCs/>
          <w:color w:val="auto"/>
          <w:sz w:val="44"/>
          <w:szCs w:val="44"/>
          <w:highlight w:val="none"/>
          <w:u w:val="none"/>
          <w:lang w:val="en-US" w:eastAsia="zh-CN"/>
        </w:rPr>
        <w:t>中新苏滁高新区（未来产业园）智能制造工业坊项目</w:t>
      </w:r>
    </w:p>
    <w:p w14:paraId="5641E6DC">
      <w:pPr>
        <w:adjustRightInd w:val="0"/>
        <w:snapToGrid w:val="0"/>
        <w:spacing w:line="360" w:lineRule="auto"/>
        <w:jc w:val="center"/>
        <w:rPr>
          <w:rFonts w:hint="eastAsia" w:ascii="宋体" w:hAnsi="宋体" w:cs="宋体"/>
          <w:b/>
          <w:bCs/>
          <w:color w:val="auto"/>
          <w:sz w:val="72"/>
          <w:szCs w:val="72"/>
          <w:highlight w:val="none"/>
        </w:rPr>
      </w:pPr>
    </w:p>
    <w:p w14:paraId="57397166">
      <w:pPr>
        <w:adjustRightInd w:val="0"/>
        <w:snapToGrid w:val="0"/>
        <w:spacing w:line="360" w:lineRule="auto"/>
        <w:jc w:val="center"/>
        <w:rPr>
          <w:rFonts w:hint="eastAsia" w:ascii="宋体" w:hAnsi="宋体" w:cs="宋体"/>
          <w:b/>
          <w:bCs/>
          <w:color w:val="auto"/>
          <w:sz w:val="72"/>
          <w:szCs w:val="72"/>
          <w:highlight w:val="none"/>
        </w:rPr>
      </w:pPr>
      <w:r>
        <w:rPr>
          <w:rFonts w:hint="eastAsia" w:ascii="宋体" w:hAnsi="宋体" w:cs="宋体"/>
          <w:b/>
          <w:bCs/>
          <w:color w:val="auto"/>
          <w:sz w:val="72"/>
          <w:szCs w:val="72"/>
          <w:highlight w:val="none"/>
        </w:rPr>
        <w:t>招 标 文 件</w:t>
      </w:r>
    </w:p>
    <w:p w14:paraId="4BA77DEE">
      <w:pPr>
        <w:adjustRightInd w:val="0"/>
        <w:snapToGrid w:val="0"/>
        <w:spacing w:line="360" w:lineRule="auto"/>
        <w:ind w:firstLine="2550" w:firstLineChars="850"/>
        <w:jc w:val="both"/>
        <w:rPr>
          <w:rFonts w:hint="default" w:ascii="宋体" w:hAnsi="宋体" w:cs="宋体"/>
          <w:color w:val="auto"/>
          <w:spacing w:val="140"/>
          <w:sz w:val="28"/>
          <w:szCs w:val="28"/>
          <w:highlight w:val="none"/>
          <w:lang w:val="en-US"/>
        </w:rPr>
      </w:pPr>
      <w:r>
        <w:rPr>
          <w:rFonts w:hint="eastAsia" w:ascii="宋体" w:hAnsi="宋体" w:cs="宋体"/>
          <w:color w:val="auto"/>
          <w:sz w:val="30"/>
          <w:szCs w:val="30"/>
          <w:highlight w:val="none"/>
        </w:rPr>
        <w:t>招标项目编号：</w:t>
      </w:r>
      <w:r>
        <w:rPr>
          <w:rFonts w:hint="eastAsia" w:ascii="宋体" w:hAnsi="宋体" w:cs="宋体"/>
          <w:color w:val="auto"/>
          <w:sz w:val="30"/>
          <w:szCs w:val="30"/>
          <w:highlight w:val="none"/>
          <w:lang w:val="en-US" w:eastAsia="zh-CN"/>
        </w:rPr>
        <w:t>czsjgc202603-004</w:t>
      </w:r>
    </w:p>
    <w:p w14:paraId="1D0E95A4">
      <w:pPr>
        <w:adjustRightInd w:val="0"/>
        <w:snapToGrid w:val="0"/>
        <w:spacing w:line="360" w:lineRule="auto"/>
        <w:ind w:firstLine="4760" w:firstLineChars="850"/>
        <w:rPr>
          <w:rFonts w:hint="eastAsia" w:ascii="宋体" w:hAnsi="宋体" w:cs="宋体"/>
          <w:color w:val="auto"/>
          <w:spacing w:val="140"/>
          <w:sz w:val="28"/>
          <w:szCs w:val="28"/>
          <w:highlight w:val="none"/>
        </w:rPr>
      </w:pPr>
      <w:r>
        <w:rPr>
          <w:rFonts w:hint="eastAsia" w:ascii="宋体" w:hAnsi="宋体" w:cs="宋体"/>
          <w:color w:val="auto"/>
          <w:spacing w:val="140"/>
          <w:sz w:val="28"/>
          <w:szCs w:val="28"/>
          <w:highlight w:val="none"/>
        </w:rPr>
        <w:t xml:space="preserve">     </w:t>
      </w:r>
    </w:p>
    <w:p w14:paraId="3F85F7CB">
      <w:pPr>
        <w:jc w:val="center"/>
        <w:rPr>
          <w:rFonts w:hint="eastAsia" w:ascii="宋体" w:hAnsi="宋体" w:cs="宋体"/>
          <w:color w:val="auto"/>
          <w:sz w:val="72"/>
          <w:szCs w:val="72"/>
          <w:highlight w:val="none"/>
        </w:rPr>
      </w:pPr>
    </w:p>
    <w:p w14:paraId="0052EB8A">
      <w:pPr>
        <w:spacing w:line="540" w:lineRule="exact"/>
        <w:ind w:firstLine="437"/>
        <w:jc w:val="right"/>
        <w:rPr>
          <w:rFonts w:hint="eastAsia" w:ascii="宋体" w:hAnsi="宋体" w:cs="宋体"/>
          <w:color w:val="auto"/>
          <w:szCs w:val="21"/>
          <w:highlight w:val="none"/>
        </w:rPr>
      </w:pPr>
    </w:p>
    <w:p w14:paraId="742ACB1A">
      <w:pPr>
        <w:spacing w:line="540" w:lineRule="exact"/>
        <w:ind w:firstLine="437"/>
        <w:rPr>
          <w:rFonts w:hint="eastAsia" w:ascii="宋体" w:hAnsi="宋体" w:cs="宋体"/>
          <w:color w:val="auto"/>
          <w:szCs w:val="21"/>
          <w:highlight w:val="none"/>
        </w:rPr>
      </w:pPr>
    </w:p>
    <w:p w14:paraId="5ACBE1F4">
      <w:pPr>
        <w:spacing w:line="540" w:lineRule="exact"/>
        <w:rPr>
          <w:rFonts w:hint="eastAsia" w:ascii="宋体" w:hAnsi="宋体" w:cs="宋体"/>
          <w:color w:val="auto"/>
          <w:szCs w:val="21"/>
          <w:highlight w:val="none"/>
        </w:rPr>
      </w:pPr>
    </w:p>
    <w:p w14:paraId="6B22A7EE">
      <w:pPr>
        <w:pStyle w:val="19"/>
        <w:rPr>
          <w:rFonts w:hint="eastAsia"/>
          <w:color w:val="auto"/>
          <w:highlight w:val="none"/>
        </w:rPr>
      </w:pPr>
    </w:p>
    <w:p w14:paraId="60B49396">
      <w:pPr>
        <w:rPr>
          <w:rFonts w:hint="eastAsia"/>
          <w:color w:val="auto"/>
          <w:highlight w:val="none"/>
        </w:rPr>
      </w:pPr>
    </w:p>
    <w:p w14:paraId="0B3470D4">
      <w:pPr>
        <w:spacing w:line="540" w:lineRule="exact"/>
        <w:rPr>
          <w:rFonts w:hint="eastAsia" w:ascii="宋体" w:hAnsi="宋体" w:cs="宋体"/>
          <w:color w:val="auto"/>
          <w:szCs w:val="21"/>
          <w:highlight w:val="none"/>
        </w:rPr>
      </w:pPr>
    </w:p>
    <w:p w14:paraId="65DF9CFF">
      <w:pPr>
        <w:pStyle w:val="19"/>
        <w:rPr>
          <w:rFonts w:hint="eastAsia" w:ascii="宋体" w:hAnsi="宋体" w:cs="宋体"/>
          <w:color w:val="auto"/>
          <w:szCs w:val="21"/>
          <w:highlight w:val="none"/>
        </w:rPr>
      </w:pPr>
    </w:p>
    <w:p w14:paraId="35EAB796">
      <w:pPr>
        <w:rPr>
          <w:rFonts w:hint="eastAsia"/>
        </w:rPr>
      </w:pPr>
    </w:p>
    <w:p w14:paraId="15F3B046">
      <w:pPr>
        <w:adjustRightInd w:val="0"/>
        <w:snapToGrid w:val="0"/>
        <w:spacing w:line="480" w:lineRule="auto"/>
        <w:ind w:firstLine="437"/>
        <w:rPr>
          <w:rFonts w:hint="eastAsia" w:ascii="宋体" w:hAnsi="宋体" w:cs="宋体"/>
          <w:color w:val="auto"/>
          <w:szCs w:val="21"/>
          <w:highlight w:val="none"/>
        </w:rPr>
      </w:pPr>
    </w:p>
    <w:p w14:paraId="67246503">
      <w:pPr>
        <w:adjustRightInd w:val="0"/>
        <w:snapToGrid w:val="0"/>
        <w:spacing w:line="480" w:lineRule="auto"/>
        <w:ind w:firstLine="960" w:firstLineChars="300"/>
        <w:rPr>
          <w:rFonts w:hint="eastAsia" w:ascii="宋体" w:hAnsi="宋体" w:cs="宋体"/>
          <w:color w:val="auto"/>
          <w:sz w:val="32"/>
          <w:szCs w:val="32"/>
          <w:highlight w:val="none"/>
        </w:rPr>
      </w:pPr>
      <w:r>
        <w:rPr>
          <w:rFonts w:hint="eastAsia" w:ascii="宋体" w:hAnsi="宋体" w:cs="宋体"/>
          <w:color w:val="auto"/>
          <w:sz w:val="32"/>
          <w:szCs w:val="32"/>
          <w:highlight w:val="none"/>
        </w:rPr>
        <w:t>招   标   人：</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u w:val="single"/>
          <w:lang w:val="en-US" w:eastAsia="zh-CN"/>
        </w:rPr>
        <w:t>滁州苏滁产城开发有限公司</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rPr>
        <w:t>（盖章）</w:t>
      </w:r>
    </w:p>
    <w:p w14:paraId="51CA532F">
      <w:pPr>
        <w:adjustRightInd w:val="0"/>
        <w:snapToGrid w:val="0"/>
        <w:spacing w:line="480" w:lineRule="auto"/>
        <w:ind w:firstLine="960" w:firstLineChars="300"/>
        <w:rPr>
          <w:rFonts w:hint="eastAsia" w:ascii="宋体" w:hAnsi="宋体" w:cs="宋体"/>
          <w:color w:val="auto"/>
          <w:sz w:val="32"/>
          <w:szCs w:val="32"/>
          <w:highlight w:val="none"/>
        </w:rPr>
      </w:pPr>
      <w:r>
        <w:rPr>
          <w:rFonts w:hint="eastAsia" w:ascii="宋体" w:hAnsi="宋体" w:cs="宋体"/>
          <w:color w:val="auto"/>
          <w:sz w:val="32"/>
          <w:szCs w:val="32"/>
          <w:highlight w:val="none"/>
        </w:rPr>
        <w:t>招标代理机构：</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u w:val="single"/>
          <w:lang w:val="en-US" w:eastAsia="zh-CN"/>
        </w:rPr>
        <w:t>滁州市城投工程咨询管理有限公司</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rPr>
        <w:t>（盖章）</w:t>
      </w:r>
    </w:p>
    <w:p w14:paraId="2293D5E2">
      <w:pPr>
        <w:pStyle w:val="19"/>
        <w:ind w:left="0" w:leftChars="0" w:firstLine="0" w:firstLineChars="0"/>
        <w:rPr>
          <w:rFonts w:hint="eastAsia"/>
          <w:color w:val="auto"/>
          <w:highlight w:val="none"/>
        </w:rPr>
      </w:pPr>
    </w:p>
    <w:p w14:paraId="296E5664">
      <w:pPr>
        <w:jc w:val="center"/>
        <w:rPr>
          <w:rFonts w:hint="eastAsia" w:ascii="宋体" w:hAnsi="宋体" w:cs="宋体"/>
          <w:color w:val="auto"/>
          <w:sz w:val="32"/>
          <w:szCs w:val="32"/>
          <w:highlight w:val="none"/>
        </w:rPr>
      </w:pPr>
      <w:r>
        <w:rPr>
          <w:rFonts w:hint="eastAsia" w:ascii="宋体" w:hAnsi="宋体" w:cs="宋体"/>
          <w:color w:val="auto"/>
          <w:sz w:val="32"/>
          <w:szCs w:val="32"/>
          <w:highlight w:val="none"/>
        </w:rPr>
        <w:t xml:space="preserve">   </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u w:val="single"/>
          <w:lang w:val="en-US" w:eastAsia="zh-CN"/>
        </w:rPr>
        <w:t>2026</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rPr>
        <w:t>年</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u w:val="single"/>
          <w:lang w:val="en-US" w:eastAsia="zh-CN"/>
        </w:rPr>
        <w:t>3</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rPr>
        <w:t>月</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u w:val="single"/>
          <w:lang w:val="en-US" w:eastAsia="zh-CN"/>
        </w:rPr>
        <w:t>13</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rPr>
        <w:t>日</w:t>
      </w:r>
    </w:p>
    <w:p w14:paraId="36CF1D97">
      <w:pPr>
        <w:pStyle w:val="19"/>
        <w:rPr>
          <w:rFonts w:hint="eastAsia"/>
          <w:color w:val="auto"/>
          <w:highlight w:val="none"/>
        </w:rPr>
      </w:pPr>
    </w:p>
    <w:p w14:paraId="46405728">
      <w:pPr>
        <w:pStyle w:val="36"/>
        <w:adjustRightInd w:val="0"/>
        <w:snapToGrid w:val="0"/>
        <w:spacing w:before="0" w:line="240" w:lineRule="auto"/>
        <w:ind w:right="210" w:rightChars="100"/>
        <w:jc w:val="center"/>
        <w:rPr>
          <w:color w:val="auto"/>
          <w:sz w:val="52"/>
          <w:highlight w:val="none"/>
        </w:rPr>
      </w:pPr>
      <w:r>
        <w:rPr>
          <w:color w:val="auto"/>
          <w:sz w:val="52"/>
          <w:highlight w:val="none"/>
          <w:lang w:val="zh-CN"/>
        </w:rPr>
        <w:t>目</w:t>
      </w:r>
      <w:r>
        <w:rPr>
          <w:rFonts w:hint="eastAsia"/>
          <w:color w:val="auto"/>
          <w:sz w:val="52"/>
          <w:highlight w:val="none"/>
          <w:lang w:val="zh-CN"/>
        </w:rPr>
        <w:t xml:space="preserve">  </w:t>
      </w:r>
      <w:r>
        <w:rPr>
          <w:color w:val="auto"/>
          <w:sz w:val="52"/>
          <w:highlight w:val="none"/>
          <w:lang w:val="zh-CN"/>
        </w:rPr>
        <w:t>录</w:t>
      </w:r>
    </w:p>
    <w:p w14:paraId="4F76C6A4">
      <w:pPr>
        <w:pStyle w:val="16"/>
        <w:tabs>
          <w:tab w:val="right" w:leader="dot" w:pos="10120"/>
        </w:tabs>
        <w:rPr>
          <w:rFonts w:ascii="Calibri" w:hAnsi="Calibri"/>
          <w:b w:val="0"/>
          <w:bCs w:val="0"/>
          <w:caps w:val="0"/>
          <w:color w:val="auto"/>
          <w:sz w:val="32"/>
          <w:szCs w:val="22"/>
          <w:highlight w:val="none"/>
        </w:rPr>
      </w:pPr>
      <w:r>
        <w:rPr>
          <w:color w:val="auto"/>
          <w:highlight w:val="none"/>
        </w:rPr>
        <w:fldChar w:fldCharType="begin"/>
      </w:r>
      <w:r>
        <w:rPr>
          <w:color w:val="auto"/>
          <w:highlight w:val="none"/>
        </w:rPr>
        <w:instrText xml:space="preserve"> TOC \o "1-3" \h \z \u </w:instrText>
      </w:r>
      <w:r>
        <w:rPr>
          <w:color w:val="auto"/>
          <w:highlight w:val="none"/>
        </w:rPr>
        <w:fldChar w:fldCharType="separate"/>
      </w:r>
      <w:r>
        <w:rPr>
          <w:rStyle w:val="30"/>
          <w:color w:val="auto"/>
          <w:sz w:val="28"/>
          <w:highlight w:val="none"/>
        </w:rPr>
        <w:fldChar w:fldCharType="begin"/>
      </w:r>
      <w:r>
        <w:rPr>
          <w:rStyle w:val="30"/>
          <w:color w:val="auto"/>
          <w:sz w:val="28"/>
          <w:highlight w:val="none"/>
        </w:rPr>
        <w:instrText xml:space="preserve"> </w:instrText>
      </w:r>
      <w:r>
        <w:rPr>
          <w:color w:val="auto"/>
          <w:sz w:val="28"/>
          <w:highlight w:val="none"/>
        </w:rPr>
        <w:instrText xml:space="preserve">HYPERLINK \l "_Toc95223332"</w:instrText>
      </w:r>
      <w:r>
        <w:rPr>
          <w:rStyle w:val="30"/>
          <w:color w:val="auto"/>
          <w:sz w:val="28"/>
          <w:highlight w:val="none"/>
        </w:rPr>
        <w:instrText xml:space="preserve"> </w:instrText>
      </w:r>
      <w:r>
        <w:rPr>
          <w:rStyle w:val="30"/>
          <w:color w:val="auto"/>
          <w:sz w:val="28"/>
          <w:highlight w:val="none"/>
        </w:rPr>
        <w:fldChar w:fldCharType="separate"/>
      </w:r>
      <w:r>
        <w:rPr>
          <w:rStyle w:val="30"/>
          <w:rFonts w:hint="eastAsia"/>
          <w:color w:val="auto"/>
          <w:sz w:val="28"/>
          <w:highlight w:val="none"/>
        </w:rPr>
        <w:t>第一章</w:t>
      </w:r>
      <w:r>
        <w:rPr>
          <w:rStyle w:val="30"/>
          <w:color w:val="auto"/>
          <w:sz w:val="28"/>
          <w:highlight w:val="none"/>
        </w:rPr>
        <w:t xml:space="preserve">  </w:t>
      </w:r>
      <w:r>
        <w:rPr>
          <w:rStyle w:val="30"/>
          <w:rFonts w:hint="eastAsia"/>
          <w:color w:val="auto"/>
          <w:sz w:val="28"/>
          <w:highlight w:val="none"/>
        </w:rPr>
        <w:t>招标公告</w:t>
      </w:r>
      <w:r>
        <w:rPr>
          <w:color w:val="auto"/>
          <w:sz w:val="28"/>
          <w:highlight w:val="none"/>
        </w:rPr>
        <w:tab/>
      </w:r>
      <w:r>
        <w:rPr>
          <w:color w:val="auto"/>
          <w:sz w:val="28"/>
          <w:highlight w:val="none"/>
        </w:rPr>
        <w:fldChar w:fldCharType="begin"/>
      </w:r>
      <w:r>
        <w:rPr>
          <w:color w:val="auto"/>
          <w:sz w:val="28"/>
          <w:highlight w:val="none"/>
        </w:rPr>
        <w:instrText xml:space="preserve"> PAGEREF _Toc95223332 \h </w:instrText>
      </w:r>
      <w:r>
        <w:rPr>
          <w:color w:val="auto"/>
          <w:sz w:val="28"/>
          <w:highlight w:val="none"/>
        </w:rPr>
        <w:fldChar w:fldCharType="separate"/>
      </w:r>
      <w:r>
        <w:rPr>
          <w:color w:val="auto"/>
          <w:sz w:val="28"/>
          <w:highlight w:val="none"/>
        </w:rPr>
        <w:t>1</w:t>
      </w:r>
      <w:r>
        <w:rPr>
          <w:color w:val="auto"/>
          <w:sz w:val="28"/>
          <w:highlight w:val="none"/>
        </w:rPr>
        <w:fldChar w:fldCharType="end"/>
      </w:r>
      <w:r>
        <w:rPr>
          <w:rStyle w:val="30"/>
          <w:color w:val="auto"/>
          <w:sz w:val="28"/>
          <w:highlight w:val="none"/>
        </w:rPr>
        <w:fldChar w:fldCharType="end"/>
      </w:r>
    </w:p>
    <w:p w14:paraId="6F05D2E6">
      <w:pPr>
        <w:pStyle w:val="16"/>
        <w:tabs>
          <w:tab w:val="right" w:leader="dot" w:pos="10120"/>
        </w:tabs>
        <w:rPr>
          <w:rFonts w:hint="eastAsia" w:ascii="Calibri" w:hAnsi="Calibri" w:eastAsia="宋体"/>
          <w:b w:val="0"/>
          <w:bCs w:val="0"/>
          <w:caps w:val="0"/>
          <w:color w:val="auto"/>
          <w:sz w:val="32"/>
          <w:szCs w:val="22"/>
          <w:highlight w:val="none"/>
          <w:lang w:val="en-US" w:eastAsia="zh-CN"/>
        </w:rPr>
      </w:pPr>
      <w:r>
        <w:rPr>
          <w:rStyle w:val="30"/>
          <w:color w:val="auto"/>
          <w:sz w:val="28"/>
          <w:highlight w:val="none"/>
        </w:rPr>
        <w:fldChar w:fldCharType="begin"/>
      </w:r>
      <w:r>
        <w:rPr>
          <w:rStyle w:val="30"/>
          <w:color w:val="auto"/>
          <w:sz w:val="28"/>
          <w:highlight w:val="none"/>
        </w:rPr>
        <w:instrText xml:space="preserve"> </w:instrText>
      </w:r>
      <w:r>
        <w:rPr>
          <w:color w:val="auto"/>
          <w:sz w:val="28"/>
          <w:highlight w:val="none"/>
        </w:rPr>
        <w:instrText xml:space="preserve">HYPERLINK \l "_Toc95223333"</w:instrText>
      </w:r>
      <w:r>
        <w:rPr>
          <w:rStyle w:val="30"/>
          <w:color w:val="auto"/>
          <w:sz w:val="28"/>
          <w:highlight w:val="none"/>
        </w:rPr>
        <w:instrText xml:space="preserve"> </w:instrText>
      </w:r>
      <w:r>
        <w:rPr>
          <w:rStyle w:val="30"/>
          <w:color w:val="auto"/>
          <w:sz w:val="28"/>
          <w:highlight w:val="none"/>
        </w:rPr>
        <w:fldChar w:fldCharType="separate"/>
      </w:r>
      <w:r>
        <w:rPr>
          <w:rStyle w:val="30"/>
          <w:rFonts w:hint="eastAsia"/>
          <w:color w:val="auto"/>
          <w:sz w:val="28"/>
          <w:highlight w:val="none"/>
        </w:rPr>
        <w:t>第二章</w:t>
      </w:r>
      <w:r>
        <w:rPr>
          <w:rStyle w:val="30"/>
          <w:color w:val="auto"/>
          <w:sz w:val="28"/>
          <w:highlight w:val="none"/>
        </w:rPr>
        <w:t xml:space="preserve"> </w:t>
      </w:r>
      <w:r>
        <w:rPr>
          <w:rStyle w:val="30"/>
          <w:rFonts w:hint="eastAsia"/>
          <w:color w:val="auto"/>
          <w:sz w:val="28"/>
          <w:highlight w:val="none"/>
        </w:rPr>
        <w:t>投标人须知</w:t>
      </w:r>
      <w:r>
        <w:rPr>
          <w:color w:val="auto"/>
          <w:sz w:val="28"/>
          <w:highlight w:val="none"/>
        </w:rPr>
        <w:tab/>
      </w:r>
      <w:r>
        <w:rPr>
          <w:rFonts w:hint="eastAsia"/>
          <w:color w:val="auto"/>
          <w:sz w:val="28"/>
          <w:highlight w:val="none"/>
          <w:lang w:val="en-US" w:eastAsia="zh-CN"/>
        </w:rPr>
        <w:t>1</w:t>
      </w:r>
      <w:r>
        <w:rPr>
          <w:rStyle w:val="30"/>
          <w:color w:val="auto"/>
          <w:sz w:val="28"/>
          <w:highlight w:val="none"/>
        </w:rPr>
        <w:fldChar w:fldCharType="end"/>
      </w:r>
      <w:r>
        <w:rPr>
          <w:rStyle w:val="30"/>
          <w:rFonts w:hint="eastAsia"/>
          <w:color w:val="auto"/>
          <w:sz w:val="28"/>
          <w:highlight w:val="none"/>
          <w:lang w:val="en-US" w:eastAsia="zh-CN"/>
        </w:rPr>
        <w:t>1</w:t>
      </w:r>
    </w:p>
    <w:p w14:paraId="4C10E6A1">
      <w:pPr>
        <w:pStyle w:val="16"/>
        <w:tabs>
          <w:tab w:val="right" w:leader="dot" w:pos="10120"/>
        </w:tabs>
        <w:rPr>
          <w:rFonts w:ascii="Calibri" w:hAnsi="Calibri"/>
          <w:b w:val="0"/>
          <w:bCs w:val="0"/>
          <w:caps w:val="0"/>
          <w:color w:val="auto"/>
          <w:sz w:val="32"/>
          <w:szCs w:val="22"/>
          <w:highlight w:val="none"/>
        </w:rPr>
      </w:pPr>
      <w:r>
        <w:rPr>
          <w:rStyle w:val="30"/>
          <w:color w:val="auto"/>
          <w:sz w:val="28"/>
          <w:highlight w:val="none"/>
        </w:rPr>
        <w:fldChar w:fldCharType="begin"/>
      </w:r>
      <w:r>
        <w:rPr>
          <w:rStyle w:val="30"/>
          <w:color w:val="auto"/>
          <w:sz w:val="28"/>
          <w:highlight w:val="none"/>
        </w:rPr>
        <w:instrText xml:space="preserve"> </w:instrText>
      </w:r>
      <w:r>
        <w:rPr>
          <w:color w:val="auto"/>
          <w:sz w:val="28"/>
          <w:highlight w:val="none"/>
        </w:rPr>
        <w:instrText xml:space="preserve">HYPERLINK \l "_Toc95223391"</w:instrText>
      </w:r>
      <w:r>
        <w:rPr>
          <w:rStyle w:val="30"/>
          <w:color w:val="auto"/>
          <w:sz w:val="28"/>
          <w:highlight w:val="none"/>
        </w:rPr>
        <w:instrText xml:space="preserve"> </w:instrText>
      </w:r>
      <w:r>
        <w:rPr>
          <w:rStyle w:val="30"/>
          <w:color w:val="auto"/>
          <w:sz w:val="28"/>
          <w:highlight w:val="none"/>
        </w:rPr>
        <w:fldChar w:fldCharType="separate"/>
      </w:r>
      <w:r>
        <w:rPr>
          <w:rStyle w:val="30"/>
          <w:rFonts w:hint="eastAsia"/>
          <w:color w:val="auto"/>
          <w:sz w:val="28"/>
          <w:highlight w:val="none"/>
        </w:rPr>
        <w:t>第三章</w:t>
      </w:r>
      <w:r>
        <w:rPr>
          <w:rStyle w:val="30"/>
          <w:color w:val="auto"/>
          <w:sz w:val="28"/>
          <w:highlight w:val="none"/>
        </w:rPr>
        <w:t xml:space="preserve"> </w:t>
      </w:r>
      <w:r>
        <w:rPr>
          <w:rStyle w:val="30"/>
          <w:rFonts w:hint="eastAsia"/>
          <w:color w:val="auto"/>
          <w:sz w:val="28"/>
          <w:highlight w:val="none"/>
        </w:rPr>
        <w:t>资格审查办法</w:t>
      </w:r>
      <w:r>
        <w:rPr>
          <w:color w:val="auto"/>
          <w:sz w:val="28"/>
          <w:highlight w:val="none"/>
        </w:rPr>
        <w:tab/>
      </w:r>
      <w:r>
        <w:rPr>
          <w:rFonts w:hint="eastAsia"/>
          <w:color w:val="auto"/>
          <w:sz w:val="28"/>
          <w:highlight w:val="none"/>
          <w:lang w:val="en-US" w:eastAsia="zh-CN"/>
        </w:rPr>
        <w:t xml:space="preserve">52 </w:t>
      </w:r>
      <w:r>
        <w:rPr>
          <w:rStyle w:val="30"/>
          <w:color w:val="auto"/>
          <w:sz w:val="28"/>
          <w:highlight w:val="none"/>
        </w:rPr>
        <w:fldChar w:fldCharType="end"/>
      </w:r>
    </w:p>
    <w:p w14:paraId="4A8C8B3E">
      <w:pPr>
        <w:pStyle w:val="16"/>
        <w:tabs>
          <w:tab w:val="right" w:leader="dot" w:pos="10120"/>
        </w:tabs>
        <w:rPr>
          <w:rFonts w:hint="eastAsia" w:ascii="Calibri" w:hAnsi="Calibri" w:eastAsia="宋体"/>
          <w:b w:val="0"/>
          <w:bCs w:val="0"/>
          <w:caps w:val="0"/>
          <w:color w:val="auto"/>
          <w:sz w:val="32"/>
          <w:szCs w:val="22"/>
          <w:highlight w:val="none"/>
          <w:lang w:val="en-US" w:eastAsia="zh-CN"/>
        </w:rPr>
      </w:pPr>
      <w:r>
        <w:rPr>
          <w:rStyle w:val="30"/>
          <w:color w:val="auto"/>
          <w:sz w:val="28"/>
          <w:highlight w:val="none"/>
        </w:rPr>
        <w:fldChar w:fldCharType="begin"/>
      </w:r>
      <w:r>
        <w:rPr>
          <w:rStyle w:val="30"/>
          <w:color w:val="auto"/>
          <w:sz w:val="28"/>
          <w:highlight w:val="none"/>
        </w:rPr>
        <w:instrText xml:space="preserve"> </w:instrText>
      </w:r>
      <w:r>
        <w:rPr>
          <w:color w:val="auto"/>
          <w:sz w:val="28"/>
          <w:highlight w:val="none"/>
        </w:rPr>
        <w:instrText xml:space="preserve">HYPERLINK \l "_Toc95223428"</w:instrText>
      </w:r>
      <w:r>
        <w:rPr>
          <w:rStyle w:val="30"/>
          <w:color w:val="auto"/>
          <w:sz w:val="28"/>
          <w:highlight w:val="none"/>
        </w:rPr>
        <w:instrText xml:space="preserve"> </w:instrText>
      </w:r>
      <w:r>
        <w:rPr>
          <w:rStyle w:val="30"/>
          <w:color w:val="auto"/>
          <w:sz w:val="28"/>
          <w:highlight w:val="none"/>
        </w:rPr>
        <w:fldChar w:fldCharType="separate"/>
      </w:r>
      <w:r>
        <w:rPr>
          <w:rStyle w:val="30"/>
          <w:rFonts w:hint="eastAsia"/>
          <w:color w:val="auto"/>
          <w:sz w:val="28"/>
          <w:highlight w:val="none"/>
        </w:rPr>
        <w:t>第四章 评标办法（</w:t>
      </w:r>
      <w:r>
        <w:rPr>
          <w:rStyle w:val="30"/>
          <w:rFonts w:hint="eastAsia"/>
          <w:color w:val="auto"/>
          <w:sz w:val="28"/>
          <w:highlight w:val="none"/>
          <w:lang w:val="en-US" w:eastAsia="zh-CN"/>
        </w:rPr>
        <w:t>综合评估法-评定分离</w:t>
      </w:r>
      <w:r>
        <w:rPr>
          <w:rStyle w:val="30"/>
          <w:rFonts w:hint="eastAsia"/>
          <w:color w:val="auto"/>
          <w:sz w:val="28"/>
          <w:highlight w:val="none"/>
        </w:rPr>
        <w:t>）</w:t>
      </w:r>
      <w:r>
        <w:rPr>
          <w:color w:val="auto"/>
          <w:sz w:val="28"/>
          <w:highlight w:val="none"/>
        </w:rPr>
        <w:tab/>
      </w:r>
      <w:r>
        <w:rPr>
          <w:rFonts w:hint="eastAsia"/>
          <w:color w:val="auto"/>
          <w:sz w:val="28"/>
          <w:highlight w:val="none"/>
          <w:lang w:val="en-US" w:eastAsia="zh-CN"/>
        </w:rPr>
        <w:t>5</w:t>
      </w:r>
      <w:r>
        <w:rPr>
          <w:rStyle w:val="30"/>
          <w:color w:val="auto"/>
          <w:sz w:val="28"/>
          <w:highlight w:val="none"/>
        </w:rPr>
        <w:fldChar w:fldCharType="end"/>
      </w:r>
      <w:r>
        <w:rPr>
          <w:rStyle w:val="30"/>
          <w:rFonts w:hint="eastAsia"/>
          <w:color w:val="auto"/>
          <w:sz w:val="28"/>
          <w:highlight w:val="none"/>
          <w:lang w:val="en-US" w:eastAsia="zh-CN"/>
        </w:rPr>
        <w:t>6</w:t>
      </w:r>
    </w:p>
    <w:p w14:paraId="32383D94">
      <w:pPr>
        <w:pStyle w:val="16"/>
        <w:tabs>
          <w:tab w:val="right" w:leader="dot" w:pos="10120"/>
        </w:tabs>
        <w:rPr>
          <w:rFonts w:hint="eastAsia" w:ascii="Calibri" w:hAnsi="Calibri" w:eastAsia="宋体"/>
          <w:b w:val="0"/>
          <w:bCs w:val="0"/>
          <w:caps w:val="0"/>
          <w:color w:val="auto"/>
          <w:sz w:val="32"/>
          <w:szCs w:val="22"/>
          <w:highlight w:val="none"/>
          <w:lang w:val="en-US" w:eastAsia="zh-CN"/>
        </w:rPr>
      </w:pPr>
      <w:r>
        <w:rPr>
          <w:rStyle w:val="30"/>
          <w:color w:val="auto"/>
          <w:sz w:val="28"/>
          <w:highlight w:val="none"/>
        </w:rPr>
        <w:fldChar w:fldCharType="begin"/>
      </w:r>
      <w:r>
        <w:rPr>
          <w:rStyle w:val="30"/>
          <w:color w:val="auto"/>
          <w:sz w:val="28"/>
          <w:highlight w:val="none"/>
        </w:rPr>
        <w:instrText xml:space="preserve"> </w:instrText>
      </w:r>
      <w:r>
        <w:rPr>
          <w:color w:val="auto"/>
          <w:sz w:val="28"/>
          <w:highlight w:val="none"/>
        </w:rPr>
        <w:instrText xml:space="preserve">HYPERLINK \l "_Toc95223458"</w:instrText>
      </w:r>
      <w:r>
        <w:rPr>
          <w:rStyle w:val="30"/>
          <w:color w:val="auto"/>
          <w:sz w:val="28"/>
          <w:highlight w:val="none"/>
        </w:rPr>
        <w:instrText xml:space="preserve"> </w:instrText>
      </w:r>
      <w:r>
        <w:rPr>
          <w:rStyle w:val="30"/>
          <w:color w:val="auto"/>
          <w:sz w:val="28"/>
          <w:highlight w:val="none"/>
        </w:rPr>
        <w:fldChar w:fldCharType="separate"/>
      </w:r>
      <w:r>
        <w:rPr>
          <w:rStyle w:val="30"/>
          <w:rFonts w:hint="eastAsia"/>
          <w:color w:val="auto"/>
          <w:sz w:val="28"/>
          <w:highlight w:val="none"/>
        </w:rPr>
        <w:t>第五章</w:t>
      </w:r>
      <w:r>
        <w:rPr>
          <w:rStyle w:val="30"/>
          <w:color w:val="auto"/>
          <w:sz w:val="28"/>
          <w:highlight w:val="none"/>
        </w:rPr>
        <w:t xml:space="preserve"> </w:t>
      </w:r>
      <w:r>
        <w:rPr>
          <w:rStyle w:val="30"/>
          <w:rFonts w:hint="eastAsia"/>
          <w:color w:val="auto"/>
          <w:sz w:val="28"/>
          <w:highlight w:val="none"/>
        </w:rPr>
        <w:t>合同条款及格式</w:t>
      </w:r>
      <w:r>
        <w:rPr>
          <w:color w:val="auto"/>
          <w:sz w:val="28"/>
          <w:highlight w:val="none"/>
        </w:rPr>
        <w:tab/>
      </w:r>
      <w:r>
        <w:rPr>
          <w:rFonts w:hint="eastAsia"/>
          <w:color w:val="auto"/>
          <w:sz w:val="28"/>
          <w:highlight w:val="none"/>
          <w:lang w:val="en-US" w:eastAsia="zh-CN"/>
        </w:rPr>
        <w:t>7</w:t>
      </w:r>
      <w:r>
        <w:rPr>
          <w:rStyle w:val="30"/>
          <w:color w:val="auto"/>
          <w:sz w:val="28"/>
          <w:highlight w:val="none"/>
        </w:rPr>
        <w:fldChar w:fldCharType="end"/>
      </w:r>
      <w:r>
        <w:rPr>
          <w:rStyle w:val="30"/>
          <w:rFonts w:hint="eastAsia"/>
          <w:color w:val="auto"/>
          <w:sz w:val="28"/>
          <w:highlight w:val="none"/>
          <w:lang w:val="en-US" w:eastAsia="zh-CN"/>
        </w:rPr>
        <w:t>0</w:t>
      </w:r>
    </w:p>
    <w:p w14:paraId="68B3A4D8">
      <w:pPr>
        <w:pStyle w:val="16"/>
        <w:tabs>
          <w:tab w:val="right" w:leader="dot" w:pos="10120"/>
        </w:tabs>
        <w:rPr>
          <w:rFonts w:hint="default" w:ascii="Calibri" w:hAnsi="Calibri" w:eastAsia="宋体"/>
          <w:b w:val="0"/>
          <w:bCs w:val="0"/>
          <w:caps w:val="0"/>
          <w:color w:val="auto"/>
          <w:sz w:val="32"/>
          <w:szCs w:val="22"/>
          <w:highlight w:val="none"/>
          <w:lang w:val="en-US" w:eastAsia="zh-CN"/>
        </w:rPr>
      </w:pPr>
      <w:r>
        <w:rPr>
          <w:rStyle w:val="30"/>
          <w:color w:val="auto"/>
          <w:sz w:val="28"/>
          <w:highlight w:val="none"/>
        </w:rPr>
        <w:fldChar w:fldCharType="begin"/>
      </w:r>
      <w:r>
        <w:rPr>
          <w:rStyle w:val="30"/>
          <w:color w:val="auto"/>
          <w:sz w:val="28"/>
          <w:highlight w:val="none"/>
        </w:rPr>
        <w:instrText xml:space="preserve"> </w:instrText>
      </w:r>
      <w:r>
        <w:rPr>
          <w:color w:val="auto"/>
          <w:sz w:val="28"/>
          <w:highlight w:val="none"/>
        </w:rPr>
        <w:instrText xml:space="preserve">HYPERLINK \l "_Toc95223515"</w:instrText>
      </w:r>
      <w:r>
        <w:rPr>
          <w:rStyle w:val="30"/>
          <w:color w:val="auto"/>
          <w:sz w:val="28"/>
          <w:highlight w:val="none"/>
        </w:rPr>
        <w:instrText xml:space="preserve"> </w:instrText>
      </w:r>
      <w:r>
        <w:rPr>
          <w:rStyle w:val="30"/>
          <w:color w:val="auto"/>
          <w:sz w:val="28"/>
          <w:highlight w:val="none"/>
        </w:rPr>
        <w:fldChar w:fldCharType="separate"/>
      </w:r>
      <w:r>
        <w:rPr>
          <w:rStyle w:val="30"/>
          <w:rFonts w:hint="eastAsia" w:ascii="宋体" w:hAnsi="宋体" w:cs="宋体"/>
          <w:color w:val="auto"/>
          <w:kern w:val="44"/>
          <w:sz w:val="28"/>
          <w:highlight w:val="none"/>
        </w:rPr>
        <w:t>第六章 工程量清单</w:t>
      </w:r>
      <w:r>
        <w:rPr>
          <w:color w:val="auto"/>
          <w:sz w:val="28"/>
          <w:highlight w:val="none"/>
        </w:rPr>
        <w:tab/>
      </w:r>
      <w:r>
        <w:rPr>
          <w:rFonts w:hint="eastAsia"/>
          <w:color w:val="auto"/>
          <w:sz w:val="28"/>
          <w:highlight w:val="none"/>
          <w:lang w:val="en-US" w:eastAsia="zh-CN"/>
        </w:rPr>
        <w:t>1</w:t>
      </w:r>
      <w:r>
        <w:rPr>
          <w:rStyle w:val="30"/>
          <w:color w:val="auto"/>
          <w:sz w:val="28"/>
          <w:highlight w:val="none"/>
        </w:rPr>
        <w:fldChar w:fldCharType="end"/>
      </w:r>
      <w:r>
        <w:rPr>
          <w:rStyle w:val="30"/>
          <w:rFonts w:hint="eastAsia"/>
          <w:color w:val="auto"/>
          <w:sz w:val="28"/>
          <w:highlight w:val="none"/>
          <w:lang w:val="en-US" w:eastAsia="zh-CN"/>
        </w:rPr>
        <w:t>53</w:t>
      </w:r>
    </w:p>
    <w:p w14:paraId="0101F5B6">
      <w:pPr>
        <w:pStyle w:val="16"/>
        <w:tabs>
          <w:tab w:val="right" w:leader="dot" w:pos="10120"/>
        </w:tabs>
        <w:rPr>
          <w:rFonts w:hint="default" w:ascii="Calibri" w:hAnsi="Calibri" w:eastAsia="宋体"/>
          <w:b w:val="0"/>
          <w:bCs w:val="0"/>
          <w:caps w:val="0"/>
          <w:color w:val="auto"/>
          <w:sz w:val="32"/>
          <w:szCs w:val="22"/>
          <w:highlight w:val="none"/>
          <w:lang w:val="en-US" w:eastAsia="zh-CN"/>
        </w:rPr>
      </w:pPr>
      <w:r>
        <w:rPr>
          <w:rStyle w:val="30"/>
          <w:color w:val="auto"/>
          <w:sz w:val="28"/>
          <w:highlight w:val="none"/>
        </w:rPr>
        <w:fldChar w:fldCharType="begin"/>
      </w:r>
      <w:r>
        <w:rPr>
          <w:rStyle w:val="30"/>
          <w:color w:val="auto"/>
          <w:sz w:val="28"/>
          <w:highlight w:val="none"/>
        </w:rPr>
        <w:instrText xml:space="preserve"> </w:instrText>
      </w:r>
      <w:r>
        <w:rPr>
          <w:color w:val="auto"/>
          <w:sz w:val="28"/>
          <w:highlight w:val="none"/>
        </w:rPr>
        <w:instrText xml:space="preserve">HYPERLINK \l "_Toc95223522"</w:instrText>
      </w:r>
      <w:r>
        <w:rPr>
          <w:rStyle w:val="30"/>
          <w:color w:val="auto"/>
          <w:sz w:val="28"/>
          <w:highlight w:val="none"/>
        </w:rPr>
        <w:instrText xml:space="preserve"> </w:instrText>
      </w:r>
      <w:r>
        <w:rPr>
          <w:rStyle w:val="30"/>
          <w:color w:val="auto"/>
          <w:sz w:val="28"/>
          <w:highlight w:val="none"/>
        </w:rPr>
        <w:fldChar w:fldCharType="separate"/>
      </w:r>
      <w:r>
        <w:rPr>
          <w:rStyle w:val="30"/>
          <w:rFonts w:hint="eastAsia" w:ascii="宋体" w:hAnsi="宋体" w:cs="宋体"/>
          <w:color w:val="auto"/>
          <w:kern w:val="44"/>
          <w:sz w:val="28"/>
          <w:highlight w:val="none"/>
        </w:rPr>
        <w:t>第七章</w:t>
      </w:r>
      <w:r>
        <w:rPr>
          <w:rStyle w:val="30"/>
          <w:rFonts w:ascii="宋体" w:hAnsi="宋体" w:cs="宋体"/>
          <w:color w:val="auto"/>
          <w:kern w:val="44"/>
          <w:sz w:val="28"/>
          <w:highlight w:val="none"/>
        </w:rPr>
        <w:t xml:space="preserve"> </w:t>
      </w:r>
      <w:r>
        <w:rPr>
          <w:rStyle w:val="30"/>
          <w:rFonts w:hint="eastAsia" w:ascii="宋体" w:hAnsi="宋体" w:cs="宋体"/>
          <w:color w:val="auto"/>
          <w:kern w:val="44"/>
          <w:sz w:val="28"/>
          <w:highlight w:val="none"/>
        </w:rPr>
        <w:t>图</w:t>
      </w:r>
      <w:r>
        <w:rPr>
          <w:rStyle w:val="30"/>
          <w:rFonts w:ascii="宋体" w:hAnsi="宋体" w:cs="宋体"/>
          <w:color w:val="auto"/>
          <w:kern w:val="44"/>
          <w:sz w:val="28"/>
          <w:highlight w:val="none"/>
        </w:rPr>
        <w:t xml:space="preserve">  </w:t>
      </w:r>
      <w:r>
        <w:rPr>
          <w:rStyle w:val="30"/>
          <w:rFonts w:hint="eastAsia" w:ascii="宋体" w:hAnsi="宋体" w:cs="宋体"/>
          <w:color w:val="auto"/>
          <w:kern w:val="44"/>
          <w:sz w:val="28"/>
          <w:highlight w:val="none"/>
        </w:rPr>
        <w:t>纸</w:t>
      </w:r>
      <w:r>
        <w:rPr>
          <w:color w:val="auto"/>
          <w:sz w:val="28"/>
          <w:highlight w:val="none"/>
        </w:rPr>
        <w:tab/>
      </w:r>
      <w:r>
        <w:rPr>
          <w:rFonts w:hint="eastAsia"/>
          <w:color w:val="auto"/>
          <w:sz w:val="28"/>
          <w:highlight w:val="none"/>
          <w:lang w:val="en-US" w:eastAsia="zh-CN"/>
        </w:rPr>
        <w:t>1</w:t>
      </w:r>
      <w:r>
        <w:rPr>
          <w:rStyle w:val="30"/>
          <w:color w:val="auto"/>
          <w:sz w:val="28"/>
          <w:highlight w:val="none"/>
        </w:rPr>
        <w:fldChar w:fldCharType="end"/>
      </w:r>
      <w:r>
        <w:rPr>
          <w:rStyle w:val="30"/>
          <w:rFonts w:hint="eastAsia"/>
          <w:color w:val="auto"/>
          <w:sz w:val="28"/>
          <w:highlight w:val="none"/>
          <w:lang w:val="en-US" w:eastAsia="zh-CN"/>
        </w:rPr>
        <w:t>57</w:t>
      </w:r>
    </w:p>
    <w:p w14:paraId="17A851EB">
      <w:pPr>
        <w:pStyle w:val="16"/>
        <w:tabs>
          <w:tab w:val="right" w:leader="dot" w:pos="10120"/>
        </w:tabs>
        <w:rPr>
          <w:rFonts w:hint="default" w:ascii="Calibri" w:hAnsi="Calibri" w:eastAsia="宋体"/>
          <w:b w:val="0"/>
          <w:bCs w:val="0"/>
          <w:caps w:val="0"/>
          <w:color w:val="auto"/>
          <w:sz w:val="32"/>
          <w:szCs w:val="22"/>
          <w:highlight w:val="none"/>
          <w:lang w:val="en-US" w:eastAsia="zh-CN"/>
        </w:rPr>
      </w:pPr>
      <w:r>
        <w:rPr>
          <w:rStyle w:val="30"/>
          <w:color w:val="auto"/>
          <w:sz w:val="28"/>
          <w:highlight w:val="none"/>
        </w:rPr>
        <w:fldChar w:fldCharType="begin"/>
      </w:r>
      <w:r>
        <w:rPr>
          <w:rStyle w:val="30"/>
          <w:color w:val="auto"/>
          <w:sz w:val="28"/>
          <w:highlight w:val="none"/>
        </w:rPr>
        <w:instrText xml:space="preserve"> </w:instrText>
      </w:r>
      <w:r>
        <w:rPr>
          <w:color w:val="auto"/>
          <w:sz w:val="28"/>
          <w:highlight w:val="none"/>
        </w:rPr>
        <w:instrText xml:space="preserve">HYPERLINK \l "_Toc95223525"</w:instrText>
      </w:r>
      <w:r>
        <w:rPr>
          <w:rStyle w:val="30"/>
          <w:color w:val="auto"/>
          <w:sz w:val="28"/>
          <w:highlight w:val="none"/>
        </w:rPr>
        <w:instrText xml:space="preserve"> </w:instrText>
      </w:r>
      <w:r>
        <w:rPr>
          <w:rStyle w:val="30"/>
          <w:color w:val="auto"/>
          <w:sz w:val="28"/>
          <w:highlight w:val="none"/>
        </w:rPr>
        <w:fldChar w:fldCharType="separate"/>
      </w:r>
      <w:r>
        <w:rPr>
          <w:rStyle w:val="30"/>
          <w:rFonts w:hint="eastAsia" w:ascii="宋体" w:hAnsi="宋体" w:cs="宋体"/>
          <w:color w:val="auto"/>
          <w:kern w:val="44"/>
          <w:sz w:val="28"/>
          <w:highlight w:val="none"/>
        </w:rPr>
        <w:t>第八章 技术标准和要求</w:t>
      </w:r>
      <w:r>
        <w:rPr>
          <w:color w:val="auto"/>
          <w:sz w:val="28"/>
          <w:highlight w:val="none"/>
        </w:rPr>
        <w:tab/>
      </w:r>
      <w:r>
        <w:rPr>
          <w:rFonts w:hint="eastAsia"/>
          <w:color w:val="auto"/>
          <w:sz w:val="28"/>
          <w:highlight w:val="none"/>
          <w:lang w:val="en-US" w:eastAsia="zh-CN"/>
        </w:rPr>
        <w:t>1</w:t>
      </w:r>
      <w:r>
        <w:rPr>
          <w:rStyle w:val="30"/>
          <w:color w:val="auto"/>
          <w:sz w:val="28"/>
          <w:highlight w:val="none"/>
        </w:rPr>
        <w:fldChar w:fldCharType="end"/>
      </w:r>
      <w:r>
        <w:rPr>
          <w:rStyle w:val="30"/>
          <w:rFonts w:hint="eastAsia"/>
          <w:color w:val="auto"/>
          <w:sz w:val="28"/>
          <w:highlight w:val="none"/>
          <w:lang w:val="en-US" w:eastAsia="zh-CN"/>
        </w:rPr>
        <w:t>58</w:t>
      </w:r>
    </w:p>
    <w:p w14:paraId="5DD8CAC8">
      <w:pPr>
        <w:pStyle w:val="16"/>
        <w:tabs>
          <w:tab w:val="right" w:leader="dot" w:pos="10120"/>
        </w:tabs>
        <w:rPr>
          <w:rFonts w:hint="default" w:ascii="Calibri" w:hAnsi="Calibri" w:eastAsia="宋体"/>
          <w:b w:val="0"/>
          <w:bCs w:val="0"/>
          <w:caps w:val="0"/>
          <w:color w:val="auto"/>
          <w:sz w:val="32"/>
          <w:szCs w:val="22"/>
          <w:highlight w:val="none"/>
          <w:lang w:val="en-US" w:eastAsia="zh-CN"/>
        </w:rPr>
      </w:pPr>
      <w:r>
        <w:rPr>
          <w:rStyle w:val="30"/>
          <w:color w:val="auto"/>
          <w:sz w:val="28"/>
          <w:highlight w:val="none"/>
        </w:rPr>
        <w:fldChar w:fldCharType="begin"/>
      </w:r>
      <w:r>
        <w:rPr>
          <w:rStyle w:val="30"/>
          <w:color w:val="auto"/>
          <w:sz w:val="28"/>
          <w:highlight w:val="none"/>
        </w:rPr>
        <w:instrText xml:space="preserve"> </w:instrText>
      </w:r>
      <w:r>
        <w:rPr>
          <w:color w:val="auto"/>
          <w:sz w:val="28"/>
          <w:highlight w:val="none"/>
        </w:rPr>
        <w:instrText xml:space="preserve">HYPERLINK \l "_Toc95223531"</w:instrText>
      </w:r>
      <w:r>
        <w:rPr>
          <w:rStyle w:val="30"/>
          <w:color w:val="auto"/>
          <w:sz w:val="28"/>
          <w:highlight w:val="none"/>
        </w:rPr>
        <w:instrText xml:space="preserve"> </w:instrText>
      </w:r>
      <w:r>
        <w:rPr>
          <w:rStyle w:val="30"/>
          <w:color w:val="auto"/>
          <w:sz w:val="28"/>
          <w:highlight w:val="none"/>
        </w:rPr>
        <w:fldChar w:fldCharType="separate"/>
      </w:r>
      <w:r>
        <w:rPr>
          <w:rStyle w:val="30"/>
          <w:rFonts w:hint="eastAsia"/>
          <w:color w:val="auto"/>
          <w:sz w:val="28"/>
          <w:highlight w:val="none"/>
        </w:rPr>
        <w:t>第九章 投标文件格式</w:t>
      </w:r>
      <w:r>
        <w:rPr>
          <w:color w:val="auto"/>
          <w:sz w:val="28"/>
          <w:highlight w:val="none"/>
        </w:rPr>
        <w:tab/>
      </w:r>
      <w:r>
        <w:rPr>
          <w:rFonts w:hint="eastAsia"/>
          <w:color w:val="auto"/>
          <w:sz w:val="28"/>
          <w:highlight w:val="none"/>
          <w:lang w:val="en-US" w:eastAsia="zh-CN"/>
        </w:rPr>
        <w:t>1</w:t>
      </w:r>
      <w:r>
        <w:rPr>
          <w:rStyle w:val="30"/>
          <w:color w:val="auto"/>
          <w:sz w:val="28"/>
          <w:highlight w:val="none"/>
        </w:rPr>
        <w:fldChar w:fldCharType="end"/>
      </w:r>
      <w:r>
        <w:rPr>
          <w:rStyle w:val="30"/>
          <w:rFonts w:hint="eastAsia"/>
          <w:color w:val="auto"/>
          <w:sz w:val="28"/>
          <w:highlight w:val="none"/>
          <w:lang w:val="en-US" w:eastAsia="zh-CN"/>
        </w:rPr>
        <w:t>65</w:t>
      </w:r>
    </w:p>
    <w:p w14:paraId="08A5E2A8">
      <w:pPr>
        <w:pStyle w:val="16"/>
        <w:tabs>
          <w:tab w:val="right" w:leader="dot" w:pos="10120"/>
        </w:tabs>
        <w:rPr>
          <w:rFonts w:hint="default" w:ascii="Calibri" w:hAnsi="Calibri" w:eastAsia="宋体"/>
          <w:b w:val="0"/>
          <w:bCs w:val="0"/>
          <w:caps w:val="0"/>
          <w:color w:val="auto"/>
          <w:sz w:val="32"/>
          <w:szCs w:val="22"/>
          <w:highlight w:val="none"/>
          <w:lang w:val="en-US" w:eastAsia="zh-CN"/>
        </w:rPr>
      </w:pPr>
      <w:r>
        <w:rPr>
          <w:rStyle w:val="30"/>
          <w:color w:val="auto"/>
          <w:sz w:val="28"/>
          <w:highlight w:val="none"/>
        </w:rPr>
        <w:fldChar w:fldCharType="begin"/>
      </w:r>
      <w:r>
        <w:rPr>
          <w:rStyle w:val="30"/>
          <w:color w:val="auto"/>
          <w:sz w:val="28"/>
          <w:highlight w:val="none"/>
        </w:rPr>
        <w:instrText xml:space="preserve"> </w:instrText>
      </w:r>
      <w:r>
        <w:rPr>
          <w:color w:val="auto"/>
          <w:sz w:val="28"/>
          <w:highlight w:val="none"/>
        </w:rPr>
        <w:instrText xml:space="preserve">HYPERLINK \l "_Toc95223547"</w:instrText>
      </w:r>
      <w:r>
        <w:rPr>
          <w:rStyle w:val="30"/>
          <w:color w:val="auto"/>
          <w:sz w:val="28"/>
          <w:highlight w:val="none"/>
        </w:rPr>
        <w:instrText xml:space="preserve"> </w:instrText>
      </w:r>
      <w:r>
        <w:rPr>
          <w:rStyle w:val="30"/>
          <w:color w:val="auto"/>
          <w:sz w:val="28"/>
          <w:highlight w:val="none"/>
        </w:rPr>
        <w:fldChar w:fldCharType="separate"/>
      </w:r>
      <w:r>
        <w:rPr>
          <w:rStyle w:val="30"/>
          <w:rFonts w:hint="eastAsia" w:eastAsia="黑体"/>
          <w:color w:val="auto"/>
          <w:sz w:val="28"/>
          <w:highlight w:val="none"/>
        </w:rPr>
        <w:t>第十章</w:t>
      </w:r>
      <w:r>
        <w:rPr>
          <w:rStyle w:val="30"/>
          <w:rFonts w:eastAsia="黑体"/>
          <w:color w:val="auto"/>
          <w:sz w:val="28"/>
          <w:highlight w:val="none"/>
        </w:rPr>
        <w:t xml:space="preserve"> </w:t>
      </w:r>
      <w:r>
        <w:rPr>
          <w:rStyle w:val="30"/>
          <w:rFonts w:hint="eastAsia" w:eastAsia="黑体"/>
          <w:color w:val="auto"/>
          <w:sz w:val="28"/>
          <w:highlight w:val="none"/>
        </w:rPr>
        <w:t xml:space="preserve"> 招标人、招标代理机构对本招标文件的确认</w:t>
      </w:r>
      <w:bookmarkStart w:id="9" w:name="_Hlt95223550"/>
      <w:bookmarkStart w:id="10" w:name="_Hlt95223551"/>
      <w:r>
        <w:rPr>
          <w:color w:val="auto"/>
          <w:sz w:val="28"/>
          <w:highlight w:val="none"/>
        </w:rPr>
        <w:tab/>
      </w:r>
      <w:bookmarkEnd w:id="9"/>
      <w:bookmarkEnd w:id="10"/>
      <w:r>
        <w:rPr>
          <w:rFonts w:hint="eastAsia"/>
          <w:color w:val="auto"/>
          <w:sz w:val="28"/>
          <w:highlight w:val="none"/>
          <w:lang w:val="en-US" w:eastAsia="zh-CN"/>
        </w:rPr>
        <w:t>1</w:t>
      </w:r>
      <w:r>
        <w:rPr>
          <w:rStyle w:val="30"/>
          <w:color w:val="auto"/>
          <w:sz w:val="28"/>
          <w:highlight w:val="none"/>
        </w:rPr>
        <w:fldChar w:fldCharType="end"/>
      </w:r>
      <w:r>
        <w:rPr>
          <w:rStyle w:val="30"/>
          <w:rFonts w:hint="eastAsia"/>
          <w:color w:val="auto"/>
          <w:sz w:val="28"/>
          <w:highlight w:val="none"/>
          <w:lang w:val="en-US" w:eastAsia="zh-CN"/>
        </w:rPr>
        <w:t>90</w:t>
      </w:r>
    </w:p>
    <w:p w14:paraId="06D0812A">
      <w:pPr>
        <w:pStyle w:val="16"/>
        <w:tabs>
          <w:tab w:val="right" w:leader="dot" w:pos="10120"/>
        </w:tabs>
        <w:rPr>
          <w:rFonts w:hint="default" w:ascii="Calibri" w:hAnsi="Calibri" w:eastAsia="宋体"/>
          <w:b w:val="0"/>
          <w:bCs w:val="0"/>
          <w:caps w:val="0"/>
          <w:color w:val="auto"/>
          <w:sz w:val="32"/>
          <w:szCs w:val="22"/>
          <w:highlight w:val="none"/>
          <w:lang w:val="en-US" w:eastAsia="zh-CN"/>
        </w:rPr>
      </w:pPr>
      <w:r>
        <w:rPr>
          <w:rStyle w:val="30"/>
          <w:color w:val="auto"/>
          <w:sz w:val="28"/>
          <w:highlight w:val="none"/>
        </w:rPr>
        <w:fldChar w:fldCharType="begin"/>
      </w:r>
      <w:r>
        <w:rPr>
          <w:rStyle w:val="30"/>
          <w:color w:val="auto"/>
          <w:sz w:val="28"/>
          <w:highlight w:val="none"/>
        </w:rPr>
        <w:instrText xml:space="preserve"> </w:instrText>
      </w:r>
      <w:r>
        <w:rPr>
          <w:color w:val="auto"/>
          <w:sz w:val="28"/>
          <w:highlight w:val="none"/>
        </w:rPr>
        <w:instrText xml:space="preserve">HYPERLINK \l "_Toc95223548"</w:instrText>
      </w:r>
      <w:r>
        <w:rPr>
          <w:rStyle w:val="30"/>
          <w:color w:val="auto"/>
          <w:sz w:val="28"/>
          <w:highlight w:val="none"/>
        </w:rPr>
        <w:instrText xml:space="preserve"> </w:instrText>
      </w:r>
      <w:r>
        <w:rPr>
          <w:rStyle w:val="30"/>
          <w:color w:val="auto"/>
          <w:sz w:val="28"/>
          <w:highlight w:val="none"/>
        </w:rPr>
        <w:fldChar w:fldCharType="separate"/>
      </w:r>
      <w:r>
        <w:rPr>
          <w:rStyle w:val="30"/>
          <w:rFonts w:hint="eastAsia" w:ascii="黑体" w:hAnsi="黑体" w:eastAsia="黑体"/>
          <w:color w:val="auto"/>
          <w:sz w:val="28"/>
          <w:highlight w:val="none"/>
        </w:rPr>
        <w:t>附件</w:t>
      </w:r>
      <w:r>
        <w:rPr>
          <w:rStyle w:val="30"/>
          <w:rFonts w:ascii="黑体" w:hAnsi="黑体" w:eastAsia="黑体"/>
          <w:color w:val="auto"/>
          <w:sz w:val="28"/>
          <w:highlight w:val="none"/>
        </w:rPr>
        <w:t xml:space="preserve">1 </w:t>
      </w:r>
      <w:r>
        <w:rPr>
          <w:rStyle w:val="30"/>
          <w:rFonts w:hint="eastAsia" w:ascii="黑体" w:hAnsi="黑体" w:eastAsia="黑体"/>
          <w:color w:val="auto"/>
          <w:sz w:val="28"/>
          <w:highlight w:val="none"/>
        </w:rPr>
        <w:t>关于联合惩戒失信行为加强信用查询管理的通知</w:t>
      </w:r>
      <w:r>
        <w:rPr>
          <w:color w:val="auto"/>
          <w:sz w:val="28"/>
          <w:highlight w:val="none"/>
        </w:rPr>
        <w:tab/>
      </w:r>
      <w:r>
        <w:rPr>
          <w:rFonts w:hint="eastAsia"/>
          <w:color w:val="auto"/>
          <w:sz w:val="28"/>
          <w:highlight w:val="none"/>
          <w:lang w:val="en-US" w:eastAsia="zh-CN"/>
        </w:rPr>
        <w:t>1</w:t>
      </w:r>
      <w:r>
        <w:rPr>
          <w:rStyle w:val="30"/>
          <w:color w:val="auto"/>
          <w:sz w:val="28"/>
          <w:highlight w:val="none"/>
        </w:rPr>
        <w:fldChar w:fldCharType="end"/>
      </w:r>
      <w:r>
        <w:rPr>
          <w:rStyle w:val="30"/>
          <w:rFonts w:hint="eastAsia"/>
          <w:color w:val="auto"/>
          <w:sz w:val="28"/>
          <w:highlight w:val="none"/>
          <w:lang w:val="en-US" w:eastAsia="zh-CN"/>
        </w:rPr>
        <w:t>91</w:t>
      </w:r>
    </w:p>
    <w:p w14:paraId="6694E2F0">
      <w:pPr>
        <w:pStyle w:val="16"/>
        <w:tabs>
          <w:tab w:val="right" w:leader="dot" w:pos="10120"/>
        </w:tabs>
        <w:rPr>
          <w:rStyle w:val="30"/>
          <w:rFonts w:hint="default" w:eastAsia="宋体"/>
          <w:color w:val="auto"/>
          <w:sz w:val="28"/>
          <w:highlight w:val="none"/>
          <w:lang w:val="en-US" w:eastAsia="zh-CN"/>
        </w:rPr>
      </w:pPr>
      <w:r>
        <w:rPr>
          <w:rStyle w:val="30"/>
          <w:color w:val="auto"/>
          <w:sz w:val="28"/>
          <w:highlight w:val="none"/>
        </w:rPr>
        <w:fldChar w:fldCharType="begin"/>
      </w:r>
      <w:r>
        <w:rPr>
          <w:rStyle w:val="30"/>
          <w:color w:val="auto"/>
          <w:sz w:val="28"/>
          <w:highlight w:val="none"/>
        </w:rPr>
        <w:instrText xml:space="preserve"> </w:instrText>
      </w:r>
      <w:r>
        <w:rPr>
          <w:color w:val="auto"/>
          <w:sz w:val="28"/>
          <w:highlight w:val="none"/>
        </w:rPr>
        <w:instrText xml:space="preserve">HYPERLINK \l "_Toc95223549"</w:instrText>
      </w:r>
      <w:r>
        <w:rPr>
          <w:rStyle w:val="30"/>
          <w:color w:val="auto"/>
          <w:sz w:val="28"/>
          <w:highlight w:val="none"/>
        </w:rPr>
        <w:instrText xml:space="preserve"> </w:instrText>
      </w:r>
      <w:r>
        <w:rPr>
          <w:rStyle w:val="30"/>
          <w:color w:val="auto"/>
          <w:sz w:val="28"/>
          <w:highlight w:val="none"/>
        </w:rPr>
        <w:fldChar w:fldCharType="separate"/>
      </w:r>
      <w:r>
        <w:rPr>
          <w:rStyle w:val="30"/>
          <w:rFonts w:hint="eastAsia" w:ascii="黑体" w:hAnsi="黑体" w:eastAsia="黑体"/>
          <w:color w:val="auto"/>
          <w:sz w:val="28"/>
          <w:highlight w:val="none"/>
        </w:rPr>
        <w:t>附件</w:t>
      </w:r>
      <w:r>
        <w:rPr>
          <w:rStyle w:val="30"/>
          <w:rFonts w:ascii="黑体" w:hAnsi="黑体" w:eastAsia="黑体"/>
          <w:color w:val="auto"/>
          <w:sz w:val="28"/>
          <w:highlight w:val="none"/>
        </w:rPr>
        <w:t xml:space="preserve">2 </w:t>
      </w:r>
      <w:r>
        <w:rPr>
          <w:rStyle w:val="30"/>
          <w:rFonts w:hint="eastAsia" w:ascii="黑体" w:hAnsi="黑体" w:eastAsia="黑体"/>
          <w:color w:val="auto"/>
          <w:sz w:val="28"/>
          <w:highlight w:val="none"/>
        </w:rPr>
        <w:t>“信用中国”查询的严重失信行为类别及判定依据</w:t>
      </w:r>
      <w:r>
        <w:rPr>
          <w:color w:val="auto"/>
          <w:sz w:val="28"/>
          <w:highlight w:val="none"/>
        </w:rPr>
        <w:tab/>
      </w:r>
      <w:r>
        <w:rPr>
          <w:rFonts w:hint="eastAsia"/>
          <w:color w:val="auto"/>
          <w:sz w:val="28"/>
          <w:highlight w:val="none"/>
          <w:lang w:val="en-US" w:eastAsia="zh-CN"/>
        </w:rPr>
        <w:t>1</w:t>
      </w:r>
      <w:r>
        <w:rPr>
          <w:rStyle w:val="30"/>
          <w:color w:val="auto"/>
          <w:sz w:val="28"/>
          <w:highlight w:val="none"/>
        </w:rPr>
        <w:fldChar w:fldCharType="end"/>
      </w:r>
      <w:r>
        <w:rPr>
          <w:rStyle w:val="30"/>
          <w:rFonts w:hint="eastAsia"/>
          <w:color w:val="auto"/>
          <w:sz w:val="28"/>
          <w:highlight w:val="none"/>
          <w:lang w:val="en-US" w:eastAsia="zh-CN"/>
        </w:rPr>
        <w:t>95</w:t>
      </w:r>
    </w:p>
    <w:p w14:paraId="14D38B9D">
      <w:pPr>
        <w:rPr>
          <w:rFonts w:hint="eastAsia"/>
          <w:color w:val="auto"/>
          <w:sz w:val="24"/>
          <w:highlight w:val="none"/>
        </w:rPr>
      </w:pPr>
    </w:p>
    <w:p w14:paraId="0DB0224D">
      <w:pPr>
        <w:pStyle w:val="16"/>
        <w:rPr>
          <w:rFonts w:hint="eastAsia"/>
          <w:color w:val="auto"/>
          <w:highlight w:val="none"/>
        </w:rPr>
      </w:pPr>
    </w:p>
    <w:p w14:paraId="3C1557B4">
      <w:pPr>
        <w:rPr>
          <w:rFonts w:hint="eastAsia"/>
          <w:color w:val="auto"/>
          <w:highlight w:val="none"/>
        </w:rPr>
      </w:pPr>
    </w:p>
    <w:p w14:paraId="0310347F">
      <w:pPr>
        <w:pStyle w:val="16"/>
        <w:rPr>
          <w:rFonts w:hint="eastAsia"/>
          <w:color w:val="auto"/>
          <w:highlight w:val="none"/>
        </w:rPr>
      </w:pPr>
    </w:p>
    <w:p w14:paraId="7904009B">
      <w:pPr>
        <w:rPr>
          <w:rFonts w:hint="eastAsia"/>
          <w:color w:val="auto"/>
          <w:highlight w:val="none"/>
        </w:rPr>
      </w:pPr>
    </w:p>
    <w:p w14:paraId="72D2501B">
      <w:pPr>
        <w:pStyle w:val="16"/>
        <w:rPr>
          <w:rFonts w:hint="eastAsia"/>
          <w:color w:val="auto"/>
          <w:highlight w:val="none"/>
        </w:rPr>
      </w:pPr>
    </w:p>
    <w:p w14:paraId="71FE79EB">
      <w:pPr>
        <w:rPr>
          <w:rFonts w:hint="eastAsia"/>
          <w:color w:val="auto"/>
          <w:highlight w:val="none"/>
        </w:rPr>
      </w:pPr>
    </w:p>
    <w:p w14:paraId="00F3A8FC">
      <w:pPr>
        <w:pStyle w:val="16"/>
        <w:rPr>
          <w:rFonts w:hint="eastAsia"/>
          <w:color w:val="auto"/>
          <w:highlight w:val="none"/>
        </w:rPr>
      </w:pPr>
    </w:p>
    <w:p w14:paraId="79808D97">
      <w:pPr>
        <w:rPr>
          <w:rFonts w:hint="eastAsia"/>
          <w:color w:val="auto"/>
          <w:highlight w:val="none"/>
        </w:rPr>
      </w:pPr>
    </w:p>
    <w:p w14:paraId="2344D1CF">
      <w:pPr>
        <w:pStyle w:val="16"/>
        <w:rPr>
          <w:rFonts w:hint="eastAsia"/>
          <w:color w:val="auto"/>
          <w:highlight w:val="none"/>
        </w:rPr>
      </w:pPr>
    </w:p>
    <w:p w14:paraId="3B67A9E4">
      <w:pPr>
        <w:rPr>
          <w:rFonts w:hint="eastAsia"/>
          <w:color w:val="auto"/>
          <w:highlight w:val="none"/>
        </w:rPr>
      </w:pPr>
    </w:p>
    <w:p w14:paraId="3CF691E1">
      <w:pPr>
        <w:rPr>
          <w:rFonts w:hint="eastAsia"/>
          <w:color w:val="auto"/>
          <w:highlight w:val="none"/>
        </w:rPr>
        <w:sectPr>
          <w:headerReference r:id="rId3" w:type="default"/>
          <w:pgSz w:w="11910" w:h="16850"/>
          <w:pgMar w:top="1600" w:right="660" w:bottom="1100" w:left="1120" w:header="0" w:footer="746" w:gutter="0"/>
          <w:pgNumType w:start="1"/>
          <w:cols w:space="720" w:num="1"/>
        </w:sectPr>
      </w:pPr>
    </w:p>
    <w:p w14:paraId="0810A3C5">
      <w:pPr>
        <w:pStyle w:val="2"/>
        <w:spacing w:before="0" w:after="0" w:line="240" w:lineRule="auto"/>
        <w:jc w:val="center"/>
        <w:rPr>
          <w:rFonts w:hint="eastAsia"/>
          <w:color w:val="auto"/>
          <w:highlight w:val="none"/>
          <w:lang w:val="zh-CN"/>
        </w:rPr>
      </w:pPr>
      <w:r>
        <w:rPr>
          <w:color w:val="auto"/>
          <w:highlight w:val="none"/>
          <w:lang w:val="zh-CN"/>
        </w:rPr>
        <w:fldChar w:fldCharType="end"/>
      </w:r>
      <w:bookmarkStart w:id="11" w:name="_Toc95223332"/>
      <w:r>
        <w:rPr>
          <w:rFonts w:hint="eastAsia"/>
          <w:color w:val="auto"/>
          <w:highlight w:val="none"/>
        </w:rPr>
        <w:t>第一章  招标公告</w:t>
      </w:r>
      <w:bookmarkEnd w:id="11"/>
    </w:p>
    <w:p w14:paraId="4AE88D0A">
      <w:pPr>
        <w:pStyle w:val="19"/>
        <w:ind w:left="0" w:leftChars="0" w:right="-279" w:rightChars="-133" w:firstLine="472" w:firstLineChars="196"/>
        <w:jc w:val="center"/>
        <w:rPr>
          <w:b/>
          <w:color w:val="auto"/>
          <w:sz w:val="24"/>
          <w:highlight w:val="none"/>
        </w:rPr>
      </w:pPr>
      <w:r>
        <w:rPr>
          <w:rFonts w:hint="eastAsia"/>
          <w:b/>
          <w:color w:val="auto"/>
          <w:sz w:val="24"/>
          <w:highlight w:val="none"/>
          <w:lang w:eastAsia="zh-CN"/>
        </w:rPr>
        <w:t>中新苏滁高新区（未来产业园）智能制造工业坊项目</w:t>
      </w:r>
      <w:r>
        <w:rPr>
          <w:rFonts w:hint="eastAsia"/>
          <w:b/>
          <w:color w:val="auto"/>
          <w:sz w:val="24"/>
          <w:highlight w:val="none"/>
        </w:rPr>
        <w:t>招标公告信息（电子招标投标）</w:t>
      </w:r>
    </w:p>
    <w:tbl>
      <w:tblPr>
        <w:tblStyle w:val="20"/>
        <w:tblW w:w="10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5"/>
        <w:gridCol w:w="8313"/>
      </w:tblGrid>
      <w:tr w14:paraId="50478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8" w:type="dxa"/>
            <w:gridSpan w:val="2"/>
            <w:noWrap w:val="0"/>
            <w:vAlign w:val="center"/>
          </w:tcPr>
          <w:p w14:paraId="0DD3DDE7">
            <w:pPr>
              <w:keepNext w:val="0"/>
              <w:keepLines w:val="0"/>
              <w:pageBreakBefore w:val="0"/>
              <w:kinsoku/>
              <w:overflowPunct/>
              <w:topLinePunct w:val="0"/>
              <w:autoSpaceDE/>
              <w:autoSpaceDN/>
              <w:bidi w:val="0"/>
              <w:spacing w:line="500" w:lineRule="exact"/>
              <w:jc w:val="center"/>
              <w:textAlignment w:val="auto"/>
              <w:rPr>
                <w:rFonts w:hint="eastAsia" w:ascii="宋体" w:hAnsi="宋体" w:eastAsia="宋体" w:cs="宋体"/>
                <w:bCs/>
                <w:color w:val="auto"/>
                <w:kern w:val="1"/>
                <w:sz w:val="21"/>
                <w:szCs w:val="21"/>
                <w:highlight w:val="none"/>
              </w:rPr>
            </w:pPr>
            <w:r>
              <w:rPr>
                <w:rFonts w:hint="eastAsia" w:ascii="宋体" w:hAnsi="宋体" w:eastAsia="宋体" w:cs="宋体"/>
                <w:b/>
                <w:bCs/>
                <w:color w:val="auto"/>
                <w:sz w:val="21"/>
                <w:szCs w:val="21"/>
                <w:highlight w:val="none"/>
              </w:rPr>
              <w:t>招标条件</w:t>
            </w:r>
          </w:p>
        </w:tc>
      </w:tr>
      <w:tr w14:paraId="32712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0A610C66">
            <w:pPr>
              <w:keepNext w:val="0"/>
              <w:keepLines w:val="0"/>
              <w:pageBreakBefore w:val="0"/>
              <w:kinsoku/>
              <w:overflowPunct/>
              <w:topLinePunct w:val="0"/>
              <w:autoSpaceDE/>
              <w:autoSpaceDN/>
              <w:bidi w:val="0"/>
              <w:spacing w:line="500" w:lineRule="exact"/>
              <w:jc w:val="center"/>
              <w:textAlignment w:val="auto"/>
              <w:rPr>
                <w:rFonts w:hint="eastAsia" w:ascii="宋体" w:hAnsi="宋体" w:eastAsia="宋体" w:cs="宋体"/>
                <w:bCs/>
                <w:color w:val="auto"/>
                <w:kern w:val="1"/>
                <w:sz w:val="21"/>
                <w:szCs w:val="21"/>
                <w:highlight w:val="none"/>
              </w:rPr>
            </w:pPr>
            <w:r>
              <w:rPr>
                <w:rFonts w:hint="eastAsia" w:ascii="宋体" w:hAnsi="宋体" w:eastAsia="宋体" w:cs="宋体"/>
                <w:bCs/>
                <w:color w:val="auto"/>
                <w:kern w:val="1"/>
                <w:sz w:val="21"/>
                <w:szCs w:val="21"/>
                <w:highlight w:val="none"/>
              </w:rPr>
              <w:t>项目</w:t>
            </w:r>
            <w:r>
              <w:rPr>
                <w:rFonts w:hint="eastAsia" w:ascii="宋体" w:hAnsi="宋体" w:eastAsia="宋体" w:cs="宋体"/>
                <w:color w:val="auto"/>
                <w:kern w:val="0"/>
                <w:sz w:val="21"/>
                <w:szCs w:val="21"/>
                <w:highlight w:val="none"/>
              </w:rPr>
              <w:t>名称</w:t>
            </w:r>
          </w:p>
        </w:tc>
        <w:tc>
          <w:tcPr>
            <w:tcW w:w="8313" w:type="dxa"/>
            <w:noWrap w:val="0"/>
            <w:vAlign w:val="top"/>
          </w:tcPr>
          <w:p w14:paraId="0092862B">
            <w:pPr>
              <w:keepNext w:val="0"/>
              <w:keepLines w:val="0"/>
              <w:pageBreakBefore w:val="0"/>
              <w:kinsoku/>
              <w:overflowPunct/>
              <w:topLinePunct w:val="0"/>
              <w:autoSpaceDE/>
              <w:autoSpaceDN/>
              <w:bidi w:val="0"/>
              <w:spacing w:line="500" w:lineRule="exact"/>
              <w:jc w:val="left"/>
              <w:textAlignment w:val="auto"/>
              <w:rPr>
                <w:rFonts w:hint="eastAsia" w:ascii="宋体" w:hAnsi="宋体" w:eastAsia="宋体" w:cs="宋体"/>
                <w:bCs/>
                <w:color w:val="auto"/>
                <w:kern w:val="1"/>
                <w:sz w:val="21"/>
                <w:szCs w:val="21"/>
                <w:highlight w:val="none"/>
                <w:lang w:eastAsia="zh-CN"/>
              </w:rPr>
            </w:pPr>
            <w:r>
              <w:rPr>
                <w:rFonts w:hint="eastAsia" w:ascii="宋体" w:hAnsi="宋体" w:eastAsia="宋体" w:cs="宋体"/>
                <w:bCs/>
                <w:color w:val="auto"/>
                <w:kern w:val="1"/>
                <w:sz w:val="21"/>
                <w:szCs w:val="21"/>
                <w:highlight w:val="none"/>
                <w:lang w:eastAsia="zh-CN"/>
              </w:rPr>
              <w:t>中新苏滁高新区（未来产业园）智能制造工业坊项目</w:t>
            </w:r>
          </w:p>
        </w:tc>
      </w:tr>
      <w:tr w14:paraId="686B9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7F41D0EE">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bCs/>
                <w:snapToGrid w:val="0"/>
                <w:color w:val="auto"/>
                <w:kern w:val="0"/>
                <w:sz w:val="21"/>
                <w:szCs w:val="21"/>
                <w:highlight w:val="none"/>
              </w:rPr>
              <w:t>项目审批、核准或备案机关名称</w:t>
            </w:r>
          </w:p>
        </w:tc>
        <w:tc>
          <w:tcPr>
            <w:tcW w:w="8313" w:type="dxa"/>
            <w:noWrap w:val="0"/>
            <w:vAlign w:val="center"/>
          </w:tcPr>
          <w:p w14:paraId="2C4F9396">
            <w:pPr>
              <w:keepNext w:val="0"/>
              <w:keepLines w:val="0"/>
              <w:pageBreakBefore w:val="0"/>
              <w:widowControl/>
              <w:kinsoku/>
              <w:overflowPunct/>
              <w:topLinePunct w:val="0"/>
              <w:autoSpaceDE/>
              <w:autoSpaceDN/>
              <w:bidi w:val="0"/>
              <w:spacing w:line="500" w:lineRule="exact"/>
              <w:jc w:val="righ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中新苏滁高新技术产业开发区经济运行局</w:t>
            </w:r>
            <w:r>
              <w:rPr>
                <w:rFonts w:hint="eastAsia" w:ascii="宋体" w:hAnsi="宋体" w:eastAsia="宋体" w:cs="宋体"/>
                <w:color w:val="auto"/>
                <w:sz w:val="21"/>
                <w:szCs w:val="21"/>
                <w:highlight w:val="none"/>
              </w:rPr>
              <w:t xml:space="preserve"> </w:t>
            </w:r>
          </w:p>
        </w:tc>
      </w:tr>
      <w:tr w14:paraId="49173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11211D46">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bCs/>
                <w:snapToGrid w:val="0"/>
                <w:color w:val="auto"/>
                <w:kern w:val="0"/>
                <w:sz w:val="21"/>
                <w:szCs w:val="21"/>
                <w:highlight w:val="none"/>
              </w:rPr>
              <w:t>批文名称及编号</w:t>
            </w:r>
          </w:p>
        </w:tc>
        <w:tc>
          <w:tcPr>
            <w:tcW w:w="8313" w:type="dxa"/>
            <w:noWrap w:val="0"/>
            <w:vAlign w:val="center"/>
          </w:tcPr>
          <w:p w14:paraId="322117A4">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关于中新苏滁高新区智能制造工业坊项目立项的批复</w:t>
            </w:r>
          </w:p>
          <w:p w14:paraId="5E10B556">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苏滁经发【2023】9号</w:t>
            </w:r>
          </w:p>
        </w:tc>
      </w:tr>
      <w:tr w14:paraId="60E36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3EBB9399">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bCs/>
                <w:snapToGrid w:val="0"/>
                <w:color w:val="auto"/>
                <w:kern w:val="0"/>
                <w:sz w:val="21"/>
                <w:szCs w:val="21"/>
                <w:highlight w:val="none"/>
              </w:rPr>
              <w:t>招标人</w:t>
            </w:r>
          </w:p>
        </w:tc>
        <w:tc>
          <w:tcPr>
            <w:tcW w:w="8313" w:type="dxa"/>
            <w:noWrap w:val="0"/>
            <w:vAlign w:val="center"/>
          </w:tcPr>
          <w:p w14:paraId="4A8311A9">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1"/>
                <w:sz w:val="21"/>
                <w:szCs w:val="21"/>
                <w:highlight w:val="none"/>
                <w:lang w:val="en-US" w:eastAsia="zh-CN"/>
              </w:rPr>
              <w:t>滁州苏滁产城开发有限公司</w:t>
            </w:r>
            <w:r>
              <w:rPr>
                <w:rFonts w:hint="eastAsia" w:ascii="宋体" w:hAnsi="宋体" w:eastAsia="宋体" w:cs="宋体"/>
                <w:color w:val="auto"/>
                <w:sz w:val="21"/>
                <w:szCs w:val="21"/>
                <w:highlight w:val="none"/>
              </w:rPr>
              <w:t xml:space="preserve">  </w:t>
            </w:r>
          </w:p>
        </w:tc>
      </w:tr>
      <w:tr w14:paraId="43491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26DECE06">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项目业主</w:t>
            </w:r>
          </w:p>
        </w:tc>
        <w:tc>
          <w:tcPr>
            <w:tcW w:w="8313" w:type="dxa"/>
            <w:noWrap w:val="0"/>
            <w:vAlign w:val="center"/>
          </w:tcPr>
          <w:p w14:paraId="59AFF86B">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滁州苏滁产城开发有限公司</w:t>
            </w:r>
            <w:r>
              <w:rPr>
                <w:rFonts w:hint="eastAsia" w:ascii="宋体" w:hAnsi="宋体" w:eastAsia="宋体" w:cs="宋体"/>
                <w:color w:val="auto"/>
                <w:sz w:val="21"/>
                <w:szCs w:val="21"/>
                <w:highlight w:val="none"/>
              </w:rPr>
              <w:t xml:space="preserve">  </w:t>
            </w:r>
          </w:p>
        </w:tc>
      </w:tr>
      <w:tr w14:paraId="0070E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1E387F80">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资金来源</w:t>
            </w:r>
          </w:p>
        </w:tc>
        <w:tc>
          <w:tcPr>
            <w:tcW w:w="8313" w:type="dxa"/>
            <w:noWrap w:val="0"/>
            <w:vAlign w:val="center"/>
          </w:tcPr>
          <w:p w14:paraId="20652E2B">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自筹资金</w:t>
            </w:r>
            <w:r>
              <w:rPr>
                <w:rFonts w:hint="eastAsia" w:ascii="宋体" w:hAnsi="宋体" w:eastAsia="宋体" w:cs="宋体"/>
                <w:color w:val="auto"/>
                <w:sz w:val="21"/>
                <w:szCs w:val="21"/>
                <w:highlight w:val="none"/>
              </w:rPr>
              <w:t xml:space="preserve"> </w:t>
            </w:r>
          </w:p>
        </w:tc>
      </w:tr>
      <w:tr w14:paraId="281AB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7664A826">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项目出资比例</w:t>
            </w:r>
          </w:p>
        </w:tc>
        <w:tc>
          <w:tcPr>
            <w:tcW w:w="8313" w:type="dxa"/>
            <w:noWrap w:val="0"/>
            <w:vAlign w:val="center"/>
          </w:tcPr>
          <w:p w14:paraId="1C659647">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w:t>
            </w:r>
            <w:r>
              <w:rPr>
                <w:rFonts w:hint="eastAsia" w:ascii="宋体" w:hAnsi="宋体" w:eastAsia="宋体" w:cs="宋体"/>
                <w:color w:val="auto"/>
                <w:sz w:val="21"/>
                <w:szCs w:val="21"/>
                <w:highlight w:val="none"/>
                <w:lang w:val="en-US" w:eastAsia="zh-CN"/>
              </w:rPr>
              <w:t xml:space="preserve"> </w:t>
            </w:r>
          </w:p>
        </w:tc>
      </w:tr>
      <w:tr w14:paraId="5C29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08D98DF6">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招标方式</w:t>
            </w:r>
          </w:p>
        </w:tc>
        <w:tc>
          <w:tcPr>
            <w:tcW w:w="8313" w:type="dxa"/>
            <w:noWrap w:val="0"/>
            <w:vAlign w:val="center"/>
          </w:tcPr>
          <w:p w14:paraId="08A8D416">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公开招标 </w:t>
            </w:r>
          </w:p>
        </w:tc>
      </w:tr>
      <w:tr w14:paraId="2429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5DBE35EC">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评标办法</w:t>
            </w:r>
          </w:p>
        </w:tc>
        <w:tc>
          <w:tcPr>
            <w:tcW w:w="8313" w:type="dxa"/>
            <w:noWrap w:val="0"/>
            <w:vAlign w:val="center"/>
          </w:tcPr>
          <w:p w14:paraId="5F7AEFC3">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综合评估法</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评定分离）</w:t>
            </w:r>
          </w:p>
        </w:tc>
      </w:tr>
      <w:tr w14:paraId="26E05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8" w:type="dxa"/>
            <w:gridSpan w:val="2"/>
            <w:noWrap w:val="0"/>
            <w:vAlign w:val="center"/>
          </w:tcPr>
          <w:p w14:paraId="2BEA40F0">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项目概况与招标范围</w:t>
            </w:r>
          </w:p>
        </w:tc>
      </w:tr>
      <w:tr w14:paraId="02BE7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2E1B0D57">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招标项目名称</w:t>
            </w:r>
          </w:p>
        </w:tc>
        <w:tc>
          <w:tcPr>
            <w:tcW w:w="8313" w:type="dxa"/>
            <w:noWrap w:val="0"/>
            <w:vAlign w:val="center"/>
          </w:tcPr>
          <w:p w14:paraId="48F1B2D9">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1"/>
                <w:sz w:val="21"/>
                <w:szCs w:val="21"/>
                <w:highlight w:val="none"/>
                <w:lang w:val="en-US" w:eastAsia="zh-CN"/>
              </w:rPr>
              <w:t>中新苏滁高新区（未来产业园）智能制造工业坊项目</w:t>
            </w:r>
          </w:p>
        </w:tc>
      </w:tr>
      <w:tr w14:paraId="36145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4F77BEB7">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招标项目编号</w:t>
            </w:r>
          </w:p>
        </w:tc>
        <w:tc>
          <w:tcPr>
            <w:tcW w:w="8313" w:type="dxa"/>
            <w:noWrap w:val="0"/>
            <w:vAlign w:val="center"/>
          </w:tcPr>
          <w:p w14:paraId="37B17A2D">
            <w:pPr>
              <w:keepNext w:val="0"/>
              <w:keepLines w:val="0"/>
              <w:pageBreakBefore w:val="0"/>
              <w:widowControl/>
              <w:kinsoku/>
              <w:overflowPunct/>
              <w:topLinePunct w:val="0"/>
              <w:autoSpaceDE/>
              <w:autoSpaceDN/>
              <w:bidi w:val="0"/>
              <w:spacing w:line="500" w:lineRule="exact"/>
              <w:jc w:val="left"/>
              <w:textAlignment w:val="auto"/>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czsjgc202603-</w:t>
            </w:r>
            <w:r>
              <w:rPr>
                <w:rFonts w:hint="eastAsia" w:ascii="宋体" w:hAnsi="宋体" w:cs="宋体"/>
                <w:color w:val="auto"/>
                <w:sz w:val="21"/>
                <w:szCs w:val="21"/>
                <w:highlight w:val="none"/>
                <w:lang w:val="en-US" w:eastAsia="zh-CN"/>
              </w:rPr>
              <w:t>004</w:t>
            </w:r>
          </w:p>
        </w:tc>
      </w:tr>
      <w:tr w14:paraId="314D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75" w:type="dxa"/>
            <w:noWrap w:val="0"/>
            <w:vAlign w:val="center"/>
          </w:tcPr>
          <w:p w14:paraId="7C17BBCE">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标段划分</w:t>
            </w:r>
          </w:p>
        </w:tc>
        <w:tc>
          <w:tcPr>
            <w:tcW w:w="8313" w:type="dxa"/>
            <w:noWrap w:val="0"/>
            <w:vAlign w:val="center"/>
          </w:tcPr>
          <w:p w14:paraId="7F9AEA43">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一个标段</w:t>
            </w:r>
            <w:r>
              <w:rPr>
                <w:rFonts w:hint="eastAsia" w:ascii="宋体" w:hAnsi="宋体" w:eastAsia="宋体" w:cs="宋体"/>
                <w:color w:val="auto"/>
                <w:sz w:val="21"/>
                <w:szCs w:val="21"/>
                <w:highlight w:val="none"/>
              </w:rPr>
              <w:t xml:space="preserve"> </w:t>
            </w:r>
          </w:p>
        </w:tc>
      </w:tr>
      <w:tr w14:paraId="667C6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1D9E4B62">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招标项目标段编号</w:t>
            </w:r>
          </w:p>
        </w:tc>
        <w:tc>
          <w:tcPr>
            <w:tcW w:w="8313" w:type="dxa"/>
            <w:noWrap w:val="0"/>
            <w:vAlign w:val="center"/>
          </w:tcPr>
          <w:p w14:paraId="523322AF">
            <w:pPr>
              <w:keepNext w:val="0"/>
              <w:keepLines w:val="0"/>
              <w:pageBreakBefore w:val="0"/>
              <w:widowControl/>
              <w:kinsoku/>
              <w:overflowPunct/>
              <w:topLinePunct w:val="0"/>
              <w:autoSpaceDE/>
              <w:autoSpaceDN/>
              <w:bidi w:val="0"/>
              <w:spacing w:line="500" w:lineRule="exact"/>
              <w:jc w:val="left"/>
              <w:textAlignment w:val="auto"/>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czsjgc202603-</w:t>
            </w:r>
            <w:r>
              <w:rPr>
                <w:rFonts w:hint="eastAsia" w:ascii="宋体" w:hAnsi="宋体" w:cs="宋体"/>
                <w:color w:val="auto"/>
                <w:sz w:val="21"/>
                <w:szCs w:val="21"/>
                <w:highlight w:val="none"/>
                <w:lang w:val="en-US" w:eastAsia="zh-CN"/>
              </w:rPr>
              <w:t>004</w:t>
            </w:r>
          </w:p>
        </w:tc>
      </w:tr>
      <w:tr w14:paraId="31576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F7A5D4D">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建设地点</w:t>
            </w:r>
          </w:p>
        </w:tc>
        <w:tc>
          <w:tcPr>
            <w:tcW w:w="8313" w:type="dxa"/>
            <w:noWrap w:val="0"/>
            <w:vAlign w:val="center"/>
          </w:tcPr>
          <w:p w14:paraId="3B66AC8F">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安徽省滁州市东至白塔街,南至滁中路,西至滁州大道,北至滨河南路</w:t>
            </w:r>
          </w:p>
        </w:tc>
      </w:tr>
      <w:tr w14:paraId="30518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29B606B2">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建设规模</w:t>
            </w:r>
          </w:p>
        </w:tc>
        <w:tc>
          <w:tcPr>
            <w:tcW w:w="8313" w:type="dxa"/>
            <w:noWrap w:val="0"/>
            <w:vAlign w:val="center"/>
          </w:tcPr>
          <w:p w14:paraId="55C93531">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lang w:val="en-US"/>
              </w:rPr>
            </w:pPr>
            <w:r>
              <w:rPr>
                <w:rFonts w:hint="eastAsia" w:ascii="宋体" w:hAnsi="宋体" w:eastAsia="宋体" w:cs="宋体"/>
                <w:bCs/>
                <w:color w:val="auto"/>
                <w:kern w:val="1"/>
                <w:sz w:val="21"/>
                <w:szCs w:val="21"/>
                <w:highlight w:val="none"/>
                <w:lang w:val="en-US" w:eastAsia="zh-CN"/>
              </w:rPr>
              <w:t>主要建设内容包括1#-12#厂房，均为三层，钢筋混凝土框架结构，建筑面积合计为95142.98m2；13#辅助用房，两层，钢筋混凝土框架结构，建筑面积为2980.56m2；14#-27#厂房，均为两层，钢筋混凝土框架结构，建筑面积合计为83330.76m2；28#综合楼，地下一层，地上八层，钢筋混凝土框架结构，建筑面积为34011.39m2；29#-31#厂房，均为一层，钢筋混凝土框架结构，建筑面积合计为34094.67m2；32#门卫，一层，钢筋混凝土框架结构，建筑面积为101.21m2，及室外附属工程。具体详见工程量清单及施工图纸。</w:t>
            </w:r>
          </w:p>
        </w:tc>
      </w:tr>
      <w:tr w14:paraId="0D1F4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3D6BBCA7">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合同估算价</w:t>
            </w:r>
          </w:p>
        </w:tc>
        <w:tc>
          <w:tcPr>
            <w:tcW w:w="8313" w:type="dxa"/>
            <w:noWrap w:val="0"/>
            <w:vAlign w:val="center"/>
          </w:tcPr>
          <w:p w14:paraId="09203A78">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约7</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000万元</w:t>
            </w:r>
          </w:p>
        </w:tc>
      </w:tr>
      <w:tr w14:paraId="480F9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3777B9BB">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计划工期</w:t>
            </w:r>
          </w:p>
        </w:tc>
        <w:tc>
          <w:tcPr>
            <w:tcW w:w="8313" w:type="dxa"/>
            <w:noWrap w:val="0"/>
            <w:vAlign w:val="center"/>
          </w:tcPr>
          <w:p w14:paraId="37B43AB3">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详见招标文件</w:t>
            </w:r>
          </w:p>
        </w:tc>
      </w:tr>
      <w:tr w14:paraId="59B00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32B1AB80">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招标范围</w:t>
            </w:r>
          </w:p>
        </w:tc>
        <w:tc>
          <w:tcPr>
            <w:tcW w:w="8313" w:type="dxa"/>
            <w:noWrap w:val="0"/>
            <w:vAlign w:val="center"/>
          </w:tcPr>
          <w:p w14:paraId="3C02B8DD">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依据招标人提供的施工图纸及工程量清单</w:t>
            </w:r>
            <w:r>
              <w:rPr>
                <w:rFonts w:hint="eastAsia" w:ascii="宋体" w:hAnsi="宋体" w:eastAsia="宋体" w:cs="宋体"/>
                <w:color w:val="auto"/>
                <w:sz w:val="21"/>
                <w:szCs w:val="21"/>
                <w:highlight w:val="none"/>
              </w:rPr>
              <w:t>中的全部内容</w:t>
            </w:r>
            <w:r>
              <w:rPr>
                <w:rFonts w:hint="eastAsia" w:ascii="宋体" w:hAnsi="宋体" w:eastAsia="宋体" w:cs="宋体"/>
                <w:color w:val="auto"/>
                <w:sz w:val="21"/>
                <w:szCs w:val="21"/>
                <w:highlight w:val="none"/>
                <w:lang w:eastAsia="zh-CN"/>
              </w:rPr>
              <w:t>。</w:t>
            </w:r>
          </w:p>
        </w:tc>
      </w:tr>
      <w:tr w14:paraId="39516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0413CBC2">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项目类别</w:t>
            </w:r>
          </w:p>
        </w:tc>
        <w:tc>
          <w:tcPr>
            <w:tcW w:w="8313" w:type="dxa"/>
            <w:noWrap w:val="0"/>
            <w:vAlign w:val="center"/>
          </w:tcPr>
          <w:p w14:paraId="469D21D6">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建筑工程</w:t>
            </w:r>
            <w:r>
              <w:rPr>
                <w:rFonts w:hint="eastAsia" w:ascii="宋体" w:hAnsi="宋体" w:eastAsia="宋体" w:cs="宋体"/>
                <w:color w:val="auto"/>
                <w:sz w:val="21"/>
                <w:szCs w:val="21"/>
                <w:highlight w:val="none"/>
              </w:rPr>
              <w:t xml:space="preserve">  </w:t>
            </w:r>
          </w:p>
        </w:tc>
      </w:tr>
      <w:tr w14:paraId="77AC9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2FA3CD87">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其他</w:t>
            </w:r>
          </w:p>
        </w:tc>
        <w:tc>
          <w:tcPr>
            <w:tcW w:w="8313" w:type="dxa"/>
            <w:noWrap w:val="0"/>
            <w:vAlign w:val="center"/>
          </w:tcPr>
          <w:p w14:paraId="112BEE90">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14:paraId="4391B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8" w:type="dxa"/>
            <w:gridSpan w:val="2"/>
            <w:noWrap w:val="0"/>
            <w:vAlign w:val="center"/>
          </w:tcPr>
          <w:p w14:paraId="2AEAFCA5">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投标人资格要求</w:t>
            </w:r>
          </w:p>
        </w:tc>
      </w:tr>
      <w:tr w14:paraId="02E22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0CF3B1BA">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投标人资质条件</w:t>
            </w:r>
          </w:p>
        </w:tc>
        <w:tc>
          <w:tcPr>
            <w:tcW w:w="8313" w:type="dxa"/>
            <w:noWrap w:val="0"/>
            <w:vAlign w:val="center"/>
          </w:tcPr>
          <w:p w14:paraId="2311B955">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投标人须具备</w:t>
            </w:r>
            <w:r>
              <w:rPr>
                <w:rFonts w:hint="eastAsia" w:ascii="宋体" w:hAnsi="宋体" w:eastAsia="宋体" w:cs="宋体"/>
                <w:color w:val="auto"/>
                <w:sz w:val="21"/>
                <w:szCs w:val="21"/>
                <w:highlight w:val="none"/>
                <w:lang w:val="en-US" w:eastAsia="zh-CN"/>
              </w:rPr>
              <w:t>建筑工程施工总承包一级（或）以上</w:t>
            </w:r>
            <w:r>
              <w:rPr>
                <w:rFonts w:hint="eastAsia" w:ascii="宋体" w:hAnsi="宋体" w:eastAsia="宋体" w:cs="宋体"/>
                <w:color w:val="auto"/>
                <w:sz w:val="21"/>
                <w:szCs w:val="21"/>
                <w:highlight w:val="none"/>
              </w:rPr>
              <w:t>资质。</w:t>
            </w:r>
          </w:p>
        </w:tc>
      </w:tr>
      <w:tr w14:paraId="0C55A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101EB97">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bCs/>
                <w:snapToGrid w:val="0"/>
                <w:color w:val="auto"/>
                <w:kern w:val="0"/>
                <w:sz w:val="21"/>
                <w:szCs w:val="21"/>
                <w:highlight w:val="none"/>
              </w:rPr>
              <w:t>项目经理资格要求</w:t>
            </w:r>
          </w:p>
        </w:tc>
        <w:tc>
          <w:tcPr>
            <w:tcW w:w="8313" w:type="dxa"/>
            <w:noWrap w:val="0"/>
            <w:vAlign w:val="center"/>
          </w:tcPr>
          <w:p w14:paraId="5AD29B1F">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投标人拟委任项目经理须具备</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注册在投标单位的建筑工程专业一级</w:t>
            </w:r>
            <w:r>
              <w:rPr>
                <w:rFonts w:hint="eastAsia" w:ascii="宋体" w:hAnsi="宋体" w:eastAsia="宋体" w:cs="宋体"/>
                <w:color w:val="auto"/>
                <w:sz w:val="21"/>
                <w:szCs w:val="21"/>
                <w:highlight w:val="none"/>
              </w:rPr>
              <w:t>注册建造师资格，具备有效的安全生产考核合格(B类)证书</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本项目不接受投标截止时间前六个月内在滁州市区域内办理过项目经理（建造师）变更备案手续的原项目经理（建造师）作为拟任项目经理（建造师）参加投标</w:t>
            </w:r>
            <w:r>
              <w:rPr>
                <w:rFonts w:hint="eastAsia" w:ascii="宋体" w:hAnsi="宋体" w:eastAsia="宋体" w:cs="宋体"/>
                <w:color w:val="auto"/>
                <w:sz w:val="21"/>
                <w:szCs w:val="21"/>
                <w:highlight w:val="none"/>
                <w:lang w:eastAsia="zh-CN"/>
              </w:rPr>
              <w:t>。</w:t>
            </w:r>
          </w:p>
        </w:tc>
      </w:tr>
      <w:tr w14:paraId="31451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2CAAA3E8">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信誉要求</w:t>
            </w:r>
          </w:p>
        </w:tc>
        <w:tc>
          <w:tcPr>
            <w:tcW w:w="8313" w:type="dxa"/>
            <w:noWrap w:val="0"/>
            <w:vAlign w:val="center"/>
          </w:tcPr>
          <w:p w14:paraId="7287C1BB">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投标人存在以下情形之一的，不得被确定为中标人：</w:t>
            </w:r>
          </w:p>
          <w:p w14:paraId="4D28E479">
            <w:pPr>
              <w:keepNext w:val="0"/>
              <w:keepLines w:val="0"/>
              <w:pageBreakBefore w:val="0"/>
              <w:widowControl/>
              <w:kinsoku/>
              <w:overflowPunct/>
              <w:topLinePunct w:val="0"/>
              <w:autoSpaceDE/>
              <w:autoSpaceDN/>
              <w:bidi w:val="0"/>
              <w:spacing w:line="500" w:lineRule="exact"/>
              <w:ind w:left="105" w:hanging="105" w:hanging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①被列入“信用中国”网站“失信被执行人”的;</w:t>
            </w:r>
          </w:p>
          <w:p w14:paraId="74665FE7">
            <w:pPr>
              <w:keepNext w:val="0"/>
              <w:keepLines w:val="0"/>
              <w:pageBreakBefore w:val="0"/>
              <w:widowControl/>
              <w:kinsoku/>
              <w:overflowPunct/>
              <w:topLinePunct w:val="0"/>
              <w:autoSpaceDE/>
              <w:autoSpaceDN/>
              <w:bidi w:val="0"/>
              <w:spacing w:line="500" w:lineRule="exact"/>
              <w:ind w:left="105" w:hanging="105" w:hanging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②被列入“信用中国”网站“重大税收违法失信主体”的；</w:t>
            </w:r>
          </w:p>
          <w:p w14:paraId="11CD01AB">
            <w:pPr>
              <w:keepNext w:val="0"/>
              <w:keepLines w:val="0"/>
              <w:pageBreakBefore w:val="0"/>
              <w:widowControl/>
              <w:kinsoku/>
              <w:overflowPunct/>
              <w:topLinePunct w:val="0"/>
              <w:autoSpaceDE/>
              <w:autoSpaceDN/>
              <w:bidi w:val="0"/>
              <w:spacing w:line="500" w:lineRule="exact"/>
              <w:ind w:left="105" w:hanging="105" w:hanging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③被列入“信用中国”网站“拖欠农民工工资失信联合惩戒对象名单”的；</w:t>
            </w:r>
          </w:p>
          <w:p w14:paraId="1F4987E7">
            <w:pPr>
              <w:keepNext w:val="0"/>
              <w:keepLines w:val="0"/>
              <w:pageBreakBefore w:val="0"/>
              <w:widowControl/>
              <w:kinsoku/>
              <w:overflowPunct/>
              <w:topLinePunct w:val="0"/>
              <w:autoSpaceDE/>
              <w:autoSpaceDN/>
              <w:bidi w:val="0"/>
              <w:spacing w:line="500" w:lineRule="exact"/>
              <w:ind w:left="105" w:hanging="105" w:hanging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④被列入“信用中国”网站 “严重失信主体名单”的；</w:t>
            </w:r>
          </w:p>
          <w:p w14:paraId="0F8C84A4">
            <w:pPr>
              <w:keepNext w:val="0"/>
              <w:keepLines w:val="0"/>
              <w:pageBreakBefore w:val="0"/>
              <w:widowControl/>
              <w:kinsoku/>
              <w:overflowPunct/>
              <w:topLinePunct w:val="0"/>
              <w:autoSpaceDE/>
              <w:autoSpaceDN/>
              <w:bidi w:val="0"/>
              <w:spacing w:line="500" w:lineRule="exact"/>
              <w:ind w:left="105" w:hanging="105" w:hanging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⑤在“信用中国”网站上披露的仍在公示期的严重失信行为(具体行为类别及判定依据见附件2)的。</w:t>
            </w:r>
          </w:p>
          <w:p w14:paraId="77F1BB3E">
            <w:pPr>
              <w:keepNext w:val="0"/>
              <w:keepLines w:val="0"/>
              <w:pageBreakBefore w:val="0"/>
              <w:widowControl/>
              <w:kinsoku/>
              <w:overflowPunct/>
              <w:topLinePunct w:val="0"/>
              <w:autoSpaceDE/>
              <w:autoSpaceDN/>
              <w:bidi w:val="0"/>
              <w:spacing w:line="500" w:lineRule="exact"/>
              <w:ind w:left="105" w:hanging="105" w:hanging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⑥被列入国家企业信用信息公示系统网站“经营异常名录”或者“严重违法失信名单”的。</w:t>
            </w:r>
          </w:p>
          <w:p w14:paraId="50C82498">
            <w:pPr>
              <w:keepNext w:val="0"/>
              <w:keepLines w:val="0"/>
              <w:pageBreakBefore w:val="0"/>
              <w:widowControl/>
              <w:kinsoku/>
              <w:overflowPunct/>
              <w:topLinePunct w:val="0"/>
              <w:autoSpaceDE/>
              <w:autoSpaceDN/>
              <w:bidi w:val="0"/>
              <w:spacing w:line="500" w:lineRule="exact"/>
              <w:ind w:left="105" w:hanging="105" w:hanging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⑦前三年有行贿犯罪行为的单位和个人；</w:t>
            </w:r>
          </w:p>
          <w:p w14:paraId="5517E8BB">
            <w:pPr>
              <w:keepNext w:val="0"/>
              <w:keepLines w:val="0"/>
              <w:pageBreakBefore w:val="0"/>
              <w:widowControl/>
              <w:kinsoku/>
              <w:overflowPunct/>
              <w:topLinePunct w:val="0"/>
              <w:autoSpaceDE/>
              <w:autoSpaceDN/>
              <w:bidi w:val="0"/>
              <w:spacing w:line="500" w:lineRule="exact"/>
              <w:ind w:left="105" w:hanging="105" w:hanging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⑧被滁州市县两级公管部门及各行业主管部门取消在一定期限内的投标资格且在取消期限内的；</w:t>
            </w:r>
          </w:p>
          <w:p w14:paraId="184A87FC">
            <w:pPr>
              <w:keepNext w:val="0"/>
              <w:keepLines w:val="0"/>
              <w:pageBreakBefore w:val="0"/>
              <w:widowControl/>
              <w:kinsoku/>
              <w:overflowPunct/>
              <w:topLinePunct w:val="0"/>
              <w:autoSpaceDE/>
              <w:autoSpaceDN/>
              <w:bidi w:val="0"/>
              <w:spacing w:line="500" w:lineRule="exact"/>
              <w:ind w:left="105" w:hanging="105" w:hanging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⑨因拖欠农民工工资被县级及以上有关行政主管部门限制投标资格且在限制期限内的；</w:t>
            </w:r>
          </w:p>
          <w:p w14:paraId="00971B4C">
            <w:pPr>
              <w:keepNext w:val="0"/>
              <w:keepLines w:val="0"/>
              <w:pageBreakBefore w:val="0"/>
              <w:widowControl/>
              <w:kinsoku/>
              <w:overflowPunct/>
              <w:topLinePunct w:val="0"/>
              <w:autoSpaceDE/>
              <w:autoSpaceDN/>
              <w:bidi w:val="0"/>
              <w:spacing w:line="500" w:lineRule="exact"/>
              <w:ind w:left="105" w:hanging="105" w:hanging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⑩被列入省级、市级农民工工资支付异常名录的施工企业，在限制其参加全市范围内房建和市政工程建设项目投标的期限内的；列入县级异常名录的施工企业，在限制其参加本行政区域内房建和市政建设项目投标的期限内的。</w:t>
            </w:r>
          </w:p>
          <w:p w14:paraId="04352025">
            <w:pPr>
              <w:keepNext w:val="0"/>
              <w:keepLines w:val="0"/>
              <w:pageBreakBefore w:val="0"/>
              <w:widowControl/>
              <w:kinsoku/>
              <w:overflowPunct/>
              <w:topLinePunct w:val="0"/>
              <w:autoSpaceDE/>
              <w:autoSpaceDN/>
              <w:bidi w:val="0"/>
              <w:spacing w:line="500" w:lineRule="exact"/>
              <w:ind w:left="105" w:hanging="105" w:hanging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投标人所属分公司、办事处等分支机构存在第1条信誉要求①-⑩项情形之一的，</w:t>
            </w:r>
            <w:r>
              <w:rPr>
                <w:rFonts w:hint="eastAsia" w:ascii="宋体" w:hAnsi="宋体" w:eastAsia="宋体" w:cs="宋体"/>
                <w:color w:val="auto"/>
                <w:kern w:val="0"/>
                <w:sz w:val="21"/>
                <w:szCs w:val="21"/>
                <w:highlight w:val="none"/>
              </w:rPr>
              <w:t>接受</w:t>
            </w:r>
            <w:r>
              <w:rPr>
                <w:rFonts w:hint="eastAsia" w:ascii="宋体" w:hAnsi="宋体" w:eastAsia="宋体" w:cs="宋体"/>
                <w:color w:val="auto"/>
                <w:sz w:val="21"/>
                <w:szCs w:val="21"/>
                <w:highlight w:val="none"/>
              </w:rPr>
              <w:t>其被确定为中标人。</w:t>
            </w:r>
          </w:p>
          <w:p w14:paraId="7A021F8F">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备注：第1、2条按照附件1“关于联合惩戒失信行为加强信用查询管理的通知”查询或承诺。</w:t>
            </w:r>
          </w:p>
        </w:tc>
      </w:tr>
      <w:tr w14:paraId="14158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4EFC3CC0">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联合体投标</w:t>
            </w:r>
          </w:p>
        </w:tc>
        <w:tc>
          <w:tcPr>
            <w:tcW w:w="8313" w:type="dxa"/>
            <w:noWrap w:val="0"/>
            <w:vAlign w:val="center"/>
          </w:tcPr>
          <w:p w14:paraId="5260C02A">
            <w:pPr>
              <w:keepNext w:val="0"/>
              <w:keepLines w:val="0"/>
              <w:pageBreakBefore w:val="0"/>
              <w:widowControl/>
              <w:kinsoku/>
              <w:overflowPunct/>
              <w:topLinePunct w:val="0"/>
              <w:autoSpaceDE/>
              <w:autoSpaceDN/>
              <w:bidi w:val="0"/>
              <w:adjustRightInd w:val="0"/>
              <w:snapToGrid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本次招标</w:t>
            </w:r>
            <w:r>
              <w:rPr>
                <w:rFonts w:hint="eastAsia" w:ascii="宋体" w:hAnsi="宋体" w:eastAsia="宋体" w:cs="宋体"/>
                <w:color w:val="auto"/>
                <w:kern w:val="0"/>
                <w:sz w:val="21"/>
                <w:szCs w:val="21"/>
                <w:highlight w:val="none"/>
              </w:rPr>
              <w:t>接受</w:t>
            </w:r>
            <w:r>
              <w:rPr>
                <w:rFonts w:hint="eastAsia" w:ascii="宋体" w:hAnsi="宋体" w:eastAsia="宋体" w:cs="宋体"/>
                <w:color w:val="auto"/>
                <w:sz w:val="21"/>
                <w:szCs w:val="21"/>
                <w:highlight w:val="none"/>
              </w:rPr>
              <w:t>联合体投标</w:t>
            </w:r>
            <w:r>
              <w:rPr>
                <w:rFonts w:hint="eastAsia" w:ascii="宋体" w:hAnsi="宋体" w:eastAsia="宋体" w:cs="宋体"/>
                <w:color w:val="auto"/>
                <w:kern w:val="0"/>
                <w:sz w:val="21"/>
                <w:szCs w:val="21"/>
                <w:highlight w:val="none"/>
              </w:rPr>
              <w:t>，应满足下列要求：</w:t>
            </w:r>
          </w:p>
          <w:p w14:paraId="3AA4B657">
            <w:pPr>
              <w:keepNext w:val="0"/>
              <w:keepLines w:val="0"/>
              <w:pageBreakBefore w:val="0"/>
              <w:widowControl/>
              <w:kinsoku/>
              <w:overflowPunct/>
              <w:topLinePunct w:val="0"/>
              <w:autoSpaceDE/>
              <w:autoSpaceDN/>
              <w:bidi w:val="0"/>
              <w:adjustRightInd w:val="0"/>
              <w:snapToGrid w:val="0"/>
              <w:spacing w:line="500" w:lineRule="exact"/>
              <w:jc w:val="left"/>
              <w:textAlignment w:val="auto"/>
              <w:rPr>
                <w:rFonts w:hint="eastAsia" w:ascii="宋体" w:hAnsi="宋体" w:eastAsia="宋体" w:cs="宋体"/>
                <w:bCs/>
                <w:color w:val="auto"/>
                <w:kern w:val="0"/>
                <w:sz w:val="21"/>
                <w:szCs w:val="21"/>
                <w:highlight w:val="yellow"/>
                <w:lang w:val="en-US"/>
              </w:rPr>
            </w:pPr>
            <w:r>
              <w:rPr>
                <w:rFonts w:hint="eastAsia" w:ascii="宋体" w:hAnsi="宋体" w:eastAsia="宋体" w:cs="宋体"/>
                <w:bCs/>
                <w:color w:val="auto"/>
                <w:kern w:val="0"/>
                <w:sz w:val="21"/>
                <w:szCs w:val="21"/>
                <w:highlight w:val="none"/>
              </w:rPr>
              <w:t>1</w:t>
            </w:r>
            <w:r>
              <w:rPr>
                <w:rFonts w:hint="eastAsia" w:ascii="宋体" w:hAnsi="宋体" w:eastAsia="宋体" w:cs="宋体"/>
                <w:bCs/>
                <w:color w:val="auto"/>
                <w:kern w:val="0"/>
                <w:sz w:val="21"/>
                <w:szCs w:val="21"/>
                <w:highlight w:val="none"/>
                <w:lang w:val="en-US" w:eastAsia="zh-CN"/>
              </w:rPr>
              <w:t>./。</w:t>
            </w:r>
          </w:p>
          <w:p w14:paraId="4B27BEE6">
            <w:pPr>
              <w:keepNext w:val="0"/>
              <w:keepLines w:val="0"/>
              <w:pageBreakBefore w:val="0"/>
              <w:widowControl/>
              <w:kinsoku/>
              <w:overflowPunct/>
              <w:topLinePunct w:val="0"/>
              <w:autoSpaceDE/>
              <w:autoSpaceDN/>
              <w:bidi w:val="0"/>
              <w:adjustRightInd w:val="0"/>
              <w:snapToGrid w:val="0"/>
              <w:spacing w:line="500" w:lineRule="exact"/>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bCs/>
                <w:color w:val="auto"/>
                <w:kern w:val="0"/>
                <w:sz w:val="21"/>
                <w:szCs w:val="21"/>
                <w:highlight w:val="none"/>
              </w:rPr>
              <w:t>2</w:t>
            </w:r>
            <w:r>
              <w:rPr>
                <w:rFonts w:hint="eastAsia" w:ascii="宋体" w:hAnsi="宋体" w:eastAsia="宋体" w:cs="宋体"/>
                <w:bCs/>
                <w:color w:val="auto"/>
                <w:kern w:val="0"/>
                <w:sz w:val="21"/>
                <w:szCs w:val="21"/>
                <w:highlight w:val="none"/>
                <w:lang w:val="en-US" w:eastAsia="zh-CN"/>
              </w:rPr>
              <w:t>.</w:t>
            </w:r>
            <w:r>
              <w:rPr>
                <w:rFonts w:hint="eastAsia" w:ascii="宋体" w:hAnsi="宋体" w:eastAsia="宋体" w:cs="宋体"/>
                <w:bCs/>
                <w:color w:val="auto"/>
                <w:kern w:val="0"/>
                <w:sz w:val="21"/>
                <w:szCs w:val="21"/>
                <w:highlight w:val="none"/>
              </w:rPr>
              <w:t>联合体参加投标的，</w:t>
            </w:r>
            <w:r>
              <w:rPr>
                <w:rFonts w:hint="eastAsia" w:ascii="宋体" w:hAnsi="宋体" w:eastAsia="宋体" w:cs="宋体"/>
                <w:b/>
                <w:color w:val="auto"/>
                <w:kern w:val="0"/>
                <w:sz w:val="21"/>
                <w:szCs w:val="21"/>
                <w:highlight w:val="none"/>
              </w:rPr>
              <w:t xml:space="preserve">联合体（牵头方和成员方）总数不得超过 </w:t>
            </w:r>
            <w:r>
              <w:rPr>
                <w:rFonts w:hint="eastAsia" w:ascii="宋体" w:hAnsi="宋体" w:eastAsia="宋体" w:cs="宋体"/>
                <w:b/>
                <w:color w:val="auto"/>
                <w:kern w:val="0"/>
                <w:sz w:val="21"/>
                <w:szCs w:val="21"/>
                <w:highlight w:val="none"/>
                <w:u w:val="single"/>
              </w:rPr>
              <w:t>2</w:t>
            </w:r>
            <w:r>
              <w:rPr>
                <w:rFonts w:hint="eastAsia" w:ascii="宋体" w:hAnsi="宋体" w:eastAsia="宋体" w:cs="宋体"/>
                <w:b/>
                <w:color w:val="auto"/>
                <w:kern w:val="0"/>
                <w:sz w:val="21"/>
                <w:szCs w:val="21"/>
                <w:highlight w:val="none"/>
              </w:rPr>
              <w:t>家</w:t>
            </w:r>
            <w:r>
              <w:rPr>
                <w:rFonts w:hint="eastAsia" w:ascii="宋体" w:hAnsi="宋体" w:eastAsia="宋体" w:cs="宋体"/>
                <w:color w:val="auto"/>
                <w:spacing w:val="-2"/>
                <w:sz w:val="21"/>
                <w:szCs w:val="21"/>
                <w:highlight w:val="none"/>
              </w:rPr>
              <w:t>。</w:t>
            </w:r>
            <w:r>
              <w:rPr>
                <w:rFonts w:hint="eastAsia" w:ascii="宋体" w:hAnsi="宋体" w:eastAsia="宋体" w:cs="宋体"/>
                <w:bCs/>
                <w:color w:val="auto"/>
                <w:kern w:val="0"/>
                <w:sz w:val="21"/>
                <w:szCs w:val="21"/>
                <w:highlight w:val="none"/>
              </w:rPr>
              <w:t>同一专业工程由一个单位承担的，按照承担单位资质确定资质等级；同一专业工程由两个单位共同承担的，按照资质等级较低的单位确定资质等级；不同专业工程由不同单位分别承担的，按照各单位的相应资质确定联合体</w:t>
            </w:r>
            <w:r>
              <w:rPr>
                <w:rFonts w:hint="eastAsia" w:ascii="宋体" w:hAnsi="宋体" w:eastAsia="宋体" w:cs="宋体"/>
                <w:color w:val="auto"/>
                <w:kern w:val="0"/>
                <w:sz w:val="21"/>
                <w:szCs w:val="21"/>
                <w:highlight w:val="none"/>
              </w:rPr>
              <w:t>的资质。联合体牵头人和联合体成员按专业分工确定的联合体资质须满足招标文件的要求。</w:t>
            </w:r>
            <w:r>
              <w:rPr>
                <w:rFonts w:hint="eastAsia" w:ascii="宋体" w:hAnsi="宋体" w:eastAsia="宋体" w:cs="宋体"/>
                <w:b/>
                <w:bCs/>
                <w:color w:val="auto"/>
                <w:kern w:val="0"/>
                <w:sz w:val="21"/>
                <w:szCs w:val="21"/>
                <w:highlight w:val="none"/>
                <w:lang w:val="en-US" w:eastAsia="zh-CN"/>
              </w:rPr>
              <w:t>注：本项目所属行业为建筑业。若为联合体投标，牵头人或成员方如有中小企业的需要在投标文件中提供中小企业声明函（格式见附件）。</w:t>
            </w:r>
          </w:p>
          <w:p w14:paraId="4202E3B4">
            <w:pPr>
              <w:keepNext w:val="0"/>
              <w:keepLines w:val="0"/>
              <w:pageBreakBefore w:val="0"/>
              <w:widowControl/>
              <w:kinsoku/>
              <w:overflowPunct/>
              <w:topLinePunct w:val="0"/>
              <w:autoSpaceDE/>
              <w:autoSpaceDN/>
              <w:bidi w:val="0"/>
              <w:adjustRightInd w:val="0"/>
              <w:snapToGrid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联合体参加投标的，招标文件下载、投标保证金缴纳、投标文件编制、电子签章、网上递交标书、解密等工作均由其牵头人负责办理，其他联合体成员方按招标文件要求提供相关材料即可。</w:t>
            </w:r>
          </w:p>
          <w:p w14:paraId="01CDF039">
            <w:pPr>
              <w:keepNext w:val="0"/>
              <w:keepLines w:val="0"/>
              <w:pageBreakBefore w:val="0"/>
              <w:kinsoku/>
              <w:overflowPunct/>
              <w:topLinePunct w:val="0"/>
              <w:autoSpaceDE/>
              <w:autoSpaceDN/>
              <w:bidi w:val="0"/>
              <w:adjustRightInd w:val="0"/>
              <w:snapToGrid w:val="0"/>
              <w:spacing w:line="50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联合体参加投标的，一旦中标，联合体各方将向招标人承担连带责任，各方应服从招标人的管理。</w:t>
            </w:r>
          </w:p>
          <w:p w14:paraId="467DEDE1">
            <w:pPr>
              <w:keepNext w:val="0"/>
              <w:keepLines w:val="0"/>
              <w:pageBreakBefore w:val="0"/>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rPr>
              <w:t>5</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b/>
                <w:bCs/>
                <w:color w:val="auto"/>
                <w:kern w:val="0"/>
                <w:sz w:val="21"/>
                <w:szCs w:val="21"/>
                <w:highlight w:val="none"/>
              </w:rPr>
              <w:t>若为联合体投标的</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kern w:val="0"/>
                <w:sz w:val="21"/>
                <w:szCs w:val="21"/>
                <w:highlight w:val="none"/>
              </w:rPr>
              <w:t>联合体投标牵头方派驻项目经理（建造师）A岗，联合体成员方</w:t>
            </w:r>
            <w:r>
              <w:rPr>
                <w:rFonts w:hint="eastAsia" w:ascii="宋体" w:hAnsi="宋体" w:eastAsia="宋体" w:cs="宋体"/>
                <w:b/>
                <w:bCs/>
                <w:color w:val="auto"/>
                <w:kern w:val="0"/>
                <w:sz w:val="21"/>
                <w:szCs w:val="21"/>
                <w:highlight w:val="none"/>
                <w:lang w:val="en-US" w:eastAsia="zh-CN"/>
              </w:rPr>
              <w:t>必须同时</w:t>
            </w:r>
            <w:r>
              <w:rPr>
                <w:rFonts w:hint="eastAsia" w:ascii="宋体" w:hAnsi="宋体" w:eastAsia="宋体" w:cs="宋体"/>
                <w:b/>
                <w:bCs/>
                <w:color w:val="auto"/>
                <w:kern w:val="0"/>
                <w:sz w:val="21"/>
                <w:szCs w:val="21"/>
                <w:highlight w:val="none"/>
              </w:rPr>
              <w:t>派驻项目经理（建造师）B岗</w:t>
            </w: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lang w:val="en-US" w:eastAsia="zh-CN"/>
              </w:rPr>
              <w:t>A、B岗必须均满足此项目经理资格要求，否则按无效标处理。</w:t>
            </w:r>
          </w:p>
          <w:p w14:paraId="033F2916">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6</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联合体牵头人及成员单位共同对所提交的投标文件及相关证书材料的真实合规性负责。如联合体任一方出现保证金不予退还的情形，联合体所缴纳的投标保证金均不予退还。</w:t>
            </w:r>
          </w:p>
        </w:tc>
      </w:tr>
      <w:tr w14:paraId="3D2C3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4" w:hRule="atLeast"/>
          <w:jc w:val="center"/>
        </w:trPr>
        <w:tc>
          <w:tcPr>
            <w:tcW w:w="1875" w:type="dxa"/>
            <w:noWrap w:val="0"/>
            <w:vAlign w:val="center"/>
          </w:tcPr>
          <w:p w14:paraId="5F235ED5">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多标段投标</w:t>
            </w:r>
          </w:p>
        </w:tc>
        <w:tc>
          <w:tcPr>
            <w:tcW w:w="8313" w:type="dxa"/>
            <w:noWrap w:val="0"/>
            <w:vAlign w:val="center"/>
          </w:tcPr>
          <w:p w14:paraId="27BE0DD7">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各投标人均可就本招标项目上述标段中的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(具体数量)</w:t>
            </w:r>
            <w:r>
              <w:rPr>
                <w:rFonts w:hint="eastAsia" w:ascii="宋体" w:hAnsi="宋体" w:eastAsia="宋体" w:cs="宋体"/>
                <w:color w:val="auto"/>
                <w:sz w:val="21"/>
                <w:szCs w:val="21"/>
                <w:highlight w:val="none"/>
              </w:rPr>
              <w:t>个标段投标，但最多允许中标</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(具体数量)</w:t>
            </w:r>
            <w:r>
              <w:rPr>
                <w:rFonts w:hint="eastAsia" w:ascii="宋体" w:hAnsi="宋体" w:eastAsia="宋体" w:cs="宋体"/>
                <w:color w:val="auto"/>
                <w:sz w:val="21"/>
                <w:szCs w:val="21"/>
                <w:highlight w:val="none"/>
              </w:rPr>
              <w:t>个标段(适用于分标段的招标项目)。（关于多标段投标的其他说明）。</w:t>
            </w:r>
          </w:p>
        </w:tc>
      </w:tr>
      <w:tr w14:paraId="7122A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4E8C6188">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其他要求</w:t>
            </w:r>
          </w:p>
        </w:tc>
        <w:tc>
          <w:tcPr>
            <w:tcW w:w="8313" w:type="dxa"/>
            <w:noWrap w:val="0"/>
            <w:vAlign w:val="center"/>
          </w:tcPr>
          <w:p w14:paraId="3B89E190">
            <w:pPr>
              <w:keepNext w:val="0"/>
              <w:keepLines w:val="0"/>
              <w:pageBreakBefore w:val="0"/>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w:t>
            </w:r>
          </w:p>
        </w:tc>
      </w:tr>
      <w:tr w14:paraId="652B6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8" w:type="dxa"/>
            <w:gridSpan w:val="2"/>
            <w:noWrap w:val="0"/>
            <w:vAlign w:val="center"/>
          </w:tcPr>
          <w:p w14:paraId="78BC62FC">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招标文件的获取</w:t>
            </w:r>
          </w:p>
        </w:tc>
      </w:tr>
      <w:tr w14:paraId="221F1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15BE2522">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获取时间</w:t>
            </w:r>
          </w:p>
        </w:tc>
        <w:tc>
          <w:tcPr>
            <w:tcW w:w="8313" w:type="dxa"/>
            <w:noWrap w:val="0"/>
            <w:vAlign w:val="center"/>
          </w:tcPr>
          <w:p w14:paraId="3FC8BD3C">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bCs/>
                <w:snapToGrid w:val="0"/>
                <w:color w:val="auto"/>
                <w:kern w:val="0"/>
                <w:sz w:val="21"/>
                <w:szCs w:val="21"/>
                <w:highlight w:val="none"/>
                <w:u w:val="single"/>
                <w:lang w:val="en-US" w:eastAsia="zh-CN"/>
              </w:rPr>
              <w:t>2026</w:t>
            </w:r>
            <w:r>
              <w:rPr>
                <w:rFonts w:hint="eastAsia" w:ascii="宋体" w:hAnsi="宋体" w:eastAsia="宋体" w:cs="宋体"/>
                <w:bCs/>
                <w:snapToGrid w:val="0"/>
                <w:color w:val="auto"/>
                <w:kern w:val="0"/>
                <w:sz w:val="21"/>
                <w:szCs w:val="21"/>
                <w:highlight w:val="none"/>
                <w:u w:val="single"/>
              </w:rPr>
              <w:t xml:space="preserve"> </w:t>
            </w:r>
            <w:r>
              <w:rPr>
                <w:rFonts w:hint="eastAsia" w:ascii="宋体" w:hAnsi="宋体" w:eastAsia="宋体" w:cs="宋体"/>
                <w:bCs/>
                <w:snapToGrid w:val="0"/>
                <w:color w:val="auto"/>
                <w:kern w:val="0"/>
                <w:sz w:val="21"/>
                <w:szCs w:val="21"/>
                <w:highlight w:val="none"/>
              </w:rPr>
              <w:t>年</w:t>
            </w:r>
            <w:r>
              <w:rPr>
                <w:rFonts w:hint="eastAsia" w:ascii="宋体" w:hAnsi="宋体" w:eastAsia="宋体" w:cs="宋体"/>
                <w:bCs/>
                <w:snapToGrid w:val="0"/>
                <w:color w:val="auto"/>
                <w:kern w:val="0"/>
                <w:sz w:val="21"/>
                <w:szCs w:val="21"/>
                <w:highlight w:val="none"/>
                <w:u w:val="single"/>
                <w:lang w:val="en-US" w:eastAsia="zh-CN"/>
              </w:rPr>
              <w:t xml:space="preserve"> </w:t>
            </w:r>
            <w:r>
              <w:rPr>
                <w:rFonts w:hint="eastAsia" w:ascii="宋体" w:hAnsi="宋体" w:cs="宋体"/>
                <w:bCs/>
                <w:snapToGrid w:val="0"/>
                <w:color w:val="auto"/>
                <w:kern w:val="0"/>
                <w:sz w:val="21"/>
                <w:szCs w:val="21"/>
                <w:highlight w:val="none"/>
                <w:u w:val="single"/>
                <w:lang w:val="en-US" w:eastAsia="zh-CN"/>
              </w:rPr>
              <w:t>3</w:t>
            </w:r>
            <w:r>
              <w:rPr>
                <w:rFonts w:hint="eastAsia" w:ascii="宋体" w:hAnsi="宋体" w:eastAsia="宋体" w:cs="宋体"/>
                <w:bCs/>
                <w:snapToGrid w:val="0"/>
                <w:color w:val="auto"/>
                <w:kern w:val="0"/>
                <w:sz w:val="21"/>
                <w:szCs w:val="21"/>
                <w:highlight w:val="none"/>
              </w:rPr>
              <w:t>月</w:t>
            </w:r>
            <w:r>
              <w:rPr>
                <w:rFonts w:hint="eastAsia" w:ascii="宋体" w:hAnsi="宋体" w:cs="宋体"/>
                <w:bCs/>
                <w:snapToGrid w:val="0"/>
                <w:color w:val="auto"/>
                <w:kern w:val="0"/>
                <w:sz w:val="21"/>
                <w:szCs w:val="21"/>
                <w:highlight w:val="none"/>
                <w:u w:val="single"/>
                <w:lang w:val="en-US" w:eastAsia="zh-CN"/>
              </w:rPr>
              <w:t>13</w:t>
            </w:r>
            <w:r>
              <w:rPr>
                <w:rFonts w:hint="eastAsia" w:ascii="宋体" w:hAnsi="宋体" w:eastAsia="宋体" w:cs="宋体"/>
                <w:bCs/>
                <w:snapToGrid w:val="0"/>
                <w:color w:val="auto"/>
                <w:kern w:val="0"/>
                <w:sz w:val="21"/>
                <w:szCs w:val="21"/>
                <w:highlight w:val="none"/>
                <w:u w:val="single"/>
                <w:lang w:val="en-US" w:eastAsia="zh-CN"/>
              </w:rPr>
              <w:t xml:space="preserve"> </w:t>
            </w:r>
            <w:r>
              <w:rPr>
                <w:rFonts w:hint="eastAsia" w:ascii="宋体" w:hAnsi="宋体" w:eastAsia="宋体" w:cs="宋体"/>
                <w:bCs/>
                <w:snapToGrid w:val="0"/>
                <w:color w:val="auto"/>
                <w:kern w:val="0"/>
                <w:sz w:val="21"/>
                <w:szCs w:val="21"/>
                <w:highlight w:val="none"/>
              </w:rPr>
              <w:t>日</w:t>
            </w:r>
            <w:r>
              <w:rPr>
                <w:rFonts w:hint="eastAsia" w:ascii="宋体" w:hAnsi="宋体" w:eastAsia="宋体" w:cs="宋体"/>
                <w:bCs/>
                <w:snapToGrid w:val="0"/>
                <w:color w:val="auto"/>
                <w:kern w:val="0"/>
                <w:sz w:val="21"/>
                <w:szCs w:val="21"/>
                <w:highlight w:val="none"/>
                <w:u w:val="single"/>
              </w:rPr>
              <w:t xml:space="preserve"> </w:t>
            </w:r>
            <w:r>
              <w:rPr>
                <w:rFonts w:hint="eastAsia" w:ascii="宋体" w:hAnsi="宋体" w:eastAsia="宋体" w:cs="宋体"/>
                <w:bCs/>
                <w:snapToGrid w:val="0"/>
                <w:color w:val="auto"/>
                <w:kern w:val="0"/>
                <w:sz w:val="21"/>
                <w:szCs w:val="21"/>
                <w:highlight w:val="none"/>
                <w:u w:val="single"/>
                <w:lang w:val="en-US" w:eastAsia="zh-CN"/>
              </w:rPr>
              <w:t>17</w:t>
            </w:r>
            <w:r>
              <w:rPr>
                <w:rFonts w:hint="eastAsia" w:ascii="宋体" w:hAnsi="宋体" w:eastAsia="宋体" w:cs="宋体"/>
                <w:bCs/>
                <w:snapToGrid w:val="0"/>
                <w:color w:val="auto"/>
                <w:kern w:val="0"/>
                <w:sz w:val="21"/>
                <w:szCs w:val="21"/>
                <w:highlight w:val="none"/>
                <w:u w:val="single"/>
              </w:rPr>
              <w:t xml:space="preserve"> </w:t>
            </w:r>
            <w:r>
              <w:rPr>
                <w:rFonts w:hint="eastAsia" w:ascii="宋体" w:hAnsi="宋体" w:eastAsia="宋体" w:cs="宋体"/>
                <w:bCs/>
                <w:snapToGrid w:val="0"/>
                <w:color w:val="auto"/>
                <w:kern w:val="0"/>
                <w:sz w:val="21"/>
                <w:szCs w:val="21"/>
                <w:highlight w:val="none"/>
              </w:rPr>
              <w:t>时</w:t>
            </w:r>
            <w:r>
              <w:rPr>
                <w:rFonts w:hint="eastAsia" w:ascii="宋体" w:hAnsi="宋体" w:eastAsia="宋体" w:cs="宋体"/>
                <w:bCs/>
                <w:snapToGrid w:val="0"/>
                <w:color w:val="auto"/>
                <w:kern w:val="0"/>
                <w:sz w:val="21"/>
                <w:szCs w:val="21"/>
                <w:highlight w:val="none"/>
                <w:u w:val="single"/>
              </w:rPr>
              <w:t xml:space="preserve"> </w:t>
            </w:r>
            <w:r>
              <w:rPr>
                <w:rFonts w:hint="eastAsia" w:ascii="宋体" w:hAnsi="宋体" w:eastAsia="宋体" w:cs="宋体"/>
                <w:bCs/>
                <w:snapToGrid w:val="0"/>
                <w:color w:val="auto"/>
                <w:kern w:val="0"/>
                <w:sz w:val="21"/>
                <w:szCs w:val="21"/>
                <w:highlight w:val="none"/>
                <w:u w:val="single"/>
                <w:lang w:val="en-US" w:eastAsia="zh-CN"/>
              </w:rPr>
              <w:t>00</w:t>
            </w:r>
            <w:r>
              <w:rPr>
                <w:rFonts w:hint="eastAsia" w:ascii="宋体" w:hAnsi="宋体" w:eastAsia="宋体" w:cs="宋体"/>
                <w:bCs/>
                <w:snapToGrid w:val="0"/>
                <w:color w:val="auto"/>
                <w:kern w:val="0"/>
                <w:sz w:val="21"/>
                <w:szCs w:val="21"/>
                <w:highlight w:val="none"/>
                <w:u w:val="single"/>
              </w:rPr>
              <w:t xml:space="preserve"> </w:t>
            </w:r>
            <w:r>
              <w:rPr>
                <w:rFonts w:hint="eastAsia" w:ascii="宋体" w:hAnsi="宋体" w:eastAsia="宋体" w:cs="宋体"/>
                <w:bCs/>
                <w:snapToGrid w:val="0"/>
                <w:color w:val="auto"/>
                <w:kern w:val="0"/>
                <w:sz w:val="21"/>
                <w:szCs w:val="21"/>
                <w:highlight w:val="none"/>
              </w:rPr>
              <w:t>分至</w:t>
            </w:r>
            <w:r>
              <w:rPr>
                <w:rFonts w:hint="eastAsia" w:ascii="宋体" w:hAnsi="宋体" w:eastAsia="宋体" w:cs="宋体"/>
                <w:bCs/>
                <w:snapToGrid w:val="0"/>
                <w:color w:val="auto"/>
                <w:kern w:val="0"/>
                <w:sz w:val="21"/>
                <w:szCs w:val="21"/>
                <w:highlight w:val="none"/>
                <w:u w:val="single"/>
                <w:lang w:val="en-US" w:eastAsia="zh-CN"/>
              </w:rPr>
              <w:t>2026</w:t>
            </w:r>
            <w:r>
              <w:rPr>
                <w:rFonts w:hint="eastAsia" w:ascii="宋体" w:hAnsi="宋体" w:eastAsia="宋体" w:cs="宋体"/>
                <w:bCs/>
                <w:snapToGrid w:val="0"/>
                <w:color w:val="auto"/>
                <w:kern w:val="0"/>
                <w:sz w:val="21"/>
                <w:szCs w:val="21"/>
                <w:highlight w:val="none"/>
              </w:rPr>
              <w:t>年</w:t>
            </w:r>
            <w:r>
              <w:rPr>
                <w:rFonts w:hint="eastAsia" w:ascii="宋体" w:hAnsi="宋体" w:cs="宋体"/>
                <w:bCs/>
                <w:snapToGrid w:val="0"/>
                <w:color w:val="auto"/>
                <w:kern w:val="0"/>
                <w:sz w:val="21"/>
                <w:szCs w:val="21"/>
                <w:highlight w:val="none"/>
                <w:u w:val="single"/>
                <w:lang w:val="en-US" w:eastAsia="zh-CN"/>
              </w:rPr>
              <w:t>4</w:t>
            </w:r>
            <w:r>
              <w:rPr>
                <w:rFonts w:hint="eastAsia" w:ascii="宋体" w:hAnsi="宋体" w:eastAsia="宋体" w:cs="宋体"/>
                <w:bCs/>
                <w:snapToGrid w:val="0"/>
                <w:color w:val="auto"/>
                <w:kern w:val="0"/>
                <w:sz w:val="21"/>
                <w:szCs w:val="21"/>
                <w:highlight w:val="none"/>
              </w:rPr>
              <w:t>月</w:t>
            </w:r>
            <w:r>
              <w:rPr>
                <w:rFonts w:hint="eastAsia" w:ascii="宋体" w:hAnsi="宋体" w:eastAsia="宋体" w:cs="宋体"/>
                <w:bCs/>
                <w:snapToGrid w:val="0"/>
                <w:color w:val="auto"/>
                <w:kern w:val="0"/>
                <w:sz w:val="21"/>
                <w:szCs w:val="21"/>
                <w:highlight w:val="none"/>
                <w:u w:val="single"/>
              </w:rPr>
              <w:t xml:space="preserve"> </w:t>
            </w:r>
            <w:r>
              <w:rPr>
                <w:rFonts w:hint="eastAsia" w:ascii="宋体" w:hAnsi="宋体" w:cs="宋体"/>
                <w:bCs/>
                <w:snapToGrid w:val="0"/>
                <w:color w:val="auto"/>
                <w:kern w:val="0"/>
                <w:sz w:val="21"/>
                <w:szCs w:val="21"/>
                <w:highlight w:val="none"/>
                <w:u w:val="single"/>
                <w:lang w:val="en-US" w:eastAsia="zh-CN"/>
              </w:rPr>
              <w:t>8</w:t>
            </w:r>
            <w:r>
              <w:rPr>
                <w:rFonts w:hint="eastAsia" w:ascii="宋体" w:hAnsi="宋体" w:eastAsia="宋体" w:cs="宋体"/>
                <w:bCs/>
                <w:snapToGrid w:val="0"/>
                <w:color w:val="auto"/>
                <w:kern w:val="0"/>
                <w:sz w:val="21"/>
                <w:szCs w:val="21"/>
                <w:highlight w:val="none"/>
              </w:rPr>
              <w:t>日</w:t>
            </w:r>
            <w:r>
              <w:rPr>
                <w:rFonts w:hint="eastAsia" w:ascii="宋体" w:hAnsi="宋体" w:eastAsia="宋体" w:cs="宋体"/>
                <w:bCs/>
                <w:snapToGrid w:val="0"/>
                <w:color w:val="auto"/>
                <w:kern w:val="0"/>
                <w:sz w:val="21"/>
                <w:szCs w:val="21"/>
                <w:highlight w:val="none"/>
                <w:u w:val="single"/>
              </w:rPr>
              <w:t xml:space="preserve"> </w:t>
            </w:r>
            <w:r>
              <w:rPr>
                <w:rFonts w:hint="eastAsia" w:ascii="宋体" w:hAnsi="宋体" w:eastAsia="宋体" w:cs="宋体"/>
                <w:bCs/>
                <w:snapToGrid w:val="0"/>
                <w:color w:val="auto"/>
                <w:kern w:val="0"/>
                <w:sz w:val="21"/>
                <w:szCs w:val="21"/>
                <w:highlight w:val="none"/>
                <w:u w:val="single"/>
                <w:lang w:val="en-US" w:eastAsia="zh-CN"/>
              </w:rPr>
              <w:t>8</w:t>
            </w:r>
            <w:r>
              <w:rPr>
                <w:rFonts w:hint="eastAsia" w:ascii="宋体" w:hAnsi="宋体" w:eastAsia="宋体" w:cs="宋体"/>
                <w:bCs/>
                <w:snapToGrid w:val="0"/>
                <w:color w:val="auto"/>
                <w:kern w:val="0"/>
                <w:sz w:val="21"/>
                <w:szCs w:val="21"/>
                <w:highlight w:val="none"/>
                <w:u w:val="single"/>
              </w:rPr>
              <w:t xml:space="preserve">  </w:t>
            </w:r>
            <w:r>
              <w:rPr>
                <w:rFonts w:hint="eastAsia" w:ascii="宋体" w:hAnsi="宋体" w:eastAsia="宋体" w:cs="宋体"/>
                <w:bCs/>
                <w:snapToGrid w:val="0"/>
                <w:color w:val="auto"/>
                <w:kern w:val="0"/>
                <w:sz w:val="21"/>
                <w:szCs w:val="21"/>
                <w:highlight w:val="none"/>
              </w:rPr>
              <w:t xml:space="preserve">时 </w:t>
            </w:r>
            <w:r>
              <w:rPr>
                <w:rFonts w:hint="eastAsia" w:ascii="宋体" w:hAnsi="宋体" w:cs="宋体"/>
                <w:bCs/>
                <w:snapToGrid w:val="0"/>
                <w:color w:val="auto"/>
                <w:kern w:val="0"/>
                <w:sz w:val="21"/>
                <w:szCs w:val="21"/>
                <w:highlight w:val="none"/>
                <w:u w:val="single"/>
                <w:lang w:val="en-US" w:eastAsia="zh-CN"/>
              </w:rPr>
              <w:t>30</w:t>
            </w:r>
            <w:r>
              <w:rPr>
                <w:rFonts w:hint="eastAsia" w:ascii="宋体" w:hAnsi="宋体" w:eastAsia="宋体" w:cs="宋体"/>
                <w:bCs/>
                <w:snapToGrid w:val="0"/>
                <w:color w:val="auto"/>
                <w:kern w:val="0"/>
                <w:sz w:val="21"/>
                <w:szCs w:val="21"/>
                <w:highlight w:val="none"/>
              </w:rPr>
              <w:t>分。</w:t>
            </w:r>
          </w:p>
        </w:tc>
      </w:tr>
      <w:tr w14:paraId="0AA8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320DDA9E">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获取方式</w:t>
            </w:r>
          </w:p>
        </w:tc>
        <w:tc>
          <w:tcPr>
            <w:tcW w:w="8313" w:type="dxa"/>
            <w:noWrap w:val="0"/>
            <w:vAlign w:val="center"/>
          </w:tcPr>
          <w:p w14:paraId="6F50B730">
            <w:pPr>
              <w:keepNext w:val="0"/>
              <w:keepLines w:val="0"/>
              <w:pageBreakBefore w:val="0"/>
              <w:kinsoku/>
              <w:overflowPunct/>
              <w:topLinePunct w:val="0"/>
              <w:autoSpaceDE/>
              <w:autoSpaceDN/>
              <w:bidi w:val="0"/>
              <w:adjustRightInd w:val="0"/>
              <w:snapToGrid w:val="0"/>
              <w:spacing w:line="500" w:lineRule="exact"/>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潜在投标人须登录</w:t>
            </w:r>
            <w:r>
              <w:rPr>
                <w:rFonts w:hint="eastAsia" w:ascii="宋体" w:hAnsi="宋体" w:eastAsia="宋体" w:cs="宋体"/>
                <w:bCs/>
                <w:snapToGrid w:val="0"/>
                <w:color w:val="auto"/>
                <w:kern w:val="0"/>
                <w:sz w:val="21"/>
                <w:szCs w:val="21"/>
                <w:highlight w:val="none"/>
                <w:u w:val="single"/>
              </w:rPr>
              <w:t>滁州市公共资源交易中心网站（http://ggzy.chuzhou.gov.cn/）</w:t>
            </w:r>
            <w:r>
              <w:rPr>
                <w:rFonts w:hint="eastAsia" w:ascii="宋体" w:hAnsi="宋体" w:eastAsia="宋体" w:cs="宋体"/>
                <w:bCs/>
                <w:snapToGrid w:val="0"/>
                <w:color w:val="auto"/>
                <w:kern w:val="0"/>
                <w:sz w:val="21"/>
                <w:szCs w:val="21"/>
                <w:highlight w:val="none"/>
              </w:rPr>
              <w:t>查阅并下载电子招标文件。</w:t>
            </w:r>
          </w:p>
          <w:p w14:paraId="55F5DD54">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bCs/>
                <w:snapToGrid w:val="0"/>
                <w:color w:val="auto"/>
                <w:kern w:val="0"/>
                <w:sz w:val="21"/>
                <w:szCs w:val="21"/>
                <w:highlight w:val="none"/>
              </w:rPr>
              <w:t>招标文件获取过程中有任何疑问，请在工作时间（工作时间：工作日</w:t>
            </w:r>
            <w:r>
              <w:rPr>
                <w:rFonts w:hint="eastAsia" w:ascii="宋体" w:hAnsi="宋体" w:eastAsia="宋体" w:cs="宋体"/>
                <w:bCs/>
                <w:snapToGrid w:val="0"/>
                <w:color w:val="auto"/>
                <w:kern w:val="0"/>
                <w:sz w:val="21"/>
                <w:szCs w:val="21"/>
                <w:highlight w:val="none"/>
                <w:u w:val="single"/>
              </w:rPr>
              <w:t>8:00-12:00,14:30-17:30</w:t>
            </w:r>
            <w:r>
              <w:rPr>
                <w:rFonts w:hint="eastAsia" w:ascii="宋体" w:hAnsi="宋体" w:eastAsia="宋体" w:cs="宋体"/>
                <w:bCs/>
                <w:snapToGrid w:val="0"/>
                <w:color w:val="auto"/>
                <w:kern w:val="0"/>
                <w:sz w:val="21"/>
                <w:szCs w:val="21"/>
                <w:highlight w:val="none"/>
              </w:rPr>
              <w:t>）拨打</w:t>
            </w:r>
            <w:r>
              <w:rPr>
                <w:rFonts w:hint="eastAsia" w:ascii="宋体" w:hAnsi="宋体" w:eastAsia="宋体" w:cs="宋体"/>
                <w:bCs/>
                <w:snapToGrid w:val="0"/>
                <w:color w:val="auto"/>
                <w:kern w:val="0"/>
                <w:sz w:val="21"/>
                <w:szCs w:val="21"/>
                <w:highlight w:val="none"/>
                <w:u w:val="single"/>
              </w:rPr>
              <w:t>0550-3801701</w:t>
            </w:r>
            <w:r>
              <w:rPr>
                <w:rFonts w:hint="eastAsia" w:ascii="宋体" w:hAnsi="宋体" w:eastAsia="宋体" w:cs="宋体"/>
                <w:bCs/>
                <w:snapToGrid w:val="0"/>
                <w:color w:val="auto"/>
                <w:kern w:val="0"/>
                <w:sz w:val="21"/>
                <w:szCs w:val="21"/>
                <w:highlight w:val="none"/>
              </w:rPr>
              <w:t>。</w:t>
            </w:r>
          </w:p>
        </w:tc>
      </w:tr>
      <w:tr w14:paraId="30F62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4B68A642">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招标公告发布时间</w:t>
            </w:r>
          </w:p>
        </w:tc>
        <w:tc>
          <w:tcPr>
            <w:tcW w:w="8313" w:type="dxa"/>
            <w:noWrap w:val="0"/>
            <w:vAlign w:val="center"/>
          </w:tcPr>
          <w:p w14:paraId="02C21EAA">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lang w:val="en-US" w:eastAsia="zh-CN"/>
              </w:rPr>
              <w:t>26</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13</w:t>
            </w:r>
            <w:r>
              <w:rPr>
                <w:rFonts w:hint="eastAsia" w:ascii="宋体" w:hAnsi="宋体" w:eastAsia="宋体" w:cs="宋体"/>
                <w:color w:val="auto"/>
                <w:sz w:val="21"/>
                <w:szCs w:val="21"/>
                <w:highlight w:val="none"/>
              </w:rPr>
              <w:t>日</w:t>
            </w:r>
          </w:p>
        </w:tc>
      </w:tr>
      <w:tr w14:paraId="5ABB8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400512D2">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投标文件递交的截止时间</w:t>
            </w:r>
          </w:p>
        </w:tc>
        <w:tc>
          <w:tcPr>
            <w:tcW w:w="8313" w:type="dxa"/>
            <w:noWrap w:val="0"/>
            <w:vAlign w:val="center"/>
          </w:tcPr>
          <w:p w14:paraId="3C20DB15">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lang w:val="en-US" w:eastAsia="zh-CN"/>
              </w:rPr>
              <w:t>26</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tc>
      </w:tr>
      <w:tr w14:paraId="3F1E7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2C27E542">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投标文件递交的方式</w:t>
            </w:r>
          </w:p>
        </w:tc>
        <w:tc>
          <w:tcPr>
            <w:tcW w:w="8313" w:type="dxa"/>
            <w:noWrap w:val="0"/>
            <w:vAlign w:val="center"/>
          </w:tcPr>
          <w:p w14:paraId="49819F88">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投标人应在投标截止时间前通过滁州市公共资源交易中心交易系统递交电子投标文件。</w:t>
            </w:r>
          </w:p>
        </w:tc>
      </w:tr>
      <w:tr w14:paraId="09C27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875" w:type="dxa"/>
            <w:noWrap w:val="0"/>
            <w:vAlign w:val="center"/>
          </w:tcPr>
          <w:p w14:paraId="758BFCA9">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开标时间</w:t>
            </w:r>
          </w:p>
        </w:tc>
        <w:tc>
          <w:tcPr>
            <w:tcW w:w="8313" w:type="dxa"/>
            <w:noWrap w:val="0"/>
            <w:vAlign w:val="center"/>
          </w:tcPr>
          <w:p w14:paraId="1A003B37">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lang w:val="en-US" w:eastAsia="zh-CN"/>
              </w:rPr>
              <w:t>26</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tc>
      </w:tr>
      <w:tr w14:paraId="5687D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875" w:type="dxa"/>
            <w:noWrap w:val="0"/>
            <w:vAlign w:val="center"/>
          </w:tcPr>
          <w:p w14:paraId="732335C8">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开标地点</w:t>
            </w:r>
          </w:p>
        </w:tc>
        <w:tc>
          <w:tcPr>
            <w:tcW w:w="8313" w:type="dxa"/>
            <w:noWrap w:val="0"/>
            <w:vAlign w:val="center"/>
          </w:tcPr>
          <w:p w14:paraId="3D87671E">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网上开标，投标人登录滁州市不见面开标系统参与网上开标（网址：</w:t>
            </w:r>
            <w:r>
              <w:rPr>
                <w:rFonts w:hint="eastAsia" w:ascii="宋体" w:hAnsi="宋体" w:eastAsia="宋体" w:cs="宋体"/>
                <w:color w:val="auto"/>
                <w:kern w:val="0"/>
                <w:sz w:val="21"/>
                <w:szCs w:val="21"/>
                <w:highlight w:val="none"/>
              </w:rPr>
              <w:fldChar w:fldCharType="begin"/>
            </w:r>
            <w:r>
              <w:rPr>
                <w:rFonts w:hint="eastAsia" w:ascii="宋体" w:hAnsi="宋体" w:eastAsia="宋体" w:cs="宋体"/>
                <w:color w:val="auto"/>
                <w:kern w:val="0"/>
                <w:sz w:val="21"/>
                <w:szCs w:val="21"/>
                <w:highlight w:val="none"/>
              </w:rPr>
              <w:instrText xml:space="preserve"> HYPERLINK "https://ggzy.chuzhou.gov.cn/BidOpening/bidopeninghallaction/hall/login）。操作手册见" </w:instrText>
            </w:r>
            <w:r>
              <w:rPr>
                <w:rFonts w:hint="eastAsia" w:ascii="宋体" w:hAnsi="宋体" w:eastAsia="宋体" w:cs="宋体"/>
                <w:color w:val="auto"/>
                <w:kern w:val="0"/>
                <w:sz w:val="21"/>
                <w:szCs w:val="21"/>
                <w:highlight w:val="none"/>
              </w:rPr>
              <w:fldChar w:fldCharType="separate"/>
            </w:r>
            <w:r>
              <w:rPr>
                <w:rStyle w:val="30"/>
                <w:rFonts w:hint="eastAsia" w:ascii="宋体" w:hAnsi="宋体" w:eastAsia="宋体" w:cs="宋体"/>
                <w:color w:val="auto"/>
                <w:kern w:val="0"/>
                <w:sz w:val="21"/>
                <w:szCs w:val="21"/>
                <w:highlight w:val="none"/>
              </w:rPr>
              <w:t>https://ggzy.chuzhou.gov.cn/BidOpening/bidopeninghallaction/hall/login）。操作手册见</w:t>
            </w:r>
            <w:r>
              <w:rPr>
                <w:rFonts w:hint="eastAsia" w:ascii="宋体" w:hAnsi="宋体" w:eastAsia="宋体" w:cs="宋体"/>
                <w:color w:val="auto"/>
                <w:kern w:val="0"/>
                <w:sz w:val="21"/>
                <w:szCs w:val="21"/>
                <w:highlight w:val="none"/>
              </w:rPr>
              <w:fldChar w:fldCharType="end"/>
            </w:r>
            <w:r>
              <w:rPr>
                <w:rFonts w:hint="eastAsia" w:ascii="宋体" w:hAnsi="宋体" w:eastAsia="宋体" w:cs="宋体"/>
                <w:color w:val="auto"/>
                <w:kern w:val="0"/>
                <w:sz w:val="21"/>
                <w:szCs w:val="21"/>
                <w:highlight w:val="none"/>
              </w:rPr>
              <w:t>https://ggzy.chuzhou.gov.cn/fwzn/011006/20240510/f0637388-583d-4c69-8331-05b6adfcf24d.html。</w:t>
            </w:r>
          </w:p>
        </w:tc>
      </w:tr>
      <w:tr w14:paraId="261F0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F40EE4E">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招标文件价格</w:t>
            </w:r>
          </w:p>
        </w:tc>
        <w:tc>
          <w:tcPr>
            <w:tcW w:w="8313" w:type="dxa"/>
            <w:noWrap w:val="0"/>
            <w:vAlign w:val="center"/>
          </w:tcPr>
          <w:p w14:paraId="73BD4B7A">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0元</w:t>
            </w:r>
          </w:p>
        </w:tc>
      </w:tr>
      <w:tr w14:paraId="79EF6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4FEEE0A4">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发布公告的媒介</w:t>
            </w:r>
          </w:p>
        </w:tc>
        <w:tc>
          <w:tcPr>
            <w:tcW w:w="8313" w:type="dxa"/>
            <w:noWrap w:val="0"/>
            <w:vAlign w:val="center"/>
          </w:tcPr>
          <w:p w14:paraId="5BE8C1DC">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本次招标公告同时在滁州市公共资源交易中心、安徽省公共资源交易监管网、安徽省招标投标信息网等网站发布。</w:t>
            </w:r>
          </w:p>
        </w:tc>
      </w:tr>
      <w:tr w14:paraId="22336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5200F21E">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投标人提出异议的截止时间及方式</w:t>
            </w:r>
          </w:p>
        </w:tc>
        <w:tc>
          <w:tcPr>
            <w:tcW w:w="8313" w:type="dxa"/>
            <w:noWrap w:val="0"/>
            <w:vAlign w:val="center"/>
          </w:tcPr>
          <w:p w14:paraId="6464D8A2">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如投标人对招标文件有异议，请于</w:t>
            </w:r>
            <w:r>
              <w:rPr>
                <w:rFonts w:hint="eastAsia" w:ascii="宋体" w:hAnsi="宋体" w:eastAsia="宋体" w:cs="宋体"/>
                <w:b/>
                <w:color w:val="auto"/>
                <w:kern w:val="0"/>
                <w:sz w:val="21"/>
                <w:szCs w:val="21"/>
                <w:highlight w:val="none"/>
                <w:u w:val="single"/>
              </w:rPr>
              <w:t xml:space="preserve"> </w:t>
            </w:r>
            <w:r>
              <w:rPr>
                <w:rFonts w:hint="eastAsia" w:ascii="宋体" w:hAnsi="宋体" w:eastAsia="宋体" w:cs="宋体"/>
                <w:b/>
                <w:color w:val="auto"/>
                <w:kern w:val="0"/>
                <w:sz w:val="21"/>
                <w:szCs w:val="21"/>
                <w:highlight w:val="none"/>
                <w:u w:val="single"/>
                <w:lang w:val="en-US" w:eastAsia="zh-CN"/>
              </w:rPr>
              <w:t>2026</w:t>
            </w:r>
            <w:r>
              <w:rPr>
                <w:rFonts w:hint="eastAsia" w:ascii="宋体" w:hAnsi="宋体" w:eastAsia="宋体" w:cs="宋体"/>
                <w:b/>
                <w:color w:val="auto"/>
                <w:kern w:val="0"/>
                <w:sz w:val="21"/>
                <w:szCs w:val="21"/>
                <w:highlight w:val="none"/>
                <w:u w:val="single"/>
              </w:rPr>
              <w:t xml:space="preserve"> </w:t>
            </w:r>
            <w:r>
              <w:rPr>
                <w:rFonts w:hint="eastAsia" w:ascii="宋体" w:hAnsi="宋体" w:eastAsia="宋体" w:cs="宋体"/>
                <w:b/>
                <w:color w:val="auto"/>
                <w:kern w:val="0"/>
                <w:sz w:val="21"/>
                <w:szCs w:val="21"/>
                <w:highlight w:val="none"/>
              </w:rPr>
              <w:t>年</w:t>
            </w:r>
            <w:r>
              <w:rPr>
                <w:rFonts w:hint="eastAsia" w:ascii="宋体" w:hAnsi="宋体" w:eastAsia="宋体" w:cs="宋体"/>
                <w:b/>
                <w:color w:val="auto"/>
                <w:kern w:val="0"/>
                <w:sz w:val="21"/>
                <w:szCs w:val="21"/>
                <w:highlight w:val="none"/>
                <w:u w:val="single"/>
                <w:lang w:val="en-US" w:eastAsia="zh-CN"/>
              </w:rPr>
              <w:t xml:space="preserve"> </w:t>
            </w:r>
            <w:r>
              <w:rPr>
                <w:rFonts w:hint="eastAsia" w:ascii="宋体" w:hAnsi="宋体" w:cs="宋体"/>
                <w:b/>
                <w:color w:val="auto"/>
                <w:kern w:val="0"/>
                <w:sz w:val="21"/>
                <w:szCs w:val="21"/>
                <w:highlight w:val="none"/>
                <w:u w:val="single"/>
                <w:lang w:val="en-US" w:eastAsia="zh-CN"/>
              </w:rPr>
              <w:t>3</w:t>
            </w:r>
            <w:r>
              <w:rPr>
                <w:rFonts w:hint="eastAsia" w:ascii="宋体" w:hAnsi="宋体" w:eastAsia="宋体" w:cs="宋体"/>
                <w:b/>
                <w:color w:val="auto"/>
                <w:kern w:val="0"/>
                <w:sz w:val="21"/>
                <w:szCs w:val="21"/>
                <w:highlight w:val="none"/>
              </w:rPr>
              <w:t>月</w:t>
            </w:r>
            <w:r>
              <w:rPr>
                <w:rFonts w:hint="eastAsia" w:ascii="宋体" w:hAnsi="宋体" w:cs="宋体"/>
                <w:b/>
                <w:color w:val="auto"/>
                <w:kern w:val="0"/>
                <w:sz w:val="21"/>
                <w:szCs w:val="21"/>
                <w:highlight w:val="none"/>
                <w:u w:val="single"/>
                <w:lang w:val="en-US" w:eastAsia="zh-CN"/>
              </w:rPr>
              <w:t>29</w:t>
            </w:r>
            <w:r>
              <w:rPr>
                <w:rFonts w:hint="eastAsia" w:ascii="宋体" w:hAnsi="宋体" w:eastAsia="宋体" w:cs="宋体"/>
                <w:b/>
                <w:color w:val="auto"/>
                <w:kern w:val="0"/>
                <w:sz w:val="21"/>
                <w:szCs w:val="21"/>
                <w:highlight w:val="none"/>
              </w:rPr>
              <w:t>日</w:t>
            </w:r>
            <w:r>
              <w:rPr>
                <w:rFonts w:hint="eastAsia" w:ascii="宋体" w:hAnsi="宋体" w:cs="宋体"/>
                <w:b/>
                <w:color w:val="auto"/>
                <w:kern w:val="0"/>
                <w:sz w:val="21"/>
                <w:szCs w:val="21"/>
                <w:highlight w:val="none"/>
                <w:u w:val="single"/>
                <w:lang w:val="en-US" w:eastAsia="zh-CN"/>
              </w:rPr>
              <w:t>8</w:t>
            </w:r>
            <w:r>
              <w:rPr>
                <w:rFonts w:hint="eastAsia" w:ascii="宋体" w:hAnsi="宋体" w:eastAsia="宋体" w:cs="宋体"/>
                <w:b/>
                <w:color w:val="auto"/>
                <w:kern w:val="0"/>
                <w:sz w:val="21"/>
                <w:szCs w:val="21"/>
                <w:highlight w:val="none"/>
              </w:rPr>
              <w:t>时</w:t>
            </w:r>
            <w:r>
              <w:rPr>
                <w:rFonts w:hint="eastAsia" w:ascii="宋体" w:hAnsi="宋体" w:cs="宋体"/>
                <w:b/>
                <w:color w:val="auto"/>
                <w:kern w:val="0"/>
                <w:sz w:val="21"/>
                <w:szCs w:val="21"/>
                <w:highlight w:val="none"/>
                <w:u w:val="single"/>
                <w:lang w:val="en-US" w:eastAsia="zh-CN"/>
              </w:rPr>
              <w:t>30</w:t>
            </w:r>
            <w:r>
              <w:rPr>
                <w:rFonts w:hint="eastAsia" w:ascii="宋体" w:hAnsi="宋体" w:cs="宋体"/>
                <w:b/>
                <w:color w:val="auto"/>
                <w:kern w:val="0"/>
                <w:sz w:val="21"/>
                <w:szCs w:val="21"/>
                <w:highlight w:val="none"/>
                <w:lang w:val="en-US" w:eastAsia="zh-CN"/>
              </w:rPr>
              <w:t>分</w:t>
            </w:r>
            <w:r>
              <w:rPr>
                <w:rFonts w:hint="eastAsia" w:ascii="宋体" w:hAnsi="宋体" w:eastAsia="宋体" w:cs="宋体"/>
                <w:b/>
                <w:color w:val="auto"/>
                <w:kern w:val="0"/>
                <w:sz w:val="21"/>
                <w:szCs w:val="21"/>
                <w:highlight w:val="none"/>
              </w:rPr>
              <w:t>（投标截止10日）前在滁州市公共资源交易中心网电子交易系统中在线进行异议，具体操作步骤和程序请参见服务指南&gt;交易须知&gt;在线异议、质疑和投诉操作手册。</w:t>
            </w:r>
          </w:p>
        </w:tc>
      </w:tr>
      <w:tr w14:paraId="02BB8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3F23BEF1">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受理异议的联系人及联系方式</w:t>
            </w:r>
          </w:p>
        </w:tc>
        <w:tc>
          <w:tcPr>
            <w:tcW w:w="8313" w:type="dxa"/>
            <w:noWrap w:val="0"/>
            <w:vAlign w:val="center"/>
          </w:tcPr>
          <w:p w14:paraId="556023B7">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联系人：</w:t>
            </w:r>
            <w:r>
              <w:rPr>
                <w:rFonts w:hint="eastAsia" w:ascii="宋体" w:hAnsi="宋体" w:eastAsia="宋体" w:cs="宋体"/>
                <w:color w:val="auto"/>
                <w:kern w:val="0"/>
                <w:sz w:val="21"/>
                <w:szCs w:val="21"/>
                <w:highlight w:val="none"/>
                <w:u w:val="none"/>
                <w:lang w:val="en-US" w:eastAsia="zh-CN"/>
              </w:rPr>
              <w:t xml:space="preserve">李工、杨韦       </w:t>
            </w:r>
            <w:r>
              <w:rPr>
                <w:rFonts w:hint="eastAsia" w:ascii="宋体" w:hAnsi="宋体" w:eastAsia="宋体" w:cs="宋体"/>
                <w:color w:val="auto"/>
                <w:kern w:val="0"/>
                <w:sz w:val="21"/>
                <w:szCs w:val="21"/>
                <w:highlight w:val="none"/>
              </w:rPr>
              <w:t>联系方式:</w:t>
            </w:r>
            <w:r>
              <w:rPr>
                <w:rFonts w:hint="eastAsia" w:ascii="宋体" w:hAnsi="宋体" w:eastAsia="宋体" w:cs="宋体"/>
                <w:color w:val="auto"/>
                <w:kern w:val="0"/>
                <w:sz w:val="21"/>
                <w:szCs w:val="21"/>
                <w:highlight w:val="none"/>
                <w:lang w:val="en-US" w:eastAsia="zh-CN"/>
              </w:rPr>
              <w:t>0550-3026900、0550-3519590</w:t>
            </w:r>
          </w:p>
        </w:tc>
      </w:tr>
      <w:tr w14:paraId="3B93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72C8E559">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b/>
                <w:color w:val="auto"/>
                <w:sz w:val="21"/>
                <w:szCs w:val="21"/>
                <w:highlight w:val="none"/>
              </w:rPr>
              <w:t>投标人提出投诉的方式</w:t>
            </w:r>
          </w:p>
        </w:tc>
        <w:tc>
          <w:tcPr>
            <w:tcW w:w="8313" w:type="dxa"/>
            <w:noWrap w:val="0"/>
            <w:vAlign w:val="top"/>
          </w:tcPr>
          <w:p w14:paraId="3E082F3A">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u w:val="none"/>
              </w:rPr>
              <w:t xml:space="preserve">投标人或者其他利害关系人认为招标投标活动违反法律、法规和规章规定的，有权向相关行政监督部门投诉。在线投诉具体步骤和程序请参照服务指南&gt;投诉渠道 </w:t>
            </w:r>
            <w:r>
              <w:rPr>
                <w:rFonts w:hint="eastAsia" w:ascii="宋体" w:hAnsi="宋体" w:eastAsia="宋体" w:cs="宋体"/>
                <w:color w:val="auto"/>
                <w:kern w:val="0"/>
                <w:sz w:val="21"/>
                <w:szCs w:val="21"/>
                <w:highlight w:val="none"/>
                <w:u w:val="none"/>
              </w:rPr>
              <w:fldChar w:fldCharType="begin"/>
            </w:r>
            <w:r>
              <w:rPr>
                <w:rFonts w:hint="eastAsia" w:ascii="宋体" w:hAnsi="宋体" w:eastAsia="宋体" w:cs="宋体"/>
                <w:color w:val="auto"/>
                <w:kern w:val="0"/>
                <w:sz w:val="21"/>
                <w:szCs w:val="21"/>
                <w:highlight w:val="none"/>
                <w:u w:val="none"/>
              </w:rPr>
              <w:instrText xml:space="preserve"> HYPERLINK "https://ggzy.chuzhou.gov.cn/fwzn/011001/serviceGuide.html" </w:instrText>
            </w:r>
            <w:r>
              <w:rPr>
                <w:rFonts w:hint="eastAsia" w:ascii="宋体" w:hAnsi="宋体" w:eastAsia="宋体" w:cs="宋体"/>
                <w:color w:val="auto"/>
                <w:kern w:val="0"/>
                <w:sz w:val="21"/>
                <w:szCs w:val="21"/>
                <w:highlight w:val="none"/>
                <w:u w:val="none"/>
              </w:rPr>
              <w:fldChar w:fldCharType="separate"/>
            </w:r>
            <w:r>
              <w:rPr>
                <w:rFonts w:hint="eastAsia" w:ascii="宋体" w:hAnsi="宋体" w:eastAsia="宋体" w:cs="宋体"/>
                <w:color w:val="auto"/>
                <w:kern w:val="0"/>
                <w:sz w:val="21"/>
                <w:szCs w:val="21"/>
                <w:highlight w:val="none"/>
                <w:u w:val="none"/>
              </w:rPr>
              <w:t>https://ggzy.chuzhou.gov.cn/fwzn/011001/serviceGuide.html</w:t>
            </w:r>
            <w:r>
              <w:rPr>
                <w:rFonts w:hint="eastAsia" w:ascii="宋体" w:hAnsi="宋体" w:eastAsia="宋体" w:cs="宋体"/>
                <w:color w:val="auto"/>
                <w:kern w:val="0"/>
                <w:sz w:val="21"/>
                <w:szCs w:val="21"/>
                <w:highlight w:val="none"/>
                <w:u w:val="none"/>
              </w:rPr>
              <w:fldChar w:fldCharType="end"/>
            </w:r>
            <w:r>
              <w:rPr>
                <w:rFonts w:hint="eastAsia" w:ascii="宋体" w:hAnsi="宋体" w:eastAsia="宋体" w:cs="宋体"/>
                <w:color w:val="auto"/>
                <w:kern w:val="0"/>
                <w:sz w:val="21"/>
                <w:szCs w:val="21"/>
                <w:highlight w:val="none"/>
                <w:u w:val="none"/>
              </w:rPr>
              <w:t>；投诉书格式等内容参见服务指南&gt;办事指南&gt;投标人服务&gt;投诉受理一次告知书https://ggzy.chuzhou.gov.cn/fwzn/011001/011001001/011001001003/20211022/4b7d87ec-2c58-49b0-b76c-3a6277377930.html。</w:t>
            </w:r>
          </w:p>
        </w:tc>
      </w:tr>
      <w:tr w14:paraId="3627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8" w:type="dxa"/>
            <w:gridSpan w:val="2"/>
            <w:noWrap w:val="0"/>
            <w:vAlign w:val="center"/>
          </w:tcPr>
          <w:p w14:paraId="678E75F8">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sz w:val="21"/>
                <w:szCs w:val="21"/>
                <w:highlight w:val="none"/>
              </w:rPr>
              <w:t>投标保证金收取</w:t>
            </w:r>
          </w:p>
        </w:tc>
      </w:tr>
      <w:tr w14:paraId="0236D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1A0B12CC">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投标保证金收取</w:t>
            </w:r>
          </w:p>
        </w:tc>
        <w:tc>
          <w:tcPr>
            <w:tcW w:w="8313" w:type="dxa"/>
            <w:noWrap w:val="0"/>
            <w:vAlign w:val="center"/>
          </w:tcPr>
          <w:p w14:paraId="306DC7A0">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投标保证金的金额：50万元，要求投标人提交投标保证金。</w:t>
            </w:r>
          </w:p>
        </w:tc>
      </w:tr>
      <w:tr w14:paraId="3BDF0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top"/>
          </w:tcPr>
          <w:p w14:paraId="510D7F60">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投标保证金形式</w:t>
            </w:r>
          </w:p>
        </w:tc>
        <w:tc>
          <w:tcPr>
            <w:tcW w:w="8313" w:type="dxa"/>
            <w:noWrap w:val="0"/>
            <w:vAlign w:val="top"/>
          </w:tcPr>
          <w:p w14:paraId="7078E8A7">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支持现金（银行转账、银行电汇等）、非现金形式（支票、银行汇票、本票等）、电子保函、纸质银行保函</w:t>
            </w:r>
          </w:p>
        </w:tc>
      </w:tr>
      <w:tr w14:paraId="7F4D8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098FC87B">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接收投标保证金的账户信息</w:t>
            </w:r>
          </w:p>
        </w:tc>
        <w:tc>
          <w:tcPr>
            <w:tcW w:w="8313" w:type="dxa"/>
            <w:noWrap w:val="0"/>
            <w:vAlign w:val="center"/>
          </w:tcPr>
          <w:p w14:paraId="2A9C9745">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1.1)采用现金形式的，投标保证金应当从投标人基本存款账户转出，投标保证金的到账截止时间为投标截止时间。投标保证金转出账户与投标人投标文件提供的基本存款账户不一致的，视为未按照招标文件</w:t>
            </w:r>
            <w:bookmarkStart w:id="1582" w:name="_GoBack"/>
            <w:bookmarkEnd w:id="1582"/>
            <w:r>
              <w:rPr>
                <w:rFonts w:hint="eastAsia" w:ascii="宋体" w:hAnsi="宋体" w:eastAsia="宋体" w:cs="宋体"/>
                <w:color w:val="auto"/>
                <w:kern w:val="0"/>
                <w:sz w:val="21"/>
                <w:szCs w:val="21"/>
                <w:highlight w:val="none"/>
              </w:rPr>
              <w:t>规定提交投标保证金。提交投标保证金的开户银行及账号如下（选择任何一家银行提交即可）：</w:t>
            </w:r>
          </w:p>
          <w:p w14:paraId="62F0EAB2">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①户名：滁州市公共资源交易中心</w:t>
            </w:r>
          </w:p>
          <w:p w14:paraId="112BFCEC">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开户行：中国银行滁州分行 </w:t>
            </w:r>
          </w:p>
          <w:p w14:paraId="21874679">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账  号：181246118148                                </w:t>
            </w:r>
          </w:p>
          <w:p w14:paraId="493E5286">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②户  名：滁州市公共资源交易中心 </w:t>
            </w:r>
          </w:p>
          <w:p w14:paraId="6EED8238">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开户行：中国建设银行股份有限公司滁州南谯支行</w:t>
            </w:r>
          </w:p>
          <w:p w14:paraId="6F6D9ED9">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账  号：6232811720000041991                                </w:t>
            </w:r>
          </w:p>
          <w:p w14:paraId="4ADF90C3">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③户  名：滁州市公共资源交易中心        </w:t>
            </w:r>
          </w:p>
          <w:p w14:paraId="0AA98DCD">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开户行：中国农业银行滁州中都支行                </w:t>
            </w:r>
          </w:p>
          <w:p w14:paraId="6CB02C54">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账  号：123340010400044210000000417                                </w:t>
            </w:r>
          </w:p>
          <w:p w14:paraId="2A6468FE">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采用现金形式缴纳保证金时须在交易附言中注明：“</w:t>
            </w:r>
            <w:r>
              <w:rPr>
                <w:rFonts w:hint="eastAsia" w:ascii="宋体" w:hAnsi="宋体" w:eastAsia="宋体" w:cs="宋体"/>
                <w:color w:val="auto"/>
                <w:sz w:val="21"/>
                <w:szCs w:val="21"/>
                <w:highlight w:val="none"/>
                <w:lang w:val="en-US" w:eastAsia="zh-CN"/>
              </w:rPr>
              <w:t>czsjgc202603-</w:t>
            </w:r>
            <w:r>
              <w:rPr>
                <w:rFonts w:hint="eastAsia" w:ascii="宋体" w:hAnsi="宋体" w:cs="宋体"/>
                <w:color w:val="auto"/>
                <w:sz w:val="21"/>
                <w:szCs w:val="21"/>
                <w:highlight w:val="none"/>
                <w:lang w:val="en-US" w:eastAsia="zh-CN"/>
              </w:rPr>
              <w:t>004</w:t>
            </w:r>
            <w:r>
              <w:rPr>
                <w:rFonts w:hint="eastAsia" w:ascii="宋体" w:hAnsi="宋体" w:eastAsia="宋体" w:cs="宋体"/>
                <w:color w:val="auto"/>
                <w:kern w:val="0"/>
                <w:sz w:val="21"/>
                <w:szCs w:val="21"/>
                <w:highlight w:val="none"/>
              </w:rPr>
              <w:t>项目投标保证金”。</w:t>
            </w:r>
          </w:p>
          <w:p w14:paraId="53BE7834">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采用支票、银行汇票、本票等非现金形式提交投标保证金时，投标人应在付款人开户行申请书附言处注明“czsjgc202603-004项目投标保证金”字样，应确保收款人开户行进账单完整反映交易附言内容，由此导致无法识别投标保证金对应的投标项目，其后果由投标人负责。</w:t>
            </w:r>
          </w:p>
          <w:p w14:paraId="7062099F">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3)采用电子保函形式具体要求如下：</w:t>
            </w:r>
          </w:p>
          <w:p w14:paraId="34AD396D">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①电子保函提交要求：</w:t>
            </w:r>
          </w:p>
          <w:p w14:paraId="0A6033AF">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a.投标人须在投标文件提交截止时间前提供与滁州市公共资源交易中心金融服务平台对接的电子保函，否则视为投标保证金未按规定要求缴纳。</w:t>
            </w:r>
          </w:p>
          <w:p w14:paraId="319EDAA3">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b.电子保函生效时间须为所投项目规定的保证金到账截止时间之前，电子保函的有效期截止时间不得短于招标文件约定的投标有效期截止时间，否则视为投标保证金未按规定要求缴纳。</w:t>
            </w:r>
          </w:p>
          <w:p w14:paraId="6B524B42">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c.投标有效期内未能确定中标结果，需要延长投标有效期，投标人同意延长投标有效期的，须相应延长电子保函的有效期。</w:t>
            </w:r>
          </w:p>
          <w:p w14:paraId="734A8F4F">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d.投标人存在投标保证金不予退还的情形，采用电子保函形式的将予以追缴。</w:t>
            </w:r>
          </w:p>
          <w:p w14:paraId="7773B9FD">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4)采用纸质银行保函形式具体要求如下：</w:t>
            </w:r>
          </w:p>
          <w:p w14:paraId="3725B991">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①应为投标人基本账户开户银行出具的不可撤销、不可转让的见索即付独立保函,所需费用由投标人承担。</w:t>
            </w:r>
          </w:p>
          <w:p w14:paraId="0402E86A">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②投标人在投标文件中必须提供基本存款账户证明（如基本存款账户开户许可证或基本存款账户信息），同时将纸质保函扫描件提供在投标文件中。</w:t>
            </w:r>
          </w:p>
          <w:p w14:paraId="63C67BBD">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③投标人在投标文件中必须提供明确有效的查询途径（ 网址链接及查询方式），否则该纸质银行保函无效。</w:t>
            </w:r>
          </w:p>
          <w:p w14:paraId="2048E4A6">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④中标候选人须在中标候选人公示期间将其开具至本招标项目的保函原件提交招标人（或招标代理机构），且原件须与投标文件中提供的扫描件一致，如存在未按照规定提交或提交内容不一致的，招标人有权取消其中标候选人资格；发现弄虚作假的，招标人（或招标代理机构）应报公共资源交易监管部门依法处理。</w:t>
            </w:r>
          </w:p>
          <w:p w14:paraId="5476B565">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2.保证金电子保函业务应急处置措施。由于自然灾害、事故灾难、突发公共网络安全事件或者系统原因，以及保证金电子保函系统使用过程中出现的以下情况：</w:t>
            </w:r>
          </w:p>
          <w:p w14:paraId="61A27292">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（1）开标时，系统获取明文保函文件异常，无法正常获取保函文件；</w:t>
            </w:r>
          </w:p>
          <w:p w14:paraId="373695E0">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（2）保证金电子保函系统的软件或数据库出现错误，不能进行正常操作；</w:t>
            </w:r>
          </w:p>
          <w:p w14:paraId="1963D985">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（3）保证金电子保函系统服务器发生故障等情况，无法访问或无法使用电子保函；</w:t>
            </w:r>
          </w:p>
          <w:p w14:paraId="54A4ED23">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（4）保证金电子保函系统服务器受到病毒或其他外来的攻击；</w:t>
            </w:r>
          </w:p>
          <w:p w14:paraId="75452F3F">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（5）其他影响电子保函出具的异常情形。</w:t>
            </w:r>
          </w:p>
          <w:p w14:paraId="7A47B909">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由于上述原因导致投标人无法正常参加开评标的，招标人或招标代理机构应及时报告公共资源交易服务平台核实问题原因。投标人确实已购买电子保函，经监管部门同意后，投标人可以继续参加开评标。</w:t>
            </w:r>
          </w:p>
          <w:p w14:paraId="0C1A120D">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3.本次招标失败，再次进行招标的，投标人须按照新的账户重新缴纳投标保证金。</w:t>
            </w:r>
          </w:p>
          <w:p w14:paraId="165F61C3">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4.投标人为联合体投标的，由牵头人基本账户转出投标保证金或由牵头人办理保函。</w:t>
            </w:r>
          </w:p>
          <w:p w14:paraId="56205C8B">
            <w:pPr>
              <w:keepNext w:val="0"/>
              <w:keepLines w:val="0"/>
              <w:pageBreakBefore w:val="0"/>
              <w:widowControl/>
              <w:kinsoku/>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5.是否适用免缴投标保证金政策</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不适用。</w:t>
            </w:r>
          </w:p>
        </w:tc>
      </w:tr>
      <w:tr w14:paraId="3756B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56A5F346">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pacing w:val="-6"/>
                <w:sz w:val="21"/>
                <w:szCs w:val="21"/>
                <w:highlight w:val="none"/>
              </w:rPr>
              <w:t>备注</w:t>
            </w:r>
          </w:p>
        </w:tc>
        <w:tc>
          <w:tcPr>
            <w:tcW w:w="8313" w:type="dxa"/>
            <w:noWrap w:val="0"/>
            <w:vAlign w:val="center"/>
          </w:tcPr>
          <w:p w14:paraId="20F5976A">
            <w:pPr>
              <w:keepNext w:val="0"/>
              <w:keepLines w:val="0"/>
              <w:pageBreakBefore w:val="0"/>
              <w:kinsoku/>
              <w:overflowPunct/>
              <w:topLinePunct w:val="0"/>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投标人为联合体投标的，保证金由牵头人基本账户转入交易中心账户或由牵头人办理投标担保。</w:t>
            </w:r>
          </w:p>
          <w:p w14:paraId="0B7685FE">
            <w:pPr>
              <w:keepNext w:val="0"/>
              <w:keepLines w:val="0"/>
              <w:pageBreakBefore w:val="0"/>
              <w:kinsoku/>
              <w:overflowPunct/>
              <w:topLinePunct w:val="0"/>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本项目不缴纳投标保证金条款仅针对在投标过程中未违反本招标文件第二章“投标人须知”中第3.4.4项约定的投标人。如在投标过程中投标人存在本招标文件第二章“投标人须知”中第3.4.4项约定情形，则无条件按招标人要求的金额、时间、账号缴纳投标保证金。投标人采用银行保函、担保机构担保、保证保险方式提交投标保证金的，如出现本招标文件“投标人须知”第 3.4.4 项所列情形的，提供担保的银行、担保机构及保险机构将无条件向招标人支付保函所列的全部投标保证金金额，该支付行为视同投标保证金不予退还。</w:t>
            </w:r>
          </w:p>
          <w:p w14:paraId="39B0741D">
            <w:pPr>
              <w:keepNext w:val="0"/>
              <w:keepLines w:val="0"/>
              <w:pageBreakBefore w:val="0"/>
              <w:kinsoku/>
              <w:overflowPunct/>
              <w:topLinePunct w:val="0"/>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投标人采用虚假银行保函、担保机构担保、保证保险方式提交投标保证金的，应依法承担弄虚作假、骗取中标的法律责任。</w:t>
            </w:r>
          </w:p>
        </w:tc>
      </w:tr>
      <w:tr w14:paraId="6AAF8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8" w:type="dxa"/>
            <w:gridSpan w:val="2"/>
            <w:noWrap w:val="0"/>
            <w:vAlign w:val="center"/>
          </w:tcPr>
          <w:p w14:paraId="421E78AA">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其他说明</w:t>
            </w:r>
          </w:p>
        </w:tc>
      </w:tr>
      <w:tr w14:paraId="5713B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56503EB">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bCs/>
                <w:color w:val="auto"/>
                <w:spacing w:val="-6"/>
                <w:sz w:val="21"/>
                <w:szCs w:val="21"/>
                <w:highlight w:val="none"/>
              </w:rPr>
            </w:pPr>
            <w:r>
              <w:rPr>
                <w:rFonts w:hint="eastAsia" w:ascii="宋体" w:hAnsi="宋体" w:eastAsia="宋体" w:cs="宋体"/>
                <w:bCs/>
                <w:color w:val="auto"/>
                <w:spacing w:val="-6"/>
                <w:sz w:val="21"/>
                <w:szCs w:val="21"/>
                <w:highlight w:val="none"/>
              </w:rPr>
              <w:t>重要说明</w:t>
            </w:r>
          </w:p>
        </w:tc>
        <w:tc>
          <w:tcPr>
            <w:tcW w:w="8313" w:type="dxa"/>
            <w:noWrap w:val="0"/>
            <w:vAlign w:val="center"/>
          </w:tcPr>
          <w:p w14:paraId="4CDEDA72">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本项目只接受在安徽省公共资源交易市场主体库（http://ggzy.ah.gov.cn/ahggfwpt-zhutiku/dengludenglu）登记并进行信息确认提交的投标人投标，未登记的投标人请及时办理CA数字证书并登录安徽省公共资源交易市场主体库进行信息填写及确认提交；已办理过CA数字证书视为已在省库登记，进行信息更新及确认提交即可。办理流程为登录滁州市公共资源交易中心网&gt;服务指南&gt;办事指南中的“CA数字证书和电子签章”及“市场主体登记”。相关服务电话：（1）安徽省公共资源交易市场主体库使用相关问题（系统登录、信息登记、录入及提交、数字证书关联等）：010-86483801转5-2 ；（2） CA数字证书有关问题：安徽CA客服400-615-8899、0550-3019013（工作日）,CFCA客服025-66085508 、0550-3801669（工作日）；（3）市场主体招标环节和投标环节系统使用问题：0512-58188516（8:00-21:00）、0550-3801701（工作日）。因未及时通过CA数字证书登录省主体库对相关信息进行补充完善并确认提交，导致无法投标的，责任自负。为保证系统使用过程中产生的问题能够及时得到解决，请各主体在工作时间进行主体信息登记、更新、投标文件制作等相关操作。</w:t>
            </w:r>
          </w:p>
          <w:p w14:paraId="3F951461">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lang w:val="en-US" w:eastAsia="zh-CN"/>
              </w:rPr>
              <w:t>.请投标人登录滁州市公共资源交易中心网站查看参加本项目的程序（具体操作步骤和程序请参见服务指南&gt;交易须知&gt;投标人填写投标信息、下载文件及网上提问操作手册）。</w:t>
            </w:r>
          </w:p>
          <w:p w14:paraId="43474E9E">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本项目采用不见面开标(远程解密)方式，开标时投标人无须至开标现场进行解密，开标采取远程解密方式解密投标文件，投标人远程解密方式：投标人在开标时间前使用CA数字证书登录滁州市“不见面开标系统”，网址为https://ggzy.chuzhou.gov.cn/BidOpening,等待开标并按系统提示进行相应的投标人解密等事项，无需到开标现场。采用本方式可以观看开标现场音视频直播并进行互动交流。具体操作方法见中心网站&gt;服务指南&gt;交易须知中的《滁州市不见面开标系统操作手册》。解密时间要求为：从本项目解密程序开始时计时，至完成投标文件解密时间，不得超过60分钟，否则投标文件将被拒绝。</w:t>
            </w:r>
          </w:p>
          <w:p w14:paraId="3B2E51B5">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r>
              <w:rPr>
                <w:rFonts w:hint="eastAsia" w:ascii="宋体" w:hAnsi="宋体" w:eastAsia="宋体" w:cs="宋体"/>
                <w:color w:val="auto"/>
                <w:kern w:val="0"/>
                <w:sz w:val="21"/>
                <w:szCs w:val="21"/>
                <w:highlight w:val="none"/>
                <w:lang w:val="en-US" w:eastAsia="zh-CN"/>
              </w:rPr>
              <w:t>.投标文件格式、内容和制作要求以招标文件为准，投标文件制作工具中提供的相关格式及内容仅供参考，投标企业可根据招标文件要求自行调整。</w:t>
            </w:r>
          </w:p>
        </w:tc>
      </w:tr>
      <w:tr w14:paraId="61A5F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1F778A73">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bCs/>
                <w:color w:val="auto"/>
                <w:spacing w:val="-6"/>
                <w:sz w:val="21"/>
                <w:szCs w:val="21"/>
                <w:highlight w:val="none"/>
              </w:rPr>
            </w:pPr>
            <w:r>
              <w:rPr>
                <w:rFonts w:hint="eastAsia" w:ascii="宋体" w:hAnsi="宋体" w:eastAsia="宋体" w:cs="宋体"/>
                <w:bCs/>
                <w:color w:val="auto"/>
                <w:spacing w:val="-6"/>
                <w:sz w:val="21"/>
                <w:szCs w:val="21"/>
                <w:highlight w:val="none"/>
              </w:rPr>
              <w:t>特别提示</w:t>
            </w:r>
          </w:p>
          <w:p w14:paraId="5FBCC509">
            <w:pPr>
              <w:pStyle w:val="19"/>
              <w:keepNext w:val="0"/>
              <w:keepLines w:val="0"/>
              <w:pageBreakBefore w:val="0"/>
              <w:kinsoku/>
              <w:overflowPunct/>
              <w:topLinePunct w:val="0"/>
              <w:autoSpaceDE/>
              <w:autoSpaceDN/>
              <w:bidi w:val="0"/>
              <w:spacing w:after="0" w:afterLines="0" w:line="500" w:lineRule="exact"/>
              <w:textAlignment w:val="auto"/>
              <w:rPr>
                <w:rFonts w:hint="eastAsia" w:ascii="宋体" w:hAnsi="宋体" w:eastAsia="宋体" w:cs="宋体"/>
                <w:color w:val="auto"/>
                <w:sz w:val="21"/>
                <w:szCs w:val="21"/>
                <w:highlight w:val="none"/>
              </w:rPr>
            </w:pPr>
          </w:p>
        </w:tc>
        <w:tc>
          <w:tcPr>
            <w:tcW w:w="8313" w:type="dxa"/>
            <w:noWrap w:val="0"/>
            <w:vAlign w:val="center"/>
          </w:tcPr>
          <w:p w14:paraId="67ED926B">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1.本项目投标保证金、履约保证金、工程质量保证金、农民工工资保证金均支持保函使用。以现金形式提交保证金的，应当同时退还保证金本金和银行同期存款利息。</w:t>
            </w:r>
          </w:p>
          <w:p w14:paraId="1824CEC9">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2.投标人应填写投标信息并下载招标文件，否则无法上传投标文件。</w:t>
            </w:r>
          </w:p>
          <w:p w14:paraId="31621648">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注：投标人如为联合体的，牵头人必须完善投标人信息，并在上传投标文件环节添加联合体投标信息。</w:t>
            </w:r>
          </w:p>
          <w:p w14:paraId="0B3F29CC">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项目采用电子招标投标，请投标人在滁州市公共资源交易中心网站&gt;服务指南&gt;软件下载栏目点击下载投标文件制作工具。投标人需采用最新版投标文件制作工具。软件运行需在国际互联网络通畅状态，投标人需注意更新，以免造成投标文件制作错误，如因此导致评标委员会否决其投标，责任自负。如有技术问题请联系0550-3801701，0512-58188516。</w:t>
            </w:r>
          </w:p>
          <w:p w14:paraId="7921B4B8">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4.如果过程中出现招标文件更改，应以最后发布的招标答疑澄清文件中的模板制作本项目最新投标文件。</w:t>
            </w:r>
          </w:p>
          <w:p w14:paraId="2377BB4B">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5.投标人应当用本单位CA数字证书制作投标文件，制作成功后进行投标文件上传。 </w:t>
            </w:r>
          </w:p>
          <w:p w14:paraId="77B26A4C">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投标人须用CA数字证书盖章和加密投标文件，建议使用主锁。（如未办理CA数字证书请及时办理，网上办理和窗口办理均可。查看办理所需资料请登录滁州市公共资源交易中心网站&gt;服务指南&gt;办事指南&gt;CA数字证书和电子签章。因未及时办理CA数字证书手续导致无法投标的，责任自负）</w:t>
            </w:r>
          </w:p>
          <w:p w14:paraId="1693C0C5">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7.请投标人注意加密投标文件CA数字证书的有效期，不在有效期的CA数字证书无法解密投标文件。</w:t>
            </w:r>
          </w:p>
          <w:p w14:paraId="06C8985A">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8.投标人投标MAC地址一致或申请开具电子保函MAC地址一致的，由评标委员会否决其投标。</w:t>
            </w:r>
          </w:p>
          <w:p w14:paraId="6CE4C031">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9.投标人投标文件中单方面出现其他投标人材料的（依法组成联合体投标的除外），由评标委员会否决其投标。</w:t>
            </w:r>
          </w:p>
          <w:p w14:paraId="43EBE66E">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10.评标时查询投标文件制作机器码、文件创建标识码及造价软件加密锁号。若存在投标文件制作机器码或创建标识码或造价软件加密锁号信息与其他投标人雷同的，由评标委员会否决其投标，依法依规予以处理。</w:t>
            </w:r>
          </w:p>
          <w:p w14:paraId="5B39DD03">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11.若存在不予退还投标人投标保证金的情形，银行转账的，由公共资源交易中心代为收缴，递交保函的，由招标人予以追缴。</w:t>
            </w:r>
          </w:p>
          <w:p w14:paraId="68D5461B">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12.投标人以联合体名义投标的，其异议投诉应当由联合体全体成员共同提出。联合体成员单独进行异议投诉的，应当书面征得联合体其他成员同意，联合体成员之间投诉的除外。</w:t>
            </w:r>
          </w:p>
          <w:p w14:paraId="3B9430B9">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13.投标人联系人或联系电话相同的，由评标委员会否决其投标，并报告监管部门作不良行为处理和进一步调查。</w:t>
            </w:r>
          </w:p>
          <w:p w14:paraId="5302CE2B">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注册地在安徽省内且未在安徽省外开展业务、省外无违法违规行为的企业可通过安徽政务服务网开具由安徽省公共信用信息服务中心出具的《公共信用信息报告（无违法违规证明版或核查版）》代替《诚信投标承诺书》，信用报告出具有关问题可咨询滁州市信用办0550-3035032。</w:t>
            </w:r>
          </w:p>
        </w:tc>
      </w:tr>
      <w:tr w14:paraId="0DD37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8" w:type="dxa"/>
            <w:gridSpan w:val="2"/>
            <w:noWrap w:val="0"/>
            <w:vAlign w:val="center"/>
          </w:tcPr>
          <w:p w14:paraId="42F697D5">
            <w:pPr>
              <w:keepNext w:val="0"/>
              <w:keepLines w:val="0"/>
              <w:pageBreakBefore w:val="0"/>
              <w:widowControl/>
              <w:kinsoku/>
              <w:overflowPunct/>
              <w:topLinePunct w:val="0"/>
              <w:autoSpaceDE/>
              <w:autoSpaceDN/>
              <w:bidi w:val="0"/>
              <w:spacing w:line="500" w:lineRule="exact"/>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联系方式（受理异议的联系人及联系方式）</w:t>
            </w:r>
          </w:p>
        </w:tc>
      </w:tr>
      <w:tr w14:paraId="39D6A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7AAF2079">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招标人名称</w:t>
            </w:r>
          </w:p>
        </w:tc>
        <w:tc>
          <w:tcPr>
            <w:tcW w:w="8313" w:type="dxa"/>
            <w:noWrap w:val="0"/>
            <w:vAlign w:val="center"/>
          </w:tcPr>
          <w:p w14:paraId="6DA61E54">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滁州苏滁产城开发有限公司</w:t>
            </w:r>
            <w:r>
              <w:rPr>
                <w:rFonts w:hint="eastAsia" w:ascii="宋体" w:hAnsi="宋体" w:eastAsia="宋体" w:cs="宋体"/>
                <w:color w:val="auto"/>
                <w:sz w:val="21"/>
                <w:szCs w:val="21"/>
                <w:highlight w:val="none"/>
              </w:rPr>
              <w:t xml:space="preserve"> </w:t>
            </w:r>
          </w:p>
        </w:tc>
      </w:tr>
      <w:tr w14:paraId="30AD4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1EA56DF3">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招标人地址</w:t>
            </w:r>
          </w:p>
        </w:tc>
        <w:tc>
          <w:tcPr>
            <w:tcW w:w="8313" w:type="dxa"/>
            <w:noWrap w:val="0"/>
            <w:vAlign w:val="center"/>
          </w:tcPr>
          <w:p w14:paraId="27208CC2">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滁州市徽州南路1999号苏滁商务中心8楼 </w:t>
            </w:r>
            <w:r>
              <w:rPr>
                <w:rFonts w:hint="eastAsia" w:ascii="宋体" w:hAnsi="宋体" w:eastAsia="宋体" w:cs="宋体"/>
                <w:color w:val="auto"/>
                <w:sz w:val="21"/>
                <w:szCs w:val="21"/>
                <w:highlight w:val="none"/>
              </w:rPr>
              <w:t xml:space="preserve"> </w:t>
            </w:r>
          </w:p>
        </w:tc>
      </w:tr>
      <w:tr w14:paraId="39FF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3C86ED8D">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招标人联系人</w:t>
            </w:r>
          </w:p>
        </w:tc>
        <w:tc>
          <w:tcPr>
            <w:tcW w:w="8313" w:type="dxa"/>
            <w:noWrap w:val="0"/>
            <w:vAlign w:val="center"/>
          </w:tcPr>
          <w:p w14:paraId="3E571F03">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李工</w:t>
            </w:r>
            <w:r>
              <w:rPr>
                <w:rFonts w:hint="eastAsia" w:ascii="宋体" w:hAnsi="宋体" w:eastAsia="宋体" w:cs="宋体"/>
                <w:color w:val="auto"/>
                <w:sz w:val="21"/>
                <w:szCs w:val="21"/>
                <w:highlight w:val="none"/>
              </w:rPr>
              <w:t xml:space="preserve"> </w:t>
            </w:r>
          </w:p>
        </w:tc>
      </w:tr>
      <w:tr w14:paraId="49AEB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3D77F3E7">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招标人电话</w:t>
            </w:r>
          </w:p>
        </w:tc>
        <w:tc>
          <w:tcPr>
            <w:tcW w:w="8313" w:type="dxa"/>
            <w:noWrap w:val="0"/>
            <w:vAlign w:val="center"/>
          </w:tcPr>
          <w:p w14:paraId="465B352E">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0550-3026900</w:t>
            </w:r>
            <w:r>
              <w:rPr>
                <w:rFonts w:hint="eastAsia" w:ascii="宋体" w:hAnsi="宋体" w:eastAsia="宋体" w:cs="宋体"/>
                <w:color w:val="auto"/>
                <w:sz w:val="21"/>
                <w:szCs w:val="21"/>
                <w:highlight w:val="none"/>
              </w:rPr>
              <w:t xml:space="preserve"> </w:t>
            </w:r>
          </w:p>
        </w:tc>
      </w:tr>
      <w:tr w14:paraId="5F14E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1E3C21E">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招标代理机构名称</w:t>
            </w:r>
          </w:p>
        </w:tc>
        <w:tc>
          <w:tcPr>
            <w:tcW w:w="8313" w:type="dxa"/>
            <w:noWrap w:val="0"/>
            <w:vAlign w:val="center"/>
          </w:tcPr>
          <w:p w14:paraId="156ED72B">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滁州市城投工程咨询管理有限公司</w:t>
            </w:r>
            <w:r>
              <w:rPr>
                <w:rFonts w:hint="eastAsia" w:ascii="宋体" w:hAnsi="宋体" w:eastAsia="宋体" w:cs="宋体"/>
                <w:color w:val="auto"/>
                <w:sz w:val="21"/>
                <w:szCs w:val="21"/>
                <w:highlight w:val="none"/>
              </w:rPr>
              <w:t xml:space="preserve"> </w:t>
            </w:r>
          </w:p>
        </w:tc>
      </w:tr>
      <w:tr w14:paraId="35B0E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23A6FE5F">
            <w:pPr>
              <w:keepNext w:val="0"/>
              <w:keepLines w:val="0"/>
              <w:pageBreakBefore w:val="0"/>
              <w:widowControl/>
              <w:kinsoku/>
              <w:wordWrap w:val="0"/>
              <w:overflowPunct/>
              <w:topLinePunct w:val="0"/>
              <w:autoSpaceDE/>
              <w:autoSpaceDN/>
              <w:bidi w:val="0"/>
              <w:spacing w:line="500" w:lineRule="exact"/>
              <w:ind w:right="-220" w:rightChars="-105"/>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招标代理机构地址</w:t>
            </w:r>
          </w:p>
        </w:tc>
        <w:tc>
          <w:tcPr>
            <w:tcW w:w="8313" w:type="dxa"/>
            <w:noWrap w:val="0"/>
            <w:vAlign w:val="center"/>
          </w:tcPr>
          <w:p w14:paraId="686EF0F8">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滁州市龙蟠大道109号房产大厦6楼</w:t>
            </w:r>
            <w:r>
              <w:rPr>
                <w:rFonts w:hint="eastAsia" w:ascii="宋体" w:hAnsi="宋体" w:eastAsia="宋体" w:cs="宋体"/>
                <w:color w:val="auto"/>
                <w:sz w:val="21"/>
                <w:szCs w:val="21"/>
                <w:highlight w:val="none"/>
              </w:rPr>
              <w:t xml:space="preserve"> </w:t>
            </w:r>
          </w:p>
        </w:tc>
      </w:tr>
      <w:tr w14:paraId="3E5B9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3DEC397A">
            <w:pPr>
              <w:keepNext w:val="0"/>
              <w:keepLines w:val="0"/>
              <w:pageBreakBefore w:val="0"/>
              <w:widowControl/>
              <w:kinsoku/>
              <w:wordWrap w:val="0"/>
              <w:overflowPunct/>
              <w:topLinePunct w:val="0"/>
              <w:autoSpaceDE/>
              <w:autoSpaceDN/>
              <w:bidi w:val="0"/>
              <w:spacing w:line="500" w:lineRule="exact"/>
              <w:ind w:right="-21" w:rightChars="-1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招标代理机构项目负责人</w:t>
            </w:r>
          </w:p>
        </w:tc>
        <w:tc>
          <w:tcPr>
            <w:tcW w:w="8313" w:type="dxa"/>
            <w:noWrap w:val="0"/>
            <w:vAlign w:val="center"/>
          </w:tcPr>
          <w:p w14:paraId="63855B10">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杨韦</w:t>
            </w:r>
            <w:r>
              <w:rPr>
                <w:rFonts w:hint="eastAsia" w:ascii="宋体" w:hAnsi="宋体" w:eastAsia="宋体" w:cs="宋体"/>
                <w:color w:val="auto"/>
                <w:sz w:val="21"/>
                <w:szCs w:val="21"/>
                <w:highlight w:val="none"/>
              </w:rPr>
              <w:t xml:space="preserve"> </w:t>
            </w:r>
          </w:p>
        </w:tc>
      </w:tr>
      <w:tr w14:paraId="0D0C0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59D58616">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代理机构电话</w:t>
            </w:r>
          </w:p>
        </w:tc>
        <w:tc>
          <w:tcPr>
            <w:tcW w:w="8313" w:type="dxa"/>
            <w:noWrap w:val="0"/>
            <w:vAlign w:val="center"/>
          </w:tcPr>
          <w:p w14:paraId="39EE7A8F">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0550-3519590、18005501210</w:t>
            </w:r>
            <w:r>
              <w:rPr>
                <w:rFonts w:hint="eastAsia" w:ascii="宋体" w:hAnsi="宋体" w:eastAsia="宋体" w:cs="宋体"/>
                <w:color w:val="auto"/>
                <w:sz w:val="21"/>
                <w:szCs w:val="21"/>
                <w:highlight w:val="none"/>
              </w:rPr>
              <w:t xml:space="preserve"> </w:t>
            </w:r>
          </w:p>
        </w:tc>
      </w:tr>
      <w:tr w14:paraId="1EDF5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7E403AC8">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招标投标行政监督部门</w:t>
            </w:r>
          </w:p>
        </w:tc>
        <w:tc>
          <w:tcPr>
            <w:tcW w:w="8313" w:type="dxa"/>
            <w:noWrap w:val="0"/>
            <w:vAlign w:val="center"/>
          </w:tcPr>
          <w:p w14:paraId="20B34EBA">
            <w:pPr>
              <w:keepNext w:val="0"/>
              <w:keepLines w:val="0"/>
              <w:pageBreakBefore w:val="0"/>
              <w:widowControl/>
              <w:kinsoku/>
              <w:wordWrap w:val="0"/>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滁州市公共资源交易监督管理局</w:t>
            </w:r>
            <w:r>
              <w:rPr>
                <w:rFonts w:hint="eastAsia" w:ascii="宋体" w:hAnsi="宋体" w:eastAsia="宋体" w:cs="宋体"/>
                <w:color w:val="auto"/>
                <w:sz w:val="21"/>
                <w:szCs w:val="21"/>
                <w:highlight w:val="none"/>
              </w:rPr>
              <w:t xml:space="preserve">  </w:t>
            </w:r>
          </w:p>
        </w:tc>
      </w:tr>
      <w:bookmarkEnd w:id="0"/>
      <w:bookmarkEnd w:id="1"/>
      <w:bookmarkEnd w:id="2"/>
      <w:bookmarkEnd w:id="3"/>
    </w:tbl>
    <w:p w14:paraId="7E1EE80D">
      <w:pPr>
        <w:pStyle w:val="2"/>
        <w:pageBreakBefore/>
        <w:adjustRightInd w:val="0"/>
        <w:snapToGrid w:val="0"/>
        <w:spacing w:before="0" w:after="0" w:line="560" w:lineRule="exact"/>
        <w:jc w:val="center"/>
        <w:rPr>
          <w:rFonts w:hint="eastAsia"/>
          <w:color w:val="auto"/>
          <w:highlight w:val="none"/>
        </w:rPr>
      </w:pPr>
      <w:bookmarkStart w:id="12" w:name="_Toc152045527"/>
      <w:bookmarkStart w:id="13" w:name="_Toc60061431"/>
      <w:bookmarkStart w:id="14" w:name="_Toc95223333"/>
      <w:bookmarkStart w:id="15" w:name="_Toc324404813"/>
      <w:bookmarkStart w:id="16" w:name="_Toc179632544"/>
      <w:bookmarkStart w:id="17" w:name="_Toc246996916"/>
      <w:bookmarkStart w:id="18" w:name="_Toc15058844"/>
      <w:bookmarkStart w:id="19" w:name="_Toc247085687"/>
      <w:bookmarkStart w:id="20" w:name="_Toc144974495"/>
      <w:bookmarkStart w:id="21" w:name="_Toc506107267"/>
      <w:bookmarkStart w:id="22" w:name="_Toc246996173"/>
      <w:bookmarkStart w:id="23" w:name="_Toc152042303"/>
      <w:r>
        <w:rPr>
          <w:rFonts w:hint="eastAsia"/>
          <w:color w:val="auto"/>
          <w:highlight w:val="none"/>
        </w:rPr>
        <w:t>第二章 投标人须知</w:t>
      </w:r>
      <w:bookmarkEnd w:id="12"/>
      <w:bookmarkEnd w:id="13"/>
      <w:bookmarkEnd w:id="14"/>
      <w:bookmarkEnd w:id="15"/>
      <w:bookmarkEnd w:id="16"/>
      <w:bookmarkEnd w:id="17"/>
      <w:bookmarkEnd w:id="18"/>
      <w:bookmarkEnd w:id="19"/>
      <w:bookmarkEnd w:id="20"/>
      <w:bookmarkEnd w:id="21"/>
      <w:bookmarkEnd w:id="22"/>
      <w:bookmarkEnd w:id="23"/>
    </w:p>
    <w:p w14:paraId="69415A01">
      <w:pPr>
        <w:pStyle w:val="3"/>
        <w:adjustRightInd w:val="0"/>
        <w:snapToGrid w:val="0"/>
        <w:spacing w:before="0" w:after="0" w:line="560" w:lineRule="exact"/>
        <w:jc w:val="center"/>
        <w:rPr>
          <w:rFonts w:hint="eastAsia"/>
          <w:color w:val="auto"/>
          <w:highlight w:val="none"/>
        </w:rPr>
      </w:pPr>
      <w:bookmarkStart w:id="24" w:name="_Toc152042304"/>
      <w:bookmarkStart w:id="25" w:name="_Toc152045528"/>
      <w:bookmarkStart w:id="26" w:name="_Toc179632545"/>
      <w:bookmarkStart w:id="27" w:name="_Toc60061432"/>
      <w:bookmarkStart w:id="28" w:name="_Toc246996174"/>
      <w:bookmarkStart w:id="29" w:name="_Toc506107268"/>
      <w:bookmarkStart w:id="30" w:name="_Toc144974496"/>
      <w:bookmarkStart w:id="31" w:name="_Toc83301687"/>
      <w:bookmarkStart w:id="32" w:name="_Toc95223334"/>
      <w:bookmarkStart w:id="33" w:name="_Toc324404814"/>
      <w:bookmarkStart w:id="34" w:name="_Toc15058845"/>
      <w:bookmarkStart w:id="35" w:name="_Toc246996917"/>
      <w:bookmarkStart w:id="36" w:name="_Toc247085688"/>
      <w:bookmarkStart w:id="37" w:name="_Toc144974497"/>
      <w:bookmarkStart w:id="38" w:name="_Toc506107269"/>
      <w:bookmarkStart w:id="39" w:name="_Toc324404815"/>
      <w:bookmarkStart w:id="40" w:name="_Toc247085689"/>
      <w:bookmarkStart w:id="41" w:name="_Toc179632546"/>
      <w:bookmarkStart w:id="42" w:name="_Toc152042305"/>
      <w:bookmarkStart w:id="43" w:name="_Toc246996918"/>
      <w:bookmarkStart w:id="44" w:name="_Toc246996175"/>
      <w:bookmarkStart w:id="45" w:name="_Toc152045529"/>
      <w:bookmarkStart w:id="46" w:name="_Toc15058846"/>
      <w:r>
        <w:rPr>
          <w:rFonts w:hint="eastAsia"/>
          <w:color w:val="auto"/>
          <w:highlight w:val="none"/>
        </w:rPr>
        <w:t>投标人须知前附表</w:t>
      </w:r>
      <w:bookmarkEnd w:id="24"/>
      <w:bookmarkEnd w:id="25"/>
      <w:bookmarkEnd w:id="26"/>
      <w:bookmarkEnd w:id="27"/>
      <w:bookmarkEnd w:id="28"/>
      <w:bookmarkEnd w:id="29"/>
      <w:bookmarkEnd w:id="30"/>
      <w:bookmarkEnd w:id="31"/>
      <w:bookmarkEnd w:id="32"/>
      <w:bookmarkEnd w:id="33"/>
      <w:bookmarkEnd w:id="34"/>
      <w:bookmarkEnd w:id="35"/>
      <w:bookmarkEnd w:id="36"/>
    </w:p>
    <w:tbl>
      <w:tblPr>
        <w:tblStyle w:val="20"/>
        <w:tblW w:w="10175" w:type="dxa"/>
        <w:jc w:val="center"/>
        <w:tblLayout w:type="fixed"/>
        <w:tblCellMar>
          <w:top w:w="0" w:type="dxa"/>
          <w:left w:w="108" w:type="dxa"/>
          <w:bottom w:w="0" w:type="dxa"/>
          <w:right w:w="108" w:type="dxa"/>
        </w:tblCellMar>
      </w:tblPr>
      <w:tblGrid>
        <w:gridCol w:w="1016"/>
        <w:gridCol w:w="1984"/>
        <w:gridCol w:w="7175"/>
      </w:tblGrid>
      <w:tr w14:paraId="2155F5CE">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4D3032FA">
            <w:pPr>
              <w:adjustRightInd w:val="0"/>
              <w:snapToGrid w:val="0"/>
              <w:spacing w:line="56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序号</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4B567EF2">
            <w:pPr>
              <w:adjustRightInd w:val="0"/>
              <w:snapToGrid w:val="0"/>
              <w:spacing w:line="56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条  款  名  称</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6DB9FB58">
            <w:pPr>
              <w:adjustRightInd w:val="0"/>
              <w:snapToGrid w:val="0"/>
              <w:spacing w:line="56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编  列  内  容</w:t>
            </w:r>
          </w:p>
        </w:tc>
      </w:tr>
      <w:tr w14:paraId="18949A09">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639675C2">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1.1.2</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3BD3CC36">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招标人</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3EBA6FA8">
            <w:pPr>
              <w:pStyle w:val="37"/>
              <w:adjustRightInd w:val="0"/>
              <w:snapToGrid w:val="0"/>
              <w:spacing w:line="560" w:lineRule="exact"/>
              <w:jc w:val="left"/>
              <w:rPr>
                <w:rFonts w:hint="eastAsia" w:ascii="宋体" w:hAnsi="宋体" w:cs="宋体"/>
                <w:color w:val="auto"/>
                <w:kern w:val="2"/>
                <w:sz w:val="24"/>
                <w:szCs w:val="24"/>
                <w:highlight w:val="none"/>
              </w:rPr>
            </w:pPr>
            <w:r>
              <w:rPr>
                <w:rFonts w:hint="eastAsia" w:ascii="宋体" w:hAnsi="宋体" w:cs="宋体"/>
                <w:color w:val="auto"/>
                <w:sz w:val="24"/>
                <w:highlight w:val="none"/>
              </w:rPr>
              <w:t>见招标公告</w:t>
            </w:r>
          </w:p>
        </w:tc>
      </w:tr>
      <w:tr w14:paraId="611C123A">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3F84CC6B">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1.1.3</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B0E56E4">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招标代理机构及其项目负责人</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497CBA71">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见招标公告</w:t>
            </w:r>
          </w:p>
        </w:tc>
      </w:tr>
      <w:tr w14:paraId="0C445F7D">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34F20AE1">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1.1.4</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791BE90">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招标项目名称</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228A5253">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见招标公告</w:t>
            </w:r>
          </w:p>
        </w:tc>
      </w:tr>
      <w:tr w14:paraId="15BAF5FF">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70D94787">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1.1.5</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4D7AB86D">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建设地点</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3D9AF4E4">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见招标公告</w:t>
            </w:r>
          </w:p>
        </w:tc>
      </w:tr>
      <w:tr w14:paraId="6A575E2D">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11DD1D7B">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1.2.1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50D7B90B">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资金来源及出资比例</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486DF955">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见招标公告</w:t>
            </w:r>
          </w:p>
        </w:tc>
      </w:tr>
      <w:tr w14:paraId="3DA963A7">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23E1166F">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1.2.2</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046512F">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资金落实情况</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36478401">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lang w:val="en-US" w:eastAsia="zh-CN"/>
              </w:rPr>
              <w:t>已落实</w:t>
            </w:r>
            <w:r>
              <w:rPr>
                <w:rFonts w:hint="eastAsia" w:ascii="宋体" w:hAnsi="宋体" w:cs="宋体"/>
                <w:color w:val="auto"/>
                <w:sz w:val="24"/>
                <w:highlight w:val="none"/>
              </w:rPr>
              <w:t xml:space="preserve"> </w:t>
            </w:r>
          </w:p>
        </w:tc>
      </w:tr>
      <w:tr w14:paraId="1C4B1DD2">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7266F5DD">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1.3.1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42D135E">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招标范围</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336884A3">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lang w:val="en-US" w:eastAsia="zh-CN"/>
              </w:rPr>
              <w:t>依据招标人提供的初步设计图纸及</w:t>
            </w:r>
            <w:r>
              <w:rPr>
                <w:rFonts w:hint="eastAsia" w:ascii="宋体" w:hAnsi="宋体" w:cs="宋体"/>
                <w:color w:val="auto"/>
                <w:sz w:val="24"/>
                <w:highlight w:val="none"/>
              </w:rPr>
              <w:t>招标人</w:t>
            </w:r>
            <w:r>
              <w:rPr>
                <w:rFonts w:hint="eastAsia" w:ascii="宋体" w:hAnsi="宋体" w:cs="宋体"/>
                <w:color w:val="auto"/>
                <w:sz w:val="24"/>
                <w:highlight w:val="none"/>
                <w:lang w:val="en-US" w:eastAsia="zh-CN"/>
              </w:rPr>
              <w:t>后期</w:t>
            </w:r>
            <w:r>
              <w:rPr>
                <w:rFonts w:hint="eastAsia" w:ascii="宋体" w:hAnsi="宋体" w:cs="宋体"/>
                <w:color w:val="auto"/>
                <w:sz w:val="24"/>
                <w:highlight w:val="none"/>
              </w:rPr>
              <w:t>提供的全套施工图纸中的全部内容</w:t>
            </w:r>
            <w:r>
              <w:rPr>
                <w:rFonts w:hint="eastAsia" w:ascii="宋体" w:hAnsi="宋体" w:cs="宋体"/>
                <w:color w:val="auto"/>
                <w:sz w:val="24"/>
                <w:highlight w:val="none"/>
                <w:lang w:eastAsia="zh-CN"/>
              </w:rPr>
              <w:t>。</w:t>
            </w:r>
          </w:p>
        </w:tc>
      </w:tr>
      <w:tr w14:paraId="4EC69322">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69F50B19">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1.3.2</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62235345">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计划工期</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20B08392">
            <w:pPr>
              <w:adjustRightInd w:val="0"/>
              <w:snapToGrid w:val="0"/>
              <w:spacing w:line="560" w:lineRule="exact"/>
              <w:rPr>
                <w:rFonts w:hint="eastAsia" w:ascii="宋体" w:hAnsi="宋体" w:cs="宋体"/>
                <w:b/>
                <w:color w:val="auto"/>
                <w:sz w:val="24"/>
                <w:highlight w:val="none"/>
              </w:rPr>
            </w:pPr>
            <w:r>
              <w:rPr>
                <w:rFonts w:hint="eastAsia" w:ascii="宋体" w:hAnsi="宋体" w:cs="宋体"/>
                <w:b/>
                <w:color w:val="auto"/>
                <w:sz w:val="24"/>
                <w:highlight w:val="none"/>
              </w:rPr>
              <w:t>计划工期：不高于</w:t>
            </w:r>
            <w:r>
              <w:rPr>
                <w:rFonts w:hint="eastAsia" w:ascii="宋体" w:hAnsi="宋体" w:cs="宋体"/>
                <w:b/>
                <w:color w:val="auto"/>
                <w:sz w:val="24"/>
                <w:highlight w:val="none"/>
                <w:u w:val="single"/>
                <w:lang w:val="en-US" w:eastAsia="zh-CN"/>
              </w:rPr>
              <w:t xml:space="preserve"> 570</w:t>
            </w:r>
            <w:r>
              <w:rPr>
                <w:rFonts w:hint="eastAsia" w:ascii="宋体" w:hAnsi="宋体" w:cs="宋体"/>
                <w:b/>
                <w:color w:val="auto"/>
                <w:sz w:val="24"/>
                <w:highlight w:val="none"/>
              </w:rPr>
              <w:t>个日历天</w:t>
            </w:r>
            <w:r>
              <w:rPr>
                <w:rFonts w:hint="eastAsia" w:ascii="宋体" w:hAnsi="宋体" w:cs="宋体"/>
                <w:b/>
                <w:color w:val="auto"/>
                <w:sz w:val="24"/>
                <w:highlight w:val="none"/>
                <w:lang w:eastAsia="zh-CN"/>
              </w:rPr>
              <w:t>（</w:t>
            </w:r>
            <w:r>
              <w:rPr>
                <w:rFonts w:hint="eastAsia" w:ascii="宋体" w:hAnsi="宋体" w:cs="宋体"/>
                <w:b/>
                <w:color w:val="auto"/>
                <w:sz w:val="24"/>
                <w:highlight w:val="none"/>
                <w:lang w:val="en-US" w:eastAsia="zh-CN"/>
              </w:rPr>
              <w:t>其中28#综合楼、29#厂房、30#厂房、31#厂房须于460个日历天内完成）</w:t>
            </w:r>
            <w:r>
              <w:rPr>
                <w:rFonts w:hint="eastAsia" w:ascii="宋体" w:hAnsi="宋体" w:cs="宋体"/>
                <w:b/>
                <w:color w:val="auto"/>
                <w:sz w:val="24"/>
                <w:highlight w:val="none"/>
              </w:rPr>
              <w:t>。</w:t>
            </w:r>
          </w:p>
          <w:p w14:paraId="53396A87">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计划开工日期：  年  月  日（具体开工日期以开工通知为准</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 xml:space="preserve">               </w:t>
            </w:r>
          </w:p>
          <w:p w14:paraId="2CDE5BB8">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 xml:space="preserve">计划竣工日期：  年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月  日</w:t>
            </w:r>
          </w:p>
          <w:p w14:paraId="29FA2841">
            <w:pPr>
              <w:adjustRightInd w:val="0"/>
              <w:snapToGrid w:val="0"/>
              <w:spacing w:line="560" w:lineRule="exact"/>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除上述总工期外，招标人还要求以下区段工期（如有）：</w:t>
            </w:r>
            <w:r>
              <w:rPr>
                <w:rFonts w:hint="eastAsia" w:ascii="宋体" w:hAnsi="宋体" w:cs="宋体"/>
                <w:color w:val="auto"/>
                <w:sz w:val="24"/>
                <w:highlight w:val="none"/>
                <w:lang w:val="en-US" w:eastAsia="zh-CN"/>
              </w:rPr>
              <w:t>/</w:t>
            </w:r>
          </w:p>
          <w:p w14:paraId="7436CCA6">
            <w:pPr>
              <w:adjustRightInd w:val="0"/>
              <w:snapToGrid w:val="0"/>
              <w:spacing w:line="560" w:lineRule="exact"/>
              <w:rPr>
                <w:rFonts w:hint="eastAsia" w:ascii="宋体" w:hAnsi="宋体" w:cs="宋体"/>
                <w:color w:val="auto"/>
                <w:sz w:val="24"/>
                <w:highlight w:val="none"/>
              </w:rPr>
            </w:pPr>
            <w:r>
              <w:rPr>
                <w:rFonts w:hint="eastAsia" w:ascii="宋体" w:hAnsi="宋体" w:eastAsia="宋体" w:cs="宋体"/>
                <w:color w:val="auto"/>
                <w:sz w:val="24"/>
                <w:highlight w:val="none"/>
                <w:lang w:val="en-US" w:eastAsia="zh-CN"/>
              </w:rPr>
              <w:t>注：每延期一天</w:t>
            </w:r>
            <w:r>
              <w:rPr>
                <w:rFonts w:hint="eastAsia" w:ascii="宋体" w:hAnsi="宋体" w:cs="宋体"/>
                <w:color w:val="auto"/>
                <w:sz w:val="24"/>
                <w:highlight w:val="none"/>
                <w:lang w:val="en-US" w:eastAsia="zh-CN"/>
              </w:rPr>
              <w:t>向招标人支付10000元/天</w:t>
            </w:r>
            <w:r>
              <w:rPr>
                <w:rFonts w:hint="eastAsia" w:ascii="宋体" w:hAnsi="宋体" w:eastAsia="宋体" w:cs="宋体"/>
                <w:color w:val="auto"/>
                <w:sz w:val="24"/>
                <w:highlight w:val="none"/>
                <w:lang w:val="en-US" w:eastAsia="zh-CN"/>
              </w:rPr>
              <w:t>的违约金，工期提前不奖励</w:t>
            </w: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w:t>
            </w:r>
          </w:p>
        </w:tc>
      </w:tr>
      <w:tr w14:paraId="016D2D74">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6ECFDE34">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1.3.3</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6D7F80FE">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质量要求</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11AD5CF7">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工程质量必须达到国家工程施工质量验收</w:t>
            </w:r>
            <w:r>
              <w:rPr>
                <w:rFonts w:hint="eastAsia" w:ascii="宋体" w:hAnsi="宋体" w:cs="宋体"/>
                <w:b/>
                <w:color w:val="auto"/>
                <w:sz w:val="24"/>
                <w:highlight w:val="none"/>
                <w:u w:val="single"/>
              </w:rPr>
              <w:t xml:space="preserve"> </w:t>
            </w:r>
            <w:r>
              <w:rPr>
                <w:rFonts w:hint="eastAsia" w:ascii="宋体" w:hAnsi="宋体" w:cs="宋体"/>
                <w:b/>
                <w:color w:val="auto"/>
                <w:sz w:val="24"/>
                <w:highlight w:val="none"/>
                <w:u w:val="single"/>
                <w:lang w:val="en-US" w:eastAsia="zh-CN"/>
              </w:rPr>
              <w:t>合格</w:t>
            </w:r>
            <w:r>
              <w:rPr>
                <w:rFonts w:hint="eastAsia" w:ascii="宋体" w:hAnsi="宋体" w:cs="宋体"/>
                <w:b/>
                <w:color w:val="auto"/>
                <w:sz w:val="24"/>
                <w:highlight w:val="none"/>
                <w:u w:val="single"/>
              </w:rPr>
              <w:t xml:space="preserve"> </w:t>
            </w:r>
            <w:r>
              <w:rPr>
                <w:rFonts w:hint="eastAsia" w:ascii="宋体" w:hAnsi="宋体" w:cs="宋体"/>
                <w:color w:val="auto"/>
                <w:sz w:val="24"/>
                <w:highlight w:val="none"/>
              </w:rPr>
              <w:t xml:space="preserve">标准。 </w:t>
            </w:r>
          </w:p>
        </w:tc>
      </w:tr>
      <w:tr w14:paraId="7311B5C9">
        <w:tblPrEx>
          <w:tblCellMar>
            <w:top w:w="0" w:type="dxa"/>
            <w:left w:w="108" w:type="dxa"/>
            <w:bottom w:w="0" w:type="dxa"/>
            <w:right w:w="108" w:type="dxa"/>
          </w:tblCellMar>
        </w:tblPrEx>
        <w:trPr>
          <w:trHeight w:val="1232" w:hRule="atLeast"/>
          <w:jc w:val="center"/>
        </w:trPr>
        <w:tc>
          <w:tcPr>
            <w:tcW w:w="1016" w:type="dxa"/>
            <w:tcBorders>
              <w:top w:val="single" w:color="auto" w:sz="4" w:space="0"/>
              <w:left w:val="single" w:color="auto" w:sz="4" w:space="0"/>
              <w:right w:val="single" w:color="auto" w:sz="4" w:space="0"/>
            </w:tcBorders>
            <w:noWrap w:val="0"/>
            <w:vAlign w:val="center"/>
          </w:tcPr>
          <w:p w14:paraId="19871826">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1.4.1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45981A97">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投标人资质条件、能力和信誉</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53AA926C">
            <w:pPr>
              <w:widowControl/>
              <w:adjustRightInd w:val="0"/>
              <w:snapToGrid w:val="0"/>
              <w:spacing w:line="560" w:lineRule="exact"/>
              <w:jc w:val="left"/>
              <w:rPr>
                <w:rFonts w:hint="eastAsia" w:ascii="宋体" w:hAnsi="宋体" w:cs="宋体"/>
                <w:color w:val="auto"/>
                <w:sz w:val="24"/>
                <w:highlight w:val="none"/>
                <w:u w:val="single"/>
              </w:rPr>
            </w:pPr>
            <w:r>
              <w:rPr>
                <w:rFonts w:hint="eastAsia" w:ascii="宋体" w:hAnsi="宋体" w:cs="宋体"/>
                <w:color w:val="auto"/>
                <w:sz w:val="24"/>
                <w:highlight w:val="none"/>
                <w:u w:val="single"/>
              </w:rPr>
              <w:t>详见招标公告</w:t>
            </w:r>
          </w:p>
        </w:tc>
      </w:tr>
      <w:tr w14:paraId="15BDC819">
        <w:tblPrEx>
          <w:tblCellMar>
            <w:top w:w="0" w:type="dxa"/>
            <w:left w:w="108" w:type="dxa"/>
            <w:bottom w:w="0" w:type="dxa"/>
            <w:right w:w="108" w:type="dxa"/>
          </w:tblCellMar>
        </w:tblPrEx>
        <w:trPr>
          <w:trHeight w:val="683"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61E75672">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1.4.2</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58291C63">
            <w:pPr>
              <w:adjustRightInd w:val="0"/>
              <w:snapToGrid w:val="0"/>
              <w:spacing w:line="560" w:lineRule="exact"/>
              <w:jc w:val="center"/>
              <w:rPr>
                <w:rFonts w:hint="eastAsia" w:ascii="宋体" w:hAnsi="宋体" w:cs="宋体"/>
                <w:color w:val="auto"/>
                <w:spacing w:val="-4"/>
                <w:kern w:val="0"/>
                <w:sz w:val="24"/>
                <w:highlight w:val="none"/>
              </w:rPr>
            </w:pPr>
            <w:r>
              <w:rPr>
                <w:rFonts w:hint="eastAsia" w:ascii="宋体" w:hAnsi="宋体" w:cs="宋体"/>
                <w:color w:val="auto"/>
                <w:spacing w:val="-4"/>
                <w:kern w:val="0"/>
                <w:sz w:val="24"/>
                <w:highlight w:val="none"/>
              </w:rPr>
              <w:t>是否接受联合体投标</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05F8E648">
            <w:pPr>
              <w:pStyle w:val="10"/>
              <w:topLinePunct/>
              <w:adjustRightInd w:val="0"/>
              <w:snapToGrid w:val="0"/>
              <w:spacing w:line="560" w:lineRule="exact"/>
              <w:rPr>
                <w:rFonts w:hint="eastAsia" w:hAnsi="宋体" w:cs="宋体"/>
                <w:color w:val="auto"/>
                <w:szCs w:val="24"/>
                <w:highlight w:val="none"/>
              </w:rPr>
            </w:pPr>
            <w:r>
              <w:rPr>
                <w:rFonts w:hint="eastAsia" w:hAnsi="宋体" w:cs="宋体"/>
                <w:color w:val="auto"/>
                <w:szCs w:val="24"/>
                <w:highlight w:val="none"/>
                <w:u w:val="single"/>
              </w:rPr>
              <w:t>详见招标公告</w:t>
            </w:r>
          </w:p>
        </w:tc>
      </w:tr>
      <w:tr w14:paraId="4A8576BF">
        <w:tblPrEx>
          <w:tblCellMar>
            <w:top w:w="0" w:type="dxa"/>
            <w:left w:w="108" w:type="dxa"/>
            <w:bottom w:w="0" w:type="dxa"/>
            <w:right w:w="108" w:type="dxa"/>
          </w:tblCellMar>
        </w:tblPrEx>
        <w:trPr>
          <w:trHeight w:val="683"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2309383F">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1.4.3</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417EC609">
            <w:pPr>
              <w:adjustRightInd w:val="0"/>
              <w:snapToGrid w:val="0"/>
              <w:spacing w:line="560" w:lineRule="exact"/>
              <w:jc w:val="center"/>
              <w:rPr>
                <w:rFonts w:hint="eastAsia" w:ascii="宋体" w:hAnsi="宋体" w:cs="宋体"/>
                <w:color w:val="auto"/>
                <w:spacing w:val="-4"/>
                <w:kern w:val="0"/>
                <w:sz w:val="24"/>
                <w:highlight w:val="none"/>
              </w:rPr>
            </w:pPr>
            <w:r>
              <w:rPr>
                <w:rFonts w:hint="eastAsia" w:ascii="宋体" w:hAnsi="宋体" w:cs="宋体"/>
                <w:color w:val="auto"/>
                <w:spacing w:val="-4"/>
                <w:kern w:val="0"/>
                <w:sz w:val="24"/>
                <w:highlight w:val="none"/>
              </w:rPr>
              <w:t>投标人不得存在的其他关联情形</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61139707">
            <w:pPr>
              <w:pStyle w:val="10"/>
              <w:topLinePunct/>
              <w:adjustRightInd w:val="0"/>
              <w:snapToGrid w:val="0"/>
              <w:spacing w:line="560" w:lineRule="exact"/>
              <w:rPr>
                <w:rFonts w:hint="eastAsia" w:hAnsi="宋体" w:cs="宋体"/>
                <w:color w:val="auto"/>
                <w:szCs w:val="24"/>
                <w:highlight w:val="none"/>
              </w:rPr>
            </w:pPr>
            <w:r>
              <w:rPr>
                <w:rFonts w:hint="eastAsia" w:hAnsi="宋体" w:cs="宋体"/>
                <w:color w:val="auto"/>
                <w:szCs w:val="24"/>
                <w:highlight w:val="none"/>
              </w:rPr>
              <w:t xml:space="preserve">详见招标公告 </w:t>
            </w:r>
          </w:p>
        </w:tc>
      </w:tr>
      <w:tr w14:paraId="4F5BCE73">
        <w:tblPrEx>
          <w:tblCellMar>
            <w:top w:w="0" w:type="dxa"/>
            <w:left w:w="108" w:type="dxa"/>
            <w:bottom w:w="0" w:type="dxa"/>
            <w:right w:w="108" w:type="dxa"/>
          </w:tblCellMar>
        </w:tblPrEx>
        <w:trPr>
          <w:trHeight w:val="683"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421F45A9">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1.9</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251EE1D5">
            <w:pPr>
              <w:adjustRightInd w:val="0"/>
              <w:snapToGrid w:val="0"/>
              <w:spacing w:line="560" w:lineRule="exact"/>
              <w:jc w:val="center"/>
              <w:rPr>
                <w:rFonts w:hint="eastAsia" w:ascii="宋体" w:hAnsi="宋体" w:cs="宋体"/>
                <w:color w:val="auto"/>
                <w:spacing w:val="-4"/>
                <w:kern w:val="0"/>
                <w:sz w:val="24"/>
                <w:highlight w:val="none"/>
              </w:rPr>
            </w:pPr>
            <w:r>
              <w:rPr>
                <w:rFonts w:hint="eastAsia" w:ascii="宋体" w:hAnsi="宋体" w:cs="宋体"/>
                <w:color w:val="auto"/>
                <w:spacing w:val="-4"/>
                <w:kern w:val="0"/>
                <w:sz w:val="24"/>
                <w:highlight w:val="none"/>
              </w:rPr>
              <w:t>踏勘现场</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10688243">
            <w:pPr>
              <w:pStyle w:val="10"/>
              <w:topLinePunct/>
              <w:adjustRightInd w:val="0"/>
              <w:snapToGrid w:val="0"/>
              <w:spacing w:line="560" w:lineRule="exact"/>
              <w:rPr>
                <w:rFonts w:hint="eastAsia" w:hAnsi="宋体" w:cs="宋体"/>
                <w:color w:val="auto"/>
                <w:szCs w:val="24"/>
                <w:highlight w:val="none"/>
              </w:rPr>
            </w:pPr>
            <w:r>
              <w:rPr>
                <w:rFonts w:hint="eastAsia" w:hAnsi="宋体" w:cs="宋体"/>
                <w:color w:val="auto"/>
                <w:spacing w:val="-4"/>
                <w:kern w:val="0"/>
                <w:szCs w:val="24"/>
                <w:highlight w:val="none"/>
              </w:rPr>
              <w:t>不组织，投标人自行组织踏勘</w:t>
            </w:r>
            <w:r>
              <w:rPr>
                <w:rFonts w:hint="eastAsia" w:hAnsi="宋体" w:cs="宋体"/>
                <w:color w:val="auto"/>
                <w:szCs w:val="24"/>
                <w:highlight w:val="none"/>
              </w:rPr>
              <w:t>。</w:t>
            </w:r>
          </w:p>
        </w:tc>
      </w:tr>
      <w:tr w14:paraId="4C47549E">
        <w:tblPrEx>
          <w:tblCellMar>
            <w:top w:w="0" w:type="dxa"/>
            <w:left w:w="108" w:type="dxa"/>
            <w:bottom w:w="0" w:type="dxa"/>
            <w:right w:w="108" w:type="dxa"/>
          </w:tblCellMar>
        </w:tblPrEx>
        <w:trPr>
          <w:trHeight w:val="661"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7ED67A51">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1.10.1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0AF9DB8">
            <w:pPr>
              <w:adjustRightInd w:val="0"/>
              <w:snapToGrid w:val="0"/>
              <w:spacing w:line="560" w:lineRule="exact"/>
              <w:jc w:val="center"/>
              <w:rPr>
                <w:rFonts w:hint="eastAsia" w:ascii="宋体" w:hAnsi="宋体" w:cs="宋体"/>
                <w:color w:val="auto"/>
                <w:spacing w:val="-4"/>
                <w:kern w:val="0"/>
                <w:sz w:val="24"/>
                <w:highlight w:val="none"/>
              </w:rPr>
            </w:pPr>
            <w:r>
              <w:rPr>
                <w:rFonts w:hint="eastAsia" w:ascii="宋体" w:hAnsi="宋体" w:cs="宋体"/>
                <w:color w:val="auto"/>
                <w:spacing w:val="-4"/>
                <w:kern w:val="0"/>
                <w:sz w:val="24"/>
                <w:highlight w:val="none"/>
              </w:rPr>
              <w:t>投标预备会</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2A320ED2">
            <w:pPr>
              <w:pStyle w:val="10"/>
              <w:topLinePunct/>
              <w:adjustRightInd w:val="0"/>
              <w:snapToGrid w:val="0"/>
              <w:spacing w:line="560" w:lineRule="exact"/>
              <w:rPr>
                <w:rFonts w:hint="eastAsia" w:hAnsi="宋体" w:cs="宋体"/>
                <w:color w:val="auto"/>
                <w:szCs w:val="24"/>
                <w:highlight w:val="none"/>
              </w:rPr>
            </w:pPr>
            <w:r>
              <w:rPr>
                <w:rFonts w:hint="eastAsia" w:hAnsi="宋体" w:cs="宋体"/>
                <w:color w:val="auto"/>
                <w:szCs w:val="24"/>
                <w:highlight w:val="none"/>
                <w:u w:val="none"/>
              </w:rPr>
              <w:t>不召开。</w:t>
            </w:r>
            <w:r>
              <w:rPr>
                <w:rFonts w:hint="eastAsia" w:hAnsi="宋体" w:cs="宋体"/>
                <w:color w:val="auto"/>
                <w:szCs w:val="24"/>
                <w:highlight w:val="none"/>
              </w:rPr>
              <w:t xml:space="preserve">  </w:t>
            </w:r>
          </w:p>
        </w:tc>
      </w:tr>
      <w:tr w14:paraId="7783CA71">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5D0C223E">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1.10.2</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2A4DBBF9">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投标人在投标预备会前提出问题</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3BA3B69B">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时间：</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 xml:space="preserve">    </w:t>
            </w:r>
          </w:p>
          <w:p w14:paraId="3E6089EA">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形式：</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 xml:space="preserve">    </w:t>
            </w:r>
          </w:p>
        </w:tc>
      </w:tr>
      <w:tr w14:paraId="6C300C30">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7A82B346">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1.11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575DCC5">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分包</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411BF9C8">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u w:val="single"/>
              </w:rPr>
              <w:t>允许</w:t>
            </w:r>
            <w:r>
              <w:rPr>
                <w:rFonts w:hint="eastAsia" w:ascii="宋体" w:hAnsi="宋体" w:cs="宋体"/>
                <w:color w:val="auto"/>
                <w:sz w:val="24"/>
                <w:highlight w:val="none"/>
                <w:u w:val="none"/>
              </w:rPr>
              <w:t>，</w:t>
            </w:r>
            <w:r>
              <w:rPr>
                <w:rFonts w:hint="eastAsia" w:ascii="宋体" w:hAnsi="宋体" w:cs="宋体"/>
                <w:color w:val="auto"/>
                <w:sz w:val="24"/>
                <w:highlight w:val="none"/>
              </w:rPr>
              <w:t xml:space="preserve">分包内容要求：主体结构、关键性工作的范围以外的专业工程                       </w:t>
            </w:r>
          </w:p>
          <w:p w14:paraId="3264CC92">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分包金额要求：</w:t>
            </w:r>
            <w:r>
              <w:rPr>
                <w:rFonts w:hint="eastAsia" w:ascii="宋体" w:hAnsi="宋体" w:eastAsia="宋体" w:cs="宋体"/>
                <w:color w:val="auto"/>
                <w:sz w:val="24"/>
                <w:highlight w:val="none"/>
              </w:rPr>
              <w:t>另行约定</w:t>
            </w:r>
            <w:r>
              <w:rPr>
                <w:rFonts w:hint="eastAsia" w:ascii="宋体" w:hAnsi="宋体" w:cs="宋体"/>
                <w:color w:val="auto"/>
                <w:sz w:val="24"/>
                <w:highlight w:val="none"/>
              </w:rPr>
              <w:t xml:space="preserve">               </w:t>
            </w:r>
          </w:p>
          <w:p w14:paraId="7FC76F21">
            <w:pPr>
              <w:adjustRightInd w:val="0"/>
              <w:snapToGrid w:val="0"/>
              <w:spacing w:line="560" w:lineRule="exact"/>
              <w:jc w:val="left"/>
              <w:rPr>
                <w:rFonts w:hint="eastAsia" w:ascii="宋体" w:hAnsi="宋体" w:cs="宋体"/>
                <w:color w:val="auto"/>
                <w:sz w:val="24"/>
                <w:highlight w:val="none"/>
                <w:lang w:eastAsia="zh-CN"/>
              </w:rPr>
            </w:pPr>
            <w:r>
              <w:rPr>
                <w:rFonts w:hint="eastAsia" w:ascii="宋体" w:hAnsi="宋体" w:cs="宋体"/>
                <w:color w:val="auto"/>
                <w:sz w:val="24"/>
                <w:highlight w:val="none"/>
              </w:rPr>
              <w:t>接受分包的第三人资质要求：</w:t>
            </w:r>
            <w:r>
              <w:rPr>
                <w:rFonts w:hint="eastAsia" w:ascii="宋体" w:hAnsi="宋体" w:eastAsia="宋体" w:cs="宋体"/>
                <w:color w:val="auto"/>
                <w:sz w:val="24"/>
                <w:highlight w:val="none"/>
              </w:rPr>
              <w:t>必须经招标人同意，且须满足分包工程的资质要求</w:t>
            </w:r>
            <w:r>
              <w:rPr>
                <w:rFonts w:hint="eastAsia" w:ascii="宋体" w:hAnsi="宋体" w:cs="宋体"/>
                <w:color w:val="auto"/>
                <w:sz w:val="24"/>
                <w:highlight w:val="none"/>
                <w:lang w:eastAsia="zh-CN"/>
              </w:rPr>
              <w:t>。</w:t>
            </w:r>
          </w:p>
          <w:p w14:paraId="3FA8D1B2">
            <w:pPr>
              <w:adjustRightInd w:val="0"/>
              <w:snapToGrid w:val="0"/>
              <w:spacing w:line="560" w:lineRule="exact"/>
              <w:jc w:val="left"/>
              <w:rPr>
                <w:rFonts w:hint="eastAsia" w:ascii="宋体" w:hAnsi="宋体" w:cs="宋体"/>
                <w:color w:val="auto"/>
                <w:kern w:val="0"/>
                <w:sz w:val="24"/>
                <w:highlight w:val="none"/>
              </w:rPr>
            </w:pPr>
            <w:r>
              <w:rPr>
                <w:rFonts w:hint="eastAsia" w:ascii="宋体" w:hAnsi="宋体" w:cs="宋体"/>
                <w:b/>
                <w:bCs/>
                <w:color w:val="auto"/>
                <w:sz w:val="24"/>
                <w:highlight w:val="none"/>
              </w:rPr>
              <w:t>注：允许分包的，其分包合同须报建设单位备案。</w:t>
            </w:r>
          </w:p>
        </w:tc>
      </w:tr>
      <w:tr w14:paraId="43A9E644">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34BBE19B">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2.1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631FD468">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构成招标文件的其他资料</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6E233AAA">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 xml:space="preserve"> 本工程招标澄清答疑文件。 </w:t>
            </w:r>
          </w:p>
        </w:tc>
      </w:tr>
      <w:tr w14:paraId="59F8EC42">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582F880F">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2.2</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45D3A546">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投标人提出异议的截止时间及方式</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07B646C0">
            <w:pPr>
              <w:adjustRightInd w:val="0"/>
              <w:snapToGrid w:val="0"/>
              <w:spacing w:line="560" w:lineRule="exact"/>
              <w:jc w:val="left"/>
              <w:rPr>
                <w:rFonts w:hint="eastAsia" w:ascii="宋体" w:hAnsi="宋体" w:cs="宋体"/>
                <w:color w:val="auto"/>
                <w:sz w:val="24"/>
                <w:highlight w:val="none"/>
              </w:rPr>
            </w:pPr>
            <w:r>
              <w:rPr>
                <w:rFonts w:hint="eastAsia" w:ascii="宋体" w:hAnsi="宋体" w:cs="宋体"/>
                <w:color w:val="auto"/>
                <w:kern w:val="0"/>
                <w:sz w:val="24"/>
                <w:highlight w:val="none"/>
              </w:rPr>
              <w:t>如投标人对招标文件有异议，请于</w:t>
            </w:r>
            <w:r>
              <w:rPr>
                <w:rFonts w:hint="eastAsia" w:ascii="宋体" w:hAnsi="宋体" w:cs="宋体"/>
                <w:color w:val="auto"/>
                <w:kern w:val="0"/>
                <w:sz w:val="24"/>
                <w:highlight w:val="none"/>
                <w:lang w:val="en-US" w:eastAsia="zh-CN"/>
              </w:rPr>
              <w:t>2026</w:t>
            </w:r>
            <w:r>
              <w:rPr>
                <w:rFonts w:hint="eastAsia" w:ascii="宋体" w:hAnsi="宋体" w:cs="宋体"/>
                <w:color w:val="auto"/>
                <w:kern w:val="0"/>
                <w:sz w:val="24"/>
                <w:highlight w:val="none"/>
              </w:rPr>
              <w:t>年</w:t>
            </w:r>
            <w:r>
              <w:rPr>
                <w:rFonts w:hint="eastAsia" w:ascii="宋体" w:hAnsi="宋体" w:cs="宋体"/>
                <w:color w:val="auto"/>
                <w:kern w:val="0"/>
                <w:sz w:val="24"/>
                <w:highlight w:val="none"/>
                <w:lang w:val="en-US" w:eastAsia="zh-CN"/>
              </w:rPr>
              <w:t>3</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29</w:t>
            </w:r>
            <w:r>
              <w:rPr>
                <w:rFonts w:hint="eastAsia" w:ascii="宋体" w:hAnsi="宋体" w:cs="宋体"/>
                <w:color w:val="auto"/>
                <w:kern w:val="0"/>
                <w:sz w:val="24"/>
                <w:highlight w:val="none"/>
              </w:rPr>
              <w:t>日</w:t>
            </w:r>
            <w:r>
              <w:rPr>
                <w:rFonts w:hint="eastAsia" w:ascii="宋体" w:hAnsi="宋体" w:cs="宋体"/>
                <w:color w:val="auto"/>
                <w:kern w:val="0"/>
                <w:sz w:val="24"/>
                <w:highlight w:val="none"/>
                <w:lang w:val="en-US" w:eastAsia="zh-CN"/>
              </w:rPr>
              <w:t>8</w:t>
            </w:r>
            <w:r>
              <w:rPr>
                <w:rFonts w:hint="eastAsia" w:ascii="宋体" w:hAnsi="宋体" w:cs="宋体"/>
                <w:color w:val="auto"/>
                <w:kern w:val="0"/>
                <w:sz w:val="24"/>
                <w:highlight w:val="none"/>
              </w:rPr>
              <w:t>时</w:t>
            </w:r>
            <w:r>
              <w:rPr>
                <w:rFonts w:hint="eastAsia" w:ascii="宋体" w:hAnsi="宋体" w:cs="宋体"/>
                <w:color w:val="auto"/>
                <w:kern w:val="0"/>
                <w:sz w:val="24"/>
                <w:highlight w:val="none"/>
                <w:lang w:val="en-US" w:eastAsia="zh-CN"/>
              </w:rPr>
              <w:t>30分</w:t>
            </w:r>
            <w:r>
              <w:rPr>
                <w:rFonts w:hint="eastAsia" w:ascii="宋体" w:hAnsi="宋体" w:cs="宋体"/>
                <w:color w:val="auto"/>
                <w:kern w:val="0"/>
                <w:sz w:val="24"/>
                <w:highlight w:val="none"/>
              </w:rPr>
              <w:t>（投标截止10日）前在滁州市公共资源交易中心网电子交易系统中进行异议，具体操作步骤和程序请参见服务指南&gt;交易须知&gt;在线异议、质疑和投诉操作手册。</w:t>
            </w:r>
          </w:p>
        </w:tc>
      </w:tr>
      <w:tr w14:paraId="47CE8CF9">
        <w:tblPrEx>
          <w:tblCellMar>
            <w:top w:w="0" w:type="dxa"/>
            <w:left w:w="108" w:type="dxa"/>
            <w:bottom w:w="0" w:type="dxa"/>
            <w:right w:w="108" w:type="dxa"/>
          </w:tblCellMar>
        </w:tblPrEx>
        <w:trPr>
          <w:trHeight w:val="1196"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3D8056AE">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2.3</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98CE3E9">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招标人澄清的时间及方式</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5657BE70">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2026</w:t>
            </w:r>
            <w:r>
              <w:rPr>
                <w:rFonts w:hint="eastAsia" w:ascii="宋体" w:hAnsi="宋体" w:cs="宋体"/>
                <w:color w:val="auto"/>
                <w:sz w:val="24"/>
                <w:highlight w:val="none"/>
              </w:rPr>
              <w:t>年</w:t>
            </w:r>
            <w:r>
              <w:rPr>
                <w:rFonts w:hint="eastAsia" w:ascii="宋体" w:hAnsi="宋体" w:cs="宋体"/>
                <w:color w:val="auto"/>
                <w:sz w:val="24"/>
                <w:highlight w:val="none"/>
                <w:u w:val="single"/>
                <w:lang w:val="en-US" w:eastAsia="zh-CN"/>
              </w:rPr>
              <w:t xml:space="preserve">3 </w:t>
            </w:r>
            <w:r>
              <w:rPr>
                <w:rFonts w:hint="eastAsia" w:ascii="宋体" w:hAnsi="宋体" w:cs="宋体"/>
                <w:color w:val="auto"/>
                <w:sz w:val="24"/>
                <w:highlight w:val="none"/>
              </w:rPr>
              <w:t>月</w:t>
            </w:r>
            <w:r>
              <w:rPr>
                <w:rFonts w:hint="eastAsia" w:ascii="宋体" w:hAnsi="宋体" w:cs="宋体"/>
                <w:color w:val="auto"/>
                <w:sz w:val="24"/>
                <w:highlight w:val="none"/>
                <w:u w:val="single"/>
                <w:lang w:val="en-US" w:eastAsia="zh-CN"/>
              </w:rPr>
              <w:t xml:space="preserve"> 31</w:t>
            </w:r>
            <w:r>
              <w:rPr>
                <w:rFonts w:hint="eastAsia" w:ascii="宋体" w:hAnsi="宋体" w:cs="宋体"/>
                <w:color w:val="auto"/>
                <w:sz w:val="24"/>
                <w:highlight w:val="none"/>
              </w:rPr>
              <w:t>日</w:t>
            </w:r>
            <w:r>
              <w:rPr>
                <w:rFonts w:hint="eastAsia" w:ascii="宋体" w:hAnsi="宋体" w:cs="宋体"/>
                <w:color w:val="auto"/>
                <w:sz w:val="24"/>
                <w:highlight w:val="none"/>
                <w:u w:val="single"/>
              </w:rPr>
              <w:t>17</w:t>
            </w:r>
            <w:r>
              <w:rPr>
                <w:rFonts w:hint="eastAsia" w:ascii="宋体" w:hAnsi="宋体" w:cs="宋体"/>
                <w:color w:val="auto"/>
                <w:sz w:val="24"/>
                <w:highlight w:val="none"/>
              </w:rPr>
              <w:t>时前</w:t>
            </w:r>
            <w:r>
              <w:rPr>
                <w:rFonts w:hint="eastAsia" w:ascii="宋体" w:hAnsi="宋体" w:cs="宋体"/>
                <w:color w:val="auto"/>
                <w:kern w:val="0"/>
                <w:sz w:val="24"/>
                <w:highlight w:val="none"/>
              </w:rPr>
              <w:t>在滁州市公共资源交易中心网站</w:t>
            </w:r>
            <w:r>
              <w:rPr>
                <w:rFonts w:hint="eastAsia" w:ascii="宋体" w:hAnsi="宋体" w:cs="宋体"/>
                <w:color w:val="auto"/>
                <w:sz w:val="24"/>
                <w:highlight w:val="none"/>
              </w:rPr>
              <w:t xml:space="preserve"> “答疑澄清文件”栏目予以公告</w:t>
            </w:r>
            <w:r>
              <w:rPr>
                <w:rFonts w:hint="eastAsia" w:ascii="宋体" w:hAnsi="宋体" w:cs="宋体"/>
                <w:color w:val="auto"/>
                <w:kern w:val="0"/>
                <w:sz w:val="24"/>
                <w:highlight w:val="none"/>
              </w:rPr>
              <w:t>。</w:t>
            </w:r>
          </w:p>
        </w:tc>
      </w:tr>
      <w:tr w14:paraId="7569A07A">
        <w:tblPrEx>
          <w:tblCellMar>
            <w:top w:w="0" w:type="dxa"/>
            <w:left w:w="108" w:type="dxa"/>
            <w:bottom w:w="0" w:type="dxa"/>
            <w:right w:w="108" w:type="dxa"/>
          </w:tblCellMar>
        </w:tblPrEx>
        <w:trPr>
          <w:trHeight w:val="681"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23C758B0">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3.2.1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F605458">
            <w:pPr>
              <w:adjustRightInd w:val="0"/>
              <w:snapToGrid w:val="0"/>
              <w:spacing w:line="560" w:lineRule="exact"/>
              <w:jc w:val="center"/>
              <w:rPr>
                <w:rFonts w:hint="eastAsia" w:ascii="宋体" w:hAnsi="宋体" w:cs="宋体"/>
                <w:color w:val="auto"/>
                <w:sz w:val="24"/>
                <w:highlight w:val="none"/>
              </w:rPr>
            </w:pPr>
            <w:r>
              <w:rPr>
                <w:rFonts w:hint="eastAsia"/>
                <w:color w:val="auto"/>
                <w:sz w:val="24"/>
                <w:highlight w:val="none"/>
              </w:rPr>
              <w:t>增值税税金</w:t>
            </w:r>
          </w:p>
        </w:tc>
        <w:tc>
          <w:tcPr>
            <w:tcW w:w="7175" w:type="dxa"/>
            <w:tcBorders>
              <w:top w:val="single" w:color="auto" w:sz="4" w:space="0"/>
              <w:left w:val="single" w:color="auto" w:sz="4" w:space="0"/>
              <w:bottom w:val="single" w:color="auto" w:sz="4" w:space="0"/>
              <w:right w:val="single" w:color="auto" w:sz="4" w:space="0"/>
            </w:tcBorders>
            <w:noWrap w:val="0"/>
            <w:vAlign w:val="top"/>
          </w:tcPr>
          <w:p w14:paraId="07A13DEB">
            <w:pPr>
              <w:adjustRightInd w:val="0"/>
              <w:snapToGrid w:val="0"/>
              <w:spacing w:line="560" w:lineRule="exact"/>
              <w:rPr>
                <w:rFonts w:hint="eastAsia" w:ascii="宋体" w:hAnsi="宋体" w:cs="宋体"/>
                <w:bCs/>
                <w:snapToGrid w:val="0"/>
                <w:color w:val="auto"/>
                <w:kern w:val="0"/>
                <w:sz w:val="24"/>
                <w:highlight w:val="none"/>
              </w:rPr>
            </w:pPr>
            <w:r>
              <w:rPr>
                <w:rFonts w:hint="eastAsia" w:ascii="宋体" w:hAnsi="宋体" w:cs="宋体"/>
                <w:bCs/>
                <w:snapToGrid w:val="0"/>
                <w:color w:val="auto"/>
                <w:kern w:val="0"/>
                <w:sz w:val="24"/>
                <w:highlight w:val="none"/>
              </w:rPr>
              <w:t>（1）计税方法：一般计税方法</w:t>
            </w:r>
          </w:p>
          <w:p w14:paraId="7811638E">
            <w:pPr>
              <w:adjustRightInd w:val="0"/>
              <w:snapToGrid w:val="0"/>
              <w:spacing w:line="560" w:lineRule="exact"/>
              <w:rPr>
                <w:rFonts w:hint="eastAsia" w:ascii="宋体" w:hAnsi="宋体" w:cs="宋体"/>
                <w:bCs/>
                <w:snapToGrid w:val="0"/>
                <w:color w:val="auto"/>
                <w:kern w:val="0"/>
                <w:sz w:val="24"/>
                <w:highlight w:val="none"/>
                <w:u w:val="single"/>
              </w:rPr>
            </w:pPr>
            <w:r>
              <w:rPr>
                <w:rFonts w:hint="eastAsia" w:ascii="宋体" w:hAnsi="宋体" w:cs="宋体"/>
                <w:bCs/>
                <w:snapToGrid w:val="0"/>
                <w:color w:val="auto"/>
                <w:kern w:val="0"/>
                <w:sz w:val="24"/>
                <w:highlight w:val="none"/>
              </w:rPr>
              <w:t>（2）发票类型：增值税专用发票</w:t>
            </w:r>
          </w:p>
          <w:p w14:paraId="636D90EE">
            <w:pPr>
              <w:numPr>
                <w:ilvl w:val="0"/>
                <w:numId w:val="1"/>
              </w:numPr>
              <w:adjustRightInd w:val="0"/>
              <w:snapToGrid w:val="0"/>
              <w:spacing w:line="560" w:lineRule="exact"/>
              <w:rPr>
                <w:rFonts w:hint="eastAsia" w:ascii="宋体" w:hAnsi="宋体" w:cs="宋体"/>
                <w:bCs/>
                <w:snapToGrid w:val="0"/>
                <w:color w:val="auto"/>
                <w:kern w:val="0"/>
                <w:sz w:val="24"/>
                <w:highlight w:val="none"/>
              </w:rPr>
            </w:pPr>
            <w:r>
              <w:rPr>
                <w:rFonts w:hint="eastAsia" w:ascii="宋体" w:hAnsi="宋体" w:cs="宋体"/>
                <w:bCs/>
                <w:snapToGrid w:val="0"/>
                <w:color w:val="auto"/>
                <w:kern w:val="0"/>
                <w:sz w:val="24"/>
                <w:highlight w:val="none"/>
              </w:rPr>
              <w:t>增值税税率按照国家有关规定执行。</w:t>
            </w:r>
          </w:p>
          <w:p w14:paraId="08D7A874">
            <w:pPr>
              <w:pStyle w:val="10"/>
              <w:topLinePunct/>
              <w:adjustRightInd w:val="0"/>
              <w:snapToGrid w:val="0"/>
              <w:spacing w:line="560" w:lineRule="exact"/>
              <w:ind w:firstLine="600" w:firstLineChars="250"/>
              <w:rPr>
                <w:rFonts w:hint="eastAsia" w:hAnsi="宋体" w:cs="宋体"/>
                <w:color w:val="auto"/>
                <w:kern w:val="0"/>
                <w:szCs w:val="24"/>
                <w:highlight w:val="none"/>
              </w:rPr>
            </w:pPr>
            <w:r>
              <w:rPr>
                <w:rFonts w:hint="eastAsia" w:hAnsi="宋体" w:cs="宋体"/>
                <w:bCs/>
                <w:snapToGrid w:val="0"/>
                <w:color w:val="auto"/>
                <w:kern w:val="0"/>
                <w:szCs w:val="24"/>
                <w:highlight w:val="none"/>
              </w:rPr>
              <w:t>其它：</w:t>
            </w:r>
            <w:r>
              <w:rPr>
                <w:rFonts w:hint="eastAsia" w:hAnsi="宋体" w:cs="宋体"/>
                <w:bCs/>
                <w:snapToGrid w:val="0"/>
                <w:color w:val="auto"/>
                <w:kern w:val="0"/>
                <w:szCs w:val="24"/>
                <w:highlight w:val="none"/>
                <w:u w:val="single"/>
              </w:rPr>
              <w:t xml:space="preserve">   </w:t>
            </w:r>
            <w:r>
              <w:rPr>
                <w:rFonts w:hint="eastAsia" w:hAnsi="宋体" w:cs="宋体"/>
                <w:bCs/>
                <w:snapToGrid w:val="0"/>
                <w:color w:val="auto"/>
                <w:kern w:val="0"/>
                <w:szCs w:val="24"/>
                <w:highlight w:val="none"/>
                <w:u w:val="single"/>
                <w:lang w:val="en-US" w:eastAsia="zh-CN"/>
              </w:rPr>
              <w:t>/</w:t>
            </w:r>
            <w:r>
              <w:rPr>
                <w:rFonts w:hint="eastAsia" w:hAnsi="宋体" w:cs="宋体"/>
                <w:bCs/>
                <w:snapToGrid w:val="0"/>
                <w:color w:val="auto"/>
                <w:kern w:val="0"/>
                <w:szCs w:val="24"/>
                <w:highlight w:val="none"/>
                <w:u w:val="single"/>
              </w:rPr>
              <w:t xml:space="preserve">       </w:t>
            </w:r>
            <w:r>
              <w:rPr>
                <w:rFonts w:hint="eastAsia" w:hAnsi="宋体" w:cs="宋体"/>
                <w:bCs/>
                <w:snapToGrid w:val="0"/>
                <w:color w:val="auto"/>
                <w:kern w:val="0"/>
                <w:szCs w:val="24"/>
                <w:highlight w:val="none"/>
              </w:rPr>
              <w:t xml:space="preserve"> 。</w:t>
            </w:r>
          </w:p>
        </w:tc>
      </w:tr>
      <w:tr w14:paraId="4D5B0CDB">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1E63C5A8">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3.2.4</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25FB8F59">
            <w:pPr>
              <w:adjustRightInd w:val="0"/>
              <w:snapToGrid w:val="0"/>
              <w:spacing w:line="560" w:lineRule="exact"/>
              <w:jc w:val="center"/>
              <w:rPr>
                <w:rFonts w:hint="eastAsia" w:ascii="宋体" w:hAnsi="宋体" w:eastAsia="宋体" w:cs="宋体"/>
                <w:color w:val="auto"/>
                <w:sz w:val="24"/>
                <w:highlight w:val="none"/>
                <w:lang w:eastAsia="zh-CN"/>
              </w:rPr>
            </w:pPr>
            <w:r>
              <w:rPr>
                <w:rFonts w:hint="eastAsia" w:ascii="宋体" w:hAnsi="宋体" w:cs="宋体"/>
                <w:b/>
                <w:bCs/>
                <w:color w:val="auto"/>
                <w:sz w:val="24"/>
                <w:highlight w:val="none"/>
              </w:rPr>
              <w:t>最高投标限价</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7BCD648C">
            <w:pPr>
              <w:adjustRightInd w:val="0"/>
              <w:snapToGrid w:val="0"/>
              <w:spacing w:line="560" w:lineRule="exact"/>
              <w:rPr>
                <w:rFonts w:hint="eastAsia" w:ascii="宋体" w:hAnsi="宋体" w:cs="宋体"/>
                <w:b/>
                <w:color w:val="auto"/>
                <w:sz w:val="24"/>
                <w:highlight w:val="none"/>
                <w:u w:val="single"/>
              </w:rPr>
            </w:pPr>
            <w:r>
              <w:rPr>
                <w:rFonts w:hint="eastAsia" w:ascii="宋体" w:hAnsi="宋体" w:cs="宋体"/>
                <w:bCs/>
                <w:color w:val="auto"/>
                <w:sz w:val="24"/>
                <w:highlight w:val="none"/>
                <w:u w:val="none"/>
              </w:rPr>
              <w:t>有</w:t>
            </w:r>
            <w:r>
              <w:rPr>
                <w:rFonts w:hint="eastAsia" w:ascii="宋体" w:hAnsi="宋体" w:cs="宋体"/>
                <w:bCs/>
                <w:color w:val="auto"/>
                <w:sz w:val="24"/>
                <w:highlight w:val="none"/>
              </w:rPr>
              <w:t>，</w:t>
            </w:r>
            <w:r>
              <w:rPr>
                <w:rFonts w:hint="eastAsia" w:ascii="宋体" w:hAnsi="宋体" w:cs="宋体"/>
                <w:color w:val="auto"/>
                <w:sz w:val="24"/>
                <w:highlight w:val="none"/>
              </w:rPr>
              <w:t>公布的最高投标限价：</w:t>
            </w:r>
            <w:r>
              <w:rPr>
                <w:rFonts w:hint="eastAsia" w:ascii="宋体" w:hAnsi="宋体" w:cs="宋体"/>
                <w:color w:val="auto"/>
                <w:sz w:val="24"/>
                <w:highlight w:val="none"/>
                <w:u w:val="single"/>
                <w:lang w:val="en-US" w:eastAsia="zh-CN"/>
              </w:rPr>
              <w:t>707647945.54</w:t>
            </w:r>
            <w:r>
              <w:rPr>
                <w:rFonts w:hint="eastAsia" w:ascii="宋体" w:hAnsi="宋体" w:cs="宋体"/>
                <w:color w:val="auto"/>
                <w:sz w:val="24"/>
                <w:highlight w:val="none"/>
                <w:u w:val="single"/>
              </w:rPr>
              <w:t>元（其中含暂列金额</w:t>
            </w:r>
            <w:r>
              <w:rPr>
                <w:rFonts w:hint="eastAsia" w:ascii="宋体" w:hAnsi="宋体" w:cs="宋体"/>
                <w:color w:val="auto"/>
                <w:sz w:val="24"/>
                <w:highlight w:val="none"/>
                <w:u w:val="single"/>
                <w:lang w:val="en-US" w:eastAsia="zh-CN"/>
              </w:rPr>
              <w:t>60000000.00</w:t>
            </w:r>
            <w:r>
              <w:rPr>
                <w:rFonts w:hint="eastAsia" w:ascii="宋体" w:hAnsi="宋体" w:cs="宋体"/>
                <w:color w:val="auto"/>
                <w:sz w:val="24"/>
                <w:highlight w:val="none"/>
                <w:u w:val="single"/>
              </w:rPr>
              <w:t>元）</w:t>
            </w:r>
            <w:r>
              <w:rPr>
                <w:rFonts w:hint="eastAsia" w:ascii="宋体" w:hAnsi="宋体" w:cs="宋体"/>
                <w:color w:val="auto"/>
                <w:sz w:val="24"/>
                <w:highlight w:val="none"/>
              </w:rPr>
              <w:t>。应当</w:t>
            </w:r>
            <w:r>
              <w:rPr>
                <w:rFonts w:hint="eastAsia" w:ascii="宋体" w:hAnsi="宋体" w:cs="宋体"/>
                <w:b/>
                <w:bCs/>
                <w:color w:val="auto"/>
                <w:sz w:val="24"/>
                <w:highlight w:val="none"/>
                <w:u w:val="single"/>
              </w:rPr>
              <w:t>包括总价、各单位工程的分部分项工程费、措施项目费、其他项目费、不可竞争性费用和税金。</w:t>
            </w:r>
          </w:p>
          <w:p w14:paraId="140E5429">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发布时间：</w:t>
            </w:r>
            <w:r>
              <w:rPr>
                <w:rFonts w:hint="eastAsia" w:ascii="宋体" w:hAnsi="宋体" w:cs="宋体"/>
                <w:color w:val="auto"/>
                <w:sz w:val="24"/>
                <w:highlight w:val="none"/>
                <w:u w:val="single"/>
                <w:lang w:val="en-US" w:eastAsia="zh-CN"/>
              </w:rPr>
              <w:t>2026</w:t>
            </w:r>
            <w:r>
              <w:rPr>
                <w:rFonts w:hint="eastAsia" w:ascii="宋体" w:hAnsi="宋体" w:cs="宋体"/>
                <w:color w:val="auto"/>
                <w:sz w:val="24"/>
                <w:highlight w:val="none"/>
              </w:rPr>
              <w:t>年</w:t>
            </w:r>
            <w:r>
              <w:rPr>
                <w:rFonts w:hint="eastAsia" w:ascii="宋体" w:hAnsi="宋体" w:cs="宋体"/>
                <w:color w:val="auto"/>
                <w:sz w:val="24"/>
                <w:highlight w:val="none"/>
                <w:u w:val="single"/>
                <w:lang w:val="en-US" w:eastAsia="zh-CN"/>
              </w:rPr>
              <w:t xml:space="preserve"> 3</w:t>
            </w:r>
            <w:r>
              <w:rPr>
                <w:rFonts w:hint="eastAsia" w:ascii="宋体" w:hAnsi="宋体" w:cs="宋体"/>
                <w:color w:val="auto"/>
                <w:sz w:val="24"/>
                <w:highlight w:val="none"/>
              </w:rPr>
              <w:t>月</w:t>
            </w:r>
            <w:r>
              <w:rPr>
                <w:rFonts w:hint="eastAsia" w:ascii="宋体" w:hAnsi="宋体" w:cs="宋体"/>
                <w:color w:val="auto"/>
                <w:sz w:val="24"/>
                <w:highlight w:val="none"/>
                <w:u w:val="single"/>
                <w:lang w:val="en-US" w:eastAsia="zh-CN"/>
              </w:rPr>
              <w:t xml:space="preserve"> 13 </w:t>
            </w:r>
            <w:r>
              <w:rPr>
                <w:rFonts w:hint="eastAsia" w:ascii="宋体" w:hAnsi="宋体" w:cs="宋体"/>
                <w:color w:val="auto"/>
                <w:sz w:val="24"/>
                <w:highlight w:val="none"/>
              </w:rPr>
              <w:t>日</w:t>
            </w:r>
            <w:r>
              <w:rPr>
                <w:rFonts w:hint="eastAsia" w:ascii="宋体" w:hAnsi="宋体" w:cs="宋体"/>
                <w:color w:val="auto"/>
                <w:sz w:val="24"/>
                <w:highlight w:val="none"/>
                <w:u w:val="single"/>
                <w:lang w:val="en-US" w:eastAsia="zh-CN"/>
              </w:rPr>
              <w:t>17</w:t>
            </w:r>
            <w:r>
              <w:rPr>
                <w:rFonts w:hint="eastAsia" w:ascii="宋体" w:hAnsi="宋体" w:cs="宋体"/>
                <w:color w:val="auto"/>
                <w:sz w:val="24"/>
                <w:highlight w:val="none"/>
              </w:rPr>
              <w:t>时前。</w:t>
            </w:r>
          </w:p>
          <w:p w14:paraId="02643338">
            <w:pPr>
              <w:adjustRightInd w:val="0"/>
              <w:snapToGrid w:val="0"/>
              <w:spacing w:line="560" w:lineRule="exact"/>
              <w:rPr>
                <w:rFonts w:hint="eastAsia" w:ascii="宋体" w:hAnsi="宋体" w:cs="宋体"/>
                <w:b/>
                <w:color w:val="auto"/>
                <w:sz w:val="24"/>
                <w:highlight w:val="none"/>
              </w:rPr>
            </w:pPr>
            <w:r>
              <w:rPr>
                <w:rFonts w:hint="eastAsia" w:ascii="宋体" w:hAnsi="宋体" w:cs="宋体"/>
                <w:b/>
                <w:bCs/>
                <w:color w:val="auto"/>
                <w:sz w:val="24"/>
                <w:highlight w:val="none"/>
              </w:rPr>
              <w:t>发布媒介：</w:t>
            </w:r>
            <w:r>
              <w:rPr>
                <w:rFonts w:hint="eastAsia" w:ascii="宋体" w:hAnsi="宋体" w:cs="宋体"/>
                <w:b/>
                <w:bCs/>
                <w:color w:val="auto"/>
                <w:kern w:val="0"/>
                <w:sz w:val="24"/>
                <w:highlight w:val="none"/>
              </w:rPr>
              <w:t>滁州市公共资源交易中心网站。</w:t>
            </w:r>
          </w:p>
        </w:tc>
      </w:tr>
      <w:tr w14:paraId="261DAFA4">
        <w:tblPrEx>
          <w:tblCellMar>
            <w:top w:w="0" w:type="dxa"/>
            <w:left w:w="108" w:type="dxa"/>
            <w:bottom w:w="0" w:type="dxa"/>
            <w:right w:w="108" w:type="dxa"/>
          </w:tblCellMar>
        </w:tblPrEx>
        <w:trPr>
          <w:trHeight w:val="681"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414A2F65">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3.2.5</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25910DB">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投标报价的</w:t>
            </w:r>
          </w:p>
          <w:p w14:paraId="66B1F108">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其他要求</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72BFAB3D">
            <w:pPr>
              <w:pStyle w:val="10"/>
              <w:topLinePunct/>
              <w:adjustRightInd w:val="0"/>
              <w:snapToGrid w:val="0"/>
              <w:spacing w:line="560" w:lineRule="exact"/>
              <w:rPr>
                <w:rFonts w:hint="eastAsia" w:hAnsi="宋体" w:cs="宋体"/>
                <w:color w:val="auto"/>
                <w:kern w:val="0"/>
                <w:szCs w:val="24"/>
                <w:highlight w:val="none"/>
              </w:rPr>
            </w:pPr>
            <w:r>
              <w:rPr>
                <w:rFonts w:hint="eastAsia" w:hAnsi="宋体" w:cs="宋体"/>
                <w:color w:val="auto"/>
                <w:kern w:val="0"/>
                <w:szCs w:val="24"/>
                <w:highlight w:val="none"/>
                <w:lang w:val="en-US" w:eastAsia="zh-CN"/>
              </w:rPr>
              <w:t>投标单位须</w:t>
            </w:r>
            <w:r>
              <w:rPr>
                <w:rFonts w:hint="eastAsia" w:hAnsi="宋体" w:cs="宋体"/>
                <w:color w:val="auto"/>
                <w:kern w:val="0"/>
                <w:szCs w:val="24"/>
                <w:highlight w:val="none"/>
              </w:rPr>
              <w:t>严格按照清单计价规则进行报价，若违反相关规定，</w:t>
            </w:r>
            <w:r>
              <w:rPr>
                <w:rFonts w:hint="eastAsia" w:hAnsi="宋体" w:cs="宋体"/>
                <w:color w:val="auto"/>
                <w:kern w:val="0"/>
                <w:szCs w:val="24"/>
                <w:highlight w:val="none"/>
                <w:lang w:val="en-US" w:eastAsia="zh-CN"/>
              </w:rPr>
              <w:t>按无效标处理（若已签订合同，则</w:t>
            </w:r>
            <w:r>
              <w:rPr>
                <w:rFonts w:hint="eastAsia" w:hAnsi="宋体" w:cs="宋体"/>
                <w:color w:val="auto"/>
                <w:kern w:val="0"/>
                <w:szCs w:val="24"/>
                <w:highlight w:val="none"/>
              </w:rPr>
              <w:t>招标人有权单方终止合同</w:t>
            </w:r>
            <w:r>
              <w:rPr>
                <w:rFonts w:hint="eastAsia" w:hAnsi="宋体" w:cs="宋体"/>
                <w:color w:val="auto"/>
                <w:kern w:val="0"/>
                <w:szCs w:val="24"/>
                <w:highlight w:val="none"/>
                <w:lang w:eastAsia="zh-CN"/>
              </w:rPr>
              <w:t>）</w:t>
            </w:r>
            <w:r>
              <w:rPr>
                <w:rFonts w:hint="eastAsia" w:hAnsi="宋体" w:cs="宋体"/>
                <w:color w:val="auto"/>
                <w:kern w:val="0"/>
                <w:szCs w:val="24"/>
                <w:highlight w:val="none"/>
              </w:rPr>
              <w:t>，处以中标金额*2%作为违约金，并承担由此造成的所有后果。</w:t>
            </w:r>
          </w:p>
        </w:tc>
      </w:tr>
      <w:tr w14:paraId="04603BFF">
        <w:tblPrEx>
          <w:tblCellMar>
            <w:top w:w="0" w:type="dxa"/>
            <w:left w:w="108" w:type="dxa"/>
            <w:bottom w:w="0" w:type="dxa"/>
            <w:right w:w="108" w:type="dxa"/>
          </w:tblCellMar>
        </w:tblPrEx>
        <w:trPr>
          <w:trHeight w:val="681"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76CC4278">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3.3.1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3E956E94">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投标有效期</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7A23DB43">
            <w:pPr>
              <w:pStyle w:val="10"/>
              <w:topLinePunct/>
              <w:adjustRightInd w:val="0"/>
              <w:snapToGrid w:val="0"/>
              <w:spacing w:line="560" w:lineRule="exact"/>
              <w:rPr>
                <w:rFonts w:hint="eastAsia" w:hAnsi="宋体" w:cs="宋体"/>
                <w:color w:val="auto"/>
                <w:kern w:val="0"/>
                <w:szCs w:val="24"/>
                <w:highlight w:val="none"/>
              </w:rPr>
            </w:pPr>
            <w:r>
              <w:rPr>
                <w:rFonts w:hint="eastAsia" w:hAnsi="宋体" w:cs="宋体"/>
                <w:color w:val="auto"/>
                <w:kern w:val="0"/>
                <w:szCs w:val="24"/>
                <w:highlight w:val="none"/>
              </w:rPr>
              <w:t>自投标人递交投标文件截止之日起计算</w:t>
            </w:r>
            <w:r>
              <w:rPr>
                <w:rFonts w:hint="eastAsia" w:hAnsi="宋体" w:cs="宋体"/>
                <w:color w:val="auto"/>
                <w:kern w:val="0"/>
                <w:szCs w:val="24"/>
                <w:highlight w:val="none"/>
                <w:lang w:val="en-US" w:eastAsia="zh-CN"/>
              </w:rPr>
              <w:t>120</w:t>
            </w:r>
            <w:r>
              <w:rPr>
                <w:rFonts w:hint="eastAsia" w:hAnsi="宋体" w:cs="宋体"/>
                <w:color w:val="auto"/>
                <w:kern w:val="0"/>
                <w:szCs w:val="24"/>
                <w:highlight w:val="none"/>
              </w:rPr>
              <w:t>日历天。在此期限内，凡符合本招标文件要求的投标文件均保持有效。</w:t>
            </w:r>
          </w:p>
        </w:tc>
      </w:tr>
      <w:tr w14:paraId="64A71CF1">
        <w:tblPrEx>
          <w:tblCellMar>
            <w:top w:w="0" w:type="dxa"/>
            <w:left w:w="108" w:type="dxa"/>
            <w:bottom w:w="0" w:type="dxa"/>
            <w:right w:w="108" w:type="dxa"/>
          </w:tblCellMar>
        </w:tblPrEx>
        <w:trPr>
          <w:trHeight w:val="647"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72F0F219">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3.4.1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BC6ED31">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投标保证金</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4BA55023">
            <w:pPr>
              <w:adjustRightInd w:val="0"/>
              <w:snapToGrid w:val="0"/>
              <w:spacing w:line="560" w:lineRule="exact"/>
              <w:jc w:val="left"/>
              <w:rPr>
                <w:rFonts w:hint="eastAsia" w:ascii="宋体" w:hAnsi="宋体" w:cs="宋体"/>
                <w:color w:val="auto"/>
                <w:sz w:val="24"/>
                <w:highlight w:val="none"/>
              </w:rPr>
            </w:pPr>
            <w:r>
              <w:rPr>
                <w:rFonts w:hint="eastAsia" w:ascii="宋体" w:hAnsi="宋体" w:cs="宋体"/>
                <w:color w:val="auto"/>
                <w:sz w:val="24"/>
                <w:highlight w:val="none"/>
              </w:rPr>
              <w:t>详见招标公告。</w:t>
            </w:r>
          </w:p>
        </w:tc>
      </w:tr>
      <w:tr w14:paraId="7DC15AFA">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776B26F4">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3.5.1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3D4E4390">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snapToGrid w:val="0"/>
                <w:color w:val="auto"/>
                <w:kern w:val="0"/>
                <w:sz w:val="24"/>
                <w:highlight w:val="none"/>
                <w:shd w:val="clear" w:color="auto" w:fill="FFFFFF"/>
              </w:rPr>
              <w:t>施工组织设计编制的特殊要求</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340C2B2F">
            <w:pPr>
              <w:adjustRightInd w:val="0"/>
              <w:snapToGrid w:val="0"/>
              <w:spacing w:line="560" w:lineRule="exact"/>
              <w:rPr>
                <w:rFonts w:hint="default" w:ascii="宋体" w:hAnsi="宋体" w:eastAsia="宋体" w:cs="宋体"/>
                <w:snapToGrid w:val="0"/>
                <w:color w:val="auto"/>
                <w:kern w:val="0"/>
                <w:sz w:val="24"/>
                <w:highlight w:val="yellow"/>
                <w:u w:val="single"/>
                <w:shd w:val="clear" w:color="auto" w:fill="FFFFFF"/>
                <w:lang w:val="en-US" w:eastAsia="zh-CN"/>
              </w:rPr>
            </w:pPr>
            <w:r>
              <w:rPr>
                <w:rFonts w:hint="eastAsia" w:ascii="宋体" w:hAnsi="宋体" w:cs="宋体"/>
                <w:b/>
                <w:snapToGrid w:val="0"/>
                <w:color w:val="auto"/>
                <w:kern w:val="0"/>
                <w:sz w:val="24"/>
                <w:highlight w:val="none"/>
                <w:shd w:val="clear" w:color="auto" w:fill="FFFFFF"/>
              </w:rPr>
              <w:t>（1）本招标项目重点难点：</w:t>
            </w:r>
            <w:r>
              <w:rPr>
                <w:rFonts w:hint="eastAsia" w:ascii="宋体" w:hAnsi="宋体" w:cs="宋体"/>
                <w:b w:val="0"/>
                <w:bCs/>
                <w:snapToGrid w:val="0"/>
                <w:color w:val="auto"/>
                <w:kern w:val="0"/>
                <w:sz w:val="24"/>
                <w:highlight w:val="none"/>
                <w:u w:val="single"/>
                <w:shd w:val="clear" w:color="auto" w:fill="FFFFFF"/>
                <w:lang w:val="en-US" w:eastAsia="zh-CN"/>
              </w:rPr>
              <w:t>1.钢结构屋面安装，深基坑支护与安全管控，吊车梁安装偏差管控；2.深基坑；3.高支模；4.超长结构施工；5.四层存在转换结构等等。</w:t>
            </w:r>
          </w:p>
          <w:p w14:paraId="3620CBCE">
            <w:pPr>
              <w:adjustRightInd w:val="0"/>
              <w:snapToGrid w:val="0"/>
              <w:spacing w:line="560" w:lineRule="exact"/>
              <w:rPr>
                <w:rFonts w:hint="eastAsia" w:ascii="宋体" w:hAnsi="宋体" w:cs="宋体"/>
                <w:snapToGrid w:val="0"/>
                <w:color w:val="auto"/>
                <w:kern w:val="0"/>
                <w:sz w:val="24"/>
                <w:highlight w:val="none"/>
                <w:shd w:val="clear" w:color="auto" w:fill="FFFFFF"/>
              </w:rPr>
            </w:pPr>
            <w:r>
              <w:rPr>
                <w:rFonts w:hint="eastAsia" w:ascii="宋体" w:hAnsi="宋体" w:cs="宋体"/>
                <w:snapToGrid w:val="0"/>
                <w:color w:val="auto"/>
                <w:kern w:val="0"/>
                <w:sz w:val="24"/>
                <w:highlight w:val="none"/>
                <w:shd w:val="clear" w:color="auto" w:fill="FFFFFF"/>
              </w:rPr>
              <w:t>（注：本项内容与施工组织设计重难点评审相对应，投标人必须在施工组织设计中全面重点阐述）</w:t>
            </w:r>
          </w:p>
          <w:p w14:paraId="68A0126B">
            <w:pPr>
              <w:adjustRightInd w:val="0"/>
              <w:snapToGrid w:val="0"/>
              <w:spacing w:line="560" w:lineRule="exact"/>
              <w:rPr>
                <w:rFonts w:hint="default" w:ascii="宋体" w:hAnsi="宋体" w:cs="宋体"/>
                <w:snapToGrid w:val="0"/>
                <w:color w:val="auto"/>
                <w:kern w:val="0"/>
                <w:sz w:val="24"/>
                <w:highlight w:val="none"/>
                <w:shd w:val="clear" w:color="auto" w:fill="FFFFFF"/>
                <w:lang w:val="en-US"/>
              </w:rPr>
            </w:pPr>
            <w:r>
              <w:rPr>
                <w:rFonts w:hint="eastAsia" w:ascii="宋体" w:hAnsi="宋体" w:cs="宋体"/>
                <w:b/>
                <w:snapToGrid w:val="0"/>
                <w:color w:val="auto"/>
                <w:kern w:val="0"/>
                <w:sz w:val="24"/>
                <w:highlight w:val="none"/>
                <w:shd w:val="clear" w:color="auto" w:fill="FFFFFF"/>
              </w:rPr>
              <w:t>（2）本招标项目危险性较大的分部分项工程清单：</w:t>
            </w:r>
            <w:r>
              <w:rPr>
                <w:rFonts w:hint="eastAsia" w:ascii="宋体" w:hAnsi="宋体" w:cs="宋体"/>
                <w:b w:val="0"/>
                <w:bCs/>
                <w:snapToGrid w:val="0"/>
                <w:color w:val="auto"/>
                <w:kern w:val="0"/>
                <w:sz w:val="24"/>
                <w:highlight w:val="none"/>
                <w:u w:val="single"/>
                <w:shd w:val="clear" w:color="auto" w:fill="FFFFFF"/>
                <w:lang w:val="en-US" w:eastAsia="zh-CN"/>
              </w:rPr>
              <w:t>1.开挖深度超过3m（含3m）的基坑（槽）的土方开挖、支护、降水工程；2.搭设高度5m及以上，或搭设跨度10m及以上，或施工总荷载10kN/m2及以上，或集中线荷载（设计值）15kN/m及以上，或高度大于支撑水平投影宽度且相对独立无联系构件的混凝土模板支撑工程；3.用于钢结构安装等满堂支撑体系；4.高支模；5.超长结构施工等等。施工单位在投标时补充完善危大工程清单并明确相应的安全管理措施</w:t>
            </w:r>
          </w:p>
        </w:tc>
      </w:tr>
      <w:tr w14:paraId="239B1BA8">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0F54AF62">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3.5.8</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A7DA2FE">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投标文件份数</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153675AC">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加密电子投标文件应在投标截止时间前通过交易中心电子交易系统上传。</w:t>
            </w:r>
            <w:r>
              <w:rPr>
                <w:rFonts w:hint="eastAsia" w:ascii="宋体" w:hAnsi="宋体" w:cs="宋体"/>
                <w:b/>
                <w:color w:val="auto"/>
                <w:kern w:val="0"/>
                <w:sz w:val="24"/>
                <w:highlight w:val="none"/>
              </w:rPr>
              <w:t>（投标人中标后须递交与网上电子投标文件完全一致的纸质版投标文件，并按要求加盖单位章；份数：正本</w:t>
            </w:r>
            <w:r>
              <w:rPr>
                <w:rFonts w:hint="eastAsia" w:ascii="宋体" w:hAnsi="宋体" w:cs="宋体"/>
                <w:b/>
                <w:color w:val="auto"/>
                <w:kern w:val="0"/>
                <w:sz w:val="24"/>
                <w:highlight w:val="none"/>
                <w:u w:val="single"/>
              </w:rPr>
              <w:t xml:space="preserve"> </w:t>
            </w:r>
            <w:r>
              <w:rPr>
                <w:rFonts w:hint="eastAsia" w:ascii="宋体" w:hAnsi="宋体" w:cs="宋体"/>
                <w:b/>
                <w:color w:val="auto"/>
                <w:kern w:val="0"/>
                <w:sz w:val="24"/>
                <w:highlight w:val="none"/>
                <w:u w:val="single"/>
                <w:lang w:val="en-US" w:eastAsia="zh-CN"/>
              </w:rPr>
              <w:t>一</w:t>
            </w:r>
            <w:r>
              <w:rPr>
                <w:rFonts w:hint="eastAsia" w:ascii="宋体" w:hAnsi="宋体" w:cs="宋体"/>
                <w:b/>
                <w:color w:val="auto"/>
                <w:kern w:val="0"/>
                <w:sz w:val="24"/>
                <w:highlight w:val="none"/>
                <w:u w:val="single"/>
              </w:rPr>
              <w:t xml:space="preserve"> </w:t>
            </w:r>
            <w:r>
              <w:rPr>
                <w:rFonts w:hint="eastAsia" w:ascii="宋体" w:hAnsi="宋体" w:cs="宋体"/>
                <w:b/>
                <w:color w:val="auto"/>
                <w:kern w:val="0"/>
                <w:sz w:val="24"/>
                <w:highlight w:val="none"/>
              </w:rPr>
              <w:t>份，副本</w:t>
            </w:r>
            <w:r>
              <w:rPr>
                <w:rFonts w:hint="eastAsia" w:ascii="宋体" w:hAnsi="宋体" w:cs="宋体"/>
                <w:b/>
                <w:color w:val="auto"/>
                <w:kern w:val="0"/>
                <w:sz w:val="24"/>
                <w:highlight w:val="none"/>
                <w:u w:val="single"/>
              </w:rPr>
              <w:t xml:space="preserve"> </w:t>
            </w:r>
            <w:r>
              <w:rPr>
                <w:rFonts w:hint="eastAsia" w:ascii="宋体" w:hAnsi="宋体" w:cs="宋体"/>
                <w:b/>
                <w:color w:val="auto"/>
                <w:kern w:val="0"/>
                <w:sz w:val="24"/>
                <w:highlight w:val="none"/>
                <w:u w:val="single"/>
                <w:lang w:val="en-US" w:eastAsia="zh-CN"/>
              </w:rPr>
              <w:t>一</w:t>
            </w:r>
            <w:r>
              <w:rPr>
                <w:rFonts w:hint="eastAsia" w:ascii="宋体" w:hAnsi="宋体" w:cs="宋体"/>
                <w:b/>
                <w:color w:val="auto"/>
                <w:kern w:val="0"/>
                <w:sz w:val="24"/>
                <w:highlight w:val="none"/>
                <w:u w:val="single"/>
              </w:rPr>
              <w:t xml:space="preserve"> </w:t>
            </w:r>
            <w:r>
              <w:rPr>
                <w:rFonts w:hint="eastAsia" w:ascii="宋体" w:hAnsi="宋体" w:cs="宋体"/>
                <w:b/>
                <w:color w:val="auto"/>
                <w:kern w:val="0"/>
                <w:sz w:val="24"/>
                <w:highlight w:val="none"/>
              </w:rPr>
              <w:t>份；中标人领取中标通知书时，一并递交给招标代理机构）。</w:t>
            </w:r>
          </w:p>
        </w:tc>
      </w:tr>
      <w:tr w14:paraId="0AFC5707">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29BE9AC4">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3.6.1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23BC4F65">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是否允许递交备选投标方案</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2812EF3A">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u w:val="single"/>
              </w:rPr>
              <w:t xml:space="preserve"> 不允许</w:t>
            </w:r>
            <w:r>
              <w:rPr>
                <w:rFonts w:hint="eastAsia" w:ascii="宋体" w:hAnsi="宋体" w:cs="宋体"/>
                <w:color w:val="auto"/>
                <w:sz w:val="24"/>
                <w:highlight w:val="none"/>
              </w:rPr>
              <w:t>。</w:t>
            </w:r>
          </w:p>
        </w:tc>
      </w:tr>
      <w:tr w14:paraId="7831B0F3">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0B22A5D2">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4.3.2</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C210F33">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是否退还投标文件</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342CBC18">
            <w:pPr>
              <w:adjustRightInd w:val="0"/>
              <w:snapToGrid w:val="0"/>
              <w:spacing w:line="560" w:lineRule="exact"/>
              <w:rPr>
                <w:rFonts w:hint="eastAsia" w:ascii="宋体" w:hAnsi="宋体" w:cs="宋体"/>
                <w:color w:val="auto"/>
                <w:sz w:val="24"/>
                <w:highlight w:val="none"/>
                <w:u w:val="single"/>
              </w:rPr>
            </w:pPr>
            <w:r>
              <w:rPr>
                <w:rFonts w:hint="eastAsia" w:ascii="宋体" w:hAnsi="宋体" w:cs="宋体"/>
                <w:color w:val="auto"/>
                <w:sz w:val="24"/>
                <w:highlight w:val="none"/>
                <w:u w:val="single"/>
              </w:rPr>
              <w:t>否</w:t>
            </w:r>
          </w:p>
        </w:tc>
      </w:tr>
      <w:tr w14:paraId="5ED70CA2">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03845754">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5.1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6664D41C">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开标时间和地点</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158BF286">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开标时间：同投标截止时间</w:t>
            </w:r>
          </w:p>
          <w:p w14:paraId="695FF96A">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开标地点：见招标公告</w:t>
            </w:r>
          </w:p>
        </w:tc>
      </w:tr>
      <w:tr w14:paraId="20649DFF">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7F2E75B3">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5.2</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22B72BA5">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开标程序</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0C32449D">
            <w:pPr>
              <w:adjustRightInd w:val="0"/>
              <w:snapToGrid w:val="0"/>
              <w:spacing w:line="560" w:lineRule="exact"/>
              <w:rPr>
                <w:rFonts w:hint="eastAsia" w:ascii="宋体" w:hAnsi="宋体" w:cs="宋体"/>
                <w:bCs/>
                <w:snapToGrid w:val="0"/>
                <w:color w:val="auto"/>
                <w:kern w:val="0"/>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解密时间：解密程序开始后</w:t>
            </w:r>
            <w:r>
              <w:rPr>
                <w:rFonts w:hint="eastAsia" w:ascii="宋体" w:hAnsi="宋体" w:cs="宋体"/>
                <w:color w:val="auto"/>
                <w:sz w:val="24"/>
                <w:highlight w:val="none"/>
                <w:u w:val="single"/>
              </w:rPr>
              <w:t>60</w:t>
            </w:r>
            <w:r>
              <w:rPr>
                <w:rFonts w:hint="eastAsia" w:ascii="宋体" w:hAnsi="宋体" w:cs="宋体"/>
                <w:color w:val="auto"/>
                <w:sz w:val="24"/>
                <w:highlight w:val="none"/>
              </w:rPr>
              <w:t>分钟内</w:t>
            </w:r>
            <w:r>
              <w:rPr>
                <w:rFonts w:hint="eastAsia" w:ascii="宋体" w:hAnsi="宋体" w:cs="宋体"/>
                <w:bCs/>
                <w:snapToGrid w:val="0"/>
                <w:color w:val="auto"/>
                <w:kern w:val="0"/>
                <w:sz w:val="24"/>
                <w:highlight w:val="none"/>
              </w:rPr>
              <w:t>（以电子交易系统解密倒计时为准），</w:t>
            </w:r>
            <w:r>
              <w:rPr>
                <w:rFonts w:hint="eastAsia" w:ascii="宋体" w:hAnsi="宋体" w:cs="宋体"/>
                <w:color w:val="auto"/>
                <w:sz w:val="24"/>
                <w:highlight w:val="none"/>
              </w:rPr>
              <w:t>解密时间为</w:t>
            </w:r>
            <w:r>
              <w:rPr>
                <w:rFonts w:hint="eastAsia" w:ascii="宋体" w:hAnsi="宋体" w:cs="宋体"/>
                <w:color w:val="auto"/>
                <w:sz w:val="24"/>
                <w:highlight w:val="none"/>
                <w:u w:val="single"/>
                <w:lang w:val="en-US" w:eastAsia="zh-CN"/>
              </w:rPr>
              <w:t>2026</w:t>
            </w:r>
            <w:r>
              <w:rPr>
                <w:rFonts w:hint="eastAsia" w:ascii="宋体" w:hAnsi="宋体" w:cs="宋体"/>
                <w:color w:val="auto"/>
                <w:sz w:val="24"/>
                <w:highlight w:val="none"/>
              </w:rPr>
              <w:t>年</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rPr>
              <w:t>月</w:t>
            </w:r>
            <w:r>
              <w:rPr>
                <w:rFonts w:hint="eastAsia" w:ascii="宋体" w:hAnsi="宋体" w:cs="宋体"/>
                <w:color w:val="auto"/>
                <w:sz w:val="24"/>
                <w:highlight w:val="none"/>
                <w:u w:val="single"/>
                <w:lang w:val="en-US" w:eastAsia="zh-CN"/>
              </w:rPr>
              <w:t>8</w:t>
            </w:r>
            <w:r>
              <w:rPr>
                <w:rFonts w:hint="eastAsia" w:ascii="宋体" w:hAnsi="宋体" w:cs="宋体"/>
                <w:color w:val="auto"/>
                <w:sz w:val="24"/>
                <w:highlight w:val="none"/>
              </w:rPr>
              <w:t>日</w:t>
            </w:r>
            <w:r>
              <w:rPr>
                <w:rFonts w:hint="eastAsia" w:ascii="宋体" w:hAnsi="宋体" w:cs="宋体"/>
                <w:color w:val="auto"/>
                <w:sz w:val="24"/>
                <w:highlight w:val="none"/>
                <w:u w:val="single"/>
                <w:lang w:val="en-US" w:eastAsia="zh-CN"/>
              </w:rPr>
              <w:t>8</w:t>
            </w:r>
            <w:r>
              <w:rPr>
                <w:rFonts w:hint="eastAsia" w:ascii="宋体" w:hAnsi="宋体" w:cs="宋体"/>
                <w:color w:val="auto"/>
                <w:sz w:val="24"/>
                <w:highlight w:val="none"/>
              </w:rPr>
              <w:t>时</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rPr>
              <w:t>分至</w:t>
            </w:r>
            <w:r>
              <w:rPr>
                <w:rFonts w:hint="eastAsia" w:ascii="宋体" w:hAnsi="宋体" w:cs="宋体"/>
                <w:color w:val="auto"/>
                <w:sz w:val="24"/>
                <w:highlight w:val="none"/>
                <w:u w:val="single"/>
                <w:lang w:val="en-US" w:eastAsia="zh-CN"/>
              </w:rPr>
              <w:t>2026</w:t>
            </w:r>
            <w:r>
              <w:rPr>
                <w:rFonts w:hint="eastAsia" w:ascii="宋体" w:hAnsi="宋体" w:cs="宋体"/>
                <w:color w:val="auto"/>
                <w:sz w:val="24"/>
                <w:highlight w:val="none"/>
              </w:rPr>
              <w:t>年</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rPr>
              <w:t>月</w:t>
            </w:r>
            <w:r>
              <w:rPr>
                <w:rFonts w:hint="eastAsia" w:ascii="宋体" w:hAnsi="宋体" w:cs="宋体"/>
                <w:color w:val="auto"/>
                <w:sz w:val="24"/>
                <w:highlight w:val="none"/>
                <w:u w:val="single"/>
                <w:lang w:val="en-US" w:eastAsia="zh-CN"/>
              </w:rPr>
              <w:t>8</w:t>
            </w:r>
            <w:r>
              <w:rPr>
                <w:rFonts w:hint="eastAsia" w:ascii="宋体" w:hAnsi="宋体" w:cs="宋体"/>
                <w:color w:val="auto"/>
                <w:sz w:val="24"/>
                <w:highlight w:val="none"/>
              </w:rPr>
              <w:t>日</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rPr>
              <w:t>时</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rPr>
              <w:t>分。</w:t>
            </w:r>
          </w:p>
          <w:p w14:paraId="2474BAEF">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公布投标人</w:t>
            </w:r>
            <w:r>
              <w:rPr>
                <w:rFonts w:hint="eastAsia" w:ascii="宋体" w:hAnsi="宋体" w:cs="宋体"/>
                <w:color w:val="auto"/>
                <w:sz w:val="24"/>
                <w:highlight w:val="none"/>
                <w:lang w:val="en-US" w:eastAsia="zh-CN"/>
              </w:rPr>
              <w:t>投标截止时间前通过电子交易系统完成投标文件递交的投标人名称；投标人在投标截止时间后在投标人须知前附表规定的解密时间内完成投标文件的解密工作；招标人或招标代理机构完成解密工作，导入并读取所有成功解密的投标文件；按投标人须知前附表规定公布投标人名称、标段名称、投标报价、质量目标、工期及其他内容；开标结束</w:t>
            </w:r>
            <w:r>
              <w:rPr>
                <w:rFonts w:hint="eastAsia" w:ascii="宋体" w:hAnsi="宋体" w:cs="宋体"/>
                <w:color w:val="auto"/>
                <w:sz w:val="24"/>
                <w:highlight w:val="none"/>
              </w:rPr>
              <w:t xml:space="preserve"> 。</w:t>
            </w:r>
          </w:p>
          <w:p w14:paraId="3665BF16">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多标段开标顺序：</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tc>
      </w:tr>
      <w:tr w14:paraId="1E069C5C">
        <w:tblPrEx>
          <w:tblCellMar>
            <w:top w:w="0" w:type="dxa"/>
            <w:left w:w="108" w:type="dxa"/>
            <w:bottom w:w="0" w:type="dxa"/>
            <w:right w:w="108" w:type="dxa"/>
          </w:tblCellMar>
        </w:tblPrEx>
        <w:trPr>
          <w:trHeight w:val="488"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1565C302">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6.1.1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41BB11D7">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评标委员会的组建</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1A974D30">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评标委员会构成</w:t>
            </w:r>
            <w:r>
              <w:rPr>
                <w:rFonts w:hint="eastAsia" w:ascii="宋体" w:hAnsi="宋体" w:cs="宋体"/>
                <w:color w:val="auto"/>
                <w:sz w:val="24"/>
                <w:highlight w:val="none"/>
                <w:lang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人，其中招标人代表</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0</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人，评标专家</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w:t>
            </w:r>
          </w:p>
          <w:p w14:paraId="41AA1146">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评标专家确定方式：评标专家由招标人在评标活动开始前24小时内，通过抽取终端从专家库中随机抽取。</w:t>
            </w:r>
          </w:p>
        </w:tc>
      </w:tr>
      <w:tr w14:paraId="1CEFE49C">
        <w:tblPrEx>
          <w:tblCellMar>
            <w:top w:w="0" w:type="dxa"/>
            <w:left w:w="108" w:type="dxa"/>
            <w:bottom w:w="0" w:type="dxa"/>
            <w:right w:w="108" w:type="dxa"/>
          </w:tblCellMar>
        </w:tblPrEx>
        <w:trPr>
          <w:trHeight w:val="88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2680018B">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6.3.2</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53B55049">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评标委员会确定中标候选人的人数</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6EF1F7A4">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3名</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不排序）</w:t>
            </w:r>
            <w:r>
              <w:rPr>
                <w:rFonts w:hint="eastAsia" w:ascii="宋体" w:hAnsi="宋体" w:cs="宋体"/>
                <w:color w:val="auto"/>
                <w:sz w:val="24"/>
                <w:highlight w:val="none"/>
              </w:rPr>
              <w:t>。</w:t>
            </w:r>
          </w:p>
        </w:tc>
      </w:tr>
      <w:tr w14:paraId="575AB859">
        <w:tblPrEx>
          <w:tblCellMar>
            <w:top w:w="0" w:type="dxa"/>
            <w:left w:w="108" w:type="dxa"/>
            <w:bottom w:w="0" w:type="dxa"/>
            <w:right w:w="108" w:type="dxa"/>
          </w:tblCellMar>
        </w:tblPrEx>
        <w:trPr>
          <w:trHeight w:val="653"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557F9021">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7.1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224E2A7">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中标候选人公示媒介及期限</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2151B796">
            <w:pPr>
              <w:widowControl/>
              <w:adjustRightInd w:val="0"/>
              <w:snapToGrid w:val="0"/>
              <w:spacing w:line="560" w:lineRule="exact"/>
              <w:jc w:val="left"/>
              <w:rPr>
                <w:rFonts w:hint="eastAsia" w:ascii="宋体" w:hAnsi="宋体" w:cs="宋体"/>
                <w:color w:val="auto"/>
                <w:sz w:val="24"/>
                <w:highlight w:val="none"/>
              </w:rPr>
            </w:pPr>
            <w:r>
              <w:rPr>
                <w:rFonts w:hint="eastAsia" w:ascii="宋体" w:hAnsi="宋体" w:cs="宋体"/>
                <w:color w:val="auto"/>
                <w:sz w:val="24"/>
                <w:highlight w:val="none"/>
              </w:rPr>
              <w:t>公示媒介：同招标公告发布媒介</w:t>
            </w:r>
          </w:p>
          <w:p w14:paraId="52386E65">
            <w:pPr>
              <w:widowControl/>
              <w:adjustRightInd w:val="0"/>
              <w:snapToGrid w:val="0"/>
              <w:spacing w:line="560" w:lineRule="exact"/>
              <w:jc w:val="left"/>
              <w:rPr>
                <w:rFonts w:hint="eastAsia" w:ascii="宋体" w:hAnsi="宋体" w:cs="宋体"/>
                <w:color w:val="auto"/>
                <w:sz w:val="24"/>
                <w:highlight w:val="none"/>
              </w:rPr>
            </w:pPr>
            <w:r>
              <w:rPr>
                <w:rFonts w:hint="eastAsia" w:ascii="宋体" w:hAnsi="宋体" w:cs="宋体"/>
                <w:color w:val="auto"/>
                <w:sz w:val="24"/>
                <w:highlight w:val="none"/>
              </w:rPr>
              <w:t>公示期限：公示发布次日起3日（如公示第三日为休息日或节假日，则顺延至休息日或节假日后第一个工作日）</w:t>
            </w:r>
          </w:p>
        </w:tc>
      </w:tr>
      <w:tr w14:paraId="30A867B2">
        <w:tblPrEx>
          <w:tblCellMar>
            <w:top w:w="0" w:type="dxa"/>
            <w:left w:w="108" w:type="dxa"/>
            <w:bottom w:w="0" w:type="dxa"/>
            <w:right w:w="108" w:type="dxa"/>
          </w:tblCellMar>
        </w:tblPrEx>
        <w:trPr>
          <w:trHeight w:val="653"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721B294C">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7.5</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2EA5ECC8">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是否授权评标委员会确定中标人</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63454EA4">
            <w:pPr>
              <w:widowControl/>
              <w:adjustRightInd w:val="0"/>
              <w:snapToGrid w:val="0"/>
              <w:spacing w:line="560" w:lineRule="exact"/>
              <w:jc w:val="left"/>
              <w:rPr>
                <w:rFonts w:hint="eastAsia" w:ascii="宋体" w:hAnsi="宋体" w:cs="宋体"/>
                <w:color w:val="auto"/>
                <w:sz w:val="24"/>
                <w:highlight w:val="none"/>
                <w:u w:val="single"/>
              </w:rPr>
            </w:pPr>
            <w:r>
              <w:rPr>
                <w:rFonts w:hint="eastAsia" w:ascii="宋体" w:hAnsi="宋体" w:cs="宋体"/>
                <w:color w:val="auto"/>
                <w:sz w:val="24"/>
                <w:highlight w:val="none"/>
                <w:u w:val="none"/>
              </w:rPr>
              <w:t>否</w:t>
            </w:r>
          </w:p>
        </w:tc>
      </w:tr>
      <w:tr w14:paraId="05D1D76A">
        <w:tblPrEx>
          <w:tblCellMar>
            <w:top w:w="0" w:type="dxa"/>
            <w:left w:w="108" w:type="dxa"/>
            <w:bottom w:w="0" w:type="dxa"/>
            <w:right w:w="108" w:type="dxa"/>
          </w:tblCellMar>
        </w:tblPrEx>
        <w:trPr>
          <w:trHeight w:val="653"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1278285A">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7.6</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297D264">
            <w:pPr>
              <w:adjustRightInd w:val="0"/>
              <w:snapToGrid w:val="0"/>
              <w:spacing w:line="560" w:lineRule="exact"/>
              <w:jc w:val="center"/>
              <w:rPr>
                <w:rFonts w:hint="eastAsia" w:ascii="宋体" w:hAnsi="宋体" w:cs="宋体"/>
                <w:color w:val="auto"/>
                <w:sz w:val="24"/>
                <w:highlight w:val="none"/>
              </w:rPr>
            </w:pPr>
            <w:r>
              <w:rPr>
                <w:rFonts w:hint="eastAsia"/>
                <w:color w:val="auto"/>
                <w:sz w:val="24"/>
                <w:highlight w:val="none"/>
              </w:rPr>
              <w:t>中标通知书发出形式</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63B3FBAD">
            <w:pPr>
              <w:widowControl/>
              <w:adjustRightInd w:val="0"/>
              <w:snapToGrid w:val="0"/>
              <w:spacing w:line="560" w:lineRule="exact"/>
              <w:rPr>
                <w:rFonts w:hint="eastAsia" w:ascii="宋体" w:hAnsi="宋体" w:cs="宋体"/>
                <w:color w:val="auto"/>
                <w:sz w:val="24"/>
                <w:highlight w:val="none"/>
              </w:rPr>
            </w:pPr>
            <w:r>
              <w:rPr>
                <w:rFonts w:hint="eastAsia"/>
                <w:color w:val="auto"/>
                <w:sz w:val="24"/>
                <w:highlight w:val="none"/>
              </w:rPr>
              <w:t>数据电文</w:t>
            </w:r>
          </w:p>
        </w:tc>
      </w:tr>
      <w:tr w14:paraId="45AE98A5">
        <w:tblPrEx>
          <w:tblCellMar>
            <w:top w:w="0" w:type="dxa"/>
            <w:left w:w="108" w:type="dxa"/>
            <w:bottom w:w="0" w:type="dxa"/>
            <w:right w:w="108" w:type="dxa"/>
          </w:tblCellMar>
        </w:tblPrEx>
        <w:trPr>
          <w:trHeight w:val="653"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4E104BAC">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7.7</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A912579">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中标结果公示媒介</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22847804">
            <w:pPr>
              <w:widowControl/>
              <w:adjustRightInd w:val="0"/>
              <w:snapToGrid w:val="0"/>
              <w:spacing w:line="560" w:lineRule="exact"/>
              <w:jc w:val="left"/>
              <w:rPr>
                <w:rFonts w:hint="eastAsia" w:ascii="宋体" w:hAnsi="宋体" w:cs="宋体"/>
                <w:color w:val="auto"/>
                <w:sz w:val="24"/>
                <w:highlight w:val="none"/>
              </w:rPr>
            </w:pPr>
            <w:r>
              <w:rPr>
                <w:rFonts w:hint="eastAsia" w:ascii="宋体" w:hAnsi="宋体" w:cs="宋体"/>
                <w:color w:val="auto"/>
                <w:sz w:val="24"/>
                <w:highlight w:val="none"/>
              </w:rPr>
              <w:t>公示媒介：同招标公告发布媒介；</w:t>
            </w:r>
          </w:p>
          <w:p w14:paraId="79CE3E72">
            <w:pPr>
              <w:widowControl/>
              <w:adjustRightInd w:val="0"/>
              <w:snapToGrid w:val="0"/>
              <w:spacing w:line="560" w:lineRule="exact"/>
              <w:jc w:val="left"/>
              <w:rPr>
                <w:rFonts w:hint="eastAsia"/>
                <w:color w:val="auto"/>
                <w:highlight w:val="none"/>
              </w:rPr>
            </w:pPr>
            <w:r>
              <w:rPr>
                <w:rFonts w:hint="eastAsia" w:ascii="宋体" w:hAnsi="宋体" w:cs="宋体"/>
                <w:color w:val="auto"/>
                <w:sz w:val="24"/>
                <w:highlight w:val="none"/>
              </w:rPr>
              <w:t>公示期限：</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日（公示期截止时间在法定休息日的顺延至首个工作日）。</w:t>
            </w:r>
          </w:p>
        </w:tc>
      </w:tr>
      <w:tr w14:paraId="13719D61">
        <w:tblPrEx>
          <w:tblCellMar>
            <w:top w:w="0" w:type="dxa"/>
            <w:left w:w="108" w:type="dxa"/>
            <w:bottom w:w="0" w:type="dxa"/>
            <w:right w:w="108" w:type="dxa"/>
          </w:tblCellMar>
        </w:tblPrEx>
        <w:trPr>
          <w:trHeight w:val="97"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76CA2F9A">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7.8</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415A7AAA">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履约担保</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44B4CE9D">
            <w:pPr>
              <w:widowControl/>
              <w:spacing w:line="560" w:lineRule="exact"/>
              <w:jc w:val="left"/>
              <w:rPr>
                <w:rFonts w:hint="eastAsia" w:ascii="宋体" w:hAnsi="宋体" w:cs="宋体"/>
                <w:color w:val="auto"/>
                <w:kern w:val="0"/>
                <w:szCs w:val="21"/>
                <w:highlight w:val="none"/>
              </w:rPr>
            </w:pPr>
            <w:r>
              <w:rPr>
                <w:rFonts w:hint="eastAsia" w:ascii="宋体" w:hAnsi="宋体" w:cs="宋体"/>
                <w:color w:val="auto"/>
                <w:sz w:val="24"/>
                <w:highlight w:val="none"/>
              </w:rPr>
              <w:t>要求中标人提交履约保证金。</w:t>
            </w:r>
          </w:p>
          <w:p w14:paraId="6E1E4BE3">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形式：支持银行转账、银行电汇、银行保函、担保机构担保、保证保险使用。</w:t>
            </w:r>
          </w:p>
          <w:p w14:paraId="72F6E5E1">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金   额：中标合同金额×</w:t>
            </w:r>
            <w:r>
              <w:rPr>
                <w:rFonts w:hint="eastAsia" w:ascii="宋体" w:hAnsi="宋体" w:cs="宋体"/>
                <w:color w:val="auto"/>
                <w:sz w:val="24"/>
                <w:highlight w:val="none"/>
                <w:u w:val="none"/>
              </w:rPr>
              <w:t xml:space="preserve">2% </w:t>
            </w:r>
          </w:p>
          <w:p w14:paraId="1BD4399C">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收款单位：</w:t>
            </w:r>
            <w:r>
              <w:rPr>
                <w:rFonts w:hint="eastAsia" w:ascii="宋体" w:hAnsi="宋体" w:cs="宋体"/>
                <w:color w:val="auto"/>
                <w:sz w:val="24"/>
                <w:highlight w:val="none"/>
                <w:lang w:val="en-US" w:eastAsia="zh-CN"/>
              </w:rPr>
              <w:t>滁州苏滁产城开发有限公司</w:t>
            </w:r>
            <w:r>
              <w:rPr>
                <w:rFonts w:hint="eastAsia" w:ascii="宋体" w:hAnsi="宋体" w:cs="宋体"/>
                <w:color w:val="auto"/>
                <w:sz w:val="24"/>
                <w:highlight w:val="none"/>
              </w:rPr>
              <w:t xml:space="preserve"> </w:t>
            </w:r>
          </w:p>
          <w:p w14:paraId="2EC7D73A">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lang w:val="en-US" w:eastAsia="zh-CN"/>
              </w:rPr>
              <w:t>:另行通知</w:t>
            </w:r>
            <w:r>
              <w:rPr>
                <w:rFonts w:hint="eastAsia" w:ascii="宋体" w:hAnsi="宋体" w:cs="宋体"/>
                <w:color w:val="auto"/>
                <w:sz w:val="24"/>
                <w:highlight w:val="none"/>
              </w:rPr>
              <w:t xml:space="preserve"> </w:t>
            </w:r>
          </w:p>
          <w:p w14:paraId="31871E24">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银行账号：</w:t>
            </w:r>
            <w:r>
              <w:rPr>
                <w:rFonts w:hint="eastAsia" w:ascii="宋体" w:hAnsi="宋体" w:cs="宋体"/>
                <w:color w:val="auto"/>
                <w:sz w:val="24"/>
                <w:highlight w:val="none"/>
                <w:lang w:val="en-US" w:eastAsia="zh-CN"/>
              </w:rPr>
              <w:t>另行通知</w:t>
            </w:r>
            <w:r>
              <w:rPr>
                <w:rFonts w:hint="eastAsia" w:ascii="宋体" w:hAnsi="宋体" w:cs="宋体"/>
                <w:color w:val="auto"/>
                <w:sz w:val="24"/>
                <w:highlight w:val="none"/>
              </w:rPr>
              <w:t xml:space="preserve">                </w:t>
            </w:r>
          </w:p>
          <w:p w14:paraId="1561F0D4">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缴纳时限：</w:t>
            </w:r>
            <w:r>
              <w:rPr>
                <w:rFonts w:hint="eastAsia" w:ascii="宋体" w:hAnsi="宋体" w:cs="宋体"/>
                <w:color w:val="auto"/>
                <w:sz w:val="24"/>
                <w:highlight w:val="none"/>
                <w:lang w:val="en-US" w:eastAsia="zh-CN"/>
              </w:rPr>
              <w:t>签订合同前缴纳</w:t>
            </w:r>
            <w:r>
              <w:rPr>
                <w:rFonts w:hint="eastAsia" w:ascii="宋体" w:hAnsi="宋体" w:cs="宋体"/>
                <w:color w:val="auto"/>
                <w:sz w:val="24"/>
                <w:highlight w:val="none"/>
              </w:rPr>
              <w:t xml:space="preserve"> </w:t>
            </w:r>
          </w:p>
          <w:p w14:paraId="0175DEDB">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履约保证金退还时限：履约保证金有效期满7日内（最迟不得超过项目竣工验收通过后28天）。</w:t>
            </w:r>
          </w:p>
          <w:p w14:paraId="6C2383CB">
            <w:pPr>
              <w:pStyle w:val="19"/>
              <w:adjustRightInd w:val="0"/>
              <w:snapToGrid w:val="0"/>
              <w:spacing w:after="0" w:line="560" w:lineRule="exact"/>
              <w:ind w:left="0" w:leftChars="0" w:firstLine="0" w:firstLineChars="0"/>
              <w:rPr>
                <w:rFonts w:hint="eastAsia" w:ascii="宋体" w:hAnsi="宋体" w:cs="宋体"/>
                <w:color w:val="auto"/>
                <w:position w:val="6"/>
                <w:sz w:val="24"/>
                <w:highlight w:val="none"/>
                <w:u w:val="none"/>
              </w:rPr>
            </w:pPr>
            <w:r>
              <w:rPr>
                <w:rFonts w:hint="eastAsia" w:ascii="宋体" w:hAnsi="宋体" w:cs="宋体"/>
                <w:color w:val="auto"/>
                <w:position w:val="6"/>
                <w:sz w:val="24"/>
                <w:highlight w:val="none"/>
                <w:u w:val="none"/>
              </w:rPr>
              <w:t>其他相关要求：</w:t>
            </w:r>
          </w:p>
          <w:p w14:paraId="5C5C7104">
            <w:pPr>
              <w:pStyle w:val="19"/>
              <w:numPr>
                <w:ilvl w:val="0"/>
                <w:numId w:val="0"/>
              </w:numPr>
              <w:adjustRightInd w:val="0"/>
              <w:snapToGrid w:val="0"/>
              <w:spacing w:after="0" w:line="560" w:lineRule="exact"/>
              <w:ind w:leftChars="0"/>
              <w:rPr>
                <w:rFonts w:hint="eastAsia" w:ascii="宋体" w:hAnsi="宋体" w:cs="宋体"/>
                <w:color w:val="auto"/>
                <w:position w:val="6"/>
                <w:sz w:val="24"/>
                <w:highlight w:val="none"/>
                <w:u w:val="single"/>
              </w:rPr>
            </w:pPr>
            <w:r>
              <w:rPr>
                <w:rFonts w:hint="eastAsia" w:ascii="宋体" w:hAnsi="宋体" w:cs="宋体"/>
                <w:color w:val="auto"/>
                <w:position w:val="6"/>
                <w:sz w:val="24"/>
                <w:highlight w:val="none"/>
                <w:u w:val="none"/>
                <w:lang w:val="en-US" w:eastAsia="zh-CN"/>
              </w:rPr>
              <w:t>1.</w:t>
            </w:r>
            <w:r>
              <w:rPr>
                <w:rFonts w:hint="eastAsia" w:ascii="宋体" w:hAnsi="宋体" w:cs="宋体"/>
                <w:color w:val="auto"/>
                <w:position w:val="6"/>
                <w:sz w:val="24"/>
                <w:highlight w:val="none"/>
                <w:u w:val="none"/>
              </w:rPr>
              <w:t>具体要求：</w:t>
            </w:r>
            <w:r>
              <w:rPr>
                <w:rFonts w:hint="eastAsia" w:ascii="宋体" w:hAnsi="宋体" w:cs="宋体"/>
                <w:color w:val="auto"/>
                <w:position w:val="6"/>
                <w:sz w:val="24"/>
                <w:highlight w:val="none"/>
                <w:u w:val="none"/>
                <w:lang w:val="en-US" w:eastAsia="zh-CN"/>
              </w:rPr>
              <w:t>满足招标人要求</w:t>
            </w:r>
            <w:r>
              <w:rPr>
                <w:rFonts w:hint="eastAsia" w:ascii="宋体" w:hAnsi="宋体" w:cs="宋体"/>
                <w:color w:val="auto"/>
                <w:position w:val="6"/>
                <w:sz w:val="24"/>
                <w:highlight w:val="none"/>
                <w:u w:val="none"/>
              </w:rPr>
              <w:t>；</w:t>
            </w:r>
          </w:p>
          <w:p w14:paraId="0B32D17F">
            <w:pPr>
              <w:pStyle w:val="19"/>
              <w:numPr>
                <w:ilvl w:val="0"/>
                <w:numId w:val="0"/>
              </w:numPr>
              <w:adjustRightInd w:val="0"/>
              <w:snapToGrid w:val="0"/>
              <w:spacing w:after="0" w:line="560" w:lineRule="exact"/>
              <w:ind w:leftChars="0"/>
              <w:rPr>
                <w:rFonts w:hint="eastAsia"/>
                <w:color w:val="auto"/>
                <w:sz w:val="24"/>
                <w:highlight w:val="none"/>
              </w:rPr>
            </w:pPr>
            <w:r>
              <w:rPr>
                <w:rFonts w:hint="eastAsia" w:ascii="宋体" w:hAnsi="宋体" w:cs="宋体"/>
                <w:color w:val="auto"/>
                <w:position w:val="6"/>
                <w:sz w:val="24"/>
                <w:highlight w:val="none"/>
                <w:u w:val="none"/>
                <w:lang w:val="en-US" w:eastAsia="zh-CN"/>
              </w:rPr>
              <w:t>2.</w:t>
            </w:r>
            <w:r>
              <w:rPr>
                <w:rFonts w:hint="eastAsia" w:ascii="宋体" w:hAnsi="宋体" w:cs="宋体"/>
                <w:color w:val="auto"/>
                <w:position w:val="6"/>
                <w:sz w:val="24"/>
                <w:highlight w:val="none"/>
                <w:u w:val="none"/>
              </w:rPr>
              <w:t>联合体参加投标且中标的，以联合体牵头人的名义按上述要求缴纳履约担保。</w:t>
            </w:r>
          </w:p>
        </w:tc>
      </w:tr>
      <w:tr w14:paraId="34259E3D">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2D472845">
            <w:pPr>
              <w:adjustRightInd w:val="0"/>
              <w:snapToGrid w:val="0"/>
              <w:spacing w:line="560" w:lineRule="exact"/>
              <w:jc w:val="center"/>
              <w:rPr>
                <w:rFonts w:ascii="宋体" w:hAnsi="宋体" w:cs="宋体"/>
                <w:color w:val="auto"/>
                <w:sz w:val="24"/>
                <w:highlight w:val="none"/>
              </w:rPr>
            </w:pPr>
            <w:r>
              <w:rPr>
                <w:rFonts w:hint="eastAsia" w:ascii="宋体" w:hAnsi="宋体" w:cs="宋体"/>
                <w:color w:val="auto"/>
                <w:sz w:val="24"/>
                <w:highlight w:val="none"/>
              </w:rPr>
              <w:t>7.9</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4757978F">
            <w:pPr>
              <w:adjustRightInd w:val="0"/>
              <w:snapToGrid w:val="0"/>
              <w:spacing w:line="560" w:lineRule="exact"/>
              <w:jc w:val="center"/>
              <w:rPr>
                <w:rFonts w:hint="eastAsia" w:ascii="宋体" w:hAnsi="宋体" w:cs="宋体"/>
                <w:color w:val="auto"/>
                <w:sz w:val="24"/>
                <w:highlight w:val="none"/>
              </w:rPr>
            </w:pPr>
            <w:r>
              <w:rPr>
                <w:rFonts w:hint="eastAsia"/>
                <w:color w:val="auto"/>
                <w:sz w:val="24"/>
                <w:highlight w:val="none"/>
              </w:rPr>
              <w:t>签订合同</w:t>
            </w:r>
          </w:p>
        </w:tc>
        <w:tc>
          <w:tcPr>
            <w:tcW w:w="7175" w:type="dxa"/>
            <w:tcBorders>
              <w:top w:val="single" w:color="auto" w:sz="4" w:space="0"/>
              <w:left w:val="single" w:color="auto" w:sz="4" w:space="0"/>
              <w:bottom w:val="single" w:color="auto" w:sz="4" w:space="0"/>
              <w:right w:val="single" w:color="auto" w:sz="4" w:space="0"/>
            </w:tcBorders>
            <w:noWrap w:val="0"/>
            <w:vAlign w:val="top"/>
          </w:tcPr>
          <w:p w14:paraId="5C788041">
            <w:pPr>
              <w:adjustRightInd w:val="0"/>
              <w:snapToGrid w:val="0"/>
              <w:spacing w:line="560" w:lineRule="exact"/>
              <w:rPr>
                <w:rFonts w:hint="eastAsia" w:ascii="宋体" w:hAnsi="宋体" w:cs="宋体"/>
                <w:color w:val="auto"/>
                <w:sz w:val="24"/>
                <w:highlight w:val="none"/>
              </w:rPr>
            </w:pPr>
            <w:r>
              <w:rPr>
                <w:rFonts w:hint="eastAsia"/>
                <w:color w:val="auto"/>
                <w:sz w:val="24"/>
                <w:highlight w:val="none"/>
              </w:rPr>
              <w:t>中标通知书发出之日起</w:t>
            </w:r>
            <w:r>
              <w:rPr>
                <w:rFonts w:hint="eastAsia"/>
                <w:color w:val="auto"/>
                <w:sz w:val="24"/>
                <w:highlight w:val="none"/>
                <w:u w:val="single"/>
              </w:rPr>
              <w:t xml:space="preserve">  </w:t>
            </w:r>
            <w:r>
              <w:rPr>
                <w:rFonts w:hint="eastAsia"/>
                <w:color w:val="auto"/>
                <w:sz w:val="24"/>
                <w:highlight w:val="none"/>
                <w:u w:val="single"/>
                <w:lang w:val="en-US" w:eastAsia="zh-CN"/>
              </w:rPr>
              <w:t>3</w:t>
            </w:r>
            <w:r>
              <w:rPr>
                <w:rFonts w:hint="eastAsia"/>
                <w:color w:val="auto"/>
                <w:sz w:val="24"/>
                <w:highlight w:val="none"/>
                <w:u w:val="single"/>
              </w:rPr>
              <w:t xml:space="preserve"> </w:t>
            </w:r>
            <w:r>
              <w:rPr>
                <w:rFonts w:hint="eastAsia"/>
                <w:color w:val="auto"/>
                <w:sz w:val="24"/>
                <w:highlight w:val="none"/>
              </w:rPr>
              <w:t>日内，应委派代表与招标人联系并商讨书面合同签订事宜。中标人和招标人应在投标有效期内以及中标通知书发出之日起30日内，根据招标文件和中标人的投标文件订立书面合同。</w:t>
            </w:r>
          </w:p>
        </w:tc>
      </w:tr>
      <w:tr w14:paraId="3A60AF62">
        <w:tblPrEx>
          <w:tblCellMar>
            <w:top w:w="0" w:type="dxa"/>
            <w:left w:w="108" w:type="dxa"/>
            <w:bottom w:w="0" w:type="dxa"/>
            <w:right w:w="108" w:type="dxa"/>
          </w:tblCellMar>
        </w:tblPrEx>
        <w:trPr>
          <w:trHeight w:val="90" w:hRule="atLeast"/>
          <w:jc w:val="center"/>
        </w:trPr>
        <w:tc>
          <w:tcPr>
            <w:tcW w:w="10175" w:type="dxa"/>
            <w:gridSpan w:val="3"/>
            <w:tcBorders>
              <w:top w:val="single" w:color="auto" w:sz="4" w:space="0"/>
              <w:left w:val="single" w:color="auto" w:sz="4" w:space="0"/>
              <w:bottom w:val="single" w:color="auto" w:sz="4" w:space="0"/>
              <w:right w:val="single" w:color="auto" w:sz="4" w:space="0"/>
            </w:tcBorders>
            <w:noWrap w:val="0"/>
            <w:vAlign w:val="center"/>
          </w:tcPr>
          <w:p w14:paraId="49F8276C">
            <w:pPr>
              <w:adjustRightInd w:val="0"/>
              <w:snapToGrid w:val="0"/>
              <w:spacing w:line="560" w:lineRule="exact"/>
              <w:jc w:val="left"/>
              <w:rPr>
                <w:rFonts w:hint="eastAsia" w:ascii="宋体" w:hAnsi="宋体" w:cs="宋体"/>
                <w:color w:val="auto"/>
                <w:sz w:val="24"/>
                <w:highlight w:val="none"/>
              </w:rPr>
            </w:pPr>
            <w:r>
              <w:rPr>
                <w:rFonts w:hint="eastAsia" w:ascii="宋体" w:hAnsi="宋体" w:cs="宋体"/>
                <w:color w:val="auto"/>
                <w:sz w:val="24"/>
                <w:highlight w:val="none"/>
              </w:rPr>
              <w:t>10.需要补充的其他内容</w:t>
            </w:r>
          </w:p>
        </w:tc>
      </w:tr>
      <w:tr w14:paraId="145A9A76">
        <w:tblPrEx>
          <w:tblCellMar>
            <w:top w:w="0" w:type="dxa"/>
            <w:left w:w="108" w:type="dxa"/>
            <w:bottom w:w="0" w:type="dxa"/>
            <w:right w:w="108" w:type="dxa"/>
          </w:tblCellMar>
        </w:tblPrEx>
        <w:trPr>
          <w:trHeight w:val="90" w:hRule="atLeast"/>
          <w:jc w:val="center"/>
        </w:trPr>
        <w:tc>
          <w:tcPr>
            <w:tcW w:w="10175" w:type="dxa"/>
            <w:gridSpan w:val="3"/>
            <w:tcBorders>
              <w:top w:val="single" w:color="auto" w:sz="4" w:space="0"/>
              <w:left w:val="single" w:color="auto" w:sz="4" w:space="0"/>
              <w:bottom w:val="single" w:color="auto" w:sz="4" w:space="0"/>
              <w:right w:val="single" w:color="auto" w:sz="4" w:space="0"/>
            </w:tcBorders>
            <w:noWrap w:val="0"/>
            <w:vAlign w:val="center"/>
          </w:tcPr>
          <w:p w14:paraId="07A8D8CD">
            <w:pPr>
              <w:adjustRightInd w:val="0"/>
              <w:snapToGrid w:val="0"/>
              <w:spacing w:line="560" w:lineRule="exact"/>
              <w:jc w:val="left"/>
              <w:rPr>
                <w:rFonts w:hint="eastAsia" w:ascii="宋体" w:hAnsi="宋体" w:cs="宋体"/>
                <w:color w:val="auto"/>
                <w:sz w:val="24"/>
                <w:highlight w:val="none"/>
              </w:rPr>
            </w:pPr>
            <w:r>
              <w:rPr>
                <w:rFonts w:hint="eastAsia" w:ascii="宋体" w:hAnsi="宋体" w:cs="宋体"/>
                <w:color w:val="auto"/>
                <w:sz w:val="24"/>
                <w:highlight w:val="none"/>
              </w:rPr>
              <w:t>10.1招标代理服务费和专家评审劳务费</w:t>
            </w:r>
          </w:p>
        </w:tc>
      </w:tr>
      <w:tr w14:paraId="6E31561B">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417E302C">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10.1.1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11A2C28">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招标代理服务费</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7CC0322C">
            <w:pPr>
              <w:adjustRightInd w:val="0"/>
              <w:snapToGrid w:val="0"/>
              <w:spacing w:line="560" w:lineRule="exact"/>
              <w:rPr>
                <w:rFonts w:hint="eastAsia" w:ascii="宋体" w:hAnsi="宋体" w:cs="宋体"/>
                <w:color w:val="auto"/>
                <w:kern w:val="0"/>
                <w:sz w:val="24"/>
                <w:highlight w:val="yellow"/>
                <w:u w:val="single"/>
              </w:rPr>
            </w:pPr>
            <w:r>
              <w:rPr>
                <w:rFonts w:hint="eastAsia" w:ascii="宋体" w:hAnsi="宋体" w:cs="宋体"/>
                <w:color w:val="auto"/>
                <w:sz w:val="24"/>
                <w:highlight w:val="none"/>
              </w:rPr>
              <w:t>代理服务费具体金额：</w:t>
            </w:r>
            <w:r>
              <w:rPr>
                <w:rFonts w:hint="eastAsia" w:ascii="宋体" w:hAnsi="宋体" w:cs="宋体"/>
                <w:color w:val="auto"/>
                <w:kern w:val="0"/>
                <w:sz w:val="24"/>
                <w:highlight w:val="none"/>
                <w:u w:val="single"/>
                <w:lang w:val="en-US" w:eastAsia="zh-CN"/>
              </w:rPr>
              <w:t>280000</w:t>
            </w:r>
            <w:r>
              <w:rPr>
                <w:rFonts w:hint="eastAsia" w:ascii="宋体" w:hAnsi="宋体" w:cs="宋体"/>
                <w:color w:val="auto"/>
                <w:kern w:val="0"/>
                <w:sz w:val="24"/>
                <w:highlight w:val="none"/>
                <w:u w:val="single"/>
              </w:rPr>
              <w:t>元</w:t>
            </w:r>
            <w:r>
              <w:rPr>
                <w:rFonts w:hint="eastAsia" w:ascii="宋体" w:hAnsi="宋体" w:cs="宋体"/>
                <w:color w:val="auto"/>
                <w:kern w:val="0"/>
                <w:sz w:val="24"/>
                <w:highlight w:val="none"/>
                <w:u w:val="single"/>
                <w:lang w:val="en-US" w:eastAsia="zh-CN"/>
              </w:rPr>
              <w:t>，参考计价格【2002】1980号文件规定的46%</w:t>
            </w:r>
            <w:r>
              <w:rPr>
                <w:rFonts w:hint="eastAsia" w:ascii="宋体" w:hAnsi="宋体" w:cs="宋体"/>
                <w:color w:val="auto"/>
                <w:kern w:val="0"/>
                <w:sz w:val="24"/>
                <w:highlight w:val="none"/>
                <w:u w:val="single"/>
              </w:rPr>
              <w:t>；</w:t>
            </w:r>
          </w:p>
          <w:p w14:paraId="04C4D931">
            <w:pPr>
              <w:adjustRightInd w:val="0"/>
              <w:snapToGrid w:val="0"/>
              <w:spacing w:line="560" w:lineRule="exact"/>
              <w:rPr>
                <w:rFonts w:hint="eastAsia" w:ascii="宋体" w:hAnsi="宋体" w:cs="宋体"/>
                <w:color w:val="auto"/>
                <w:sz w:val="24"/>
                <w:highlight w:val="none"/>
                <w:u w:val="single"/>
              </w:rPr>
            </w:pPr>
            <w:r>
              <w:rPr>
                <w:rFonts w:hint="eastAsia" w:ascii="宋体" w:hAnsi="宋体" w:cs="宋体"/>
                <w:color w:val="auto"/>
                <w:kern w:val="0"/>
                <w:sz w:val="24"/>
                <w:highlight w:val="none"/>
              </w:rPr>
              <w:t>代理服务费支付主体</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 xml:space="preserve">中标人，本项目因故未将此费用列入最高投标限价中，此项费用由中标人支付，投标人投标报价时充分考虑 </w:t>
            </w:r>
          </w:p>
          <w:p w14:paraId="2716C21E">
            <w:pPr>
              <w:adjustRightInd w:val="0"/>
              <w:snapToGrid w:val="0"/>
              <w:spacing w:line="560" w:lineRule="exact"/>
              <w:rPr>
                <w:rFonts w:hint="eastAsia" w:ascii="宋体" w:hAnsi="宋体" w:cs="宋体"/>
                <w:color w:val="auto"/>
                <w:kern w:val="0"/>
                <w:sz w:val="24"/>
                <w:highlight w:val="none"/>
                <w:u w:val="single"/>
              </w:rPr>
            </w:pPr>
            <w:r>
              <w:rPr>
                <w:rFonts w:hint="eastAsia" w:ascii="宋体" w:hAnsi="宋体" w:cs="宋体"/>
                <w:color w:val="auto"/>
                <w:sz w:val="24"/>
                <w:highlight w:val="none"/>
                <w:u w:val="single"/>
                <w:lang w:val="en-US" w:eastAsia="zh-CN"/>
              </w:rPr>
              <w:t>并谨慎报价</w:t>
            </w:r>
            <w:r>
              <w:rPr>
                <w:rFonts w:hint="eastAsia" w:ascii="宋体" w:hAnsi="宋体" w:cs="宋体"/>
                <w:color w:val="auto"/>
                <w:kern w:val="0"/>
                <w:sz w:val="24"/>
                <w:highlight w:val="none"/>
              </w:rPr>
              <w:t>。</w:t>
            </w:r>
          </w:p>
        </w:tc>
      </w:tr>
      <w:tr w14:paraId="55EAA8BD">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6AC4DF1F">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10.1.2</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AD35FEB">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专家评审劳务费</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475EFE2B">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费用或支付标准：</w:t>
            </w:r>
            <w:r>
              <w:rPr>
                <w:rFonts w:hint="eastAsia" w:ascii="宋体" w:hAnsi="宋体" w:cs="宋体"/>
                <w:color w:val="auto"/>
                <w:sz w:val="24"/>
                <w:highlight w:val="none"/>
                <w:lang w:val="en-US" w:eastAsia="zh-CN"/>
              </w:rPr>
              <w:t>以实际发生费用为准</w:t>
            </w:r>
            <w:r>
              <w:rPr>
                <w:rFonts w:hint="eastAsia" w:ascii="宋体" w:hAnsi="宋体" w:cs="宋体"/>
                <w:color w:val="auto"/>
                <w:sz w:val="24"/>
                <w:highlight w:val="none"/>
              </w:rPr>
              <w:t xml:space="preserve"> </w:t>
            </w:r>
          </w:p>
          <w:p w14:paraId="26EE1C59">
            <w:pPr>
              <w:adjustRightInd w:val="0"/>
              <w:snapToGrid w:val="0"/>
              <w:spacing w:line="560" w:lineRule="exact"/>
              <w:rPr>
                <w:rFonts w:hint="eastAsia" w:eastAsia="宋体"/>
                <w:color w:val="auto"/>
                <w:sz w:val="24"/>
                <w:highlight w:val="none"/>
                <w:lang w:eastAsia="zh-CN"/>
              </w:rPr>
            </w:pPr>
            <w:r>
              <w:rPr>
                <w:rFonts w:hint="eastAsia" w:ascii="宋体" w:hAnsi="宋体" w:cs="宋体"/>
                <w:color w:val="auto"/>
                <w:sz w:val="24"/>
                <w:highlight w:val="none"/>
              </w:rPr>
              <w:t>支付主体：</w:t>
            </w:r>
            <w:r>
              <w:rPr>
                <w:rFonts w:hint="eastAsia" w:ascii="宋体" w:hAnsi="宋体" w:cs="宋体"/>
                <w:color w:val="auto"/>
                <w:sz w:val="24"/>
                <w:highlight w:val="none"/>
                <w:lang w:val="en-US" w:eastAsia="zh-CN"/>
              </w:rPr>
              <w:t>招标人</w:t>
            </w:r>
          </w:p>
        </w:tc>
      </w:tr>
      <w:tr w14:paraId="3F8AD13F">
        <w:tblPrEx>
          <w:tblCellMar>
            <w:top w:w="0" w:type="dxa"/>
            <w:left w:w="108" w:type="dxa"/>
            <w:bottom w:w="0" w:type="dxa"/>
            <w:right w:w="108" w:type="dxa"/>
          </w:tblCellMar>
        </w:tblPrEx>
        <w:trPr>
          <w:trHeight w:val="90" w:hRule="atLeast"/>
          <w:jc w:val="center"/>
        </w:trPr>
        <w:tc>
          <w:tcPr>
            <w:tcW w:w="10175" w:type="dxa"/>
            <w:gridSpan w:val="3"/>
            <w:tcBorders>
              <w:top w:val="single" w:color="auto" w:sz="4" w:space="0"/>
              <w:left w:val="single" w:color="auto" w:sz="4" w:space="0"/>
              <w:bottom w:val="single" w:color="auto" w:sz="4" w:space="0"/>
              <w:right w:val="single" w:color="auto" w:sz="4" w:space="0"/>
            </w:tcBorders>
            <w:noWrap w:val="0"/>
            <w:vAlign w:val="center"/>
          </w:tcPr>
          <w:p w14:paraId="75272590">
            <w:pPr>
              <w:adjustRightInd w:val="0"/>
              <w:snapToGrid w:val="0"/>
              <w:spacing w:line="560" w:lineRule="exact"/>
              <w:rPr>
                <w:rFonts w:hint="eastAsia" w:ascii="宋体" w:hAnsi="宋体" w:cs="宋体"/>
                <w:bCs/>
                <w:snapToGrid w:val="0"/>
                <w:color w:val="auto"/>
                <w:kern w:val="0"/>
                <w:sz w:val="24"/>
                <w:highlight w:val="none"/>
              </w:rPr>
            </w:pPr>
            <w:r>
              <w:rPr>
                <w:rFonts w:hint="eastAsia" w:ascii="宋体" w:hAnsi="宋体" w:cs="宋体"/>
                <w:color w:val="auto"/>
                <w:sz w:val="24"/>
                <w:highlight w:val="none"/>
              </w:rPr>
              <w:t>10.2 招标文件获取与通知</w:t>
            </w:r>
          </w:p>
        </w:tc>
      </w:tr>
      <w:tr w14:paraId="66797335">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3655790F">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10.2.1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6BDA4719">
            <w:pPr>
              <w:adjustRightInd w:val="0"/>
              <w:snapToGrid w:val="0"/>
              <w:spacing w:line="560" w:lineRule="exact"/>
              <w:jc w:val="center"/>
              <w:rPr>
                <w:rFonts w:hint="eastAsia" w:ascii="宋体" w:hAnsi="宋体" w:cs="宋体"/>
                <w:bCs/>
                <w:snapToGrid w:val="0"/>
                <w:color w:val="auto"/>
                <w:kern w:val="0"/>
                <w:sz w:val="24"/>
                <w:highlight w:val="none"/>
              </w:rPr>
            </w:pPr>
            <w:r>
              <w:rPr>
                <w:rFonts w:hint="eastAsia" w:ascii="宋体" w:hAnsi="宋体" w:cs="宋体"/>
                <w:bCs/>
                <w:snapToGrid w:val="0"/>
                <w:color w:val="auto"/>
                <w:kern w:val="0"/>
                <w:sz w:val="24"/>
                <w:highlight w:val="none"/>
              </w:rPr>
              <w:t>电子招投标</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4E6A52DB">
            <w:pPr>
              <w:adjustRightInd w:val="0"/>
              <w:snapToGrid w:val="0"/>
              <w:spacing w:line="560" w:lineRule="exact"/>
              <w:rPr>
                <w:rFonts w:hint="eastAsia" w:ascii="宋体" w:hAnsi="宋体" w:cs="宋体"/>
                <w:color w:val="auto"/>
                <w:sz w:val="24"/>
                <w:highlight w:val="none"/>
              </w:rPr>
            </w:pPr>
            <w:r>
              <w:rPr>
                <w:rFonts w:hint="eastAsia" w:ascii="宋体" w:hAnsi="宋体" w:cs="宋体"/>
                <w:bCs/>
                <w:snapToGrid w:val="0"/>
                <w:color w:val="auto"/>
                <w:kern w:val="0"/>
                <w:sz w:val="24"/>
                <w:highlight w:val="none"/>
              </w:rPr>
              <w:t>本项目采用电子招标投标方式。</w:t>
            </w:r>
          </w:p>
        </w:tc>
      </w:tr>
      <w:tr w14:paraId="61E52B40">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224ADF1C">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10.2.2</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0C3CC53">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bCs/>
                <w:snapToGrid w:val="0"/>
                <w:color w:val="auto"/>
                <w:kern w:val="0"/>
                <w:sz w:val="24"/>
                <w:highlight w:val="none"/>
              </w:rPr>
              <w:t>图纸获取说明</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6FF9520D">
            <w:pPr>
              <w:adjustRightInd w:val="0"/>
              <w:snapToGrid w:val="0"/>
              <w:spacing w:line="560" w:lineRule="exact"/>
              <w:rPr>
                <w:rFonts w:hint="eastAsia" w:ascii="宋体" w:hAnsi="宋体" w:cs="宋体"/>
                <w:color w:val="auto"/>
                <w:sz w:val="24"/>
                <w:highlight w:val="none"/>
              </w:rPr>
            </w:pPr>
            <w:r>
              <w:rPr>
                <w:rFonts w:hint="eastAsia" w:ascii="宋体" w:hAnsi="宋体" w:cs="宋体"/>
                <w:color w:val="auto"/>
                <w:sz w:val="24"/>
                <w:highlight w:val="none"/>
              </w:rPr>
              <w:t xml:space="preserve">通过滁州市公共资源交易中心网站发布，投标人应自行下载。投标人应当及时登录滁州市公共资源交易中心交易系统查看。 </w:t>
            </w:r>
          </w:p>
        </w:tc>
      </w:tr>
      <w:tr w14:paraId="4225B8DC">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54E3B781">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10.2.3</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D428D7F">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bCs/>
                <w:snapToGrid w:val="0"/>
                <w:color w:val="auto"/>
                <w:kern w:val="0"/>
                <w:sz w:val="24"/>
                <w:highlight w:val="none"/>
              </w:rPr>
              <w:t>获取与查看通知</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4D3B3FAF">
            <w:pPr>
              <w:adjustRightInd w:val="0"/>
              <w:snapToGrid w:val="0"/>
              <w:spacing w:line="560" w:lineRule="exact"/>
              <w:rPr>
                <w:rFonts w:hint="eastAsia" w:ascii="宋体" w:hAnsi="宋体" w:cs="宋体"/>
                <w:color w:val="auto"/>
                <w:sz w:val="24"/>
                <w:highlight w:val="none"/>
              </w:rPr>
            </w:pPr>
            <w:r>
              <w:rPr>
                <w:rFonts w:hint="eastAsia" w:ascii="宋体" w:hAnsi="宋体" w:cs="宋体"/>
                <w:bCs/>
                <w:snapToGrid w:val="0"/>
                <w:color w:val="auto"/>
                <w:kern w:val="0"/>
                <w:sz w:val="24"/>
                <w:highlight w:val="none"/>
              </w:rPr>
              <w:t>本项目的招标文件、工程量清单、最高投标限价、澄清及修改等相关资料均通过</w:t>
            </w:r>
            <w:r>
              <w:rPr>
                <w:rFonts w:hint="eastAsia" w:ascii="宋体" w:hAnsi="宋体" w:cs="宋体"/>
                <w:bCs/>
                <w:snapToGrid w:val="0"/>
                <w:color w:val="auto"/>
                <w:kern w:val="0"/>
                <w:sz w:val="24"/>
                <w:highlight w:val="none"/>
                <w:u w:val="single"/>
              </w:rPr>
              <w:t>滁州市公共资源交易中心网站</w:t>
            </w:r>
            <w:r>
              <w:rPr>
                <w:rFonts w:hint="eastAsia" w:ascii="宋体" w:hAnsi="宋体" w:cs="宋体"/>
                <w:bCs/>
                <w:snapToGrid w:val="0"/>
                <w:color w:val="auto"/>
                <w:kern w:val="0"/>
                <w:sz w:val="24"/>
                <w:highlight w:val="none"/>
              </w:rPr>
              <w:t>发布，投标人应自行下载。投标人应当及时登录</w:t>
            </w:r>
            <w:r>
              <w:rPr>
                <w:rFonts w:hint="eastAsia" w:ascii="宋体" w:hAnsi="宋体" w:cs="宋体"/>
                <w:bCs/>
                <w:snapToGrid w:val="0"/>
                <w:color w:val="auto"/>
                <w:kern w:val="0"/>
                <w:sz w:val="24"/>
                <w:highlight w:val="none"/>
                <w:u w:val="single"/>
              </w:rPr>
              <w:t>滁州市公共资源交易中心交易</w:t>
            </w:r>
            <w:r>
              <w:rPr>
                <w:rFonts w:hint="eastAsia" w:ascii="宋体" w:hAnsi="宋体" w:cs="宋体"/>
                <w:bCs/>
                <w:snapToGrid w:val="0"/>
                <w:color w:val="auto"/>
                <w:kern w:val="0"/>
                <w:sz w:val="24"/>
                <w:highlight w:val="none"/>
              </w:rPr>
              <w:t>系统查看。</w:t>
            </w:r>
          </w:p>
        </w:tc>
      </w:tr>
      <w:tr w14:paraId="0833FD29">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6A87B341">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10.3</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5B83D447">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主要材料要求</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72F8B127">
            <w:pPr>
              <w:pStyle w:val="38"/>
              <w:spacing w:line="560" w:lineRule="exact"/>
              <w:jc w:val="left"/>
              <w:rPr>
                <w:rFonts w:hint="default" w:eastAsia="宋体"/>
                <w:b/>
                <w:bCs w:val="0"/>
                <w:color w:val="auto"/>
                <w:sz w:val="24"/>
                <w:highlight w:val="none"/>
                <w:lang w:val="en-US" w:eastAsia="zh-CN"/>
              </w:rPr>
            </w:pPr>
            <w:r>
              <w:rPr>
                <w:rFonts w:hint="eastAsia"/>
                <w:bCs/>
                <w:color w:val="auto"/>
                <w:sz w:val="24"/>
                <w:highlight w:val="none"/>
                <w:lang w:val="en-US"/>
              </w:rPr>
              <w:t>主要材料由中标人自行采购</w:t>
            </w:r>
            <w:r>
              <w:rPr>
                <w:rFonts w:hint="eastAsia"/>
                <w:bCs/>
                <w:color w:val="auto"/>
                <w:sz w:val="24"/>
                <w:highlight w:val="none"/>
                <w:lang w:val="en-US" w:eastAsia="zh-CN"/>
              </w:rPr>
              <w:t>。</w:t>
            </w:r>
            <w:r>
              <w:rPr>
                <w:rFonts w:hint="eastAsia" w:ascii="宋体" w:hAnsi="宋体" w:eastAsia="宋体" w:cs="宋体"/>
                <w:b/>
                <w:bCs w:val="0"/>
                <w:color w:val="auto"/>
                <w:sz w:val="24"/>
                <w:highlight w:val="none"/>
                <w:lang w:val="en-US" w:eastAsia="zh-CN"/>
              </w:rPr>
              <w:t>合同履行期间，视项目实际情况，招标人保留自行采购主要材料的权利，如招标人自行采购，投标人须无条件配合</w:t>
            </w:r>
            <w:r>
              <w:rPr>
                <w:rFonts w:hint="eastAsia" w:cs="宋体"/>
                <w:b/>
                <w:bCs w:val="0"/>
                <w:color w:val="auto"/>
                <w:sz w:val="24"/>
                <w:highlight w:val="none"/>
                <w:lang w:val="en-US" w:eastAsia="zh-CN"/>
              </w:rPr>
              <w:t>，否则招标人有权单方解除合同，履约保证金不予退还，同时按照已完成合格工程量价款的70%进行结算。</w:t>
            </w:r>
          </w:p>
          <w:p w14:paraId="4603F4D5">
            <w:pPr>
              <w:pStyle w:val="38"/>
              <w:spacing w:line="560" w:lineRule="exact"/>
              <w:jc w:val="left"/>
              <w:rPr>
                <w:rFonts w:hint="eastAsia"/>
                <w:bCs/>
                <w:color w:val="auto"/>
                <w:sz w:val="24"/>
                <w:highlight w:val="none"/>
                <w:lang w:val="en-US"/>
              </w:rPr>
            </w:pPr>
            <w:r>
              <w:rPr>
                <w:rFonts w:hint="eastAsia"/>
                <w:bCs/>
                <w:color w:val="auto"/>
                <w:sz w:val="24"/>
                <w:highlight w:val="none"/>
                <w:lang w:val="en-US"/>
              </w:rPr>
              <w:t>如招标人对主要材料、设备的技术性能指标有特殊要求，应在招标文件第八章“技术标准和要求”品牌推荐表中推荐不少于三个品牌。对于招标人推荐品牌的材料、设备，投标人可选用推荐品牌或不低于推荐品牌技术性能指标的其他品牌；采用其他品牌的应在报价文件《招标人推荐的材料品牌响应表》中注明并提供相关技术性能指标、业绩等供评标委员会评审，未在《招标人推荐的材料品牌响应表》中注明且未提供相关技术性能指标、业绩，或经评标委员会评审未通过的，中标后只能从招标人推荐品牌中进行选择，合同价格不予调整。</w:t>
            </w:r>
          </w:p>
          <w:p w14:paraId="560E6A29">
            <w:pPr>
              <w:pStyle w:val="38"/>
              <w:spacing w:line="560" w:lineRule="exact"/>
              <w:jc w:val="left"/>
              <w:rPr>
                <w:rFonts w:hint="eastAsia"/>
                <w:b/>
                <w:bCs/>
                <w:color w:val="auto"/>
                <w:sz w:val="24"/>
                <w:highlight w:val="none"/>
                <w:u w:val="none"/>
                <w:lang w:val="en-US"/>
              </w:rPr>
            </w:pPr>
            <w:r>
              <w:rPr>
                <w:rFonts w:hint="eastAsia"/>
                <w:b/>
                <w:bCs/>
                <w:color w:val="auto"/>
                <w:sz w:val="24"/>
                <w:highlight w:val="none"/>
                <w:u w:val="none"/>
                <w:lang w:val="en-US"/>
              </w:rPr>
              <w:t>1、本工程采用商品砼。</w:t>
            </w:r>
          </w:p>
          <w:p w14:paraId="02927F68">
            <w:pPr>
              <w:pStyle w:val="38"/>
              <w:spacing w:line="560" w:lineRule="exact"/>
              <w:jc w:val="left"/>
              <w:rPr>
                <w:rFonts w:hint="eastAsia"/>
                <w:b/>
                <w:bCs/>
                <w:color w:val="auto"/>
                <w:sz w:val="24"/>
                <w:highlight w:val="none"/>
                <w:u w:val="none"/>
                <w:lang w:val="en-US"/>
              </w:rPr>
            </w:pPr>
            <w:r>
              <w:rPr>
                <w:rFonts w:hint="eastAsia"/>
                <w:b/>
                <w:bCs/>
                <w:color w:val="auto"/>
                <w:sz w:val="24"/>
                <w:highlight w:val="none"/>
                <w:u w:val="none"/>
                <w:lang w:val="en-US"/>
              </w:rPr>
              <w:t>2、本项目采用预拌砂浆。</w:t>
            </w:r>
          </w:p>
          <w:p w14:paraId="50A47403">
            <w:pPr>
              <w:pStyle w:val="38"/>
              <w:adjustRightInd w:val="0"/>
              <w:snapToGrid w:val="0"/>
              <w:spacing w:line="560" w:lineRule="exact"/>
              <w:jc w:val="left"/>
              <w:rPr>
                <w:rFonts w:hint="eastAsia" w:ascii="宋体" w:hAnsi="宋体" w:eastAsia="宋体" w:cs="宋体"/>
                <w:b/>
                <w:bCs/>
                <w:color w:val="auto"/>
                <w:sz w:val="24"/>
                <w:highlight w:val="none"/>
                <w:u w:val="none"/>
                <w:lang w:val="en-US" w:eastAsia="zh-CN"/>
              </w:rPr>
            </w:pPr>
            <w:r>
              <w:rPr>
                <w:rFonts w:hint="eastAsia" w:ascii="宋体" w:hAnsi="宋体" w:eastAsia="宋体" w:cs="宋体"/>
                <w:b/>
                <w:bCs/>
                <w:color w:val="auto"/>
                <w:sz w:val="24"/>
                <w:highlight w:val="none"/>
                <w:u w:val="none"/>
                <w:lang w:val="en-US" w:eastAsia="zh-CN"/>
              </w:rPr>
              <w:t>3.其他相关要求：</w:t>
            </w:r>
          </w:p>
          <w:p w14:paraId="21A7885B">
            <w:pPr>
              <w:pStyle w:val="38"/>
              <w:adjustRightInd w:val="0"/>
              <w:snapToGrid w:val="0"/>
              <w:spacing w:line="560" w:lineRule="exact"/>
              <w:jc w:val="left"/>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 xml:space="preserve">3.1中标人自行采购的材料应满足设计和规范要求的质量等级，并须按有关技术规范要求对材料质量进行检验。如招标人和监理单位对某种或某些材料的质量有异议，有权提出停止使用的要求，中标人必须服从该要求。若该材料经检验部门鉴定确有质量问题，由此发生的一切费用由中标人自付；主要材料供应商发生过质量事故及管理混乱的，不得用于该工程建设，发包人具有否决权。因中标人自行采购的材料质量引起的工程质量问题由中标人承担所造成的一切损失。 </w:t>
            </w:r>
          </w:p>
          <w:p w14:paraId="2E970D4C">
            <w:pPr>
              <w:pStyle w:val="38"/>
              <w:adjustRightInd w:val="0"/>
              <w:snapToGrid w:val="0"/>
              <w:spacing w:line="560" w:lineRule="exact"/>
              <w:jc w:val="left"/>
              <w:rPr>
                <w:rFonts w:hint="default"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3.2中标人须在采购施工的主要材料及设备前，提供不少于三个满足国家规范、图纸及招标文件要求的材料品牌，供招标人选择确定。若中标人提供给招标人选择的材料不满足国家规范、图纸及招标文件要求的，招标人不予认可，并处以该项材料</w:t>
            </w:r>
            <w:r>
              <w:rPr>
                <w:rFonts w:hint="eastAsia" w:cs="宋体"/>
                <w:bCs/>
                <w:color w:val="auto"/>
                <w:sz w:val="24"/>
                <w:highlight w:val="none"/>
                <w:lang w:val="en-US" w:eastAsia="zh-CN"/>
              </w:rPr>
              <w:t>总价</w:t>
            </w:r>
            <w:r>
              <w:rPr>
                <w:rFonts w:hint="eastAsia" w:ascii="宋体" w:hAnsi="宋体" w:eastAsia="宋体" w:cs="宋体"/>
                <w:bCs/>
                <w:color w:val="auto"/>
                <w:sz w:val="24"/>
                <w:highlight w:val="none"/>
                <w:lang w:val="en-US" w:eastAsia="zh-CN"/>
              </w:rPr>
              <w:t>的5%且不低于5万元作为违约金。</w:t>
            </w:r>
          </w:p>
          <w:p w14:paraId="36FCCA2D">
            <w:pPr>
              <w:pStyle w:val="38"/>
              <w:adjustRightInd w:val="0"/>
              <w:snapToGrid w:val="0"/>
              <w:spacing w:line="560" w:lineRule="exact"/>
              <w:jc w:val="left"/>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3.3招标人有权随机抽取中标人提供的材料进行检测，若检测不合格，检测费用由中标人支付，不合格材料无条件退场并处以1万元/次违约金；二次抽检不合格，不合格材料无条件退场并处以5万元/次违约金并上报主管部门。</w:t>
            </w:r>
          </w:p>
          <w:p w14:paraId="66936B91">
            <w:pPr>
              <w:pStyle w:val="38"/>
              <w:adjustRightInd w:val="0"/>
              <w:snapToGrid w:val="0"/>
              <w:spacing w:line="560" w:lineRule="exact"/>
              <w:jc w:val="left"/>
              <w:rPr>
                <w:rFonts w:hint="eastAsia"/>
                <w:color w:val="auto"/>
                <w:sz w:val="24"/>
                <w:highlight w:val="none"/>
              </w:rPr>
            </w:pPr>
            <w:r>
              <w:rPr>
                <w:rFonts w:hint="eastAsia" w:ascii="宋体" w:hAnsi="宋体" w:eastAsia="宋体" w:cs="宋体"/>
                <w:bCs/>
                <w:color w:val="auto"/>
                <w:sz w:val="24"/>
                <w:highlight w:val="none"/>
                <w:lang w:val="en-US" w:eastAsia="zh-CN"/>
              </w:rPr>
              <w:t>3.4本项目的主要材料（包含但不限于钢筋及混凝土）及设备采购前，中标人</w:t>
            </w:r>
            <w:r>
              <w:rPr>
                <w:rFonts w:hint="eastAsia" w:cs="宋体"/>
                <w:bCs/>
                <w:color w:val="auto"/>
                <w:sz w:val="24"/>
                <w:highlight w:val="none"/>
                <w:lang w:val="en-US" w:eastAsia="zh-CN"/>
              </w:rPr>
              <w:t>须</w:t>
            </w:r>
            <w:r>
              <w:rPr>
                <w:rFonts w:hint="eastAsia" w:ascii="宋体" w:hAnsi="宋体" w:eastAsia="宋体" w:cs="宋体"/>
                <w:bCs/>
                <w:color w:val="auto"/>
                <w:sz w:val="24"/>
                <w:highlight w:val="none"/>
                <w:lang w:val="en-US" w:eastAsia="zh-CN"/>
              </w:rPr>
              <w:t>编制采购清单经招标人确认后实施，否则不予进场使用</w:t>
            </w:r>
            <w:r>
              <w:rPr>
                <w:rFonts w:hint="eastAsia" w:cs="宋体"/>
                <w:bCs/>
                <w:color w:val="auto"/>
                <w:sz w:val="24"/>
                <w:highlight w:val="none"/>
                <w:lang w:val="en-US" w:eastAsia="zh-CN"/>
              </w:rPr>
              <w:t>，</w:t>
            </w:r>
            <w:r>
              <w:rPr>
                <w:rFonts w:hint="eastAsia" w:ascii="宋体" w:hAnsi="宋体" w:eastAsia="宋体" w:cs="宋体"/>
                <w:bCs/>
                <w:color w:val="auto"/>
                <w:sz w:val="24"/>
                <w:highlight w:val="none"/>
                <w:lang w:val="en-US" w:eastAsia="zh-CN"/>
              </w:rPr>
              <w:t>未经招标人同意擅自采购上述材料</w:t>
            </w:r>
            <w:r>
              <w:rPr>
                <w:rFonts w:hint="eastAsia" w:cs="宋体"/>
                <w:bCs/>
                <w:color w:val="auto"/>
                <w:sz w:val="24"/>
                <w:highlight w:val="none"/>
                <w:lang w:val="en-US" w:eastAsia="zh-CN"/>
              </w:rPr>
              <w:t>及设备</w:t>
            </w:r>
            <w:r>
              <w:rPr>
                <w:rFonts w:hint="eastAsia" w:ascii="宋体" w:hAnsi="宋体" w:eastAsia="宋体" w:cs="宋体"/>
                <w:bCs/>
                <w:color w:val="auto"/>
                <w:sz w:val="24"/>
                <w:highlight w:val="none"/>
                <w:lang w:val="en-US" w:eastAsia="zh-CN"/>
              </w:rPr>
              <w:t>的，处以50000元/次违约金，且采购的材料</w:t>
            </w:r>
            <w:r>
              <w:rPr>
                <w:rFonts w:hint="eastAsia" w:cs="宋体"/>
                <w:bCs/>
                <w:color w:val="auto"/>
                <w:sz w:val="24"/>
                <w:highlight w:val="none"/>
                <w:lang w:val="en-US" w:eastAsia="zh-CN"/>
              </w:rPr>
              <w:t>及设备</w:t>
            </w:r>
            <w:r>
              <w:rPr>
                <w:rFonts w:hint="eastAsia" w:ascii="宋体" w:hAnsi="宋体" w:eastAsia="宋体" w:cs="宋体"/>
                <w:bCs/>
                <w:color w:val="auto"/>
                <w:sz w:val="24"/>
                <w:highlight w:val="none"/>
                <w:lang w:val="en-US" w:eastAsia="zh-CN"/>
              </w:rPr>
              <w:t>不得用于本项目施工且须在规定时间内将其材料及设备进行清场处理</w:t>
            </w:r>
            <w:r>
              <w:rPr>
                <w:rFonts w:hint="eastAsia" w:cs="宋体"/>
                <w:bCs/>
                <w:color w:val="auto"/>
                <w:sz w:val="24"/>
                <w:highlight w:val="none"/>
                <w:lang w:val="en-US" w:eastAsia="zh-CN"/>
              </w:rPr>
              <w:t>，</w:t>
            </w:r>
            <w:r>
              <w:rPr>
                <w:rFonts w:hint="eastAsia" w:cs="宋体"/>
                <w:b/>
                <w:bCs w:val="0"/>
                <w:color w:val="auto"/>
                <w:sz w:val="24"/>
                <w:highlight w:val="none"/>
                <w:lang w:val="en-US" w:eastAsia="zh-CN"/>
              </w:rPr>
              <w:t>同时招标人有权单方解除合同，履约保证金不予退还，同时按照已完成合格工程量价款的70%进行结算。</w:t>
            </w:r>
          </w:p>
        </w:tc>
      </w:tr>
      <w:tr w14:paraId="4EF49077">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2B6CB119">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10.4</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1D2D544">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bCs/>
                <w:snapToGrid w:val="0"/>
                <w:color w:val="auto"/>
                <w:kern w:val="0"/>
                <w:sz w:val="24"/>
                <w:highlight w:val="none"/>
              </w:rPr>
              <w:t>相关要求</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6EF84098">
            <w:pPr>
              <w:adjustRightInd w:val="0"/>
              <w:snapToGrid w:val="0"/>
              <w:spacing w:line="560" w:lineRule="exact"/>
              <w:rPr>
                <w:rFonts w:hint="eastAsia" w:ascii="宋体" w:hAnsi="宋体" w:eastAsia="宋体" w:cs="宋体"/>
                <w:bCs/>
                <w:color w:val="auto"/>
                <w:kern w:val="2"/>
                <w:sz w:val="24"/>
                <w:szCs w:val="24"/>
                <w:highlight w:val="none"/>
                <w:lang w:val="en-US" w:eastAsia="zh-CN" w:bidi="zh-CN"/>
              </w:rPr>
            </w:pPr>
            <w:r>
              <w:rPr>
                <w:rFonts w:hint="eastAsia" w:ascii="宋体" w:hAnsi="宋体" w:eastAsia="宋体" w:cs="宋体"/>
                <w:bCs/>
                <w:color w:val="auto"/>
                <w:kern w:val="2"/>
                <w:sz w:val="24"/>
                <w:szCs w:val="24"/>
                <w:highlight w:val="none"/>
                <w:lang w:val="en-US" w:eastAsia="zh-CN" w:bidi="zh-CN"/>
              </w:rPr>
              <w:t>1</w:t>
            </w:r>
            <w:r>
              <w:rPr>
                <w:rFonts w:hint="eastAsia" w:ascii="宋体" w:hAnsi="宋体" w:cs="宋体"/>
                <w:bCs/>
                <w:color w:val="auto"/>
                <w:kern w:val="2"/>
                <w:sz w:val="24"/>
                <w:szCs w:val="24"/>
                <w:highlight w:val="none"/>
                <w:lang w:val="en-US" w:eastAsia="zh-CN" w:bidi="zh-CN"/>
              </w:rPr>
              <w:t>.</w:t>
            </w:r>
            <w:r>
              <w:rPr>
                <w:rFonts w:hint="eastAsia" w:ascii="宋体" w:hAnsi="宋体" w:eastAsia="宋体" w:cs="宋体"/>
                <w:bCs/>
                <w:color w:val="auto"/>
                <w:kern w:val="2"/>
                <w:sz w:val="24"/>
                <w:szCs w:val="24"/>
                <w:highlight w:val="none"/>
                <w:lang w:val="en-US" w:eastAsia="zh-CN" w:bidi="zh-CN"/>
              </w:rPr>
              <w:t>本项目投标保证金、履约保证金、工程质量保证金、农民工工资保证金均支持保函使用。以现金形式提交保证金的，应当同时退还保证金本金和银行同期存款利息。</w:t>
            </w:r>
          </w:p>
          <w:p w14:paraId="6AD1C30B">
            <w:pPr>
              <w:adjustRightInd w:val="0"/>
              <w:snapToGrid w:val="0"/>
              <w:spacing w:line="560" w:lineRule="exact"/>
              <w:rPr>
                <w:rFonts w:hint="eastAsia" w:ascii="宋体" w:hAnsi="宋体" w:eastAsia="宋体" w:cs="宋体"/>
                <w:bCs/>
                <w:color w:val="auto"/>
                <w:kern w:val="2"/>
                <w:sz w:val="24"/>
                <w:szCs w:val="24"/>
                <w:highlight w:val="none"/>
                <w:lang w:val="en-US" w:eastAsia="zh-CN" w:bidi="zh-CN"/>
              </w:rPr>
            </w:pPr>
            <w:r>
              <w:rPr>
                <w:rFonts w:hint="eastAsia" w:ascii="宋体" w:hAnsi="宋体" w:eastAsia="宋体" w:cs="宋体"/>
                <w:bCs/>
                <w:color w:val="auto"/>
                <w:kern w:val="2"/>
                <w:sz w:val="24"/>
                <w:szCs w:val="24"/>
                <w:highlight w:val="none"/>
                <w:lang w:val="en-US" w:eastAsia="zh-CN" w:bidi="zh-CN"/>
              </w:rPr>
              <w:t>2</w:t>
            </w:r>
            <w:r>
              <w:rPr>
                <w:rFonts w:hint="eastAsia" w:ascii="宋体" w:hAnsi="宋体" w:cs="宋体"/>
                <w:bCs/>
                <w:color w:val="auto"/>
                <w:kern w:val="2"/>
                <w:sz w:val="24"/>
                <w:szCs w:val="24"/>
                <w:highlight w:val="none"/>
                <w:lang w:val="en-US" w:eastAsia="zh-CN" w:bidi="zh-CN"/>
              </w:rPr>
              <w:t>.</w:t>
            </w:r>
            <w:r>
              <w:rPr>
                <w:rFonts w:hint="eastAsia" w:ascii="宋体" w:hAnsi="宋体" w:eastAsia="宋体" w:cs="宋体"/>
                <w:bCs/>
                <w:color w:val="auto"/>
                <w:kern w:val="2"/>
                <w:sz w:val="24"/>
                <w:szCs w:val="24"/>
                <w:highlight w:val="none"/>
                <w:lang w:val="en-US" w:eastAsia="zh-CN" w:bidi="zh-CN"/>
              </w:rPr>
              <w:t>承包人在工程实施过程中的用工行为，必须严格按照《保障农民工工资支付条例》（国务院令 第724号）、《安徽省人民政府办公厅关于全面治理拖欠农民工工资问题的实施意见》（皖政办〔2016〕22号）以及《贯彻落实&lt;工程建设领域农民工工资专用账户管理暂行办法&gt;的通知》（皖人社发〔2022〕5号）、《安徽省工程建设领域农民工工资保证金实施办法》（皖人社发〔2022〕8号）等文件精神的有关规定，依法与招用的农民工签订劳动合同，并按规定及时足额支付工资。</w:t>
            </w:r>
          </w:p>
          <w:p w14:paraId="2F6C8C54">
            <w:pPr>
              <w:adjustRightInd w:val="0"/>
              <w:snapToGrid w:val="0"/>
              <w:spacing w:line="560" w:lineRule="exact"/>
              <w:rPr>
                <w:rFonts w:hint="eastAsia" w:ascii="宋体" w:hAnsi="宋体" w:eastAsia="宋体" w:cs="宋体"/>
                <w:bCs/>
                <w:color w:val="auto"/>
                <w:kern w:val="2"/>
                <w:sz w:val="24"/>
                <w:szCs w:val="24"/>
                <w:highlight w:val="none"/>
                <w:lang w:val="en-US" w:eastAsia="zh-CN" w:bidi="zh-CN"/>
              </w:rPr>
            </w:pPr>
            <w:r>
              <w:rPr>
                <w:rFonts w:hint="eastAsia" w:ascii="宋体" w:hAnsi="宋体" w:eastAsia="宋体" w:cs="宋体"/>
                <w:bCs/>
                <w:color w:val="auto"/>
                <w:kern w:val="2"/>
                <w:sz w:val="24"/>
                <w:szCs w:val="24"/>
                <w:highlight w:val="none"/>
                <w:lang w:val="en-US" w:eastAsia="zh-CN" w:bidi="zh-CN"/>
              </w:rPr>
              <w:t>为切实保障建筑行业农民工工资支付、加快培育新时代建筑产业工人队伍、有效破解拖欠工程款问题，承包人应严格落实安徽省住建厅《关于建立长效机制切实保障建筑行业农民工工资支付工作的通知》（建市函〔2022〕490号），《关于加快培育和壮大我省建筑产业工人队伍的意见》（建市规〔2023〕1号）以及《关于印发〈安徽省房屋建筑和市政基础设施工程施工过程结算管理办法〉 的通知》（建市规〔2023〕2号）等文件要求。</w:t>
            </w:r>
          </w:p>
          <w:p w14:paraId="66E54B0A">
            <w:pPr>
              <w:adjustRightInd w:val="0"/>
              <w:snapToGrid w:val="0"/>
              <w:spacing w:line="560" w:lineRule="exact"/>
              <w:rPr>
                <w:rFonts w:hint="eastAsia" w:ascii="宋体" w:hAnsi="宋体" w:eastAsia="宋体" w:cs="宋体"/>
                <w:bCs/>
                <w:color w:val="auto"/>
                <w:kern w:val="2"/>
                <w:sz w:val="24"/>
                <w:szCs w:val="24"/>
                <w:highlight w:val="none"/>
                <w:lang w:val="en-US" w:eastAsia="zh-CN" w:bidi="zh-CN"/>
              </w:rPr>
            </w:pPr>
            <w:r>
              <w:rPr>
                <w:rFonts w:hint="eastAsia" w:ascii="宋体" w:hAnsi="宋体" w:eastAsia="宋体" w:cs="宋体"/>
                <w:bCs/>
                <w:color w:val="auto"/>
                <w:kern w:val="2"/>
                <w:sz w:val="24"/>
                <w:szCs w:val="24"/>
                <w:highlight w:val="none"/>
                <w:lang w:val="en-US" w:eastAsia="zh-CN" w:bidi="zh-CN"/>
              </w:rPr>
              <w:t>《贯彻落实&lt;工程建设领域农民工工资专用账户管理暂行办法&gt;的通知》（皖人社发【2022】5号），其中工资保证金和工资专户由工程建设项目的施工总承包企业（包括直接承包建设单位发包工程的专业承包企业）缴存和开设。若为联合体中标，由联合体中牵头人缴存和开设专户。</w:t>
            </w:r>
          </w:p>
          <w:p w14:paraId="25ED7391">
            <w:pPr>
              <w:adjustRightInd w:val="0"/>
              <w:snapToGrid w:val="0"/>
              <w:spacing w:line="560" w:lineRule="exact"/>
              <w:rPr>
                <w:rFonts w:hint="eastAsia" w:ascii="宋体" w:hAnsi="宋体" w:eastAsia="宋体" w:cs="宋体"/>
                <w:bCs/>
                <w:color w:val="auto"/>
                <w:kern w:val="2"/>
                <w:sz w:val="24"/>
                <w:szCs w:val="24"/>
                <w:highlight w:val="none"/>
                <w:lang w:val="en-US" w:eastAsia="zh-CN" w:bidi="zh-CN"/>
              </w:rPr>
            </w:pPr>
            <w:r>
              <w:rPr>
                <w:rFonts w:hint="eastAsia" w:ascii="宋体" w:hAnsi="宋体" w:eastAsia="宋体" w:cs="宋体"/>
                <w:bCs/>
                <w:color w:val="auto"/>
                <w:kern w:val="2"/>
                <w:sz w:val="24"/>
                <w:szCs w:val="24"/>
                <w:highlight w:val="none"/>
                <w:lang w:val="en-US" w:eastAsia="zh-CN" w:bidi="zh-CN"/>
              </w:rPr>
              <w:t>3</w:t>
            </w:r>
            <w:r>
              <w:rPr>
                <w:rFonts w:hint="eastAsia" w:ascii="宋体" w:hAnsi="宋体" w:cs="宋体"/>
                <w:bCs/>
                <w:color w:val="auto"/>
                <w:kern w:val="2"/>
                <w:sz w:val="24"/>
                <w:szCs w:val="24"/>
                <w:highlight w:val="none"/>
                <w:lang w:val="en-US" w:eastAsia="zh-CN" w:bidi="zh-CN"/>
              </w:rPr>
              <w:t>.</w:t>
            </w:r>
            <w:r>
              <w:rPr>
                <w:rFonts w:hint="eastAsia" w:ascii="宋体" w:hAnsi="宋体" w:eastAsia="宋体" w:cs="宋体"/>
                <w:bCs/>
                <w:color w:val="auto"/>
                <w:kern w:val="2"/>
                <w:sz w:val="24"/>
                <w:szCs w:val="24"/>
                <w:highlight w:val="none"/>
                <w:lang w:val="en-US" w:eastAsia="zh-CN" w:bidi="zh-CN"/>
              </w:rPr>
              <w:t xml:space="preserve">省外建设工程企业按照《关于优化进皖建设工程企业信息登记服务和管理有关工作的通知》（建市函〔2022〕580号）进行相关信息登记。 </w:t>
            </w:r>
          </w:p>
          <w:p w14:paraId="1DF23366">
            <w:pPr>
              <w:adjustRightInd w:val="0"/>
              <w:snapToGrid w:val="0"/>
              <w:spacing w:line="560" w:lineRule="exact"/>
              <w:rPr>
                <w:rFonts w:hint="eastAsia" w:ascii="宋体" w:hAnsi="宋体" w:eastAsia="宋体" w:cs="宋体"/>
                <w:bCs/>
                <w:color w:val="auto"/>
                <w:kern w:val="2"/>
                <w:sz w:val="24"/>
                <w:szCs w:val="24"/>
                <w:highlight w:val="none"/>
                <w:lang w:val="en-US" w:eastAsia="zh-CN" w:bidi="zh-CN"/>
              </w:rPr>
            </w:pPr>
            <w:r>
              <w:rPr>
                <w:rFonts w:hint="eastAsia" w:ascii="宋体" w:hAnsi="宋体" w:eastAsia="宋体" w:cs="宋体"/>
                <w:bCs/>
                <w:color w:val="auto"/>
                <w:kern w:val="2"/>
                <w:sz w:val="24"/>
                <w:szCs w:val="24"/>
                <w:highlight w:val="none"/>
                <w:lang w:val="en-US" w:eastAsia="zh-CN" w:bidi="zh-CN"/>
              </w:rPr>
              <w:t>4</w:t>
            </w:r>
            <w:r>
              <w:rPr>
                <w:rFonts w:hint="eastAsia" w:ascii="宋体" w:hAnsi="宋体" w:cs="宋体"/>
                <w:bCs/>
                <w:color w:val="auto"/>
                <w:kern w:val="2"/>
                <w:sz w:val="24"/>
                <w:szCs w:val="24"/>
                <w:highlight w:val="none"/>
                <w:lang w:val="en-US" w:eastAsia="zh-CN" w:bidi="zh-CN"/>
              </w:rPr>
              <w:t>.</w:t>
            </w:r>
            <w:r>
              <w:rPr>
                <w:rFonts w:hint="eastAsia" w:ascii="宋体" w:hAnsi="宋体" w:eastAsia="宋体" w:cs="宋体"/>
                <w:bCs/>
                <w:color w:val="auto"/>
                <w:kern w:val="2"/>
                <w:sz w:val="24"/>
                <w:szCs w:val="24"/>
                <w:highlight w:val="none"/>
                <w:lang w:val="en-US" w:eastAsia="zh-CN" w:bidi="zh-CN"/>
              </w:rPr>
              <w:t>保证保险产品应按《中国银保监会办公厅关于进一步加强和改进财产保险公司产品监管有关问题的通知》执行。</w:t>
            </w:r>
          </w:p>
          <w:p w14:paraId="0496C850">
            <w:pPr>
              <w:adjustRightInd w:val="0"/>
              <w:snapToGrid w:val="0"/>
              <w:spacing w:line="560" w:lineRule="exact"/>
              <w:rPr>
                <w:rFonts w:hint="eastAsia"/>
                <w:color w:val="auto"/>
                <w:highlight w:val="none"/>
              </w:rPr>
            </w:pPr>
            <w:r>
              <w:rPr>
                <w:rFonts w:hint="eastAsia" w:ascii="宋体" w:hAnsi="宋体" w:eastAsia="宋体" w:cs="宋体"/>
                <w:bCs/>
                <w:color w:val="auto"/>
                <w:kern w:val="2"/>
                <w:sz w:val="24"/>
                <w:szCs w:val="24"/>
                <w:highlight w:val="none"/>
                <w:lang w:val="en-US" w:eastAsia="zh-CN" w:bidi="zh-CN"/>
              </w:rPr>
              <w:t>5</w:t>
            </w:r>
            <w:r>
              <w:rPr>
                <w:rFonts w:hint="eastAsia" w:ascii="宋体" w:hAnsi="宋体" w:cs="宋体"/>
                <w:bCs/>
                <w:color w:val="auto"/>
                <w:kern w:val="2"/>
                <w:sz w:val="24"/>
                <w:szCs w:val="24"/>
                <w:highlight w:val="none"/>
                <w:lang w:val="en-US" w:eastAsia="zh-CN" w:bidi="zh-CN"/>
              </w:rPr>
              <w:t>.</w:t>
            </w:r>
            <w:r>
              <w:rPr>
                <w:rFonts w:hint="eastAsia" w:ascii="宋体" w:hAnsi="宋体" w:eastAsia="宋体" w:cs="宋体"/>
                <w:bCs/>
                <w:color w:val="auto"/>
                <w:kern w:val="2"/>
                <w:sz w:val="24"/>
                <w:szCs w:val="24"/>
                <w:highlight w:val="none"/>
                <w:lang w:val="en-US" w:eastAsia="zh-CN" w:bidi="zh-CN"/>
              </w:rPr>
              <w:t>我省行政区域内按照规定应办理建筑工程施工许可证的房屋建筑和市政工程建设项目，均应办理工程款支付担保。具体金额、担保方式等按《安徽省住房和城乡建设厅关于加强房屋建筑和市政基础设施工程建设领域工程款支付担保管理工作的通知》（建市〔2022〕54号）执行。</w:t>
            </w:r>
          </w:p>
        </w:tc>
      </w:tr>
      <w:tr w14:paraId="5C7921BF">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71ECA3DB">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10.5</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3E17DD41">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评标过程中的澄清、说明或补正</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4AA08B8D">
            <w:pPr>
              <w:pStyle w:val="38"/>
              <w:tabs>
                <w:tab w:val="left" w:pos="636"/>
              </w:tabs>
              <w:adjustRightInd w:val="0"/>
              <w:snapToGrid w:val="0"/>
              <w:spacing w:line="560" w:lineRule="exact"/>
              <w:jc w:val="lef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评标委员会通过网上开评标系统将需要澄清、说明或补正的内容以询标函的形式发送给投标人，投标人应安排专人登录网上开评标系统并保持在线状态，并确保联系方式有效，以便及时接收评标委员会可能发出的询标函。</w:t>
            </w:r>
          </w:p>
          <w:p w14:paraId="0B035F4D">
            <w:pPr>
              <w:pStyle w:val="38"/>
              <w:tabs>
                <w:tab w:val="left" w:pos="636"/>
              </w:tabs>
              <w:adjustRightInd w:val="0"/>
              <w:snapToGrid w:val="0"/>
              <w:spacing w:line="560" w:lineRule="exact"/>
              <w:jc w:val="lef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2.因投标人未登录网上开评标系统导致无法及时接收询标函（远程网上询标）或未在规定时间内按评标委员会要求进行澄清、说明或补正内容的视同投标人放弃澄清、说明或补正内容的权利，评标委员会可按对投标人不利的解释进行判定。</w:t>
            </w:r>
          </w:p>
        </w:tc>
      </w:tr>
      <w:tr w14:paraId="1EDDF4D7">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77245B53">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10.6</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61EC85F">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解释权</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01184402">
            <w:pPr>
              <w:pStyle w:val="38"/>
              <w:adjustRightInd w:val="0"/>
              <w:snapToGrid w:val="0"/>
              <w:spacing w:line="560" w:lineRule="exac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1.构成本招标文件的各个组成文件应互为解释，互为说明；</w:t>
            </w:r>
          </w:p>
          <w:p w14:paraId="2EB34C84">
            <w:pPr>
              <w:pStyle w:val="38"/>
              <w:adjustRightInd w:val="0"/>
              <w:snapToGrid w:val="0"/>
              <w:spacing w:line="560" w:lineRule="exac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2.同一组成文件中就同一事项的规定或约定不一致的，以编排顺序在后者为准；</w:t>
            </w:r>
          </w:p>
          <w:p w14:paraId="30AAC650">
            <w:pPr>
              <w:pStyle w:val="38"/>
              <w:tabs>
                <w:tab w:val="left" w:pos="351"/>
              </w:tabs>
              <w:adjustRightInd w:val="0"/>
              <w:snapToGrid w:val="0"/>
              <w:spacing w:line="560" w:lineRule="exac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3.如有不明确或不一致，构成合同文件组成内容的，以合同文件约定内容为准，且以专用合同条款约定的合同文件优先顺序解释；</w:t>
            </w:r>
          </w:p>
          <w:p w14:paraId="284ED70E">
            <w:pPr>
              <w:pStyle w:val="38"/>
              <w:tabs>
                <w:tab w:val="left" w:pos="354"/>
              </w:tabs>
              <w:adjustRightInd w:val="0"/>
              <w:snapToGrid w:val="0"/>
              <w:spacing w:line="560" w:lineRule="exac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4.系统中提供的表格（或格式文件）与招标文件中不一致时，以招标文件中提供的为准；</w:t>
            </w:r>
          </w:p>
          <w:p w14:paraId="537AAB95">
            <w:pPr>
              <w:pStyle w:val="38"/>
              <w:tabs>
                <w:tab w:val="left" w:pos="636"/>
              </w:tabs>
              <w:adjustRightInd w:val="0"/>
              <w:snapToGrid w:val="0"/>
              <w:spacing w:line="560" w:lineRule="exact"/>
              <w:jc w:val="lef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5.按本款前述规定仍不能形成结论的，由招标人负责解释。</w:t>
            </w:r>
          </w:p>
        </w:tc>
      </w:tr>
      <w:tr w14:paraId="468A19BC">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636A7BFE">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10.7</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879C4BC">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同义词语</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169446BD">
            <w:pPr>
              <w:pStyle w:val="38"/>
              <w:adjustRightInd w:val="0"/>
              <w:snapToGrid w:val="0"/>
              <w:spacing w:line="560" w:lineRule="exac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构成招标文件组成部分的“通用合同条款”、“专用合同条款”、“技术标准和要求”和“工程量清单”等章节中 “发包人”和“承包人”，等同于招标投标阶段的“招标人”和“投标人/中标人”。</w:t>
            </w:r>
          </w:p>
        </w:tc>
      </w:tr>
      <w:tr w14:paraId="0E82336F">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6E620EDD">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10.8</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D0274EC">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关于招标工程量清单、最高投标限价及投标报价编制特别说明</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6DA23D72">
            <w:pPr>
              <w:pStyle w:val="38"/>
              <w:adjustRightInd w:val="0"/>
              <w:snapToGrid w:val="0"/>
              <w:spacing w:line="560" w:lineRule="exac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本项目最高投标限价材料、设备价格依据造价管理部门发布的市场价格信息并结合市场实际价格综合考虑编制，投标人应根据施工图纸等，并结合企业自身实力理性报价。</w:t>
            </w:r>
          </w:p>
        </w:tc>
      </w:tr>
      <w:tr w14:paraId="24CA4750">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3AD581CB">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10.9</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C269D8D">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其他</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0B6E0ABE">
            <w:pPr>
              <w:pStyle w:val="38"/>
              <w:adjustRightInd w:val="0"/>
              <w:snapToGrid w:val="0"/>
              <w:spacing w:line="560" w:lineRule="exact"/>
              <w:jc w:val="left"/>
              <w:rPr>
                <w:rFonts w:hint="eastAsia"/>
                <w:color w:val="auto"/>
                <w:sz w:val="24"/>
                <w:highlight w:val="none"/>
                <w:lang w:val="en-US"/>
              </w:rPr>
            </w:pPr>
            <w:r>
              <w:rPr>
                <w:rFonts w:hint="eastAsia"/>
                <w:color w:val="auto"/>
                <w:sz w:val="24"/>
                <w:highlight w:val="none"/>
                <w:lang w:val="en-US"/>
              </w:rPr>
              <w:t>1</w:t>
            </w:r>
            <w:r>
              <w:rPr>
                <w:rFonts w:hint="eastAsia"/>
                <w:color w:val="auto"/>
                <w:sz w:val="24"/>
                <w:highlight w:val="none"/>
                <w:lang w:val="en-US" w:eastAsia="zh-CN"/>
              </w:rPr>
              <w:t>.</w:t>
            </w:r>
            <w:r>
              <w:rPr>
                <w:rFonts w:hint="eastAsia"/>
                <w:bCs/>
                <w:snapToGrid w:val="0"/>
                <w:color w:val="auto"/>
                <w:kern w:val="0"/>
                <w:sz w:val="24"/>
                <w:highlight w:val="none"/>
              </w:rPr>
              <w:t>如本项目招标文件中出现特定性、唯一性品牌的表述，该品牌仅作为参考，施工过程中不具有限定性。</w:t>
            </w:r>
          </w:p>
          <w:p w14:paraId="1E5AEBD7">
            <w:pPr>
              <w:pStyle w:val="38"/>
              <w:adjustRightInd w:val="0"/>
              <w:snapToGrid w:val="0"/>
              <w:spacing w:line="560" w:lineRule="exact"/>
              <w:jc w:val="left"/>
              <w:rPr>
                <w:rFonts w:hint="eastAsia"/>
                <w:bCs/>
                <w:snapToGrid w:val="0"/>
                <w:color w:val="auto"/>
                <w:kern w:val="0"/>
                <w:sz w:val="24"/>
                <w:highlight w:val="none"/>
              </w:rPr>
            </w:pPr>
            <w:r>
              <w:rPr>
                <w:rFonts w:hint="eastAsia"/>
                <w:color w:val="auto"/>
                <w:sz w:val="24"/>
                <w:highlight w:val="none"/>
                <w:lang w:val="en-US"/>
              </w:rPr>
              <w:t>2</w:t>
            </w:r>
            <w:r>
              <w:rPr>
                <w:rFonts w:hint="eastAsia"/>
                <w:color w:val="auto"/>
                <w:sz w:val="24"/>
                <w:highlight w:val="none"/>
                <w:lang w:val="en-US" w:eastAsia="zh-CN"/>
              </w:rPr>
              <w:t>.</w:t>
            </w:r>
            <w:r>
              <w:rPr>
                <w:rFonts w:hint="eastAsia"/>
                <w:color w:val="auto"/>
                <w:sz w:val="24"/>
                <w:highlight w:val="none"/>
                <w:lang w:val="en-US"/>
              </w:rPr>
              <w:t>项目经理必</w:t>
            </w:r>
            <w:r>
              <w:rPr>
                <w:rFonts w:hint="eastAsia"/>
                <w:bCs/>
                <w:snapToGrid w:val="0"/>
                <w:color w:val="auto"/>
                <w:kern w:val="0"/>
                <w:sz w:val="24"/>
                <w:highlight w:val="none"/>
                <w:lang w:val="en-US"/>
              </w:rPr>
              <w:t>须是投标人本单位工作人员，提供虚假资料谋取中标将被依法处罚。</w:t>
            </w:r>
            <w:r>
              <w:rPr>
                <w:rFonts w:hint="eastAsia"/>
                <w:bCs/>
                <w:snapToGrid w:val="0"/>
                <w:color w:val="auto"/>
                <w:kern w:val="0"/>
                <w:sz w:val="24"/>
                <w:highlight w:val="none"/>
              </w:rPr>
              <w:t>投标人对所提交的投标人或拟派项目经理业绩、投标人资质等证明资料承担缔约过失责任和法律责任。若投诉人或举报人对前述资料或证明资料存在争议，进行有效投诉或举报， 被投诉人、被举报人应当主动配合执法机关调查，并在规定的期限内举证，提供有关证明资料的原件；拒不配合执法机构调查，且未在规定期限内举证、提供证明资料原件的，执法机构</w:t>
            </w:r>
            <w:r>
              <w:rPr>
                <w:rFonts w:hint="eastAsia"/>
                <w:bCs/>
                <w:snapToGrid w:val="0"/>
                <w:color w:val="auto"/>
                <w:kern w:val="0"/>
                <w:sz w:val="24"/>
                <w:highlight w:val="none"/>
                <w:lang w:val="en-US"/>
              </w:rPr>
              <w:t>滁州市</w:t>
            </w:r>
            <w:r>
              <w:rPr>
                <w:rFonts w:hint="eastAsia"/>
                <w:bCs/>
                <w:snapToGrid w:val="0"/>
                <w:color w:val="auto"/>
                <w:kern w:val="0"/>
                <w:sz w:val="24"/>
                <w:highlight w:val="none"/>
              </w:rPr>
              <w:t>公共资源交易监督管理局依法处理。</w:t>
            </w:r>
          </w:p>
          <w:p w14:paraId="316182B0">
            <w:pPr>
              <w:pStyle w:val="38"/>
              <w:tabs>
                <w:tab w:val="left" w:pos="636"/>
              </w:tabs>
              <w:adjustRightInd w:val="0"/>
              <w:snapToGrid w:val="0"/>
              <w:spacing w:line="560" w:lineRule="exact"/>
              <w:jc w:val="left"/>
              <w:rPr>
                <w:color w:val="auto"/>
                <w:sz w:val="24"/>
                <w:highlight w:val="none"/>
              </w:rPr>
            </w:pPr>
            <w:r>
              <w:rPr>
                <w:rFonts w:hint="eastAsia"/>
                <w:color w:val="auto"/>
                <w:sz w:val="24"/>
                <w:highlight w:val="none"/>
                <w:lang w:val="en-US"/>
              </w:rPr>
              <w:t>3</w:t>
            </w:r>
            <w:r>
              <w:rPr>
                <w:rFonts w:hint="eastAsia"/>
                <w:color w:val="auto"/>
                <w:sz w:val="24"/>
                <w:highlight w:val="none"/>
                <w:lang w:val="en-US" w:eastAsia="zh-CN"/>
              </w:rPr>
              <w:t>.</w:t>
            </w:r>
            <w:r>
              <w:rPr>
                <w:color w:val="auto"/>
                <w:sz w:val="24"/>
                <w:highlight w:val="none"/>
              </w:rPr>
              <w:t>中标人未履行下述义务的，</w:t>
            </w:r>
            <w:r>
              <w:rPr>
                <w:rFonts w:hint="eastAsia"/>
                <w:color w:val="auto"/>
                <w:sz w:val="24"/>
                <w:highlight w:val="none"/>
                <w:lang w:val="en-US"/>
              </w:rPr>
              <w:t>滁州市</w:t>
            </w:r>
            <w:r>
              <w:rPr>
                <w:color w:val="auto"/>
                <w:sz w:val="24"/>
                <w:highlight w:val="none"/>
              </w:rPr>
              <w:t>公共资源交</w:t>
            </w:r>
            <w:r>
              <w:rPr>
                <w:color w:val="auto"/>
                <w:spacing w:val="-7"/>
                <w:sz w:val="24"/>
                <w:highlight w:val="none"/>
              </w:rPr>
              <w:t>易监督管理局将依法对中标人进行处理，追究相关责</w:t>
            </w:r>
            <w:r>
              <w:rPr>
                <w:color w:val="auto"/>
                <w:sz w:val="24"/>
                <w:highlight w:val="none"/>
              </w:rPr>
              <w:t>任：</w:t>
            </w:r>
          </w:p>
          <w:p w14:paraId="6601BDFD">
            <w:pPr>
              <w:pStyle w:val="38"/>
              <w:adjustRightInd w:val="0"/>
              <w:snapToGrid w:val="0"/>
              <w:spacing w:line="560" w:lineRule="exact"/>
              <w:jc w:val="left"/>
              <w:rPr>
                <w:color w:val="auto"/>
                <w:sz w:val="24"/>
                <w:highlight w:val="none"/>
              </w:rPr>
            </w:pPr>
            <w:r>
              <w:rPr>
                <w:rFonts w:hint="eastAsia"/>
                <w:color w:val="auto"/>
                <w:sz w:val="24"/>
                <w:highlight w:val="none"/>
              </w:rPr>
              <w:t>①中标人无正当理由不与招标人订立合同，在签订合同时向招标人提出附加条件，或者不按照招标文件要求提交履约保证金的</w:t>
            </w:r>
            <w:r>
              <w:rPr>
                <w:color w:val="auto"/>
                <w:spacing w:val="-7"/>
                <w:sz w:val="24"/>
                <w:highlight w:val="none"/>
              </w:rPr>
              <w:t>，招标人有权取</w:t>
            </w:r>
            <w:r>
              <w:rPr>
                <w:color w:val="auto"/>
                <w:spacing w:val="-9"/>
                <w:sz w:val="24"/>
                <w:highlight w:val="none"/>
              </w:rPr>
              <w:t>消中标人中标资格，并将相关违约行为报送监管部门</w:t>
            </w:r>
            <w:r>
              <w:rPr>
                <w:rFonts w:hint="eastAsia"/>
                <w:color w:val="auto"/>
                <w:spacing w:val="-9"/>
                <w:sz w:val="24"/>
                <w:highlight w:val="none"/>
              </w:rPr>
              <w:t>处理</w:t>
            </w:r>
            <w:r>
              <w:rPr>
                <w:color w:val="auto"/>
                <w:spacing w:val="-6"/>
                <w:sz w:val="24"/>
                <w:highlight w:val="none"/>
              </w:rPr>
              <w:t>；</w:t>
            </w:r>
          </w:p>
          <w:p w14:paraId="5ECBE8C8">
            <w:pPr>
              <w:pStyle w:val="38"/>
              <w:adjustRightInd w:val="0"/>
              <w:snapToGrid w:val="0"/>
              <w:spacing w:line="560" w:lineRule="exact"/>
              <w:jc w:val="left"/>
              <w:rPr>
                <w:rFonts w:hint="eastAsia"/>
                <w:bCs/>
                <w:snapToGrid w:val="0"/>
                <w:color w:val="auto"/>
                <w:kern w:val="0"/>
                <w:sz w:val="24"/>
                <w:highlight w:val="none"/>
              </w:rPr>
            </w:pPr>
            <w:r>
              <w:rPr>
                <w:color w:val="auto"/>
                <w:spacing w:val="-4"/>
                <w:sz w:val="24"/>
                <w:highlight w:val="none"/>
              </w:rPr>
              <w:t>②</w:t>
            </w:r>
            <w:r>
              <w:rPr>
                <w:color w:val="auto"/>
                <w:spacing w:val="-3"/>
                <w:sz w:val="24"/>
                <w:highlight w:val="none"/>
              </w:rPr>
              <w:t>合同签订后，中标人存在规定时间内不组织人员进场开工、</w:t>
            </w:r>
            <w:r>
              <w:rPr>
                <w:color w:val="auto"/>
                <w:spacing w:val="-6"/>
                <w:sz w:val="24"/>
                <w:highlight w:val="none"/>
              </w:rPr>
              <w:t>不履行供货安装义务等情况，招标人有权解除合同，并追究违</w:t>
            </w:r>
            <w:r>
              <w:rPr>
                <w:color w:val="auto"/>
                <w:spacing w:val="-16"/>
                <w:sz w:val="24"/>
                <w:highlight w:val="none"/>
              </w:rPr>
              <w:t>约责任，同时将相关违约</w:t>
            </w:r>
            <w:r>
              <w:rPr>
                <w:rFonts w:hint="eastAsia"/>
                <w:bCs/>
                <w:snapToGrid w:val="0"/>
                <w:color w:val="auto"/>
                <w:kern w:val="0"/>
                <w:sz w:val="24"/>
                <w:highlight w:val="none"/>
              </w:rPr>
              <w:t>行为报送监管部门，记不良行为记录， 实施信用惩戒。</w:t>
            </w:r>
          </w:p>
          <w:p w14:paraId="6D643B82">
            <w:pPr>
              <w:pStyle w:val="38"/>
              <w:adjustRightInd w:val="0"/>
              <w:snapToGrid w:val="0"/>
              <w:spacing w:line="560" w:lineRule="exact"/>
              <w:jc w:val="left"/>
              <w:rPr>
                <w:rFonts w:hint="eastAsia"/>
                <w:color w:val="auto"/>
                <w:sz w:val="24"/>
                <w:highlight w:val="none"/>
                <w:lang w:val="en-US"/>
              </w:rPr>
            </w:pPr>
            <w:r>
              <w:rPr>
                <w:rFonts w:hint="eastAsia"/>
                <w:bCs/>
                <w:snapToGrid w:val="0"/>
                <w:color w:val="auto"/>
                <w:kern w:val="0"/>
                <w:sz w:val="24"/>
                <w:highlight w:val="none"/>
                <w:lang w:val="en-US"/>
              </w:rPr>
              <w:t>4</w:t>
            </w:r>
            <w:r>
              <w:rPr>
                <w:rFonts w:hint="eastAsia"/>
                <w:bCs/>
                <w:snapToGrid w:val="0"/>
                <w:color w:val="auto"/>
                <w:kern w:val="0"/>
                <w:sz w:val="24"/>
                <w:highlight w:val="none"/>
                <w:lang w:val="en-US" w:eastAsia="zh-CN"/>
              </w:rPr>
              <w:t>.</w:t>
            </w:r>
            <w:r>
              <w:rPr>
                <w:rFonts w:hint="eastAsia"/>
                <w:bCs/>
                <w:snapToGrid w:val="0"/>
                <w:color w:val="auto"/>
                <w:kern w:val="0"/>
                <w:sz w:val="24"/>
                <w:highlight w:val="none"/>
                <w:lang w:val="en-US"/>
              </w:rPr>
              <w:t>项目经理（建造师）变更按照《关于进一步加强建筑施工现场项目经理（建造师）变更行为管理的通知》（滁公管〔2020〕1号）规定，需经发包人以及公管、住建</w:t>
            </w:r>
            <w:r>
              <w:rPr>
                <w:rFonts w:hint="eastAsia"/>
                <w:color w:val="auto"/>
                <w:sz w:val="24"/>
                <w:highlight w:val="none"/>
                <w:lang w:val="en-US"/>
              </w:rPr>
              <w:t>部门同意。技术负责人变更需经发包人同意。</w:t>
            </w:r>
          </w:p>
          <w:p w14:paraId="2BDB4323">
            <w:pPr>
              <w:pStyle w:val="38"/>
              <w:adjustRightInd w:val="0"/>
              <w:snapToGrid w:val="0"/>
              <w:spacing w:line="560" w:lineRule="exact"/>
              <w:jc w:val="left"/>
              <w:rPr>
                <w:color w:val="auto"/>
                <w:sz w:val="24"/>
                <w:highlight w:val="none"/>
                <w:lang w:val="en-US"/>
              </w:rPr>
            </w:pPr>
            <w:r>
              <w:rPr>
                <w:rFonts w:hint="eastAsia"/>
                <w:color w:val="auto"/>
                <w:sz w:val="24"/>
                <w:highlight w:val="none"/>
                <w:lang w:val="en-US"/>
              </w:rPr>
              <w:t>中标人因下列原因变更项目经理（建造师），须缴纳违约金</w:t>
            </w:r>
            <w:r>
              <w:rPr>
                <w:color w:val="auto"/>
                <w:sz w:val="24"/>
                <w:highlight w:val="none"/>
                <w:u w:val="single"/>
                <w:lang w:val="en-US"/>
              </w:rPr>
              <w:t xml:space="preserve"> </w:t>
            </w:r>
            <w:r>
              <w:rPr>
                <w:rFonts w:hint="eastAsia"/>
                <w:color w:val="auto"/>
                <w:sz w:val="24"/>
                <w:highlight w:val="none"/>
                <w:u w:val="single"/>
                <w:lang w:val="en-US" w:eastAsia="zh-CN"/>
              </w:rPr>
              <w:t>300000</w:t>
            </w:r>
            <w:r>
              <w:rPr>
                <w:rFonts w:hint="eastAsia"/>
                <w:color w:val="auto"/>
                <w:sz w:val="24"/>
                <w:highlight w:val="none"/>
                <w:lang w:val="en-US"/>
              </w:rPr>
              <w:t>元</w:t>
            </w:r>
            <w:r>
              <w:rPr>
                <w:color w:val="auto"/>
                <w:sz w:val="24"/>
                <w:highlight w:val="none"/>
                <w:lang w:val="en-US"/>
              </w:rPr>
              <w:t xml:space="preserve">: </w:t>
            </w:r>
            <w:r>
              <w:rPr>
                <w:rFonts w:hint="eastAsia"/>
                <w:color w:val="auto"/>
                <w:sz w:val="24"/>
                <w:highlight w:val="none"/>
                <w:lang w:val="en-US"/>
              </w:rPr>
              <w:t>①患重病、发生意外等身体原因不能在施工现场进行管理的；②离职的；③违法违规行为不能继续从事施工现场管理工作的；④无能力履行合同责任义务被建设行政主管部门或建设单位责令更换的</w:t>
            </w:r>
            <w:r>
              <w:rPr>
                <w:rFonts w:hint="eastAsia"/>
                <w:color w:val="auto"/>
                <w:sz w:val="24"/>
                <w:highlight w:val="none"/>
                <w:lang w:val="en-US" w:eastAsia="zh-CN"/>
              </w:rPr>
              <w:t>.</w:t>
            </w:r>
          </w:p>
          <w:p w14:paraId="76A0C23A">
            <w:pPr>
              <w:pStyle w:val="38"/>
              <w:adjustRightInd w:val="0"/>
              <w:snapToGrid w:val="0"/>
              <w:spacing w:line="560" w:lineRule="exact"/>
              <w:jc w:val="left"/>
              <w:rPr>
                <w:rFonts w:ascii="MS Mincho" w:hAnsi="MS Mincho" w:cs="MS Mincho"/>
                <w:color w:val="auto"/>
                <w:sz w:val="24"/>
                <w:highlight w:val="none"/>
                <w:lang w:val="en-US"/>
              </w:rPr>
            </w:pPr>
            <w:r>
              <w:rPr>
                <w:rFonts w:hint="eastAsia"/>
                <w:color w:val="auto"/>
                <w:sz w:val="24"/>
                <w:highlight w:val="none"/>
                <w:lang w:val="en-US"/>
              </w:rPr>
              <w:t>中标人因下列原因变更技术负责人，须缴纳违约金</w:t>
            </w:r>
            <w:r>
              <w:rPr>
                <w:rFonts w:hint="eastAsia"/>
                <w:color w:val="auto"/>
                <w:sz w:val="24"/>
                <w:highlight w:val="none"/>
                <w:u w:val="single"/>
                <w:lang w:val="en-US" w:eastAsia="zh-CN"/>
              </w:rPr>
              <w:t>200000</w:t>
            </w:r>
            <w:r>
              <w:rPr>
                <w:rFonts w:hint="eastAsia"/>
                <w:color w:val="auto"/>
                <w:sz w:val="24"/>
                <w:highlight w:val="none"/>
                <w:lang w:val="en-US"/>
              </w:rPr>
              <w:t>元</w:t>
            </w:r>
            <w:r>
              <w:rPr>
                <w:color w:val="auto"/>
                <w:sz w:val="24"/>
                <w:highlight w:val="none"/>
                <w:lang w:val="en-US"/>
              </w:rPr>
              <w:t xml:space="preserve">: </w:t>
            </w:r>
            <w:r>
              <w:rPr>
                <w:rFonts w:hint="eastAsia"/>
                <w:color w:val="auto"/>
                <w:sz w:val="24"/>
                <w:highlight w:val="none"/>
                <w:lang w:val="en-US"/>
              </w:rPr>
              <w:t>①患重病、发生意外等身体原因不能在施工现场进行管理的；②离职的；③违法违规行为不能继续从事施工现场管理工作的；④无能力履行合同责任义务被建设行政主管部门或建设单位责令更换的。</w:t>
            </w:r>
          </w:p>
        </w:tc>
      </w:tr>
      <w:tr w14:paraId="5A1FC6F8">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7E22589A">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10</w:t>
            </w:r>
            <w:r>
              <w:rPr>
                <w:rFonts w:ascii="宋体" w:hAnsi="宋体" w:cs="宋体"/>
                <w:color w:val="auto"/>
                <w:sz w:val="24"/>
                <w:highlight w:val="none"/>
              </w:rPr>
              <w:t>.10</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36075481">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重点项目约谈</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4F771A21">
            <w:pPr>
              <w:adjustRightInd w:val="0"/>
              <w:snapToGrid w:val="0"/>
              <w:spacing w:line="520" w:lineRule="exact"/>
              <w:rPr>
                <w:rFonts w:hint="eastAsia" w:ascii="宋体" w:hAnsi="宋体" w:cs="宋体"/>
                <w:b/>
                <w:bCs/>
                <w:color w:val="auto"/>
                <w:sz w:val="24"/>
                <w:highlight w:val="none"/>
              </w:rPr>
            </w:pPr>
            <w:r>
              <w:rPr>
                <w:rFonts w:hint="eastAsia" w:ascii="宋体" w:hAnsi="宋体" w:cs="宋体"/>
                <w:color w:val="auto"/>
                <w:sz w:val="24"/>
                <w:highlight w:val="none"/>
                <w:lang w:bidi="zh-CN"/>
              </w:rPr>
              <w:t>实行重点工程项目考察约谈机制。项目单位牵头负责，公管等部门参与对预中标单位进行考察约谈、警醒提示，防止非法转包、违法分包、挂靠及出借资质的情况发生。</w:t>
            </w:r>
          </w:p>
        </w:tc>
      </w:tr>
      <w:tr w14:paraId="7315189B">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6216556D">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10.11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D6B263E">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变更招标方式</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1F364DCD">
            <w:pPr>
              <w:pStyle w:val="11"/>
              <w:adjustRightInd w:val="0"/>
              <w:snapToGrid w:val="0"/>
              <w:spacing w:after="0" w:line="560" w:lineRule="exact"/>
              <w:rPr>
                <w:rFonts w:hint="eastAsia"/>
                <w:color w:val="auto"/>
                <w:sz w:val="22"/>
                <w:highlight w:val="none"/>
              </w:rPr>
            </w:pPr>
            <w:r>
              <w:rPr>
                <w:rFonts w:hint="eastAsia" w:ascii="宋体" w:hAnsi="宋体" w:cs="宋体"/>
                <w:color w:val="auto"/>
                <w:sz w:val="24"/>
                <w:highlight w:val="none"/>
                <w:lang w:bidi="zh-CN"/>
              </w:rPr>
              <w:t>按照滁州市公共资源交易监督管理局现行规定执行。</w:t>
            </w:r>
          </w:p>
        </w:tc>
      </w:tr>
      <w:tr w14:paraId="1627FA52">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33CB5EA8">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10.12</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3698698A">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招标人补充的</w:t>
            </w:r>
          </w:p>
          <w:p w14:paraId="1E08A693">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其他内容</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35C37EC1">
            <w:pPr>
              <w:keepNext/>
              <w:keepLines/>
              <w:adjustRightInd w:val="0"/>
              <w:snapToGrid w:val="0"/>
              <w:spacing w:line="520" w:lineRule="exact"/>
              <w:outlineLvl w:val="3"/>
              <w:rPr>
                <w:rFonts w:hint="default" w:ascii="宋体" w:hAnsi="宋体" w:eastAsia="宋体" w:cs="宋体"/>
                <w:b/>
                <w:bCs/>
                <w:color w:val="auto"/>
                <w:sz w:val="24"/>
                <w:highlight w:val="none"/>
                <w:lang w:val="en-US" w:eastAsia="zh-CN"/>
              </w:rPr>
            </w:pPr>
            <w:r>
              <w:rPr>
                <w:rFonts w:hint="eastAsia" w:ascii="宋体" w:hAnsi="宋体" w:cs="宋体"/>
                <w:b/>
                <w:bCs/>
                <w:color w:val="auto"/>
                <w:sz w:val="24"/>
                <w:highlight w:val="none"/>
              </w:rPr>
              <w:t>（1）创建优质工程</w:t>
            </w:r>
          </w:p>
          <w:p w14:paraId="42D321CE">
            <w:pPr>
              <w:keepNext/>
              <w:keepLines/>
              <w:adjustRightInd w:val="0"/>
              <w:snapToGrid w:val="0"/>
              <w:spacing w:line="520" w:lineRule="exact"/>
              <w:outlineLvl w:val="3"/>
              <w:rPr>
                <w:rFonts w:hint="eastAsia" w:ascii="宋体" w:hAnsi="宋体" w:eastAsia="宋体" w:cs="宋体"/>
                <w:color w:val="auto"/>
                <w:kern w:val="2"/>
                <w:sz w:val="24"/>
                <w:szCs w:val="24"/>
                <w:highlight w:val="none"/>
                <w:lang w:val="en-US" w:eastAsia="zh-CN" w:bidi="zh-CN"/>
              </w:rPr>
            </w:pPr>
            <w:r>
              <w:rPr>
                <w:rFonts w:hint="eastAsia" w:ascii="宋体" w:hAnsi="宋体" w:eastAsia="宋体" w:cs="宋体"/>
                <w:color w:val="auto"/>
                <w:kern w:val="2"/>
                <w:sz w:val="24"/>
                <w:szCs w:val="24"/>
                <w:highlight w:val="none"/>
                <w:lang w:val="en-US" w:eastAsia="zh-CN" w:bidi="zh-CN"/>
              </w:rPr>
              <w:t>本项目在达到国家工程施工质量验收合格标准和获得安徽省建筑安全生产标准化工地的基础上，须同时获得省优“黄山杯</w:t>
            </w:r>
            <w:r>
              <w:rPr>
                <w:rFonts w:hint="eastAsia" w:ascii="宋体" w:hAnsi="宋体" w:cs="宋体"/>
                <w:color w:val="auto"/>
                <w:kern w:val="2"/>
                <w:sz w:val="24"/>
                <w:szCs w:val="24"/>
                <w:highlight w:val="none"/>
                <w:lang w:val="en-US" w:eastAsia="zh-CN" w:bidi="zh-CN"/>
              </w:rPr>
              <w:t>”</w:t>
            </w:r>
            <w:r>
              <w:rPr>
                <w:rFonts w:hint="eastAsia" w:ascii="宋体" w:hAnsi="宋体" w:eastAsia="宋体" w:cs="宋体"/>
                <w:color w:val="auto"/>
                <w:kern w:val="2"/>
                <w:sz w:val="24"/>
                <w:szCs w:val="24"/>
                <w:highlight w:val="none"/>
                <w:lang w:val="en-US" w:eastAsia="zh-CN" w:bidi="zh-CN"/>
              </w:rPr>
              <w:t>。具体奖罚措施如下：</w:t>
            </w:r>
          </w:p>
          <w:p w14:paraId="411DC36F">
            <w:pPr>
              <w:keepNext/>
              <w:keepLines/>
              <w:adjustRightInd w:val="0"/>
              <w:snapToGrid w:val="0"/>
              <w:spacing w:line="520" w:lineRule="exact"/>
              <w:outlineLvl w:val="3"/>
              <w:rPr>
                <w:rFonts w:hint="eastAsia" w:ascii="宋体" w:hAnsi="宋体" w:eastAsia="宋体" w:cs="宋体"/>
                <w:color w:val="auto"/>
                <w:kern w:val="2"/>
                <w:sz w:val="24"/>
                <w:szCs w:val="24"/>
                <w:highlight w:val="none"/>
                <w:lang w:val="en-US" w:eastAsia="zh-CN" w:bidi="zh-CN"/>
              </w:rPr>
            </w:pPr>
            <w:r>
              <w:rPr>
                <w:rFonts w:hint="eastAsia" w:ascii="宋体" w:hAnsi="宋体" w:eastAsia="宋体" w:cs="宋体"/>
                <w:color w:val="auto"/>
                <w:kern w:val="2"/>
                <w:sz w:val="24"/>
                <w:szCs w:val="24"/>
                <w:highlight w:val="none"/>
                <w:lang w:val="en-US" w:eastAsia="zh-CN" w:bidi="zh-CN"/>
              </w:rPr>
              <w:t>1.获得省优“黄山杯”给予工程结算金额的1.0%奖励；</w:t>
            </w:r>
          </w:p>
          <w:p w14:paraId="43596C69">
            <w:pPr>
              <w:keepNext/>
              <w:keepLines/>
              <w:adjustRightInd w:val="0"/>
              <w:snapToGrid w:val="0"/>
              <w:spacing w:line="520" w:lineRule="exact"/>
              <w:outlineLvl w:val="3"/>
              <w:rPr>
                <w:rFonts w:hint="eastAsia" w:ascii="宋体" w:hAnsi="宋体" w:eastAsia="宋体" w:cs="宋体"/>
                <w:color w:val="auto"/>
                <w:kern w:val="2"/>
                <w:sz w:val="24"/>
                <w:szCs w:val="24"/>
                <w:highlight w:val="none"/>
                <w:lang w:val="en-US" w:eastAsia="zh-CN" w:bidi="zh-CN"/>
              </w:rPr>
            </w:pPr>
            <w:r>
              <w:rPr>
                <w:rFonts w:hint="eastAsia" w:ascii="宋体" w:hAnsi="宋体" w:eastAsia="宋体" w:cs="宋体"/>
                <w:color w:val="auto"/>
                <w:kern w:val="2"/>
                <w:sz w:val="24"/>
                <w:szCs w:val="24"/>
                <w:highlight w:val="none"/>
                <w:lang w:val="en-US" w:eastAsia="zh-CN" w:bidi="zh-CN"/>
              </w:rPr>
              <w:t>2.获得市优“琅琊杯”给予工程结算金额的0.8%奖励；</w:t>
            </w:r>
          </w:p>
          <w:p w14:paraId="11E76382">
            <w:pPr>
              <w:keepNext/>
              <w:keepLines/>
              <w:adjustRightInd w:val="0"/>
              <w:snapToGrid w:val="0"/>
              <w:spacing w:line="520" w:lineRule="exact"/>
              <w:outlineLvl w:val="3"/>
              <w:rPr>
                <w:rFonts w:hint="eastAsia" w:ascii="宋体" w:hAnsi="宋体" w:eastAsia="宋体" w:cs="宋体"/>
                <w:color w:val="auto"/>
                <w:kern w:val="2"/>
                <w:sz w:val="24"/>
                <w:szCs w:val="24"/>
                <w:highlight w:val="none"/>
                <w:lang w:val="en-US" w:eastAsia="zh-CN" w:bidi="zh-CN"/>
              </w:rPr>
            </w:pPr>
            <w:r>
              <w:rPr>
                <w:rFonts w:hint="eastAsia" w:ascii="宋体" w:hAnsi="宋体" w:eastAsia="宋体" w:cs="宋体"/>
                <w:color w:val="auto"/>
                <w:kern w:val="2"/>
                <w:sz w:val="24"/>
                <w:szCs w:val="24"/>
                <w:highlight w:val="none"/>
                <w:lang w:val="en-US" w:eastAsia="zh-CN" w:bidi="zh-CN"/>
              </w:rPr>
              <w:t>3.同时获得省优“黄山杯”和市优“琅琊杯”，给予工程结算金额的1.0%奖励；</w:t>
            </w:r>
          </w:p>
          <w:p w14:paraId="626F9C52">
            <w:pPr>
              <w:keepNext/>
              <w:keepLines/>
              <w:adjustRightInd w:val="0"/>
              <w:snapToGrid w:val="0"/>
              <w:spacing w:line="520" w:lineRule="exact"/>
              <w:outlineLvl w:val="3"/>
              <w:rPr>
                <w:rFonts w:hint="eastAsia" w:ascii="宋体" w:hAnsi="宋体" w:eastAsia="宋体" w:cs="宋体"/>
                <w:color w:val="auto"/>
                <w:kern w:val="2"/>
                <w:sz w:val="24"/>
                <w:szCs w:val="24"/>
                <w:highlight w:val="none"/>
                <w:lang w:val="en-US" w:eastAsia="zh-CN" w:bidi="zh-CN"/>
              </w:rPr>
            </w:pPr>
            <w:r>
              <w:rPr>
                <w:rFonts w:hint="eastAsia" w:ascii="宋体" w:hAnsi="宋体" w:eastAsia="宋体" w:cs="宋体"/>
                <w:color w:val="auto"/>
                <w:kern w:val="2"/>
                <w:sz w:val="24"/>
                <w:szCs w:val="24"/>
                <w:highlight w:val="none"/>
                <w:lang w:val="en-US" w:eastAsia="zh-CN" w:bidi="zh-CN"/>
              </w:rPr>
              <w:t>4.未获得省优“黄山杯</w:t>
            </w:r>
            <w:r>
              <w:rPr>
                <w:rFonts w:hint="eastAsia" w:ascii="宋体" w:hAnsi="宋体" w:cs="宋体"/>
                <w:color w:val="auto"/>
                <w:kern w:val="2"/>
                <w:sz w:val="24"/>
                <w:szCs w:val="24"/>
                <w:highlight w:val="none"/>
                <w:lang w:val="en-US" w:eastAsia="zh-CN" w:bidi="zh-CN"/>
              </w:rPr>
              <w:t>”</w:t>
            </w:r>
            <w:r>
              <w:rPr>
                <w:rFonts w:hint="eastAsia" w:ascii="宋体" w:hAnsi="宋体" w:eastAsia="宋体" w:cs="宋体"/>
                <w:color w:val="auto"/>
                <w:kern w:val="2"/>
                <w:sz w:val="24"/>
                <w:szCs w:val="24"/>
                <w:highlight w:val="none"/>
                <w:lang w:val="en-US" w:eastAsia="zh-CN" w:bidi="zh-CN"/>
              </w:rPr>
              <w:t>，扣除本工程结算总价的1.0%作为违约金。</w:t>
            </w:r>
          </w:p>
          <w:p w14:paraId="41A9232C">
            <w:pPr>
              <w:keepNext/>
              <w:keepLines/>
              <w:adjustRightInd w:val="0"/>
              <w:snapToGrid w:val="0"/>
              <w:spacing w:line="520" w:lineRule="exact"/>
              <w:outlineLvl w:val="3"/>
              <w:rPr>
                <w:rFonts w:hint="eastAsia" w:ascii="宋体" w:hAnsi="宋体" w:eastAsia="宋体" w:cs="宋体"/>
                <w:color w:val="auto"/>
                <w:kern w:val="2"/>
                <w:sz w:val="24"/>
                <w:szCs w:val="24"/>
                <w:highlight w:val="none"/>
                <w:lang w:val="en-US" w:eastAsia="zh-CN" w:bidi="zh-CN"/>
              </w:rPr>
            </w:pPr>
            <w:r>
              <w:rPr>
                <w:rFonts w:hint="eastAsia" w:ascii="宋体" w:hAnsi="宋体" w:cs="宋体"/>
                <w:color w:val="auto"/>
                <w:kern w:val="2"/>
                <w:sz w:val="24"/>
                <w:szCs w:val="24"/>
                <w:highlight w:val="none"/>
                <w:lang w:val="en-US" w:eastAsia="zh-CN" w:bidi="zh-CN"/>
              </w:rPr>
              <w:t>5</w:t>
            </w:r>
            <w:r>
              <w:rPr>
                <w:rFonts w:hint="eastAsia" w:ascii="宋体" w:hAnsi="宋体" w:eastAsia="宋体" w:cs="宋体"/>
                <w:color w:val="auto"/>
                <w:kern w:val="2"/>
                <w:sz w:val="24"/>
                <w:szCs w:val="24"/>
                <w:highlight w:val="none"/>
                <w:lang w:val="en-US" w:eastAsia="zh-CN" w:bidi="zh-CN"/>
              </w:rPr>
              <w:t>.项目在付清结算价款前须获得相关奖项证明,否则在结算价款中先行予以暂扣未取得黄山杯的违约金，后续获得相关奖项证明后，与奖励金额一并发放。</w:t>
            </w:r>
          </w:p>
          <w:p w14:paraId="4644400D">
            <w:pPr>
              <w:keepNext/>
              <w:keepLines/>
              <w:adjustRightInd w:val="0"/>
              <w:snapToGrid w:val="0"/>
              <w:spacing w:line="520" w:lineRule="exact"/>
              <w:outlineLvl w:val="3"/>
              <w:rPr>
                <w:rFonts w:hint="eastAsia" w:ascii="宋体" w:hAnsi="宋体" w:cs="宋体"/>
                <w:b/>
                <w:color w:val="auto"/>
                <w:sz w:val="24"/>
                <w:highlight w:val="none"/>
              </w:rPr>
            </w:pPr>
            <w:r>
              <w:rPr>
                <w:rFonts w:hint="eastAsia" w:ascii="宋体" w:hAnsi="宋体" w:cs="宋体"/>
                <w:b/>
                <w:color w:val="auto"/>
                <w:sz w:val="24"/>
                <w:highlight w:val="none"/>
              </w:rPr>
              <w:t>（2）暂估价</w:t>
            </w:r>
          </w:p>
          <w:p w14:paraId="5918C323">
            <w:pPr>
              <w:adjustRightInd w:val="0"/>
              <w:snapToGrid w:val="0"/>
              <w:spacing w:line="520" w:lineRule="exact"/>
              <w:rPr>
                <w:rFonts w:hint="eastAsia" w:ascii="宋体" w:hAnsi="宋体" w:cs="宋体"/>
                <w:color w:val="auto"/>
                <w:sz w:val="24"/>
                <w:highlight w:val="none"/>
                <w:u w:val="single"/>
              </w:rPr>
            </w:pPr>
            <w:r>
              <w:rPr>
                <w:rFonts w:hint="eastAsia" w:ascii="宋体" w:hAnsi="宋体" w:cs="宋体"/>
                <w:color w:val="auto"/>
                <w:kern w:val="0"/>
                <w:sz w:val="24"/>
                <w:highlight w:val="none"/>
              </w:rPr>
              <w:t xml:space="preserve">暂估价材料、工程设备及专业工程约定： </w:t>
            </w:r>
            <w:r>
              <w:rPr>
                <w:rFonts w:hint="eastAsia" w:ascii="宋体" w:hAnsi="宋体" w:cs="宋体"/>
                <w:color w:val="auto"/>
                <w:kern w:val="0"/>
                <w:sz w:val="24"/>
                <w:highlight w:val="none"/>
                <w:u w:val="single"/>
                <w:lang w:val="en-US" w:eastAsia="zh-CN"/>
              </w:rPr>
              <w:t>详见工程量清单</w:t>
            </w:r>
            <w:r>
              <w:rPr>
                <w:rFonts w:hint="eastAsia" w:ascii="宋体" w:hAnsi="宋体" w:cs="宋体"/>
                <w:color w:val="auto"/>
                <w:kern w:val="0"/>
                <w:sz w:val="24"/>
                <w:highlight w:val="none"/>
              </w:rPr>
              <w:t>。</w:t>
            </w:r>
          </w:p>
          <w:p w14:paraId="190D85A2">
            <w:pPr>
              <w:spacing w:line="520" w:lineRule="exact"/>
              <w:rPr>
                <w:rFonts w:ascii="宋体" w:hAnsi="宋体" w:cs="宋体"/>
                <w:b/>
                <w:bCs/>
                <w:color w:val="auto"/>
                <w:sz w:val="24"/>
                <w:highlight w:val="none"/>
              </w:rPr>
            </w:pPr>
            <w:r>
              <w:rPr>
                <w:rFonts w:hint="eastAsia" w:ascii="宋体" w:hAnsi="宋体" w:cs="宋体"/>
                <w:b/>
                <w:bCs/>
                <w:color w:val="auto"/>
                <w:sz w:val="24"/>
                <w:highlight w:val="none"/>
              </w:rPr>
              <w:t>（3）安全生产</w:t>
            </w:r>
          </w:p>
          <w:p w14:paraId="21B78D6C">
            <w:pPr>
              <w:spacing w:line="520" w:lineRule="exact"/>
              <w:rPr>
                <w:rFonts w:hint="eastAsia" w:ascii="宋体" w:hAnsi="宋体" w:cs="宋体"/>
                <w:color w:val="auto"/>
                <w:sz w:val="24"/>
                <w:highlight w:val="none"/>
              </w:rPr>
            </w:pPr>
            <w:r>
              <w:rPr>
                <w:rFonts w:hint="eastAsia" w:ascii="宋体" w:hAnsi="宋体" w:cs="宋体"/>
                <w:color w:val="auto"/>
                <w:sz w:val="24"/>
                <w:highlight w:val="none"/>
              </w:rPr>
              <w:t>①须严格遵守《中华人民共和国安全生产法》、《建设工程安全生产管理条例》等国家有关安全生产的法律法规、《建设项目安全设施“三同时”监督管理办法》等有关安全生产的规定。认真执行工程承包合同中的有关安全要求。</w:t>
            </w:r>
          </w:p>
          <w:p w14:paraId="52FE9261">
            <w:pPr>
              <w:spacing w:line="520" w:lineRule="exact"/>
              <w:rPr>
                <w:rFonts w:hint="eastAsia" w:ascii="宋体" w:hAnsi="宋体" w:cs="宋体"/>
                <w:color w:val="auto"/>
                <w:sz w:val="24"/>
                <w:highlight w:val="none"/>
              </w:rPr>
            </w:pPr>
            <w:r>
              <w:rPr>
                <w:rFonts w:hint="eastAsia" w:ascii="宋体" w:hAnsi="宋体" w:cs="宋体"/>
                <w:color w:val="auto"/>
                <w:sz w:val="24"/>
                <w:highlight w:val="none"/>
              </w:rPr>
              <w:t>②坚持“安全第一、预防为主、综合治理”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合同的各项规定，做到生产与安全工作同时计划、布置、检查、总结和评比。</w:t>
            </w:r>
          </w:p>
        </w:tc>
      </w:tr>
      <w:tr w14:paraId="05F2B336">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6E6E2BBF">
            <w:pPr>
              <w:adjustRightInd w:val="0"/>
              <w:snapToGrid w:val="0"/>
              <w:spacing w:line="560" w:lineRule="exact"/>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10.13</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47FE874E">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采用“实名认证”投标</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632C694E">
            <w:pPr>
              <w:spacing w:line="520" w:lineRule="exact"/>
              <w:rPr>
                <w:rFonts w:hint="eastAsia" w:ascii="宋体" w:hAnsi="宋体" w:cs="宋体"/>
                <w:color w:val="auto"/>
                <w:sz w:val="24"/>
                <w:highlight w:val="none"/>
              </w:rPr>
            </w:pPr>
            <w:r>
              <w:rPr>
                <w:rFonts w:hint="eastAsia" w:ascii="宋体" w:hAnsi="宋体" w:cs="宋体"/>
                <w:color w:val="auto"/>
                <w:sz w:val="24"/>
                <w:highlight w:val="none"/>
              </w:rPr>
              <w:t>是，本项目采用“实名认证”投标，相关要求如下：</w:t>
            </w:r>
          </w:p>
          <w:p w14:paraId="46F90B8B">
            <w:pPr>
              <w:spacing w:line="520" w:lineRule="exact"/>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“实名认证”投标是指应用“人脸识别”技术，对法定代表人或对投标联系人身份进行实名验证的投标活动。投标联系人或法定代表人在下载招标文件、上传投标文件前，在电子交易系统中完成实名认证比对。</w:t>
            </w:r>
          </w:p>
          <w:p w14:paraId="1EDC7BFE">
            <w:pPr>
              <w:spacing w:line="520" w:lineRule="exact"/>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实名认证”投标基于“皖企通”APP完成，各投标人提前在手机上下载、安装、调试好“皖企通”APP（具体操作详见滁州市公共资源交易中心网/网上课堂/全部课程/《滁州市公共资源交易系统操作手册（投标人）》）。</w:t>
            </w:r>
          </w:p>
          <w:p w14:paraId="3BDE22CE">
            <w:pPr>
              <w:spacing w:line="520" w:lineRule="exact"/>
              <w:rPr>
                <w:rFonts w:hint="eastAsia"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“人脸识别”身份认证出现异常情况的，作如下处理：</w:t>
            </w:r>
          </w:p>
          <w:p w14:paraId="51D1851B">
            <w:pPr>
              <w:spacing w:line="520" w:lineRule="exact"/>
              <w:rPr>
                <w:rFonts w:hint="eastAsia" w:ascii="宋体" w:hAnsi="宋体" w:cs="宋体"/>
                <w:color w:val="auto"/>
                <w:sz w:val="24"/>
                <w:highlight w:val="none"/>
              </w:rPr>
            </w:pPr>
            <w:r>
              <w:rPr>
                <w:rFonts w:hint="eastAsia" w:ascii="宋体" w:hAnsi="宋体" w:cs="宋体"/>
                <w:color w:val="auto"/>
                <w:sz w:val="24"/>
                <w:highlight w:val="none"/>
              </w:rPr>
              <w:t>（1）下载招标文件人脸比对：未参与“人脸识别”身份认证或“人脸识别”身份认证失败的，将无法下载招标文件。</w:t>
            </w:r>
          </w:p>
          <w:p w14:paraId="66AB57E5">
            <w:pPr>
              <w:spacing w:line="520" w:lineRule="exact"/>
              <w:rPr>
                <w:rFonts w:hint="eastAsia" w:ascii="宋体" w:hAnsi="宋体" w:cs="宋体"/>
                <w:color w:val="auto"/>
                <w:sz w:val="24"/>
                <w:highlight w:val="none"/>
              </w:rPr>
            </w:pPr>
            <w:r>
              <w:rPr>
                <w:rFonts w:hint="eastAsia" w:ascii="宋体" w:hAnsi="宋体" w:cs="宋体"/>
                <w:color w:val="auto"/>
                <w:sz w:val="24"/>
                <w:highlight w:val="none"/>
              </w:rPr>
              <w:t>（2）上传投标文件人脸比对：未参与“人脸识别”身份认证或“人脸识别”身份认证失败的，将无法上传投标文件。</w:t>
            </w:r>
          </w:p>
          <w:p w14:paraId="33E1238E">
            <w:pPr>
              <w:spacing w:line="520" w:lineRule="exact"/>
              <w:rPr>
                <w:rFonts w:hint="eastAsia" w:ascii="宋体" w:hAnsi="宋体" w:eastAsia="宋体" w:cs="宋体"/>
                <w:color w:val="auto"/>
                <w:sz w:val="24"/>
                <w:highlight w:val="none"/>
                <w:lang w:eastAsia="zh-CN"/>
              </w:rPr>
            </w:pPr>
            <w:r>
              <w:rPr>
                <w:rFonts w:hint="eastAsia" w:ascii="宋体" w:hAnsi="宋体" w:cs="宋体"/>
                <w:color w:val="auto"/>
                <w:sz w:val="24"/>
                <w:highlight w:val="none"/>
              </w:rPr>
              <w:t>注：投标联系人是指下载招标文件、上传投标文件等参与投标活动的经办人。在投标活动中，投标联系人可以不为同一人</w:t>
            </w:r>
            <w:r>
              <w:rPr>
                <w:rFonts w:hint="eastAsia" w:ascii="宋体" w:hAnsi="宋体" w:cs="宋体"/>
                <w:color w:val="auto"/>
                <w:sz w:val="24"/>
                <w:highlight w:val="none"/>
                <w:lang w:eastAsia="zh-CN"/>
              </w:rPr>
              <w:t>。</w:t>
            </w:r>
          </w:p>
        </w:tc>
      </w:tr>
      <w:tr w14:paraId="503D56F3">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55BA5254">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10.14</w:t>
            </w:r>
            <w:r>
              <w:rPr>
                <w:rFonts w:hint="eastAsia" w:ascii="宋体" w:hAnsi="宋体" w:cs="宋体"/>
                <w:color w:val="auto"/>
                <w:sz w:val="24"/>
                <w:highlight w:val="none"/>
              </w:rPr>
              <w:t xml:space="preserve"> </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6CAF38F8">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 xml:space="preserve"> 人员到岗及履约要求 </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548822C5">
            <w:pPr>
              <w:spacing w:line="520" w:lineRule="exac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1.人员考核：工程开工进场后，中标人必须参照《安徽省建设工程施工项目部关键岗位人员配备标准》的要求配备项目经理、技术负责人和施工员、质量员、安全员、资料员、取样员等施工项目部关键岗位人员。合同签订前，中标人须按不低于《安徽省建设工程施工项目部关键岗位人员配备标准》规定的数量及类型提供其他主管管理人员名单、社保及岗位证书供招标人确认（国家及安徽省已取消相关人员岗位证书的可不提供岗位证书）。</w:t>
            </w:r>
          </w:p>
          <w:p w14:paraId="7FFAEABF">
            <w:pPr>
              <w:spacing w:line="520" w:lineRule="exact"/>
              <w:rPr>
                <w:rFonts w:hint="eastAsia" w:ascii="宋体" w:hAnsi="宋体" w:cs="宋体"/>
                <w:b w:val="0"/>
                <w:bCs w:val="0"/>
                <w:color w:val="auto"/>
                <w:sz w:val="24"/>
                <w:highlight w:val="none"/>
              </w:rPr>
            </w:pPr>
            <w:r>
              <w:rPr>
                <w:rFonts w:hint="eastAsia" w:ascii="宋体" w:hAnsi="宋体" w:cs="宋体"/>
                <w:b w:val="0"/>
                <w:bCs w:val="0"/>
                <w:color w:val="auto"/>
                <w:sz w:val="24"/>
                <w:highlight w:val="none"/>
                <w:lang w:val="en-US" w:eastAsia="zh-CN"/>
              </w:rPr>
              <w:t>2.</w:t>
            </w:r>
            <w:r>
              <w:rPr>
                <w:rFonts w:hint="eastAsia" w:ascii="宋体" w:hAnsi="宋体" w:cs="宋体"/>
                <w:b w:val="0"/>
                <w:bCs w:val="0"/>
                <w:color w:val="auto"/>
                <w:sz w:val="24"/>
                <w:highlight w:val="none"/>
              </w:rPr>
              <w:t>项目部“五大员”等关键岗位人员变更必须经发包人批准，工期一年内（含）各岗位人员变更不得超过1次，工期一年以上的各岗位人员变更不得超过2次，须缴纳5000</w:t>
            </w:r>
            <w:r>
              <w:rPr>
                <w:rFonts w:hint="eastAsia" w:ascii="宋体" w:hAnsi="宋体" w:cs="宋体"/>
                <w:b w:val="0"/>
                <w:bCs w:val="0"/>
                <w:color w:val="auto"/>
                <w:sz w:val="24"/>
                <w:highlight w:val="none"/>
                <w:lang w:val="en-US" w:eastAsia="zh-CN"/>
              </w:rPr>
              <w:t>0</w:t>
            </w:r>
            <w:r>
              <w:rPr>
                <w:rFonts w:hint="eastAsia" w:ascii="宋体" w:hAnsi="宋体" w:cs="宋体"/>
                <w:b w:val="0"/>
                <w:bCs w:val="0"/>
                <w:color w:val="auto"/>
                <w:sz w:val="24"/>
                <w:highlight w:val="none"/>
              </w:rPr>
              <w:t>元/人违约金，否则不得变更。变更后的项目部“五大员”等关键岗位人员必须符合本项目招标文件和投标承诺配备的同等条件人员。</w:t>
            </w:r>
          </w:p>
          <w:p w14:paraId="488A05C3">
            <w:pPr>
              <w:spacing w:line="520" w:lineRule="exact"/>
              <w:rPr>
                <w:rFonts w:hint="eastAsia" w:ascii="宋体" w:hAnsi="宋体" w:cs="宋体"/>
                <w:b w:val="0"/>
                <w:bCs w:val="0"/>
                <w:color w:val="auto"/>
                <w:sz w:val="24"/>
                <w:highlight w:val="none"/>
              </w:rPr>
            </w:pPr>
            <w:r>
              <w:rPr>
                <w:rFonts w:hint="eastAsia" w:ascii="宋体" w:hAnsi="宋体" w:cs="宋体"/>
                <w:b w:val="0"/>
                <w:bCs w:val="0"/>
                <w:color w:val="auto"/>
                <w:sz w:val="24"/>
                <w:highlight w:val="none"/>
                <w:lang w:val="en-US" w:eastAsia="zh-CN"/>
              </w:rPr>
              <w:t>3.</w:t>
            </w:r>
            <w:r>
              <w:rPr>
                <w:rFonts w:hint="eastAsia" w:ascii="宋体" w:hAnsi="宋体" w:cs="宋体"/>
                <w:b w:val="0"/>
                <w:bCs w:val="0"/>
                <w:color w:val="auto"/>
                <w:sz w:val="24"/>
                <w:highlight w:val="none"/>
              </w:rPr>
              <w:t>人员考勤：项目部管理人员实行考勤，考勤由</w:t>
            </w:r>
            <w:r>
              <w:rPr>
                <w:rFonts w:hint="eastAsia" w:ascii="宋体" w:hAnsi="宋体" w:cs="宋体"/>
                <w:b w:val="0"/>
                <w:bCs w:val="0"/>
                <w:color w:val="auto"/>
                <w:sz w:val="24"/>
                <w:highlight w:val="none"/>
                <w:lang w:val="en-US" w:eastAsia="zh-CN"/>
              </w:rPr>
              <w:t>招标人</w:t>
            </w:r>
            <w:r>
              <w:rPr>
                <w:rFonts w:hint="eastAsia" w:ascii="宋体" w:hAnsi="宋体" w:cs="宋体"/>
                <w:b w:val="0"/>
                <w:bCs w:val="0"/>
                <w:color w:val="auto"/>
                <w:sz w:val="24"/>
                <w:highlight w:val="none"/>
              </w:rPr>
              <w:t>或监理单位负责。</w:t>
            </w:r>
            <w:r>
              <w:rPr>
                <w:rFonts w:hint="eastAsia" w:ascii="宋体" w:hAnsi="宋体" w:cs="宋体"/>
                <w:b w:val="0"/>
                <w:bCs w:val="0"/>
                <w:color w:val="auto"/>
                <w:sz w:val="24"/>
                <w:highlight w:val="none"/>
                <w:lang w:val="en-US" w:eastAsia="zh-CN"/>
              </w:rPr>
              <w:t>项目经理（建造师）、</w:t>
            </w:r>
            <w:r>
              <w:rPr>
                <w:rFonts w:hint="eastAsia" w:ascii="宋体" w:hAnsi="宋体" w:cs="宋体"/>
                <w:b w:val="0"/>
                <w:bCs w:val="0"/>
                <w:color w:val="auto"/>
                <w:sz w:val="24"/>
                <w:highlight w:val="none"/>
              </w:rPr>
              <w:t>技术负责</w:t>
            </w:r>
            <w:r>
              <w:rPr>
                <w:rFonts w:hint="eastAsia" w:ascii="宋体" w:hAnsi="宋体" w:cs="宋体"/>
                <w:b w:val="0"/>
                <w:bCs w:val="0"/>
                <w:color w:val="auto"/>
                <w:sz w:val="24"/>
                <w:highlight w:val="none"/>
                <w:lang w:val="en-US" w:eastAsia="zh-CN"/>
              </w:rPr>
              <w:t>人</w:t>
            </w:r>
            <w:r>
              <w:rPr>
                <w:rFonts w:hint="eastAsia" w:ascii="宋体" w:hAnsi="宋体" w:cs="宋体"/>
                <w:b w:val="0"/>
                <w:bCs w:val="0"/>
                <w:color w:val="auto"/>
                <w:sz w:val="24"/>
                <w:highlight w:val="none"/>
              </w:rPr>
              <w:t>每月在岗时间不得少于</w:t>
            </w:r>
            <w:r>
              <w:rPr>
                <w:rFonts w:hint="eastAsia" w:ascii="宋体" w:hAnsi="宋体" w:cs="宋体"/>
                <w:b w:val="0"/>
                <w:bCs w:val="0"/>
                <w:color w:val="auto"/>
                <w:sz w:val="24"/>
                <w:highlight w:val="none"/>
                <w:lang w:val="en-US" w:eastAsia="zh-CN"/>
              </w:rPr>
              <w:t>26</w:t>
            </w:r>
            <w:r>
              <w:rPr>
                <w:rFonts w:hint="eastAsia" w:ascii="宋体" w:hAnsi="宋体" w:cs="宋体"/>
                <w:b w:val="0"/>
                <w:bCs w:val="0"/>
                <w:color w:val="auto"/>
                <w:sz w:val="24"/>
                <w:highlight w:val="none"/>
              </w:rPr>
              <w:t>天，每天不少于8小时，其他管理人员每月在岗时间不得少于2</w:t>
            </w:r>
            <w:r>
              <w:rPr>
                <w:rFonts w:hint="eastAsia" w:ascii="宋体" w:hAnsi="宋体" w:cs="宋体"/>
                <w:b w:val="0"/>
                <w:bCs w:val="0"/>
                <w:color w:val="auto"/>
                <w:sz w:val="24"/>
                <w:highlight w:val="none"/>
                <w:lang w:val="en-US" w:eastAsia="zh-CN"/>
              </w:rPr>
              <w:t>4</w:t>
            </w:r>
            <w:r>
              <w:rPr>
                <w:rFonts w:hint="eastAsia" w:ascii="宋体" w:hAnsi="宋体" w:cs="宋体"/>
                <w:b w:val="0"/>
                <w:bCs w:val="0"/>
                <w:color w:val="auto"/>
                <w:sz w:val="24"/>
                <w:highlight w:val="none"/>
              </w:rPr>
              <w:t>天，每天不少于8小时。未按规定在岗履责的，对</w:t>
            </w:r>
            <w:r>
              <w:rPr>
                <w:rFonts w:hint="eastAsia" w:ascii="宋体" w:hAnsi="宋体" w:cs="宋体"/>
                <w:b w:val="0"/>
                <w:bCs w:val="0"/>
                <w:color w:val="auto"/>
                <w:sz w:val="24"/>
                <w:highlight w:val="none"/>
                <w:lang w:val="en-US" w:eastAsia="zh-CN"/>
              </w:rPr>
              <w:t>项目经理（建造师）</w:t>
            </w:r>
            <w:r>
              <w:rPr>
                <w:rFonts w:hint="eastAsia" w:ascii="宋体" w:hAnsi="宋体" w:cs="宋体"/>
                <w:b w:val="0"/>
                <w:bCs w:val="0"/>
                <w:color w:val="auto"/>
                <w:sz w:val="24"/>
                <w:highlight w:val="none"/>
              </w:rPr>
              <w:t>和技术负责人处以</w:t>
            </w:r>
            <w:r>
              <w:rPr>
                <w:rFonts w:hint="eastAsia" w:ascii="宋体" w:hAnsi="宋体" w:cs="宋体"/>
                <w:b w:val="0"/>
                <w:bCs w:val="0"/>
                <w:color w:val="auto"/>
                <w:sz w:val="24"/>
                <w:highlight w:val="none"/>
                <w:lang w:val="en-US"/>
              </w:rPr>
              <w:t>3000</w:t>
            </w:r>
            <w:r>
              <w:rPr>
                <w:rFonts w:hint="eastAsia" w:ascii="宋体" w:hAnsi="宋体" w:cs="宋体"/>
                <w:b w:val="0"/>
                <w:bCs w:val="0"/>
                <w:color w:val="auto"/>
                <w:sz w:val="24"/>
                <w:highlight w:val="none"/>
              </w:rPr>
              <w:t>元/人·天的违约金</w:t>
            </w:r>
            <w:r>
              <w:rPr>
                <w:rFonts w:hint="eastAsia" w:ascii="宋体" w:hAnsi="宋体" w:cs="宋体"/>
                <w:b w:val="0"/>
                <w:bCs w:val="0"/>
                <w:color w:val="auto"/>
                <w:sz w:val="24"/>
                <w:highlight w:val="none"/>
                <w:lang w:eastAsia="zh-CN"/>
              </w:rPr>
              <w:t>，</w:t>
            </w:r>
            <w:r>
              <w:rPr>
                <w:rFonts w:hint="eastAsia" w:ascii="宋体" w:hAnsi="宋体" w:cs="宋体"/>
                <w:b w:val="0"/>
                <w:bCs w:val="0"/>
                <w:color w:val="auto"/>
                <w:sz w:val="24"/>
                <w:highlight w:val="none"/>
              </w:rPr>
              <w:t>其他管理人员处以</w:t>
            </w:r>
            <w:r>
              <w:rPr>
                <w:rFonts w:hint="eastAsia" w:ascii="宋体" w:hAnsi="宋体" w:cs="宋体"/>
                <w:b w:val="0"/>
                <w:bCs w:val="0"/>
                <w:color w:val="auto"/>
                <w:sz w:val="24"/>
                <w:highlight w:val="none"/>
                <w:lang w:val="en-US" w:eastAsia="zh-CN"/>
              </w:rPr>
              <w:t>1000</w:t>
            </w:r>
            <w:r>
              <w:rPr>
                <w:rFonts w:hint="eastAsia" w:ascii="宋体" w:hAnsi="宋体" w:cs="宋体"/>
                <w:b w:val="0"/>
                <w:bCs w:val="0"/>
                <w:color w:val="auto"/>
                <w:sz w:val="24"/>
                <w:highlight w:val="none"/>
              </w:rPr>
              <w:t>元/人·天的违约金。</w:t>
            </w:r>
            <w:r>
              <w:rPr>
                <w:rFonts w:hint="eastAsia" w:ascii="宋体" w:hAnsi="宋体" w:cs="宋体"/>
                <w:b w:val="0"/>
                <w:bCs w:val="0"/>
                <w:color w:val="auto"/>
                <w:sz w:val="24"/>
                <w:highlight w:val="none"/>
                <w:lang w:val="en-US" w:eastAsia="zh-CN"/>
              </w:rPr>
              <w:t>工程开工首月人员考勤考核不合格，发包人终止合同。</w:t>
            </w:r>
          </w:p>
          <w:p w14:paraId="20374DA7">
            <w:pPr>
              <w:adjustRightInd w:val="0"/>
              <w:snapToGrid w:val="0"/>
              <w:spacing w:line="520" w:lineRule="exact"/>
              <w:rPr>
                <w:rFonts w:hint="eastAsia" w:ascii="宋体" w:hAnsi="宋体" w:cs="宋体"/>
                <w:b/>
                <w:bCs/>
                <w:color w:val="auto"/>
                <w:sz w:val="24"/>
                <w:highlight w:val="none"/>
              </w:rPr>
            </w:pPr>
            <w:r>
              <w:rPr>
                <w:rFonts w:hint="eastAsia" w:ascii="宋体" w:hAnsi="宋体" w:cs="宋体"/>
                <w:b w:val="0"/>
                <w:bCs w:val="0"/>
                <w:color w:val="auto"/>
                <w:sz w:val="24"/>
                <w:highlight w:val="none"/>
                <w:lang w:val="en-US" w:eastAsia="zh-CN"/>
              </w:rPr>
              <w:t>4.</w:t>
            </w:r>
            <w:r>
              <w:rPr>
                <w:rFonts w:hint="eastAsia" w:ascii="宋体" w:hAnsi="宋体" w:cs="宋体"/>
                <w:b w:val="0"/>
                <w:bCs w:val="0"/>
                <w:color w:val="auto"/>
                <w:sz w:val="24"/>
                <w:highlight w:val="none"/>
              </w:rPr>
              <w:t>在各级相关部门现场检查过程中发现</w:t>
            </w:r>
            <w:r>
              <w:rPr>
                <w:rFonts w:hint="eastAsia" w:ascii="宋体" w:hAnsi="宋体" w:cs="宋体"/>
                <w:b w:val="0"/>
                <w:bCs w:val="0"/>
                <w:color w:val="auto"/>
                <w:sz w:val="24"/>
                <w:highlight w:val="none"/>
                <w:lang w:val="en-US" w:eastAsia="zh-CN"/>
              </w:rPr>
              <w:t>项目经理（建造师）</w:t>
            </w:r>
            <w:r>
              <w:rPr>
                <w:rFonts w:hint="eastAsia" w:ascii="宋体" w:hAnsi="宋体" w:cs="宋体"/>
                <w:b w:val="0"/>
                <w:bCs w:val="0"/>
                <w:color w:val="auto"/>
                <w:sz w:val="24"/>
                <w:highlight w:val="none"/>
              </w:rPr>
              <w:t>、技术负责人、安全员、质检员等主要管理人员未按合同约定在岗三次及以上的，将上报建设行政主管部门依法依规处理，并在相关信用信息平台披露。</w:t>
            </w:r>
            <w:r>
              <w:rPr>
                <w:rFonts w:hint="eastAsia" w:ascii="宋体" w:hAnsi="宋体" w:cs="宋体"/>
                <w:b/>
                <w:bCs/>
                <w:color w:val="auto"/>
                <w:sz w:val="24"/>
                <w:highlight w:val="none"/>
              </w:rPr>
              <w:t xml:space="preserve"> </w:t>
            </w:r>
          </w:p>
        </w:tc>
      </w:tr>
      <w:tr w14:paraId="048B66AE">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72004208">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10.15</w:t>
            </w:r>
            <w:r>
              <w:rPr>
                <w:rFonts w:hint="eastAsia" w:ascii="宋体" w:hAnsi="宋体" w:cs="宋体"/>
                <w:color w:val="auto"/>
                <w:sz w:val="24"/>
                <w:highlight w:val="none"/>
              </w:rPr>
              <w:t xml:space="preserve"> </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93D61EE">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其他</w:t>
            </w:r>
            <w:r>
              <w:rPr>
                <w:rFonts w:hint="eastAsia" w:ascii="宋体" w:hAnsi="宋体" w:cs="宋体"/>
                <w:color w:val="auto"/>
                <w:sz w:val="24"/>
                <w:highlight w:val="none"/>
              </w:rPr>
              <w:t xml:space="preserve"> </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3ED1CE2A">
            <w:pPr>
              <w:numPr>
                <w:ilvl w:val="0"/>
                <w:numId w:val="2"/>
              </w:numPr>
              <w:adjustRightInd w:val="0"/>
              <w:snapToGrid w:val="0"/>
              <w:spacing w:line="520" w:lineRule="exact"/>
              <w:ind w:left="120" w:leftChars="0"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现场管理</w:t>
            </w:r>
          </w:p>
          <w:p w14:paraId="399C3F2E">
            <w:pPr>
              <w:spacing w:line="520" w:lineRule="exac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1.施工过程中，严格执行国家及地方针对环保、禁噪、防尘、防护等措施，必须满足当地行政主管部门相关规定及要求；</w:t>
            </w:r>
          </w:p>
          <w:p w14:paraId="0FC90409">
            <w:pPr>
              <w:spacing w:line="520" w:lineRule="exac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2.施工场地及周边场地、道路、绿化、管线、设施设备等，若被施工方（中标人）损坏，施工方（中标人）必须无偿按照原貌恢复。</w:t>
            </w:r>
          </w:p>
          <w:p w14:paraId="02AA7DFC">
            <w:pPr>
              <w:spacing w:line="520" w:lineRule="exac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3.投标人自行勘察施工现场情况，因投标人未勘察现场而造成的损失由投标人承担。</w:t>
            </w:r>
          </w:p>
          <w:p w14:paraId="7AE2DE84">
            <w:pPr>
              <w:spacing w:line="520" w:lineRule="exact"/>
              <w:rPr>
                <w:rFonts w:hint="default"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4.在工程建设过程中，出现质量、安全、进度、文明施工、扬尘污染、人员不在岗履职等违约行为的，招标人将给予违约处罚；如中标人拒不缴纳违约金的，招标人有权从进度款中直接扣除。（具体内容详见合同补充条款14.14《违约金支付标准》）</w:t>
            </w:r>
          </w:p>
          <w:p w14:paraId="6045BB54">
            <w:pPr>
              <w:spacing w:line="520" w:lineRule="exac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5.临时设施、施工便道等费用由投标人自行勘察现场考虑，综合考虑在报价中，招标人不另行支付其他任何费用。</w:t>
            </w:r>
          </w:p>
          <w:p w14:paraId="7DE659D8">
            <w:pPr>
              <w:spacing w:line="520" w:lineRule="exac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6.施工现场必须采用门禁管理系统，施工现场必须采用刷卡进入，费用由中标人自行承担。</w:t>
            </w:r>
          </w:p>
          <w:p w14:paraId="0A79DA2F">
            <w:pPr>
              <w:spacing w:line="520" w:lineRule="exac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7.施工现场需专门配备定点摄像设备，采用建筑施工现场视频监控系统，便于实时监控，要求设备稳定，图像清晰，分辨率高，配备专用储存设备，15天以内的现场摄像资料必须完整保存，含在投标总报价中，招标人不另行支付其他任何费用。</w:t>
            </w:r>
          </w:p>
          <w:p w14:paraId="60E43A98">
            <w:pPr>
              <w:spacing w:line="520" w:lineRule="exac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8.招标人负责提供水电接驳点，施工用水用电等相关费用由中标单位解决并承担水电的管理。工程移交前，所有水电费用由中标人承担并管理。</w:t>
            </w:r>
          </w:p>
          <w:p w14:paraId="29788CEF">
            <w:pPr>
              <w:spacing w:line="520" w:lineRule="exac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9.本项目质保期内需成立专职维修养护组实施全过程跟踪运营维护保养，时间从项目移交之日算起，费用含在投标报价中。如未在规定时间内进行维修的，每发现一次将处以10000元/次违约金，招标人有权直接从质保金中扣除。</w:t>
            </w:r>
          </w:p>
          <w:p w14:paraId="679798A3">
            <w:pPr>
              <w:spacing w:line="520" w:lineRule="exac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10.本项目实行全过程影像管理。即在项目实施过程中，分部、分项每个环节需采集图片或视频资料，并形成相册或光盘，实现施工过程可回放、可追溯。相册或光盘应能反映施工全过程中的各阶段及所有细节。室外雨污水管道须提供全部影像检测试验合格报告，上述所产生的所有费用均含在投标报价中，不单独计费，由中标人支付。</w:t>
            </w:r>
          </w:p>
          <w:p w14:paraId="22B66858">
            <w:pPr>
              <w:spacing w:line="520" w:lineRule="exac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11.围挡设置必须符合相关部门要求，对于围挡的宣传标语（图案）等设置，必须按照招标人要求进行布置，并且及时更新、更换。所产生的所有费用均包含在投标报价中。具体围挡方案必须报招标人审批后方可实施。</w:t>
            </w:r>
          </w:p>
          <w:p w14:paraId="4BEC8282">
            <w:pPr>
              <w:spacing w:line="520" w:lineRule="exact"/>
              <w:rPr>
                <w:rFonts w:hint="default"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12.中标人安排专人配合发包人办理相关手续。项目移交前，中标人须按照招标人要求整理项目档案资料，此费用包含在投标报价里面。</w:t>
            </w:r>
          </w:p>
          <w:p w14:paraId="3BC3204A">
            <w:pPr>
              <w:spacing w:line="520" w:lineRule="exac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13.施工现场和取、弃土场内的施工便道、机械整平以及协调渣土、环保等相关部门办理相关手续、缴纳保证金及费用等由中标人自行承担，此部分费用包含在投标报价中。施工渣土、淤泥、建筑垃圾等弃置点需经相关部门批准，并报发包人备案后，方可施工，严禁违规倾倒堆存。否则，处以10万元/次违约金。</w:t>
            </w:r>
          </w:p>
          <w:p w14:paraId="5E998971">
            <w:pPr>
              <w:spacing w:line="520" w:lineRule="exac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14.本工程施工过程中所有违约金均以银行转账形式或直接从进度款中扣除形式缴纳至招标人处，否则当期不予请款。</w:t>
            </w:r>
          </w:p>
          <w:p w14:paraId="55C98883">
            <w:pPr>
              <w:spacing w:line="520" w:lineRule="exac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15.中标人必须严格按照《滁州市房屋建筑工程扬尘污染防治标准》的通知建质函[2019]554号文执行，否则，处以5000元/次违约金。</w:t>
            </w:r>
          </w:p>
          <w:p w14:paraId="250A2D3B">
            <w:pPr>
              <w:spacing w:line="520" w:lineRule="exac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16.根据《滁州市政府投资建设项目审计监督办法》第二十三条规定，对审减率超过10%的工程项目，超过部分应支付的审计费用，由施工单位承担，审计费率为核减金额的4%（以区财政局或市财政工程造价审核中心出具的金额为准），项目请款单位根据审计结果将此部分费用缴纳至招标人指定账户，不提供票据。</w:t>
            </w:r>
          </w:p>
          <w:p w14:paraId="7E9994F1">
            <w:pPr>
              <w:pStyle w:val="19"/>
              <w:keepNext w:val="0"/>
              <w:keepLines w:val="0"/>
              <w:pageBreakBefore w:val="0"/>
              <w:widowControl w:val="0"/>
              <w:kinsoku/>
              <w:wordWrap/>
              <w:overflowPunct/>
              <w:topLinePunct w:val="0"/>
              <w:autoSpaceDE/>
              <w:autoSpaceDN/>
              <w:bidi w:val="0"/>
              <w:adjustRightInd/>
              <w:snapToGrid/>
              <w:spacing w:after="0" w:line="520" w:lineRule="exact"/>
              <w:ind w:left="0" w:leftChars="0" w:firstLine="0" w:firstLineChars="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17.招标人在施工过程中发现承包人转包、挂靠等行为的，招标人有权立即解除合同，清退出场，中标人已完合格工程量的价款60%进行结算。</w:t>
            </w:r>
          </w:p>
          <w:p w14:paraId="403FF421">
            <w:pPr>
              <w:pStyle w:val="19"/>
              <w:keepNext w:val="0"/>
              <w:keepLines w:val="0"/>
              <w:pageBreakBefore w:val="0"/>
              <w:widowControl w:val="0"/>
              <w:kinsoku/>
              <w:wordWrap/>
              <w:overflowPunct/>
              <w:topLinePunct w:val="0"/>
              <w:autoSpaceDE/>
              <w:autoSpaceDN/>
              <w:bidi w:val="0"/>
              <w:adjustRightInd/>
              <w:snapToGrid/>
              <w:spacing w:after="0" w:line="520" w:lineRule="exact"/>
              <w:ind w:left="0" w:leftChars="0" w:firstLine="0" w:firstLineChars="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cs="宋体"/>
                <w:b w:val="0"/>
                <w:bCs w:val="0"/>
                <w:color w:val="auto"/>
                <w:kern w:val="2"/>
                <w:sz w:val="24"/>
                <w:szCs w:val="24"/>
                <w:highlight w:val="none"/>
                <w:lang w:val="en-US" w:eastAsia="zh-CN" w:bidi="ar-SA"/>
              </w:rPr>
              <w:t>18</w:t>
            </w:r>
            <w:r>
              <w:rPr>
                <w:rFonts w:hint="eastAsia" w:ascii="宋体" w:hAnsi="宋体" w:eastAsia="宋体" w:cs="宋体"/>
                <w:b w:val="0"/>
                <w:bCs w:val="0"/>
                <w:color w:val="auto"/>
                <w:kern w:val="2"/>
                <w:sz w:val="24"/>
                <w:szCs w:val="24"/>
                <w:highlight w:val="none"/>
                <w:lang w:val="en-US" w:eastAsia="zh-CN" w:bidi="ar-SA"/>
              </w:rPr>
              <w:t>.安装工程的各种结构预埋件费用包含不限于增加水电套管数量、结构的加强措施、结构的尺寸变化以及相关的专业试验费、检测费、论证费用，其费用包含在投标总价中，后期的费用不予增加。</w:t>
            </w:r>
          </w:p>
          <w:p w14:paraId="4CFE6324">
            <w:pPr>
              <w:adjustRightInd w:val="0"/>
              <w:snapToGrid w:val="0"/>
              <w:spacing w:line="520" w:lineRule="exact"/>
              <w:rPr>
                <w:rFonts w:hint="default" w:ascii="宋体" w:hAnsi="宋体" w:eastAsia="宋体" w:cs="宋体"/>
                <w:b w:val="0"/>
                <w:bCs w:val="0"/>
                <w:color w:val="auto"/>
                <w:kern w:val="2"/>
                <w:sz w:val="24"/>
                <w:szCs w:val="24"/>
                <w:highlight w:val="yellow"/>
                <w:lang w:val="en-US" w:eastAsia="zh-CN" w:bidi="ar-SA"/>
              </w:rPr>
            </w:pPr>
            <w:r>
              <w:rPr>
                <w:rFonts w:hint="eastAsia" w:ascii="宋体" w:hAnsi="宋体" w:cs="宋体"/>
                <w:b w:val="0"/>
                <w:bCs w:val="0"/>
                <w:color w:val="auto"/>
                <w:kern w:val="2"/>
                <w:sz w:val="24"/>
                <w:szCs w:val="24"/>
                <w:highlight w:val="none"/>
                <w:lang w:val="en-US" w:eastAsia="zh-CN" w:bidi="ar-SA"/>
              </w:rPr>
              <w:t>19.项目土方外弃土运距按3KM计算不予调整，外购土运距按5KM计算不予调整，计入清单控制价，投标人自行勘察现场，中标后不再调整。</w:t>
            </w:r>
          </w:p>
          <w:p w14:paraId="30803541">
            <w:pPr>
              <w:adjustRightInd w:val="0"/>
              <w:snapToGrid w:val="0"/>
              <w:spacing w:line="520" w:lineRule="exact"/>
              <w:rPr>
                <w:rFonts w:hint="eastAsia" w:ascii="宋体" w:hAnsi="宋体" w:cs="宋体"/>
                <w:b w:val="0"/>
                <w:bCs w:val="0"/>
                <w:color w:val="auto"/>
                <w:kern w:val="2"/>
                <w:sz w:val="24"/>
                <w:szCs w:val="24"/>
                <w:highlight w:val="none"/>
                <w:lang w:val="en-US" w:eastAsia="zh-CN" w:bidi="ar-SA"/>
              </w:rPr>
            </w:pPr>
            <w:r>
              <w:rPr>
                <w:rFonts w:hint="eastAsia" w:ascii="宋体" w:hAnsi="宋体" w:cs="宋体"/>
                <w:b w:val="0"/>
                <w:bCs w:val="0"/>
                <w:color w:val="auto"/>
                <w:kern w:val="2"/>
                <w:sz w:val="24"/>
                <w:szCs w:val="24"/>
                <w:highlight w:val="none"/>
                <w:lang w:val="en-US" w:eastAsia="zh-CN" w:bidi="ar-SA"/>
              </w:rPr>
              <w:t>20.中标后，中标人须于领取中标通知书之日起7日内完成对施工现场的现状复核，若未在规定时间内提出，则后期施工过程中由现状问题引起的一切后果均由中标人自行承担。</w:t>
            </w:r>
          </w:p>
          <w:p w14:paraId="17D1C4B6">
            <w:pPr>
              <w:adjustRightInd w:val="0"/>
              <w:snapToGrid w:val="0"/>
              <w:spacing w:line="520" w:lineRule="exact"/>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二、工程进度管理</w:t>
            </w:r>
          </w:p>
          <w:p w14:paraId="42370973">
            <w:pPr>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工程有下列原因影响合同工期的，由中标人提出，经招标人批准可顺延合同工期：1）土地和房屋征收进度不符合施工要求，涉铁路、涉部队、涉供电等影响施工；2）因地震、洪涝灾害、突发重大事件等不可抗力影响施工；3）因规划设计调整或重大变更，对工期造成影响的；4）其它非中标人原因影响工期的。中标人未提出工期顺延的申请或申请未经批准的，工期不予顺延。</w:t>
            </w:r>
          </w:p>
          <w:p w14:paraId="4730D81B">
            <w:pPr>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2.因中标人原因造成合同工期延误，每延误一天，处以10000元/天违约金。月工程量未完成的当期不得请款，当月未完成的工程量纳入下月一并完成，完不成的仍不予请款，依次类推。</w:t>
            </w:r>
          </w:p>
          <w:p w14:paraId="04DC1D46">
            <w:pPr>
              <w:adjustRightInd w:val="0"/>
              <w:snapToGrid w:val="0"/>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3.对连续3个月未完成月进度计划的，招标人约谈中标人法定代表人，并要求更换项目经理，每次处以10万元违约金，由此所产生的赶工措施费用不予增加。经发包人多次督促，中标人拒不整改或整改不到位的，招标人可终止施工合同，同时处以中标合同金额×2%×50%的金额作为违约金，招标人另选的施工队伍进场施工，中标人须无条件配合（包括变更施工许可证、盖章等），不得以任何借口阻挠另选的施工队伍施工，不得向招标人提出任何索赔要求。</w:t>
            </w:r>
          </w:p>
          <w:p w14:paraId="3F7C152A">
            <w:pPr>
              <w:adjustRightInd w:val="0"/>
              <w:snapToGrid w:val="0"/>
              <w:spacing w:line="520" w:lineRule="exact"/>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highlight w:val="none"/>
                <w:lang w:val="en-US" w:eastAsia="zh-CN"/>
              </w:rPr>
              <w:t>三、</w:t>
            </w:r>
            <w:r>
              <w:rPr>
                <w:rFonts w:hint="eastAsia" w:ascii="宋体" w:hAnsi="宋体" w:eastAsia="宋体" w:cs="宋体"/>
                <w:b w:val="0"/>
                <w:bCs w:val="0"/>
                <w:color w:val="auto"/>
                <w:kern w:val="2"/>
                <w:sz w:val="24"/>
                <w:szCs w:val="24"/>
                <w:highlight w:val="none"/>
                <w:lang w:val="en-US" w:eastAsia="zh-CN" w:bidi="ar-SA"/>
              </w:rPr>
              <w:t>工程质量管理</w:t>
            </w:r>
          </w:p>
          <w:p w14:paraId="149C6954">
            <w:pPr>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中标人被招标人项目组日常检查、专项检查或第三方巡查等检查出未按设计文件和相关规范施工，存在质量隐患和质量问题的，必须按要求和规定时限整改到位，同时处以10000元/次的违约金。对拒不执行或整改不力的，招标人有权解除合同，并追究经济损失。</w:t>
            </w:r>
          </w:p>
          <w:p w14:paraId="555FDD36">
            <w:pPr>
              <w:adjustRightInd w:val="0"/>
              <w:snapToGrid w:val="0"/>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2.在本项目工程质量保修期内出现质量问题的，具体详见《工程质量保修书》要求。</w:t>
            </w:r>
          </w:p>
          <w:p w14:paraId="2EF21576">
            <w:pPr>
              <w:adjustRightInd w:val="0"/>
              <w:snapToGrid w:val="0"/>
              <w:spacing w:line="520" w:lineRule="exact"/>
              <w:rPr>
                <w:rFonts w:hint="eastAsia" w:ascii="宋体" w:hAnsi="宋体" w:eastAsia="宋体" w:cs="宋体"/>
                <w:color w:val="auto"/>
                <w:sz w:val="21"/>
                <w:szCs w:val="21"/>
                <w:highlight w:val="none"/>
              </w:rPr>
            </w:pPr>
            <w:r>
              <w:rPr>
                <w:rFonts w:hint="eastAsia" w:ascii="宋体" w:hAnsi="宋体" w:eastAsia="宋体" w:cs="宋体"/>
                <w:b w:val="0"/>
                <w:bCs w:val="0"/>
                <w:color w:val="auto"/>
                <w:sz w:val="24"/>
                <w:highlight w:val="none"/>
                <w:lang w:val="en-US" w:eastAsia="zh-CN"/>
              </w:rPr>
              <w:t>四、</w:t>
            </w:r>
            <w:r>
              <w:rPr>
                <w:rFonts w:hint="eastAsia" w:ascii="宋体" w:hAnsi="宋体" w:eastAsia="宋体" w:cs="宋体"/>
                <w:b w:val="0"/>
                <w:bCs w:val="0"/>
                <w:color w:val="auto"/>
                <w:kern w:val="2"/>
                <w:sz w:val="24"/>
                <w:szCs w:val="24"/>
                <w:highlight w:val="none"/>
                <w:lang w:val="en-US" w:eastAsia="zh-CN" w:bidi="ar-SA"/>
              </w:rPr>
              <w:t>安全文明管理</w:t>
            </w:r>
          </w:p>
          <w:p w14:paraId="310E00FA">
            <w:pPr>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中标人必须确保安全文明施工，严格执行国家、安徽省、滁州市的相关规定，同时遵守招标人对安全文明施工的相关要求。经检查，达不到相关规定和要求的，由项目组及时下发整改通知书，拒不整改或限期整改不到位的，处中标人10000元/项/次的违约金。施工现场卫生保洁自开工之日起至工程竣工移交结束，切实做好项目管理人员和工人宿舍安全、卫生工作。</w:t>
            </w:r>
          </w:p>
          <w:p w14:paraId="4F021E2F">
            <w:pPr>
              <w:adjustRightInd w:val="0"/>
              <w:snapToGrid w:val="0"/>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2.执行《关于印发《滁州市建设工程及储备用地围挡整治提升方案》的通知》（滁创建指办【2018】19号文）</w:t>
            </w:r>
          </w:p>
          <w:p w14:paraId="14EA03E2">
            <w:pPr>
              <w:adjustRightInd w:val="0"/>
              <w:snapToGrid w:val="0"/>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五、扬尘管理</w:t>
            </w:r>
          </w:p>
          <w:p w14:paraId="0243C924">
            <w:pPr>
              <w:adjustRightInd w:val="0"/>
              <w:snapToGrid w:val="0"/>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严格执行《安徽省建筑工程施工扬尘污染防治规定》、《滁州市城市扬尘管理办法》和《滁州市建筑工程施工扬尘污染防治实施细则》《重点工程建设工地扬尘污染防治管理规定》等相关规定。对违反规定或经检查达不到规定和要求，被相关部门批评、曝光、通报的，处罚承包人10000元/次的违约金，处罚监理人3000元/次的违约金。</w:t>
            </w:r>
          </w:p>
          <w:p w14:paraId="46FB7F9E">
            <w:pPr>
              <w:numPr>
                <w:ilvl w:val="0"/>
                <w:numId w:val="0"/>
              </w:numPr>
              <w:adjustRightInd w:val="0"/>
              <w:snapToGrid w:val="0"/>
              <w:spacing w:line="520" w:lineRule="exact"/>
              <w:rPr>
                <w:rFonts w:hint="eastAsia" w:ascii="宋体" w:hAnsi="宋体" w:eastAsia="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六、</w:t>
            </w:r>
            <w:r>
              <w:rPr>
                <w:rFonts w:hint="eastAsia" w:ascii="宋体" w:hAnsi="宋体" w:eastAsia="宋体" w:cs="宋体"/>
                <w:b w:val="0"/>
                <w:bCs w:val="0"/>
                <w:color w:val="auto"/>
                <w:sz w:val="24"/>
                <w:highlight w:val="none"/>
                <w:lang w:val="en-US" w:eastAsia="zh-CN"/>
              </w:rPr>
              <w:t>农民工工资信访管理</w:t>
            </w:r>
          </w:p>
          <w:p w14:paraId="7056C265">
            <w:pPr>
              <w:numPr>
                <w:ilvl w:val="0"/>
                <w:numId w:val="0"/>
              </w:numPr>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1.凡到招标人或区上访，反映问题属实的处以2000元/次违约金，不积极配合的处以2000元/次违约金。滞留时间半个工作日（不足半个工作日以半个工作日计算），按每人每半个工作日5000元的标准处以违约金。</w:t>
            </w:r>
          </w:p>
          <w:p w14:paraId="11750178">
            <w:pPr>
              <w:numPr>
                <w:ilvl w:val="0"/>
                <w:numId w:val="0"/>
              </w:numPr>
              <w:spacing w:line="520" w:lineRule="exact"/>
              <w:ind w:leftChars="0"/>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2.凡赴市上访，反映问题属实的反映问题属实的处以2000元/次违约金，不积极配合的处以2000元/次违约金。滞留时间半个工作日（不足半个工作日以半个工作日计算），按每人每半个工作日10000元的每人每次违约金。</w:t>
            </w:r>
          </w:p>
          <w:p w14:paraId="7A294D45">
            <w:pPr>
              <w:adjustRightInd w:val="0"/>
              <w:snapToGrid w:val="0"/>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3.凡赴省上访，反映问题属实的反映问题属实的处以2000元/次违约金，不积极配合的处以2000元/次违约金。滞留时间半个工作日（不足半个工作日以半个工作日计算），按每人每半个工作日60000元的标准处以违约金。</w:t>
            </w:r>
          </w:p>
          <w:p w14:paraId="2D017D12">
            <w:pPr>
              <w:adjustRightInd w:val="0"/>
              <w:snapToGrid w:val="0"/>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七、滁州市建设领域农民工工资管理办法</w:t>
            </w:r>
          </w:p>
          <w:p w14:paraId="4C0E361F">
            <w:pPr>
              <w:numPr>
                <w:ilvl w:val="0"/>
                <w:numId w:val="0"/>
              </w:numPr>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执行《关于进一步完善工程建设领域农民工工资保证金和农民工工资（劳务费）专户管理制度的实施意见》滁人社发【2019】21号，其中工资保证金和工资专户按照工程项目所在地实行属地化管理，由工程建设项目的施工总承包企业（包括直接承包建设单位发包工程的专业承包企业）缴存和开设。</w:t>
            </w:r>
          </w:p>
          <w:p w14:paraId="6A24B3EC">
            <w:pPr>
              <w:adjustRightInd w:val="0"/>
              <w:snapToGrid w:val="0"/>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2.根据安徽省住房和城乡建设厅建市函[2022]490号关于建立长效机制切实保障建筑行业农民工工资支付工作的通知，严格落实人工费用与其他工程款分账管理的要求，按照合同约定和实际施工进度，按月将人工费用足额拨付至本项目开设的农民工工资专用账户。应将工程进度款的25%直接汇入施工企业开设农民工工资账户。</w:t>
            </w:r>
          </w:p>
          <w:p w14:paraId="27831882">
            <w:pPr>
              <w:adjustRightInd w:val="0"/>
              <w:snapToGrid w:val="0"/>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八、共管账户</w:t>
            </w:r>
          </w:p>
          <w:p w14:paraId="3FF316B4">
            <w:pPr>
              <w:adjustRightInd w:val="0"/>
              <w:snapToGrid w:val="0"/>
              <w:spacing w:line="520" w:lineRule="exact"/>
              <w:rPr>
                <w:rFonts w:hint="eastAsia" w:ascii="宋体" w:hAnsi="宋体" w:eastAsia="宋体" w:cs="宋体"/>
                <w:b w:val="0"/>
                <w:bCs w:val="0"/>
                <w:color w:val="auto"/>
                <w:sz w:val="24"/>
                <w:highlight w:val="none"/>
                <w:lang w:val="en-US" w:eastAsia="zh-CN"/>
              </w:rPr>
            </w:pPr>
            <w:r>
              <w:rPr>
                <w:rFonts w:hint="eastAsia" w:ascii="宋体" w:hAnsi="宋体" w:cs="宋体"/>
                <w:b/>
                <w:bCs/>
                <w:color w:val="auto"/>
                <w:sz w:val="24"/>
                <w:highlight w:val="none"/>
              </w:rPr>
              <w:t xml:space="preserve"> </w:t>
            </w:r>
            <w:r>
              <w:rPr>
                <w:rFonts w:hint="eastAsia" w:ascii="宋体" w:hAnsi="宋体" w:eastAsia="宋体" w:cs="宋体"/>
                <w:b w:val="0"/>
                <w:bCs w:val="0"/>
                <w:color w:val="auto"/>
                <w:sz w:val="24"/>
                <w:highlight w:val="none"/>
                <w:lang w:val="en-US" w:eastAsia="zh-CN"/>
              </w:rPr>
              <w:t>在合同履行过程中，为确保项目资金专款专用，招标人与中标人共同设立共管账户（所在银行必须经招标人认可），本项目所有款项（除农民工工资外）付至共管账户中。中标人须接受并积极配合且共管账户网银复核盾由招标人保管及操作。投标时须提供承诺函（格式见附件），否则按无效标处理。中标后中标人拒绝接受共管账户或不予配合，招标人有权单方终止合同，并处以中标金额*2%作为违约金，从当期工程款中直接扣。</w:t>
            </w:r>
          </w:p>
          <w:p w14:paraId="3AC13C8B">
            <w:pPr>
              <w:numPr>
                <w:ilvl w:val="0"/>
                <w:numId w:val="0"/>
              </w:numPr>
              <w:adjustRightInd w:val="0"/>
              <w:snapToGrid w:val="0"/>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九、约谈制度</w:t>
            </w:r>
          </w:p>
          <w:p w14:paraId="54C23D33">
            <w:pPr>
              <w:spacing w:line="520" w:lineRule="exact"/>
              <w:rPr>
                <w:rFonts w:hint="default"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项目公示期满，下发中标通知书前，中标人必须按照招标人的规定参加项目实施前约谈，中标人</w:t>
            </w:r>
            <w:r>
              <w:rPr>
                <w:rFonts w:hint="eastAsia" w:ascii="宋体" w:hAnsi="宋体" w:cs="宋体"/>
                <w:color w:val="auto"/>
                <w:sz w:val="24"/>
                <w:highlight w:val="none"/>
                <w:lang w:val="en-US" w:eastAsia="zh-CN"/>
              </w:rPr>
              <w:t>(若为联合体，指联合体所有成员）的</w:t>
            </w:r>
            <w:r>
              <w:rPr>
                <w:rFonts w:hint="eastAsia" w:ascii="宋体" w:hAnsi="宋体" w:eastAsia="宋体" w:cs="宋体"/>
                <w:b w:val="0"/>
                <w:bCs w:val="0"/>
                <w:color w:val="auto"/>
                <w:sz w:val="24"/>
                <w:highlight w:val="none"/>
                <w:lang w:val="en-US" w:eastAsia="zh-CN"/>
              </w:rPr>
              <w:t>法定代表人、企业技术负责人以及项目经理必须参加约谈会议。</w:t>
            </w:r>
          </w:p>
          <w:p w14:paraId="0DF5FEC1">
            <w:pPr>
              <w:numPr>
                <w:ilvl w:val="0"/>
                <w:numId w:val="0"/>
              </w:numPr>
              <w:adjustRightInd w:val="0"/>
              <w:snapToGrid w:val="0"/>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注：中标人</w:t>
            </w:r>
            <w:r>
              <w:rPr>
                <w:rFonts w:hint="eastAsia" w:ascii="宋体" w:hAnsi="宋体" w:cs="宋体"/>
                <w:color w:val="auto"/>
                <w:sz w:val="24"/>
                <w:highlight w:val="none"/>
                <w:lang w:val="en-US" w:eastAsia="zh-CN"/>
              </w:rPr>
              <w:t>(若为联合体，指联合体所有成员）</w:t>
            </w:r>
            <w:r>
              <w:rPr>
                <w:rFonts w:hint="eastAsia" w:ascii="宋体" w:hAnsi="宋体" w:eastAsia="宋体" w:cs="宋体"/>
                <w:b w:val="0"/>
                <w:bCs w:val="0"/>
                <w:color w:val="auto"/>
                <w:sz w:val="24"/>
                <w:highlight w:val="none"/>
                <w:lang w:val="en-US" w:eastAsia="zh-CN"/>
              </w:rPr>
              <w:t>的法定代表人参加约谈的，参与会议时须提供有效身份证明和职务任命文件；企业技术负责人参加约谈的，参与会议时须提供授权委托书、有效身份证明和职务任命文件，以及社保部门出具的本单位为其缴纳的养老保险证明（证明文件两个月内有效）。</w:t>
            </w:r>
          </w:p>
          <w:p w14:paraId="0A885A78">
            <w:pPr>
              <w:numPr>
                <w:ilvl w:val="0"/>
                <w:numId w:val="0"/>
              </w:numPr>
              <w:adjustRightInd w:val="0"/>
              <w:snapToGrid w:val="0"/>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十、BIM具体要求</w:t>
            </w:r>
            <w:r>
              <w:rPr>
                <w:rFonts w:hint="eastAsia" w:ascii="宋体" w:hAnsi="宋体" w:cs="宋体"/>
                <w:b/>
                <w:bCs/>
                <w:color w:val="auto"/>
                <w:sz w:val="24"/>
                <w:highlight w:val="none"/>
                <w:lang w:val="en-US" w:eastAsia="zh-CN"/>
              </w:rPr>
              <w:t>（特别提醒：中标后（具体以中标通知书发放时间为准）2个月内完成BIM，并报建设单位确认。若BIM达不到招标人要求，招标人有权委托另外单位进行BIM设计，费用由中标单位承担。）</w:t>
            </w:r>
          </w:p>
          <w:p w14:paraId="1F77EC79">
            <w:pPr>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确定中标人后，中标人施工前应提前做好BIM，此费用包含在投标总价里。施工期间的数字建筑BIM模型和模型信息应及时更新，确保模型处于完善的可用状态。基于施工图和施工图模型，进行机电管线综合，完成管道综合图和结构留洞图。结构留洞图出图标准依据国家规范，且能充分说明结构留洞要求。基于上述终版施工图和施工图模型，完成模型内机电设备材料统计。基于初设模型和施工图模型，可进行三维可视化。</w:t>
            </w:r>
          </w:p>
          <w:p w14:paraId="1BF5AD82">
            <w:pPr>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施工图模型在施工阶段，应依据工程变更文件和图纸、专业深化设计文件和图纸，进行同步更新；同时，应随着工程的实际进展，完善模型中在施工图模型中尚未精确完善的信息。更新频率应根据工作实际情况进行调整，以保证模型在使用时为更新后的最新模型。</w:t>
            </w:r>
          </w:p>
          <w:p w14:paraId="5CD29F15">
            <w:pPr>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 xml:space="preserve"> BIM成果整理归档完成并移交发包人。BIM竣工图文件包括但不限于：完成施工合同内容，竣工验收前完成与工程实体一致的BIM竣工模型文件。BIM竣工文件要反映分部分项及所属材料、构配件、设备的功能及使用说明。</w:t>
            </w:r>
          </w:p>
          <w:p w14:paraId="7EBD79E2">
            <w:pPr>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1.结构专业建模：要求梁、板、桩的截面尺寸与定位尺寸须与图纸一致；管廊内梁底标高需要与设计要求一致，BIM 做出管线穿梁的节点。</w:t>
            </w:r>
          </w:p>
          <w:p w14:paraId="3C254BBA">
            <w:pPr>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①在 Revit 中创建结构构件时不能勾选分析模型，降低模型文件占用的内存。</w:t>
            </w:r>
          </w:p>
          <w:p w14:paraId="7AE788EF">
            <w:pPr>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②结构段上的预留洞口等构件应在结构模型上绘制。</w:t>
            </w:r>
          </w:p>
          <w:p w14:paraId="7A457DFA">
            <w:pPr>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③结构构件的材质须与图纸一致。</w:t>
            </w:r>
          </w:p>
          <w:p w14:paraId="77FF37BE">
            <w:pPr>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④在Revit文件中，施工过程中涉及需要区分构件属性信息(包括材质、施工时间、分部分项等)的两个或两个以上实体构件，不得以嵌套族、组等形式存在，应分开独立建模和进行属性赋予。</w:t>
            </w:r>
          </w:p>
          <w:p w14:paraId="35321A28">
            <w:pPr>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⑤为保证模型的后续应用管理，建模人员应保证不得出现构件流水段信息或相关类别划分属性信息缺失的情况。</w:t>
            </w:r>
          </w:p>
          <w:p w14:paraId="65E59AA5">
            <w:pPr>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⑥要求梁、板、桩等构件的截面尺寸与定位尺寸须与图纸一致。</w:t>
            </w:r>
          </w:p>
          <w:p w14:paraId="6357E7A6">
            <w:pPr>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⑦主体模型中不得出现临时构件，例如塔吊、临时支撑等。</w:t>
            </w:r>
          </w:p>
          <w:p w14:paraId="4DF7E2EF">
            <w:pPr>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（2）给排水专业建模要求：各系统的命名须与图纸保持一致；一些需要增加坡度的水管须按图纸要求建出坡度；系统中的各类阀门须按图纸中的位置加入；有保温层的管线，须建出保温层。</w:t>
            </w:r>
          </w:p>
          <w:p w14:paraId="25E984CE">
            <w:pPr>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①严格按照本标准划分给排水系统及系统材质颜色。保证给排水模型在 Revit中以着色状态下显示时颜色与本标准要求的颜色一致。</w:t>
            </w:r>
          </w:p>
          <w:p w14:paraId="38C33C02">
            <w:pPr>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②对于不能通过原有参数设置系统的管件、管道附件、设备等通过新建项目参数的方式增添“系统信息”实例属性，不能通过注释或标记添加该信息。若管件、管道附件、设备等构件所连接的管道属于同一系统，则该构件的系统与所连管道的系统一致，所该构件所连接的管道系统多于一种，则该构件的系统信息栏中填写给排水设备。</w:t>
            </w:r>
          </w:p>
          <w:p w14:paraId="4683F254">
            <w:pPr>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③每一个构件只能有唯一一个系统信息，且严禁出现构件系统信息或其他属性信息缺失的情况。</w:t>
            </w:r>
          </w:p>
          <w:p w14:paraId="208507BB">
            <w:pPr>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④一些需要增加坡度的管道须按图纸要求建出坡度;系统中的各类管道附件及设备须按图纸中的位置加入;有保温层的管道，须建出保温层，并将保温层作为单独管理项。</w:t>
            </w:r>
          </w:p>
          <w:p w14:paraId="06287D54">
            <w:pPr>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⑤阀门、设备等的族类型必须是管道附件、机械设备等，不能是常规模型。</w:t>
            </w:r>
          </w:p>
          <w:p w14:paraId="017C81BC">
            <w:pPr>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（3）电气专业：要求各系统名称须与图纸一致。</w:t>
            </w:r>
          </w:p>
          <w:p w14:paraId="187CCC40">
            <w:pPr>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①电气设备、电缆桥架、电缆桥架配件的尺寸、位置必须与图纸一致。</w:t>
            </w:r>
          </w:p>
          <w:p w14:paraId="19714D39">
            <w:pPr>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②严格按照本标准划分电气专业系统分类，并赋予系统对应材质颜色。保证专业 BIM 模型在Revit中以着色状态下显示时颜色与本标准要求的颜色一致。</w:t>
            </w:r>
          </w:p>
          <w:p w14:paraId="10CEA714">
            <w:pPr>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③对于不能通过原有参数设置系统的电气设备、电缆桥架配件等通过新建项目参数的方式增添系统信息，不能通过注释或标记添加该信息。若电气设备、电缆桥架配件等构件所连接的电缆桥架属于同一系统，则该构件的系统与所连管道的系统一致，该构件所连接的管道系统多于一种，则该构件的系统信息栏中填写强电(弱电)设备。</w:t>
            </w:r>
          </w:p>
          <w:p w14:paraId="09CC6E1B">
            <w:pPr>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④每一个构件只能有唯一一个系统信息，且严禁出现构件系统信息或其他属性信息缺失的情况。</w:t>
            </w:r>
          </w:p>
          <w:p w14:paraId="66683C72">
            <w:pPr>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⑤电气专业BIM模型中不应出现其它专业的 BIM 模型和临时模型。</w:t>
            </w:r>
          </w:p>
          <w:p w14:paraId="3E63CC84">
            <w:pPr>
              <w:spacing w:line="520" w:lineRule="exact"/>
              <w:rPr>
                <w:rFonts w:hint="eastAsia"/>
                <w:color w:val="auto"/>
                <w:highlight w:val="none"/>
              </w:rPr>
            </w:pPr>
            <w:r>
              <w:rPr>
                <w:rFonts w:hint="eastAsia" w:ascii="宋体" w:hAnsi="宋体" w:eastAsia="宋体" w:cs="宋体"/>
                <w:b w:val="0"/>
                <w:bCs w:val="0"/>
                <w:color w:val="auto"/>
                <w:sz w:val="24"/>
                <w:highlight w:val="none"/>
                <w:lang w:val="en-US" w:eastAsia="zh-CN"/>
              </w:rPr>
              <w:t xml:space="preserve">⑥电气设备、电缆桥架配件等的族类型必须设定为电气设备、电缆桥架配件等，不能归于“常规模型”选项。 </w:t>
            </w:r>
          </w:p>
        </w:tc>
      </w:tr>
      <w:tr w14:paraId="369A91EF">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184054C2">
            <w:pPr>
              <w:adjustRightInd w:val="0"/>
              <w:snapToGrid w:val="0"/>
              <w:spacing w:line="560" w:lineRule="exact"/>
              <w:jc w:val="center"/>
              <w:rPr>
                <w:rFonts w:hint="default" w:ascii="宋体" w:hAnsi="宋体" w:eastAsia="宋体" w:cs="宋体"/>
                <w:color w:val="auto"/>
                <w:sz w:val="24"/>
                <w:highlight w:val="none"/>
                <w:lang w:val="en-US" w:eastAsia="zh-CN"/>
              </w:rPr>
            </w:pPr>
            <w:bookmarkStart w:id="47" w:name="_Toc95223335"/>
            <w:bookmarkStart w:id="48" w:name="_Toc283798422"/>
            <w:bookmarkStart w:id="49" w:name="_Toc25869"/>
            <w:bookmarkStart w:id="50" w:name="_Toc38879323"/>
            <w:r>
              <w:rPr>
                <w:rFonts w:hint="eastAsia" w:ascii="宋体" w:hAnsi="宋体" w:cs="宋体"/>
                <w:color w:val="auto"/>
                <w:sz w:val="24"/>
                <w:highlight w:val="none"/>
                <w:lang w:val="en-US" w:eastAsia="zh-CN"/>
              </w:rPr>
              <w:t>10.15</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31C0E954">
            <w:pPr>
              <w:adjustRightInd w:val="0"/>
              <w:snapToGrid w:val="0"/>
              <w:spacing w:line="560" w:lineRule="exact"/>
              <w:jc w:val="center"/>
              <w:rPr>
                <w:rFonts w:hint="eastAsia" w:ascii="宋体" w:hAnsi="宋体" w:cs="宋体"/>
                <w:color w:val="auto"/>
                <w:sz w:val="24"/>
                <w:highlight w:val="none"/>
              </w:rPr>
            </w:pPr>
            <w:r>
              <w:rPr>
                <w:rFonts w:hint="eastAsia" w:ascii="宋体" w:hAnsi="宋体" w:cs="宋体"/>
                <w:color w:val="auto"/>
                <w:sz w:val="24"/>
                <w:highlight w:val="none"/>
                <w:lang w:val="en-US" w:eastAsia="zh-CN"/>
              </w:rPr>
              <w:t>评定分离</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40BABA5D">
            <w:pPr>
              <w:adjustRightInd w:val="0"/>
              <w:snapToGrid w:val="0"/>
              <w:spacing w:line="520" w:lineRule="exact"/>
              <w:rPr>
                <w:rFonts w:ascii="宋体" w:hAnsi="宋体" w:eastAsia="宋体" w:cs="宋体"/>
                <w:color w:val="auto"/>
                <w:sz w:val="24"/>
                <w:highlight w:val="none"/>
              </w:rPr>
            </w:pPr>
            <w:r>
              <w:rPr>
                <w:rFonts w:hint="eastAsia" w:ascii="宋体" w:hAnsi="宋体" w:eastAsia="宋体" w:cs="宋体"/>
                <w:color w:val="auto"/>
                <w:sz w:val="24"/>
                <w:highlight w:val="none"/>
              </w:rPr>
              <w:t>“评定分离”是指将评标和定标分为两个环节。评标委员会根据招标文件规定的评标标准和方法对投标文件进行</w:t>
            </w:r>
            <w:r>
              <w:rPr>
                <w:rFonts w:hint="eastAsia" w:ascii="宋体" w:hAnsi="宋体" w:cs="宋体"/>
                <w:color w:val="auto"/>
                <w:sz w:val="24"/>
                <w:highlight w:val="none"/>
              </w:rPr>
              <w:t>综合</w:t>
            </w:r>
            <w:r>
              <w:rPr>
                <w:rFonts w:hint="eastAsia" w:ascii="宋体" w:hAnsi="宋体" w:eastAsia="宋体" w:cs="宋体"/>
                <w:color w:val="auto"/>
                <w:sz w:val="24"/>
                <w:highlight w:val="none"/>
              </w:rPr>
              <w:t>评审后，向招标人推荐一定数量的中标候选人，再由招标人组建的定标委员以招标文件规定的定标方法确定中标人。</w:t>
            </w:r>
          </w:p>
          <w:p w14:paraId="2FAE4233">
            <w:pPr>
              <w:adjustRightInd w:val="0"/>
              <w:snapToGrid w:val="0"/>
              <w:spacing w:line="520" w:lineRule="exact"/>
              <w:rPr>
                <w:rFonts w:hint="eastAsia" w:ascii="宋体" w:hAnsi="宋体" w:eastAsia="宋体" w:cs="宋体"/>
                <w:b/>
                <w:bCs/>
                <w:color w:val="auto"/>
                <w:sz w:val="24"/>
                <w:highlight w:val="none"/>
                <w:lang w:val="en-US" w:eastAsia="zh-CN"/>
              </w:rPr>
            </w:pPr>
            <w:r>
              <w:rPr>
                <w:rFonts w:hint="eastAsia" w:ascii="宋体" w:hAnsi="宋体" w:cs="宋体"/>
                <w:b/>
                <w:bCs/>
                <w:color w:val="auto"/>
                <w:sz w:val="24"/>
                <w:highlight w:val="none"/>
                <w:lang w:val="en-US" w:eastAsia="zh-CN"/>
              </w:rPr>
              <w:t>一、组建定标委员会</w:t>
            </w:r>
          </w:p>
          <w:p w14:paraId="5E0DDF2C">
            <w:pPr>
              <w:adjustRightInd w:val="0"/>
              <w:snapToGrid w:val="0"/>
              <w:spacing w:line="520" w:lineRule="exact"/>
              <w:rPr>
                <w:rFonts w:hint="eastAsia" w:ascii="宋体" w:hAnsi="宋体" w:eastAsia="宋体" w:cs="宋体"/>
                <w:color w:val="auto"/>
                <w:sz w:val="24"/>
                <w:highlight w:val="yellow"/>
              </w:rPr>
            </w:pPr>
            <w:r>
              <w:rPr>
                <w:rFonts w:hint="eastAsia" w:ascii="宋体" w:hAnsi="宋体" w:eastAsia="宋体" w:cs="宋体"/>
                <w:color w:val="auto"/>
                <w:sz w:val="24"/>
                <w:highlight w:val="none"/>
                <w:lang w:val="en-US" w:eastAsia="zh-CN"/>
              </w:rPr>
              <w:t>(一）</w:t>
            </w:r>
            <w:r>
              <w:rPr>
                <w:rFonts w:hint="eastAsia" w:ascii="宋体" w:hAnsi="宋体" w:eastAsia="宋体" w:cs="宋体"/>
                <w:color w:val="auto"/>
                <w:sz w:val="24"/>
                <w:highlight w:val="none"/>
              </w:rPr>
              <w:t>定标委员会由招标人负责组建，成员数量为5人及以上单数。定标委员会设主任一名，</w:t>
            </w:r>
            <w:r>
              <w:rPr>
                <w:rFonts w:hint="eastAsia" w:ascii="宋体" w:hAnsi="宋体" w:cs="宋体"/>
                <w:color w:val="auto"/>
                <w:sz w:val="24"/>
                <w:highlight w:val="none"/>
                <w:lang w:val="en-US" w:eastAsia="zh-CN"/>
              </w:rPr>
              <w:t>定标委员会主任由定标委员会成员民主推荐产生。</w:t>
            </w:r>
          </w:p>
          <w:p w14:paraId="1C0D21E7">
            <w:pPr>
              <w:keepNext w:val="0"/>
              <w:keepLines w:val="0"/>
              <w:pageBreakBefore w:val="0"/>
              <w:kinsoku/>
              <w:wordWrap/>
              <w:overflowPunct/>
              <w:topLinePunct w:val="0"/>
              <w:autoSpaceDE/>
              <w:autoSpaceDN/>
              <w:bidi w:val="0"/>
              <w:adjustRightInd w:val="0"/>
              <w:snapToGrid w:val="0"/>
              <w:spacing w:line="520" w:lineRule="exac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二）</w:t>
            </w:r>
            <w:r>
              <w:rPr>
                <w:rFonts w:hint="eastAsia" w:ascii="宋体" w:hAnsi="宋体" w:eastAsia="宋体" w:cs="宋体"/>
                <w:color w:val="auto"/>
                <w:sz w:val="24"/>
                <w:highlight w:val="none"/>
              </w:rPr>
              <w:t>定标委员会成员与中标候选人有利害关系的，应当主动回避。</w:t>
            </w:r>
            <w:r>
              <w:rPr>
                <w:rFonts w:hint="eastAsia" w:ascii="宋体" w:hAnsi="宋体" w:cs="宋体"/>
                <w:b/>
                <w:bCs/>
                <w:color w:val="auto"/>
                <w:sz w:val="24"/>
                <w:highlight w:val="none"/>
                <w:lang w:val="en-US" w:eastAsia="zh-CN"/>
              </w:rPr>
              <w:t>二</w:t>
            </w:r>
            <w:r>
              <w:rPr>
                <w:rFonts w:hint="eastAsia" w:ascii="宋体" w:hAnsi="宋体" w:eastAsia="宋体" w:cs="宋体"/>
                <w:b/>
                <w:bCs/>
                <w:color w:val="auto"/>
                <w:sz w:val="24"/>
                <w:highlight w:val="none"/>
                <w:lang w:val="en-US" w:eastAsia="zh-CN"/>
              </w:rPr>
              <w:t>、定标方法：</w:t>
            </w:r>
          </w:p>
          <w:p w14:paraId="5D61AC26">
            <w:pPr>
              <w:keepNext w:val="0"/>
              <w:keepLines w:val="0"/>
              <w:pageBreakBefore w:val="0"/>
              <w:kinsoku/>
              <w:wordWrap/>
              <w:overflowPunct/>
              <w:topLinePunct w:val="0"/>
              <w:autoSpaceDE/>
              <w:autoSpaceDN/>
              <w:bidi w:val="0"/>
              <w:adjustRightInd w:val="0"/>
              <w:snapToGrid w:val="0"/>
              <w:spacing w:line="52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一）本项目定标阶段采用综合定标法确定中标人。综合定标法是指由定标委员会结合定标因素，制定综合定标评分细则，对中标候选人进行综合评分，按照定标得分由高到低排名，最终择优确定中标人。为公平、公正的开展本项目招标工作，结合实际情况，本项目定标评分细则如下：</w:t>
            </w:r>
          </w:p>
          <w:p w14:paraId="10EDD474">
            <w:pPr>
              <w:keepNext w:val="0"/>
              <w:keepLines w:val="0"/>
              <w:pageBreakBefore w:val="0"/>
              <w:kinsoku/>
              <w:wordWrap/>
              <w:overflowPunct/>
              <w:topLinePunct w:val="0"/>
              <w:autoSpaceDE/>
              <w:autoSpaceDN/>
              <w:bidi w:val="0"/>
              <w:adjustRightInd w:val="0"/>
              <w:snapToGrid w:val="0"/>
              <w:spacing w:line="520" w:lineRule="exact"/>
              <w:textAlignment w:val="auto"/>
              <w:rPr>
                <w:rFonts w:hint="default"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1.定标因素1-投标报价：此项总分值为5分。</w:t>
            </w:r>
            <w:r>
              <w:rPr>
                <w:rFonts w:hint="eastAsia" w:ascii="宋体" w:hAnsi="宋体" w:cs="宋体"/>
                <w:b w:val="0"/>
                <w:bCs w:val="0"/>
                <w:color w:val="auto"/>
                <w:sz w:val="24"/>
                <w:highlight w:val="none"/>
                <w:lang w:val="en-US" w:eastAsia="zh-CN"/>
              </w:rPr>
              <w:t>得分最高得5分，次低得4分，最低得3分。具体得分计算过程如下：</w:t>
            </w:r>
          </w:p>
          <w:p w14:paraId="547197B3">
            <w:pPr>
              <w:keepNext w:val="0"/>
              <w:keepLines w:val="0"/>
              <w:pageBreakBefore w:val="0"/>
              <w:kinsoku/>
              <w:wordWrap/>
              <w:overflowPunct/>
              <w:topLinePunct w:val="0"/>
              <w:autoSpaceDE/>
              <w:autoSpaceDN/>
              <w:bidi w:val="0"/>
              <w:adjustRightInd w:val="0"/>
              <w:snapToGrid w:val="0"/>
              <w:spacing w:line="52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a.</w:t>
            </w:r>
            <w:r>
              <w:rPr>
                <w:rFonts w:hint="eastAsia" w:ascii="宋体" w:hAnsi="宋体" w:eastAsia="宋体" w:cs="宋体"/>
                <w:b w:val="0"/>
                <w:bCs w:val="0"/>
                <w:color w:val="auto"/>
                <w:sz w:val="24"/>
                <w:highlight w:val="none"/>
                <w:lang w:val="en-US" w:eastAsia="zh-CN"/>
              </w:rPr>
              <w:t>以进入定标阶段的所有中标候选人投标报价的平均值作为定标基准价。</w:t>
            </w:r>
          </w:p>
          <w:p w14:paraId="3523B1A3">
            <w:pPr>
              <w:keepNext w:val="0"/>
              <w:keepLines w:val="0"/>
              <w:pageBreakBefore w:val="0"/>
              <w:kinsoku/>
              <w:wordWrap/>
              <w:overflowPunct/>
              <w:topLinePunct w:val="0"/>
              <w:autoSpaceDE/>
              <w:autoSpaceDN/>
              <w:bidi w:val="0"/>
              <w:adjustRightInd w:val="0"/>
              <w:snapToGrid w:val="0"/>
              <w:spacing w:line="520" w:lineRule="exact"/>
              <w:textAlignment w:val="auto"/>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b计算报价偏差率。</w:t>
            </w:r>
          </w:p>
          <w:p w14:paraId="3FFAB769">
            <w:pPr>
              <w:keepNext w:val="0"/>
              <w:keepLines w:val="0"/>
              <w:pageBreakBefore w:val="0"/>
              <w:kinsoku/>
              <w:wordWrap/>
              <w:overflowPunct/>
              <w:topLinePunct w:val="0"/>
              <w:autoSpaceDE/>
              <w:autoSpaceDN/>
              <w:bidi w:val="0"/>
              <w:adjustRightInd w:val="0"/>
              <w:snapToGrid w:val="0"/>
              <w:spacing w:line="520" w:lineRule="exact"/>
              <w:textAlignment w:val="auto"/>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①偏差率=|（投标报价-定标基准价）/评标基准价|×100%</w:t>
            </w:r>
          </w:p>
          <w:p w14:paraId="235BD42D">
            <w:pPr>
              <w:keepNext w:val="0"/>
              <w:keepLines w:val="0"/>
              <w:pageBreakBefore w:val="0"/>
              <w:kinsoku/>
              <w:wordWrap/>
              <w:overflowPunct/>
              <w:topLinePunct w:val="0"/>
              <w:autoSpaceDE/>
              <w:autoSpaceDN/>
              <w:bidi w:val="0"/>
              <w:adjustRightInd w:val="0"/>
              <w:snapToGrid w:val="0"/>
              <w:spacing w:line="520" w:lineRule="exact"/>
              <w:textAlignment w:val="auto"/>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c计算报价得分</w:t>
            </w:r>
          </w:p>
          <w:p w14:paraId="56A39302">
            <w:pPr>
              <w:keepNext w:val="0"/>
              <w:keepLines w:val="0"/>
              <w:pageBreakBefore w:val="0"/>
              <w:kinsoku/>
              <w:wordWrap/>
              <w:overflowPunct/>
              <w:topLinePunct w:val="0"/>
              <w:autoSpaceDE/>
              <w:autoSpaceDN/>
              <w:bidi w:val="0"/>
              <w:adjustRightInd w:val="0"/>
              <w:snapToGrid w:val="0"/>
              <w:spacing w:line="520" w:lineRule="exact"/>
              <w:textAlignment w:val="auto"/>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①投标报价等于定标基准价的得满分（100分）。</w:t>
            </w:r>
          </w:p>
          <w:p w14:paraId="57127BBB">
            <w:pPr>
              <w:keepNext w:val="0"/>
              <w:keepLines w:val="0"/>
              <w:pageBreakBefore w:val="0"/>
              <w:kinsoku/>
              <w:wordWrap/>
              <w:overflowPunct/>
              <w:topLinePunct w:val="0"/>
              <w:autoSpaceDE/>
              <w:autoSpaceDN/>
              <w:bidi w:val="0"/>
              <w:adjustRightInd w:val="0"/>
              <w:snapToGrid w:val="0"/>
              <w:spacing w:line="520" w:lineRule="exact"/>
              <w:textAlignment w:val="auto"/>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②投标报价高于定标基准价的，投标报价得分=报价满分值（100分）-偏差率×100×1</w:t>
            </w:r>
          </w:p>
          <w:p w14:paraId="70B4381E">
            <w:pPr>
              <w:keepNext w:val="0"/>
              <w:keepLines w:val="0"/>
              <w:pageBreakBefore w:val="0"/>
              <w:kinsoku/>
              <w:wordWrap/>
              <w:overflowPunct/>
              <w:topLinePunct w:val="0"/>
              <w:autoSpaceDE/>
              <w:autoSpaceDN/>
              <w:bidi w:val="0"/>
              <w:adjustRightInd w:val="0"/>
              <w:snapToGrid w:val="0"/>
              <w:spacing w:line="520" w:lineRule="exact"/>
              <w:textAlignment w:val="auto"/>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③投标报价低于定标基准价的，投标报价得分=报价满分值（100分）-偏差率×100×0.5</w:t>
            </w:r>
          </w:p>
          <w:p w14:paraId="5C54FC23">
            <w:pPr>
              <w:keepNext w:val="0"/>
              <w:keepLines w:val="0"/>
              <w:pageBreakBefore w:val="0"/>
              <w:kinsoku/>
              <w:wordWrap/>
              <w:overflowPunct/>
              <w:topLinePunct w:val="0"/>
              <w:autoSpaceDE/>
              <w:autoSpaceDN/>
              <w:bidi w:val="0"/>
              <w:adjustRightInd w:val="0"/>
              <w:snapToGrid w:val="0"/>
              <w:spacing w:line="52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2.定标因素2-企业实力：此项总分值为5分。主要包括企业综合施工能力等</w:t>
            </w:r>
            <w:r>
              <w:rPr>
                <w:rFonts w:hint="eastAsia" w:ascii="宋体" w:hAnsi="宋体" w:cs="宋体"/>
                <w:b w:val="0"/>
                <w:bCs w:val="0"/>
                <w:color w:val="auto"/>
                <w:sz w:val="24"/>
                <w:highlight w:val="none"/>
                <w:lang w:val="en-US" w:eastAsia="zh-CN"/>
              </w:rPr>
              <w:t>，投标人根据企业自身情况，提供相关证明材料。最优</w:t>
            </w:r>
            <w:r>
              <w:rPr>
                <w:rFonts w:hint="eastAsia" w:ascii="宋体" w:hAnsi="宋体" w:eastAsia="宋体" w:cs="宋体"/>
                <w:b w:val="0"/>
                <w:bCs w:val="0"/>
                <w:color w:val="auto"/>
                <w:sz w:val="24"/>
                <w:highlight w:val="none"/>
                <w:lang w:val="en-US" w:eastAsia="zh-CN"/>
              </w:rPr>
              <w:t>得5分，其次得4分，</w:t>
            </w:r>
            <w:r>
              <w:rPr>
                <w:rFonts w:hint="eastAsia" w:ascii="宋体" w:hAnsi="宋体" w:cs="宋体"/>
                <w:b w:val="0"/>
                <w:bCs w:val="0"/>
                <w:color w:val="auto"/>
                <w:sz w:val="24"/>
                <w:highlight w:val="none"/>
                <w:lang w:val="en-US" w:eastAsia="zh-CN"/>
              </w:rPr>
              <w:t>一般</w:t>
            </w:r>
            <w:r>
              <w:rPr>
                <w:rFonts w:hint="eastAsia" w:ascii="宋体" w:hAnsi="宋体" w:eastAsia="宋体" w:cs="宋体"/>
                <w:b w:val="0"/>
                <w:bCs w:val="0"/>
                <w:color w:val="auto"/>
                <w:sz w:val="24"/>
                <w:highlight w:val="none"/>
                <w:lang w:val="en-US" w:eastAsia="zh-CN"/>
              </w:rPr>
              <w:t xml:space="preserve">得3分，未提供的此项不得分。  </w:t>
            </w:r>
          </w:p>
          <w:p w14:paraId="1FAA51B8">
            <w:pPr>
              <w:keepNext w:val="0"/>
              <w:keepLines w:val="0"/>
              <w:pageBreakBefore w:val="0"/>
              <w:kinsoku/>
              <w:wordWrap/>
              <w:overflowPunct/>
              <w:topLinePunct w:val="0"/>
              <w:autoSpaceDE/>
              <w:autoSpaceDN/>
              <w:bidi w:val="0"/>
              <w:adjustRightInd w:val="0"/>
              <w:snapToGrid w:val="0"/>
              <w:spacing w:line="520" w:lineRule="exac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val="0"/>
                <w:bCs w:val="0"/>
                <w:color w:val="auto"/>
                <w:sz w:val="24"/>
                <w:highlight w:val="none"/>
                <w:lang w:val="en-US" w:eastAsia="zh-CN"/>
              </w:rPr>
              <w:t>3.定标因素3-项目团队技术能力与履约水平【①人员配备情况；②项目经理A岗、项目经理B岗、项目技术负责人（联合体牵头方）、项目技术负责人（联合体成员方）（如有）的业绩】：此项总分值为5分。</w:t>
            </w:r>
            <w:r>
              <w:rPr>
                <w:rFonts w:hint="eastAsia" w:ascii="宋体" w:hAnsi="宋体" w:cs="宋体"/>
                <w:b w:val="0"/>
                <w:bCs w:val="0"/>
                <w:color w:val="auto"/>
                <w:sz w:val="24"/>
                <w:highlight w:val="none"/>
                <w:lang w:val="en-US" w:eastAsia="zh-CN"/>
              </w:rPr>
              <w:t>优</w:t>
            </w:r>
            <w:r>
              <w:rPr>
                <w:rFonts w:hint="eastAsia" w:ascii="宋体" w:hAnsi="宋体" w:eastAsia="宋体" w:cs="宋体"/>
                <w:b w:val="0"/>
                <w:bCs w:val="0"/>
                <w:color w:val="auto"/>
                <w:sz w:val="24"/>
                <w:highlight w:val="none"/>
                <w:lang w:val="en-US" w:eastAsia="zh-CN"/>
              </w:rPr>
              <w:t>得5分，良好得4分，一般得3分，未提供的此项不得分。</w:t>
            </w:r>
            <w:r>
              <w:rPr>
                <w:rFonts w:hint="eastAsia" w:ascii="宋体" w:hAnsi="宋体" w:eastAsia="宋体" w:cs="宋体"/>
                <w:b/>
                <w:bCs/>
                <w:color w:val="auto"/>
                <w:sz w:val="24"/>
                <w:highlight w:val="none"/>
                <w:lang w:val="en-US" w:eastAsia="zh-CN"/>
              </w:rPr>
              <w:t>（注：联合体牵头方须派项目技术负责人，联合体成员方可结合本项目及企业自身实力综合考虑是否派项目技术负责人。）</w:t>
            </w:r>
          </w:p>
          <w:p w14:paraId="13A6D299">
            <w:pPr>
              <w:keepNext w:val="0"/>
              <w:keepLines w:val="0"/>
              <w:pageBreakBefore w:val="0"/>
              <w:kinsoku/>
              <w:wordWrap/>
              <w:overflowPunct/>
              <w:topLinePunct w:val="0"/>
              <w:autoSpaceDE/>
              <w:autoSpaceDN/>
              <w:bidi w:val="0"/>
              <w:adjustRightInd w:val="0"/>
              <w:snapToGrid w:val="0"/>
              <w:spacing w:line="52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4.定标因素4-新技术、新工艺、新材料、新设备的运用情况：此项总分值为5分。中标候选人需结合本项目实际情况，提供拟用于本项目新技术、新工艺、新材料、新设备相关材料。</w:t>
            </w:r>
            <w:r>
              <w:rPr>
                <w:rFonts w:hint="eastAsia" w:ascii="宋体" w:hAnsi="宋体" w:cs="宋体"/>
                <w:b w:val="0"/>
                <w:bCs w:val="0"/>
                <w:color w:val="auto"/>
                <w:sz w:val="24"/>
                <w:highlight w:val="none"/>
                <w:lang w:val="en-US" w:eastAsia="zh-CN"/>
              </w:rPr>
              <w:t>最优</w:t>
            </w:r>
            <w:r>
              <w:rPr>
                <w:rFonts w:hint="eastAsia" w:ascii="宋体" w:hAnsi="宋体" w:eastAsia="宋体" w:cs="宋体"/>
                <w:b w:val="0"/>
                <w:bCs w:val="0"/>
                <w:color w:val="auto"/>
                <w:sz w:val="24"/>
                <w:highlight w:val="none"/>
                <w:lang w:val="en-US" w:eastAsia="zh-CN"/>
              </w:rPr>
              <w:t>得5分，其次得4分，最少者得3分，未提供的此项不得分。</w:t>
            </w:r>
          </w:p>
          <w:p w14:paraId="4DD9D29E">
            <w:pPr>
              <w:keepNext w:val="0"/>
              <w:keepLines w:val="0"/>
              <w:pageBreakBefore w:val="0"/>
              <w:kinsoku/>
              <w:wordWrap/>
              <w:overflowPunct/>
              <w:topLinePunct w:val="0"/>
              <w:autoSpaceDE/>
              <w:autoSpaceDN/>
              <w:bidi w:val="0"/>
              <w:adjustRightInd w:val="0"/>
              <w:snapToGrid w:val="0"/>
              <w:spacing w:line="520" w:lineRule="exact"/>
              <w:textAlignment w:val="auto"/>
              <w:rPr>
                <w:rFonts w:hint="default"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5.定标因素5-本项目重难点问题的解决方案：此项总分值为5分。对项目的重难点问题进行分析、解决，分析合理、有依据。</w:t>
            </w:r>
            <w:r>
              <w:rPr>
                <w:rFonts w:hint="eastAsia" w:ascii="宋体" w:hAnsi="宋体" w:cs="宋体"/>
                <w:b w:val="0"/>
                <w:bCs w:val="0"/>
                <w:color w:val="auto"/>
                <w:sz w:val="24"/>
                <w:highlight w:val="none"/>
                <w:lang w:val="en-US" w:eastAsia="zh-CN"/>
              </w:rPr>
              <w:t>最</w:t>
            </w:r>
            <w:r>
              <w:rPr>
                <w:rFonts w:hint="eastAsia" w:ascii="宋体" w:hAnsi="宋体" w:eastAsia="宋体" w:cs="宋体"/>
                <w:b w:val="0"/>
                <w:bCs w:val="0"/>
                <w:color w:val="auto"/>
                <w:sz w:val="24"/>
                <w:highlight w:val="none"/>
                <w:lang w:val="en-US" w:eastAsia="zh-CN"/>
              </w:rPr>
              <w:t>优得5分，</w:t>
            </w:r>
            <w:r>
              <w:rPr>
                <w:rFonts w:hint="eastAsia" w:ascii="宋体" w:hAnsi="宋体" w:cs="宋体"/>
                <w:b w:val="0"/>
                <w:bCs w:val="0"/>
                <w:color w:val="auto"/>
                <w:sz w:val="24"/>
                <w:highlight w:val="none"/>
                <w:lang w:val="en-US" w:eastAsia="zh-CN"/>
              </w:rPr>
              <w:t>其次</w:t>
            </w:r>
            <w:r>
              <w:rPr>
                <w:rFonts w:hint="eastAsia" w:ascii="宋体" w:hAnsi="宋体" w:eastAsia="宋体" w:cs="宋体"/>
                <w:b w:val="0"/>
                <w:bCs w:val="0"/>
                <w:color w:val="auto"/>
                <w:sz w:val="24"/>
                <w:highlight w:val="none"/>
                <w:lang w:val="en-US" w:eastAsia="zh-CN"/>
              </w:rPr>
              <w:t>得4分，一般得3分，未提供的此项不得分。</w:t>
            </w:r>
          </w:p>
          <w:p w14:paraId="3DEFDAE7">
            <w:pPr>
              <w:keepNext w:val="0"/>
              <w:keepLines w:val="0"/>
              <w:pageBreakBefore w:val="0"/>
              <w:kinsoku/>
              <w:wordWrap/>
              <w:overflowPunct/>
              <w:topLinePunct w:val="0"/>
              <w:autoSpaceDE/>
              <w:autoSpaceDN/>
              <w:bidi w:val="0"/>
              <w:adjustRightInd w:val="0"/>
              <w:snapToGrid w:val="0"/>
              <w:spacing w:line="520" w:lineRule="exact"/>
              <w:textAlignment w:val="auto"/>
              <w:rPr>
                <w:rFonts w:hint="default"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6.定标因素6-</w:t>
            </w:r>
            <w:r>
              <w:rPr>
                <w:rFonts w:hint="default" w:ascii="宋体" w:hAnsi="宋体" w:eastAsia="宋体" w:cs="宋体"/>
                <w:b w:val="0"/>
                <w:bCs w:val="0"/>
                <w:color w:val="auto"/>
                <w:sz w:val="24"/>
                <w:highlight w:val="none"/>
                <w:lang w:val="en-US" w:eastAsia="zh-CN"/>
              </w:rPr>
              <w:t>扶持中小企业发展：此项总分值为5分，中标候选人可根据相关文件要求提供扶持中小企业发展政策落实情况证明材料，政策落实情况最优得5分，其次得4分，</w:t>
            </w:r>
            <w:r>
              <w:rPr>
                <w:rFonts w:hint="eastAsia" w:ascii="宋体" w:hAnsi="宋体" w:cs="宋体"/>
                <w:b w:val="0"/>
                <w:bCs w:val="0"/>
                <w:color w:val="auto"/>
                <w:sz w:val="24"/>
                <w:highlight w:val="none"/>
                <w:lang w:val="en-US" w:eastAsia="zh-CN"/>
              </w:rPr>
              <w:t>一般</w:t>
            </w:r>
            <w:r>
              <w:rPr>
                <w:rFonts w:hint="eastAsia" w:ascii="宋体" w:hAnsi="宋体" w:eastAsia="宋体" w:cs="宋体"/>
                <w:b w:val="0"/>
                <w:bCs w:val="0"/>
                <w:color w:val="auto"/>
                <w:sz w:val="24"/>
                <w:highlight w:val="none"/>
                <w:lang w:val="en-US" w:eastAsia="zh-CN"/>
              </w:rPr>
              <w:t>得3分，未提供的此项不得分。</w:t>
            </w:r>
          </w:p>
          <w:p w14:paraId="5D5C04FD">
            <w:pPr>
              <w:adjustRightInd w:val="0"/>
              <w:snapToGrid w:val="0"/>
              <w:spacing w:line="520" w:lineRule="exact"/>
              <w:rPr>
                <w:rFonts w:hint="default" w:ascii="宋体" w:hAnsi="宋体" w:eastAsia="宋体" w:cs="宋体"/>
                <w:b/>
                <w:bCs/>
                <w:color w:val="auto"/>
                <w:sz w:val="24"/>
                <w:highlight w:val="none"/>
                <w:lang w:val="en-US" w:eastAsia="zh-CN"/>
              </w:rPr>
            </w:pPr>
            <w:r>
              <w:rPr>
                <w:rFonts w:hint="eastAsia" w:ascii="宋体" w:hAnsi="宋体" w:cs="宋体"/>
                <w:b/>
                <w:bCs/>
                <w:color w:val="auto"/>
                <w:sz w:val="24"/>
                <w:highlight w:val="none"/>
                <w:lang w:val="en-US" w:eastAsia="zh-CN"/>
              </w:rPr>
              <w:t>上述定标材料须在投标文件中“定标材料”模块上传，格式自拟，未在投标文件中提供定标材料的，在项目评标结束后不额外接收。</w:t>
            </w:r>
          </w:p>
          <w:p w14:paraId="21875C4B">
            <w:pPr>
              <w:adjustRightInd w:val="0"/>
              <w:snapToGrid w:val="0"/>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综合定标法评分细则总分值为</w:t>
            </w:r>
            <w:r>
              <w:rPr>
                <w:rFonts w:hint="eastAsia" w:ascii="宋体" w:hAnsi="宋体" w:cs="宋体"/>
                <w:b/>
                <w:bCs/>
                <w:color w:val="auto"/>
                <w:sz w:val="24"/>
                <w:highlight w:val="none"/>
                <w:lang w:val="en-US" w:eastAsia="zh-CN"/>
              </w:rPr>
              <w:t>30</w:t>
            </w:r>
            <w:r>
              <w:rPr>
                <w:rFonts w:hint="eastAsia" w:ascii="宋体" w:hAnsi="宋体" w:eastAsia="宋体" w:cs="宋体"/>
                <w:b/>
                <w:bCs/>
                <w:color w:val="auto"/>
                <w:sz w:val="24"/>
                <w:highlight w:val="none"/>
                <w:lang w:val="en-US" w:eastAsia="zh-CN"/>
              </w:rPr>
              <w:t>分，定标委员会按照上述细则对中标候选人进行综合评分，每项得分按平均分列入总分，对各中标候选人</w:t>
            </w:r>
            <w:r>
              <w:rPr>
                <w:rFonts w:hint="eastAsia" w:ascii="宋体" w:hAnsi="宋体" w:cs="宋体"/>
                <w:b/>
                <w:bCs/>
                <w:color w:val="auto"/>
                <w:sz w:val="24"/>
                <w:highlight w:val="none"/>
                <w:lang w:val="en-US" w:eastAsia="zh-CN"/>
              </w:rPr>
              <w:t>按照定标得分分值由高到底</w:t>
            </w:r>
            <w:r>
              <w:rPr>
                <w:rFonts w:hint="eastAsia" w:ascii="宋体" w:hAnsi="宋体" w:eastAsia="宋体" w:cs="宋体"/>
                <w:b/>
                <w:bCs/>
                <w:color w:val="auto"/>
                <w:sz w:val="24"/>
                <w:highlight w:val="none"/>
                <w:lang w:val="en-US" w:eastAsia="zh-CN"/>
              </w:rPr>
              <w:t>进行排序，总分最高的为本项目中标人。</w:t>
            </w:r>
            <w:r>
              <w:rPr>
                <w:rFonts w:hint="eastAsia" w:ascii="宋体" w:hAnsi="宋体" w:cs="宋体"/>
                <w:b/>
                <w:bCs/>
                <w:color w:val="auto"/>
                <w:sz w:val="24"/>
                <w:highlight w:val="none"/>
                <w:lang w:val="en-US" w:eastAsia="zh-CN"/>
              </w:rPr>
              <w:t>（注：上述分值均保留两位小数，小数点后第三位四舍五入）</w:t>
            </w:r>
          </w:p>
          <w:p w14:paraId="608AFAAD">
            <w:pPr>
              <w:numPr>
                <w:ilvl w:val="0"/>
                <w:numId w:val="0"/>
              </w:numPr>
              <w:adjustRightInd w:val="0"/>
              <w:snapToGrid w:val="0"/>
              <w:spacing w:line="520" w:lineRule="exact"/>
              <w:rPr>
                <w:rFonts w:hint="eastAsia" w:ascii="宋体" w:hAnsi="宋体" w:eastAsia="宋体" w:cs="宋体"/>
                <w:b/>
                <w:bCs/>
                <w:color w:val="auto"/>
                <w:sz w:val="24"/>
                <w:highlight w:val="none"/>
                <w:lang w:val="en-US" w:eastAsia="zh-CN"/>
              </w:rPr>
            </w:pPr>
            <w:r>
              <w:rPr>
                <w:rFonts w:hint="eastAsia" w:ascii="宋体" w:hAnsi="宋体" w:cs="宋体"/>
                <w:b/>
                <w:bCs/>
                <w:color w:val="auto"/>
                <w:sz w:val="24"/>
                <w:highlight w:val="none"/>
                <w:lang w:val="en-US" w:eastAsia="zh-CN"/>
              </w:rPr>
              <w:t>三</w:t>
            </w:r>
            <w:r>
              <w:rPr>
                <w:rFonts w:hint="eastAsia" w:ascii="宋体" w:hAnsi="宋体" w:eastAsia="宋体" w:cs="宋体"/>
                <w:b/>
                <w:bCs/>
                <w:color w:val="auto"/>
                <w:sz w:val="24"/>
                <w:highlight w:val="none"/>
                <w:lang w:val="en-US" w:eastAsia="zh-CN"/>
              </w:rPr>
              <w:t>、定标会议</w:t>
            </w:r>
          </w:p>
          <w:p w14:paraId="56FF2DA3">
            <w:pPr>
              <w:numPr>
                <w:ilvl w:val="0"/>
                <w:numId w:val="0"/>
              </w:numPr>
              <w:adjustRightInd w:val="0"/>
              <w:snapToGrid w:val="0"/>
              <w:spacing w:line="520" w:lineRule="exac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 xml:space="preserve">招标人应当自收到评标报告之日起5个工作日内召开定标会议。如因招标文件约定或其他特殊原因，定标会议时间可以适当延期。）。定标会议应当在公共资源交易中心召开，按照以下程序进行定标： </w:t>
            </w:r>
          </w:p>
          <w:p w14:paraId="54816590">
            <w:pPr>
              <w:numPr>
                <w:ilvl w:val="0"/>
                <w:numId w:val="0"/>
              </w:numPr>
              <w:adjustRightInd w:val="0"/>
              <w:snapToGrid w:val="0"/>
              <w:spacing w:line="520" w:lineRule="exac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（1）定标委员会根据定标方法，结合评标报告及定标评分细则等进行定标，确定中标人；</w:t>
            </w:r>
          </w:p>
          <w:p w14:paraId="31B80D35">
            <w:pPr>
              <w:numPr>
                <w:ilvl w:val="0"/>
                <w:numId w:val="0"/>
              </w:numPr>
              <w:adjustRightInd w:val="0"/>
              <w:snapToGrid w:val="0"/>
              <w:spacing w:line="520" w:lineRule="exac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（2）定标委员会出具书面定标报告。定标报告内容应当包括定标委员名单、定标程序、定标因素、定标委员会成员对各中标候选人的打分情况和排序、定标结果等内容；</w:t>
            </w:r>
          </w:p>
          <w:p w14:paraId="794024D6">
            <w:pPr>
              <w:numPr>
                <w:ilvl w:val="0"/>
                <w:numId w:val="0"/>
              </w:numPr>
              <w:adjustRightInd w:val="0"/>
              <w:snapToGrid w:val="0"/>
              <w:spacing w:line="520" w:lineRule="exac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（3）定标报告由定标委员会全体成员签字。</w:t>
            </w:r>
          </w:p>
          <w:p w14:paraId="0A048404">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textAlignment w:val="auto"/>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注：对定标结果有不同意见的定标委员会成员应当以书面形式说明其不同意见和理由。定标委员会成员拒绝在定标报告上签字又不书面说明其不同意见和理由的，视为同意定标结果。</w:t>
            </w:r>
          </w:p>
          <w:p w14:paraId="4705E5D2">
            <w:pPr>
              <w:numPr>
                <w:ilvl w:val="0"/>
                <w:numId w:val="0"/>
              </w:numPr>
              <w:adjustRightInd w:val="0"/>
              <w:snapToGrid w:val="0"/>
              <w:spacing w:line="520" w:lineRule="exact"/>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四、定标的其他情形</w:t>
            </w:r>
          </w:p>
          <w:p w14:paraId="45899DA9">
            <w:pPr>
              <w:numPr>
                <w:ilvl w:val="0"/>
                <w:numId w:val="0"/>
              </w:numPr>
              <w:adjustRightInd w:val="0"/>
              <w:snapToGrid w:val="0"/>
              <w:spacing w:line="520" w:lineRule="exact"/>
              <w:rPr>
                <w:rFonts w:hint="default"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评标结果公示期间，因异议或投诉导致中标候选人发生改变的，应当重新公示中标候选人。</w:t>
            </w:r>
          </w:p>
          <w:p w14:paraId="2EA4B1BC">
            <w:pPr>
              <w:numPr>
                <w:ilvl w:val="0"/>
                <w:numId w:val="0"/>
              </w:numPr>
              <w:adjustRightInd w:val="0"/>
              <w:snapToGrid w:val="0"/>
              <w:spacing w:line="520" w:lineRule="exact"/>
              <w:rPr>
                <w:rFonts w:hint="eastAsia" w:ascii="宋体" w:hAnsi="宋体" w:eastAsia="宋体" w:cs="宋体"/>
                <w:b/>
                <w:bCs/>
                <w:color w:val="auto"/>
                <w:sz w:val="24"/>
                <w:highlight w:val="none"/>
                <w:lang w:val="en-US" w:eastAsia="zh-CN"/>
              </w:rPr>
            </w:pPr>
            <w:r>
              <w:rPr>
                <w:rFonts w:hint="eastAsia" w:ascii="宋体" w:hAnsi="宋体" w:cs="宋体"/>
                <w:b/>
                <w:bCs/>
                <w:color w:val="auto"/>
                <w:sz w:val="24"/>
                <w:highlight w:val="none"/>
                <w:lang w:val="en-US" w:eastAsia="zh-CN"/>
              </w:rPr>
              <w:t>五</w:t>
            </w:r>
            <w:r>
              <w:rPr>
                <w:rFonts w:hint="eastAsia" w:ascii="宋体" w:hAnsi="宋体" w:eastAsia="宋体" w:cs="宋体"/>
                <w:b/>
                <w:bCs/>
                <w:color w:val="auto"/>
                <w:sz w:val="24"/>
                <w:highlight w:val="none"/>
                <w:lang w:val="en-US" w:eastAsia="zh-CN"/>
              </w:rPr>
              <w:t>、中标结果公告</w:t>
            </w:r>
          </w:p>
          <w:p w14:paraId="168E1250">
            <w:pPr>
              <w:numPr>
                <w:ilvl w:val="0"/>
                <w:numId w:val="0"/>
              </w:numPr>
              <w:adjustRightInd w:val="0"/>
              <w:snapToGrid w:val="0"/>
              <w:spacing w:line="520" w:lineRule="exac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定标结束后3日内，招标人应当在发布招标公告的媒介上公示中标结果，并发放中标通知书。中标结果公告应载明中标人的名称、投标报价、项目</w:t>
            </w:r>
            <w:r>
              <w:rPr>
                <w:rFonts w:hint="eastAsia" w:ascii="宋体" w:hAnsi="宋体" w:cs="宋体"/>
                <w:b w:val="0"/>
                <w:bCs w:val="0"/>
                <w:color w:val="auto"/>
                <w:sz w:val="24"/>
                <w:highlight w:val="none"/>
                <w:lang w:val="en-US" w:eastAsia="zh-CN"/>
              </w:rPr>
              <w:t>经理</w:t>
            </w:r>
            <w:r>
              <w:rPr>
                <w:rFonts w:hint="eastAsia" w:ascii="宋体" w:hAnsi="宋体" w:eastAsia="宋体" w:cs="宋体"/>
                <w:b w:val="0"/>
                <w:bCs w:val="0"/>
                <w:color w:val="auto"/>
                <w:sz w:val="24"/>
                <w:highlight w:val="none"/>
                <w:lang w:val="en-US" w:eastAsia="zh-CN"/>
              </w:rPr>
              <w:t>等信息。</w:t>
            </w:r>
          </w:p>
          <w:p w14:paraId="713891D1">
            <w:pPr>
              <w:numPr>
                <w:ilvl w:val="0"/>
                <w:numId w:val="0"/>
              </w:numPr>
              <w:adjustRightInd w:val="0"/>
              <w:snapToGrid w:val="0"/>
              <w:spacing w:line="520" w:lineRule="exact"/>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六、重新定标</w:t>
            </w:r>
          </w:p>
          <w:p w14:paraId="203AFA3E">
            <w:pPr>
              <w:numPr>
                <w:ilvl w:val="0"/>
                <w:numId w:val="0"/>
              </w:numPr>
              <w:adjustRightInd w:val="0"/>
              <w:snapToGrid w:val="0"/>
              <w:spacing w:line="520" w:lineRule="exact"/>
              <w:rPr>
                <w:rFonts w:hint="default" w:ascii="宋体" w:hAnsi="宋体" w:eastAsia="宋体" w:cs="宋体"/>
                <w:b w:val="0"/>
                <w:bCs w:val="0"/>
                <w:color w:val="auto"/>
                <w:sz w:val="24"/>
                <w:highlight w:val="none"/>
                <w:lang w:val="en-US" w:eastAsia="zh-CN"/>
              </w:rPr>
            </w:pPr>
            <w:r>
              <w:rPr>
                <w:rFonts w:hint="default" w:ascii="宋体" w:hAnsi="宋体" w:eastAsia="宋体" w:cs="宋体"/>
                <w:b w:val="0"/>
                <w:bCs w:val="0"/>
                <w:color w:val="auto"/>
                <w:sz w:val="24"/>
                <w:highlight w:val="none"/>
                <w:lang w:val="en-US" w:eastAsia="zh-CN"/>
              </w:rPr>
              <w:t>定标后有下列情形之一的，建设单位或项目实施单位可以组织原定标委员会从其他中标候选人中按原定标方法确定中标人：</w:t>
            </w:r>
          </w:p>
          <w:p w14:paraId="28BB2013">
            <w:pPr>
              <w:numPr>
                <w:ilvl w:val="0"/>
                <w:numId w:val="0"/>
              </w:numPr>
              <w:adjustRightInd w:val="0"/>
              <w:snapToGrid w:val="0"/>
              <w:spacing w:line="520" w:lineRule="exact"/>
              <w:rPr>
                <w:rFonts w:hint="default" w:ascii="宋体" w:hAnsi="宋体" w:eastAsia="宋体" w:cs="宋体"/>
                <w:b w:val="0"/>
                <w:bCs w:val="0"/>
                <w:color w:val="auto"/>
                <w:sz w:val="24"/>
                <w:highlight w:val="none"/>
                <w:lang w:val="en-US" w:eastAsia="zh-CN"/>
              </w:rPr>
            </w:pPr>
            <w:r>
              <w:rPr>
                <w:rFonts w:hint="default" w:ascii="宋体" w:hAnsi="宋体" w:eastAsia="宋体" w:cs="宋体"/>
                <w:b w:val="0"/>
                <w:bCs w:val="0"/>
                <w:color w:val="auto"/>
                <w:sz w:val="24"/>
                <w:highlight w:val="none"/>
                <w:lang w:val="en-US" w:eastAsia="zh-CN"/>
              </w:rPr>
              <w:t>1</w:t>
            </w:r>
            <w:r>
              <w:rPr>
                <w:rFonts w:hint="eastAsia" w:ascii="宋体" w:hAnsi="宋体" w:cs="宋体"/>
                <w:b w:val="0"/>
                <w:bCs w:val="0"/>
                <w:color w:val="auto"/>
                <w:sz w:val="24"/>
                <w:highlight w:val="none"/>
                <w:lang w:val="en-US" w:eastAsia="zh-CN"/>
              </w:rPr>
              <w:t>.</w:t>
            </w:r>
            <w:r>
              <w:rPr>
                <w:rFonts w:hint="default" w:ascii="宋体" w:hAnsi="宋体" w:eastAsia="宋体" w:cs="宋体"/>
                <w:b w:val="0"/>
                <w:bCs w:val="0"/>
                <w:color w:val="auto"/>
                <w:sz w:val="24"/>
                <w:highlight w:val="none"/>
                <w:lang w:val="en-US" w:eastAsia="zh-CN"/>
              </w:rPr>
              <w:t>中标人放弃中标资格或者拒不签订合同的；</w:t>
            </w:r>
          </w:p>
          <w:p w14:paraId="35359D8E">
            <w:pPr>
              <w:numPr>
                <w:ilvl w:val="0"/>
                <w:numId w:val="0"/>
              </w:numPr>
              <w:adjustRightInd w:val="0"/>
              <w:snapToGrid w:val="0"/>
              <w:spacing w:line="520" w:lineRule="exact"/>
              <w:rPr>
                <w:rFonts w:hint="default" w:ascii="宋体" w:hAnsi="宋体" w:eastAsia="宋体" w:cs="宋体"/>
                <w:b w:val="0"/>
                <w:bCs w:val="0"/>
                <w:color w:val="auto"/>
                <w:sz w:val="24"/>
                <w:highlight w:val="none"/>
                <w:lang w:val="en-US" w:eastAsia="zh-CN"/>
              </w:rPr>
            </w:pPr>
            <w:r>
              <w:rPr>
                <w:rFonts w:hint="default" w:ascii="宋体" w:hAnsi="宋体" w:eastAsia="宋体" w:cs="宋体"/>
                <w:b w:val="0"/>
                <w:bCs w:val="0"/>
                <w:color w:val="auto"/>
                <w:sz w:val="24"/>
                <w:highlight w:val="none"/>
                <w:lang w:val="en-US" w:eastAsia="zh-CN"/>
              </w:rPr>
              <w:t>2</w:t>
            </w:r>
            <w:r>
              <w:rPr>
                <w:rFonts w:hint="eastAsia" w:ascii="宋体" w:hAnsi="宋体" w:cs="宋体"/>
                <w:b w:val="0"/>
                <w:bCs w:val="0"/>
                <w:color w:val="auto"/>
                <w:sz w:val="24"/>
                <w:highlight w:val="none"/>
                <w:lang w:val="en-US" w:eastAsia="zh-CN"/>
              </w:rPr>
              <w:t>.</w:t>
            </w:r>
            <w:r>
              <w:rPr>
                <w:rFonts w:hint="default" w:ascii="宋体" w:hAnsi="宋体" w:eastAsia="宋体" w:cs="宋体"/>
                <w:b w:val="0"/>
                <w:bCs w:val="0"/>
                <w:color w:val="auto"/>
                <w:sz w:val="24"/>
                <w:highlight w:val="none"/>
                <w:lang w:val="en-US" w:eastAsia="zh-CN"/>
              </w:rPr>
              <w:t>招标文件规定应当提交履约保证金而且在规定的期限内未能提交的；</w:t>
            </w:r>
          </w:p>
          <w:p w14:paraId="7E9679FC">
            <w:pPr>
              <w:numPr>
                <w:ilvl w:val="0"/>
                <w:numId w:val="0"/>
              </w:numPr>
              <w:adjustRightInd w:val="0"/>
              <w:snapToGrid w:val="0"/>
              <w:spacing w:line="520" w:lineRule="exact"/>
              <w:rPr>
                <w:rFonts w:hint="default" w:ascii="宋体" w:hAnsi="宋体" w:eastAsia="宋体" w:cs="宋体"/>
                <w:b w:val="0"/>
                <w:bCs w:val="0"/>
                <w:color w:val="auto"/>
                <w:sz w:val="24"/>
                <w:highlight w:val="none"/>
                <w:lang w:val="en-US" w:eastAsia="zh-CN"/>
              </w:rPr>
            </w:pPr>
            <w:r>
              <w:rPr>
                <w:rFonts w:hint="default"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lang w:val="en-US" w:eastAsia="zh-CN"/>
              </w:rPr>
              <w:t>.</w:t>
            </w:r>
            <w:r>
              <w:rPr>
                <w:rFonts w:hint="default" w:ascii="宋体" w:hAnsi="宋体" w:eastAsia="宋体" w:cs="宋体"/>
                <w:b w:val="0"/>
                <w:bCs w:val="0"/>
                <w:color w:val="auto"/>
                <w:sz w:val="24"/>
                <w:highlight w:val="none"/>
                <w:lang w:val="en-US" w:eastAsia="zh-CN"/>
              </w:rPr>
              <w:t>中标人被查实存在违法行为影响中标结果的；</w:t>
            </w:r>
          </w:p>
          <w:p w14:paraId="6BDA5AAD">
            <w:pPr>
              <w:numPr>
                <w:ilvl w:val="0"/>
                <w:numId w:val="0"/>
              </w:numPr>
              <w:adjustRightInd w:val="0"/>
              <w:snapToGrid w:val="0"/>
              <w:spacing w:line="520" w:lineRule="exact"/>
              <w:rPr>
                <w:rFonts w:hint="default" w:ascii="宋体" w:hAnsi="宋体" w:eastAsia="宋体" w:cs="宋体"/>
                <w:b w:val="0"/>
                <w:bCs w:val="0"/>
                <w:color w:val="auto"/>
                <w:sz w:val="24"/>
                <w:highlight w:val="none"/>
                <w:lang w:val="en-US" w:eastAsia="zh-CN"/>
              </w:rPr>
            </w:pPr>
            <w:r>
              <w:rPr>
                <w:rFonts w:hint="default" w:ascii="宋体" w:hAnsi="宋体" w:eastAsia="宋体" w:cs="宋体"/>
                <w:b w:val="0"/>
                <w:bCs w:val="0"/>
                <w:color w:val="auto"/>
                <w:sz w:val="24"/>
                <w:highlight w:val="none"/>
                <w:lang w:val="en-US" w:eastAsia="zh-CN"/>
              </w:rPr>
              <w:t>4</w:t>
            </w:r>
            <w:r>
              <w:rPr>
                <w:rFonts w:hint="eastAsia" w:ascii="宋体" w:hAnsi="宋体" w:eastAsia="宋体" w:cs="宋体"/>
                <w:b w:val="0"/>
                <w:bCs w:val="0"/>
                <w:color w:val="auto"/>
                <w:sz w:val="24"/>
                <w:highlight w:val="none"/>
                <w:lang w:val="en-US" w:eastAsia="zh-CN"/>
              </w:rPr>
              <w:t>.</w:t>
            </w:r>
            <w:r>
              <w:rPr>
                <w:rFonts w:hint="default" w:ascii="宋体" w:hAnsi="宋体" w:eastAsia="宋体" w:cs="宋体"/>
                <w:b w:val="0"/>
                <w:bCs w:val="0"/>
                <w:color w:val="auto"/>
                <w:sz w:val="24"/>
                <w:highlight w:val="none"/>
                <w:lang w:val="en-US" w:eastAsia="zh-CN"/>
              </w:rPr>
              <w:t>招标文件规定的其他情形。</w:t>
            </w:r>
          </w:p>
          <w:p w14:paraId="14525FCA">
            <w:pPr>
              <w:numPr>
                <w:ilvl w:val="0"/>
                <w:numId w:val="0"/>
              </w:numPr>
              <w:adjustRightInd w:val="0"/>
              <w:snapToGrid w:val="0"/>
              <w:spacing w:line="520" w:lineRule="exact"/>
              <w:rPr>
                <w:rFonts w:hint="default" w:ascii="宋体" w:hAnsi="宋体" w:eastAsia="宋体" w:cs="宋体"/>
                <w:b w:val="0"/>
                <w:bCs w:val="0"/>
                <w:color w:val="auto"/>
                <w:sz w:val="24"/>
                <w:highlight w:val="none"/>
                <w:lang w:val="en-US" w:eastAsia="zh-CN"/>
              </w:rPr>
            </w:pPr>
            <w:r>
              <w:rPr>
                <w:rFonts w:hint="default" w:ascii="宋体" w:hAnsi="宋体" w:eastAsia="宋体" w:cs="宋体"/>
                <w:b w:val="0"/>
                <w:bCs w:val="0"/>
                <w:color w:val="auto"/>
                <w:sz w:val="24"/>
                <w:highlight w:val="none"/>
                <w:lang w:val="en-US" w:eastAsia="zh-CN"/>
              </w:rPr>
              <w:t>定标后有下列情形之一的，应重新组建定标委员会进行定标：</w:t>
            </w:r>
          </w:p>
          <w:p w14:paraId="7AE83621">
            <w:pPr>
              <w:numPr>
                <w:ilvl w:val="0"/>
                <w:numId w:val="0"/>
              </w:numPr>
              <w:adjustRightInd w:val="0"/>
              <w:snapToGrid w:val="0"/>
              <w:spacing w:line="520" w:lineRule="exact"/>
              <w:rPr>
                <w:rFonts w:hint="default" w:ascii="宋体" w:hAnsi="宋体" w:eastAsia="宋体" w:cs="宋体"/>
                <w:b w:val="0"/>
                <w:bCs w:val="0"/>
                <w:color w:val="auto"/>
                <w:sz w:val="24"/>
                <w:highlight w:val="none"/>
                <w:lang w:val="en-US" w:eastAsia="zh-CN"/>
              </w:rPr>
            </w:pPr>
            <w:r>
              <w:rPr>
                <w:rFonts w:hint="default" w:ascii="宋体" w:hAnsi="宋体" w:eastAsia="宋体" w:cs="宋体"/>
                <w:b w:val="0"/>
                <w:bCs w:val="0"/>
                <w:color w:val="auto"/>
                <w:sz w:val="24"/>
                <w:highlight w:val="none"/>
                <w:lang w:val="en-US" w:eastAsia="zh-CN"/>
              </w:rPr>
              <w:t>1.定标委员会未按定标方法公正履职的；</w:t>
            </w:r>
          </w:p>
          <w:p w14:paraId="555EAA2A">
            <w:pPr>
              <w:numPr>
                <w:ilvl w:val="0"/>
                <w:numId w:val="0"/>
              </w:numPr>
              <w:adjustRightInd w:val="0"/>
              <w:snapToGrid w:val="0"/>
              <w:spacing w:line="520" w:lineRule="exact"/>
              <w:rPr>
                <w:rFonts w:hint="default" w:ascii="宋体" w:hAnsi="宋体" w:eastAsia="宋体" w:cs="宋体"/>
                <w:b w:val="0"/>
                <w:bCs w:val="0"/>
                <w:color w:val="auto"/>
                <w:sz w:val="24"/>
                <w:highlight w:val="none"/>
                <w:lang w:val="en-US" w:eastAsia="zh-CN"/>
              </w:rPr>
            </w:pPr>
            <w:r>
              <w:rPr>
                <w:rFonts w:hint="default" w:ascii="宋体" w:hAnsi="宋体" w:eastAsia="宋体" w:cs="宋体"/>
                <w:b w:val="0"/>
                <w:bCs w:val="0"/>
                <w:color w:val="auto"/>
                <w:sz w:val="24"/>
                <w:highlight w:val="none"/>
                <w:lang w:val="en-US" w:eastAsia="zh-CN"/>
              </w:rPr>
              <w:t>2.定标委员会成员与中标候选人有利害关系且未申请回避 的；</w:t>
            </w:r>
          </w:p>
          <w:p w14:paraId="6ADF14FB">
            <w:pPr>
              <w:numPr>
                <w:ilvl w:val="0"/>
                <w:numId w:val="0"/>
              </w:numPr>
              <w:adjustRightInd w:val="0"/>
              <w:snapToGrid w:val="0"/>
              <w:spacing w:line="520" w:lineRule="exact"/>
              <w:rPr>
                <w:rFonts w:hint="default" w:ascii="宋体" w:hAnsi="宋体" w:eastAsia="宋体" w:cs="宋体"/>
                <w:b w:val="0"/>
                <w:bCs w:val="0"/>
                <w:color w:val="auto"/>
                <w:sz w:val="24"/>
                <w:highlight w:val="none"/>
                <w:lang w:val="en-US" w:eastAsia="zh-CN"/>
              </w:rPr>
            </w:pPr>
            <w:r>
              <w:rPr>
                <w:rFonts w:hint="default" w:ascii="宋体" w:hAnsi="宋体" w:eastAsia="宋体" w:cs="宋体"/>
                <w:b w:val="0"/>
                <w:bCs w:val="0"/>
                <w:color w:val="auto"/>
                <w:sz w:val="24"/>
                <w:highlight w:val="none"/>
                <w:lang w:val="en-US" w:eastAsia="zh-CN"/>
              </w:rPr>
              <w:t>3.招标文件规定的其他情形。</w:t>
            </w:r>
          </w:p>
        </w:tc>
      </w:tr>
      <w:bookmarkEnd w:id="47"/>
      <w:bookmarkEnd w:id="48"/>
      <w:bookmarkEnd w:id="49"/>
      <w:bookmarkEnd w:id="50"/>
    </w:tbl>
    <w:p w14:paraId="4A4762A7">
      <w:pPr>
        <w:pStyle w:val="3"/>
        <w:pageBreakBefore/>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51" w:name="_Toc95223336"/>
      <w:bookmarkStart w:id="52" w:name="_Toc83301688"/>
      <w:bookmarkStart w:id="53" w:name="_Toc60061433"/>
      <w:r>
        <w:rPr>
          <w:rFonts w:hint="eastAsia" w:ascii="黑体" w:hAnsi="黑体" w:cs="黑体"/>
          <w:color w:val="auto"/>
          <w:sz w:val="21"/>
          <w:szCs w:val="21"/>
          <w:highlight w:val="none"/>
        </w:rPr>
        <w:t>1. 总则</w:t>
      </w:r>
      <w:bookmarkEnd w:id="37"/>
      <w:bookmarkEnd w:id="38"/>
      <w:bookmarkEnd w:id="39"/>
      <w:bookmarkEnd w:id="40"/>
      <w:bookmarkEnd w:id="41"/>
      <w:bookmarkEnd w:id="42"/>
      <w:bookmarkEnd w:id="43"/>
      <w:bookmarkEnd w:id="44"/>
      <w:bookmarkEnd w:id="45"/>
      <w:bookmarkEnd w:id="46"/>
      <w:bookmarkEnd w:id="51"/>
      <w:bookmarkEnd w:id="52"/>
      <w:bookmarkEnd w:id="53"/>
    </w:p>
    <w:p w14:paraId="3734A667">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54" w:name="_Toc152045530"/>
      <w:bookmarkStart w:id="55" w:name="_Toc15058847"/>
      <w:bookmarkStart w:id="56" w:name="_Toc95223337"/>
      <w:bookmarkStart w:id="57" w:name="_Toc246996176"/>
      <w:bookmarkStart w:id="58" w:name="_Toc247085690"/>
      <w:bookmarkStart w:id="59" w:name="_Toc324404816"/>
      <w:bookmarkStart w:id="60" w:name="_Toc296602421"/>
      <w:bookmarkStart w:id="61" w:name="_Toc144974498"/>
      <w:bookmarkStart w:id="62" w:name="_Toc179632547"/>
      <w:bookmarkStart w:id="63" w:name="_Toc60061434"/>
      <w:bookmarkStart w:id="64" w:name="_Toc506107270"/>
      <w:bookmarkStart w:id="65" w:name="_Toc152042306"/>
      <w:bookmarkStart w:id="66" w:name="_Toc246996919"/>
      <w:bookmarkStart w:id="67" w:name="_Toc83301689"/>
      <w:r>
        <w:rPr>
          <w:rFonts w:hint="eastAsia" w:ascii="黑体" w:hAnsi="黑体" w:eastAsia="黑体" w:cs="黑体"/>
          <w:color w:val="auto"/>
          <w:sz w:val="21"/>
          <w:szCs w:val="21"/>
          <w:highlight w:val="none"/>
        </w:rPr>
        <w:t>1.1 项目概况</w:t>
      </w:r>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07545A50">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1.1.1根据《中华人民共和国招标投标法》《中华人民共和国招标投标法实施条例》等有关法律、法规和规章的规定，本招标项目已具备招标条件，现对本项目施工进行招标。</w:t>
      </w:r>
    </w:p>
    <w:p w14:paraId="691115ED">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1.1.2 本招标项目招标人：见投标人须知前附表。</w:t>
      </w:r>
    </w:p>
    <w:p w14:paraId="436367A7">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1.1.3 本招标项目招标代理机构：见投标人须知前附表。</w:t>
      </w:r>
    </w:p>
    <w:p w14:paraId="76164347">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1.1.4 本招标项目名称：见投标人须知前附表。</w:t>
      </w:r>
    </w:p>
    <w:p w14:paraId="29C2A2BD">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1.1.5 本招标项目建设地点：见投标人须知前附表。</w:t>
      </w:r>
    </w:p>
    <w:p w14:paraId="2145E048">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68" w:name="_Toc60061435"/>
      <w:bookmarkStart w:id="69" w:name="_Toc246996177"/>
      <w:bookmarkStart w:id="70" w:name="_Toc152042307"/>
      <w:bookmarkStart w:id="71" w:name="_Toc152045531"/>
      <w:bookmarkStart w:id="72" w:name="_Toc246996920"/>
      <w:bookmarkStart w:id="73" w:name="_Toc83301690"/>
      <w:bookmarkStart w:id="74" w:name="_Toc95223338"/>
      <w:bookmarkStart w:id="75" w:name="_Toc179632548"/>
      <w:bookmarkStart w:id="76" w:name="_Toc296602422"/>
      <w:bookmarkStart w:id="77" w:name="_Toc15058848"/>
      <w:bookmarkStart w:id="78" w:name="_Toc247085691"/>
      <w:bookmarkStart w:id="79" w:name="_Toc506107271"/>
      <w:bookmarkStart w:id="80" w:name="_Toc144974499"/>
      <w:bookmarkStart w:id="81" w:name="_Toc324404817"/>
      <w:r>
        <w:rPr>
          <w:rFonts w:hint="eastAsia" w:ascii="黑体" w:hAnsi="黑体" w:eastAsia="黑体" w:cs="黑体"/>
          <w:color w:val="auto"/>
          <w:sz w:val="21"/>
          <w:szCs w:val="21"/>
          <w:highlight w:val="none"/>
        </w:rPr>
        <w:t>1.2 资金来源和落实情况</w:t>
      </w:r>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0E31CED6">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 本招标项目的资金来源及出资比例：见投标人须知前附表。</w:t>
      </w:r>
    </w:p>
    <w:p w14:paraId="1AF54077">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1.2.2 本招标项目的资金落实情况：见投标人须知前附表。</w:t>
      </w:r>
    </w:p>
    <w:p w14:paraId="282D1BAA">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82" w:name="_Toc15058849"/>
      <w:bookmarkStart w:id="83" w:name="_Toc179632549"/>
      <w:bookmarkStart w:id="84" w:name="_Toc152042308"/>
      <w:bookmarkStart w:id="85" w:name="_Toc247085692"/>
      <w:bookmarkStart w:id="86" w:name="_Toc144974500"/>
      <w:bookmarkStart w:id="87" w:name="_Toc60061436"/>
      <w:bookmarkStart w:id="88" w:name="_Toc83301691"/>
      <w:bookmarkStart w:id="89" w:name="_Toc324404818"/>
      <w:bookmarkStart w:id="90" w:name="_Toc246996178"/>
      <w:bookmarkStart w:id="91" w:name="_Toc95223339"/>
      <w:bookmarkStart w:id="92" w:name="_Toc506107272"/>
      <w:bookmarkStart w:id="93" w:name="_Toc246996921"/>
      <w:bookmarkStart w:id="94" w:name="_Toc152045532"/>
      <w:bookmarkStart w:id="95" w:name="_Toc296602423"/>
      <w:r>
        <w:rPr>
          <w:rFonts w:hint="eastAsia" w:ascii="黑体" w:hAnsi="黑体" w:eastAsia="黑体" w:cs="黑体"/>
          <w:color w:val="auto"/>
          <w:sz w:val="21"/>
          <w:szCs w:val="21"/>
          <w:highlight w:val="none"/>
        </w:rPr>
        <w:t>1.3 招标范围、计划工期、质量要求</w:t>
      </w:r>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5D534984">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1.3.1 本次招标范围：见投标人须知前附表。</w:t>
      </w:r>
    </w:p>
    <w:p w14:paraId="15FB9F48">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1.3.2 本招标项目的计划工期：见投标人须知前附表。</w:t>
      </w:r>
    </w:p>
    <w:p w14:paraId="0D57CE50">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1.3.3 本招标项目的质量要求：见投标人须知前附表。</w:t>
      </w:r>
    </w:p>
    <w:p w14:paraId="4E3AB0A4">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96" w:name="_Toc60061437"/>
      <w:bookmarkStart w:id="97" w:name="_Toc506107273"/>
      <w:bookmarkStart w:id="98" w:name="_Toc296602424"/>
      <w:bookmarkStart w:id="99" w:name="_Toc246996922"/>
      <w:bookmarkStart w:id="100" w:name="_Toc83301692"/>
      <w:bookmarkStart w:id="101" w:name="_Toc15058850"/>
      <w:bookmarkStart w:id="102" w:name="_Toc179632551"/>
      <w:bookmarkStart w:id="103" w:name="_Toc95223340"/>
      <w:bookmarkStart w:id="104" w:name="_Toc152042310"/>
      <w:bookmarkStart w:id="105" w:name="_Toc144974502"/>
      <w:bookmarkStart w:id="106" w:name="_Toc247085693"/>
      <w:bookmarkStart w:id="107" w:name="_Toc152045534"/>
      <w:bookmarkStart w:id="108" w:name="_Toc324404819"/>
      <w:bookmarkStart w:id="109" w:name="_Toc246996179"/>
      <w:r>
        <w:rPr>
          <w:rFonts w:hint="eastAsia" w:ascii="黑体" w:hAnsi="黑体" w:eastAsia="黑体" w:cs="黑体"/>
          <w:color w:val="auto"/>
          <w:sz w:val="21"/>
          <w:szCs w:val="21"/>
          <w:highlight w:val="none"/>
        </w:rPr>
        <w:t>1.4 投标人资格要求</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20F327DD">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1.4.1 投标人应具备承担本项目施工的资质条件、能力和信誉。</w:t>
      </w:r>
    </w:p>
    <w:p w14:paraId="4F368185">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（1）资质条件：见投标人须知前附表；</w:t>
      </w:r>
    </w:p>
    <w:p w14:paraId="5486D569">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（2）信誉要求：见投标人须知前附表；</w:t>
      </w:r>
    </w:p>
    <w:p w14:paraId="3466043B">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（3）项目经理（建造师）资格：见投标人须知前附表；</w:t>
      </w:r>
    </w:p>
    <w:p w14:paraId="7928CE5F">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（4）其他要求：见投标人须知前附表。</w:t>
      </w:r>
    </w:p>
    <w:p w14:paraId="1B1FDCA9">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1.4.2 投标人须知前附表规定接受联合体投标的，除应符合本章第1.4.1项和投标人须知前附表的要求外，还应遵守以下规定： </w:t>
      </w:r>
    </w:p>
    <w:p w14:paraId="327300F2">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（1）联合体各方应按招标文件提供的格式签订联合体协议书，明确联合体各方权利义务</w:t>
      </w:r>
      <w:r>
        <w:rPr>
          <w:color w:val="auto"/>
          <w:spacing w:val="-3"/>
          <w:highlight w:val="none"/>
        </w:rPr>
        <w:t>，并承诺就中标项目向招标人承担连带责任</w:t>
      </w:r>
      <w:r>
        <w:rPr>
          <w:rFonts w:hint="eastAsia" w:ascii="宋体" w:hAnsi="宋体" w:cs="宋体"/>
          <w:color w:val="auto"/>
          <w:szCs w:val="21"/>
          <w:highlight w:val="none"/>
        </w:rPr>
        <w:t>；</w:t>
      </w:r>
    </w:p>
    <w:p w14:paraId="6C575068">
      <w:pPr>
        <w:adjustRightInd w:val="0"/>
        <w:snapToGrid w:val="0"/>
        <w:spacing w:line="560" w:lineRule="exact"/>
        <w:ind w:firstLine="420" w:firstLineChars="200"/>
        <w:rPr>
          <w:rFonts w:hint="eastAsia"/>
          <w:color w:val="auto"/>
          <w:highlight w:val="none"/>
        </w:rPr>
      </w:pPr>
      <w:r>
        <w:rPr>
          <w:rFonts w:hint="eastAsia" w:ascii="宋体" w:hAnsi="宋体" w:cs="宋体"/>
          <w:color w:val="auto"/>
          <w:szCs w:val="21"/>
          <w:highlight w:val="none"/>
        </w:rPr>
        <w:t>（2）联合体各方不得再以自己名义单独或参加其他联合体在同一标段中投标。</w:t>
      </w:r>
    </w:p>
    <w:p w14:paraId="201DE8BA">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1.4.3</w:t>
      </w:r>
      <w:bookmarkStart w:id="110" w:name="_Toc144974503"/>
      <w:bookmarkStart w:id="111" w:name="_Toc296602425"/>
      <w:bookmarkStart w:id="112" w:name="_Toc15058851"/>
      <w:bookmarkStart w:id="113" w:name="_Toc152045535"/>
      <w:bookmarkStart w:id="114" w:name="_Toc83301693"/>
      <w:bookmarkStart w:id="115" w:name="_Toc179632552"/>
      <w:bookmarkStart w:id="116" w:name="_Toc506107274"/>
      <w:bookmarkStart w:id="117" w:name="_Toc246996180"/>
      <w:bookmarkStart w:id="118" w:name="_Toc60061438"/>
      <w:bookmarkStart w:id="119" w:name="_Toc324404820"/>
      <w:bookmarkStart w:id="120" w:name="_Toc152042311"/>
      <w:bookmarkStart w:id="121" w:name="_Toc246996923"/>
      <w:bookmarkStart w:id="122" w:name="_Toc95223341"/>
      <w:bookmarkStart w:id="123" w:name="_Toc247085694"/>
      <w:r>
        <w:rPr>
          <w:rFonts w:hint="eastAsia" w:ascii="宋体" w:hAnsi="宋体" w:cs="宋体"/>
          <w:color w:val="auto"/>
          <w:szCs w:val="21"/>
          <w:highlight w:val="none"/>
        </w:rPr>
        <w:t>投标人（包括联合体各成员）不得与本标段相关单位存在下列关联关系：</w:t>
      </w:r>
    </w:p>
    <w:p w14:paraId="6C76AC32">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（1）为招标人不具有独立法人资格的附属机构（单位）；</w:t>
      </w:r>
    </w:p>
    <w:p w14:paraId="7757E29D">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（2）与招标人存在利害关系且可能影响招标公正性；</w:t>
      </w:r>
    </w:p>
    <w:p w14:paraId="387FE84F">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（3）与本标段的其他投标人同为一个单位负责人；</w:t>
      </w:r>
    </w:p>
    <w:p w14:paraId="30D5BBBB">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（4）与本标段的其他投标人存在控股、管理关系；</w:t>
      </w:r>
    </w:p>
    <w:p w14:paraId="292FA100">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（5）为本标段前期准备提供设计或咨询服务的法人或其任何附属机构（单位）</w:t>
      </w:r>
      <w:r>
        <w:rPr>
          <w:rFonts w:hint="eastAsia" w:ascii="宋体" w:hAnsi="宋体" w:cs="宋体"/>
          <w:b/>
          <w:color w:val="auto"/>
          <w:szCs w:val="21"/>
          <w:highlight w:val="none"/>
        </w:rPr>
        <w:t>(工程总承包项目本目不采用)</w:t>
      </w:r>
      <w:r>
        <w:rPr>
          <w:rFonts w:hint="eastAsia" w:ascii="宋体" w:hAnsi="宋体" w:cs="宋体"/>
          <w:color w:val="auto"/>
          <w:szCs w:val="21"/>
          <w:highlight w:val="none"/>
        </w:rPr>
        <w:t>；</w:t>
      </w:r>
    </w:p>
    <w:p w14:paraId="606C469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（6）为本标段的监理人；</w:t>
      </w:r>
    </w:p>
    <w:p w14:paraId="1A98512A">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（7）为本标段的代建人；</w:t>
      </w:r>
    </w:p>
    <w:p w14:paraId="5F044AC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（8）为本标段的招标代理机构；</w:t>
      </w:r>
    </w:p>
    <w:p w14:paraId="02E56F29">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（9）与本标段的监理人或代建人或招标代理机构同为一个法定代表人；</w:t>
      </w:r>
    </w:p>
    <w:p w14:paraId="0B17C015">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（10）与本标段的监理人或代建人或招标代理机构存在控股或参股关系；</w:t>
      </w:r>
    </w:p>
    <w:p w14:paraId="5184B5E2">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（11）法律法规或投标人须知前附表规定的其他情形。</w:t>
      </w:r>
    </w:p>
    <w:p w14:paraId="73701F08">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1.5 费用承担</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7CD2E522">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投标人准备和参加投标活动发生的费用自理。</w:t>
      </w:r>
    </w:p>
    <w:p w14:paraId="0977B400">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124" w:name="_Toc179632553"/>
      <w:bookmarkStart w:id="125" w:name="_Toc246996181"/>
      <w:bookmarkStart w:id="126" w:name="_Toc60061439"/>
      <w:bookmarkStart w:id="127" w:name="_Toc15058852"/>
      <w:bookmarkStart w:id="128" w:name="_Toc152042312"/>
      <w:bookmarkStart w:id="129" w:name="_Toc83301694"/>
      <w:bookmarkStart w:id="130" w:name="_Toc247085695"/>
      <w:bookmarkStart w:id="131" w:name="_Toc95223342"/>
      <w:bookmarkStart w:id="132" w:name="_Toc506107275"/>
      <w:bookmarkStart w:id="133" w:name="_Toc246996924"/>
      <w:bookmarkStart w:id="134" w:name="_Toc296602426"/>
      <w:bookmarkStart w:id="135" w:name="_Toc144974504"/>
      <w:bookmarkStart w:id="136" w:name="_Toc152045536"/>
      <w:bookmarkStart w:id="137" w:name="_Toc324404821"/>
      <w:r>
        <w:rPr>
          <w:rFonts w:hint="eastAsia" w:ascii="黑体" w:hAnsi="黑体" w:eastAsia="黑体" w:cs="黑体"/>
          <w:color w:val="auto"/>
          <w:sz w:val="21"/>
          <w:szCs w:val="21"/>
          <w:highlight w:val="none"/>
        </w:rPr>
        <w:t>1.6 保密</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44881A06">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参与招标投标活动的各方应对招标文件和投标文件中的商业和技术等秘密保密，违者应对由此造成的后果承担法律责任。 </w:t>
      </w:r>
    </w:p>
    <w:p w14:paraId="672D536C">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138" w:name="_Toc144974505"/>
      <w:bookmarkStart w:id="139" w:name="_Toc83301695"/>
      <w:bookmarkStart w:id="140" w:name="_Toc15058853"/>
      <w:bookmarkStart w:id="141" w:name="_Toc152042313"/>
      <w:bookmarkStart w:id="142" w:name="_Toc95223343"/>
      <w:bookmarkStart w:id="143" w:name="_Toc296602427"/>
      <w:bookmarkStart w:id="144" w:name="_Toc60061440"/>
      <w:bookmarkStart w:id="145" w:name="_Toc506107276"/>
      <w:bookmarkStart w:id="146" w:name="_Toc246996182"/>
      <w:bookmarkStart w:id="147" w:name="_Toc152045537"/>
      <w:bookmarkStart w:id="148" w:name="_Toc324404822"/>
      <w:bookmarkStart w:id="149" w:name="_Toc179632554"/>
      <w:bookmarkStart w:id="150" w:name="_Toc247085696"/>
      <w:bookmarkStart w:id="151" w:name="_Toc246996925"/>
      <w:r>
        <w:rPr>
          <w:rFonts w:hint="eastAsia" w:ascii="黑体" w:hAnsi="黑体" w:eastAsia="黑体" w:cs="黑体"/>
          <w:color w:val="auto"/>
          <w:sz w:val="21"/>
          <w:szCs w:val="21"/>
          <w:highlight w:val="none"/>
        </w:rPr>
        <w:t>1.7 语言</w:t>
      </w:r>
      <w:bookmarkEnd w:id="138"/>
      <w:r>
        <w:rPr>
          <w:rFonts w:hint="eastAsia" w:ascii="黑体" w:hAnsi="黑体" w:eastAsia="黑体" w:cs="黑体"/>
          <w:color w:val="auto"/>
          <w:sz w:val="21"/>
          <w:szCs w:val="21"/>
          <w:highlight w:val="none"/>
        </w:rPr>
        <w:t>文字</w:t>
      </w:r>
      <w:bookmarkEnd w:id="139"/>
      <w:bookmarkEnd w:id="140"/>
      <w:bookmarkEnd w:id="141"/>
      <w:bookmarkEnd w:id="142"/>
      <w:bookmarkEnd w:id="143"/>
      <w:bookmarkEnd w:id="144"/>
      <w:bookmarkEnd w:id="145"/>
      <w:bookmarkEnd w:id="146"/>
      <w:bookmarkEnd w:id="147"/>
      <w:bookmarkEnd w:id="148"/>
      <w:bookmarkEnd w:id="149"/>
      <w:bookmarkEnd w:id="150"/>
      <w:bookmarkEnd w:id="151"/>
    </w:p>
    <w:p w14:paraId="79318887">
      <w:pPr>
        <w:adjustRightInd w:val="0"/>
        <w:snapToGrid w:val="0"/>
        <w:spacing w:line="560" w:lineRule="exact"/>
        <w:ind w:firstLine="420" w:firstLineChars="200"/>
        <w:rPr>
          <w:rFonts w:hint="eastAsia" w:ascii="宋体" w:hAnsi="宋体" w:cs="宋体"/>
          <w:color w:val="auto"/>
          <w:szCs w:val="21"/>
          <w:highlight w:val="none"/>
        </w:rPr>
      </w:pPr>
      <w:bookmarkStart w:id="152" w:name="_Toc152042314"/>
      <w:bookmarkStart w:id="153" w:name="_Toc144974506"/>
      <w:bookmarkStart w:id="154" w:name="_Toc179632555"/>
      <w:bookmarkStart w:id="155" w:name="_Toc247085697"/>
      <w:bookmarkStart w:id="156" w:name="_Toc246996926"/>
      <w:bookmarkStart w:id="157" w:name="_Toc246996183"/>
      <w:bookmarkStart w:id="158" w:name="_Toc152045538"/>
      <w:r>
        <w:rPr>
          <w:rFonts w:hint="eastAsia" w:ascii="宋体" w:hAnsi="宋体" w:cs="宋体"/>
          <w:color w:val="auto"/>
          <w:szCs w:val="21"/>
          <w:highlight w:val="none"/>
        </w:rPr>
        <w:t>招标投标文件使用的语言文字为中文。专用术语使用外文的，应附有中文注释。</w:t>
      </w:r>
    </w:p>
    <w:p w14:paraId="21B609B1">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159" w:name="_Toc15058854"/>
      <w:bookmarkStart w:id="160" w:name="_Toc83301696"/>
      <w:bookmarkStart w:id="161" w:name="_Toc60061441"/>
      <w:bookmarkStart w:id="162" w:name="_Toc506107277"/>
      <w:bookmarkStart w:id="163" w:name="_Toc324404823"/>
      <w:bookmarkStart w:id="164" w:name="_Toc296602428"/>
      <w:bookmarkStart w:id="165" w:name="_Toc95223344"/>
      <w:r>
        <w:rPr>
          <w:rFonts w:hint="eastAsia" w:ascii="黑体" w:hAnsi="黑体" w:eastAsia="黑体" w:cs="黑体"/>
          <w:color w:val="auto"/>
          <w:sz w:val="21"/>
          <w:szCs w:val="21"/>
          <w:highlight w:val="none"/>
        </w:rPr>
        <w:t>1.8 计量单位</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27ADCBDC">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所有计量均采用中华人民共和国法定计量单位。</w:t>
      </w:r>
    </w:p>
    <w:p w14:paraId="6F914BEC">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166" w:name="_Toc247513962"/>
      <w:bookmarkStart w:id="167" w:name="_Toc506107278"/>
      <w:bookmarkStart w:id="168" w:name="_Toc60061442"/>
      <w:bookmarkStart w:id="169" w:name="_Toc15058855"/>
      <w:bookmarkStart w:id="170" w:name="_Toc83301697"/>
      <w:bookmarkStart w:id="171" w:name="_Toc144974507"/>
      <w:bookmarkStart w:id="172" w:name="_Toc247592876"/>
      <w:bookmarkStart w:id="173" w:name="_Toc95223345"/>
      <w:bookmarkStart w:id="174" w:name="_Toc247527563"/>
      <w:bookmarkStart w:id="175" w:name="_Toc152042315"/>
      <w:bookmarkStart w:id="176" w:name="_Toc152045539"/>
      <w:bookmarkStart w:id="177" w:name="_Toc296602429"/>
      <w:bookmarkStart w:id="178" w:name="_Toc324404824"/>
      <w:r>
        <w:rPr>
          <w:rFonts w:hint="eastAsia" w:ascii="黑体" w:hAnsi="黑体" w:eastAsia="黑体" w:cs="黑体"/>
          <w:color w:val="auto"/>
          <w:sz w:val="21"/>
          <w:szCs w:val="21"/>
          <w:highlight w:val="none"/>
        </w:rPr>
        <w:t>1.9 踏勘现场</w:t>
      </w:r>
      <w:bookmarkEnd w:id="166"/>
      <w:bookmarkEnd w:id="167"/>
      <w:bookmarkEnd w:id="168"/>
      <w:bookmarkEnd w:id="169"/>
      <w:bookmarkEnd w:id="170"/>
      <w:bookmarkEnd w:id="171"/>
      <w:bookmarkEnd w:id="172"/>
      <w:bookmarkEnd w:id="173"/>
      <w:bookmarkEnd w:id="174"/>
      <w:bookmarkEnd w:id="175"/>
      <w:bookmarkEnd w:id="176"/>
      <w:bookmarkEnd w:id="177"/>
      <w:bookmarkEnd w:id="178"/>
    </w:p>
    <w:p w14:paraId="75B9C842">
      <w:pPr>
        <w:adjustRightInd w:val="0"/>
        <w:snapToGrid w:val="0"/>
        <w:spacing w:line="560" w:lineRule="exact"/>
        <w:ind w:firstLine="420" w:firstLineChars="200"/>
        <w:rPr>
          <w:rFonts w:hint="eastAsia" w:ascii="宋体" w:hAnsi="宋体" w:cs="宋体"/>
          <w:color w:val="auto"/>
          <w:szCs w:val="21"/>
          <w:highlight w:val="none"/>
        </w:rPr>
      </w:pPr>
      <w:bookmarkStart w:id="179" w:name="_Toc15058856"/>
      <w:bookmarkStart w:id="180" w:name="_Toc506107279"/>
      <w:bookmarkStart w:id="181" w:name="_Toc247513963"/>
      <w:bookmarkStart w:id="182" w:name="_Toc60061443"/>
      <w:bookmarkStart w:id="183" w:name="_Toc152045540"/>
      <w:bookmarkStart w:id="184" w:name="_Toc324404825"/>
      <w:bookmarkStart w:id="185" w:name="_Toc144974508"/>
      <w:bookmarkStart w:id="186" w:name="_Toc152042316"/>
      <w:bookmarkStart w:id="187" w:name="_Toc296602430"/>
      <w:bookmarkStart w:id="188" w:name="_Toc247527564"/>
      <w:bookmarkStart w:id="189" w:name="_Toc247592877"/>
      <w:r>
        <w:rPr>
          <w:rFonts w:hint="eastAsia" w:ascii="宋体" w:hAnsi="宋体" w:cs="宋体"/>
          <w:color w:val="auto"/>
          <w:szCs w:val="21"/>
          <w:highlight w:val="none"/>
        </w:rPr>
        <w:t xml:space="preserve">1.9.1前附表规定组织踏勘现场的，招标人按投标人须知前附表规定的时间、地点组织投标人踏勘项目现场。部分投标人未按时参加踏勘现场的，不影响踏勘现场的正常进行。招标人不得组织单个或部分投标人踏勘项目现场。 </w:t>
      </w:r>
    </w:p>
    <w:p w14:paraId="203AB13C">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1.9.2 投标人踏勘现场发生的费用自理。</w:t>
      </w:r>
    </w:p>
    <w:p w14:paraId="2CDF16B1">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1.9.3 除招标人的原因外，投标人自行负责在踏勘现场中所发生的人员伤亡和财产损失。</w:t>
      </w:r>
    </w:p>
    <w:p w14:paraId="25EDC5C4">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1.9.4 招标人在踏勘现场中介绍的工程场地和相关的周边环境情况，供投标人在编制投标文件时参考，招标人不对投标人据此作出的判断和决策负责。</w:t>
      </w:r>
    </w:p>
    <w:p w14:paraId="21BDD3FF">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1.9.5无论投标人是否到施工现场实地踏勘，中标后签订合同时和履约过程中，投标人不得以不完全了解现场情况或现场情况与招标文件描述不一致等为由，提出任何形式的增加工程造价或索赔的要求。</w:t>
      </w:r>
    </w:p>
    <w:p w14:paraId="53A5F9A3">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190" w:name="_Toc95223346"/>
      <w:bookmarkStart w:id="191" w:name="_Toc83301698"/>
      <w:r>
        <w:rPr>
          <w:rFonts w:hint="eastAsia" w:ascii="黑体" w:hAnsi="黑体" w:eastAsia="黑体" w:cs="黑体"/>
          <w:color w:val="auto"/>
          <w:sz w:val="21"/>
          <w:szCs w:val="21"/>
          <w:highlight w:val="none"/>
        </w:rPr>
        <w:t>1.10 投标预备会</w:t>
      </w:r>
      <w:bookmarkEnd w:id="179"/>
      <w:bookmarkEnd w:id="180"/>
      <w:bookmarkEnd w:id="181"/>
      <w:bookmarkEnd w:id="182"/>
      <w:bookmarkEnd w:id="183"/>
      <w:bookmarkEnd w:id="184"/>
      <w:bookmarkEnd w:id="185"/>
      <w:bookmarkEnd w:id="186"/>
      <w:bookmarkEnd w:id="187"/>
      <w:bookmarkEnd w:id="188"/>
      <w:bookmarkEnd w:id="189"/>
      <w:bookmarkEnd w:id="190"/>
      <w:bookmarkEnd w:id="191"/>
    </w:p>
    <w:p w14:paraId="52843ED4">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1.10.1投标人须知前附表规定召开投标预备会的，招标人按投标人须知前附表规定的时间和地点召开投标预备会，澄清投标人提出的问题。</w:t>
      </w:r>
    </w:p>
    <w:p w14:paraId="32C67537">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1.10.2投标人应在投标人须知前附表规定的时间前，将提出的问题送达招标人，以便招标人澄清。</w:t>
      </w:r>
    </w:p>
    <w:p w14:paraId="6E38FF6E">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192" w:name="_Toc324404826"/>
      <w:bookmarkStart w:id="193" w:name="_Toc15058857"/>
      <w:bookmarkStart w:id="194" w:name="_Toc506107280"/>
      <w:bookmarkStart w:id="195" w:name="_Toc296602431"/>
      <w:bookmarkStart w:id="196" w:name="_Toc95223347"/>
      <w:bookmarkStart w:id="197" w:name="_Toc83301699"/>
      <w:bookmarkStart w:id="198" w:name="_Toc60061444"/>
      <w:r>
        <w:rPr>
          <w:rFonts w:hint="eastAsia" w:ascii="黑体" w:hAnsi="黑体" w:eastAsia="黑体" w:cs="黑体"/>
          <w:color w:val="auto"/>
          <w:sz w:val="21"/>
          <w:szCs w:val="21"/>
          <w:highlight w:val="none"/>
        </w:rPr>
        <w:t xml:space="preserve">1.11 </w:t>
      </w:r>
      <w:bookmarkEnd w:id="192"/>
      <w:bookmarkEnd w:id="193"/>
      <w:bookmarkEnd w:id="194"/>
      <w:bookmarkEnd w:id="195"/>
      <w:r>
        <w:rPr>
          <w:rFonts w:hint="eastAsia" w:ascii="黑体" w:hAnsi="黑体" w:eastAsia="黑体" w:cs="黑体"/>
          <w:color w:val="auto"/>
          <w:sz w:val="21"/>
          <w:szCs w:val="21"/>
          <w:highlight w:val="none"/>
        </w:rPr>
        <w:t>分包</w:t>
      </w:r>
      <w:bookmarkEnd w:id="196"/>
      <w:bookmarkEnd w:id="197"/>
      <w:bookmarkEnd w:id="198"/>
    </w:p>
    <w:p w14:paraId="6243511E">
      <w:pPr>
        <w:pStyle w:val="19"/>
        <w:adjustRightInd w:val="0"/>
        <w:snapToGrid w:val="0"/>
        <w:spacing w:after="0" w:line="560" w:lineRule="exact"/>
        <w:ind w:left="0" w:leftChars="0" w:firstLine="420" w:firstLineChars="200"/>
        <w:rPr>
          <w:rFonts w:hint="eastAsia"/>
          <w:color w:val="auto"/>
          <w:highlight w:val="none"/>
        </w:rPr>
      </w:pPr>
      <w:r>
        <w:rPr>
          <w:rFonts w:hint="eastAsia"/>
          <w:color w:val="auto"/>
          <w:highlight w:val="none"/>
        </w:rPr>
        <w:t>1.11.1 投标人拟在中标后将中标项目的部分非主体、非关键性工作进行分包的，应符合以下规定：</w:t>
      </w:r>
    </w:p>
    <w:p w14:paraId="5B0A586B">
      <w:pPr>
        <w:pStyle w:val="19"/>
        <w:adjustRightInd w:val="0"/>
        <w:snapToGrid w:val="0"/>
        <w:spacing w:after="0" w:line="560" w:lineRule="exact"/>
        <w:ind w:left="0" w:leftChars="0" w:firstLine="0" w:firstLineChars="0"/>
        <w:rPr>
          <w:rFonts w:hint="eastAsia"/>
          <w:color w:val="auto"/>
          <w:highlight w:val="none"/>
        </w:rPr>
      </w:pPr>
      <w:r>
        <w:rPr>
          <w:rFonts w:hint="eastAsia"/>
          <w:color w:val="auto"/>
          <w:highlight w:val="none"/>
        </w:rPr>
        <w:t>（1）分包内容要求：招标人允许分包或不允许分包的专业工程（如有）应在投标人须知前附表中载明；</w:t>
      </w:r>
    </w:p>
    <w:p w14:paraId="170EB352">
      <w:pPr>
        <w:pStyle w:val="19"/>
        <w:adjustRightInd w:val="0"/>
        <w:snapToGrid w:val="0"/>
        <w:spacing w:after="0" w:line="560" w:lineRule="exact"/>
        <w:ind w:left="0" w:leftChars="0" w:firstLine="0" w:firstLineChars="0"/>
        <w:rPr>
          <w:rFonts w:hint="eastAsia"/>
          <w:color w:val="auto"/>
          <w:highlight w:val="none"/>
        </w:rPr>
      </w:pPr>
      <w:r>
        <w:rPr>
          <w:rFonts w:hint="eastAsia"/>
          <w:color w:val="auto"/>
          <w:highlight w:val="none"/>
        </w:rPr>
        <w:t>（2）接受分包的第三人资格要求：分包人的资格能力应与其分包工程的标准和规模相适应，且具备投标人须知前附表中规定的资格条件；</w:t>
      </w:r>
    </w:p>
    <w:p w14:paraId="596271D9">
      <w:pPr>
        <w:pStyle w:val="19"/>
        <w:adjustRightInd w:val="0"/>
        <w:snapToGrid w:val="0"/>
        <w:spacing w:after="0" w:line="560" w:lineRule="exact"/>
        <w:ind w:left="0" w:leftChars="0" w:firstLine="0" w:firstLineChars="0"/>
        <w:rPr>
          <w:rFonts w:hint="eastAsia"/>
          <w:color w:val="auto"/>
          <w:highlight w:val="none"/>
        </w:rPr>
      </w:pPr>
      <w:r>
        <w:rPr>
          <w:rFonts w:hint="eastAsia"/>
          <w:color w:val="auto"/>
          <w:highlight w:val="none"/>
        </w:rPr>
        <w:t>（3）其他要求：投标人如有分包计划，应按第九章“投标文件格式”的要求填写“拟分包项目情况表”，明确拟分包的工程及规模，且投标人中标后的分包应满足合同条款的相关要求。</w:t>
      </w:r>
    </w:p>
    <w:p w14:paraId="6049D9ED">
      <w:pPr>
        <w:pStyle w:val="19"/>
        <w:adjustRightInd w:val="0"/>
        <w:snapToGrid w:val="0"/>
        <w:spacing w:after="0" w:line="560" w:lineRule="exact"/>
        <w:ind w:left="0" w:leftChars="0" w:firstLine="0" w:firstLineChars="0"/>
        <w:rPr>
          <w:rFonts w:hint="eastAsia"/>
          <w:color w:val="auto"/>
          <w:highlight w:val="none"/>
        </w:rPr>
      </w:pPr>
      <w:r>
        <w:rPr>
          <w:rFonts w:hint="eastAsia"/>
          <w:color w:val="auto"/>
          <w:highlight w:val="none"/>
        </w:rPr>
        <w:t xml:space="preserve">   1.11.2中标人不得向他人转让中标项目，接受分包的人不得再次分包。中标人应就分包项目</w:t>
      </w:r>
    </w:p>
    <w:p w14:paraId="337FE0FE">
      <w:pPr>
        <w:pStyle w:val="19"/>
        <w:adjustRightInd w:val="0"/>
        <w:snapToGrid w:val="0"/>
        <w:spacing w:after="0" w:line="560" w:lineRule="exact"/>
        <w:ind w:left="0" w:leftChars="0" w:firstLine="0" w:firstLineChars="0"/>
        <w:rPr>
          <w:rFonts w:hint="eastAsia"/>
          <w:color w:val="auto"/>
          <w:highlight w:val="none"/>
        </w:rPr>
      </w:pPr>
      <w:r>
        <w:rPr>
          <w:rFonts w:hint="eastAsia"/>
          <w:color w:val="auto"/>
          <w:highlight w:val="none"/>
        </w:rPr>
        <w:t>向招标人负责，接受分包的人就分包项目承担连带责任。</w:t>
      </w:r>
    </w:p>
    <w:p w14:paraId="7325CE34">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199" w:name="_Toc95223348"/>
      <w:bookmarkStart w:id="200" w:name="_Toc83301700"/>
      <w:bookmarkStart w:id="201" w:name="_Toc60061445"/>
      <w:r>
        <w:rPr>
          <w:rFonts w:hint="eastAsia" w:ascii="黑体" w:hAnsi="黑体" w:eastAsia="黑体" w:cs="黑体"/>
          <w:color w:val="auto"/>
          <w:sz w:val="21"/>
          <w:szCs w:val="21"/>
          <w:highlight w:val="none"/>
        </w:rPr>
        <w:t>1.12 偏离</w:t>
      </w:r>
      <w:bookmarkEnd w:id="199"/>
      <w:bookmarkEnd w:id="200"/>
      <w:bookmarkEnd w:id="201"/>
    </w:p>
    <w:p w14:paraId="6EBC4A6A">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1.12.1投标文件偏离招标文件某些要求，视为投标文件存在偏差。偏差包括重大偏差和细微偏差。</w:t>
      </w:r>
    </w:p>
    <w:p w14:paraId="5781AC1C">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1.12.2投标文件应对招标文件的实质性要求和条件作出满足性或更有利于招标人的响应，否则，视为投标文件存在重大偏差，投标人的投标将被否决。</w:t>
      </w:r>
    </w:p>
    <w:p w14:paraId="68158E9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投标文件存在第四章“评标办法”中所列任一无效投标情形的，均属于存在重大偏差。</w:t>
      </w:r>
    </w:p>
    <w:p w14:paraId="60F2F425">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1.12.3投标文件中的下列偏差为细微偏差：</w:t>
      </w:r>
    </w:p>
    <w:p w14:paraId="520BEDCC">
      <w:pPr>
        <w:tabs>
          <w:tab w:val="left" w:pos="1014"/>
        </w:tabs>
        <w:adjustRightInd w:val="0"/>
        <w:snapToGrid w:val="0"/>
        <w:spacing w:line="600" w:lineRule="exact"/>
        <w:ind w:firstLine="420" w:firstLineChars="200"/>
        <w:rPr>
          <w:rFonts w:hint="eastAsia"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1）在按照第四章“评标办法”的规定对投标价进行算术性错误修正及其他错误修正后，最终投标报价未超过最高投标限价（如有）或未被否决投标的情况下，出现第四章“评标办法”规定的算术性错误和投标报价的其他错误；</w:t>
      </w:r>
    </w:p>
    <w:p w14:paraId="314FB128">
      <w:pPr>
        <w:tabs>
          <w:tab w:val="left" w:pos="1014"/>
        </w:tabs>
        <w:adjustRightInd w:val="0"/>
        <w:snapToGrid w:val="0"/>
        <w:spacing w:line="600" w:lineRule="exact"/>
        <w:ind w:firstLine="420" w:firstLineChars="200"/>
        <w:rPr>
          <w:rFonts w:hint="eastAsia"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（2）投标文件个别文字有遗漏错误等不影响投标文件实质性内容的偏差。</w:t>
      </w:r>
    </w:p>
    <w:p w14:paraId="3DE6F64C">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1.12.4评标委员会对投标文件中的细微偏差按如下规定处理：</w:t>
      </w:r>
    </w:p>
    <w:p w14:paraId="5B08ACE1">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对于本章第 1.12.3 项（1）目所述的细微偏差，按照第四章“评标办法”的规定予以修正并要求投标人进行澄清；</w:t>
      </w:r>
    </w:p>
    <w:p w14:paraId="73C54AA5">
      <w:pPr>
        <w:pStyle w:val="3"/>
        <w:adjustRightInd w:val="0"/>
        <w:snapToGrid w:val="0"/>
        <w:spacing w:before="0" w:after="0" w:line="560" w:lineRule="exact"/>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对于本章第 1.12.3 项（2）目所述的细微偏差，可要求投标人对细微偏差进行澄清。</w:t>
      </w:r>
      <w:bookmarkStart w:id="202" w:name="_Toc246996930"/>
      <w:bookmarkStart w:id="203" w:name="_Toc83301701"/>
      <w:bookmarkStart w:id="204" w:name="_Toc179632560"/>
      <w:bookmarkStart w:id="205" w:name="_Toc247085701"/>
      <w:bookmarkStart w:id="206" w:name="_Toc152042318"/>
      <w:bookmarkStart w:id="207" w:name="_Toc506107281"/>
      <w:bookmarkStart w:id="208" w:name="_Toc95223349"/>
      <w:bookmarkStart w:id="209" w:name="_Toc246996187"/>
      <w:bookmarkStart w:id="210" w:name="_Toc324404827"/>
      <w:bookmarkStart w:id="211" w:name="_Toc144974510"/>
      <w:bookmarkStart w:id="212" w:name="_Toc60061446"/>
      <w:bookmarkStart w:id="213" w:name="_Toc15058858"/>
      <w:bookmarkStart w:id="214" w:name="_Toc152045542"/>
    </w:p>
    <w:p w14:paraId="3238E5D3">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r>
        <w:rPr>
          <w:rFonts w:hint="eastAsia" w:ascii="黑体" w:hAnsi="黑体" w:cs="黑体"/>
          <w:color w:val="auto"/>
          <w:sz w:val="21"/>
          <w:szCs w:val="21"/>
          <w:highlight w:val="none"/>
        </w:rPr>
        <w:t>2. 招标文件</w:t>
      </w:r>
      <w:bookmarkEnd w:id="202"/>
      <w:bookmarkEnd w:id="203"/>
      <w:bookmarkEnd w:id="204"/>
      <w:bookmarkEnd w:id="205"/>
      <w:bookmarkEnd w:id="206"/>
      <w:bookmarkEnd w:id="207"/>
      <w:bookmarkEnd w:id="208"/>
      <w:bookmarkEnd w:id="209"/>
      <w:bookmarkEnd w:id="210"/>
      <w:bookmarkEnd w:id="211"/>
      <w:bookmarkEnd w:id="212"/>
      <w:bookmarkEnd w:id="213"/>
      <w:bookmarkEnd w:id="214"/>
    </w:p>
    <w:p w14:paraId="4FBA07BF">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215" w:name="_Toc296602433"/>
      <w:bookmarkStart w:id="216" w:name="_Toc179632561"/>
      <w:bookmarkStart w:id="217" w:name="_Toc246996931"/>
      <w:bookmarkStart w:id="218" w:name="_Toc144974511"/>
      <w:bookmarkStart w:id="219" w:name="_Toc83301702"/>
      <w:bookmarkStart w:id="220" w:name="_Toc95223350"/>
      <w:bookmarkStart w:id="221" w:name="_Toc247085702"/>
      <w:bookmarkStart w:id="222" w:name="_Toc152045543"/>
      <w:bookmarkStart w:id="223" w:name="_Toc15058859"/>
      <w:bookmarkStart w:id="224" w:name="_Toc246996188"/>
      <w:bookmarkStart w:id="225" w:name="_Toc60061447"/>
      <w:bookmarkStart w:id="226" w:name="_Toc324404828"/>
      <w:bookmarkStart w:id="227" w:name="_Toc506107282"/>
      <w:bookmarkStart w:id="228" w:name="_Toc152042319"/>
      <w:r>
        <w:rPr>
          <w:rFonts w:hint="eastAsia" w:ascii="黑体" w:hAnsi="黑体" w:eastAsia="黑体" w:cs="黑体"/>
          <w:color w:val="auto"/>
          <w:sz w:val="21"/>
          <w:szCs w:val="21"/>
          <w:highlight w:val="none"/>
        </w:rPr>
        <w:t>2.1 招标文件的组成</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7AB57658">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2.1.1 本招标文件包括：</w:t>
      </w:r>
    </w:p>
    <w:p w14:paraId="2E5152E0">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（1）招标公告；</w:t>
      </w:r>
    </w:p>
    <w:p w14:paraId="74A17ABB">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（2）投标人须知；</w:t>
      </w:r>
    </w:p>
    <w:p w14:paraId="7F4C374F">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（3）资格审查办法</w:t>
      </w:r>
    </w:p>
    <w:p w14:paraId="198062C3">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（4）评标办法；</w:t>
      </w:r>
    </w:p>
    <w:p w14:paraId="6FC0E3A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（5）合同条款及格式；</w:t>
      </w:r>
    </w:p>
    <w:p w14:paraId="2386F056">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（6）工程量清单； </w:t>
      </w:r>
    </w:p>
    <w:p w14:paraId="2047177A">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（7）图纸；</w:t>
      </w:r>
    </w:p>
    <w:p w14:paraId="03259F6F">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（8）技术标准和要求； </w:t>
      </w:r>
    </w:p>
    <w:p w14:paraId="7F7EA128">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（9）投标文件格式；</w:t>
      </w:r>
    </w:p>
    <w:p w14:paraId="77171128">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（10）投标人须知前附表规定的其他材料。</w:t>
      </w:r>
    </w:p>
    <w:p w14:paraId="60BDAA22">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2.1.2 根据本章第1.10款、第2.2款和第2.3款对招标文件所作的澄清、修改，构成招标文件的组成部分。</w:t>
      </w:r>
    </w:p>
    <w:p w14:paraId="35792E7F">
      <w:pPr>
        <w:pStyle w:val="11"/>
        <w:adjustRightInd w:val="0"/>
        <w:snapToGrid w:val="0"/>
        <w:spacing w:after="0"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2.1.3当招标文件、招标文件的澄清或修改等在同一内容的表述上不一致时，以最后发出的文件为准。</w:t>
      </w:r>
    </w:p>
    <w:p w14:paraId="4FD4DADA">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229" w:name="_Toc296602434"/>
      <w:bookmarkStart w:id="230" w:name="_Toc144974512"/>
      <w:bookmarkStart w:id="231" w:name="_Toc15058860"/>
      <w:bookmarkStart w:id="232" w:name="_Toc246996932"/>
      <w:bookmarkStart w:id="233" w:name="_Toc324404829"/>
      <w:bookmarkStart w:id="234" w:name="_Toc246996189"/>
      <w:bookmarkStart w:id="235" w:name="_Toc152045544"/>
      <w:bookmarkStart w:id="236" w:name="_Toc152042320"/>
      <w:bookmarkStart w:id="237" w:name="_Toc506107283"/>
      <w:bookmarkStart w:id="238" w:name="_Toc247085703"/>
      <w:bookmarkStart w:id="239" w:name="_Toc60061448"/>
      <w:bookmarkStart w:id="240" w:name="_Toc179632562"/>
      <w:bookmarkStart w:id="241" w:name="_Toc83301703"/>
      <w:bookmarkStart w:id="242" w:name="_Toc95223351"/>
      <w:bookmarkStart w:id="243" w:name="_Toc60061451"/>
      <w:bookmarkStart w:id="244" w:name="_Toc506107285"/>
      <w:bookmarkStart w:id="245" w:name="_Toc152042322"/>
      <w:bookmarkStart w:id="246" w:name="_Toc179632564"/>
      <w:bookmarkStart w:id="247" w:name="_Toc15058863"/>
      <w:bookmarkStart w:id="248" w:name="_Toc246996934"/>
      <w:bookmarkStart w:id="249" w:name="_Toc152045546"/>
      <w:bookmarkStart w:id="250" w:name="_Toc144974514"/>
      <w:bookmarkStart w:id="251" w:name="_Toc246996191"/>
      <w:bookmarkStart w:id="252" w:name="_Toc247085705"/>
      <w:bookmarkStart w:id="253" w:name="_Toc324404832"/>
      <w:bookmarkStart w:id="254" w:name="_Toc83301706"/>
      <w:bookmarkStart w:id="255" w:name="_Toc95223354"/>
      <w:r>
        <w:rPr>
          <w:rFonts w:hint="eastAsia" w:ascii="黑体" w:hAnsi="黑体" w:eastAsia="黑体" w:cs="黑体"/>
          <w:color w:val="auto"/>
          <w:sz w:val="21"/>
          <w:szCs w:val="21"/>
          <w:highlight w:val="none"/>
        </w:rPr>
        <w:t>2.2招标文件的异议</w:t>
      </w:r>
    </w:p>
    <w:p w14:paraId="30474DA9">
      <w:pPr>
        <w:pStyle w:val="19"/>
        <w:adjustRightInd w:val="0"/>
        <w:snapToGrid w:val="0"/>
        <w:spacing w:after="0" w:line="560" w:lineRule="exact"/>
        <w:ind w:left="0" w:leftChars="0" w:firstLine="0" w:firstLineChars="0"/>
        <w:rPr>
          <w:rFonts w:hint="eastAsia"/>
          <w:color w:val="auto"/>
          <w:highlight w:val="none"/>
        </w:rPr>
      </w:pPr>
      <w:r>
        <w:rPr>
          <w:rFonts w:hint="eastAsia"/>
          <w:color w:val="auto"/>
          <w:highlight w:val="none"/>
        </w:rPr>
        <w:t xml:space="preserve"> </w:t>
      </w:r>
      <w:r>
        <w:rPr>
          <w:rFonts w:hint="eastAsia" w:ascii="宋体" w:hAnsi="宋体" w:eastAsia="宋体" w:cs="宋体"/>
          <w:color w:val="auto"/>
          <w:kern w:val="2"/>
          <w:sz w:val="21"/>
          <w:szCs w:val="21"/>
          <w:highlight w:val="none"/>
          <w:lang w:val="en-US" w:eastAsia="zh-CN" w:bidi="ar-SA"/>
        </w:rPr>
        <w:t xml:space="preserve">  投标人或其他利害关系人投标人应仔细阅读和检查招标文件的全部内容，对招标文件有异议的，应在投标截止时间10日前以投标人须知前附表规定的网上留言或书面形式提出。招标人将在收到异议之日起3日内作出答复；作出答复前，将暂停招标投标活动。</w:t>
      </w:r>
    </w:p>
    <w:p w14:paraId="53DDE578">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r>
        <w:rPr>
          <w:rFonts w:ascii="黑体" w:hAnsi="黑体" w:eastAsia="黑体" w:cs="黑体"/>
          <w:color w:val="auto"/>
          <w:sz w:val="21"/>
          <w:szCs w:val="21"/>
          <w:highlight w:val="none"/>
        </w:rPr>
        <w:t>2.3</w:t>
      </w:r>
      <w:r>
        <w:rPr>
          <w:rFonts w:hint="eastAsia" w:ascii="黑体" w:hAnsi="黑体" w:eastAsia="黑体" w:cs="黑体"/>
          <w:color w:val="auto"/>
          <w:sz w:val="21"/>
          <w:szCs w:val="21"/>
          <w:highlight w:val="none"/>
        </w:rPr>
        <w:t>招标文件的澄清</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Pr>
          <w:rFonts w:hint="eastAsia" w:ascii="黑体" w:hAnsi="黑体" w:eastAsia="黑体" w:cs="黑体"/>
          <w:color w:val="auto"/>
          <w:sz w:val="21"/>
          <w:szCs w:val="21"/>
          <w:highlight w:val="none"/>
        </w:rPr>
        <w:t xml:space="preserve"> </w:t>
      </w:r>
    </w:p>
    <w:p w14:paraId="59AAA816">
      <w:pPr>
        <w:adjustRightInd w:val="0"/>
        <w:snapToGrid w:val="0"/>
        <w:spacing w:line="560" w:lineRule="exact"/>
        <w:ind w:firstLine="420" w:firstLineChars="200"/>
        <w:rPr>
          <w:rFonts w:hint="eastAsia"/>
          <w:color w:val="auto"/>
          <w:highlight w:val="none"/>
        </w:rPr>
      </w:pPr>
      <w:r>
        <w:rPr>
          <w:rFonts w:hint="eastAsia" w:ascii="宋体" w:hAnsi="宋体" w:cs="宋体"/>
          <w:color w:val="auto"/>
          <w:szCs w:val="21"/>
          <w:highlight w:val="none"/>
        </w:rPr>
        <w:t>招标人可以澄清招标文件，并以投标人须知前附表规定澄清的方式在滁州市公共资源交易中心网站发布。但如果修改招标文件的时间距投标截止时间不足15天，并且修改内容影响投标文件编制的，将相应延长投标截止时间。</w:t>
      </w:r>
    </w:p>
    <w:p w14:paraId="4A81470A">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r>
        <w:rPr>
          <w:rFonts w:hint="eastAsia" w:ascii="黑体" w:hAnsi="黑体" w:cs="黑体"/>
          <w:color w:val="auto"/>
          <w:sz w:val="21"/>
          <w:szCs w:val="21"/>
          <w:highlight w:val="none"/>
        </w:rPr>
        <w:t>3. 投标文件</w:t>
      </w:r>
      <w:bookmarkEnd w:id="243"/>
      <w:bookmarkEnd w:id="244"/>
      <w:bookmarkEnd w:id="245"/>
      <w:bookmarkEnd w:id="246"/>
      <w:bookmarkEnd w:id="247"/>
      <w:bookmarkEnd w:id="248"/>
      <w:bookmarkEnd w:id="249"/>
      <w:bookmarkEnd w:id="250"/>
      <w:bookmarkEnd w:id="251"/>
      <w:bookmarkEnd w:id="252"/>
      <w:bookmarkEnd w:id="253"/>
      <w:bookmarkEnd w:id="254"/>
      <w:bookmarkEnd w:id="255"/>
    </w:p>
    <w:p w14:paraId="3F11A7DE">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256" w:name="_Toc144974515"/>
      <w:bookmarkStart w:id="257" w:name="_Toc179632565"/>
      <w:bookmarkStart w:id="258" w:name="_Toc152045547"/>
      <w:bookmarkStart w:id="259" w:name="_Toc60061452"/>
      <w:bookmarkStart w:id="260" w:name="_Toc296602437"/>
      <w:bookmarkStart w:id="261" w:name="_Toc506107286"/>
      <w:bookmarkStart w:id="262" w:name="_Toc247085706"/>
      <w:bookmarkStart w:id="263" w:name="_Toc246996935"/>
      <w:bookmarkStart w:id="264" w:name="_Toc95223355"/>
      <w:bookmarkStart w:id="265" w:name="_Toc83301707"/>
      <w:bookmarkStart w:id="266" w:name="_Toc324404833"/>
      <w:bookmarkStart w:id="267" w:name="_Toc152042323"/>
      <w:bookmarkStart w:id="268" w:name="_Toc246996192"/>
      <w:bookmarkStart w:id="269" w:name="_Toc15058864"/>
      <w:r>
        <w:rPr>
          <w:rFonts w:hint="eastAsia" w:ascii="黑体" w:hAnsi="黑体" w:eastAsia="黑体" w:cs="黑体"/>
          <w:color w:val="auto"/>
          <w:sz w:val="21"/>
          <w:szCs w:val="21"/>
          <w:highlight w:val="none"/>
        </w:rPr>
        <w:t>3.1 投标文件的组成</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38E44B99">
      <w:pPr>
        <w:adjustRightInd w:val="0"/>
        <w:snapToGrid w:val="0"/>
        <w:spacing w:line="560" w:lineRule="exact"/>
        <w:ind w:firstLine="420" w:firstLineChars="200"/>
        <w:rPr>
          <w:rFonts w:hint="eastAsia" w:ascii="宋体" w:hAnsi="宋体" w:cs="宋体"/>
          <w:color w:val="auto"/>
          <w:szCs w:val="21"/>
          <w:highlight w:val="none"/>
        </w:rPr>
      </w:pPr>
      <w:bookmarkStart w:id="270" w:name="_Toc506107287"/>
      <w:bookmarkStart w:id="271" w:name="_Toc246996936"/>
      <w:bookmarkStart w:id="272" w:name="_Toc152042324"/>
      <w:bookmarkStart w:id="273" w:name="_Toc152045548"/>
      <w:bookmarkStart w:id="274" w:name="_Toc60061453"/>
      <w:bookmarkStart w:id="275" w:name="_Toc246996193"/>
      <w:bookmarkStart w:id="276" w:name="_Toc144974516"/>
      <w:bookmarkStart w:id="277" w:name="_Toc296602438"/>
      <w:bookmarkStart w:id="278" w:name="_Toc179632566"/>
      <w:bookmarkStart w:id="279" w:name="_Toc83301708"/>
      <w:bookmarkStart w:id="280" w:name="_Toc95223356"/>
      <w:bookmarkStart w:id="281" w:name="_Toc15058865"/>
      <w:bookmarkStart w:id="282" w:name="_Toc247085707"/>
      <w:bookmarkStart w:id="283" w:name="_Toc324404834"/>
      <w:r>
        <w:rPr>
          <w:rFonts w:hint="eastAsia" w:ascii="宋体" w:hAnsi="宋体" w:cs="宋体"/>
          <w:color w:val="auto"/>
          <w:szCs w:val="21"/>
          <w:highlight w:val="none"/>
        </w:rPr>
        <w:t>3.1.1 投标文件应包括下列内容：</w:t>
      </w:r>
    </w:p>
    <w:p w14:paraId="6D649DA5">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资信证明文件：</w:t>
      </w:r>
    </w:p>
    <w:p w14:paraId="4C921947">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（1）投标人基本情况表（联合体投标的，联合体各方均须提供）；</w:t>
      </w:r>
    </w:p>
    <w:p w14:paraId="070C195F">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（2）近年财务状况表（</w:t>
      </w:r>
      <w:r>
        <w:rPr>
          <w:rFonts w:hint="eastAsia" w:ascii="宋体" w:hAnsi="宋体" w:cs="宋体"/>
          <w:color w:val="auto"/>
          <w:szCs w:val="21"/>
          <w:highlight w:val="none"/>
          <w:lang w:val="en-US" w:eastAsia="zh-CN"/>
        </w:rPr>
        <w:t>本项目不采用</w:t>
      </w:r>
      <w:r>
        <w:rPr>
          <w:rFonts w:hint="eastAsia" w:ascii="宋体" w:hAnsi="宋体" w:cs="宋体"/>
          <w:color w:val="auto"/>
          <w:szCs w:val="21"/>
          <w:highlight w:val="none"/>
        </w:rPr>
        <w:t>）；</w:t>
      </w:r>
    </w:p>
    <w:p w14:paraId="6B88E063">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（3）近年完成的类似项目情况表（</w:t>
      </w:r>
      <w:r>
        <w:rPr>
          <w:rFonts w:hint="eastAsia" w:ascii="宋体" w:hAnsi="宋体" w:cs="宋体"/>
          <w:color w:val="auto"/>
          <w:szCs w:val="21"/>
          <w:highlight w:val="none"/>
          <w:lang w:val="en-US" w:eastAsia="zh-CN"/>
        </w:rPr>
        <w:t>本项目不采用</w:t>
      </w:r>
      <w:r>
        <w:rPr>
          <w:rFonts w:hint="eastAsia" w:ascii="宋体" w:hAnsi="宋体" w:cs="宋体"/>
          <w:color w:val="auto"/>
          <w:szCs w:val="21"/>
          <w:highlight w:val="none"/>
        </w:rPr>
        <w:t>）；</w:t>
      </w:r>
    </w:p>
    <w:p w14:paraId="4D4044DF">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（4）正在实施的和新承接的项目情况表（</w:t>
      </w:r>
      <w:r>
        <w:rPr>
          <w:rFonts w:hint="eastAsia" w:ascii="宋体" w:hAnsi="宋体" w:cs="宋体"/>
          <w:color w:val="auto"/>
          <w:szCs w:val="21"/>
          <w:highlight w:val="none"/>
          <w:lang w:val="en-US" w:eastAsia="zh-CN"/>
        </w:rPr>
        <w:t>本项目不采用</w:t>
      </w:r>
      <w:r>
        <w:rPr>
          <w:rFonts w:hint="eastAsia" w:ascii="宋体" w:hAnsi="宋体" w:cs="宋体"/>
          <w:color w:val="auto"/>
          <w:szCs w:val="21"/>
          <w:highlight w:val="none"/>
        </w:rPr>
        <w:t>）；</w:t>
      </w:r>
    </w:p>
    <w:p w14:paraId="6FCA42E9">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（5）联合体协议书 （如有）；</w:t>
      </w:r>
    </w:p>
    <w:p w14:paraId="2C8A47DC">
      <w:pPr>
        <w:adjustRightInd w:val="0"/>
        <w:snapToGrid w:val="0"/>
        <w:spacing w:line="560" w:lineRule="exact"/>
        <w:ind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中小企业声明函（如有）；</w:t>
      </w:r>
    </w:p>
    <w:p w14:paraId="71FE7ABA">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）项目管理机构；</w:t>
      </w:r>
    </w:p>
    <w:p w14:paraId="7872E12B">
      <w:pPr>
        <w:adjustRightInd w:val="0"/>
        <w:snapToGrid w:val="0"/>
        <w:spacing w:line="56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）其他资格审查资料</w:t>
      </w:r>
      <w:r>
        <w:rPr>
          <w:rFonts w:hint="eastAsia" w:ascii="宋体" w:hAnsi="宋体" w:cs="宋体"/>
          <w:color w:val="auto"/>
          <w:szCs w:val="21"/>
          <w:highlight w:val="none"/>
          <w:lang w:eastAsia="zh-CN"/>
        </w:rPr>
        <w:t>；</w:t>
      </w:r>
    </w:p>
    <w:p w14:paraId="243F8082">
      <w:pPr>
        <w:adjustRightInd w:val="0"/>
        <w:snapToGrid w:val="0"/>
        <w:spacing w:line="560" w:lineRule="exact"/>
        <w:ind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9）定标材料（如有）。</w:t>
      </w:r>
    </w:p>
    <w:p w14:paraId="26F4D53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技术标文件：</w:t>
      </w:r>
    </w:p>
    <w:p w14:paraId="242262AF">
      <w:pPr>
        <w:adjustRightInd w:val="0"/>
        <w:snapToGrid w:val="0"/>
        <w:spacing w:line="560" w:lineRule="exact"/>
        <w:ind w:firstLine="420" w:firstLineChars="200"/>
        <w:rPr>
          <w:rFonts w:hint="eastAsia" w:ascii="宋体" w:hAnsi="宋体"/>
          <w:color w:val="auto"/>
          <w:szCs w:val="21"/>
          <w:highlight w:val="none"/>
          <w:lang w:val="en-US" w:eastAsia="zh-CN"/>
        </w:rPr>
      </w:pPr>
      <w:r>
        <w:rPr>
          <w:rFonts w:hint="eastAsia" w:ascii="宋体" w:hAnsi="宋体" w:cs="宋体"/>
          <w:color w:val="auto"/>
          <w:szCs w:val="21"/>
          <w:highlight w:val="none"/>
        </w:rPr>
        <w:t>（1）施工组织设计；</w:t>
      </w:r>
      <w:r>
        <w:rPr>
          <w:rFonts w:hint="eastAsia" w:ascii="宋体" w:hAnsi="宋体" w:cs="宋体"/>
          <w:b/>
          <w:color w:val="auto"/>
          <w:szCs w:val="21"/>
          <w:highlight w:val="none"/>
        </w:rPr>
        <w:t>（根据评分细则评审内容共有10项内容，系统中分别设置为施工组织设计1、2、3.....10）</w:t>
      </w:r>
      <w:r>
        <w:rPr>
          <w:rFonts w:hint="eastAsia" w:ascii="宋体" w:hAnsi="宋体"/>
          <w:color w:val="auto"/>
          <w:szCs w:val="21"/>
          <w:highlight w:val="none"/>
          <w:lang w:val="en-US" w:eastAsia="zh-CN"/>
        </w:rPr>
        <w:t xml:space="preserve">     </w:t>
      </w:r>
    </w:p>
    <w:p w14:paraId="602618F1">
      <w:pPr>
        <w:numPr>
          <w:ilvl w:val="0"/>
          <w:numId w:val="0"/>
        </w:numPr>
        <w:adjustRightInd w:val="0"/>
        <w:snapToGrid w:val="0"/>
        <w:spacing w:line="560" w:lineRule="exact"/>
        <w:rPr>
          <w:rFonts w:hint="eastAsia" w:ascii="宋体" w:hAnsi="宋体" w:cs="宋体"/>
          <w:color w:val="auto"/>
          <w:szCs w:val="21"/>
          <w:highlight w:val="none"/>
        </w:rPr>
      </w:pPr>
      <w:r>
        <w:rPr>
          <w:rFonts w:hint="eastAsia" w:ascii="宋体" w:hAnsi="宋体" w:cs="宋体"/>
          <w:b/>
          <w:bCs/>
          <w:color w:val="auto"/>
          <w:szCs w:val="21"/>
          <w:highlight w:val="none"/>
        </w:rPr>
        <w:t>注：本项目采用横向暗标评审，请投标人结合技术标评审细则和系统内容在对应模块上传技术标评审内容。</w:t>
      </w:r>
    </w:p>
    <w:p w14:paraId="76172178">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商务标文件：</w:t>
      </w:r>
    </w:p>
    <w:p w14:paraId="544D0157">
      <w:pPr>
        <w:adjustRightInd w:val="0"/>
        <w:snapToGrid w:val="0"/>
        <w:spacing w:line="5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（1）投标函；</w:t>
      </w:r>
    </w:p>
    <w:p w14:paraId="0E0C2259">
      <w:pPr>
        <w:adjustRightInd w:val="0"/>
        <w:snapToGrid w:val="0"/>
        <w:spacing w:line="560" w:lineRule="exact"/>
        <w:ind w:firstLine="420" w:firstLineChars="200"/>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2）工程量清单报价书；</w:t>
      </w:r>
    </w:p>
    <w:p w14:paraId="49027AE1">
      <w:pPr>
        <w:adjustRightInd w:val="0"/>
        <w:snapToGrid w:val="0"/>
        <w:spacing w:line="560" w:lineRule="exact"/>
        <w:ind w:firstLine="420" w:firstLineChars="200"/>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3）承诺函（格式见附件）；</w:t>
      </w:r>
    </w:p>
    <w:p w14:paraId="6FCF30A2">
      <w:pPr>
        <w:adjustRightInd w:val="0"/>
        <w:snapToGrid w:val="0"/>
        <w:spacing w:line="5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4</w:t>
      </w:r>
      <w:r>
        <w:rPr>
          <w:rFonts w:hint="eastAsia" w:ascii="宋体" w:hAnsi="宋体" w:eastAsia="宋体" w:cs="Times New Roman"/>
          <w:color w:val="auto"/>
          <w:szCs w:val="21"/>
          <w:highlight w:val="none"/>
        </w:rPr>
        <w:t>）招标人推荐的材料品牌响应表（如有）；</w:t>
      </w:r>
    </w:p>
    <w:p w14:paraId="3E5AB6E7">
      <w:pPr>
        <w:adjustRightInd w:val="0"/>
        <w:snapToGrid w:val="0"/>
        <w:spacing w:line="5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5</w:t>
      </w:r>
      <w:r>
        <w:rPr>
          <w:rFonts w:hint="eastAsia" w:ascii="宋体" w:hAnsi="宋体" w:eastAsia="宋体" w:cs="Times New Roman"/>
          <w:color w:val="auto"/>
          <w:szCs w:val="21"/>
          <w:highlight w:val="none"/>
        </w:rPr>
        <w:t>）全国建筑市场监管公共服务平台(四库一平台)企业注册人员网页截图；</w:t>
      </w:r>
    </w:p>
    <w:p w14:paraId="3FE85E25">
      <w:pPr>
        <w:adjustRightInd w:val="0"/>
        <w:snapToGrid w:val="0"/>
        <w:spacing w:line="5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6</w:t>
      </w:r>
      <w:r>
        <w:rPr>
          <w:rFonts w:hint="eastAsia" w:ascii="宋体" w:hAnsi="宋体" w:eastAsia="宋体" w:cs="Times New Roman"/>
          <w:color w:val="auto"/>
          <w:szCs w:val="21"/>
          <w:highlight w:val="none"/>
        </w:rPr>
        <w:t>）商务标评审所需其他材料。</w:t>
      </w:r>
    </w:p>
    <w:p w14:paraId="56D0DB8B">
      <w:pPr>
        <w:adjustRightInd w:val="0"/>
        <w:snapToGrid w:val="0"/>
        <w:spacing w:line="600" w:lineRule="exact"/>
        <w:ind w:firstLine="359" w:firstLineChars="171"/>
        <w:rPr>
          <w:rFonts w:hint="eastAsia" w:ascii="宋体" w:hAnsi="宋体" w:cs="宋体"/>
          <w:color w:val="auto"/>
          <w:highlight w:val="none"/>
        </w:rPr>
      </w:pPr>
      <w:r>
        <w:rPr>
          <w:rFonts w:hint="eastAsia" w:ascii="宋体" w:hAnsi="宋体" w:cs="宋体"/>
          <w:color w:val="auto"/>
          <w:highlight w:val="none"/>
        </w:rPr>
        <w:t>3.1.2 投标人须知前附表规定不接受联合体投标的，或投标人没有组成联合体的，投标文件不包括本章第3.1.1（5）目所指的联合体协议书。</w:t>
      </w:r>
    </w:p>
    <w:p w14:paraId="55D40DE9">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3.2 投标报价</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7FBA7233">
      <w:pPr>
        <w:adjustRightInd w:val="0"/>
        <w:snapToGrid w:val="0"/>
        <w:spacing w:line="560" w:lineRule="exact"/>
        <w:ind w:firstLine="420" w:firstLineChars="200"/>
        <w:rPr>
          <w:rFonts w:hint="eastAsia" w:ascii="宋体" w:hAnsi="宋体" w:cs="宋体"/>
          <w:color w:val="auto"/>
          <w:szCs w:val="21"/>
          <w:highlight w:val="none"/>
        </w:rPr>
      </w:pPr>
      <w:bookmarkStart w:id="284" w:name="_Toc144974517"/>
      <w:bookmarkStart w:id="285" w:name="_Toc296602439"/>
      <w:bookmarkStart w:id="286" w:name="_Toc152042325"/>
      <w:bookmarkStart w:id="287" w:name="_Toc247085708"/>
      <w:bookmarkStart w:id="288" w:name="_Toc15058866"/>
      <w:bookmarkStart w:id="289" w:name="_Toc83301709"/>
      <w:bookmarkStart w:id="290" w:name="_Toc506107288"/>
      <w:bookmarkStart w:id="291" w:name="_Toc246996194"/>
      <w:bookmarkStart w:id="292" w:name="_Toc60061454"/>
      <w:bookmarkStart w:id="293" w:name="_Toc324404835"/>
      <w:bookmarkStart w:id="294" w:name="_Toc95223357"/>
      <w:bookmarkStart w:id="295" w:name="_Toc246996937"/>
      <w:bookmarkStart w:id="296" w:name="_Toc179632567"/>
      <w:bookmarkStart w:id="297" w:name="_Toc152045549"/>
      <w:r>
        <w:rPr>
          <w:rFonts w:hint="eastAsia" w:ascii="宋体" w:hAnsi="宋体" w:cs="宋体"/>
          <w:color w:val="auto"/>
          <w:szCs w:val="21"/>
          <w:highlight w:val="none"/>
        </w:rPr>
        <w:t>3.2.1投标报价应包括国家规定的增值税税金，除投标人须知前附表另有规定外，增值税税金按一般计税方法计算。投标人应按第九章“投标文件格式”的要求在投标函中进行报价并填写工程量清单相应表格。</w:t>
      </w:r>
    </w:p>
    <w:p w14:paraId="43759342">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3.2.2投标人应充分了解本项目的总体情况以及影响投标报价的其他要素。</w:t>
      </w:r>
    </w:p>
    <w:p w14:paraId="0441CD0C">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3.2.3投标人在投标截止时间前修改投标函中的投标报价总额，应同时修改“已标价工程量清单”中的相应报价，投标报价总额为各分项金额之和。此修改须符合本章第4.4款的有关要求。</w:t>
      </w:r>
    </w:p>
    <w:p w14:paraId="1BBAC3B7">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3.2.4招标人设有最高投标限价的，投标人的投标报价不得超过最高投标限价，最高投标限价在投标人须知前附表中载明。</w:t>
      </w:r>
    </w:p>
    <w:p w14:paraId="6FB7CE02">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3.2.5 投标报价的其他要求见投标人须知前附表。</w:t>
      </w:r>
    </w:p>
    <w:p w14:paraId="45BEBE36">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3.3 投标有效期</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544379E6">
      <w:pPr>
        <w:adjustRightInd w:val="0"/>
        <w:snapToGrid w:val="0"/>
        <w:spacing w:line="560" w:lineRule="exact"/>
        <w:ind w:firstLine="420" w:firstLineChars="200"/>
        <w:rPr>
          <w:rFonts w:hint="eastAsia" w:ascii="宋体" w:hAnsi="宋体" w:cs="宋体"/>
          <w:color w:val="auto"/>
          <w:szCs w:val="21"/>
          <w:highlight w:val="none"/>
        </w:rPr>
      </w:pPr>
      <w:bookmarkStart w:id="298" w:name="_Toc179632568"/>
      <w:bookmarkStart w:id="299" w:name="_Toc83301710"/>
      <w:bookmarkStart w:id="300" w:name="_Toc324404836"/>
      <w:bookmarkStart w:id="301" w:name="_Toc296602440"/>
      <w:bookmarkStart w:id="302" w:name="_Toc144974518"/>
      <w:bookmarkStart w:id="303" w:name="_Toc246996938"/>
      <w:bookmarkStart w:id="304" w:name="_Toc152042326"/>
      <w:bookmarkStart w:id="305" w:name="_Toc152045550"/>
      <w:bookmarkStart w:id="306" w:name="_Toc246996195"/>
      <w:bookmarkStart w:id="307" w:name="_Toc15058867"/>
      <w:bookmarkStart w:id="308" w:name="_Toc95223358"/>
      <w:bookmarkStart w:id="309" w:name="_Toc60061455"/>
      <w:bookmarkStart w:id="310" w:name="_Toc247085709"/>
      <w:bookmarkStart w:id="311" w:name="_Toc506107289"/>
      <w:r>
        <w:rPr>
          <w:rFonts w:hint="eastAsia" w:ascii="宋体" w:hAnsi="宋体" w:cs="宋体"/>
          <w:color w:val="auto"/>
          <w:szCs w:val="21"/>
          <w:highlight w:val="none"/>
        </w:rPr>
        <w:t>3.3.1 除投标人须知前附表另有规定外，投标有效期为 90天。</w:t>
      </w:r>
    </w:p>
    <w:p w14:paraId="4353A9AC">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3.3.2在投标有效期内，投标人撤销或修改其投标文件的，应承担招标文件和法律规定的责任。</w:t>
      </w:r>
    </w:p>
    <w:p w14:paraId="0D194927">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3.3.3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04511873">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3.4 投标保证金</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0217694D">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3.4.1 投标人须知前附表规定递交投标保证金的，投标人在递交投标文件的同时，应按投标人须知前附表规定的金额、担保形式和第九章“投标文件格式”规定的或者事先经过招标人认可的保证金格式递交保证金，并作为其投标文件的组成部分。联合体投标的，其投标保证金由牵头人递交，并应符合投标人须知前附表的规定。</w:t>
      </w:r>
    </w:p>
    <w:p w14:paraId="3875425D">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无论采取何种形式的投标保证金，投标保证金有效期均应与投标有效期一致（采用投标电子保函的保证期截止时间不得早于该项目投标有效期的截止时间）。招标人如果按本章第 3.3.3 项的规定延长了投标有效期，则投标保证金的有效期也相应延长。</w:t>
      </w:r>
    </w:p>
    <w:p w14:paraId="2088CA76">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3.4.2 投标人不按本章第3.4.1项要求提交投标保证金的，评标委员会将否决其投标。</w:t>
      </w:r>
    </w:p>
    <w:p w14:paraId="459EB5F8">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3.4.3 未中标投标人的投标保证金，中标通知书同步推送至交易中心服务端，银行接到退还指令后一个工作日内退还保证金到达原交纳的基本账户；中标人的投标保证金，在中标人与招标人签订合同并将公开信息推送至交易中心服务端，银行接到退还指令后一个工作日内退付保证金到达原交纳的基本账户。</w:t>
      </w:r>
    </w:p>
    <w:p w14:paraId="707BEB5B">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3.4.4 有下列情形之一的，投标保证金将不予退还： </w:t>
      </w:r>
    </w:p>
    <w:p w14:paraId="77F4C5EC">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（1）投标截止后投标人撤销投标文件的；</w:t>
      </w:r>
    </w:p>
    <w:p w14:paraId="4C740067">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（2）中标人无正当理由不与招标人订立合同，在签订合同时向招标人提出附加条件，或者不按照招标文件要求提交履约保证金的。</w:t>
      </w:r>
    </w:p>
    <w:p w14:paraId="64EEA6F2">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3.4.5 投标保证金按《滁州市公共资源交易投标保证金管理规定》（滁公管〔2021〕7号）规定执行。</w:t>
      </w:r>
    </w:p>
    <w:p w14:paraId="5C028E75">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312" w:name="_Toc324404837"/>
      <w:bookmarkStart w:id="313" w:name="_Toc60061456"/>
      <w:bookmarkStart w:id="314" w:name="_Toc15058868"/>
      <w:bookmarkStart w:id="315" w:name="_Toc296602442"/>
      <w:bookmarkStart w:id="316" w:name="_Toc506107290"/>
      <w:bookmarkStart w:id="317" w:name="_Toc83301711"/>
      <w:bookmarkStart w:id="318" w:name="_Toc95223359"/>
      <w:bookmarkStart w:id="319" w:name="_Toc247085711"/>
      <w:bookmarkStart w:id="320" w:name="_Toc152045553"/>
      <w:bookmarkStart w:id="321" w:name="_Toc179632571"/>
      <w:bookmarkStart w:id="322" w:name="_Toc246996197"/>
      <w:bookmarkStart w:id="323" w:name="_Toc246996940"/>
      <w:bookmarkStart w:id="324" w:name="_Toc152042329"/>
      <w:bookmarkStart w:id="325" w:name="_Toc144974521"/>
      <w:r>
        <w:rPr>
          <w:rFonts w:hint="eastAsia" w:ascii="黑体" w:hAnsi="黑体" w:eastAsia="黑体" w:cs="黑体"/>
          <w:color w:val="auto"/>
          <w:sz w:val="21"/>
          <w:szCs w:val="21"/>
          <w:highlight w:val="none"/>
        </w:rPr>
        <w:t>3.5投标文件的编制</w:t>
      </w:r>
      <w:bookmarkEnd w:id="312"/>
      <w:bookmarkEnd w:id="313"/>
      <w:bookmarkEnd w:id="314"/>
      <w:bookmarkEnd w:id="315"/>
      <w:bookmarkEnd w:id="316"/>
      <w:bookmarkEnd w:id="317"/>
      <w:bookmarkEnd w:id="318"/>
    </w:p>
    <w:p w14:paraId="63BC27BB">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3.5.1投标文件应按第九章“投标文件格式”进行编写，如有必要，可以增加附页，作为投标文件的组成部分。其中，投标函在满足招标文件实质性要求的基础上，可以提出比招标文件要求更有利于招标人的承诺。施工组织设计编制的特殊要求见投标人须知前附表。</w:t>
      </w:r>
    </w:p>
    <w:p w14:paraId="1DEBB503">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3.5.2本次投标不需要提供纸质投标文件，投标人应按照电子招标投标的要求，在投标人的电子系统中制作、签章、上传加密的电子投标文件。</w:t>
      </w:r>
    </w:p>
    <w:p w14:paraId="4FBE7949">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3.5.3 投标文件应当对招标文件有关工期、投标有效期、质量要求、技术标准和要求、招标范围等实质性内容作出响应。</w:t>
      </w:r>
    </w:p>
    <w:bookmarkEnd w:id="319"/>
    <w:bookmarkEnd w:id="320"/>
    <w:bookmarkEnd w:id="321"/>
    <w:bookmarkEnd w:id="322"/>
    <w:bookmarkEnd w:id="323"/>
    <w:bookmarkEnd w:id="324"/>
    <w:bookmarkEnd w:id="325"/>
    <w:p w14:paraId="3B6A9DD1">
      <w:pPr>
        <w:adjustRightInd w:val="0"/>
        <w:snapToGrid w:val="0"/>
        <w:spacing w:line="600" w:lineRule="exact"/>
        <w:ind w:firstLine="420" w:firstLineChars="200"/>
        <w:rPr>
          <w:rFonts w:hint="eastAsia" w:ascii="宋体" w:hAnsi="宋体" w:cs="宋体"/>
          <w:bCs/>
          <w:snapToGrid w:val="0"/>
          <w:color w:val="auto"/>
          <w:kern w:val="0"/>
          <w:szCs w:val="21"/>
          <w:highlight w:val="none"/>
        </w:rPr>
      </w:pPr>
      <w:bookmarkStart w:id="326" w:name="_Toc144974523"/>
      <w:bookmarkStart w:id="327" w:name="_Toc179632573"/>
      <w:bookmarkStart w:id="328" w:name="_Toc152042331"/>
      <w:bookmarkStart w:id="329" w:name="_Toc246996942"/>
      <w:bookmarkStart w:id="330" w:name="_Toc152045555"/>
      <w:bookmarkStart w:id="331" w:name="_Toc247085713"/>
      <w:bookmarkStart w:id="332" w:name="_Toc246996199"/>
      <w:bookmarkStart w:id="333" w:name="_Toc324404838"/>
      <w:r>
        <w:rPr>
          <w:rFonts w:hint="eastAsia" w:ascii="宋体" w:hAnsi="宋体" w:cs="宋体"/>
          <w:bCs/>
          <w:snapToGrid w:val="0"/>
          <w:color w:val="auto"/>
          <w:kern w:val="0"/>
          <w:szCs w:val="21"/>
          <w:highlight w:val="none"/>
        </w:rPr>
        <w:t>3.5.4 投标人须知前附表规定接受联合体投标的，资格审查资料应包括联合体各方相关情况 。</w:t>
      </w:r>
    </w:p>
    <w:p w14:paraId="15B9AC71">
      <w:pPr>
        <w:adjustRightInd w:val="0"/>
        <w:snapToGrid w:val="0"/>
        <w:spacing w:line="600" w:lineRule="exact"/>
        <w:ind w:firstLine="420" w:firstLineChars="200"/>
        <w:rPr>
          <w:rFonts w:hint="eastAsia"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3.5.5招标人有权核查投标人在投标文件中提供的资料，若发现投标人以他人名义投标或者以其他方式弄虚作假骗取中标的，中标无效；</w:t>
      </w:r>
      <w:r>
        <w:rPr>
          <w:rFonts w:hint="eastAsia" w:ascii="宋体" w:hAnsi="宋体" w:cs="宋体"/>
          <w:b/>
          <w:snapToGrid w:val="0"/>
          <w:color w:val="auto"/>
          <w:kern w:val="0"/>
          <w:szCs w:val="21"/>
          <w:highlight w:val="none"/>
        </w:rPr>
        <w:t>如果签订合同后发现中标人提供了虚假材料，招标人有权解除合同</w:t>
      </w:r>
      <w:r>
        <w:rPr>
          <w:rFonts w:hint="eastAsia" w:ascii="宋体" w:hAnsi="宋体" w:cs="宋体"/>
          <w:bCs/>
          <w:snapToGrid w:val="0"/>
          <w:color w:val="auto"/>
          <w:kern w:val="0"/>
          <w:szCs w:val="21"/>
          <w:highlight w:val="none"/>
        </w:rPr>
        <w:t>。同时招标人将投标人上述弄虚作假行为上报公共资源交易监督管理部门处理。</w:t>
      </w:r>
    </w:p>
    <w:p w14:paraId="67924944">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3.5.6投标文件的制作应满足以下规定：</w:t>
      </w:r>
    </w:p>
    <w:p w14:paraId="12765029">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（1）投标文件由投标人使用电子交易系统提供的“投标文件制作工具”制作生成。“投标文件制作工具”可以通过电子交易系统下载。</w:t>
      </w:r>
    </w:p>
    <w:p w14:paraId="5134CAE9">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b/>
          <w:color w:val="auto"/>
          <w:szCs w:val="21"/>
          <w:highlight w:val="none"/>
        </w:rPr>
        <w:t>招标文件中“签章”是指签字或盖章。</w:t>
      </w:r>
      <w:r>
        <w:rPr>
          <w:rFonts w:hint="eastAsia" w:ascii="宋体" w:hAnsi="宋体" w:cs="宋体"/>
          <w:color w:val="auto"/>
          <w:szCs w:val="21"/>
          <w:highlight w:val="none"/>
        </w:rPr>
        <w:t>在第九章“投标文件格式”中要求签章处，投标人应加盖投标人单位电子印章和法定代表人的个人电子印章/电子签名章或直接上传加盖投标人单位印章和法定代表人的印章（或签字）的原件彩色扫描件。联合体投标的，除联合体协议书外， 投标文件由联合体牵头人按上述规定加盖联合体牵头人单位电子印章和法定代表人的个人电子印章/电子签名章或直接上传加盖联合体牵头人单位印章和法定代表人的印章（或签字）的原件彩色扫描件。</w:t>
      </w:r>
    </w:p>
    <w:p w14:paraId="3BB9F631">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投标文件制作完成后，投标人应对投标文件进行文件加密，形成加密的投标文件。采用CA数字证书加密的，加密时投标文件的所有内容均只能使用同一把CA数字证书进行加密，否则引起的解密失败责任由投标人自行承担。</w:t>
      </w:r>
    </w:p>
    <w:p w14:paraId="4A3CC294">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（4）投标文件制作的具体方法详见“投标文件制作工具”中的帮助文档。</w:t>
      </w:r>
    </w:p>
    <w:p w14:paraId="38195BFA">
      <w:pPr>
        <w:adjustRightInd w:val="0"/>
        <w:snapToGrid w:val="0"/>
        <w:spacing w:line="5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3.5.7 因投标人自身原因而导致投标文件无法导入电子交易系统电子开标、评标系统，该投标视为无效投标，投标人自行承担由此导致的全部责任。</w:t>
      </w:r>
    </w:p>
    <w:p w14:paraId="5456C483">
      <w:pPr>
        <w:adjustRightInd w:val="0"/>
        <w:snapToGrid w:val="0"/>
        <w:spacing w:line="5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3.5.8 投标人中标后须递交与网上电子投标文件完全一致的纸质版投标文件，在领取中标通知书时，一并递交给招标代理机构。</w:t>
      </w:r>
    </w:p>
    <w:p w14:paraId="2587FD26">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3.6 备选投标方案</w:t>
      </w:r>
    </w:p>
    <w:p w14:paraId="642726D4">
      <w:pPr>
        <w:adjustRightInd w:val="0"/>
        <w:snapToGrid w:val="0"/>
        <w:spacing w:line="600" w:lineRule="exact"/>
        <w:ind w:firstLine="420" w:firstLineChars="200"/>
        <w:rPr>
          <w:rFonts w:hint="eastAsia" w:ascii="宋体" w:hAnsi="宋体" w:cs="宋体"/>
          <w:color w:val="auto"/>
          <w:highlight w:val="none"/>
        </w:rPr>
      </w:pPr>
      <w:r>
        <w:rPr>
          <w:rFonts w:hint="eastAsia" w:ascii="宋体" w:hAnsi="宋体" w:cs="宋体"/>
          <w:color w:val="auto"/>
          <w:highlight w:val="none"/>
        </w:rPr>
        <w:t xml:space="preserve">3.6.1 </w:t>
      </w:r>
      <w:r>
        <w:rPr>
          <w:rFonts w:hint="eastAsia" w:ascii="宋体" w:hAnsi="宋体" w:cs="宋体"/>
          <w:bCs/>
          <w:snapToGrid w:val="0"/>
          <w:color w:val="auto"/>
          <w:kern w:val="0"/>
          <w:szCs w:val="21"/>
          <w:highlight w:val="none"/>
        </w:rPr>
        <w:t>除投标人须知前附表规定允许外，投标人不得递交备选投标方案，否则其投标将被否决。</w:t>
      </w:r>
    </w:p>
    <w:p w14:paraId="0514C4AD">
      <w:pPr>
        <w:adjustRightInd w:val="0"/>
        <w:snapToGrid w:val="0"/>
        <w:spacing w:line="600" w:lineRule="exact"/>
        <w:ind w:firstLine="420" w:firstLineChars="200"/>
        <w:rPr>
          <w:rFonts w:hint="eastAsia" w:ascii="宋体" w:hAnsi="宋体" w:cs="宋体"/>
          <w:color w:val="auto"/>
          <w:highlight w:val="none"/>
        </w:rPr>
      </w:pPr>
      <w:r>
        <w:rPr>
          <w:rFonts w:hint="eastAsia" w:ascii="宋体" w:hAnsi="宋体" w:cs="宋体"/>
          <w:color w:val="auto"/>
          <w:highlight w:val="none"/>
        </w:rPr>
        <w:t xml:space="preserve">3.6.2 </w:t>
      </w:r>
      <w:r>
        <w:rPr>
          <w:rFonts w:hint="eastAsia" w:ascii="宋体" w:hAnsi="宋体" w:cs="宋体"/>
          <w:bCs/>
          <w:snapToGrid w:val="0"/>
          <w:color w:val="auto"/>
          <w:kern w:val="0"/>
          <w:szCs w:val="21"/>
          <w:highlight w:val="none"/>
        </w:rPr>
        <w:t>允许投标人递交备选投标方案的，只有中标人所递交的备选投标方案方可予以考虑。评标委员会认为中标人的备选投标方案优于其按照招标文件要求编制的投标方案的，招标人可以接受该备选投标方案。</w:t>
      </w:r>
    </w:p>
    <w:p w14:paraId="5F0F0EB8">
      <w:pPr>
        <w:adjustRightInd w:val="0"/>
        <w:snapToGrid w:val="0"/>
        <w:spacing w:line="600" w:lineRule="exact"/>
        <w:ind w:firstLine="420" w:firstLineChars="200"/>
        <w:rPr>
          <w:rFonts w:hint="eastAsia" w:ascii="宋体" w:hAnsi="宋体" w:cs="宋体"/>
          <w:bCs/>
          <w:snapToGrid w:val="0"/>
          <w:color w:val="auto"/>
          <w:kern w:val="0"/>
          <w:szCs w:val="21"/>
          <w:highlight w:val="none"/>
        </w:rPr>
      </w:pPr>
      <w:r>
        <w:rPr>
          <w:rFonts w:hint="eastAsia" w:ascii="宋体" w:hAnsi="宋体" w:cs="宋体"/>
          <w:color w:val="auto"/>
          <w:highlight w:val="none"/>
        </w:rPr>
        <w:t xml:space="preserve">3.6.3 </w:t>
      </w:r>
      <w:r>
        <w:rPr>
          <w:rFonts w:hint="eastAsia" w:ascii="宋体" w:hAnsi="宋体" w:cs="宋体"/>
          <w:bCs/>
          <w:snapToGrid w:val="0"/>
          <w:color w:val="auto"/>
          <w:kern w:val="0"/>
          <w:szCs w:val="21"/>
          <w:highlight w:val="none"/>
        </w:rPr>
        <w:t>投标人提供两个或两个以上投标报价，或在投标文件中提供一个报价，但同时提供两个或两个以上施工组织设计的，视为提供备选方案。</w:t>
      </w:r>
    </w:p>
    <w:p w14:paraId="3EB9381D">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334" w:name="_Toc60061457"/>
      <w:bookmarkStart w:id="335" w:name="_Toc95223360"/>
      <w:bookmarkStart w:id="336" w:name="_Toc83301712"/>
      <w:bookmarkStart w:id="337" w:name="_Toc506107291"/>
      <w:bookmarkStart w:id="338" w:name="_Toc15058869"/>
      <w:r>
        <w:rPr>
          <w:rFonts w:hint="eastAsia" w:ascii="黑体" w:hAnsi="黑体" w:cs="黑体"/>
          <w:color w:val="auto"/>
          <w:sz w:val="21"/>
          <w:szCs w:val="21"/>
          <w:highlight w:val="none"/>
        </w:rPr>
        <w:t>4.投标</w:t>
      </w:r>
      <w:bookmarkEnd w:id="334"/>
      <w:bookmarkEnd w:id="335"/>
      <w:bookmarkEnd w:id="336"/>
      <w:bookmarkEnd w:id="337"/>
      <w:bookmarkEnd w:id="338"/>
    </w:p>
    <w:p w14:paraId="1CF37819">
      <w:pPr>
        <w:pStyle w:val="4"/>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339" w:name="_Toc15058870"/>
      <w:bookmarkStart w:id="340" w:name="_Toc95223361"/>
      <w:bookmarkStart w:id="341" w:name="_Toc60061458"/>
      <w:bookmarkStart w:id="342" w:name="_Toc83301713"/>
      <w:r>
        <w:rPr>
          <w:rFonts w:hint="eastAsia" w:ascii="黑体" w:hAnsi="黑体" w:eastAsia="黑体" w:cs="黑体"/>
          <w:color w:val="auto"/>
          <w:sz w:val="21"/>
          <w:szCs w:val="21"/>
          <w:highlight w:val="none"/>
        </w:rPr>
        <w:t>4.1投标文件上传</w:t>
      </w:r>
      <w:bookmarkEnd w:id="339"/>
      <w:bookmarkEnd w:id="340"/>
      <w:bookmarkEnd w:id="341"/>
      <w:bookmarkEnd w:id="342"/>
    </w:p>
    <w:p w14:paraId="7176BFA3">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4.1.1请投标人通过系统下载投标工具制作投标文件，并利用CA数字证书进行上传投标文件，上传已加密的投标文件，务必通过此方式上传投标文件。</w:t>
      </w:r>
    </w:p>
    <w:p w14:paraId="5ED2CE84">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4.1.2投标人在投标文件编制、签章、上传过程中如有任何操作的疑问请及时联系技术支持，电话：0550-3801701。</w:t>
      </w:r>
    </w:p>
    <w:p w14:paraId="176E275A">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343" w:name="_Toc15058871"/>
      <w:bookmarkStart w:id="344" w:name="_Toc324404839"/>
      <w:bookmarkStart w:id="345" w:name="_Toc60061459"/>
      <w:bookmarkStart w:id="346" w:name="_Toc95223362"/>
      <w:bookmarkStart w:id="347" w:name="_Toc246996943"/>
      <w:bookmarkStart w:id="348" w:name="_Toc246996200"/>
      <w:bookmarkStart w:id="349" w:name="_Toc83301714"/>
      <w:bookmarkStart w:id="350" w:name="_Toc247085714"/>
      <w:bookmarkStart w:id="351" w:name="_Toc152042332"/>
      <w:bookmarkStart w:id="352" w:name="_Toc179632574"/>
      <w:bookmarkStart w:id="353" w:name="_Toc144974524"/>
      <w:bookmarkStart w:id="354" w:name="_Toc152045556"/>
      <w:bookmarkStart w:id="355" w:name="_Toc506107292"/>
      <w:bookmarkStart w:id="356" w:name="_Toc296602444"/>
      <w:r>
        <w:rPr>
          <w:rFonts w:hint="eastAsia" w:ascii="黑体" w:hAnsi="黑体" w:eastAsia="黑体" w:cs="黑体"/>
          <w:color w:val="auto"/>
          <w:sz w:val="21"/>
          <w:szCs w:val="21"/>
          <w:highlight w:val="none"/>
        </w:rPr>
        <w:t>4.2投标文件的密封和标记</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773780A6">
      <w:pPr>
        <w:adjustRightInd w:val="0"/>
        <w:snapToGrid w:val="0"/>
        <w:spacing w:line="560" w:lineRule="exact"/>
        <w:ind w:firstLine="420" w:firstLineChars="200"/>
        <w:rPr>
          <w:rFonts w:hint="eastAsia" w:ascii="宋体" w:hAnsi="宋体" w:cs="宋体"/>
          <w:color w:val="auto"/>
          <w:szCs w:val="21"/>
          <w:highlight w:val="none"/>
        </w:rPr>
      </w:pPr>
      <w:bookmarkStart w:id="357" w:name="_Toc152045557"/>
      <w:bookmarkStart w:id="358" w:name="_Toc152042333"/>
      <w:bookmarkStart w:id="359" w:name="_Toc324404840"/>
      <w:bookmarkStart w:id="360" w:name="_Toc144974525"/>
      <w:bookmarkStart w:id="361" w:name="_Toc246996944"/>
      <w:bookmarkStart w:id="362" w:name="_Toc246996201"/>
      <w:bookmarkStart w:id="363" w:name="_Toc247085715"/>
      <w:bookmarkStart w:id="364" w:name="_Toc179632575"/>
      <w:bookmarkStart w:id="365" w:name="_Toc296602445"/>
      <w:r>
        <w:rPr>
          <w:rFonts w:hint="eastAsia" w:ascii="宋体" w:hAnsi="宋体" w:cs="宋体"/>
          <w:color w:val="auto"/>
          <w:szCs w:val="21"/>
          <w:highlight w:val="none"/>
        </w:rPr>
        <w:t>4.2.1投标文件应按照本章第3.5.6项要求制作并加密，未按要求加密的投标文件将被拒绝接收。以投标人在投标截止时间前网上递交的电子投标文件为准。</w:t>
      </w:r>
    </w:p>
    <w:p w14:paraId="2D1718EB">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366" w:name="_Toc60061460"/>
      <w:bookmarkStart w:id="367" w:name="_Toc506107293"/>
      <w:bookmarkStart w:id="368" w:name="_Toc15058872"/>
      <w:bookmarkStart w:id="369" w:name="_Toc95223363"/>
      <w:bookmarkStart w:id="370" w:name="_Toc83301715"/>
      <w:r>
        <w:rPr>
          <w:rFonts w:hint="eastAsia" w:ascii="黑体" w:hAnsi="黑体" w:eastAsia="黑体" w:cs="黑体"/>
          <w:color w:val="auto"/>
          <w:sz w:val="21"/>
          <w:szCs w:val="21"/>
          <w:highlight w:val="none"/>
        </w:rPr>
        <w:t>4.3 投标文件的递交</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31BE5232">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4.3.1 投标人应当在第一章“招标公告”规定的投标截止时间前，将加密投标文件上传至电子交易系统。</w:t>
      </w:r>
    </w:p>
    <w:p w14:paraId="70577995">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4.3.2 除投标人须知前附表另有规定外，投标人所递交的投标文件不予退还。</w:t>
      </w:r>
    </w:p>
    <w:p w14:paraId="4DC84E31">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4.3.3 </w:t>
      </w:r>
      <w:r>
        <w:rPr>
          <w:rFonts w:ascii="宋体" w:hAnsi="宋体" w:cs="宋体"/>
          <w:color w:val="auto"/>
          <w:szCs w:val="21"/>
          <w:highlight w:val="none"/>
        </w:rPr>
        <w:t>投标人应当在投标截止时间前完成投标文件的</w:t>
      </w:r>
      <w:r>
        <w:rPr>
          <w:rFonts w:hint="eastAsia" w:ascii="宋体" w:hAnsi="宋体" w:cs="宋体"/>
          <w:color w:val="auto"/>
          <w:szCs w:val="21"/>
          <w:highlight w:val="none"/>
        </w:rPr>
        <w:t>网上递交，</w:t>
      </w:r>
      <w:r>
        <w:rPr>
          <w:rFonts w:ascii="宋体" w:hAnsi="宋体" w:cs="宋体"/>
          <w:color w:val="auto"/>
          <w:szCs w:val="21"/>
          <w:highlight w:val="none"/>
        </w:rPr>
        <w:t xml:space="preserve"> 并可以补充、修改或者撤回投标文件。投标截止时间前未完成投标文件</w:t>
      </w:r>
      <w:r>
        <w:rPr>
          <w:rFonts w:hint="eastAsia" w:ascii="宋体" w:hAnsi="宋体" w:cs="宋体"/>
          <w:color w:val="auto"/>
          <w:szCs w:val="21"/>
          <w:highlight w:val="none"/>
        </w:rPr>
        <w:t>网上递交</w:t>
      </w:r>
      <w:r>
        <w:rPr>
          <w:rFonts w:ascii="宋体" w:hAnsi="宋体" w:cs="宋体"/>
          <w:color w:val="auto"/>
          <w:szCs w:val="21"/>
          <w:highlight w:val="none"/>
        </w:rPr>
        <w:t>的，视为撤回投标文件。未按规定加密或投标截止时间后</w:t>
      </w:r>
      <w:r>
        <w:rPr>
          <w:rFonts w:hint="eastAsia" w:ascii="宋体" w:hAnsi="宋体" w:cs="宋体"/>
          <w:color w:val="auto"/>
          <w:szCs w:val="21"/>
          <w:highlight w:val="none"/>
        </w:rPr>
        <w:t>通过网上招标投标系统递交电子投标文件的</w:t>
      </w:r>
      <w:r>
        <w:rPr>
          <w:rFonts w:ascii="宋体" w:hAnsi="宋体" w:cs="宋体"/>
          <w:color w:val="auto"/>
          <w:szCs w:val="21"/>
          <w:highlight w:val="none"/>
        </w:rPr>
        <w:t>，电子交易系统应当拒收</w:t>
      </w:r>
      <w:r>
        <w:rPr>
          <w:rFonts w:hint="eastAsia" w:ascii="宋体" w:hAnsi="宋体" w:cs="宋体"/>
          <w:color w:val="auto"/>
          <w:szCs w:val="21"/>
          <w:highlight w:val="none"/>
        </w:rPr>
        <w:t>，投标无效。</w:t>
      </w:r>
    </w:p>
    <w:p w14:paraId="4F7D526E">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371" w:name="_Toc95223364"/>
      <w:bookmarkStart w:id="372" w:name="_Toc179632576"/>
      <w:bookmarkStart w:id="373" w:name="_Toc152045558"/>
      <w:bookmarkStart w:id="374" w:name="_Toc324404841"/>
      <w:bookmarkStart w:id="375" w:name="_Toc296602446"/>
      <w:bookmarkStart w:id="376" w:name="_Toc15058873"/>
      <w:bookmarkStart w:id="377" w:name="_Toc246996945"/>
      <w:bookmarkStart w:id="378" w:name="_Toc247085716"/>
      <w:bookmarkStart w:id="379" w:name="_Toc144974526"/>
      <w:bookmarkStart w:id="380" w:name="_Toc506107294"/>
      <w:bookmarkStart w:id="381" w:name="_Toc152042334"/>
      <w:bookmarkStart w:id="382" w:name="_Toc60061461"/>
      <w:bookmarkStart w:id="383" w:name="_Toc246996202"/>
      <w:bookmarkStart w:id="384" w:name="_Toc83301716"/>
      <w:r>
        <w:rPr>
          <w:rFonts w:hint="eastAsia" w:ascii="黑体" w:hAnsi="黑体" w:eastAsia="黑体" w:cs="黑体"/>
          <w:color w:val="auto"/>
          <w:sz w:val="21"/>
          <w:szCs w:val="21"/>
          <w:highlight w:val="none"/>
        </w:rPr>
        <w:t>4.4 投标文件的修改与撤回</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14:paraId="048FFBBC">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4.4.1在第一章“招标公告”规定的投标截止时间前，投标人可以自行从网上开评标系统撤回已递交的投标文件，并可修改后重新加密上传，开标时以投标截止时间前投标人最终上传的投标文件为准。</w:t>
      </w:r>
    </w:p>
    <w:p w14:paraId="73EE8132">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385" w:name="_Toc15058874"/>
      <w:bookmarkStart w:id="386" w:name="_Toc506107295"/>
      <w:bookmarkStart w:id="387" w:name="_Toc246996946"/>
      <w:bookmarkStart w:id="388" w:name="_Toc247085717"/>
      <w:bookmarkStart w:id="389" w:name="_Toc152042335"/>
      <w:bookmarkStart w:id="390" w:name="_Toc179632577"/>
      <w:bookmarkStart w:id="391" w:name="_Toc95223365"/>
      <w:bookmarkStart w:id="392" w:name="_Toc324404842"/>
      <w:bookmarkStart w:id="393" w:name="_Toc152045559"/>
      <w:bookmarkStart w:id="394" w:name="_Toc246996203"/>
      <w:bookmarkStart w:id="395" w:name="_Toc83301717"/>
      <w:bookmarkStart w:id="396" w:name="_Toc60061462"/>
      <w:bookmarkStart w:id="397" w:name="_Toc144974527"/>
      <w:r>
        <w:rPr>
          <w:rFonts w:hint="eastAsia" w:ascii="黑体" w:hAnsi="黑体" w:cs="黑体"/>
          <w:color w:val="auto"/>
          <w:sz w:val="21"/>
          <w:szCs w:val="21"/>
          <w:highlight w:val="none"/>
        </w:rPr>
        <w:t>5. 开标</w:t>
      </w:r>
      <w:bookmarkEnd w:id="385"/>
      <w:bookmarkEnd w:id="386"/>
      <w:bookmarkEnd w:id="387"/>
      <w:bookmarkEnd w:id="388"/>
      <w:bookmarkEnd w:id="389"/>
      <w:bookmarkEnd w:id="390"/>
      <w:bookmarkEnd w:id="391"/>
      <w:bookmarkEnd w:id="392"/>
      <w:bookmarkEnd w:id="393"/>
      <w:bookmarkEnd w:id="394"/>
      <w:bookmarkEnd w:id="395"/>
      <w:bookmarkEnd w:id="396"/>
      <w:bookmarkEnd w:id="397"/>
    </w:p>
    <w:p w14:paraId="1CC78E0A">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398" w:name="_Toc60061463"/>
      <w:bookmarkStart w:id="399" w:name="_Toc83301718"/>
      <w:bookmarkStart w:id="400" w:name="_Toc324404843"/>
      <w:bookmarkStart w:id="401" w:name="_Toc15058875"/>
      <w:bookmarkStart w:id="402" w:name="_Toc179632578"/>
      <w:bookmarkStart w:id="403" w:name="_Toc144974528"/>
      <w:bookmarkStart w:id="404" w:name="_Toc247085718"/>
      <w:bookmarkStart w:id="405" w:name="_Toc152045560"/>
      <w:bookmarkStart w:id="406" w:name="_Toc506107296"/>
      <w:bookmarkStart w:id="407" w:name="_Toc152042336"/>
      <w:bookmarkStart w:id="408" w:name="_Toc246996204"/>
      <w:bookmarkStart w:id="409" w:name="_Toc246996947"/>
      <w:bookmarkStart w:id="410" w:name="_Toc296602448"/>
      <w:bookmarkStart w:id="411" w:name="_Toc95223366"/>
      <w:r>
        <w:rPr>
          <w:rFonts w:hint="eastAsia" w:ascii="黑体" w:hAnsi="黑体" w:eastAsia="黑体" w:cs="黑体"/>
          <w:color w:val="auto"/>
          <w:sz w:val="21"/>
          <w:szCs w:val="21"/>
          <w:highlight w:val="none"/>
        </w:rPr>
        <w:t>5.1 开标时间和地点</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5A762A60">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招标人在第一章“招标公告”规定的投标截止时间前（开标时间）和地点</w:t>
      </w:r>
      <w:r>
        <w:rPr>
          <w:color w:val="auto"/>
          <w:highlight w:val="none"/>
        </w:rPr>
        <w:t>通过电子交易系统公开开标</w:t>
      </w:r>
      <w:r>
        <w:rPr>
          <w:rFonts w:hint="eastAsia" w:ascii="宋体" w:hAnsi="宋体" w:cs="宋体"/>
          <w:color w:val="auto"/>
          <w:szCs w:val="21"/>
          <w:highlight w:val="none"/>
        </w:rPr>
        <w:t>。</w:t>
      </w:r>
    </w:p>
    <w:p w14:paraId="29B6E81A">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412" w:name="_Toc296602449"/>
      <w:bookmarkStart w:id="413" w:name="_Toc247085719"/>
      <w:bookmarkStart w:id="414" w:name="_Toc152042337"/>
      <w:bookmarkStart w:id="415" w:name="_Toc15058876"/>
      <w:bookmarkStart w:id="416" w:name="_Toc506107297"/>
      <w:bookmarkStart w:id="417" w:name="_Toc144974529"/>
      <w:bookmarkStart w:id="418" w:name="_Toc246996205"/>
      <w:bookmarkStart w:id="419" w:name="_Toc152045561"/>
      <w:bookmarkStart w:id="420" w:name="_Toc179632579"/>
      <w:bookmarkStart w:id="421" w:name="_Toc60061464"/>
      <w:bookmarkStart w:id="422" w:name="_Toc95223367"/>
      <w:bookmarkStart w:id="423" w:name="_Toc246996948"/>
      <w:bookmarkStart w:id="424" w:name="_Toc83301719"/>
      <w:bookmarkStart w:id="425" w:name="_Toc324404844"/>
      <w:r>
        <w:rPr>
          <w:rFonts w:hint="eastAsia" w:ascii="黑体" w:hAnsi="黑体" w:eastAsia="黑体" w:cs="黑体"/>
          <w:color w:val="auto"/>
          <w:sz w:val="21"/>
          <w:szCs w:val="21"/>
          <w:highlight w:val="none"/>
        </w:rPr>
        <w:t>5.2 开标程序</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2CD6FAD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主持人按下列程序进行开标：</w:t>
      </w:r>
    </w:p>
    <w:p w14:paraId="7AC41223">
      <w:pPr>
        <w:adjustRightInd w:val="0"/>
        <w:snapToGrid w:val="0"/>
        <w:spacing w:line="600" w:lineRule="exact"/>
        <w:ind w:firstLine="420" w:firstLineChars="200"/>
        <w:rPr>
          <w:rFonts w:hint="eastAsia"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（1）公布在投标截止时间前通过电子交易系统完成投标文件递交的投标人名称；</w:t>
      </w:r>
    </w:p>
    <w:p w14:paraId="7F81C8C4">
      <w:pPr>
        <w:adjustRightInd w:val="0"/>
        <w:snapToGrid w:val="0"/>
        <w:spacing w:line="560" w:lineRule="exact"/>
        <w:rPr>
          <w:rFonts w:hint="eastAsia" w:ascii="宋体" w:hAnsi="宋体" w:cs="宋体"/>
          <w:color w:val="auto"/>
          <w:szCs w:val="21"/>
          <w:highlight w:val="none"/>
        </w:rPr>
      </w:pPr>
      <w:r>
        <w:rPr>
          <w:rFonts w:hint="eastAsia" w:ascii="宋体" w:hAnsi="宋体" w:cs="宋体"/>
          <w:color w:val="auto"/>
          <w:szCs w:val="21"/>
          <w:highlight w:val="none"/>
        </w:rPr>
        <w:t xml:space="preserve">    （2）投标人在投标截止时间后在投标人须知前附表规定的解密时间内完成投标文件的解密工作；</w:t>
      </w:r>
    </w:p>
    <w:p w14:paraId="093A651F">
      <w:pPr>
        <w:adjustRightInd w:val="0"/>
        <w:snapToGrid w:val="0"/>
        <w:spacing w:line="560" w:lineRule="exact"/>
        <w:rPr>
          <w:rFonts w:hint="eastAsia" w:ascii="宋体" w:hAnsi="宋体" w:cs="宋体"/>
          <w:color w:val="auto"/>
          <w:szCs w:val="21"/>
          <w:highlight w:val="none"/>
        </w:rPr>
      </w:pPr>
      <w:r>
        <w:rPr>
          <w:rFonts w:hint="eastAsia" w:ascii="宋体" w:hAnsi="宋体" w:cs="宋体"/>
          <w:color w:val="auto"/>
          <w:szCs w:val="21"/>
          <w:highlight w:val="none"/>
        </w:rPr>
        <w:t xml:space="preserve">    （3）</w:t>
      </w:r>
      <w:r>
        <w:rPr>
          <w:rFonts w:hint="eastAsia" w:ascii="宋体" w:hAnsi="宋体" w:cs="宋体"/>
          <w:bCs/>
          <w:snapToGrid w:val="0"/>
          <w:color w:val="auto"/>
          <w:kern w:val="0"/>
          <w:szCs w:val="21"/>
          <w:highlight w:val="none"/>
        </w:rPr>
        <w:t>招标人或招标代理机构完成解密工作，导入并读取所有成功解密的投标文件；</w:t>
      </w:r>
    </w:p>
    <w:p w14:paraId="66499061">
      <w:pPr>
        <w:adjustRightInd w:val="0"/>
        <w:snapToGrid w:val="0"/>
        <w:spacing w:line="560" w:lineRule="exact"/>
        <w:rPr>
          <w:rFonts w:hint="eastAsia" w:ascii="宋体" w:hAnsi="宋体" w:cs="宋体"/>
          <w:color w:val="auto"/>
          <w:szCs w:val="21"/>
          <w:highlight w:val="none"/>
        </w:rPr>
      </w:pPr>
      <w:r>
        <w:rPr>
          <w:rFonts w:hint="eastAsia" w:ascii="宋体" w:hAnsi="宋体" w:cs="宋体"/>
          <w:color w:val="auto"/>
          <w:szCs w:val="21"/>
          <w:highlight w:val="none"/>
        </w:rPr>
        <w:t xml:space="preserve">    （4）按投标人须知前附表规定公布投标人名称、标段名称、投标报价、质量目标、工期及其他内容；</w:t>
      </w:r>
    </w:p>
    <w:p w14:paraId="4C29526D">
      <w:pPr>
        <w:adjustRightInd w:val="0"/>
        <w:snapToGrid w:val="0"/>
        <w:spacing w:line="560" w:lineRule="exact"/>
        <w:rPr>
          <w:rFonts w:hint="eastAsia" w:ascii="宋体" w:hAnsi="宋体" w:cs="宋体"/>
          <w:color w:val="auto"/>
          <w:szCs w:val="21"/>
          <w:highlight w:val="none"/>
        </w:rPr>
      </w:pPr>
      <w:r>
        <w:rPr>
          <w:rFonts w:hint="eastAsia" w:ascii="宋体" w:hAnsi="宋体" w:cs="宋体"/>
          <w:color w:val="auto"/>
          <w:szCs w:val="21"/>
          <w:highlight w:val="none"/>
        </w:rPr>
        <w:t xml:space="preserve">    （5）开标结束。</w:t>
      </w:r>
    </w:p>
    <w:bookmarkEnd w:id="326"/>
    <w:bookmarkEnd w:id="327"/>
    <w:bookmarkEnd w:id="328"/>
    <w:bookmarkEnd w:id="329"/>
    <w:bookmarkEnd w:id="330"/>
    <w:bookmarkEnd w:id="331"/>
    <w:bookmarkEnd w:id="332"/>
    <w:bookmarkEnd w:id="333"/>
    <w:p w14:paraId="67F0D546">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426" w:name="_Toc506107298"/>
      <w:bookmarkStart w:id="427" w:name="_Toc296602450"/>
      <w:bookmarkStart w:id="428" w:name="_Toc324404845"/>
      <w:bookmarkStart w:id="429" w:name="_Toc15058883"/>
      <w:bookmarkStart w:id="430" w:name="_Toc83301720"/>
      <w:bookmarkStart w:id="431" w:name="_Toc95223368"/>
      <w:bookmarkStart w:id="432" w:name="_Toc60061465"/>
      <w:r>
        <w:rPr>
          <w:rFonts w:hint="eastAsia" w:ascii="黑体" w:hAnsi="黑体" w:eastAsia="黑体" w:cs="黑体"/>
          <w:color w:val="auto"/>
          <w:sz w:val="21"/>
          <w:szCs w:val="21"/>
          <w:highlight w:val="none"/>
        </w:rPr>
        <w:t>5.3 开标异议</w:t>
      </w:r>
      <w:bookmarkEnd w:id="426"/>
      <w:bookmarkEnd w:id="427"/>
      <w:bookmarkEnd w:id="428"/>
      <w:bookmarkEnd w:id="429"/>
      <w:bookmarkEnd w:id="430"/>
      <w:bookmarkEnd w:id="431"/>
      <w:bookmarkEnd w:id="432"/>
    </w:p>
    <w:p w14:paraId="7A4F8B46">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投标人对开标有异议的，应当在开标过程中提出，招标人在开标过程中作出答复，并制作记录。</w:t>
      </w:r>
      <w:r>
        <w:rPr>
          <w:color w:val="auto"/>
          <w:spacing w:val="-5"/>
          <w:highlight w:val="none"/>
        </w:rPr>
        <w:t>异议与答复应通过电子交易系统进行。</w:t>
      </w:r>
    </w:p>
    <w:p w14:paraId="2E7485DA">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433" w:name="_Toc15058884"/>
      <w:bookmarkStart w:id="434" w:name="_Toc152045562"/>
      <w:bookmarkStart w:id="435" w:name="_Toc246996949"/>
      <w:bookmarkStart w:id="436" w:name="_Toc247085720"/>
      <w:bookmarkStart w:id="437" w:name="_Toc144974530"/>
      <w:bookmarkStart w:id="438" w:name="_Toc95223369"/>
      <w:bookmarkStart w:id="439" w:name="_Toc324404846"/>
      <w:bookmarkStart w:id="440" w:name="_Toc60061466"/>
      <w:bookmarkStart w:id="441" w:name="_Toc83301721"/>
      <w:bookmarkStart w:id="442" w:name="_Toc179632580"/>
      <w:bookmarkStart w:id="443" w:name="_Toc246996206"/>
      <w:bookmarkStart w:id="444" w:name="_Toc152042338"/>
      <w:bookmarkStart w:id="445" w:name="_Toc506107299"/>
      <w:r>
        <w:rPr>
          <w:rFonts w:hint="eastAsia" w:ascii="黑体" w:hAnsi="黑体" w:cs="黑体"/>
          <w:color w:val="auto"/>
          <w:sz w:val="21"/>
          <w:szCs w:val="21"/>
          <w:highlight w:val="none"/>
        </w:rPr>
        <w:t>6. 评标</w:t>
      </w:r>
      <w:bookmarkEnd w:id="433"/>
      <w:bookmarkEnd w:id="434"/>
      <w:bookmarkEnd w:id="435"/>
      <w:bookmarkEnd w:id="436"/>
      <w:bookmarkEnd w:id="437"/>
      <w:bookmarkEnd w:id="438"/>
      <w:bookmarkEnd w:id="439"/>
      <w:bookmarkEnd w:id="440"/>
      <w:bookmarkEnd w:id="441"/>
      <w:bookmarkEnd w:id="442"/>
      <w:bookmarkEnd w:id="443"/>
      <w:bookmarkEnd w:id="444"/>
      <w:bookmarkEnd w:id="445"/>
    </w:p>
    <w:p w14:paraId="32D5C97F">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446" w:name="_Toc246996950"/>
      <w:bookmarkStart w:id="447" w:name="_Toc506107300"/>
      <w:bookmarkStart w:id="448" w:name="_Toc246996207"/>
      <w:bookmarkStart w:id="449" w:name="_Toc144974531"/>
      <w:bookmarkStart w:id="450" w:name="_Toc152042339"/>
      <w:bookmarkStart w:id="451" w:name="_Toc296602452"/>
      <w:bookmarkStart w:id="452" w:name="_Toc15058885"/>
      <w:bookmarkStart w:id="453" w:name="_Toc95223370"/>
      <w:bookmarkStart w:id="454" w:name="_Toc247085721"/>
      <w:bookmarkStart w:id="455" w:name="_Toc324404847"/>
      <w:bookmarkStart w:id="456" w:name="_Toc152045563"/>
      <w:bookmarkStart w:id="457" w:name="_Toc179632581"/>
      <w:bookmarkStart w:id="458" w:name="_Toc83301722"/>
      <w:bookmarkStart w:id="459" w:name="_Toc60061467"/>
      <w:r>
        <w:rPr>
          <w:rFonts w:hint="eastAsia" w:ascii="黑体" w:hAnsi="黑体" w:eastAsia="黑体" w:cs="黑体"/>
          <w:color w:val="auto"/>
          <w:sz w:val="21"/>
          <w:szCs w:val="21"/>
          <w:highlight w:val="none"/>
        </w:rPr>
        <w:t>6.1 评标委员会</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701E2313">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3FADFD5B">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6.1.2 评标委员会成员有下列情形之一的，应当回避：</w:t>
      </w:r>
    </w:p>
    <w:p w14:paraId="59464541">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（1）项目主管部门或行政监督管理部门，项目属地的公共资源交易综合管理部门、交易中心的工作人员；</w:t>
      </w:r>
      <w:r>
        <w:rPr>
          <w:rFonts w:ascii="宋体" w:hAnsi="宋体" w:cs="宋体"/>
          <w:color w:val="auto"/>
          <w:szCs w:val="21"/>
          <w:highlight w:val="none"/>
        </w:rPr>
        <w:t xml:space="preserve"> </w:t>
      </w:r>
    </w:p>
    <w:p w14:paraId="189B3C6A">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（2）与竞争主体主要负责人或者授权参与交易的代理人有近亲属关系的人员；</w:t>
      </w:r>
      <w:r>
        <w:rPr>
          <w:rFonts w:ascii="宋体" w:hAnsi="宋体" w:cs="宋体"/>
          <w:color w:val="auto"/>
          <w:szCs w:val="21"/>
          <w:highlight w:val="none"/>
        </w:rPr>
        <w:t xml:space="preserve"> </w:t>
      </w:r>
    </w:p>
    <w:p w14:paraId="743086EF">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（3）竞争主体的工作人员或者退休人员；</w:t>
      </w:r>
      <w:r>
        <w:rPr>
          <w:rFonts w:ascii="宋体" w:hAnsi="宋体" w:cs="宋体"/>
          <w:color w:val="auto"/>
          <w:szCs w:val="21"/>
          <w:highlight w:val="none"/>
        </w:rPr>
        <w:t xml:space="preserve"> </w:t>
      </w:r>
    </w:p>
    <w:p w14:paraId="370EBD75">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（4）竞争主体的上级主管、控股或者被控股单位等相关利害关系的人员，或任职单位与竞争主体单位为同一法定代表人的；</w:t>
      </w:r>
      <w:r>
        <w:rPr>
          <w:rFonts w:ascii="宋体" w:hAnsi="宋体" w:cs="宋体"/>
          <w:color w:val="auto"/>
          <w:szCs w:val="21"/>
          <w:highlight w:val="none"/>
        </w:rPr>
        <w:t xml:space="preserve"> </w:t>
      </w:r>
    </w:p>
    <w:p w14:paraId="31BDBCC6">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（5）存在其他法定回避情形的。</w:t>
      </w:r>
    </w:p>
    <w:p w14:paraId="725CE8F5">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项目实施主体及其子公司、下属单位、上级主管部门或者控股公司的工作人员或者退休人员不得以专家身份参与本单位或者代理项目的评标评审。</w:t>
      </w:r>
      <w:r>
        <w:rPr>
          <w:rFonts w:ascii="宋体" w:hAnsi="宋体" w:cs="宋体"/>
          <w:color w:val="auto"/>
          <w:szCs w:val="21"/>
          <w:highlight w:val="none"/>
        </w:rPr>
        <w:t xml:space="preserve"> </w:t>
      </w:r>
    </w:p>
    <w:p w14:paraId="66260D8E">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评标委员会或评审机构成员有前两款规定情形的，应当主动提出回避；已经进入的应当更换，被更换的成员评标评审意见无效。</w:t>
      </w:r>
      <w:r>
        <w:rPr>
          <w:rFonts w:ascii="宋体" w:hAnsi="宋体" w:cs="宋体"/>
          <w:color w:val="auto"/>
          <w:szCs w:val="21"/>
          <w:highlight w:val="none"/>
        </w:rPr>
        <w:t xml:space="preserve"> </w:t>
      </w:r>
    </w:p>
    <w:p w14:paraId="7D54BDE9">
      <w:pPr>
        <w:pStyle w:val="19"/>
        <w:adjustRightInd w:val="0"/>
        <w:snapToGrid w:val="0"/>
        <w:spacing w:after="0" w:line="560" w:lineRule="exact"/>
        <w:ind w:left="0" w:leftChars="0"/>
        <w:rPr>
          <w:rFonts w:hint="eastAsia"/>
          <w:color w:val="auto"/>
          <w:highlight w:val="none"/>
        </w:rPr>
      </w:pPr>
      <w:r>
        <w:rPr>
          <w:rFonts w:hint="eastAsia" w:ascii="宋体" w:hAnsi="宋体" w:cs="宋体"/>
          <w:color w:val="auto"/>
          <w:szCs w:val="21"/>
          <w:highlight w:val="none"/>
        </w:rPr>
        <w:t>6.1.3评标过程中，评标委员会成员有回避事由、擅离职守或因健康等原因不能继续评标的， 招标人有权更换。被更换的评标委员会成员作出的评审结论无效，由更换后的评标委员会成员重新进行评审。</w:t>
      </w:r>
    </w:p>
    <w:p w14:paraId="1770270A">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460" w:name="_Toc246996208"/>
      <w:bookmarkStart w:id="461" w:name="_Toc144974532"/>
      <w:bookmarkStart w:id="462" w:name="_Toc15058886"/>
      <w:bookmarkStart w:id="463" w:name="_Toc246996951"/>
      <w:bookmarkStart w:id="464" w:name="_Toc95223371"/>
      <w:bookmarkStart w:id="465" w:name="_Toc506107301"/>
      <w:bookmarkStart w:id="466" w:name="_Toc247085722"/>
      <w:bookmarkStart w:id="467" w:name="_Toc152045564"/>
      <w:bookmarkStart w:id="468" w:name="_Toc152042340"/>
      <w:bookmarkStart w:id="469" w:name="_Toc60061468"/>
      <w:bookmarkStart w:id="470" w:name="_Toc83301723"/>
      <w:bookmarkStart w:id="471" w:name="_Toc296602453"/>
      <w:bookmarkStart w:id="472" w:name="_Toc179632582"/>
      <w:bookmarkStart w:id="473" w:name="_Toc324404848"/>
      <w:r>
        <w:rPr>
          <w:rFonts w:hint="eastAsia" w:ascii="黑体" w:hAnsi="黑体" w:eastAsia="黑体" w:cs="黑体"/>
          <w:color w:val="auto"/>
          <w:sz w:val="21"/>
          <w:szCs w:val="21"/>
          <w:highlight w:val="none"/>
        </w:rPr>
        <w:t>6.2 评标原则</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07BD479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评标活动遵循公平、公正、科学和择优的原则。</w:t>
      </w:r>
    </w:p>
    <w:p w14:paraId="3BD2A677">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474" w:name="_Toc15058887"/>
      <w:bookmarkStart w:id="475" w:name="_Toc83301724"/>
      <w:bookmarkStart w:id="476" w:name="_Toc152045565"/>
      <w:bookmarkStart w:id="477" w:name="_Toc246996209"/>
      <w:bookmarkStart w:id="478" w:name="_Toc506107302"/>
      <w:bookmarkStart w:id="479" w:name="_Toc247085723"/>
      <w:bookmarkStart w:id="480" w:name="_Toc324404849"/>
      <w:bookmarkStart w:id="481" w:name="_Toc60061469"/>
      <w:bookmarkStart w:id="482" w:name="_Toc152042341"/>
      <w:bookmarkStart w:id="483" w:name="_Toc296602454"/>
      <w:bookmarkStart w:id="484" w:name="_Toc179632583"/>
      <w:bookmarkStart w:id="485" w:name="_Toc144974533"/>
      <w:bookmarkStart w:id="486" w:name="_Toc95223372"/>
      <w:bookmarkStart w:id="487" w:name="_Toc246996952"/>
      <w:r>
        <w:rPr>
          <w:rFonts w:hint="eastAsia" w:ascii="黑体" w:hAnsi="黑体" w:eastAsia="黑体" w:cs="黑体"/>
          <w:color w:val="auto"/>
          <w:sz w:val="21"/>
          <w:szCs w:val="21"/>
          <w:highlight w:val="none"/>
        </w:rPr>
        <w:t>6.3 评标</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Start w:id="488" w:name="_Toc246996953"/>
      <w:bookmarkStart w:id="489" w:name="_Toc152045566"/>
      <w:bookmarkStart w:id="490" w:name="_Toc506107303"/>
      <w:bookmarkStart w:id="491" w:name="_Toc179632584"/>
      <w:bookmarkStart w:id="492" w:name="_Toc144974534"/>
      <w:bookmarkStart w:id="493" w:name="_Toc152042342"/>
      <w:bookmarkStart w:id="494" w:name="_Toc246996210"/>
      <w:bookmarkStart w:id="495" w:name="_Toc60061470"/>
      <w:bookmarkStart w:id="496" w:name="_Toc324404850"/>
      <w:bookmarkStart w:id="497" w:name="_Toc247085724"/>
      <w:bookmarkStart w:id="498" w:name="_Toc15058888"/>
      <w:r>
        <w:rPr>
          <w:rFonts w:hint="eastAsia" w:ascii="黑体" w:hAnsi="黑体" w:eastAsia="黑体" w:cs="黑体"/>
          <w:color w:val="auto"/>
          <w:sz w:val="21"/>
          <w:szCs w:val="21"/>
          <w:highlight w:val="none"/>
        </w:rPr>
        <w:t xml:space="preserve">    </w:t>
      </w:r>
    </w:p>
    <w:p w14:paraId="71ECE534">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6.3.1评标委员会按照第四章“评标办法”规定的方法、评审因素、标准和程序对投标文件进行评审。第四章“评标办法”没有规定的方法、评审因素和标准，不作为评标依据。</w:t>
      </w:r>
    </w:p>
    <w:p w14:paraId="696AA139">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6.3.2评标完成后，评标委员会应向招标人提交书面评标报告和中标候选人名单。评标委员会推荐中标候选人的人数见投标人须知前附表。</w:t>
      </w:r>
    </w:p>
    <w:p w14:paraId="23CA39AA">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499" w:name="_Toc95223373"/>
      <w:bookmarkStart w:id="500" w:name="_Toc83301725"/>
      <w:r>
        <w:rPr>
          <w:rFonts w:hint="eastAsia" w:ascii="黑体" w:hAnsi="黑体" w:cs="黑体"/>
          <w:color w:val="auto"/>
          <w:sz w:val="21"/>
          <w:szCs w:val="21"/>
          <w:highlight w:val="none"/>
        </w:rPr>
        <w:t>7. 合同授予</w:t>
      </w:r>
      <w:bookmarkEnd w:id="488"/>
      <w:bookmarkEnd w:id="489"/>
      <w:bookmarkEnd w:id="490"/>
      <w:bookmarkEnd w:id="491"/>
      <w:bookmarkEnd w:id="492"/>
      <w:bookmarkEnd w:id="493"/>
      <w:bookmarkEnd w:id="494"/>
      <w:bookmarkEnd w:id="495"/>
      <w:bookmarkEnd w:id="496"/>
      <w:bookmarkEnd w:id="497"/>
      <w:bookmarkEnd w:id="498"/>
      <w:bookmarkEnd w:id="499"/>
      <w:bookmarkEnd w:id="500"/>
    </w:p>
    <w:p w14:paraId="030DA0E9">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501" w:name="_Toc506107305"/>
      <w:bookmarkStart w:id="502" w:name="_Toc83301726"/>
      <w:bookmarkStart w:id="503" w:name="_Toc296602457"/>
      <w:bookmarkStart w:id="504" w:name="_Toc60061472"/>
      <w:bookmarkStart w:id="505" w:name="_Toc15058890"/>
      <w:bookmarkStart w:id="506" w:name="_Toc324404852"/>
      <w:bookmarkStart w:id="507" w:name="_Toc95223374"/>
      <w:r>
        <w:rPr>
          <w:rFonts w:hint="eastAsia" w:ascii="黑体" w:hAnsi="黑体" w:eastAsia="黑体" w:cs="黑体"/>
          <w:color w:val="auto"/>
          <w:sz w:val="21"/>
          <w:szCs w:val="21"/>
          <w:highlight w:val="none"/>
        </w:rPr>
        <w:t>7.1 中标候选人公示</w:t>
      </w:r>
      <w:bookmarkEnd w:id="501"/>
      <w:bookmarkEnd w:id="502"/>
      <w:bookmarkEnd w:id="503"/>
      <w:bookmarkEnd w:id="504"/>
      <w:bookmarkEnd w:id="505"/>
      <w:bookmarkEnd w:id="506"/>
      <w:bookmarkEnd w:id="507"/>
    </w:p>
    <w:p w14:paraId="623588E7">
      <w:pPr>
        <w:adjustRightInd w:val="0"/>
        <w:snapToGrid w:val="0"/>
        <w:spacing w:line="560" w:lineRule="exact"/>
        <w:ind w:firstLine="420" w:firstLineChars="200"/>
        <w:rPr>
          <w:rFonts w:hint="eastAsia" w:ascii="宋体" w:hAnsi="宋体" w:cs="宋体"/>
          <w:color w:val="auto"/>
          <w:szCs w:val="21"/>
          <w:highlight w:val="none"/>
        </w:rPr>
      </w:pPr>
      <w:bookmarkStart w:id="508" w:name="_Toc60061473"/>
      <w:bookmarkStart w:id="509" w:name="_Toc144974536"/>
      <w:bookmarkStart w:id="510" w:name="_Toc324404853"/>
      <w:bookmarkStart w:id="511" w:name="_Toc246996955"/>
      <w:bookmarkStart w:id="512" w:name="_Toc296602458"/>
      <w:bookmarkStart w:id="513" w:name="_Toc152042344"/>
      <w:bookmarkStart w:id="514" w:name="_Toc179632586"/>
      <w:bookmarkStart w:id="515" w:name="_Toc247085726"/>
      <w:bookmarkStart w:id="516" w:name="_Toc246996212"/>
      <w:bookmarkStart w:id="517" w:name="_Toc152045568"/>
      <w:r>
        <w:rPr>
          <w:rFonts w:hint="eastAsia" w:ascii="宋体" w:hAnsi="宋体" w:cs="宋体"/>
          <w:color w:val="auto"/>
          <w:szCs w:val="21"/>
          <w:highlight w:val="none"/>
        </w:rPr>
        <w:t>招标人在收到评标报告之日起3日内，按照投标人须知前附表规定的公示媒介和期限依法公示。中标候选人公示期不得少于3日。</w:t>
      </w:r>
    </w:p>
    <w:p w14:paraId="70161591">
      <w:pPr>
        <w:adjustRightInd w:val="0"/>
        <w:snapToGrid w:val="0"/>
        <w:spacing w:line="560" w:lineRule="exact"/>
        <w:ind w:firstLine="422" w:firstLineChars="200"/>
        <w:rPr>
          <w:rFonts w:hint="eastAsia" w:ascii="黑体" w:hAnsi="黑体" w:eastAsia="黑体" w:cs="黑体"/>
          <w:bCs/>
          <w:color w:val="auto"/>
          <w:kern w:val="0"/>
          <w:szCs w:val="21"/>
          <w:highlight w:val="none"/>
        </w:rPr>
      </w:pPr>
      <w:r>
        <w:rPr>
          <w:rFonts w:hint="eastAsia" w:ascii="黑体" w:hAnsi="黑体" w:eastAsia="黑体" w:cs="黑体"/>
          <w:b/>
          <w:bCs/>
          <w:color w:val="auto"/>
          <w:kern w:val="0"/>
          <w:szCs w:val="21"/>
          <w:highlight w:val="none"/>
        </w:rPr>
        <w:t>7.2 评标结果异议</w:t>
      </w:r>
    </w:p>
    <w:p w14:paraId="3D559B8A">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投标人或其他利害关系人对评标结果有异议的，应在中标候选人公示期内提出。招标人将在收到异议之日起3日内作出答复；作出答复前，将暂停招标投标活动。</w:t>
      </w:r>
    </w:p>
    <w:p w14:paraId="6EE7B31C">
      <w:pPr>
        <w:adjustRightInd w:val="0"/>
        <w:snapToGrid w:val="0"/>
        <w:spacing w:line="560" w:lineRule="exact"/>
        <w:ind w:firstLine="422" w:firstLineChars="200"/>
        <w:rPr>
          <w:rFonts w:hint="eastAsia" w:ascii="黑体" w:hAnsi="黑体" w:eastAsia="黑体" w:cs="黑体"/>
          <w:b/>
          <w:bCs/>
          <w:color w:val="auto"/>
          <w:kern w:val="0"/>
          <w:szCs w:val="21"/>
          <w:highlight w:val="none"/>
        </w:rPr>
      </w:pPr>
      <w:r>
        <w:rPr>
          <w:rFonts w:hint="eastAsia" w:ascii="黑体" w:hAnsi="黑体" w:eastAsia="黑体" w:cs="黑体"/>
          <w:b/>
          <w:bCs/>
          <w:color w:val="auto"/>
          <w:kern w:val="0"/>
          <w:szCs w:val="21"/>
          <w:highlight w:val="none"/>
        </w:rPr>
        <w:t>7.3 中标候选人履约能力审查</w:t>
      </w:r>
    </w:p>
    <w:p w14:paraId="6E7EAF05">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中标候选人的经营、财务状况发生较大变化或者存在违法行为，招标人认为可能影响其履约能力的，应当在发出中标通知书前由原评标委员会按照招标文件规定的标准和方法审查确认。</w:t>
      </w:r>
    </w:p>
    <w:p w14:paraId="58C29ABB">
      <w:pPr>
        <w:adjustRightInd w:val="0"/>
        <w:snapToGrid w:val="0"/>
        <w:spacing w:line="560" w:lineRule="exact"/>
        <w:ind w:firstLine="422" w:firstLineChars="200"/>
        <w:rPr>
          <w:rFonts w:hint="eastAsia" w:ascii="黑体" w:hAnsi="黑体" w:eastAsia="黑体" w:cs="黑体"/>
          <w:b/>
          <w:bCs/>
          <w:color w:val="auto"/>
          <w:kern w:val="0"/>
          <w:szCs w:val="21"/>
          <w:highlight w:val="none"/>
        </w:rPr>
      </w:pPr>
      <w:r>
        <w:rPr>
          <w:rFonts w:hint="eastAsia" w:ascii="黑体" w:hAnsi="黑体" w:eastAsia="黑体" w:cs="黑体"/>
          <w:b/>
          <w:bCs/>
          <w:color w:val="auto"/>
          <w:kern w:val="0"/>
          <w:szCs w:val="21"/>
          <w:highlight w:val="none"/>
        </w:rPr>
        <w:t>7.4 业绩奖项公示</w:t>
      </w:r>
      <w:bookmarkEnd w:id="508"/>
    </w:p>
    <w:p w14:paraId="70AD0D8B">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招标人对中标候选人的得分业绩和奖项进行公示。</w:t>
      </w:r>
    </w:p>
    <w:p w14:paraId="28055F51">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518" w:name="_Toc83301727"/>
      <w:bookmarkStart w:id="519" w:name="_Toc95223375"/>
      <w:bookmarkStart w:id="520" w:name="_Toc15058891"/>
      <w:bookmarkStart w:id="521" w:name="_Toc506107306"/>
      <w:bookmarkStart w:id="522" w:name="_Toc60061474"/>
      <w:r>
        <w:rPr>
          <w:rFonts w:hint="eastAsia" w:ascii="黑体" w:hAnsi="黑体" w:eastAsia="黑体" w:cs="黑体"/>
          <w:color w:val="auto"/>
          <w:sz w:val="21"/>
          <w:szCs w:val="21"/>
          <w:highlight w:val="none"/>
        </w:rPr>
        <w:t>7.5 定标</w:t>
      </w:r>
      <w:bookmarkEnd w:id="518"/>
      <w:bookmarkEnd w:id="519"/>
    </w:p>
    <w:p w14:paraId="42DDAC41">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7.5.1招标人应当自收到评标报告之日起5个工作日内召开定标会议（如因招标文件约定或异议或投诉或其他特殊原因，定标会议时间可以适当延期，但不得超过投标有效期。）。定标会议应当在公共资源交易中心召开</w:t>
      </w:r>
      <w:r>
        <w:rPr>
          <w:rFonts w:hint="eastAsia" w:ascii="宋体" w:hAnsi="宋体" w:cs="宋体"/>
          <w:color w:val="auto"/>
          <w:szCs w:val="21"/>
          <w:highlight w:val="none"/>
        </w:rPr>
        <w:t>。</w:t>
      </w:r>
    </w:p>
    <w:p w14:paraId="104E6FC3">
      <w:pPr>
        <w:adjustRightInd w:val="0"/>
        <w:snapToGrid w:val="0"/>
        <w:spacing w:line="560" w:lineRule="exact"/>
        <w:ind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7.5.2定标委员会应当按照招标文件约定的定标方式客观、公正定标，确定中标人。具体定标方法详见投标人须知前附表。</w:t>
      </w:r>
    </w:p>
    <w:p w14:paraId="5053CA03">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 xml:space="preserve"> </w:t>
      </w:r>
      <w:bookmarkStart w:id="523" w:name="_Toc95223376"/>
      <w:bookmarkStart w:id="524" w:name="_Toc83301728"/>
      <w:r>
        <w:rPr>
          <w:rFonts w:hint="eastAsia" w:ascii="黑体" w:hAnsi="黑体" w:eastAsia="黑体" w:cs="黑体"/>
          <w:color w:val="auto"/>
          <w:sz w:val="21"/>
          <w:szCs w:val="21"/>
          <w:highlight w:val="none"/>
        </w:rPr>
        <w:t>7.6 中标通知</w:t>
      </w:r>
      <w:bookmarkEnd w:id="509"/>
      <w:bookmarkEnd w:id="510"/>
      <w:bookmarkEnd w:id="511"/>
      <w:bookmarkEnd w:id="512"/>
      <w:bookmarkEnd w:id="513"/>
      <w:bookmarkEnd w:id="514"/>
      <w:bookmarkEnd w:id="515"/>
      <w:bookmarkEnd w:id="516"/>
      <w:bookmarkEnd w:id="517"/>
      <w:bookmarkEnd w:id="520"/>
      <w:bookmarkEnd w:id="521"/>
      <w:bookmarkEnd w:id="522"/>
      <w:bookmarkEnd w:id="523"/>
      <w:bookmarkEnd w:id="524"/>
    </w:p>
    <w:p w14:paraId="38AEBE66">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在本招标文件规定的投标有效期内，招标人以数据电文向中标人发出中标通知书，同时将中标结果通知未中标的投标人。</w:t>
      </w:r>
    </w:p>
    <w:p w14:paraId="4250C41F">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525" w:name="_Toc95223377"/>
      <w:r>
        <w:rPr>
          <w:rFonts w:hint="eastAsia" w:ascii="黑体" w:hAnsi="黑体" w:eastAsia="黑体" w:cs="黑体"/>
          <w:color w:val="auto"/>
          <w:sz w:val="21"/>
          <w:szCs w:val="21"/>
          <w:highlight w:val="none"/>
        </w:rPr>
        <w:t>7.7 中标结果公示</w:t>
      </w:r>
      <w:bookmarkEnd w:id="525"/>
    </w:p>
    <w:p w14:paraId="4E93D66C">
      <w:pPr>
        <w:adjustRightInd w:val="0"/>
        <w:snapToGrid w:val="0"/>
        <w:spacing w:line="600" w:lineRule="exact"/>
        <w:ind w:firstLine="420" w:firstLineChars="200"/>
        <w:rPr>
          <w:rFonts w:hint="eastAsia"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招标人在确定中标人之日起3日内，按照投标人须知前附表规定的公示媒介和期限依法公示中标结果。</w:t>
      </w:r>
    </w:p>
    <w:p w14:paraId="319DBC90">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526" w:name="_Toc152045569"/>
      <w:bookmarkStart w:id="527" w:name="_Toc246996956"/>
      <w:bookmarkStart w:id="528" w:name="_Toc15058892"/>
      <w:bookmarkStart w:id="529" w:name="_Toc95223378"/>
      <w:bookmarkStart w:id="530" w:name="_Toc506107307"/>
      <w:bookmarkStart w:id="531" w:name="_Toc179632587"/>
      <w:bookmarkStart w:id="532" w:name="_Toc60061476"/>
      <w:bookmarkStart w:id="533" w:name="_Toc144974537"/>
      <w:bookmarkStart w:id="534" w:name="_Toc324404854"/>
      <w:bookmarkStart w:id="535" w:name="_Toc83301730"/>
      <w:bookmarkStart w:id="536" w:name="_Toc296602459"/>
      <w:bookmarkStart w:id="537" w:name="_Toc152042345"/>
      <w:bookmarkStart w:id="538" w:name="_Toc246996213"/>
      <w:bookmarkStart w:id="539" w:name="_Toc247085727"/>
      <w:r>
        <w:rPr>
          <w:rFonts w:hint="eastAsia" w:ascii="黑体" w:hAnsi="黑体" w:eastAsia="黑体" w:cs="黑体"/>
          <w:color w:val="auto"/>
          <w:sz w:val="21"/>
          <w:szCs w:val="21"/>
          <w:highlight w:val="none"/>
        </w:rPr>
        <w:t>7.8 履约担保</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551AC284">
      <w:pPr>
        <w:adjustRightInd w:val="0"/>
        <w:snapToGrid w:val="0"/>
        <w:spacing w:line="560" w:lineRule="exact"/>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rPr>
        <w:t>7.8.1在签订合同前，中标人应按投标人须知前附表规定的担保形式和招标文件第五章“合同条款及格式”规定的或者事先经过招标人书面认可的履约担保格式向招标人提交履约担保。</w:t>
      </w:r>
      <w:r>
        <w:rPr>
          <w:rFonts w:hint="eastAsia"/>
          <w:color w:val="auto"/>
          <w:highlight w:val="none"/>
        </w:rPr>
        <w:t>联合体中标的，其履约担保应符合投标人须知前附表规定的金额、担保形式和招标文件第五章“合同条款及格式”规定的履约担保格式要求。</w:t>
      </w:r>
    </w:p>
    <w:p w14:paraId="2861C789">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7.8.2 中标人不能按本章第7.8.1项要求提交履约担保的，视为放弃中标，其投标保证金不予退还，给招标人造成的损失超过投标保证金数额的，中标人还应当对超过部分予以赔偿。</w:t>
      </w:r>
    </w:p>
    <w:p w14:paraId="12EF6136">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540" w:name="_Toc152042346"/>
      <w:bookmarkStart w:id="541" w:name="_Toc95223379"/>
      <w:bookmarkStart w:id="542" w:name="_Toc144974538"/>
      <w:bookmarkStart w:id="543" w:name="_Toc179632588"/>
      <w:bookmarkStart w:id="544" w:name="_Toc247085728"/>
      <w:bookmarkStart w:id="545" w:name="_Toc324404855"/>
      <w:bookmarkStart w:id="546" w:name="_Toc15058893"/>
      <w:bookmarkStart w:id="547" w:name="_Toc83301731"/>
      <w:bookmarkStart w:id="548" w:name="_Toc506107308"/>
      <w:bookmarkStart w:id="549" w:name="_Toc60061477"/>
      <w:bookmarkStart w:id="550" w:name="_Toc246996957"/>
      <w:bookmarkStart w:id="551" w:name="_Toc246996214"/>
      <w:bookmarkStart w:id="552" w:name="_Toc296602460"/>
      <w:bookmarkStart w:id="553" w:name="_Toc152045570"/>
      <w:r>
        <w:rPr>
          <w:rFonts w:hint="eastAsia" w:ascii="黑体" w:hAnsi="黑体" w:eastAsia="黑体" w:cs="黑体"/>
          <w:color w:val="auto"/>
          <w:sz w:val="21"/>
          <w:szCs w:val="21"/>
          <w:highlight w:val="none"/>
        </w:rPr>
        <w:t>7.9 签订合同</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0FFC419D">
      <w:pPr>
        <w:adjustRightInd w:val="0"/>
        <w:snapToGrid w:val="0"/>
        <w:spacing w:line="56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7.9.1本招标工程的施工合同将授予按本须知第7.6款规定所确定的中标人。</w:t>
      </w:r>
    </w:p>
    <w:p w14:paraId="723FD6AD">
      <w:pPr>
        <w:adjustRightInd w:val="0"/>
        <w:snapToGrid w:val="0"/>
        <w:spacing w:line="560" w:lineRule="exact"/>
        <w:ind w:firstLine="420" w:firstLineChars="200"/>
        <w:rPr>
          <w:rFonts w:hint="eastAsia" w:ascii="宋体" w:hAnsi="宋体" w:cs="宋体"/>
          <w:bCs/>
          <w:color w:val="auto"/>
          <w:szCs w:val="21"/>
          <w:highlight w:val="none"/>
        </w:rPr>
      </w:pPr>
      <w:r>
        <w:rPr>
          <w:rFonts w:hint="eastAsia" w:ascii="宋体" w:hAnsi="宋体" w:cs="宋体"/>
          <w:color w:val="auto"/>
          <w:szCs w:val="21"/>
          <w:highlight w:val="none"/>
        </w:rPr>
        <w:t>投标人所派出项目经理（建造师）须不得有在其他尚未完工（以竣工、交工、完工验收报告等手续为准）项目或已中标项目（以发放中标通知书为准）中担任项目经理（建造师）情形。如有，项目在滁州市区域内的，中标无效，记入不良行为记录；项目在滁州市区域外的，须在中标候选人公示期第一日起开始计算7日内，提供经行政主管部门备案的变更证明材料，否则视为弄虚作假材料骗取中标，中标无效，按有关规定进行处理</w:t>
      </w:r>
      <w:r>
        <w:rPr>
          <w:rFonts w:hint="eastAsia" w:ascii="宋体" w:hAnsi="宋体" w:cs="宋体"/>
          <w:bCs/>
          <w:color w:val="auto"/>
          <w:szCs w:val="21"/>
          <w:highlight w:val="none"/>
        </w:rPr>
        <w:t>。</w:t>
      </w:r>
    </w:p>
    <w:p w14:paraId="4DEA6088">
      <w:pPr>
        <w:adjustRightInd w:val="0"/>
        <w:snapToGrid w:val="0"/>
        <w:spacing w:line="560" w:lineRule="exact"/>
        <w:ind w:firstLine="420" w:firstLineChars="200"/>
        <w:rPr>
          <w:rFonts w:hint="eastAsia" w:ascii="宋体" w:hAnsi="宋体" w:cs="宋体"/>
          <w:bCs/>
          <w:color w:val="auto"/>
          <w:szCs w:val="21"/>
          <w:highlight w:val="none"/>
        </w:rPr>
      </w:pPr>
      <w:bookmarkStart w:id="554" w:name="_Toc324404856"/>
      <w:r>
        <w:rPr>
          <w:rFonts w:hint="eastAsia" w:ascii="宋体" w:hAnsi="宋体" w:cs="宋体"/>
          <w:bCs/>
          <w:color w:val="auto"/>
          <w:szCs w:val="21"/>
          <w:highlight w:val="none"/>
        </w:rPr>
        <w:t>7.9.2招标人和中标人应当自中标通知书发出之日起30天内，根据招标文件和中标人的投标文件订立书面合同。中标人无正当理由拒签合同的，在签订合同时向招标人提出附加条件，或不按照招标文件要求提交履约保证金的，招标人取消其中标资格，其投标保证金不予退还；给招标人造成的损失超过投标保证金数额的，中标人还应当对超过部分予以赔偿。</w:t>
      </w:r>
    </w:p>
    <w:p w14:paraId="3ADB2A76">
      <w:pPr>
        <w:adjustRightInd w:val="0"/>
        <w:snapToGrid w:val="0"/>
        <w:spacing w:line="56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7.9.3发出中标通知书后，招标人无正当理由拒签合同的，招标人向中标人退还投标保证金；给中标人造成损失的，还应当赔偿损失。</w:t>
      </w:r>
    </w:p>
    <w:p w14:paraId="10961956">
      <w:pPr>
        <w:adjustRightInd w:val="0"/>
        <w:snapToGrid w:val="0"/>
        <w:spacing w:line="56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7.9.4除法定情形外，建设工程合同履行期间项目经理（建造师）不得更换。项目经理（建造师）确需变更的，应根据招标文件要求，变更后的项目经理（建造师）不低于投标文件中拟派项目经理（建造师）的资格条件。</w:t>
      </w:r>
    </w:p>
    <w:p w14:paraId="5322694E">
      <w:pPr>
        <w:adjustRightInd w:val="0"/>
        <w:snapToGrid w:val="0"/>
        <w:spacing w:line="600" w:lineRule="exact"/>
        <w:ind w:firstLine="420" w:firstLineChars="200"/>
        <w:rPr>
          <w:rFonts w:hint="eastAsia" w:ascii="宋体" w:hAnsi="宋体" w:cs="宋体"/>
          <w:bCs/>
          <w:snapToGrid w:val="0"/>
          <w:color w:val="auto"/>
          <w:kern w:val="0"/>
          <w:szCs w:val="21"/>
          <w:highlight w:val="none"/>
        </w:rPr>
      </w:pPr>
      <w:r>
        <w:rPr>
          <w:rFonts w:hint="eastAsia" w:ascii="宋体" w:hAnsi="宋体" w:cs="宋体"/>
          <w:color w:val="auto"/>
          <w:highlight w:val="none"/>
        </w:rPr>
        <w:t>7.9.5</w:t>
      </w:r>
      <w:r>
        <w:rPr>
          <w:rFonts w:hint="eastAsia" w:ascii="宋体" w:hAnsi="宋体" w:cs="宋体"/>
          <w:bCs/>
          <w:snapToGrid w:val="0"/>
          <w:color w:val="auto"/>
          <w:kern w:val="0"/>
          <w:szCs w:val="21"/>
          <w:highlight w:val="none"/>
        </w:rPr>
        <w:t>联合体中标的，联合体各方应当共同与招标人签订合同，就中标项目向招标人承担连带责任。</w:t>
      </w:r>
    </w:p>
    <w:p w14:paraId="5CCE2B74">
      <w:pPr>
        <w:pStyle w:val="3"/>
        <w:adjustRightInd w:val="0"/>
        <w:snapToGrid w:val="0"/>
        <w:spacing w:before="0" w:after="0" w:line="560" w:lineRule="exact"/>
        <w:ind w:firstLine="422" w:firstLineChars="200"/>
        <w:rPr>
          <w:rFonts w:hint="eastAsia"/>
          <w:color w:val="auto"/>
          <w:highlight w:val="none"/>
        </w:rPr>
      </w:pPr>
      <w:bookmarkStart w:id="555" w:name="_Toc152042347"/>
      <w:bookmarkStart w:id="556" w:name="_Toc95223381"/>
      <w:bookmarkStart w:id="557" w:name="_Toc152045571"/>
      <w:bookmarkStart w:id="558" w:name="_Toc179632589"/>
      <w:bookmarkStart w:id="559" w:name="_Toc144974539"/>
      <w:bookmarkStart w:id="560" w:name="_Toc60061478"/>
      <w:bookmarkStart w:id="561" w:name="_Toc83301732"/>
      <w:r>
        <w:rPr>
          <w:rFonts w:hint="eastAsia" w:ascii="黑体" w:hAnsi="黑体" w:cs="黑体"/>
          <w:color w:val="auto"/>
          <w:sz w:val="21"/>
          <w:szCs w:val="21"/>
          <w:highlight w:val="none"/>
        </w:rPr>
        <w:t>8.重新招标和不再招标</w:t>
      </w:r>
      <w:bookmarkEnd w:id="555"/>
      <w:bookmarkEnd w:id="556"/>
      <w:bookmarkEnd w:id="557"/>
      <w:bookmarkEnd w:id="558"/>
      <w:bookmarkEnd w:id="559"/>
      <w:bookmarkEnd w:id="560"/>
      <w:bookmarkEnd w:id="561"/>
    </w:p>
    <w:p w14:paraId="562C6006">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562" w:name="_Toc179632590"/>
      <w:bookmarkStart w:id="563" w:name="_Toc144974540"/>
      <w:bookmarkStart w:id="564" w:name="_Toc83301733"/>
      <w:bookmarkStart w:id="565" w:name="_Toc152042348"/>
      <w:bookmarkStart w:id="566" w:name="_Toc95223382"/>
      <w:bookmarkStart w:id="567" w:name="_Toc152045572"/>
      <w:bookmarkStart w:id="568" w:name="_Toc60061479"/>
      <w:r>
        <w:rPr>
          <w:rFonts w:hint="eastAsia" w:ascii="黑体" w:hAnsi="黑体" w:eastAsia="黑体" w:cs="黑体"/>
          <w:color w:val="auto"/>
          <w:sz w:val="21"/>
          <w:szCs w:val="21"/>
          <w:highlight w:val="none"/>
        </w:rPr>
        <w:t>8.1重新招标</w:t>
      </w:r>
      <w:bookmarkEnd w:id="562"/>
      <w:bookmarkEnd w:id="563"/>
      <w:bookmarkEnd w:id="564"/>
      <w:bookmarkEnd w:id="565"/>
      <w:bookmarkEnd w:id="566"/>
      <w:bookmarkEnd w:id="567"/>
      <w:bookmarkEnd w:id="568"/>
    </w:p>
    <w:p w14:paraId="39A0B06F">
      <w:pPr>
        <w:adjustRightInd w:val="0"/>
        <w:snapToGrid w:val="0"/>
        <w:spacing w:line="600" w:lineRule="exact"/>
        <w:ind w:firstLine="359" w:firstLineChars="171"/>
        <w:rPr>
          <w:rFonts w:hint="eastAsia" w:ascii="宋体" w:hAnsi="宋体" w:cs="宋体"/>
          <w:color w:val="auto"/>
          <w:highlight w:val="none"/>
        </w:rPr>
      </w:pPr>
      <w:r>
        <w:rPr>
          <w:rFonts w:hint="eastAsia" w:ascii="宋体" w:hAnsi="宋体" w:cs="宋体"/>
          <w:color w:val="auto"/>
          <w:highlight w:val="none"/>
        </w:rPr>
        <w:t>依法必须招标的项目有下列情形之一的，招标人将重新招标：</w:t>
      </w:r>
    </w:p>
    <w:p w14:paraId="4E2BC05C">
      <w:pPr>
        <w:adjustRightInd w:val="0"/>
        <w:snapToGrid w:val="0"/>
        <w:spacing w:line="600" w:lineRule="exact"/>
        <w:ind w:firstLine="359" w:firstLineChars="171"/>
        <w:rPr>
          <w:rFonts w:hint="eastAsia" w:ascii="宋体" w:hAnsi="宋体" w:cs="宋体"/>
          <w:color w:val="auto"/>
          <w:highlight w:val="none"/>
        </w:rPr>
      </w:pPr>
      <w:r>
        <w:rPr>
          <w:rFonts w:hint="eastAsia" w:ascii="宋体" w:hAnsi="宋体" w:cs="宋体"/>
          <w:color w:val="auto"/>
          <w:highlight w:val="none"/>
        </w:rPr>
        <w:t>（1）投标截止时间止，投标人少于3个的；</w:t>
      </w:r>
    </w:p>
    <w:p w14:paraId="45CC001C">
      <w:pPr>
        <w:adjustRightInd w:val="0"/>
        <w:snapToGrid w:val="0"/>
        <w:spacing w:line="600" w:lineRule="exact"/>
        <w:ind w:firstLine="359" w:firstLineChars="171"/>
        <w:rPr>
          <w:rFonts w:hint="eastAsia" w:ascii="宋体" w:hAnsi="宋体" w:cs="宋体"/>
          <w:color w:val="auto"/>
          <w:highlight w:val="none"/>
        </w:rPr>
      </w:pPr>
      <w:r>
        <w:rPr>
          <w:rFonts w:hint="eastAsia" w:ascii="宋体" w:hAnsi="宋体" w:cs="宋体"/>
          <w:color w:val="auto"/>
          <w:highlight w:val="none"/>
        </w:rPr>
        <w:t>（2）经评标委员会评审后否决所有投标的；</w:t>
      </w:r>
    </w:p>
    <w:p w14:paraId="27CFACB6">
      <w:pPr>
        <w:adjustRightInd w:val="0"/>
        <w:snapToGrid w:val="0"/>
        <w:spacing w:line="600" w:lineRule="exact"/>
        <w:ind w:firstLine="359" w:firstLineChars="171"/>
        <w:rPr>
          <w:rFonts w:hint="eastAsia"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（3）中标候选人均未与招标人签订合同的；</w:t>
      </w:r>
    </w:p>
    <w:p w14:paraId="309C094E">
      <w:pPr>
        <w:adjustRightInd w:val="0"/>
        <w:snapToGrid w:val="0"/>
        <w:spacing w:line="600" w:lineRule="exact"/>
        <w:ind w:firstLine="359" w:firstLineChars="171"/>
        <w:rPr>
          <w:rFonts w:hint="eastAsia"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（4）</w:t>
      </w:r>
      <w:r>
        <w:rPr>
          <w:rFonts w:hint="eastAsia" w:ascii="宋体" w:hAnsi="宋体" w:cs="宋体"/>
          <w:bCs/>
          <w:snapToGrid w:val="0"/>
          <w:color w:val="auto"/>
          <w:kern w:val="0"/>
          <w:szCs w:val="21"/>
          <w:highlight w:val="none"/>
          <w:lang w:val="en-US" w:eastAsia="zh-CN"/>
        </w:rPr>
        <w:t>招标文件及</w:t>
      </w:r>
      <w:r>
        <w:rPr>
          <w:rFonts w:hint="eastAsia" w:ascii="宋体" w:hAnsi="宋体" w:cs="宋体"/>
          <w:bCs/>
          <w:snapToGrid w:val="0"/>
          <w:color w:val="auto"/>
          <w:kern w:val="0"/>
          <w:szCs w:val="21"/>
          <w:highlight w:val="none"/>
        </w:rPr>
        <w:t>法律、法规规定的其他情形。</w:t>
      </w:r>
    </w:p>
    <w:p w14:paraId="2C397754">
      <w:pPr>
        <w:pStyle w:val="4"/>
        <w:adjustRightInd w:val="0"/>
        <w:snapToGrid w:val="0"/>
        <w:spacing w:before="0" w:after="0" w:line="560" w:lineRule="exact"/>
        <w:ind w:firstLine="422" w:firstLineChars="200"/>
        <w:rPr>
          <w:rFonts w:hint="eastAsia"/>
          <w:color w:val="auto"/>
          <w:highlight w:val="none"/>
        </w:rPr>
      </w:pPr>
      <w:bookmarkStart w:id="569" w:name="_Toc152042349"/>
      <w:bookmarkStart w:id="570" w:name="_Toc83301734"/>
      <w:bookmarkStart w:id="571" w:name="_Toc95223383"/>
      <w:bookmarkStart w:id="572" w:name="_Toc144974541"/>
      <w:bookmarkStart w:id="573" w:name="_Toc179632591"/>
      <w:bookmarkStart w:id="574" w:name="_Toc152045573"/>
      <w:bookmarkStart w:id="575" w:name="_Toc60061480"/>
      <w:r>
        <w:rPr>
          <w:rFonts w:hint="eastAsia" w:ascii="黑体" w:hAnsi="黑体" w:eastAsia="黑体" w:cs="黑体"/>
          <w:color w:val="auto"/>
          <w:sz w:val="21"/>
          <w:szCs w:val="21"/>
          <w:highlight w:val="none"/>
        </w:rPr>
        <w:t>8.2 不再招标</w:t>
      </w:r>
      <w:bookmarkEnd w:id="569"/>
      <w:bookmarkEnd w:id="570"/>
      <w:bookmarkEnd w:id="571"/>
      <w:bookmarkEnd w:id="572"/>
      <w:bookmarkEnd w:id="573"/>
      <w:bookmarkEnd w:id="574"/>
      <w:bookmarkEnd w:id="575"/>
    </w:p>
    <w:p w14:paraId="3C70119A">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重新招标后投标人仍少于3个或者所有投标被否决的，属于必须审批或核准的工程建设项目，经原审批或核准部门批准后不再进行招标。</w:t>
      </w:r>
    </w:p>
    <w:p w14:paraId="5DC466B6">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576" w:name="_Toc60061481"/>
      <w:bookmarkStart w:id="577" w:name="_Toc95223384"/>
      <w:bookmarkStart w:id="578" w:name="_Toc15058894"/>
      <w:bookmarkStart w:id="579" w:name="_Toc83301735"/>
      <w:bookmarkStart w:id="580" w:name="_Toc506107309"/>
      <w:r>
        <w:rPr>
          <w:rFonts w:hint="eastAsia" w:ascii="黑体" w:hAnsi="黑体" w:cs="黑体"/>
          <w:color w:val="auto"/>
          <w:sz w:val="21"/>
          <w:szCs w:val="21"/>
          <w:highlight w:val="none"/>
        </w:rPr>
        <w:t>9.纪律和监督</w:t>
      </w:r>
      <w:bookmarkEnd w:id="554"/>
      <w:bookmarkEnd w:id="576"/>
      <w:bookmarkEnd w:id="577"/>
      <w:bookmarkEnd w:id="578"/>
      <w:bookmarkEnd w:id="579"/>
      <w:bookmarkEnd w:id="580"/>
    </w:p>
    <w:p w14:paraId="16F0A051">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581" w:name="_Toc144974543"/>
      <w:bookmarkStart w:id="582" w:name="_Toc506107310"/>
      <w:bookmarkStart w:id="583" w:name="_Toc60061482"/>
      <w:bookmarkStart w:id="584" w:name="_Toc296590983"/>
      <w:bookmarkStart w:id="585" w:name="_Toc179632593"/>
      <w:bookmarkStart w:id="586" w:name="_Toc95223385"/>
      <w:bookmarkStart w:id="587" w:name="_Toc296602462"/>
      <w:bookmarkStart w:id="588" w:name="_Toc324404857"/>
      <w:bookmarkStart w:id="589" w:name="_Toc246996219"/>
      <w:bookmarkStart w:id="590" w:name="_Toc246996962"/>
      <w:bookmarkStart w:id="591" w:name="_Toc152045575"/>
      <w:bookmarkStart w:id="592" w:name="_Toc83301736"/>
      <w:bookmarkStart w:id="593" w:name="_Toc152042351"/>
      <w:bookmarkStart w:id="594" w:name="_Toc247085733"/>
      <w:bookmarkStart w:id="595" w:name="_Toc15058895"/>
      <w:r>
        <w:rPr>
          <w:rFonts w:hint="eastAsia" w:ascii="黑体" w:hAnsi="黑体" w:eastAsia="黑体" w:cs="黑体"/>
          <w:color w:val="auto"/>
          <w:sz w:val="21"/>
          <w:szCs w:val="21"/>
          <w:highlight w:val="none"/>
        </w:rPr>
        <w:t>9.1对招标人的纪律要求</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54ABB09A">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招标人不得泄漏招标投标活动中应当保密的情况和资料，不得与投标人串通损害国家利益、社会公共利益或者他人合法权益。</w:t>
      </w:r>
    </w:p>
    <w:p w14:paraId="723F0698">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596" w:name="_Toc83301737"/>
      <w:bookmarkStart w:id="597" w:name="_Toc506107311"/>
      <w:bookmarkStart w:id="598" w:name="_Toc247085734"/>
      <w:bookmarkStart w:id="599" w:name="_Toc152045576"/>
      <w:bookmarkStart w:id="600" w:name="_Toc324404858"/>
      <w:bookmarkStart w:id="601" w:name="_Toc246996963"/>
      <w:bookmarkStart w:id="602" w:name="_Toc152042352"/>
      <w:bookmarkStart w:id="603" w:name="_Toc246996220"/>
      <w:bookmarkStart w:id="604" w:name="_Toc296602463"/>
      <w:bookmarkStart w:id="605" w:name="_Toc179632594"/>
      <w:bookmarkStart w:id="606" w:name="_Toc60061483"/>
      <w:bookmarkStart w:id="607" w:name="_Toc15058896"/>
      <w:bookmarkStart w:id="608" w:name="_Toc95223386"/>
      <w:bookmarkStart w:id="609" w:name="_Toc144974544"/>
      <w:r>
        <w:rPr>
          <w:rFonts w:hint="eastAsia" w:ascii="黑体" w:hAnsi="黑体" w:eastAsia="黑体" w:cs="黑体"/>
          <w:color w:val="auto"/>
          <w:sz w:val="21"/>
          <w:szCs w:val="21"/>
          <w:highlight w:val="none"/>
        </w:rPr>
        <w:t>9.2对投标人的纪律要求</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67A0F17C">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059C93BD">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610" w:name="_Toc296602464"/>
      <w:bookmarkStart w:id="611" w:name="_Toc324404859"/>
      <w:bookmarkStart w:id="612" w:name="_Toc15058897"/>
      <w:bookmarkStart w:id="613" w:name="_Toc83301738"/>
      <w:bookmarkStart w:id="614" w:name="_Toc506107312"/>
      <w:bookmarkStart w:id="615" w:name="_Toc179632595"/>
      <w:bookmarkStart w:id="616" w:name="_Toc95223387"/>
      <w:bookmarkStart w:id="617" w:name="_Toc246996964"/>
      <w:bookmarkStart w:id="618" w:name="_Toc60061484"/>
      <w:bookmarkStart w:id="619" w:name="_Toc246996221"/>
      <w:bookmarkStart w:id="620" w:name="_Toc247085735"/>
      <w:bookmarkStart w:id="621" w:name="_Toc144974545"/>
      <w:bookmarkStart w:id="622" w:name="_Toc152042353"/>
      <w:bookmarkStart w:id="623" w:name="_Toc152045577"/>
      <w:r>
        <w:rPr>
          <w:rFonts w:hint="eastAsia" w:ascii="黑体" w:hAnsi="黑体" w:eastAsia="黑体" w:cs="黑体"/>
          <w:color w:val="auto"/>
          <w:sz w:val="21"/>
          <w:szCs w:val="21"/>
          <w:highlight w:val="none"/>
        </w:rPr>
        <w:t>9.3对评标委员会成员的纪律要求</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14:paraId="3588978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四章“评标办法”没有规定的评审因素和标准进行评标。</w:t>
      </w:r>
    </w:p>
    <w:p w14:paraId="383FACCE">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624" w:name="_Toc179632596"/>
      <w:bookmarkStart w:id="625" w:name="_Toc95223388"/>
      <w:bookmarkStart w:id="626" w:name="_Toc15058898"/>
      <w:bookmarkStart w:id="627" w:name="_Toc324404860"/>
      <w:bookmarkStart w:id="628" w:name="_Toc83301739"/>
      <w:bookmarkStart w:id="629" w:name="_Toc152042354"/>
      <w:bookmarkStart w:id="630" w:name="_Toc246996222"/>
      <w:bookmarkStart w:id="631" w:name="_Toc246996965"/>
      <w:bookmarkStart w:id="632" w:name="_Toc152045578"/>
      <w:bookmarkStart w:id="633" w:name="_Toc60061485"/>
      <w:bookmarkStart w:id="634" w:name="_Toc296602465"/>
      <w:bookmarkStart w:id="635" w:name="_Toc506107313"/>
      <w:bookmarkStart w:id="636" w:name="_Toc247085736"/>
      <w:bookmarkStart w:id="637" w:name="_Toc144974546"/>
      <w:r>
        <w:rPr>
          <w:rFonts w:hint="eastAsia" w:ascii="黑体" w:hAnsi="黑体" w:eastAsia="黑体" w:cs="黑体"/>
          <w:color w:val="auto"/>
          <w:sz w:val="21"/>
          <w:szCs w:val="21"/>
          <w:highlight w:val="none"/>
        </w:rPr>
        <w:t>9.4对与评标活动有关的工作人员的纪律要求</w:t>
      </w:r>
      <w:bookmarkEnd w:id="624"/>
      <w:bookmarkEnd w:id="625"/>
      <w:bookmarkEnd w:id="626"/>
      <w:bookmarkEnd w:id="627"/>
      <w:bookmarkEnd w:id="628"/>
      <w:bookmarkEnd w:id="629"/>
      <w:bookmarkEnd w:id="630"/>
      <w:bookmarkEnd w:id="631"/>
      <w:bookmarkEnd w:id="632"/>
      <w:bookmarkEnd w:id="633"/>
      <w:bookmarkEnd w:id="634"/>
      <w:bookmarkEnd w:id="635"/>
      <w:bookmarkEnd w:id="636"/>
    </w:p>
    <w:p w14:paraId="6D0C1AE5">
      <w:pPr>
        <w:adjustRightInd w:val="0"/>
        <w:snapToGrid w:val="0"/>
        <w:spacing w:line="560" w:lineRule="exact"/>
        <w:ind w:firstLine="420" w:firstLineChars="200"/>
        <w:rPr>
          <w:rFonts w:hint="eastAsia" w:ascii="宋体" w:hAnsi="宋体" w:cs="宋体"/>
          <w:color w:val="auto"/>
          <w:szCs w:val="21"/>
          <w:highlight w:val="none"/>
        </w:rPr>
      </w:pPr>
      <w:bookmarkStart w:id="638" w:name="_Toc152042355"/>
      <w:r>
        <w:rPr>
          <w:rFonts w:hint="eastAsia" w:ascii="宋体" w:hAnsi="宋体" w:cs="宋体"/>
          <w:color w:val="auto"/>
          <w:szCs w:val="21"/>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638"/>
    </w:p>
    <w:p w14:paraId="7EFCD80A">
      <w:pPr>
        <w:pStyle w:val="4"/>
        <w:adjustRightInd w:val="0"/>
        <w:snapToGrid w:val="0"/>
        <w:spacing w:before="0" w:after="0" w:line="560" w:lineRule="exact"/>
        <w:ind w:firstLine="422" w:firstLineChars="200"/>
        <w:rPr>
          <w:rFonts w:hint="eastAsia" w:ascii="黑体" w:hAnsi="黑体" w:eastAsia="黑体" w:cs="黑体"/>
          <w:color w:val="auto"/>
          <w:sz w:val="21"/>
          <w:szCs w:val="21"/>
          <w:highlight w:val="none"/>
        </w:rPr>
      </w:pPr>
      <w:bookmarkStart w:id="639" w:name="_Toc95223389"/>
      <w:bookmarkStart w:id="640" w:name="_Toc179632597"/>
      <w:bookmarkStart w:id="641" w:name="_Toc152045579"/>
      <w:bookmarkStart w:id="642" w:name="_Toc60061486"/>
      <w:bookmarkStart w:id="643" w:name="_Toc152042356"/>
      <w:bookmarkStart w:id="644" w:name="_Toc324404861"/>
      <w:bookmarkStart w:id="645" w:name="_Toc246996966"/>
      <w:bookmarkStart w:id="646" w:name="_Toc15058899"/>
      <w:bookmarkStart w:id="647" w:name="_Toc506107314"/>
      <w:bookmarkStart w:id="648" w:name="_Toc247085737"/>
      <w:bookmarkStart w:id="649" w:name="_Toc246996223"/>
      <w:bookmarkStart w:id="650" w:name="_Toc296602466"/>
      <w:bookmarkStart w:id="651" w:name="_Toc83301740"/>
      <w:r>
        <w:rPr>
          <w:rFonts w:hint="eastAsia" w:ascii="黑体" w:hAnsi="黑体" w:eastAsia="黑体" w:cs="黑体"/>
          <w:color w:val="auto"/>
          <w:sz w:val="21"/>
          <w:szCs w:val="21"/>
          <w:highlight w:val="none"/>
        </w:rPr>
        <w:t>9.5投诉</w:t>
      </w:r>
      <w:bookmarkEnd w:id="637"/>
      <w:bookmarkEnd w:id="639"/>
      <w:bookmarkEnd w:id="640"/>
      <w:bookmarkEnd w:id="641"/>
      <w:bookmarkEnd w:id="642"/>
      <w:bookmarkEnd w:id="643"/>
      <w:bookmarkEnd w:id="644"/>
      <w:bookmarkEnd w:id="645"/>
      <w:bookmarkEnd w:id="646"/>
      <w:bookmarkEnd w:id="647"/>
      <w:bookmarkEnd w:id="648"/>
      <w:bookmarkEnd w:id="649"/>
      <w:bookmarkEnd w:id="650"/>
      <w:bookmarkEnd w:id="651"/>
    </w:p>
    <w:p w14:paraId="04A0CC79">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9.5.1投标人或者其他利害关系人认为招标投标活动违反法律、法规和规章规定的，有权向相关行政监督部门投诉。投诉应当有明确的请求和必要的证明材料。</w:t>
      </w:r>
    </w:p>
    <w:p w14:paraId="2B82067F">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9.5.2投标人和其他利害关系人对招标文件、开标和评标结果事项投诉的，应当按照投标人须知的规定先向招标人提出异议。异议答复期间不计算在第9.5.1</w:t>
      </w:r>
      <w:r>
        <w:rPr>
          <w:rFonts w:hint="eastAsia"/>
          <w:color w:val="auto"/>
          <w:highlight w:val="none"/>
        </w:rPr>
        <w:t>项</w:t>
      </w:r>
      <w:r>
        <w:rPr>
          <w:rFonts w:hint="eastAsia" w:ascii="宋体" w:hAnsi="宋体" w:cs="宋体"/>
          <w:color w:val="auto"/>
          <w:szCs w:val="21"/>
          <w:highlight w:val="none"/>
        </w:rPr>
        <w:t>规定的期限内。</w:t>
      </w:r>
    </w:p>
    <w:p w14:paraId="1AB84C29">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652" w:name="_Toc15058900"/>
      <w:bookmarkStart w:id="653" w:name="_Toc152045580"/>
      <w:bookmarkStart w:id="654" w:name="_Toc152042357"/>
      <w:bookmarkStart w:id="655" w:name="_Toc144974547"/>
      <w:bookmarkStart w:id="656" w:name="_Toc324404862"/>
      <w:bookmarkStart w:id="657" w:name="_Toc60061487"/>
      <w:bookmarkStart w:id="658" w:name="_Toc506107315"/>
      <w:bookmarkStart w:id="659" w:name="_Toc247085738"/>
      <w:bookmarkStart w:id="660" w:name="_Toc95223390"/>
      <w:bookmarkStart w:id="661" w:name="_Toc83301741"/>
      <w:bookmarkStart w:id="662" w:name="_Toc246996967"/>
      <w:bookmarkStart w:id="663" w:name="_Toc246996224"/>
      <w:bookmarkStart w:id="664" w:name="_Toc179632598"/>
      <w:r>
        <w:rPr>
          <w:rFonts w:hint="eastAsia" w:ascii="黑体" w:hAnsi="黑体" w:cs="黑体"/>
          <w:color w:val="auto"/>
          <w:sz w:val="21"/>
          <w:szCs w:val="21"/>
          <w:highlight w:val="none"/>
        </w:rPr>
        <w:t>10.需要补充的其他内容</w:t>
      </w:r>
      <w:bookmarkEnd w:id="652"/>
      <w:bookmarkEnd w:id="653"/>
      <w:bookmarkEnd w:id="654"/>
      <w:bookmarkEnd w:id="655"/>
      <w:bookmarkEnd w:id="656"/>
      <w:bookmarkEnd w:id="657"/>
      <w:bookmarkEnd w:id="658"/>
      <w:bookmarkEnd w:id="659"/>
      <w:bookmarkEnd w:id="660"/>
      <w:bookmarkEnd w:id="661"/>
      <w:bookmarkEnd w:id="662"/>
      <w:bookmarkEnd w:id="663"/>
      <w:bookmarkEnd w:id="664"/>
      <w:bookmarkStart w:id="665" w:name="_Toc60061488"/>
      <w:bookmarkStart w:id="666" w:name="_Toc15058901"/>
    </w:p>
    <w:p w14:paraId="6DF7BF24">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需要补充的其他内容：见投标人须知前附表。</w:t>
      </w:r>
      <w:bookmarkEnd w:id="665"/>
      <w:bookmarkEnd w:id="666"/>
    </w:p>
    <w:p w14:paraId="17CE59E0">
      <w:pPr>
        <w:pStyle w:val="19"/>
        <w:ind w:left="0" w:leftChars="0" w:firstLine="0" w:firstLineChars="0"/>
        <w:rPr>
          <w:rFonts w:hint="eastAsia"/>
          <w:color w:val="auto"/>
          <w:highlight w:val="none"/>
        </w:rPr>
      </w:pPr>
    </w:p>
    <w:p w14:paraId="4AE88FF6">
      <w:pPr>
        <w:pStyle w:val="2"/>
        <w:spacing w:before="0" w:after="0" w:line="240" w:lineRule="auto"/>
        <w:jc w:val="center"/>
        <w:rPr>
          <w:rFonts w:hint="eastAsia"/>
          <w:color w:val="auto"/>
          <w:highlight w:val="none"/>
        </w:rPr>
      </w:pPr>
      <w:bookmarkStart w:id="667" w:name="_Toc506107318"/>
      <w:bookmarkStart w:id="668" w:name="_Toc95223393"/>
      <w:bookmarkStart w:id="669" w:name="_Toc324404865"/>
      <w:bookmarkStart w:id="670" w:name="_Toc60061490"/>
      <w:bookmarkStart w:id="671" w:name="_Toc15058903"/>
      <w:bookmarkStart w:id="672" w:name="_Toc296602475"/>
      <w:r>
        <w:rPr>
          <w:rFonts w:hint="eastAsia"/>
          <w:color w:val="auto"/>
          <w:highlight w:val="none"/>
        </w:rPr>
        <w:t>第三章 资格审查办法</w:t>
      </w:r>
    </w:p>
    <w:p w14:paraId="7CBDA8A7">
      <w:pPr>
        <w:pStyle w:val="3"/>
        <w:tabs>
          <w:tab w:val="left" w:pos="2796"/>
          <w:tab w:val="center" w:pos="4479"/>
        </w:tabs>
        <w:adjustRightInd w:val="0"/>
        <w:snapToGrid w:val="0"/>
        <w:spacing w:before="0" w:after="0" w:line="560" w:lineRule="exact"/>
        <w:jc w:val="center"/>
        <w:rPr>
          <w:rFonts w:hint="eastAsia"/>
          <w:color w:val="auto"/>
          <w:sz w:val="28"/>
          <w:szCs w:val="28"/>
          <w:highlight w:val="none"/>
        </w:rPr>
      </w:pPr>
      <w:r>
        <w:rPr>
          <w:rFonts w:hint="eastAsia"/>
          <w:color w:val="auto"/>
          <w:sz w:val="28"/>
          <w:szCs w:val="28"/>
          <w:highlight w:val="none"/>
        </w:rPr>
        <w:t>资格审查办法前附表</w:t>
      </w:r>
    </w:p>
    <w:tbl>
      <w:tblPr>
        <w:tblStyle w:val="20"/>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258"/>
        <w:gridCol w:w="6044"/>
        <w:gridCol w:w="1999"/>
      </w:tblGrid>
      <w:tr w14:paraId="460E3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023" w:type="dxa"/>
            <w:gridSpan w:val="2"/>
            <w:noWrap w:val="0"/>
            <w:vAlign w:val="center"/>
          </w:tcPr>
          <w:p w14:paraId="3379659E">
            <w:pPr>
              <w:adjustRightInd w:val="0"/>
              <w:snapToGrid w:val="0"/>
              <w:spacing w:line="560" w:lineRule="exact"/>
              <w:jc w:val="center"/>
              <w:rPr>
                <w:rFonts w:hint="eastAsia" w:ascii="黑体" w:hAnsi="黑体" w:eastAsia="黑体" w:cs="宋体"/>
                <w:b/>
                <w:bCs/>
                <w:color w:val="auto"/>
                <w:szCs w:val="21"/>
                <w:highlight w:val="none"/>
              </w:rPr>
            </w:pPr>
            <w:r>
              <w:rPr>
                <w:rFonts w:hint="eastAsia" w:ascii="黑体" w:hAnsi="黑体" w:eastAsia="黑体" w:cs="宋体"/>
                <w:b/>
                <w:bCs/>
                <w:color w:val="auto"/>
                <w:szCs w:val="21"/>
                <w:highlight w:val="none"/>
              </w:rPr>
              <w:t>条款号</w:t>
            </w:r>
          </w:p>
        </w:tc>
        <w:tc>
          <w:tcPr>
            <w:tcW w:w="6044" w:type="dxa"/>
            <w:noWrap w:val="0"/>
            <w:vAlign w:val="center"/>
          </w:tcPr>
          <w:p w14:paraId="57CAA0AA">
            <w:pPr>
              <w:adjustRightInd w:val="0"/>
              <w:snapToGrid w:val="0"/>
              <w:spacing w:line="560" w:lineRule="exact"/>
              <w:jc w:val="center"/>
              <w:rPr>
                <w:rFonts w:hint="eastAsia" w:ascii="黑体" w:hAnsi="黑体" w:eastAsia="黑体" w:cs="宋体"/>
                <w:b/>
                <w:bCs/>
                <w:color w:val="auto"/>
                <w:szCs w:val="21"/>
                <w:highlight w:val="none"/>
              </w:rPr>
            </w:pPr>
            <w:r>
              <w:rPr>
                <w:rFonts w:hint="eastAsia" w:ascii="黑体" w:hAnsi="黑体" w:eastAsia="黑体" w:cs="宋体"/>
                <w:b/>
                <w:bCs/>
                <w:color w:val="auto"/>
                <w:szCs w:val="21"/>
                <w:highlight w:val="none"/>
              </w:rPr>
              <w:t>审查内容</w:t>
            </w:r>
          </w:p>
        </w:tc>
        <w:tc>
          <w:tcPr>
            <w:tcW w:w="1999" w:type="dxa"/>
            <w:noWrap w:val="0"/>
            <w:vAlign w:val="center"/>
          </w:tcPr>
          <w:p w14:paraId="32996C44">
            <w:pPr>
              <w:adjustRightInd w:val="0"/>
              <w:snapToGrid w:val="0"/>
              <w:spacing w:line="560" w:lineRule="exact"/>
              <w:jc w:val="center"/>
              <w:rPr>
                <w:rFonts w:hint="eastAsia" w:ascii="黑体" w:hAnsi="黑体" w:eastAsia="黑体" w:cs="宋体"/>
                <w:b/>
                <w:bCs/>
                <w:color w:val="auto"/>
                <w:szCs w:val="21"/>
                <w:highlight w:val="none"/>
              </w:rPr>
            </w:pPr>
            <w:r>
              <w:rPr>
                <w:rFonts w:hint="eastAsia" w:ascii="黑体" w:hAnsi="黑体" w:eastAsia="黑体" w:cs="宋体"/>
                <w:b/>
                <w:bCs/>
                <w:color w:val="auto"/>
                <w:szCs w:val="21"/>
                <w:highlight w:val="none"/>
              </w:rPr>
              <w:t>评审标准</w:t>
            </w:r>
          </w:p>
        </w:tc>
      </w:tr>
      <w:tr w14:paraId="2454E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5" w:type="dxa"/>
            <w:vMerge w:val="restart"/>
            <w:noWrap w:val="0"/>
            <w:vAlign w:val="center"/>
          </w:tcPr>
          <w:p w14:paraId="627350BA">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258" w:type="dxa"/>
            <w:vMerge w:val="restart"/>
            <w:noWrap w:val="0"/>
            <w:vAlign w:val="center"/>
          </w:tcPr>
          <w:p w14:paraId="457D5598">
            <w:pPr>
              <w:adjustRightInd w:val="0"/>
              <w:snapToGrid w:val="0"/>
              <w:spacing w:line="5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审查资料</w:t>
            </w:r>
          </w:p>
        </w:tc>
        <w:tc>
          <w:tcPr>
            <w:tcW w:w="6044" w:type="dxa"/>
            <w:noWrap w:val="0"/>
            <w:vAlign w:val="top"/>
          </w:tcPr>
          <w:p w14:paraId="3C64829D">
            <w:pPr>
              <w:adjustRightInd w:val="0"/>
              <w:snapToGrid w:val="0"/>
              <w:spacing w:line="560" w:lineRule="exac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法</w:t>
            </w:r>
            <w:r>
              <w:rPr>
                <w:rFonts w:hint="eastAsia" w:ascii="宋体" w:hAnsi="宋体" w:eastAsia="宋体" w:cs="宋体"/>
                <w:color w:val="auto"/>
                <w:szCs w:val="21"/>
                <w:highlight w:val="none"/>
              </w:rPr>
              <w:t>定代表人身份证明和本人有效身份证(或法定代表人授权委托书和委托代理人有效身份证)（联合体投标的，联合体各方均须提供）</w:t>
            </w:r>
            <w:r>
              <w:rPr>
                <w:rFonts w:hint="eastAsia" w:ascii="宋体" w:hAnsi="宋体" w:eastAsia="宋体" w:cs="宋体"/>
                <w:color w:val="auto"/>
                <w:szCs w:val="21"/>
                <w:highlight w:val="none"/>
                <w:lang w:val="en-US" w:eastAsia="zh-CN"/>
              </w:rPr>
              <w:t xml:space="preserve"> </w:t>
            </w:r>
          </w:p>
          <w:p w14:paraId="7E4911E6">
            <w:pPr>
              <w:adjustRightInd w:val="0"/>
              <w:snapToGrid w:val="0"/>
              <w:spacing w:line="560" w:lineRule="exact"/>
              <w:rPr>
                <w:rFonts w:hint="default"/>
                <w:lang w:val="en-US"/>
              </w:rPr>
            </w:pPr>
            <w:r>
              <w:rPr>
                <w:rFonts w:hint="eastAsia" w:ascii="宋体" w:hAnsi="宋体" w:eastAsia="宋体" w:cs="宋体"/>
                <w:b/>
                <w:bCs/>
                <w:color w:val="auto"/>
                <w:szCs w:val="21"/>
                <w:highlight w:val="none"/>
                <w:lang w:val="en-US" w:eastAsia="zh-CN"/>
              </w:rPr>
              <w:t>注：若为联合体投标，各自委托各自单位的人</w:t>
            </w:r>
            <w:r>
              <w:rPr>
                <w:rFonts w:hint="eastAsia" w:ascii="宋体" w:hAnsi="宋体" w:cs="宋体"/>
                <w:b/>
                <w:bCs/>
                <w:color w:val="auto"/>
                <w:szCs w:val="21"/>
                <w:highlight w:val="none"/>
                <w:lang w:val="en-US" w:eastAsia="zh-CN"/>
              </w:rPr>
              <w:t>员</w:t>
            </w:r>
            <w:r>
              <w:rPr>
                <w:rFonts w:hint="eastAsia" w:ascii="宋体" w:hAnsi="宋体" w:eastAsia="宋体" w:cs="宋体"/>
                <w:b/>
                <w:bCs/>
                <w:color w:val="auto"/>
                <w:szCs w:val="21"/>
                <w:highlight w:val="none"/>
                <w:lang w:val="en-US" w:eastAsia="zh-CN"/>
              </w:rPr>
              <w:t>。即A与B公司组成联合体投标,A公司须授权A公司人员C某为委托代理人,B公司须授权B公司人员D某为委托代理人。</w:t>
            </w:r>
          </w:p>
        </w:tc>
        <w:tc>
          <w:tcPr>
            <w:tcW w:w="1999" w:type="dxa"/>
            <w:vMerge w:val="restart"/>
            <w:noWrap w:val="0"/>
            <w:vAlign w:val="center"/>
          </w:tcPr>
          <w:p w14:paraId="1A812BBE">
            <w:pPr>
              <w:adjustRightInd w:val="0"/>
              <w:snapToGrid w:val="0"/>
              <w:spacing w:line="56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检验电子标书</w:t>
            </w:r>
          </w:p>
        </w:tc>
      </w:tr>
      <w:tr w14:paraId="00313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65" w:type="dxa"/>
            <w:vMerge w:val="continue"/>
            <w:noWrap w:val="0"/>
            <w:vAlign w:val="center"/>
          </w:tcPr>
          <w:p w14:paraId="2B09BF12">
            <w:pPr>
              <w:adjustRightInd w:val="0"/>
              <w:snapToGrid w:val="0"/>
              <w:spacing w:line="560" w:lineRule="exact"/>
              <w:jc w:val="center"/>
              <w:rPr>
                <w:rFonts w:hint="eastAsia" w:ascii="宋体" w:hAnsi="宋体" w:cs="宋体"/>
                <w:color w:val="auto"/>
                <w:szCs w:val="21"/>
                <w:highlight w:val="none"/>
              </w:rPr>
            </w:pPr>
          </w:p>
        </w:tc>
        <w:tc>
          <w:tcPr>
            <w:tcW w:w="1258" w:type="dxa"/>
            <w:vMerge w:val="continue"/>
            <w:noWrap w:val="0"/>
            <w:vAlign w:val="center"/>
          </w:tcPr>
          <w:p w14:paraId="65D689CD">
            <w:pPr>
              <w:adjustRightInd w:val="0"/>
              <w:snapToGrid w:val="0"/>
              <w:spacing w:line="560" w:lineRule="exact"/>
              <w:jc w:val="center"/>
              <w:rPr>
                <w:rFonts w:hint="eastAsia" w:ascii="宋体" w:hAnsi="宋体" w:cs="宋体"/>
                <w:b/>
                <w:bCs/>
                <w:color w:val="auto"/>
                <w:szCs w:val="21"/>
                <w:highlight w:val="none"/>
              </w:rPr>
            </w:pPr>
          </w:p>
        </w:tc>
        <w:tc>
          <w:tcPr>
            <w:tcW w:w="6044" w:type="dxa"/>
            <w:noWrap w:val="0"/>
            <w:vAlign w:val="top"/>
          </w:tcPr>
          <w:p w14:paraId="2CF426CE">
            <w:pPr>
              <w:adjustRightInd w:val="0"/>
              <w:snapToGrid w:val="0"/>
              <w:spacing w:line="560" w:lineRule="exac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诚信投标承诺书（或《</w:t>
            </w:r>
            <w:r>
              <w:rPr>
                <w:rFonts w:hint="eastAsia" w:ascii="宋体" w:hAnsi="宋体" w:cs="宋体"/>
                <w:color w:val="auto"/>
                <w:kern w:val="0"/>
                <w:szCs w:val="21"/>
                <w:highlight w:val="none"/>
              </w:rPr>
              <w:t>公共信用信息报告（无违法违规证明版或核查版）</w:t>
            </w:r>
            <w:r>
              <w:rPr>
                <w:rFonts w:hint="eastAsia" w:ascii="宋体" w:hAnsi="宋体" w:cs="宋体"/>
                <w:color w:val="auto"/>
                <w:szCs w:val="21"/>
                <w:highlight w:val="none"/>
              </w:rPr>
              <w:t>》）（联合体投标的，联合体各方均须提供）</w:t>
            </w:r>
          </w:p>
        </w:tc>
        <w:tc>
          <w:tcPr>
            <w:tcW w:w="1999" w:type="dxa"/>
            <w:vMerge w:val="continue"/>
            <w:noWrap w:val="0"/>
            <w:vAlign w:val="center"/>
          </w:tcPr>
          <w:p w14:paraId="38F9A458">
            <w:pPr>
              <w:adjustRightInd w:val="0"/>
              <w:snapToGrid w:val="0"/>
              <w:spacing w:line="560" w:lineRule="exact"/>
              <w:jc w:val="center"/>
              <w:rPr>
                <w:rFonts w:hint="eastAsia" w:ascii="宋体" w:hAnsi="宋体" w:cs="宋体"/>
                <w:b/>
                <w:color w:val="auto"/>
                <w:szCs w:val="21"/>
                <w:highlight w:val="none"/>
              </w:rPr>
            </w:pPr>
          </w:p>
        </w:tc>
      </w:tr>
      <w:tr w14:paraId="1D593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65" w:type="dxa"/>
            <w:vMerge w:val="continue"/>
            <w:noWrap w:val="0"/>
            <w:vAlign w:val="center"/>
          </w:tcPr>
          <w:p w14:paraId="1ADA5365">
            <w:pPr>
              <w:adjustRightInd w:val="0"/>
              <w:snapToGrid w:val="0"/>
              <w:spacing w:line="560" w:lineRule="exact"/>
              <w:jc w:val="center"/>
              <w:rPr>
                <w:rFonts w:hint="eastAsia" w:ascii="宋体" w:hAnsi="宋体" w:cs="宋体"/>
                <w:color w:val="auto"/>
                <w:szCs w:val="21"/>
                <w:highlight w:val="none"/>
              </w:rPr>
            </w:pPr>
          </w:p>
        </w:tc>
        <w:tc>
          <w:tcPr>
            <w:tcW w:w="1258" w:type="dxa"/>
            <w:vMerge w:val="continue"/>
            <w:noWrap w:val="0"/>
            <w:vAlign w:val="center"/>
          </w:tcPr>
          <w:p w14:paraId="20E45C6D">
            <w:pPr>
              <w:adjustRightInd w:val="0"/>
              <w:snapToGrid w:val="0"/>
              <w:spacing w:line="560" w:lineRule="exact"/>
              <w:jc w:val="center"/>
              <w:rPr>
                <w:rFonts w:hint="eastAsia" w:ascii="宋体" w:hAnsi="宋体" w:cs="宋体"/>
                <w:b/>
                <w:bCs/>
                <w:color w:val="auto"/>
                <w:szCs w:val="21"/>
                <w:highlight w:val="none"/>
              </w:rPr>
            </w:pPr>
          </w:p>
        </w:tc>
        <w:tc>
          <w:tcPr>
            <w:tcW w:w="6044" w:type="dxa"/>
            <w:noWrap w:val="0"/>
            <w:vAlign w:val="top"/>
          </w:tcPr>
          <w:p w14:paraId="495F1188">
            <w:pPr>
              <w:adjustRightInd w:val="0"/>
              <w:snapToGrid w:val="0"/>
              <w:spacing w:line="560" w:lineRule="exac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企业法人营业执照（联合体投标的，联合体各方均须提供）</w:t>
            </w:r>
            <w:r>
              <w:rPr>
                <w:rFonts w:hint="eastAsia" w:ascii="宋体" w:hAnsi="宋体" w:cs="宋体"/>
                <w:color w:val="auto"/>
                <w:szCs w:val="21"/>
                <w:highlight w:val="none"/>
                <w:lang w:val="en-US" w:eastAsia="zh-CN"/>
              </w:rPr>
              <w:t xml:space="preserve"> </w:t>
            </w:r>
          </w:p>
        </w:tc>
        <w:tc>
          <w:tcPr>
            <w:tcW w:w="1999" w:type="dxa"/>
            <w:vMerge w:val="continue"/>
            <w:noWrap w:val="0"/>
            <w:vAlign w:val="center"/>
          </w:tcPr>
          <w:p w14:paraId="1CF4D25F">
            <w:pPr>
              <w:adjustRightInd w:val="0"/>
              <w:snapToGrid w:val="0"/>
              <w:spacing w:line="560" w:lineRule="exact"/>
              <w:jc w:val="center"/>
              <w:rPr>
                <w:rFonts w:hint="eastAsia" w:ascii="宋体" w:hAnsi="宋体" w:cs="宋体"/>
                <w:b/>
                <w:color w:val="auto"/>
                <w:szCs w:val="21"/>
                <w:highlight w:val="none"/>
              </w:rPr>
            </w:pPr>
          </w:p>
        </w:tc>
      </w:tr>
      <w:tr w14:paraId="0546C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65" w:type="dxa"/>
            <w:vMerge w:val="continue"/>
            <w:noWrap w:val="0"/>
            <w:vAlign w:val="center"/>
          </w:tcPr>
          <w:p w14:paraId="049AFE24">
            <w:pPr>
              <w:adjustRightInd w:val="0"/>
              <w:snapToGrid w:val="0"/>
              <w:spacing w:line="560" w:lineRule="exact"/>
              <w:jc w:val="center"/>
              <w:rPr>
                <w:rFonts w:hint="eastAsia" w:ascii="宋体" w:hAnsi="宋体" w:cs="宋体"/>
                <w:color w:val="auto"/>
                <w:szCs w:val="21"/>
                <w:highlight w:val="none"/>
              </w:rPr>
            </w:pPr>
          </w:p>
        </w:tc>
        <w:tc>
          <w:tcPr>
            <w:tcW w:w="1258" w:type="dxa"/>
            <w:vMerge w:val="continue"/>
            <w:noWrap w:val="0"/>
            <w:vAlign w:val="center"/>
          </w:tcPr>
          <w:p w14:paraId="44F7B87F">
            <w:pPr>
              <w:adjustRightInd w:val="0"/>
              <w:snapToGrid w:val="0"/>
              <w:spacing w:line="560" w:lineRule="exact"/>
              <w:jc w:val="center"/>
              <w:rPr>
                <w:rFonts w:hint="eastAsia" w:ascii="宋体" w:hAnsi="宋体" w:cs="宋体"/>
                <w:b/>
                <w:bCs/>
                <w:color w:val="auto"/>
                <w:szCs w:val="21"/>
                <w:highlight w:val="none"/>
              </w:rPr>
            </w:pPr>
          </w:p>
        </w:tc>
        <w:tc>
          <w:tcPr>
            <w:tcW w:w="6044" w:type="dxa"/>
            <w:noWrap w:val="0"/>
            <w:vAlign w:val="top"/>
          </w:tcPr>
          <w:p w14:paraId="442033DC">
            <w:pPr>
              <w:adjustRightInd w:val="0"/>
              <w:snapToGrid w:val="0"/>
              <w:spacing w:line="560" w:lineRule="exac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企业资质证书</w:t>
            </w:r>
            <w:r>
              <w:rPr>
                <w:rFonts w:hint="eastAsia" w:ascii="宋体" w:hAnsi="宋体" w:cs="宋体"/>
                <w:color w:val="auto"/>
                <w:szCs w:val="21"/>
                <w:highlight w:val="none"/>
                <w:lang w:eastAsia="zh-CN"/>
              </w:rPr>
              <w:t>（</w:t>
            </w:r>
            <w:r>
              <w:rPr>
                <w:rFonts w:hint="eastAsia" w:ascii="宋体" w:hAnsi="宋体" w:cs="宋体"/>
                <w:color w:val="auto"/>
                <w:szCs w:val="21"/>
                <w:highlight w:val="none"/>
              </w:rPr>
              <w:t>（联合体投标的，联合体各方均须提供）</w:t>
            </w:r>
          </w:p>
        </w:tc>
        <w:tc>
          <w:tcPr>
            <w:tcW w:w="1999" w:type="dxa"/>
            <w:vMerge w:val="continue"/>
            <w:noWrap w:val="0"/>
            <w:vAlign w:val="center"/>
          </w:tcPr>
          <w:p w14:paraId="1BC6D7B5">
            <w:pPr>
              <w:adjustRightInd w:val="0"/>
              <w:snapToGrid w:val="0"/>
              <w:spacing w:line="560" w:lineRule="exact"/>
              <w:jc w:val="center"/>
              <w:rPr>
                <w:rFonts w:hint="eastAsia" w:ascii="宋体" w:hAnsi="宋体" w:cs="宋体"/>
                <w:color w:val="auto"/>
                <w:szCs w:val="21"/>
                <w:highlight w:val="none"/>
              </w:rPr>
            </w:pPr>
          </w:p>
        </w:tc>
      </w:tr>
      <w:tr w14:paraId="31C0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65" w:type="dxa"/>
            <w:vMerge w:val="continue"/>
            <w:noWrap w:val="0"/>
            <w:vAlign w:val="center"/>
          </w:tcPr>
          <w:p w14:paraId="61D236B2">
            <w:pPr>
              <w:adjustRightInd w:val="0"/>
              <w:snapToGrid w:val="0"/>
              <w:spacing w:line="560" w:lineRule="exact"/>
              <w:jc w:val="center"/>
              <w:rPr>
                <w:rFonts w:hint="eastAsia" w:ascii="宋体" w:hAnsi="宋体" w:cs="宋体"/>
                <w:color w:val="auto"/>
                <w:szCs w:val="21"/>
                <w:highlight w:val="none"/>
              </w:rPr>
            </w:pPr>
          </w:p>
        </w:tc>
        <w:tc>
          <w:tcPr>
            <w:tcW w:w="1258" w:type="dxa"/>
            <w:vMerge w:val="continue"/>
            <w:noWrap w:val="0"/>
            <w:vAlign w:val="center"/>
          </w:tcPr>
          <w:p w14:paraId="555A5D0D">
            <w:pPr>
              <w:adjustRightInd w:val="0"/>
              <w:snapToGrid w:val="0"/>
              <w:spacing w:line="560" w:lineRule="exact"/>
              <w:jc w:val="center"/>
              <w:rPr>
                <w:rFonts w:hint="eastAsia" w:ascii="宋体" w:hAnsi="宋体" w:cs="宋体"/>
                <w:b/>
                <w:bCs/>
                <w:color w:val="auto"/>
                <w:szCs w:val="21"/>
                <w:highlight w:val="none"/>
              </w:rPr>
            </w:pPr>
          </w:p>
        </w:tc>
        <w:tc>
          <w:tcPr>
            <w:tcW w:w="6044" w:type="dxa"/>
            <w:noWrap w:val="0"/>
            <w:vAlign w:val="top"/>
          </w:tcPr>
          <w:p w14:paraId="0D293454">
            <w:pPr>
              <w:adjustRightInd w:val="0"/>
              <w:snapToGrid w:val="0"/>
              <w:spacing w:line="560" w:lineRule="exac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企业安全生产许可证（联合体投标的，联合体各方均须提供）</w:t>
            </w:r>
          </w:p>
        </w:tc>
        <w:tc>
          <w:tcPr>
            <w:tcW w:w="1999" w:type="dxa"/>
            <w:vMerge w:val="continue"/>
            <w:noWrap w:val="0"/>
            <w:vAlign w:val="center"/>
          </w:tcPr>
          <w:p w14:paraId="42C8D4CF">
            <w:pPr>
              <w:adjustRightInd w:val="0"/>
              <w:snapToGrid w:val="0"/>
              <w:spacing w:line="560" w:lineRule="exact"/>
              <w:jc w:val="center"/>
              <w:rPr>
                <w:rFonts w:hint="eastAsia" w:ascii="宋体" w:hAnsi="宋体" w:cs="宋体"/>
                <w:color w:val="auto"/>
                <w:szCs w:val="21"/>
                <w:highlight w:val="none"/>
              </w:rPr>
            </w:pPr>
          </w:p>
        </w:tc>
      </w:tr>
      <w:tr w14:paraId="56F5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65" w:type="dxa"/>
            <w:vMerge w:val="continue"/>
            <w:noWrap w:val="0"/>
            <w:vAlign w:val="center"/>
          </w:tcPr>
          <w:p w14:paraId="1B96486C">
            <w:pPr>
              <w:adjustRightInd w:val="0"/>
              <w:snapToGrid w:val="0"/>
              <w:spacing w:line="560" w:lineRule="exact"/>
              <w:jc w:val="center"/>
              <w:rPr>
                <w:rFonts w:hint="eastAsia" w:ascii="宋体" w:hAnsi="宋体" w:cs="宋体"/>
                <w:color w:val="auto"/>
                <w:szCs w:val="21"/>
                <w:highlight w:val="none"/>
              </w:rPr>
            </w:pPr>
          </w:p>
        </w:tc>
        <w:tc>
          <w:tcPr>
            <w:tcW w:w="1258" w:type="dxa"/>
            <w:vMerge w:val="continue"/>
            <w:noWrap w:val="0"/>
            <w:vAlign w:val="center"/>
          </w:tcPr>
          <w:p w14:paraId="18D9563E">
            <w:pPr>
              <w:adjustRightInd w:val="0"/>
              <w:snapToGrid w:val="0"/>
              <w:spacing w:line="560" w:lineRule="exact"/>
              <w:jc w:val="center"/>
              <w:rPr>
                <w:rFonts w:hint="eastAsia" w:ascii="宋体" w:hAnsi="宋体" w:cs="宋体"/>
                <w:b/>
                <w:bCs/>
                <w:color w:val="auto"/>
                <w:szCs w:val="21"/>
                <w:highlight w:val="none"/>
              </w:rPr>
            </w:pPr>
          </w:p>
        </w:tc>
        <w:tc>
          <w:tcPr>
            <w:tcW w:w="6044" w:type="dxa"/>
            <w:noWrap w:val="0"/>
            <w:vAlign w:val="top"/>
          </w:tcPr>
          <w:p w14:paraId="14CB5BC3">
            <w:pPr>
              <w:adjustRightInd w:val="0"/>
              <w:snapToGrid w:val="0"/>
              <w:spacing w:line="560" w:lineRule="exact"/>
              <w:rPr>
                <w:rFonts w:hint="eastAsia" w:ascii="宋体" w:hAnsi="宋体" w:cs="宋体"/>
                <w:color w:val="auto"/>
                <w:szCs w:val="21"/>
                <w:highlight w:val="none"/>
              </w:rPr>
            </w:pPr>
            <w:r>
              <w:rPr>
                <w:rFonts w:hint="eastAsia" w:ascii="宋体" w:hAnsi="宋体" w:cs="宋体"/>
                <w:color w:val="auto"/>
                <w:szCs w:val="21"/>
                <w:highlight w:val="none"/>
              </w:rPr>
              <w:t>项目经理（建造师）有效身份证、注册证书以及安全生产考核合格证书（B证）</w:t>
            </w:r>
          </w:p>
          <w:p w14:paraId="2EA18439">
            <w:pPr>
              <w:adjustRightInd w:val="0"/>
              <w:snapToGrid w:val="0"/>
              <w:spacing w:line="560" w:lineRule="exact"/>
              <w:rPr>
                <w:rFonts w:hint="default" w:ascii="宋体" w:hAnsi="宋体" w:eastAsia="宋体" w:cs="宋体"/>
                <w:color w:val="auto"/>
                <w:szCs w:val="21"/>
                <w:highlight w:val="none"/>
                <w:lang w:val="en-US" w:eastAsia="zh-CN"/>
              </w:rPr>
            </w:pPr>
            <w:r>
              <w:rPr>
                <w:rFonts w:hint="eastAsia"/>
                <w:b/>
                <w:bCs/>
                <w:color w:val="auto"/>
                <w:szCs w:val="21"/>
                <w:highlight w:val="none"/>
                <w:lang w:val="en-US" w:eastAsia="zh-CN"/>
              </w:rPr>
              <w:t>注：</w:t>
            </w:r>
            <w:r>
              <w:rPr>
                <w:rFonts w:hint="eastAsia" w:ascii="宋体" w:hAnsi="宋体" w:cs="宋体"/>
                <w:b/>
                <w:bCs/>
                <w:color w:val="auto"/>
                <w:kern w:val="0"/>
                <w:szCs w:val="21"/>
                <w:highlight w:val="none"/>
              </w:rPr>
              <w:t>若为联合体投标的</w:t>
            </w:r>
            <w:r>
              <w:rPr>
                <w:rFonts w:hint="eastAsia"/>
                <w:b/>
                <w:bCs/>
                <w:color w:val="auto"/>
                <w:szCs w:val="21"/>
                <w:highlight w:val="none"/>
                <w:lang w:val="en-US" w:eastAsia="zh-CN"/>
              </w:rPr>
              <w:t>，</w:t>
            </w:r>
            <w:r>
              <w:rPr>
                <w:rFonts w:hint="eastAsia" w:ascii="宋体" w:hAnsi="宋体" w:cs="宋体"/>
                <w:b/>
                <w:bCs/>
                <w:color w:val="auto"/>
                <w:kern w:val="0"/>
                <w:szCs w:val="21"/>
                <w:highlight w:val="none"/>
              </w:rPr>
              <w:t>联合体投标牵头方派驻项目经理（建造师）A岗，联合体成员方</w:t>
            </w:r>
            <w:r>
              <w:rPr>
                <w:rFonts w:hint="eastAsia" w:ascii="宋体" w:hAnsi="宋体" w:cs="宋体"/>
                <w:b/>
                <w:bCs/>
                <w:color w:val="auto"/>
                <w:kern w:val="0"/>
                <w:szCs w:val="21"/>
                <w:highlight w:val="none"/>
                <w:lang w:val="en-US" w:eastAsia="zh-CN"/>
              </w:rPr>
              <w:t>必须同时</w:t>
            </w:r>
            <w:r>
              <w:rPr>
                <w:rFonts w:hint="eastAsia" w:ascii="宋体" w:hAnsi="宋体" w:cs="宋体"/>
                <w:b/>
                <w:bCs/>
                <w:color w:val="auto"/>
                <w:kern w:val="0"/>
                <w:szCs w:val="21"/>
                <w:highlight w:val="none"/>
              </w:rPr>
              <w:t>派驻项目经理（建造师）B岗</w:t>
            </w:r>
            <w:r>
              <w:rPr>
                <w:rFonts w:hint="eastAsia" w:ascii="宋体" w:hAnsi="宋体" w:cs="宋体"/>
                <w:b/>
                <w:bCs/>
                <w:color w:val="auto"/>
                <w:kern w:val="0"/>
                <w:szCs w:val="21"/>
                <w:highlight w:val="none"/>
                <w:lang w:eastAsia="zh-CN"/>
              </w:rPr>
              <w:t>。</w:t>
            </w:r>
            <w:r>
              <w:rPr>
                <w:rFonts w:hint="eastAsia" w:ascii="宋体" w:hAnsi="宋体" w:cs="宋体"/>
                <w:b/>
                <w:bCs/>
                <w:color w:val="auto"/>
                <w:kern w:val="0"/>
                <w:szCs w:val="21"/>
                <w:highlight w:val="none"/>
                <w:lang w:val="en-US" w:eastAsia="zh-CN"/>
              </w:rPr>
              <w:t>A、B岗必须均满足此项目经理资格要求，否则按无效标处理。</w:t>
            </w:r>
            <w:r>
              <w:rPr>
                <w:rFonts w:hint="eastAsia" w:ascii="宋体" w:hAnsi="宋体" w:cs="宋体"/>
                <w:color w:val="auto"/>
                <w:szCs w:val="21"/>
                <w:highlight w:val="none"/>
                <w:lang w:val="en-US" w:eastAsia="zh-CN"/>
              </w:rPr>
              <w:t xml:space="preserve"> </w:t>
            </w:r>
          </w:p>
        </w:tc>
        <w:tc>
          <w:tcPr>
            <w:tcW w:w="1999" w:type="dxa"/>
            <w:vMerge w:val="continue"/>
            <w:noWrap w:val="0"/>
            <w:vAlign w:val="center"/>
          </w:tcPr>
          <w:p w14:paraId="395EB56E">
            <w:pPr>
              <w:adjustRightInd w:val="0"/>
              <w:snapToGrid w:val="0"/>
              <w:spacing w:line="560" w:lineRule="exact"/>
              <w:jc w:val="center"/>
              <w:rPr>
                <w:rFonts w:hint="eastAsia" w:ascii="宋体" w:hAnsi="宋体" w:cs="宋体"/>
                <w:color w:val="auto"/>
                <w:szCs w:val="21"/>
                <w:highlight w:val="none"/>
              </w:rPr>
            </w:pPr>
          </w:p>
        </w:tc>
      </w:tr>
      <w:tr w14:paraId="4989B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65" w:type="dxa"/>
            <w:vMerge w:val="continue"/>
            <w:noWrap w:val="0"/>
            <w:vAlign w:val="center"/>
          </w:tcPr>
          <w:p w14:paraId="1A8441B0">
            <w:pPr>
              <w:adjustRightInd w:val="0"/>
              <w:snapToGrid w:val="0"/>
              <w:spacing w:line="560" w:lineRule="exact"/>
              <w:jc w:val="center"/>
              <w:rPr>
                <w:rFonts w:hint="eastAsia" w:ascii="宋体" w:hAnsi="宋体" w:cs="宋体"/>
                <w:color w:val="auto"/>
                <w:szCs w:val="21"/>
                <w:highlight w:val="none"/>
              </w:rPr>
            </w:pPr>
          </w:p>
        </w:tc>
        <w:tc>
          <w:tcPr>
            <w:tcW w:w="1258" w:type="dxa"/>
            <w:vMerge w:val="continue"/>
            <w:noWrap w:val="0"/>
            <w:vAlign w:val="center"/>
          </w:tcPr>
          <w:p w14:paraId="0659190D">
            <w:pPr>
              <w:adjustRightInd w:val="0"/>
              <w:snapToGrid w:val="0"/>
              <w:spacing w:line="560" w:lineRule="exact"/>
              <w:jc w:val="center"/>
              <w:rPr>
                <w:rFonts w:hint="eastAsia" w:ascii="宋体" w:hAnsi="宋体" w:cs="宋体"/>
                <w:b/>
                <w:bCs/>
                <w:color w:val="auto"/>
                <w:szCs w:val="21"/>
                <w:highlight w:val="none"/>
              </w:rPr>
            </w:pPr>
          </w:p>
        </w:tc>
        <w:tc>
          <w:tcPr>
            <w:tcW w:w="6044" w:type="dxa"/>
            <w:noWrap w:val="0"/>
            <w:vAlign w:val="top"/>
          </w:tcPr>
          <w:p w14:paraId="01AB1C74">
            <w:pPr>
              <w:adjustRightInd w:val="0"/>
              <w:snapToGrid w:val="0"/>
              <w:spacing w:line="560" w:lineRule="exac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投标人的法定代表人(或委托代理人)和拟任项目经理（建造师）须持有社保部门出具的本单位为其缴纳的投标前近三个月连续的养老保险证明（证明文件两个月内有效）（同一人担任不同公司法定代表人的，该法定代表人参加本项目投标时须提供本人在其他公司任法定代表人的营业执照及为其缴纳养老保险证明材料），投标人是事业单位的，暂未缴纳养老保险的，须由其主管部门出具证明</w:t>
            </w:r>
            <w:r>
              <w:rPr>
                <w:rFonts w:hint="eastAsia" w:ascii="宋体" w:hAnsi="宋体" w:cs="宋体"/>
                <w:color w:val="auto"/>
                <w:szCs w:val="21"/>
                <w:highlight w:val="none"/>
                <w:lang w:eastAsia="zh-CN"/>
              </w:rPr>
              <w:t>。</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 xml:space="preserve">联合体投标，项目经理（建造师）A岗和项目经理（建造师）B岗均须提供。） </w:t>
            </w:r>
            <w:r>
              <w:rPr>
                <w:rFonts w:hint="eastAsia" w:ascii="宋体" w:hAnsi="宋体" w:cs="宋体"/>
                <w:color w:val="auto"/>
                <w:szCs w:val="21"/>
                <w:highlight w:val="none"/>
                <w:lang w:val="en-US" w:eastAsia="zh-CN"/>
              </w:rPr>
              <w:t xml:space="preserve">  </w:t>
            </w:r>
          </w:p>
        </w:tc>
        <w:tc>
          <w:tcPr>
            <w:tcW w:w="1999" w:type="dxa"/>
            <w:vMerge w:val="continue"/>
            <w:noWrap w:val="0"/>
            <w:vAlign w:val="center"/>
          </w:tcPr>
          <w:p w14:paraId="3EC816A4">
            <w:pPr>
              <w:adjustRightInd w:val="0"/>
              <w:snapToGrid w:val="0"/>
              <w:spacing w:line="560" w:lineRule="exact"/>
              <w:jc w:val="center"/>
              <w:rPr>
                <w:rFonts w:hint="eastAsia" w:ascii="宋体" w:hAnsi="宋体" w:cs="宋体"/>
                <w:color w:val="auto"/>
                <w:szCs w:val="21"/>
                <w:highlight w:val="none"/>
              </w:rPr>
            </w:pPr>
          </w:p>
        </w:tc>
      </w:tr>
      <w:tr w14:paraId="22EEE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5" w:type="dxa"/>
            <w:vMerge w:val="continue"/>
            <w:noWrap w:val="0"/>
            <w:vAlign w:val="center"/>
          </w:tcPr>
          <w:p w14:paraId="16D8448B">
            <w:pPr>
              <w:adjustRightInd w:val="0"/>
              <w:snapToGrid w:val="0"/>
              <w:spacing w:line="560" w:lineRule="exact"/>
              <w:jc w:val="center"/>
              <w:rPr>
                <w:rFonts w:hint="eastAsia" w:ascii="宋体" w:hAnsi="宋体" w:cs="宋体"/>
                <w:color w:val="auto"/>
                <w:szCs w:val="21"/>
                <w:highlight w:val="none"/>
              </w:rPr>
            </w:pPr>
          </w:p>
        </w:tc>
        <w:tc>
          <w:tcPr>
            <w:tcW w:w="1258" w:type="dxa"/>
            <w:vMerge w:val="continue"/>
            <w:noWrap w:val="0"/>
            <w:vAlign w:val="center"/>
          </w:tcPr>
          <w:p w14:paraId="33730C12">
            <w:pPr>
              <w:adjustRightInd w:val="0"/>
              <w:snapToGrid w:val="0"/>
              <w:spacing w:line="560" w:lineRule="exact"/>
              <w:jc w:val="center"/>
              <w:rPr>
                <w:rFonts w:hint="eastAsia" w:ascii="宋体" w:hAnsi="宋体" w:cs="宋体"/>
                <w:b/>
                <w:bCs/>
                <w:color w:val="auto"/>
                <w:szCs w:val="21"/>
                <w:highlight w:val="none"/>
              </w:rPr>
            </w:pPr>
          </w:p>
        </w:tc>
        <w:tc>
          <w:tcPr>
            <w:tcW w:w="6044" w:type="dxa"/>
            <w:noWrap w:val="0"/>
            <w:vAlign w:val="top"/>
          </w:tcPr>
          <w:p w14:paraId="40CA51D9">
            <w:pPr>
              <w:adjustRightInd w:val="0"/>
              <w:snapToGrid w:val="0"/>
              <w:spacing w:line="560" w:lineRule="exact"/>
              <w:rPr>
                <w:rFonts w:hint="eastAsia" w:ascii="宋体" w:hAnsi="宋体" w:cs="宋体"/>
                <w:color w:val="auto"/>
                <w:szCs w:val="21"/>
                <w:highlight w:val="none"/>
              </w:rPr>
            </w:pPr>
            <w:r>
              <w:rPr>
                <w:rFonts w:hint="eastAsia" w:ascii="宋体" w:hAnsi="宋体" w:cs="宋体"/>
                <w:color w:val="auto"/>
                <w:szCs w:val="21"/>
                <w:highlight w:val="none"/>
              </w:rPr>
              <w:t>项目管理机构。查看项目管理机构主要人员组成表</w:t>
            </w:r>
          </w:p>
        </w:tc>
        <w:tc>
          <w:tcPr>
            <w:tcW w:w="1999" w:type="dxa"/>
            <w:vMerge w:val="continue"/>
            <w:noWrap w:val="0"/>
            <w:vAlign w:val="center"/>
          </w:tcPr>
          <w:p w14:paraId="166B694B">
            <w:pPr>
              <w:adjustRightInd w:val="0"/>
              <w:snapToGrid w:val="0"/>
              <w:spacing w:line="560" w:lineRule="exact"/>
              <w:jc w:val="center"/>
              <w:rPr>
                <w:rFonts w:hint="eastAsia" w:ascii="宋体" w:hAnsi="宋体" w:cs="宋体"/>
                <w:b/>
                <w:color w:val="auto"/>
                <w:szCs w:val="21"/>
                <w:highlight w:val="none"/>
              </w:rPr>
            </w:pPr>
          </w:p>
        </w:tc>
      </w:tr>
      <w:tr w14:paraId="57827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5" w:type="dxa"/>
            <w:vMerge w:val="continue"/>
            <w:noWrap w:val="0"/>
            <w:vAlign w:val="center"/>
          </w:tcPr>
          <w:p w14:paraId="2E24A7D2">
            <w:pPr>
              <w:adjustRightInd w:val="0"/>
              <w:snapToGrid w:val="0"/>
              <w:spacing w:line="560" w:lineRule="exact"/>
              <w:jc w:val="center"/>
              <w:rPr>
                <w:rFonts w:hint="eastAsia" w:ascii="宋体" w:hAnsi="宋体" w:cs="宋体"/>
                <w:color w:val="auto"/>
                <w:szCs w:val="21"/>
                <w:highlight w:val="none"/>
              </w:rPr>
            </w:pPr>
          </w:p>
        </w:tc>
        <w:tc>
          <w:tcPr>
            <w:tcW w:w="1258" w:type="dxa"/>
            <w:vMerge w:val="continue"/>
            <w:noWrap w:val="0"/>
            <w:vAlign w:val="center"/>
          </w:tcPr>
          <w:p w14:paraId="5D3F3FFF">
            <w:pPr>
              <w:adjustRightInd w:val="0"/>
              <w:snapToGrid w:val="0"/>
              <w:spacing w:line="560" w:lineRule="exact"/>
              <w:jc w:val="center"/>
              <w:rPr>
                <w:rFonts w:hint="eastAsia" w:ascii="宋体" w:hAnsi="宋体" w:cs="宋体"/>
                <w:b/>
                <w:bCs/>
                <w:color w:val="auto"/>
                <w:szCs w:val="21"/>
                <w:highlight w:val="none"/>
              </w:rPr>
            </w:pPr>
          </w:p>
        </w:tc>
        <w:tc>
          <w:tcPr>
            <w:tcW w:w="6044" w:type="dxa"/>
            <w:noWrap w:val="0"/>
            <w:vAlign w:val="top"/>
          </w:tcPr>
          <w:p w14:paraId="4FAF4CA8">
            <w:pPr>
              <w:adjustRightInd w:val="0"/>
              <w:snapToGrid w:val="0"/>
              <w:spacing w:line="560" w:lineRule="exact"/>
              <w:rPr>
                <w:rFonts w:hint="eastAsia" w:ascii="宋体" w:hAnsi="宋体" w:cs="宋体"/>
                <w:color w:val="auto"/>
                <w:szCs w:val="21"/>
                <w:highlight w:val="none"/>
              </w:rPr>
            </w:pPr>
            <w:r>
              <w:rPr>
                <w:rFonts w:hint="eastAsia" w:ascii="宋体" w:hAnsi="宋体" w:cs="宋体"/>
                <w:color w:val="auto"/>
                <w:szCs w:val="21"/>
                <w:highlight w:val="none"/>
              </w:rPr>
              <w:t>联合体协议书（如有）</w:t>
            </w:r>
          </w:p>
        </w:tc>
        <w:tc>
          <w:tcPr>
            <w:tcW w:w="1999" w:type="dxa"/>
            <w:vMerge w:val="continue"/>
            <w:noWrap w:val="0"/>
            <w:vAlign w:val="center"/>
          </w:tcPr>
          <w:p w14:paraId="710F4998">
            <w:pPr>
              <w:adjustRightInd w:val="0"/>
              <w:snapToGrid w:val="0"/>
              <w:spacing w:line="560" w:lineRule="exact"/>
              <w:jc w:val="center"/>
              <w:rPr>
                <w:rFonts w:hint="eastAsia" w:ascii="宋体" w:hAnsi="宋体" w:cs="宋体"/>
                <w:b/>
                <w:color w:val="auto"/>
                <w:szCs w:val="21"/>
                <w:highlight w:val="none"/>
              </w:rPr>
            </w:pPr>
          </w:p>
        </w:tc>
      </w:tr>
    </w:tbl>
    <w:p w14:paraId="76674F49">
      <w:pPr>
        <w:adjustRightInd w:val="0"/>
        <w:snapToGrid w:val="0"/>
        <w:spacing w:line="560" w:lineRule="exact"/>
        <w:ind w:firstLine="422" w:firstLineChars="200"/>
        <w:jc w:val="left"/>
        <w:rPr>
          <w:rFonts w:hint="eastAsia" w:ascii="黑体" w:hAnsi="黑体" w:eastAsia="黑体" w:cs="黑体"/>
          <w:b/>
          <w:bCs/>
          <w:color w:val="auto"/>
          <w:szCs w:val="21"/>
          <w:highlight w:val="none"/>
        </w:rPr>
      </w:pPr>
      <w:r>
        <w:rPr>
          <w:rFonts w:hint="eastAsia" w:ascii="黑体" w:hAnsi="黑体" w:eastAsia="黑体" w:cs="黑体"/>
          <w:b/>
          <w:bCs/>
          <w:color w:val="auto"/>
          <w:szCs w:val="21"/>
          <w:highlight w:val="none"/>
        </w:rPr>
        <w:t>重要提示：</w:t>
      </w:r>
    </w:p>
    <w:p w14:paraId="621EA018">
      <w:pPr>
        <w:adjustRightInd w:val="0"/>
        <w:snapToGrid w:val="0"/>
        <w:spacing w:line="560" w:lineRule="exact"/>
        <w:ind w:firstLine="422" w:firstLineChars="200"/>
        <w:jc w:val="left"/>
        <w:rPr>
          <w:rFonts w:hint="eastAsia" w:ascii="黑体" w:hAnsi="黑体" w:eastAsia="黑体" w:cs="黑体"/>
          <w:b/>
          <w:bCs/>
          <w:color w:val="auto"/>
          <w:szCs w:val="21"/>
          <w:highlight w:val="none"/>
        </w:rPr>
      </w:pPr>
      <w:r>
        <w:rPr>
          <w:rFonts w:hint="eastAsia" w:ascii="黑体" w:hAnsi="黑体" w:eastAsia="黑体" w:cs="黑体"/>
          <w:b/>
          <w:bCs/>
          <w:color w:val="auto"/>
          <w:szCs w:val="21"/>
          <w:highlight w:val="none"/>
        </w:rPr>
        <w:t>（1）资格审查材料可以选择①上传到安徽省公共资源交易市场主体库中，制作投标文件时插上CA数字证书，从安徽省公共资源交易市场主体库中挑选相关材料，或按招标文件要求上传至指定位置；若所需材料无对应栏目，则将该材料上传至“其他所需材料”里，做电子投标文件时从“其他所需材料”里获取。请各投标人自行完善安徽省公共资源交易市场主体库中的单位信息，保证信息最新且有效。②或使用国家企业信用信息公示系统和全国建筑市场监管公共服务平台接口获取营业执照、建设工程相关证书等政务数据，投标人自行核验政务数据的准确性，对引用的政务数据承担责任。</w:t>
      </w:r>
    </w:p>
    <w:p w14:paraId="0B84368B">
      <w:pPr>
        <w:adjustRightInd w:val="0"/>
        <w:snapToGrid w:val="0"/>
        <w:spacing w:line="560" w:lineRule="exact"/>
        <w:ind w:firstLine="422" w:firstLineChars="200"/>
        <w:jc w:val="left"/>
        <w:rPr>
          <w:rFonts w:hint="eastAsia" w:ascii="黑体" w:hAnsi="黑体" w:eastAsia="黑体" w:cs="黑体"/>
          <w:b/>
          <w:bCs/>
          <w:color w:val="auto"/>
          <w:szCs w:val="21"/>
          <w:highlight w:val="none"/>
        </w:rPr>
      </w:pPr>
      <w:r>
        <w:rPr>
          <w:rFonts w:hint="eastAsia" w:ascii="黑体" w:hAnsi="黑体" w:eastAsia="黑体" w:cs="黑体"/>
          <w:b/>
          <w:bCs/>
          <w:color w:val="auto"/>
          <w:szCs w:val="21"/>
          <w:highlight w:val="none"/>
        </w:rPr>
        <w:t>（2）评标专家在检验电子投标文件过程中，如果由于投标人自身原因导致评标专家无法查看并检验电子投标文件中相关资料的，视为无效标处理。即使投标人将原件携带至现场的，同样按无效标处理。</w:t>
      </w:r>
    </w:p>
    <w:p w14:paraId="367545D6">
      <w:pPr>
        <w:spacing w:line="560" w:lineRule="exact"/>
        <w:ind w:firstLine="422" w:firstLineChars="200"/>
        <w:rPr>
          <w:rFonts w:hint="eastAsia" w:ascii="黑体" w:hAnsi="黑体" w:eastAsia="黑体" w:cs="黑体"/>
          <w:b/>
          <w:bCs/>
          <w:color w:val="auto"/>
          <w:szCs w:val="21"/>
          <w:highlight w:val="none"/>
        </w:rPr>
      </w:pPr>
      <w:r>
        <w:rPr>
          <w:rFonts w:hint="eastAsia" w:ascii="黑体" w:hAnsi="黑体" w:eastAsia="黑体" w:cs="黑体"/>
          <w:b/>
          <w:bCs/>
          <w:color w:val="auto"/>
          <w:szCs w:val="21"/>
          <w:highlight w:val="none"/>
        </w:rPr>
        <w:t>（3）投标人拟委任项目经理为注册建造师（含一级、二级）的，须提供在电子证书使用有效期内的纸质版电子证书。</w:t>
      </w:r>
      <w:r>
        <w:rPr>
          <w:rFonts w:ascii="黑体" w:hAnsi="黑体" w:eastAsia="黑体" w:cs="黑体"/>
          <w:b/>
          <w:bCs/>
          <w:color w:val="auto"/>
          <w:szCs w:val="21"/>
          <w:highlight w:val="none"/>
        </w:rPr>
        <w:t>一级建造师打印电子证书后，应在个人签名处手写本人签名，未手写签名或与签名图像笔迹不一致的，该电子证书无效。</w:t>
      </w:r>
    </w:p>
    <w:p w14:paraId="415C5934">
      <w:pPr>
        <w:spacing w:line="560" w:lineRule="exact"/>
        <w:ind w:firstLine="422" w:firstLineChars="200"/>
        <w:jc w:val="left"/>
        <w:rPr>
          <w:rFonts w:hint="eastAsia" w:ascii="黑体" w:hAnsi="黑体" w:eastAsia="黑体" w:cs="黑体"/>
          <w:b/>
          <w:bCs/>
          <w:color w:val="auto"/>
          <w:szCs w:val="21"/>
          <w:highlight w:val="none"/>
        </w:rPr>
      </w:pPr>
      <w:r>
        <w:rPr>
          <w:rFonts w:hint="eastAsia" w:ascii="黑体" w:hAnsi="黑体" w:eastAsia="黑体" w:cs="黑体"/>
          <w:b/>
          <w:bCs/>
          <w:color w:val="auto"/>
          <w:szCs w:val="21"/>
          <w:highlight w:val="none"/>
        </w:rPr>
        <w:t>投标人提供的安徽省新版二级建造师电子注册证书纸质版需在安徽省住房和城乡建设执业资格注册管理系统中打印，打印后应由二级建造师本人在证书的个人签名处手写本人签名，或在新版二级建造师电子注册证书纸质版后附其本人知情承诺（视为个人签名处的手写本人签名），格式自拟。未手写个人签名或未提供二级建造师本人知情承诺的，个人签名或知情承诺签字与签名图片笔迹不一致，此证书无效。其他省份按各省相关规定执行。</w:t>
      </w:r>
    </w:p>
    <w:p w14:paraId="2F3A685A">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r>
        <w:rPr>
          <w:rFonts w:hint="eastAsia" w:ascii="黑体" w:hAnsi="黑体" w:cs="黑体"/>
          <w:color w:val="auto"/>
          <w:sz w:val="21"/>
          <w:szCs w:val="21"/>
          <w:highlight w:val="none"/>
        </w:rPr>
        <w:t>1.审查资料</w:t>
      </w:r>
    </w:p>
    <w:p w14:paraId="78D5B117">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（1）法定代表人身份证明和本人有效身份证(或法定代表人授权委托书和委托代理人有效身份证)</w:t>
      </w:r>
      <w:r>
        <w:rPr>
          <w:rFonts w:hint="eastAsia" w:ascii="宋体" w:hAnsi="宋体" w:cs="宋体"/>
          <w:color w:val="auto"/>
          <w:szCs w:val="21"/>
          <w:highlight w:val="none"/>
          <w:lang w:eastAsia="zh-CN"/>
        </w:rPr>
        <w:t>）</w:t>
      </w:r>
      <w:r>
        <w:rPr>
          <w:rFonts w:hint="eastAsia" w:ascii="宋体" w:hAnsi="宋体" w:cs="宋体"/>
          <w:color w:val="auto"/>
          <w:szCs w:val="21"/>
          <w:highlight w:val="none"/>
        </w:rPr>
        <w:t>（联合体投标的，联合体各方均须提供）；</w:t>
      </w:r>
    </w:p>
    <w:p w14:paraId="179AB980">
      <w:pPr>
        <w:adjustRightInd w:val="0"/>
        <w:snapToGrid w:val="0"/>
        <w:spacing w:line="560" w:lineRule="exact"/>
        <w:ind w:firstLine="422" w:firstLineChars="200"/>
        <w:rPr>
          <w:rFonts w:hint="eastAsia" w:ascii="宋体" w:hAnsi="宋体" w:cs="宋体"/>
          <w:color w:val="auto"/>
          <w:szCs w:val="21"/>
          <w:highlight w:val="none"/>
        </w:rPr>
      </w:pPr>
      <w:r>
        <w:rPr>
          <w:rFonts w:hint="eastAsia" w:ascii="宋体" w:hAnsi="宋体" w:eastAsia="宋体" w:cs="宋体"/>
          <w:b/>
          <w:bCs/>
          <w:color w:val="auto"/>
          <w:szCs w:val="21"/>
          <w:highlight w:val="none"/>
          <w:lang w:val="en-US" w:eastAsia="zh-CN"/>
        </w:rPr>
        <w:t>注：若为联合体投标，各自委托各自单位的人</w:t>
      </w:r>
      <w:r>
        <w:rPr>
          <w:rFonts w:hint="eastAsia" w:ascii="宋体" w:hAnsi="宋体" w:cs="宋体"/>
          <w:b/>
          <w:bCs/>
          <w:color w:val="auto"/>
          <w:szCs w:val="21"/>
          <w:highlight w:val="none"/>
          <w:lang w:val="en-US" w:eastAsia="zh-CN"/>
        </w:rPr>
        <w:t>员</w:t>
      </w:r>
      <w:r>
        <w:rPr>
          <w:rFonts w:hint="eastAsia" w:ascii="宋体" w:hAnsi="宋体" w:eastAsia="宋体" w:cs="宋体"/>
          <w:b/>
          <w:bCs/>
          <w:color w:val="auto"/>
          <w:szCs w:val="21"/>
          <w:highlight w:val="none"/>
          <w:lang w:val="en-US" w:eastAsia="zh-CN"/>
        </w:rPr>
        <w:t>。即A与B公司组成联合体投标,A公司须授权A公司人员C某为委托代理人,B公司须授权B公司人员D某为委托代理人。</w:t>
      </w:r>
    </w:p>
    <w:p w14:paraId="022BF7E8">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（2）诚信投标承诺书（或《</w:t>
      </w:r>
      <w:r>
        <w:rPr>
          <w:rFonts w:hint="eastAsia" w:ascii="宋体" w:hAnsi="宋体" w:cs="宋体"/>
          <w:color w:val="auto"/>
          <w:kern w:val="0"/>
          <w:szCs w:val="21"/>
          <w:highlight w:val="none"/>
        </w:rPr>
        <w:t>公共信用信息报告（无违法违规证明版或核查版）</w:t>
      </w:r>
      <w:r>
        <w:rPr>
          <w:rFonts w:hint="eastAsia" w:ascii="宋体" w:hAnsi="宋体" w:cs="宋体"/>
          <w:color w:val="auto"/>
          <w:szCs w:val="21"/>
          <w:highlight w:val="none"/>
        </w:rPr>
        <w:t>》）（联合体投标的，联合体各方均须提供）；</w:t>
      </w:r>
    </w:p>
    <w:p w14:paraId="292A409B">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（3）企业法人营业执照</w:t>
      </w:r>
      <w:r>
        <w:rPr>
          <w:rFonts w:hint="eastAsia" w:ascii="宋体" w:hAnsi="宋体" w:cs="宋体"/>
          <w:color w:val="auto"/>
          <w:szCs w:val="21"/>
          <w:highlight w:val="none"/>
          <w:lang w:eastAsia="zh-CN"/>
        </w:rPr>
        <w:t>（</w:t>
      </w:r>
      <w:r>
        <w:rPr>
          <w:rFonts w:hint="eastAsia" w:ascii="宋体" w:hAnsi="宋体" w:cs="宋体"/>
          <w:color w:val="auto"/>
          <w:szCs w:val="21"/>
          <w:highlight w:val="none"/>
        </w:rPr>
        <w:t>联合体投标的，联合体各方均须提供）；</w:t>
      </w:r>
    </w:p>
    <w:p w14:paraId="092F22CA">
      <w:pPr>
        <w:adjustRightInd w:val="0"/>
        <w:snapToGrid w:val="0"/>
        <w:spacing w:line="560" w:lineRule="exact"/>
        <w:ind w:firstLine="420" w:firstLineChars="200"/>
        <w:rPr>
          <w:rFonts w:hint="eastAsia"/>
          <w:color w:val="auto"/>
          <w:highlight w:val="none"/>
        </w:rPr>
      </w:pPr>
      <w:r>
        <w:rPr>
          <w:rFonts w:hint="eastAsia" w:ascii="宋体" w:hAnsi="宋体" w:cs="宋体"/>
          <w:color w:val="auto"/>
          <w:szCs w:val="21"/>
          <w:highlight w:val="none"/>
        </w:rPr>
        <w:t>（4）企业资质证书（联合体投标的，联合体各方均须提供）；</w:t>
      </w:r>
    </w:p>
    <w:p w14:paraId="7B763340">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（5）企业安全生产许可证（联合体投标的，联合体各方均须提供）；</w:t>
      </w:r>
    </w:p>
    <w:p w14:paraId="601C7120">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（6）项目经理（建造师）有效身份证、注册证书以及安全生产考核合格证书（B证）；</w:t>
      </w:r>
    </w:p>
    <w:p w14:paraId="62DC2BAE">
      <w:pPr>
        <w:adjustRightInd w:val="0"/>
        <w:snapToGrid w:val="0"/>
        <w:spacing w:line="560" w:lineRule="exact"/>
        <w:ind w:firstLine="422" w:firstLineChars="200"/>
        <w:rPr>
          <w:rFonts w:hint="eastAsia" w:ascii="宋体" w:hAnsi="宋体" w:cs="宋体"/>
          <w:color w:val="auto"/>
          <w:szCs w:val="21"/>
          <w:highlight w:val="none"/>
        </w:rPr>
      </w:pPr>
      <w:r>
        <w:rPr>
          <w:rFonts w:hint="eastAsia"/>
          <w:b/>
          <w:bCs/>
          <w:color w:val="auto"/>
          <w:szCs w:val="21"/>
          <w:highlight w:val="none"/>
          <w:lang w:val="en-US" w:eastAsia="zh-CN"/>
        </w:rPr>
        <w:t>注：如为联合体投标，</w:t>
      </w:r>
      <w:r>
        <w:rPr>
          <w:rFonts w:hint="eastAsia" w:ascii="宋体" w:hAnsi="宋体" w:cs="宋体"/>
          <w:b/>
          <w:bCs/>
          <w:color w:val="auto"/>
          <w:kern w:val="0"/>
          <w:szCs w:val="21"/>
          <w:highlight w:val="none"/>
        </w:rPr>
        <w:t>联合体投标牵头方派驻项目经理（建造师）A岗，联合体成员方</w:t>
      </w:r>
      <w:r>
        <w:rPr>
          <w:rFonts w:hint="eastAsia" w:ascii="宋体" w:hAnsi="宋体" w:cs="宋体"/>
          <w:b/>
          <w:bCs/>
          <w:color w:val="auto"/>
          <w:kern w:val="0"/>
          <w:szCs w:val="21"/>
          <w:highlight w:val="none"/>
          <w:lang w:val="en-US" w:eastAsia="zh-CN"/>
        </w:rPr>
        <w:t>必须同时</w:t>
      </w:r>
      <w:r>
        <w:rPr>
          <w:rFonts w:hint="eastAsia" w:ascii="宋体" w:hAnsi="宋体" w:cs="宋体"/>
          <w:b/>
          <w:bCs/>
          <w:color w:val="auto"/>
          <w:kern w:val="0"/>
          <w:szCs w:val="21"/>
          <w:highlight w:val="none"/>
        </w:rPr>
        <w:t>派驻项目经理（建造师）B岗</w:t>
      </w:r>
      <w:r>
        <w:rPr>
          <w:rFonts w:hint="eastAsia" w:ascii="宋体" w:hAnsi="宋体" w:cs="宋体"/>
          <w:b/>
          <w:bCs/>
          <w:color w:val="auto"/>
          <w:kern w:val="0"/>
          <w:szCs w:val="21"/>
          <w:highlight w:val="none"/>
          <w:lang w:eastAsia="zh-CN"/>
        </w:rPr>
        <w:t>。</w:t>
      </w:r>
      <w:r>
        <w:rPr>
          <w:rFonts w:hint="eastAsia" w:ascii="宋体" w:hAnsi="宋体" w:cs="宋体"/>
          <w:b/>
          <w:bCs/>
          <w:color w:val="auto"/>
          <w:kern w:val="0"/>
          <w:szCs w:val="21"/>
          <w:highlight w:val="none"/>
          <w:lang w:val="en-US" w:eastAsia="zh-CN"/>
        </w:rPr>
        <w:t>A、B岗必须均满足此项目经理资格要求</w:t>
      </w:r>
      <w:r>
        <w:rPr>
          <w:rFonts w:hint="eastAsia" w:ascii="宋体" w:hAnsi="宋体" w:cs="宋体"/>
          <w:color w:val="auto"/>
          <w:szCs w:val="21"/>
          <w:highlight w:val="none"/>
          <w:lang w:val="en-US" w:eastAsia="zh-CN"/>
        </w:rPr>
        <w:t xml:space="preserve">。 </w:t>
      </w:r>
    </w:p>
    <w:p w14:paraId="3DA244F6">
      <w:pPr>
        <w:widowControl/>
        <w:adjustRightInd w:val="0"/>
        <w:snapToGrid w:val="0"/>
        <w:spacing w:line="56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7）投标人的法定代表人(或委托代理人)和项目经理（建造师）须持有社保部门出具的本单位为其缴纳的投标前近三个月连续的养老保险证明（证明文件两个月内有效）（同一人担任不同公司法定代表人的，该法定代表人参加本项目投标时须提供本人在其他公司任法定代表人的营业执照及为其缴纳养老保险证明材料），投标人是事业单位的，暂未缴纳养老保险的，须由其主管部门出具证明；</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 xml:space="preserve">联合体投标，项目经理（建造师）A岗和项目经理（建造师）B岗均须提供。） </w:t>
      </w:r>
      <w:r>
        <w:rPr>
          <w:rFonts w:hint="eastAsia" w:ascii="宋体" w:hAnsi="宋体" w:cs="宋体"/>
          <w:color w:val="auto"/>
          <w:szCs w:val="21"/>
          <w:highlight w:val="none"/>
          <w:lang w:val="en-US" w:eastAsia="zh-CN"/>
        </w:rPr>
        <w:t xml:space="preserve">  </w:t>
      </w:r>
    </w:p>
    <w:p w14:paraId="5E2E7BB8">
      <w:pPr>
        <w:widowControl/>
        <w:adjustRightInd w:val="0"/>
        <w:snapToGrid w:val="0"/>
        <w:spacing w:line="56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（8）项目管理机构。查看项目管理机构主要人员组成表；</w:t>
      </w:r>
    </w:p>
    <w:p w14:paraId="291A838A">
      <w:pPr>
        <w:widowControl/>
        <w:adjustRightInd w:val="0"/>
        <w:snapToGrid w:val="0"/>
        <w:spacing w:line="56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（9）联合体协议书（如有）。</w:t>
      </w:r>
    </w:p>
    <w:p w14:paraId="2B7AC263">
      <w:pPr>
        <w:adjustRightInd w:val="0"/>
        <w:snapToGrid w:val="0"/>
        <w:spacing w:line="560" w:lineRule="exact"/>
        <w:ind w:firstLine="422" w:firstLineChars="200"/>
        <w:jc w:val="left"/>
        <w:rPr>
          <w:rFonts w:hint="eastAsia" w:ascii="黑体" w:hAnsi="黑体" w:eastAsia="黑体" w:cs="黑体"/>
          <w:b/>
          <w:color w:val="auto"/>
          <w:szCs w:val="21"/>
          <w:highlight w:val="none"/>
        </w:rPr>
      </w:pPr>
      <w:r>
        <w:rPr>
          <w:rFonts w:hint="eastAsia" w:ascii="黑体" w:hAnsi="黑体" w:eastAsia="黑体" w:cs="黑体"/>
          <w:b/>
          <w:color w:val="auto"/>
          <w:szCs w:val="21"/>
          <w:highlight w:val="none"/>
        </w:rPr>
        <w:t>温馨提示：</w:t>
      </w:r>
    </w:p>
    <w:p w14:paraId="5FC1D98C">
      <w:pPr>
        <w:adjustRightInd w:val="0"/>
        <w:snapToGrid w:val="0"/>
        <w:spacing w:line="560" w:lineRule="exact"/>
        <w:ind w:firstLine="422" w:firstLineChars="200"/>
        <w:jc w:val="left"/>
        <w:rPr>
          <w:rFonts w:hint="eastAsia" w:ascii="黑体" w:hAnsi="黑体" w:eastAsia="黑体" w:cs="黑体"/>
          <w:b/>
          <w:color w:val="auto"/>
          <w:szCs w:val="21"/>
          <w:highlight w:val="none"/>
        </w:rPr>
      </w:pPr>
      <w:r>
        <w:rPr>
          <w:rFonts w:hint="eastAsia" w:ascii="黑体" w:hAnsi="黑体" w:eastAsia="黑体" w:cs="黑体"/>
          <w:b/>
          <w:color w:val="auto"/>
          <w:szCs w:val="21"/>
          <w:highlight w:val="none"/>
        </w:rPr>
        <w:t>（1）请各投标人自行完善安徽省公共资源交易市场主体库中的单位基本信息，保证信息最新且有效。</w:t>
      </w:r>
    </w:p>
    <w:p w14:paraId="3150C979">
      <w:pPr>
        <w:adjustRightInd w:val="0"/>
        <w:snapToGrid w:val="0"/>
        <w:spacing w:line="560" w:lineRule="exact"/>
        <w:ind w:firstLine="422" w:firstLineChars="200"/>
        <w:jc w:val="left"/>
        <w:rPr>
          <w:rFonts w:hint="eastAsia" w:ascii="黑体" w:hAnsi="黑体" w:eastAsia="黑体" w:cs="黑体"/>
          <w:b/>
          <w:color w:val="auto"/>
          <w:szCs w:val="21"/>
          <w:highlight w:val="none"/>
        </w:rPr>
      </w:pPr>
      <w:r>
        <w:rPr>
          <w:rFonts w:hint="eastAsia" w:ascii="黑体" w:hAnsi="黑体" w:eastAsia="黑体" w:cs="黑体"/>
          <w:b/>
          <w:color w:val="auto"/>
          <w:szCs w:val="21"/>
          <w:highlight w:val="none"/>
        </w:rPr>
        <w:t>（2）请投标人认真准备投标文件资格审查资料,如评标专家在检验电子标书过程中，如果由于投标人自身原因导致评标专家无法查看并检验电子标书中相关资料的，视为无效标处理。即使投标人将原件携带至现场的，同样按无效标处理。</w:t>
      </w:r>
    </w:p>
    <w:p w14:paraId="1FD5760E">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r>
        <w:rPr>
          <w:rFonts w:hint="eastAsia" w:ascii="黑体" w:hAnsi="黑体" w:cs="黑体"/>
          <w:color w:val="auto"/>
          <w:sz w:val="21"/>
          <w:szCs w:val="21"/>
          <w:highlight w:val="none"/>
        </w:rPr>
        <w:t>2.审查办法</w:t>
      </w:r>
    </w:p>
    <w:p w14:paraId="4A88D0E5">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由资格审查委员会（评标委员会）按资格审查办法前附表中资格审查必要合格条件评审表要求对投标人审查资料进行核验。</w:t>
      </w:r>
    </w:p>
    <w:p w14:paraId="203BBA3F">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r>
        <w:rPr>
          <w:rFonts w:hint="eastAsia" w:ascii="黑体" w:hAnsi="黑体" w:cs="黑体"/>
          <w:color w:val="auto"/>
          <w:sz w:val="21"/>
          <w:szCs w:val="21"/>
          <w:highlight w:val="none"/>
        </w:rPr>
        <w:t>3.资格审查委员会和审查标准</w:t>
      </w:r>
    </w:p>
    <w:p w14:paraId="374FB2E1">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3.1资格审查由招标人依法组建的资格审查委员会（或评标委员会）负责。审查标准见资格审查办法前附表。</w:t>
      </w:r>
    </w:p>
    <w:p w14:paraId="6754FA3D">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3.2由资格审查委员会（评标委员会）按资格审查办法前附表要求对投标人的审查资料进行核验。投标申请人有下列情形之一的，其资格审查为不合格： </w:t>
      </w:r>
    </w:p>
    <w:p w14:paraId="57A72EB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（1）未上传电子标书或电子标书经审查不合格；</w:t>
      </w:r>
    </w:p>
    <w:p w14:paraId="7C9CC45F">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（2）联合体投标人没有提交联合体协议书；</w:t>
      </w:r>
    </w:p>
    <w:p w14:paraId="43409CC7">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（3）保证金不按第二章“投标人须知”及其前附表要求提交投标保证金的； </w:t>
      </w:r>
    </w:p>
    <w:p w14:paraId="3789C0F2">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（4）投标人未办理省主体库登记入库手续的；</w:t>
      </w:r>
    </w:p>
    <w:p w14:paraId="2FF2C97A">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（5）投标人投标 MAC 地址一致的；</w:t>
      </w:r>
    </w:p>
    <w:p w14:paraId="6847F2ED">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（6）投标人申请开具电子保函 MAC 地址一致的；</w:t>
      </w:r>
    </w:p>
    <w:p w14:paraId="51B9BC33">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（7）投标人投标文件制作机器码、文件创建标识码及造价软件加密锁号信息雷同的；</w:t>
      </w:r>
    </w:p>
    <w:p w14:paraId="75A7B675">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（8）法律、法规规定的其他情形。</w:t>
      </w:r>
    </w:p>
    <w:p w14:paraId="55DC0C79">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r>
        <w:rPr>
          <w:rFonts w:hint="eastAsia" w:ascii="黑体" w:hAnsi="黑体" w:cs="黑体"/>
          <w:color w:val="auto"/>
          <w:sz w:val="21"/>
          <w:szCs w:val="21"/>
          <w:highlight w:val="none"/>
        </w:rPr>
        <w:t>4.审查结果</w:t>
      </w:r>
    </w:p>
    <w:p w14:paraId="1ADC1BF2">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只有通过资格审查的投标人才能进入下一步的评标程序。</w:t>
      </w:r>
    </w:p>
    <w:bookmarkEnd w:id="667"/>
    <w:bookmarkEnd w:id="668"/>
    <w:bookmarkEnd w:id="669"/>
    <w:bookmarkEnd w:id="670"/>
    <w:bookmarkEnd w:id="671"/>
    <w:p w14:paraId="5C84082E">
      <w:pPr>
        <w:rPr>
          <w:rFonts w:hint="eastAsia"/>
          <w:color w:val="auto"/>
          <w:highlight w:val="none"/>
        </w:rPr>
      </w:pPr>
      <w:bookmarkStart w:id="673" w:name="_Toc95223398"/>
      <w:bookmarkStart w:id="674" w:name="_Toc15058912"/>
      <w:bookmarkStart w:id="675" w:name="_Toc506107323"/>
      <w:bookmarkStart w:id="676" w:name="_Toc60061495"/>
    </w:p>
    <w:p w14:paraId="634F243B">
      <w:pPr>
        <w:pStyle w:val="19"/>
        <w:rPr>
          <w:rFonts w:hint="eastAsia"/>
          <w:color w:val="auto"/>
          <w:highlight w:val="none"/>
        </w:rPr>
      </w:pPr>
    </w:p>
    <w:p w14:paraId="28138FF9">
      <w:pPr>
        <w:rPr>
          <w:rFonts w:hint="eastAsia"/>
          <w:color w:val="auto"/>
          <w:highlight w:val="none"/>
        </w:rPr>
      </w:pPr>
    </w:p>
    <w:p w14:paraId="5326ED47">
      <w:pPr>
        <w:pStyle w:val="19"/>
        <w:rPr>
          <w:rFonts w:hint="eastAsia"/>
          <w:color w:val="auto"/>
          <w:highlight w:val="none"/>
        </w:rPr>
      </w:pPr>
    </w:p>
    <w:p w14:paraId="098ED2AF">
      <w:pPr>
        <w:rPr>
          <w:rFonts w:hint="eastAsia"/>
          <w:color w:val="auto"/>
          <w:highlight w:val="none"/>
        </w:rPr>
      </w:pPr>
    </w:p>
    <w:p w14:paraId="3B6E1EF0">
      <w:pPr>
        <w:pStyle w:val="19"/>
        <w:rPr>
          <w:rFonts w:hint="eastAsia"/>
          <w:color w:val="auto"/>
          <w:highlight w:val="none"/>
        </w:rPr>
      </w:pPr>
    </w:p>
    <w:p w14:paraId="23C531F8">
      <w:pPr>
        <w:rPr>
          <w:rFonts w:hint="eastAsia"/>
          <w:color w:val="auto"/>
          <w:highlight w:val="none"/>
        </w:rPr>
      </w:pPr>
    </w:p>
    <w:p w14:paraId="18EB127F">
      <w:pPr>
        <w:pStyle w:val="19"/>
        <w:rPr>
          <w:rFonts w:hint="eastAsia"/>
          <w:color w:val="auto"/>
          <w:highlight w:val="none"/>
        </w:rPr>
      </w:pPr>
    </w:p>
    <w:p w14:paraId="0D998CA1">
      <w:pPr>
        <w:pStyle w:val="19"/>
        <w:ind w:left="0" w:leftChars="0" w:firstLine="0" w:firstLineChars="0"/>
        <w:rPr>
          <w:rFonts w:hint="eastAsia"/>
          <w:color w:val="auto"/>
          <w:highlight w:val="none"/>
        </w:rPr>
      </w:pPr>
    </w:p>
    <w:bookmarkEnd w:id="672"/>
    <w:bookmarkEnd w:id="673"/>
    <w:bookmarkEnd w:id="674"/>
    <w:bookmarkEnd w:id="675"/>
    <w:bookmarkEnd w:id="676"/>
    <w:p w14:paraId="61F743EF">
      <w:pPr>
        <w:rPr>
          <w:rFonts w:hint="eastAsia"/>
          <w:color w:val="auto"/>
          <w:highlight w:val="none"/>
        </w:rPr>
      </w:pPr>
      <w:bookmarkStart w:id="677" w:name="_Toc95223428"/>
    </w:p>
    <w:p w14:paraId="1C71D0EF">
      <w:pPr>
        <w:pStyle w:val="2"/>
        <w:adjustRightInd w:val="0"/>
        <w:snapToGrid w:val="0"/>
        <w:spacing w:before="0" w:after="0" w:line="560" w:lineRule="exact"/>
        <w:jc w:val="center"/>
        <w:rPr>
          <w:rFonts w:hint="eastAsia"/>
          <w:color w:val="auto"/>
          <w:highlight w:val="none"/>
        </w:rPr>
      </w:pPr>
      <w:r>
        <w:rPr>
          <w:rFonts w:hint="eastAsia"/>
          <w:color w:val="auto"/>
          <w:highlight w:val="none"/>
        </w:rPr>
        <w:t>第四章 评标办法（综合评估法</w:t>
      </w:r>
      <w:r>
        <w:rPr>
          <w:rFonts w:hint="eastAsia"/>
          <w:color w:val="auto"/>
          <w:highlight w:val="none"/>
          <w:lang w:val="en-US" w:eastAsia="zh-CN"/>
        </w:rPr>
        <w:t>-评定分离</w:t>
      </w:r>
      <w:r>
        <w:rPr>
          <w:rFonts w:hint="eastAsia"/>
          <w:color w:val="auto"/>
          <w:highlight w:val="none"/>
        </w:rPr>
        <w:t>）</w:t>
      </w:r>
      <w:bookmarkEnd w:id="677"/>
    </w:p>
    <w:p w14:paraId="6801FCE0">
      <w:pPr>
        <w:numPr>
          <w:ilvl w:val="0"/>
          <w:numId w:val="3"/>
        </w:numPr>
        <w:spacing w:line="560" w:lineRule="exact"/>
        <w:ind w:left="0"/>
        <w:jc w:val="center"/>
        <w:rPr>
          <w:rFonts w:hint="eastAsia"/>
          <w:color w:val="auto"/>
          <w:highlight w:val="none"/>
        </w:rPr>
      </w:pPr>
      <w:r>
        <w:rPr>
          <w:rFonts w:hint="eastAsia"/>
          <w:b/>
          <w:color w:val="auto"/>
          <w:sz w:val="28"/>
          <w:szCs w:val="21"/>
          <w:highlight w:val="none"/>
        </w:rPr>
        <w:t>中标候选人的确定</w:t>
      </w:r>
    </w:p>
    <w:p w14:paraId="21A13F82">
      <w:pPr>
        <w:pStyle w:val="19"/>
        <w:spacing w:after="0" w:line="560" w:lineRule="exact"/>
        <w:ind w:left="0" w:leftChars="0"/>
        <w:rPr>
          <w:color w:val="auto"/>
          <w:highlight w:val="none"/>
        </w:rPr>
      </w:pPr>
      <w:r>
        <w:rPr>
          <w:rFonts w:hint="eastAsia"/>
          <w:color w:val="auto"/>
          <w:highlight w:val="none"/>
        </w:rPr>
        <w:t>第一阶段，评标委员会对投标人依次进行资信、技术文件审查，对均满足要求的投标人先进行除投标报价之外的评审因素打分，汇总后的得分按照从高到低进行排序（得分相同的并列，下一个排名顺延。如2个投标人并列第一，则第3个排名为第三名），选择总得分排前N名的投标人进入第二阶段评标，N取值为</w:t>
      </w:r>
      <w:r>
        <w:rPr>
          <w:rFonts w:hint="eastAsia"/>
          <w:color w:val="auto"/>
          <w:highlight w:val="none"/>
          <w:u w:val="single"/>
        </w:rPr>
        <w:t xml:space="preserve"> </w:t>
      </w:r>
      <w:r>
        <w:rPr>
          <w:rFonts w:hint="eastAsia"/>
          <w:color w:val="auto"/>
          <w:highlight w:val="none"/>
          <w:u w:val="single"/>
          <w:lang w:val="en-US" w:eastAsia="zh-CN"/>
        </w:rPr>
        <w:t>5</w:t>
      </w:r>
      <w:r>
        <w:rPr>
          <w:rFonts w:hint="eastAsia"/>
          <w:color w:val="auto"/>
          <w:highlight w:val="none"/>
        </w:rPr>
        <w:t>，与第N个得分相同的一并进入第二阶段评标。不少于3个但不足N个的，全部进入第二阶段评标；不足3个的，本项目流标。</w:t>
      </w:r>
    </w:p>
    <w:p w14:paraId="575D81C0">
      <w:pPr>
        <w:pStyle w:val="19"/>
        <w:spacing w:after="0" w:line="560" w:lineRule="exact"/>
        <w:ind w:left="0" w:leftChars="0"/>
        <w:rPr>
          <w:rFonts w:hint="eastAsia"/>
          <w:b/>
          <w:color w:val="auto"/>
          <w:sz w:val="28"/>
          <w:szCs w:val="21"/>
          <w:highlight w:val="none"/>
        </w:rPr>
      </w:pPr>
      <w:r>
        <w:rPr>
          <w:rFonts w:hint="eastAsia"/>
          <w:color w:val="auto"/>
          <w:highlight w:val="none"/>
        </w:rPr>
        <w:t>第二阶段，投标报价评审。评标委员会仅针对进入第二阶段的投标人商务标文件进行评审，评审过程中如出现无效投标，将替补至N个投标人，剩余投标人不足替补至N个的，至少替补至3个，否则本项目流标。以进入第二阶段的有效投标报价作为评标基准价计算范围。根据投标报价评审规则计算投标报价得分。确定中标候选人时，按照各项评审因素的总得分从高到低推荐</w:t>
      </w:r>
      <w:r>
        <w:rPr>
          <w:rFonts w:hint="eastAsia"/>
          <w:color w:val="auto"/>
          <w:highlight w:val="none"/>
          <w:lang w:val="en-US" w:eastAsia="zh-CN"/>
        </w:rPr>
        <w:t>3名</w:t>
      </w:r>
      <w:r>
        <w:rPr>
          <w:rFonts w:hint="eastAsia"/>
          <w:color w:val="auto"/>
          <w:highlight w:val="none"/>
        </w:rPr>
        <w:t>中标候选人</w:t>
      </w:r>
      <w:r>
        <w:rPr>
          <w:rFonts w:hint="eastAsia"/>
          <w:color w:val="auto"/>
          <w:highlight w:val="none"/>
          <w:lang w:eastAsia="zh-CN"/>
        </w:rPr>
        <w:t>（</w:t>
      </w:r>
      <w:r>
        <w:rPr>
          <w:rFonts w:hint="eastAsia"/>
          <w:color w:val="auto"/>
          <w:highlight w:val="none"/>
          <w:lang w:val="en-US" w:eastAsia="zh-CN"/>
        </w:rPr>
        <w:t>不排序）</w:t>
      </w:r>
      <w:r>
        <w:rPr>
          <w:rFonts w:hint="eastAsia"/>
          <w:color w:val="auto"/>
          <w:highlight w:val="none"/>
        </w:rPr>
        <w:t>。如总得分相等，以投标报价低的优先，投标报价仍相等，由评标委员会主任委员或招标人随机抽取确定。</w:t>
      </w:r>
    </w:p>
    <w:p w14:paraId="32227C28">
      <w:pPr>
        <w:pStyle w:val="19"/>
        <w:adjustRightInd w:val="0"/>
        <w:snapToGrid w:val="0"/>
        <w:spacing w:after="0" w:line="560" w:lineRule="exact"/>
        <w:ind w:left="0" w:leftChars="0" w:firstLine="0" w:firstLineChars="0"/>
        <w:jc w:val="center"/>
        <w:rPr>
          <w:b/>
          <w:color w:val="auto"/>
          <w:sz w:val="36"/>
          <w:highlight w:val="none"/>
        </w:rPr>
      </w:pPr>
      <w:r>
        <w:rPr>
          <w:rFonts w:hint="eastAsia"/>
          <w:b/>
          <w:color w:val="auto"/>
          <w:sz w:val="28"/>
          <w:szCs w:val="21"/>
          <w:highlight w:val="none"/>
        </w:rPr>
        <w:t>（二）资信标评审</w:t>
      </w:r>
    </w:p>
    <w:tbl>
      <w:tblPr>
        <w:tblStyle w:val="20"/>
        <w:tblW w:w="10199" w:type="dxa"/>
        <w:tblInd w:w="-9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1325"/>
        <w:gridCol w:w="852"/>
        <w:gridCol w:w="7216"/>
      </w:tblGrid>
      <w:tr w14:paraId="6C732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06" w:type="dxa"/>
            <w:noWrap w:val="0"/>
            <w:vAlign w:val="top"/>
          </w:tcPr>
          <w:p w14:paraId="1F5756CB">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325" w:type="dxa"/>
            <w:noWrap w:val="0"/>
            <w:vAlign w:val="top"/>
          </w:tcPr>
          <w:p w14:paraId="4E790D47">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评审因素</w:t>
            </w:r>
          </w:p>
        </w:tc>
        <w:tc>
          <w:tcPr>
            <w:tcW w:w="852" w:type="dxa"/>
            <w:noWrap w:val="0"/>
            <w:vAlign w:val="top"/>
          </w:tcPr>
          <w:p w14:paraId="051AA607">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分值设置</w:t>
            </w:r>
          </w:p>
        </w:tc>
        <w:tc>
          <w:tcPr>
            <w:tcW w:w="7216" w:type="dxa"/>
            <w:noWrap w:val="0"/>
            <w:vAlign w:val="top"/>
          </w:tcPr>
          <w:p w14:paraId="5AA455FB">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评审标准</w:t>
            </w:r>
          </w:p>
        </w:tc>
      </w:tr>
      <w:tr w14:paraId="26FF1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06" w:type="dxa"/>
            <w:noWrap w:val="0"/>
            <w:vAlign w:val="center"/>
          </w:tcPr>
          <w:p w14:paraId="04D61A69">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325" w:type="dxa"/>
            <w:noWrap w:val="0"/>
            <w:vAlign w:val="center"/>
          </w:tcPr>
          <w:p w14:paraId="3F38A05D">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业绩、奖项</w:t>
            </w:r>
          </w:p>
        </w:tc>
        <w:tc>
          <w:tcPr>
            <w:tcW w:w="852" w:type="dxa"/>
            <w:noWrap w:val="0"/>
            <w:vAlign w:val="center"/>
          </w:tcPr>
          <w:p w14:paraId="5C8131CC">
            <w:pPr>
              <w:adjustRightInd w:val="0"/>
              <w:snapToGrid w:val="0"/>
              <w:spacing w:line="560" w:lineRule="exact"/>
              <w:jc w:val="center"/>
              <w:rPr>
                <w:rFonts w:hint="default" w:ascii="宋体" w:hAnsi="宋体" w:cs="宋体"/>
                <w:color w:val="auto"/>
                <w:szCs w:val="21"/>
                <w:highlight w:val="none"/>
                <w:lang w:val="en-US"/>
              </w:rPr>
            </w:pPr>
            <w:r>
              <w:rPr>
                <w:rFonts w:hint="eastAsia" w:ascii="宋体" w:hAnsi="宋体" w:cs="宋体"/>
                <w:color w:val="auto"/>
                <w:szCs w:val="21"/>
                <w:highlight w:val="none"/>
                <w:lang w:val="en-US" w:eastAsia="zh-CN"/>
              </w:rPr>
              <w:t xml:space="preserve">  5 分</w:t>
            </w:r>
          </w:p>
        </w:tc>
        <w:tc>
          <w:tcPr>
            <w:tcW w:w="7216" w:type="dxa"/>
            <w:noWrap w:val="0"/>
            <w:vAlign w:val="top"/>
          </w:tcPr>
          <w:p w14:paraId="33CF61AD">
            <w:pPr>
              <w:numPr>
                <w:ilvl w:val="0"/>
                <w:numId w:val="0"/>
              </w:numPr>
              <w:spacing w:line="500" w:lineRule="exact"/>
              <w:jc w:val="left"/>
              <w:rPr>
                <w:rFonts w:hint="default" w:ascii="Times New Roman" w:hAnsi="Times New Roman" w:cs="Times New Roman"/>
                <w:b/>
                <w:bCs/>
                <w:color w:val="auto"/>
                <w:highlight w:val="none"/>
                <w:lang w:val="en-US" w:eastAsia="zh-CN"/>
              </w:rPr>
            </w:pPr>
            <w:r>
              <w:rPr>
                <w:rFonts w:hint="eastAsia" w:ascii="宋体" w:hAnsi="宋体" w:eastAsia="宋体" w:cs="宋体"/>
                <w:color w:val="auto"/>
                <w:highlight w:val="none"/>
                <w:u w:val="none"/>
                <w:lang w:val="en-US" w:eastAsia="zh-CN"/>
              </w:rPr>
              <w:t>一、项目经理业绩（2.5分）</w:t>
            </w:r>
            <w:r>
              <w:rPr>
                <w:rFonts w:hint="eastAsia" w:ascii="Times New Roman" w:hAnsi="Times New Roman" w:cs="Times New Roman"/>
                <w:b/>
                <w:bCs/>
                <w:color w:val="auto"/>
                <w:highlight w:val="none"/>
                <w:lang w:val="en-US" w:eastAsia="zh-CN"/>
              </w:rPr>
              <w:t>（注：若为联合体投标，项目经理A岗或项目经理B岗提供的业绩均予以认可。）</w:t>
            </w:r>
          </w:p>
          <w:p w14:paraId="0D151437">
            <w:pPr>
              <w:numPr>
                <w:ilvl w:val="0"/>
                <w:numId w:val="0"/>
              </w:numPr>
              <w:spacing w:line="500" w:lineRule="exact"/>
              <w:jc w:val="left"/>
              <w:rPr>
                <w:rFonts w:hint="eastAsia"/>
                <w:color w:val="auto"/>
                <w:highlight w:val="none"/>
                <w:lang w:val="en-US" w:eastAsia="zh-CN"/>
              </w:rPr>
            </w:pPr>
            <w:r>
              <w:rPr>
                <w:rFonts w:hint="eastAsia" w:ascii="宋体" w:hAnsi="宋体" w:eastAsia="宋体" w:cs="宋体"/>
                <w:color w:val="auto"/>
                <w:highlight w:val="none"/>
                <w:u w:val="none"/>
                <w:lang w:val="en-US" w:eastAsia="zh-CN"/>
              </w:rPr>
              <w:t>自202</w:t>
            </w:r>
            <w:r>
              <w:rPr>
                <w:rFonts w:hint="eastAsia" w:ascii="宋体" w:hAnsi="宋体" w:cs="宋体"/>
                <w:color w:val="auto"/>
                <w:highlight w:val="none"/>
                <w:u w:val="none"/>
                <w:lang w:val="en-US" w:eastAsia="zh-CN"/>
              </w:rPr>
              <w:t>1</w:t>
            </w:r>
            <w:r>
              <w:rPr>
                <w:rFonts w:hint="eastAsia" w:ascii="宋体" w:hAnsi="宋体" w:eastAsia="宋体" w:cs="宋体"/>
                <w:color w:val="auto"/>
                <w:highlight w:val="none"/>
                <w:u w:val="none"/>
                <w:lang w:val="en-US" w:eastAsia="zh-CN"/>
              </w:rPr>
              <w:t>年1月1日至投标截止时间</w:t>
            </w:r>
            <w:r>
              <w:rPr>
                <w:rFonts w:hint="eastAsia"/>
                <w:color w:val="auto"/>
                <w:highlight w:val="none"/>
                <w:lang w:val="en-US" w:eastAsia="zh-CN"/>
              </w:rPr>
              <w:t>，投标人拟派项目经理具有工业建筑施工业绩（其该业绩内容中须至少包含建筑面积不低于17万平方及以上的工业厂房施工）的得2.5分。</w:t>
            </w:r>
          </w:p>
          <w:p w14:paraId="25D3D37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auto"/>
                <w:highlight w:val="none"/>
                <w:u w:val="none"/>
                <w:lang w:val="en-US" w:eastAsia="zh-CN"/>
              </w:rPr>
            </w:pPr>
            <w:r>
              <w:rPr>
                <w:rFonts w:hint="eastAsia" w:ascii="宋体" w:hAnsi="宋体" w:eastAsia="宋体" w:cs="宋体"/>
                <w:color w:val="auto"/>
                <w:highlight w:val="none"/>
                <w:u w:val="none"/>
                <w:lang w:val="en-US" w:eastAsia="zh-CN"/>
              </w:rPr>
              <w:t>注:1.具体面积以合同内容为准；</w:t>
            </w:r>
          </w:p>
          <w:p w14:paraId="07442BA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auto"/>
                <w:highlight w:val="none"/>
                <w:u w:val="none"/>
                <w:lang w:val="en-US" w:eastAsia="zh-CN"/>
              </w:rPr>
            </w:pPr>
            <w:r>
              <w:rPr>
                <w:rFonts w:hint="eastAsia" w:ascii="宋体" w:hAnsi="宋体" w:eastAsia="宋体" w:cs="宋体"/>
                <w:color w:val="auto"/>
                <w:highlight w:val="none"/>
                <w:u w:val="none"/>
                <w:lang w:val="en-US" w:eastAsia="zh-CN"/>
              </w:rPr>
              <w:t>2.业绩有效时间以竣工验收报告或竣工验收证书或竣工验收证明书中的竣工验收通过日期为准。</w:t>
            </w:r>
          </w:p>
          <w:p w14:paraId="27ECB9CB">
            <w:pPr>
              <w:pStyle w:val="9"/>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2"/>
                <w:sz w:val="21"/>
                <w:szCs w:val="24"/>
                <w:highlight w:val="none"/>
                <w:u w:val="none"/>
                <w:lang w:val="en-US" w:eastAsia="zh-CN" w:bidi="ar-SA"/>
              </w:rPr>
            </w:pPr>
            <w:r>
              <w:rPr>
                <w:rFonts w:hint="eastAsia" w:ascii="宋体" w:hAnsi="宋体" w:eastAsia="宋体" w:cs="宋体"/>
                <w:color w:val="auto"/>
                <w:highlight w:val="none"/>
                <w:u w:val="none"/>
                <w:lang w:val="en-US" w:eastAsia="zh-CN"/>
              </w:rPr>
              <w:t>3.项目经理发生变更的，须提供经建</w:t>
            </w:r>
            <w:r>
              <w:rPr>
                <w:rFonts w:hint="eastAsia" w:ascii="宋体" w:hAnsi="宋体" w:eastAsia="宋体" w:cs="宋体"/>
                <w:color w:val="auto"/>
                <w:kern w:val="2"/>
                <w:sz w:val="21"/>
                <w:szCs w:val="24"/>
                <w:highlight w:val="none"/>
                <w:u w:val="none"/>
                <w:lang w:val="en-US" w:eastAsia="zh-CN" w:bidi="ar-SA"/>
              </w:rPr>
              <w:t>设行政主管部门或招投标行政主管部门备案的项目经理变更证明材料（或同时提供网上变更申请截图、网站公示截图及查询链接）扫描件。</w:t>
            </w:r>
          </w:p>
          <w:p w14:paraId="2858DD3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auto"/>
                <w:highlight w:val="none"/>
                <w:u w:val="none"/>
                <w:lang w:val="en-US" w:eastAsia="zh-CN"/>
              </w:rPr>
            </w:pPr>
            <w:r>
              <w:rPr>
                <w:rFonts w:hint="eastAsia" w:ascii="宋体" w:hAnsi="宋体" w:eastAsia="宋体" w:cs="宋体"/>
                <w:color w:val="auto"/>
                <w:highlight w:val="none"/>
                <w:u w:val="none"/>
                <w:lang w:val="en-US" w:eastAsia="zh-CN"/>
              </w:rPr>
              <w:t>4.项目经理必须是以项目经理身份参与的业绩，以其他管理人员身份参与的无效。</w:t>
            </w:r>
          </w:p>
          <w:p w14:paraId="4964B403">
            <w:pPr>
              <w:adjustRightInd w:val="0"/>
              <w:snapToGrid w:val="0"/>
              <w:spacing w:line="500" w:lineRule="exact"/>
              <w:jc w:val="left"/>
              <w:rPr>
                <w:rFonts w:hint="default" w:ascii="宋体" w:hAnsi="宋体" w:eastAsia="宋体" w:cs="宋体"/>
                <w:b/>
                <w:bCs/>
                <w:color w:val="auto"/>
                <w:highlight w:val="none"/>
                <w:lang w:val="en-US" w:eastAsia="zh-CN"/>
              </w:rPr>
            </w:pPr>
            <w:r>
              <w:rPr>
                <w:rFonts w:hint="eastAsia" w:ascii="宋体" w:hAnsi="宋体" w:cs="宋体"/>
                <w:b w:val="0"/>
                <w:bCs w:val="0"/>
                <w:color w:val="auto"/>
                <w:highlight w:val="none"/>
                <w:lang w:val="en-US" w:eastAsia="zh-CN"/>
              </w:rPr>
              <w:t>5.</w:t>
            </w:r>
            <w:r>
              <w:rPr>
                <w:rFonts w:hint="eastAsia" w:ascii="宋体" w:hAnsi="宋体" w:eastAsia="宋体" w:cs="宋体"/>
                <w:color w:val="auto"/>
                <w:sz w:val="21"/>
                <w:szCs w:val="21"/>
                <w:highlight w:val="none"/>
                <w:u w:val="none"/>
                <w:lang w:val="en-US" w:eastAsia="zh-CN"/>
              </w:rPr>
              <w:t>若为联合体形式承接的，则该业绩的主体结构须由投标人承担施工建设，同时联合体协议须体现上述内容。若体现不出投标人承担主体结构建设施工内容的，须由该业绩的建设单位出具证明材料，证明其主体结构由投标人承担建设</w:t>
            </w:r>
            <w:r>
              <w:rPr>
                <w:rFonts w:hint="eastAsia" w:ascii="宋体" w:hAnsi="宋体" w:cs="宋体"/>
                <w:color w:val="auto"/>
                <w:highlight w:val="none"/>
                <w:u w:val="none"/>
                <w:lang w:val="en-US" w:eastAsia="zh-CN"/>
              </w:rPr>
              <w:t>。</w:t>
            </w:r>
          </w:p>
          <w:p w14:paraId="4A420C60">
            <w:pPr>
              <w:adjustRightInd w:val="0"/>
              <w:snapToGrid w:val="0"/>
              <w:spacing w:line="500" w:lineRule="exact"/>
              <w:jc w:val="left"/>
              <w:rPr>
                <w:rFonts w:hint="eastAsia" w:ascii="宋体" w:hAnsi="宋体" w:eastAsia="宋体" w:cs="宋体"/>
                <w:b/>
                <w:bCs/>
                <w:color w:val="auto"/>
                <w:highlight w:val="none"/>
                <w:u w:val="none"/>
                <w:lang w:val="en-US" w:eastAsia="zh-CN"/>
              </w:rPr>
            </w:pPr>
            <w:r>
              <w:rPr>
                <w:rFonts w:hint="eastAsia" w:ascii="宋体" w:hAnsi="宋体" w:cs="宋体"/>
                <w:b/>
                <w:bCs/>
                <w:color w:val="auto"/>
                <w:highlight w:val="none"/>
              </w:rPr>
              <w:t>投标文件中须同时提供下列材料扫描件：①中标通知书</w:t>
            </w:r>
            <w:r>
              <w:rPr>
                <w:rFonts w:hint="eastAsia" w:ascii="宋体" w:hAnsi="宋体" w:cs="宋体"/>
                <w:b/>
                <w:bCs/>
                <w:color w:val="auto"/>
                <w:highlight w:val="none"/>
                <w:lang w:val="en-US" w:eastAsia="zh-CN"/>
              </w:rPr>
              <w:t>（须加盖招投标管理部门印章或公共资源交易中心见证章，无盖章的须提供公共资源交易平台官网发布的中标公示网页截图及网址链接)</w:t>
            </w:r>
            <w:r>
              <w:rPr>
                <w:rFonts w:hint="eastAsia" w:ascii="宋体" w:hAnsi="宋体" w:cs="宋体"/>
                <w:b/>
                <w:bCs/>
                <w:color w:val="auto"/>
                <w:highlight w:val="none"/>
              </w:rPr>
              <w:t>；②合同；③竣工验收报告或竣工验收证书或竣工验收证明书；④该业绩在全国建筑市场监管公共服务平台或全国公共资源交易平台(包括各省市平台，如全国公共资源交易平台（安徽省滁州市）可查)截图及网</w:t>
            </w:r>
            <w:r>
              <w:rPr>
                <w:rFonts w:hint="eastAsia" w:ascii="宋体" w:hAnsi="宋体" w:cs="宋体"/>
                <w:b/>
                <w:bCs/>
                <w:color w:val="auto"/>
                <w:highlight w:val="none"/>
                <w:u w:val="none"/>
              </w:rPr>
              <w:t>址</w:t>
            </w:r>
            <w:r>
              <w:rPr>
                <w:rFonts w:hint="eastAsia" w:ascii="宋体" w:hAnsi="宋体" w:cs="宋体"/>
                <w:b/>
                <w:bCs/>
                <w:color w:val="auto"/>
                <w:highlight w:val="none"/>
                <w:u w:val="none"/>
                <w:lang w:eastAsia="zh-CN"/>
              </w:rPr>
              <w:t>；</w:t>
            </w:r>
            <w:r>
              <w:rPr>
                <w:rFonts w:hint="eastAsia" w:ascii="宋体" w:hAnsi="宋体" w:cs="宋体"/>
                <w:b/>
                <w:bCs/>
                <w:color w:val="auto"/>
                <w:highlight w:val="none"/>
                <w:u w:val="none"/>
              </w:rPr>
              <w:t>⑤</w:t>
            </w:r>
            <w:r>
              <w:rPr>
                <w:rFonts w:hint="eastAsia" w:ascii="宋体" w:hAnsi="宋体" w:cs="宋体"/>
                <w:b/>
                <w:bCs/>
                <w:color w:val="auto"/>
                <w:highlight w:val="none"/>
                <w:u w:val="none"/>
                <w:lang w:val="en-US" w:eastAsia="zh-CN"/>
              </w:rPr>
              <w:t>联合体协议（第</w:t>
            </w:r>
            <w:r>
              <w:rPr>
                <w:rFonts w:hint="eastAsia" w:ascii="宋体" w:hAnsi="宋体" w:cs="宋体"/>
                <w:b/>
                <w:bCs/>
                <w:color w:val="auto"/>
                <w:highlight w:val="none"/>
                <w:u w:val="none"/>
              </w:rPr>
              <w:t>⑤</w:t>
            </w:r>
            <w:r>
              <w:rPr>
                <w:rFonts w:hint="eastAsia" w:ascii="宋体" w:hAnsi="宋体" w:cs="宋体"/>
                <w:b/>
                <w:bCs/>
                <w:color w:val="auto"/>
                <w:highlight w:val="none"/>
                <w:u w:val="none"/>
                <w:lang w:val="en-US" w:eastAsia="zh-CN"/>
              </w:rPr>
              <w:t>项材料仅针对联合体形式承接的业绩）。</w:t>
            </w:r>
          </w:p>
          <w:p w14:paraId="62EE3390">
            <w:pPr>
              <w:numPr>
                <w:ilvl w:val="0"/>
                <w:numId w:val="0"/>
              </w:numPr>
              <w:spacing w:line="500" w:lineRule="exact"/>
              <w:jc w:val="left"/>
              <w:rPr>
                <w:rFonts w:hint="eastAsia"/>
                <w:color w:val="auto"/>
                <w:highlight w:val="none"/>
                <w:lang w:val="en-US" w:eastAsia="zh-CN"/>
              </w:rPr>
            </w:pPr>
            <w:r>
              <w:rPr>
                <w:rFonts w:hint="eastAsia" w:ascii="宋体" w:hAnsi="宋体" w:cs="宋体"/>
                <w:b/>
                <w:bCs/>
                <w:color w:val="auto"/>
                <w:highlight w:val="none"/>
                <w:u w:val="none"/>
              </w:rPr>
              <w:t>上述①</w:t>
            </w:r>
            <w:r>
              <w:rPr>
                <w:rFonts w:hint="eastAsia" w:ascii="宋体" w:hAnsi="宋体" w:cs="宋体"/>
                <w:b/>
                <w:bCs/>
                <w:color w:val="auto"/>
                <w:highlight w:val="none"/>
                <w:u w:val="none"/>
                <w:lang w:val="en-US" w:eastAsia="zh-CN"/>
              </w:rPr>
              <w:t>至</w:t>
            </w:r>
            <w:r>
              <w:rPr>
                <w:rFonts w:hint="eastAsia" w:ascii="宋体" w:hAnsi="宋体" w:cs="宋体"/>
                <w:b/>
                <w:bCs/>
                <w:color w:val="auto"/>
                <w:highlight w:val="none"/>
              </w:rPr>
              <w:t>④</w:t>
            </w:r>
            <w:r>
              <w:rPr>
                <w:rFonts w:hint="eastAsia" w:ascii="宋体" w:hAnsi="宋体" w:cs="宋体"/>
                <w:b/>
                <w:bCs/>
                <w:color w:val="auto"/>
                <w:highlight w:val="none"/>
                <w:u w:val="none"/>
                <w:lang w:val="en-US" w:eastAsia="zh-CN"/>
              </w:rPr>
              <w:t>项</w:t>
            </w:r>
            <w:r>
              <w:rPr>
                <w:rFonts w:hint="eastAsia" w:ascii="宋体" w:hAnsi="宋体" w:cs="宋体"/>
                <w:b/>
                <w:bCs/>
                <w:color w:val="auto"/>
                <w:highlight w:val="none"/>
                <w:u w:val="none"/>
              </w:rPr>
              <w:t>材料缺一不可</w:t>
            </w:r>
            <w:r>
              <w:rPr>
                <w:rFonts w:hint="eastAsia" w:ascii="宋体" w:hAnsi="宋体" w:cs="宋体"/>
                <w:b/>
                <w:bCs/>
                <w:color w:val="auto"/>
                <w:highlight w:val="none"/>
                <w:u w:val="none"/>
                <w:lang w:eastAsia="zh-CN"/>
              </w:rPr>
              <w:t>（</w:t>
            </w:r>
            <w:r>
              <w:rPr>
                <w:rFonts w:hint="eastAsia" w:ascii="宋体" w:hAnsi="宋体" w:cs="宋体"/>
                <w:b/>
                <w:bCs/>
                <w:color w:val="auto"/>
                <w:highlight w:val="none"/>
                <w:u w:val="none"/>
                <w:lang w:val="en-US" w:eastAsia="zh-CN"/>
              </w:rPr>
              <w:t>若为联合体形式承接业绩的，上述</w:t>
            </w:r>
            <w:r>
              <w:rPr>
                <w:rFonts w:hint="eastAsia" w:ascii="宋体" w:hAnsi="宋体" w:cs="宋体"/>
                <w:b/>
                <w:bCs/>
                <w:color w:val="auto"/>
                <w:highlight w:val="none"/>
                <w:u w:val="none"/>
              </w:rPr>
              <w:t>①</w:t>
            </w:r>
            <w:r>
              <w:rPr>
                <w:rFonts w:hint="eastAsia" w:ascii="宋体" w:hAnsi="宋体" w:cs="宋体"/>
                <w:b/>
                <w:bCs/>
                <w:color w:val="auto"/>
                <w:highlight w:val="none"/>
                <w:u w:val="none"/>
                <w:lang w:val="en-US" w:eastAsia="zh-CN"/>
              </w:rPr>
              <w:t>至</w:t>
            </w:r>
            <w:r>
              <w:rPr>
                <w:rFonts w:hint="eastAsia" w:ascii="宋体" w:hAnsi="宋体" w:cs="宋体"/>
                <w:b/>
                <w:bCs/>
                <w:color w:val="auto"/>
                <w:highlight w:val="none"/>
                <w:u w:val="none"/>
              </w:rPr>
              <w:t>⑤</w:t>
            </w:r>
            <w:r>
              <w:rPr>
                <w:rFonts w:hint="eastAsia" w:ascii="宋体" w:hAnsi="宋体" w:cs="宋体"/>
                <w:b/>
                <w:bCs/>
                <w:color w:val="auto"/>
                <w:highlight w:val="none"/>
                <w:u w:val="none"/>
                <w:lang w:val="en-US" w:eastAsia="zh-CN"/>
              </w:rPr>
              <w:t>项材料缺一不可）</w:t>
            </w:r>
            <w:r>
              <w:rPr>
                <w:rFonts w:hint="eastAsia" w:ascii="宋体" w:hAnsi="宋体" w:cs="宋体"/>
                <w:b/>
                <w:bCs/>
                <w:color w:val="auto"/>
                <w:highlight w:val="none"/>
              </w:rPr>
              <w:t>，如</w:t>
            </w:r>
            <w:r>
              <w:rPr>
                <w:rFonts w:hint="eastAsia" w:ascii="宋体" w:hAnsi="宋体" w:cs="宋体"/>
                <w:b/>
                <w:bCs/>
                <w:color w:val="auto"/>
                <w:highlight w:val="none"/>
                <w:lang w:val="en-US" w:eastAsia="zh-CN"/>
              </w:rPr>
              <w:t>上述材料未</w:t>
            </w:r>
            <w:r>
              <w:rPr>
                <w:rFonts w:hint="eastAsia" w:ascii="宋体" w:hAnsi="宋体" w:cs="宋体"/>
                <w:b/>
                <w:bCs/>
                <w:color w:val="auto"/>
                <w:highlight w:val="none"/>
              </w:rPr>
              <w:t>能够充分有效证明该工程业绩的规模、工程类型</w:t>
            </w:r>
            <w:r>
              <w:rPr>
                <w:rFonts w:hint="eastAsia" w:ascii="宋体" w:hAnsi="宋体" w:cs="宋体"/>
                <w:b/>
                <w:bCs/>
                <w:color w:val="auto"/>
                <w:highlight w:val="none"/>
                <w:lang w:eastAsia="zh-CN"/>
              </w:rPr>
              <w:t>、</w:t>
            </w:r>
            <w:r>
              <w:rPr>
                <w:rFonts w:hint="eastAsia" w:ascii="宋体" w:hAnsi="宋体" w:cs="宋体"/>
                <w:b/>
                <w:bCs/>
                <w:color w:val="auto"/>
                <w:highlight w:val="none"/>
                <w:lang w:val="en-US" w:eastAsia="zh-CN"/>
              </w:rPr>
              <w:t>项目经理姓名</w:t>
            </w:r>
            <w:r>
              <w:rPr>
                <w:rFonts w:hint="eastAsia" w:ascii="宋体" w:hAnsi="宋体" w:cs="宋体"/>
                <w:b/>
                <w:bCs/>
                <w:color w:val="auto"/>
                <w:highlight w:val="none"/>
              </w:rPr>
              <w:t>等</w:t>
            </w:r>
            <w:r>
              <w:rPr>
                <w:rFonts w:hint="eastAsia" w:ascii="宋体" w:hAnsi="宋体" w:cs="宋体"/>
                <w:b/>
                <w:bCs/>
                <w:color w:val="auto"/>
                <w:highlight w:val="none"/>
                <w:lang w:val="en-US" w:eastAsia="zh-CN"/>
              </w:rPr>
              <w:t>评审因素</w:t>
            </w:r>
            <w:r>
              <w:rPr>
                <w:rFonts w:hint="eastAsia" w:ascii="宋体" w:hAnsi="宋体" w:cs="宋体"/>
                <w:b/>
                <w:bCs/>
                <w:color w:val="auto"/>
                <w:highlight w:val="none"/>
              </w:rPr>
              <w:t>，则另须提供建设单位出具的加盖建设单位公章的证明材料</w:t>
            </w:r>
            <w:r>
              <w:rPr>
                <w:rFonts w:hint="eastAsia" w:ascii="宋体" w:hAnsi="宋体" w:eastAsia="宋体" w:cs="宋体"/>
                <w:b/>
                <w:bCs/>
                <w:color w:val="auto"/>
                <w:highlight w:val="none"/>
                <w:u w:val="none"/>
                <w:lang w:val="en-US" w:eastAsia="zh-CN"/>
              </w:rPr>
              <w:t>。</w:t>
            </w:r>
          </w:p>
          <w:p w14:paraId="56B91A0D">
            <w:pPr>
              <w:numPr>
                <w:ilvl w:val="0"/>
                <w:numId w:val="0"/>
              </w:numPr>
              <w:spacing w:line="500" w:lineRule="exact"/>
              <w:jc w:val="left"/>
              <w:rPr>
                <w:rFonts w:hint="eastAsia"/>
                <w:color w:val="auto"/>
                <w:highlight w:val="none"/>
                <w:lang w:val="en-US" w:eastAsia="zh-CN"/>
              </w:rPr>
            </w:pPr>
            <w:r>
              <w:rPr>
                <w:rFonts w:hint="eastAsia"/>
                <w:color w:val="auto"/>
                <w:highlight w:val="none"/>
                <w:lang w:val="en-US" w:eastAsia="zh-CN"/>
              </w:rPr>
              <w:t>二、企业荣誉（2.5分）</w:t>
            </w:r>
          </w:p>
          <w:p w14:paraId="6601F9FF">
            <w:pPr>
              <w:spacing w:line="500" w:lineRule="exact"/>
              <w:jc w:val="left"/>
              <w:rPr>
                <w:rFonts w:hint="default" w:ascii="宋体" w:hAnsi="宋体" w:eastAsia="宋体" w:cs="宋体"/>
                <w:color w:val="auto"/>
                <w:highlight w:val="none"/>
                <w:u w:val="none"/>
                <w:lang w:val="en-US" w:eastAsia="zh-CN"/>
              </w:rPr>
            </w:pPr>
            <w:r>
              <w:rPr>
                <w:rFonts w:hint="eastAsia" w:ascii="宋体" w:hAnsi="宋体" w:eastAsia="宋体" w:cs="宋体"/>
                <w:color w:val="auto"/>
                <w:highlight w:val="none"/>
                <w:u w:val="none"/>
                <w:lang w:val="en-US" w:eastAsia="zh-CN"/>
              </w:rPr>
              <w:t>自202</w:t>
            </w:r>
            <w:r>
              <w:rPr>
                <w:rFonts w:hint="eastAsia" w:ascii="宋体" w:hAnsi="宋体" w:cs="宋体"/>
                <w:color w:val="auto"/>
                <w:highlight w:val="none"/>
                <w:u w:val="none"/>
                <w:lang w:val="en-US" w:eastAsia="zh-CN"/>
              </w:rPr>
              <w:t>1</w:t>
            </w:r>
            <w:r>
              <w:rPr>
                <w:rFonts w:hint="eastAsia" w:ascii="宋体" w:hAnsi="宋体" w:eastAsia="宋体" w:cs="宋体"/>
                <w:color w:val="auto"/>
                <w:highlight w:val="none"/>
                <w:u w:val="none"/>
                <w:lang w:val="en-US" w:eastAsia="zh-CN"/>
              </w:rPr>
              <w:t>年1月1日至投标截止时间，投标人承建的</w:t>
            </w:r>
            <w:r>
              <w:rPr>
                <w:rFonts w:hint="eastAsia" w:ascii="宋体" w:hAnsi="宋体" w:cs="宋体"/>
                <w:color w:val="auto"/>
                <w:highlight w:val="none"/>
                <w:u w:val="none"/>
                <w:lang w:val="en-US" w:eastAsia="zh-CN"/>
              </w:rPr>
              <w:t>工业厂房</w:t>
            </w:r>
            <w:r>
              <w:rPr>
                <w:rFonts w:hint="eastAsia" w:ascii="宋体" w:hAnsi="宋体" w:eastAsia="宋体" w:cs="宋体"/>
                <w:color w:val="auto"/>
                <w:highlight w:val="none"/>
                <w:u w:val="none"/>
                <w:lang w:val="en-US" w:eastAsia="zh-CN"/>
              </w:rPr>
              <w:t>工程获得省</w:t>
            </w:r>
            <w:r>
              <w:rPr>
                <w:rFonts w:hint="eastAsia" w:ascii="宋体" w:hAnsi="宋体" w:cs="宋体"/>
                <w:color w:val="auto"/>
                <w:highlight w:val="none"/>
                <w:u w:val="none"/>
                <w:lang w:val="en-US" w:eastAsia="zh-CN"/>
              </w:rPr>
              <w:t>级（或以上）</w:t>
            </w:r>
            <w:r>
              <w:rPr>
                <w:rFonts w:hint="eastAsia" w:ascii="宋体" w:hAnsi="宋体" w:eastAsia="宋体" w:cs="宋体"/>
                <w:color w:val="auto"/>
                <w:highlight w:val="none"/>
                <w:u w:val="none"/>
                <w:lang w:val="en-US" w:eastAsia="zh-CN"/>
              </w:rPr>
              <w:t>优质工程奖的得</w:t>
            </w:r>
            <w:r>
              <w:rPr>
                <w:rFonts w:hint="eastAsia" w:ascii="宋体" w:hAnsi="宋体" w:cs="宋体"/>
                <w:color w:val="auto"/>
                <w:highlight w:val="none"/>
                <w:u w:val="none"/>
                <w:lang w:val="en-US" w:eastAsia="zh-CN"/>
              </w:rPr>
              <w:t>2.5</w:t>
            </w:r>
            <w:r>
              <w:rPr>
                <w:rFonts w:hint="eastAsia" w:ascii="宋体" w:hAnsi="宋体" w:eastAsia="宋体" w:cs="宋体"/>
                <w:color w:val="auto"/>
                <w:highlight w:val="none"/>
                <w:u w:val="none"/>
                <w:lang w:val="en-US" w:eastAsia="zh-CN"/>
              </w:rPr>
              <w:t>分</w:t>
            </w:r>
            <w:r>
              <w:rPr>
                <w:rFonts w:hint="eastAsia" w:ascii="宋体" w:hAnsi="宋体" w:cs="宋体"/>
                <w:color w:val="auto"/>
                <w:highlight w:val="none"/>
                <w:u w:val="none"/>
                <w:lang w:val="en-US" w:eastAsia="zh-CN"/>
              </w:rPr>
              <w:t>；市级（地级市）优质工程奖的得2分。满分2.5分。</w:t>
            </w:r>
          </w:p>
          <w:p w14:paraId="0A015941">
            <w:pPr>
              <w:spacing w:line="500" w:lineRule="exact"/>
              <w:jc w:val="left"/>
              <w:rPr>
                <w:rFonts w:ascii="宋体" w:hAnsi="宋体" w:cs="宋体"/>
                <w:color w:val="auto"/>
                <w:szCs w:val="21"/>
                <w:highlight w:val="none"/>
              </w:rPr>
            </w:pPr>
            <w:r>
              <w:rPr>
                <w:rFonts w:hint="eastAsia" w:ascii="宋体" w:hAnsi="宋体" w:cs="宋体"/>
                <w:color w:val="auto"/>
                <w:szCs w:val="21"/>
                <w:highlight w:val="none"/>
              </w:rPr>
              <w:t>注：</w:t>
            </w:r>
          </w:p>
          <w:p w14:paraId="7D661177">
            <w:pPr>
              <w:spacing w:line="500" w:lineRule="exact"/>
              <w:jc w:val="left"/>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有效时间以证书或获奖批文日期为准。</w:t>
            </w:r>
          </w:p>
          <w:p w14:paraId="79F2B129">
            <w:pPr>
              <w:spacing w:line="500" w:lineRule="exact"/>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2）若为联合体投标，</w:t>
            </w:r>
            <w:r>
              <w:rPr>
                <w:rFonts w:hint="eastAsia"/>
                <w:color w:val="auto"/>
                <w:highlight w:val="none"/>
                <w:lang w:val="en-US" w:eastAsia="zh-CN"/>
              </w:rPr>
              <w:t>任意一方提供的奖项均予以认可</w:t>
            </w:r>
            <w:r>
              <w:rPr>
                <w:rFonts w:hint="eastAsia" w:ascii="宋体" w:hAnsi="宋体" w:cs="宋体"/>
                <w:color w:val="auto"/>
                <w:szCs w:val="21"/>
                <w:highlight w:val="none"/>
                <w:lang w:val="en-US" w:eastAsia="zh-CN"/>
              </w:rPr>
              <w:t>。</w:t>
            </w:r>
          </w:p>
          <w:p w14:paraId="3E38EFE0">
            <w:pPr>
              <w:spacing w:line="500" w:lineRule="exact"/>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w:t>
            </w:r>
            <w:r>
              <w:rPr>
                <w:rFonts w:hint="eastAsia" w:ascii="宋体" w:hAnsi="宋体" w:eastAsia="宋体" w:cs="宋体"/>
                <w:color w:val="auto"/>
                <w:sz w:val="21"/>
                <w:szCs w:val="21"/>
                <w:highlight w:val="none"/>
                <w:u w:val="none"/>
                <w:lang w:val="en-US" w:eastAsia="zh-CN"/>
              </w:rPr>
              <w:t>若获奖业绩为联合体形式承接的，则该业绩的主体结构须由投标人承担施工建设，同时联合体协议须体现上述内容。若体现不出投标人承担主体结构建设施工内容的，须由该业绩的建设单位出具证明材料，证明其主体结构由投标人承担建设</w:t>
            </w:r>
            <w:r>
              <w:rPr>
                <w:rFonts w:hint="eastAsia" w:ascii="宋体" w:hAnsi="宋体" w:cs="宋体"/>
                <w:color w:val="auto"/>
                <w:highlight w:val="none"/>
                <w:u w:val="none"/>
                <w:lang w:val="en-US" w:eastAsia="zh-CN"/>
              </w:rPr>
              <w:t>。</w:t>
            </w:r>
          </w:p>
          <w:p w14:paraId="6D513E9D">
            <w:pPr>
              <w:spacing w:line="500" w:lineRule="exact"/>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本次评标办法</w:t>
            </w:r>
            <w:r>
              <w:rPr>
                <w:rFonts w:hint="eastAsia" w:ascii="宋体" w:hAnsi="宋体" w:cs="宋体"/>
                <w:color w:val="auto"/>
                <w:szCs w:val="21"/>
                <w:highlight w:val="none"/>
                <w:lang w:val="en-US" w:eastAsia="zh-CN"/>
              </w:rPr>
              <w:t>中奖项要求如下</w:t>
            </w:r>
            <w:r>
              <w:rPr>
                <w:rFonts w:hint="eastAsia" w:ascii="宋体" w:hAnsi="宋体" w:cs="宋体"/>
                <w:color w:val="auto"/>
                <w:szCs w:val="21"/>
                <w:highlight w:val="none"/>
                <w:lang w:eastAsia="zh-CN"/>
              </w:rPr>
              <w:t>：</w:t>
            </w:r>
          </w:p>
          <w:p w14:paraId="4E0B3DF6">
            <w:pPr>
              <w:spacing w:line="5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A、</w:t>
            </w:r>
            <w:r>
              <w:rPr>
                <w:rFonts w:hint="eastAsia" w:ascii="宋体" w:hAnsi="宋体" w:cs="宋体"/>
                <w:color w:val="auto"/>
                <w:szCs w:val="21"/>
                <w:highlight w:val="none"/>
              </w:rPr>
              <w:t>中</w:t>
            </w:r>
            <w:r>
              <w:rPr>
                <w:rFonts w:hint="eastAsia" w:ascii="宋体" w:hAnsi="宋体" w:cs="宋体"/>
                <w:color w:val="auto"/>
                <w:szCs w:val="21"/>
                <w:highlight w:val="none"/>
                <w:lang w:val="en-US" w:eastAsia="zh-CN"/>
              </w:rPr>
              <w:t>国家级优质工程奖指中国建设工程鲁班奖（国家优质工程）或国家优质工程奖或中国土木工程詹天佑奖或中国建筑工程钢结构金奖。</w:t>
            </w:r>
          </w:p>
          <w:p w14:paraId="2723E9AE">
            <w:pPr>
              <w:spacing w:line="500" w:lineRule="exact"/>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B、</w:t>
            </w:r>
            <w:r>
              <w:rPr>
                <w:rFonts w:hint="eastAsia" w:ascii="宋体" w:hAnsi="宋体" w:cs="宋体"/>
                <w:color w:val="auto"/>
                <w:szCs w:val="21"/>
                <w:highlight w:val="none"/>
              </w:rPr>
              <w:t>省级优质工程奖指各省、直辖市、自治区所评的建设工程省级奖项，如安徽省黄山杯、北京市长城杯、上海市白玉兰杯、天津市海河杯、重庆市巴渝杯、浙江省钱江杯、江苏省扬子杯、山东省泰山杯、广东省金匠奖、山西省汾水杯、陕西省长安杯、湖北省楚天杯、湖南省芙蓉杯、福建省闽江杯、河南省中州杯、江西省杜鹃花杯、四川省天府杯、海南省绿岛杯、贵州省黄果树杯、黑龙江省龙江杯、青海省江河源杯、西藏雪莲杯、内蒙古草原杯、新疆天山杯、宁夏西夏杯、云南省优质工程、广西优质工程奖（或真武阁杯）、吉林省长白山杯、辽宁</w:t>
            </w:r>
            <w:r>
              <w:rPr>
                <w:rFonts w:hint="eastAsia" w:ascii="宋体" w:hAnsi="宋体" w:eastAsia="宋体" w:cs="宋体"/>
                <w:color w:val="auto"/>
                <w:szCs w:val="21"/>
                <w:highlight w:val="none"/>
                <w:lang w:val="en-US" w:eastAsia="zh-CN"/>
              </w:rPr>
              <w:t>省世纪杯、甘肃省飞天奖。如奖项名称变化以官方宣布为准。</w:t>
            </w:r>
          </w:p>
          <w:p w14:paraId="399812C5">
            <w:pPr>
              <w:spacing w:line="500" w:lineRule="exact"/>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C、</w:t>
            </w:r>
            <w:r>
              <w:rPr>
                <w:rFonts w:hint="eastAsia" w:ascii="宋体" w:hAnsi="宋体" w:eastAsia="宋体" w:cs="宋体"/>
                <w:color w:val="auto"/>
                <w:szCs w:val="21"/>
                <w:highlight w:val="none"/>
                <w:lang w:val="en-US" w:eastAsia="zh-CN"/>
              </w:rPr>
              <w:t>市级（地级市）优质工程奖项指市级所评的建设工程市级奖项，如滁州市琅琊杯</w:t>
            </w:r>
            <w:r>
              <w:rPr>
                <w:rFonts w:hint="eastAsia" w:ascii="宋体" w:hAnsi="宋体" w:cs="宋体"/>
                <w:color w:val="auto"/>
                <w:szCs w:val="21"/>
                <w:highlight w:val="none"/>
                <w:lang w:val="en-US" w:eastAsia="zh-CN"/>
              </w:rPr>
              <w:t>。</w:t>
            </w:r>
          </w:p>
          <w:p w14:paraId="3D80E2B6">
            <w:pPr>
              <w:adjustRightInd w:val="0"/>
              <w:snapToGrid w:val="0"/>
              <w:spacing w:line="560" w:lineRule="exact"/>
              <w:rPr>
                <w:rFonts w:hint="eastAsia" w:ascii="宋体" w:hAnsi="宋体" w:cs="宋体"/>
                <w:color w:val="auto"/>
                <w:szCs w:val="21"/>
                <w:highlight w:val="none"/>
              </w:rPr>
            </w:pPr>
            <w:r>
              <w:rPr>
                <w:rFonts w:hint="eastAsia" w:ascii="宋体" w:hAnsi="宋体" w:cs="宋体"/>
                <w:b/>
                <w:bCs/>
                <w:color w:val="auto"/>
                <w:szCs w:val="21"/>
                <w:highlight w:val="none"/>
              </w:rPr>
              <w:t>【投标文件中须同时提供下列材料扫描件：①获奖证书或获奖的相关文件，②合同，两项材料缺一不可。</w:t>
            </w:r>
            <w:r>
              <w:rPr>
                <w:rFonts w:hint="eastAsia" w:ascii="宋体" w:hAnsi="宋体" w:cs="宋体"/>
                <w:b/>
                <w:bCs/>
                <w:color w:val="auto"/>
                <w:szCs w:val="21"/>
                <w:highlight w:val="none"/>
                <w:lang w:val="en-US" w:eastAsia="zh-CN"/>
              </w:rPr>
              <w:t>若获奖工程为联合体形式承接的，除①获奖证书或获奖的相关文件和②合同外，另须提供联合体协议，否则不予认可。上述材料体现不出评审所需内容的，须提供建设单位出具的证明材料</w:t>
            </w:r>
            <w:r>
              <w:rPr>
                <w:rFonts w:hint="eastAsia" w:ascii="宋体" w:hAnsi="宋体" w:cs="宋体"/>
                <w:b/>
                <w:bCs/>
                <w:color w:val="auto"/>
                <w:szCs w:val="21"/>
                <w:highlight w:val="none"/>
              </w:rPr>
              <w:t>】</w:t>
            </w:r>
            <w:r>
              <w:rPr>
                <w:rFonts w:hint="eastAsia" w:ascii="宋体" w:hAnsi="宋体" w:cs="宋体"/>
                <w:b/>
                <w:bCs/>
                <w:color w:val="auto"/>
                <w:szCs w:val="21"/>
                <w:highlight w:val="none"/>
                <w:lang w:val="en-US" w:eastAsia="zh-CN"/>
              </w:rPr>
              <w:t xml:space="preserve"> </w:t>
            </w:r>
            <w:r>
              <w:rPr>
                <w:rFonts w:hint="eastAsia"/>
                <w:color w:val="auto"/>
                <w:highlight w:val="none"/>
              </w:rPr>
              <w:t xml:space="preserve"> </w:t>
            </w:r>
          </w:p>
        </w:tc>
      </w:tr>
      <w:tr w14:paraId="1CA68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06" w:type="dxa"/>
            <w:noWrap w:val="0"/>
            <w:vAlign w:val="center"/>
          </w:tcPr>
          <w:p w14:paraId="5A69F6FF">
            <w:pPr>
              <w:adjustRightInd w:val="0"/>
              <w:snapToGrid w:val="0"/>
              <w:spacing w:line="560" w:lineRule="exact"/>
              <w:jc w:val="center"/>
              <w:rPr>
                <w:rFonts w:hint="eastAsia" w:ascii="宋体" w:hAnsi="宋体" w:cs="宋体"/>
                <w:color w:val="auto"/>
                <w:szCs w:val="21"/>
                <w:highlight w:val="none"/>
              </w:rPr>
            </w:pPr>
            <w:r>
              <w:rPr>
                <w:rFonts w:hint="eastAsia" w:ascii="宋体" w:hAnsi="宋体"/>
                <w:color w:val="auto"/>
                <w:szCs w:val="21"/>
                <w:highlight w:val="none"/>
              </w:rPr>
              <w:t>2</w:t>
            </w:r>
          </w:p>
        </w:tc>
        <w:tc>
          <w:tcPr>
            <w:tcW w:w="1325" w:type="dxa"/>
            <w:noWrap w:val="0"/>
            <w:vAlign w:val="center"/>
          </w:tcPr>
          <w:p w14:paraId="28C1F1F5">
            <w:pPr>
              <w:adjustRightInd w:val="0"/>
              <w:snapToGrid w:val="0"/>
              <w:spacing w:line="560" w:lineRule="exact"/>
              <w:jc w:val="center"/>
              <w:rPr>
                <w:rFonts w:hint="eastAsia" w:ascii="宋体" w:hAnsi="宋体" w:cs="宋体"/>
                <w:color w:val="auto"/>
                <w:szCs w:val="21"/>
                <w:highlight w:val="none"/>
              </w:rPr>
            </w:pPr>
            <w:r>
              <w:rPr>
                <w:rFonts w:hint="eastAsia" w:ascii="宋体" w:hAnsi="宋体"/>
                <w:color w:val="auto"/>
                <w:szCs w:val="21"/>
                <w:highlight w:val="none"/>
              </w:rPr>
              <w:t>联合体协议</w:t>
            </w:r>
          </w:p>
        </w:tc>
        <w:tc>
          <w:tcPr>
            <w:tcW w:w="852" w:type="dxa"/>
            <w:noWrap w:val="0"/>
            <w:vAlign w:val="center"/>
          </w:tcPr>
          <w:p w14:paraId="70209A62">
            <w:pPr>
              <w:adjustRightInd w:val="0"/>
              <w:snapToGrid w:val="0"/>
              <w:spacing w:line="56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分</w:t>
            </w:r>
          </w:p>
        </w:tc>
        <w:tc>
          <w:tcPr>
            <w:tcW w:w="7216" w:type="dxa"/>
            <w:noWrap w:val="0"/>
            <w:vAlign w:val="center"/>
          </w:tcPr>
          <w:p w14:paraId="76611E03">
            <w:pPr>
              <w:adjustRightInd w:val="0"/>
              <w:snapToGrid w:val="0"/>
              <w:spacing w:line="560" w:lineRule="exact"/>
              <w:rPr>
                <w:rFonts w:hint="eastAsia" w:ascii="宋体" w:hAnsi="宋体" w:cs="宋体"/>
                <w:color w:val="auto"/>
                <w:szCs w:val="21"/>
                <w:highlight w:val="none"/>
              </w:rPr>
            </w:pPr>
            <w:r>
              <w:rPr>
                <w:rFonts w:hint="eastAsia" w:eastAsia="宋体"/>
                <w:color w:val="auto"/>
                <w:highlight w:val="none"/>
                <w:lang w:val="en-US" w:eastAsia="zh-CN"/>
              </w:rPr>
              <w:t>联合体投标的，提供的联合体协议明确各方权责分工等内容的得2分；提供联合体协议但内容不明确的得1分</w:t>
            </w:r>
          </w:p>
        </w:tc>
      </w:tr>
      <w:tr w14:paraId="59F6E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06" w:type="dxa"/>
            <w:noWrap w:val="0"/>
            <w:vAlign w:val="center"/>
          </w:tcPr>
          <w:p w14:paraId="615F3D23">
            <w:pPr>
              <w:adjustRightInd w:val="0"/>
              <w:snapToGrid w:val="0"/>
              <w:spacing w:line="560" w:lineRule="exact"/>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3</w:t>
            </w:r>
          </w:p>
        </w:tc>
        <w:tc>
          <w:tcPr>
            <w:tcW w:w="1325" w:type="dxa"/>
            <w:shd w:val="clear" w:color="auto" w:fill="auto"/>
            <w:noWrap w:val="0"/>
            <w:vAlign w:val="center"/>
          </w:tcPr>
          <w:p w14:paraId="21B668AF">
            <w:pPr>
              <w:adjustRightInd w:val="0"/>
              <w:snapToGrid w:val="0"/>
              <w:spacing w:line="560" w:lineRule="exact"/>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信用分</w:t>
            </w:r>
          </w:p>
        </w:tc>
        <w:tc>
          <w:tcPr>
            <w:tcW w:w="852" w:type="dxa"/>
            <w:shd w:val="clear" w:color="auto" w:fill="auto"/>
            <w:noWrap w:val="0"/>
            <w:vAlign w:val="center"/>
          </w:tcPr>
          <w:p w14:paraId="4CF4A25E">
            <w:pPr>
              <w:adjustRightInd w:val="0"/>
              <w:snapToGrid w:val="0"/>
              <w:spacing w:line="56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10分</w:t>
            </w:r>
          </w:p>
        </w:tc>
        <w:tc>
          <w:tcPr>
            <w:tcW w:w="7216" w:type="dxa"/>
            <w:shd w:val="clear" w:color="auto" w:fill="auto"/>
            <w:noWrap w:val="0"/>
            <w:vAlign w:val="center"/>
          </w:tcPr>
          <w:p w14:paraId="0E62328A">
            <w:pPr>
              <w:adjustRightInd w:val="0"/>
              <w:snapToGrid w:val="0"/>
              <w:spacing w:line="52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信用分评分划为3档</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投标人企业信用分达到60分及以上的得满分10分</w:t>
            </w:r>
            <w:r>
              <w:rPr>
                <w:rFonts w:hint="eastAsia" w:ascii="宋体" w:hAnsi="宋体" w:eastAsia="宋体" w:cs="宋体"/>
                <w:color w:val="auto"/>
                <w:szCs w:val="21"/>
                <w:highlight w:val="none"/>
                <w:lang w:eastAsia="zh-CN"/>
              </w:rPr>
              <w:t>，每降低5分，扣0.5分。</w:t>
            </w:r>
          </w:p>
          <w:p w14:paraId="69567FC8">
            <w:pPr>
              <w:adjustRightInd w:val="0"/>
              <w:snapToGrid w:val="0"/>
              <w:spacing w:line="52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举例说明如下：</w:t>
            </w:r>
            <w:r>
              <w:rPr>
                <w:rFonts w:hint="eastAsia" w:ascii="宋体" w:hAnsi="宋体" w:eastAsia="宋体" w:cs="宋体"/>
                <w:color w:val="auto"/>
                <w:szCs w:val="21"/>
                <w:highlight w:val="none"/>
                <w:lang w:val="en-US" w:eastAsia="zh-CN"/>
              </w:rPr>
              <w:t>1档：</w:t>
            </w:r>
            <w:r>
              <w:rPr>
                <w:rFonts w:hint="eastAsia" w:ascii="宋体" w:hAnsi="宋体" w:eastAsia="宋体" w:cs="宋体"/>
                <w:color w:val="auto"/>
                <w:szCs w:val="21"/>
                <w:highlight w:val="none"/>
                <w:lang w:eastAsia="zh-CN"/>
              </w:rPr>
              <w:t>投标企业信用分≥60分的，得</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lang w:eastAsia="zh-CN"/>
              </w:rPr>
              <w:t>分；</w:t>
            </w:r>
          </w:p>
          <w:p w14:paraId="3B862667">
            <w:pPr>
              <w:adjustRightInd w:val="0"/>
              <w:snapToGrid w:val="0"/>
              <w:spacing w:line="52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2档：</w:t>
            </w:r>
            <w:r>
              <w:rPr>
                <w:rFonts w:hint="eastAsia" w:ascii="宋体" w:hAnsi="宋体" w:eastAsia="宋体" w:cs="宋体"/>
                <w:color w:val="auto"/>
                <w:szCs w:val="21"/>
                <w:highlight w:val="none"/>
                <w:lang w:eastAsia="zh-CN"/>
              </w:rPr>
              <w:t>60分&gt;投标企业信用分≥55分，得</w:t>
            </w:r>
            <w:r>
              <w:rPr>
                <w:rFonts w:hint="eastAsia" w:ascii="宋体" w:hAnsi="宋体" w:eastAsia="宋体" w:cs="宋体"/>
                <w:color w:val="auto"/>
                <w:szCs w:val="21"/>
                <w:highlight w:val="none"/>
                <w:lang w:val="en-US" w:eastAsia="zh-CN"/>
              </w:rPr>
              <w:t>9.5</w:t>
            </w:r>
            <w:r>
              <w:rPr>
                <w:rFonts w:hint="eastAsia" w:ascii="宋体" w:hAnsi="宋体" w:eastAsia="宋体" w:cs="宋体"/>
                <w:color w:val="auto"/>
                <w:szCs w:val="21"/>
                <w:highlight w:val="none"/>
                <w:lang w:eastAsia="zh-CN"/>
              </w:rPr>
              <w:t>分；</w:t>
            </w:r>
          </w:p>
          <w:p w14:paraId="20266C83">
            <w:pPr>
              <w:adjustRightInd w:val="0"/>
              <w:snapToGrid w:val="0"/>
              <w:spacing w:line="52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3档：</w:t>
            </w:r>
            <w:r>
              <w:rPr>
                <w:rFonts w:hint="eastAsia" w:ascii="宋体" w:hAnsi="宋体" w:eastAsia="宋体" w:cs="宋体"/>
                <w:color w:val="auto"/>
                <w:szCs w:val="21"/>
                <w:highlight w:val="none"/>
                <w:lang w:eastAsia="zh-CN"/>
              </w:rPr>
              <w:t>投标企业信用分＜55分的，得</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lang w:eastAsia="zh-CN"/>
              </w:rPr>
              <w:t>分。</w:t>
            </w:r>
          </w:p>
          <w:p w14:paraId="6B3611F2">
            <w:pPr>
              <w:adjustRightInd w:val="0"/>
              <w:snapToGrid w:val="0"/>
              <w:spacing w:line="52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备注：1.以投标截止时间后开标现场查询的结果为准，如查不到该企业信用分，本项按最低档得分。投标企业的滁州市建筑业企业试点信用评价结果，以投标截止时间后在开评标现场通过滁州市住建局“建筑市场信用管理系统”（https://zfcxjsj.chuzhou.gov.cn/ent/entryType?id=1&amp;type=1）查询的结果为准。</w:t>
            </w:r>
          </w:p>
          <w:p w14:paraId="69145BE7">
            <w:pPr>
              <w:adjustRightInd w:val="0"/>
              <w:snapToGrid w:val="0"/>
              <w:spacing w:line="52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投标人没有信用分的，本项按最低档得分。</w:t>
            </w:r>
          </w:p>
          <w:p w14:paraId="7753DE53">
            <w:pPr>
              <w:adjustRightInd w:val="0"/>
              <w:snapToGrid w:val="0"/>
              <w:spacing w:line="52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eastAsia="zh-CN"/>
              </w:rPr>
              <w:t>接受联合体投标的，投标人信用分以联合体成员中的最高分计算。</w:t>
            </w:r>
          </w:p>
        </w:tc>
      </w:tr>
    </w:tbl>
    <w:p w14:paraId="5E9FB30B">
      <w:pPr>
        <w:pStyle w:val="19"/>
        <w:adjustRightInd w:val="0"/>
        <w:snapToGrid w:val="0"/>
        <w:spacing w:after="0" w:line="560" w:lineRule="exact"/>
        <w:ind w:left="0" w:leftChars="0" w:firstLine="0" w:firstLineChars="0"/>
        <w:jc w:val="center"/>
        <w:rPr>
          <w:rFonts w:hint="eastAsia"/>
          <w:b/>
          <w:color w:val="auto"/>
          <w:sz w:val="28"/>
          <w:szCs w:val="21"/>
          <w:highlight w:val="none"/>
        </w:rPr>
      </w:pPr>
      <w:r>
        <w:rPr>
          <w:rFonts w:hint="eastAsia"/>
          <w:b/>
          <w:color w:val="auto"/>
          <w:sz w:val="28"/>
          <w:szCs w:val="21"/>
          <w:highlight w:val="none"/>
        </w:rPr>
        <w:t>（三）技术标评审</w:t>
      </w:r>
    </w:p>
    <w:tbl>
      <w:tblPr>
        <w:tblStyle w:val="20"/>
        <w:tblW w:w="99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45"/>
        <w:gridCol w:w="1276"/>
        <w:gridCol w:w="859"/>
        <w:gridCol w:w="1260"/>
        <w:gridCol w:w="1236"/>
        <w:gridCol w:w="4452"/>
      </w:tblGrid>
      <w:tr w14:paraId="65B39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2184" w:type="dxa"/>
            <w:gridSpan w:val="3"/>
            <w:noWrap w:val="0"/>
            <w:vAlign w:val="center"/>
          </w:tcPr>
          <w:p w14:paraId="7009836F">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条款号</w:t>
            </w:r>
          </w:p>
        </w:tc>
        <w:tc>
          <w:tcPr>
            <w:tcW w:w="3355" w:type="dxa"/>
            <w:gridSpan w:val="3"/>
            <w:noWrap w:val="0"/>
            <w:vAlign w:val="center"/>
          </w:tcPr>
          <w:p w14:paraId="2A4FE45D">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评审因素</w:t>
            </w:r>
          </w:p>
        </w:tc>
        <w:tc>
          <w:tcPr>
            <w:tcW w:w="4452" w:type="dxa"/>
            <w:noWrap w:val="0"/>
            <w:vAlign w:val="center"/>
          </w:tcPr>
          <w:p w14:paraId="3E3D0044">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评审标准</w:t>
            </w:r>
          </w:p>
        </w:tc>
      </w:tr>
      <w:tr w14:paraId="63869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8" w:type="dxa"/>
            <w:gridSpan w:val="2"/>
            <w:noWrap w:val="0"/>
            <w:vAlign w:val="center"/>
          </w:tcPr>
          <w:p w14:paraId="4E33ABFF">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4.1.1</w:t>
            </w:r>
          </w:p>
        </w:tc>
        <w:tc>
          <w:tcPr>
            <w:tcW w:w="1276" w:type="dxa"/>
            <w:noWrap w:val="0"/>
            <w:vAlign w:val="center"/>
          </w:tcPr>
          <w:p w14:paraId="19A4946F">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形式评审标准</w:t>
            </w:r>
          </w:p>
        </w:tc>
        <w:tc>
          <w:tcPr>
            <w:tcW w:w="3355" w:type="dxa"/>
            <w:gridSpan w:val="3"/>
            <w:noWrap w:val="0"/>
            <w:vAlign w:val="center"/>
          </w:tcPr>
          <w:p w14:paraId="54C674DB">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投标文件格式</w:t>
            </w:r>
          </w:p>
        </w:tc>
        <w:tc>
          <w:tcPr>
            <w:tcW w:w="4452" w:type="dxa"/>
            <w:noWrap w:val="0"/>
            <w:vAlign w:val="center"/>
          </w:tcPr>
          <w:p w14:paraId="51E2D356">
            <w:pPr>
              <w:adjustRightInd w:val="0"/>
              <w:snapToGrid w:val="0"/>
              <w:spacing w:line="560" w:lineRule="exact"/>
              <w:rPr>
                <w:rFonts w:hint="eastAsia" w:ascii="宋体" w:hAnsi="宋体" w:cs="宋体"/>
                <w:color w:val="auto"/>
                <w:szCs w:val="21"/>
                <w:highlight w:val="none"/>
              </w:rPr>
            </w:pPr>
            <w:r>
              <w:rPr>
                <w:rFonts w:hint="eastAsia" w:ascii="宋体" w:hAnsi="宋体" w:cs="宋体"/>
                <w:color w:val="auto"/>
                <w:szCs w:val="21"/>
                <w:highlight w:val="none"/>
              </w:rPr>
              <w:t>符合第九章“投标文件格式”的要求，</w:t>
            </w:r>
          </w:p>
          <w:p w14:paraId="4B4D880E">
            <w:pPr>
              <w:adjustRightInd w:val="0"/>
              <w:snapToGrid w:val="0"/>
              <w:spacing w:line="560" w:lineRule="exact"/>
              <w:rPr>
                <w:rFonts w:hint="eastAsia" w:ascii="宋体" w:hAnsi="宋体" w:cs="宋体"/>
                <w:b/>
                <w:color w:val="auto"/>
                <w:spacing w:val="-6"/>
                <w:szCs w:val="21"/>
                <w:highlight w:val="none"/>
              </w:rPr>
            </w:pPr>
            <w:r>
              <w:rPr>
                <w:rFonts w:hint="eastAsia" w:ascii="宋体" w:hAnsi="宋体" w:cs="宋体"/>
                <w:color w:val="auto"/>
                <w:szCs w:val="21"/>
                <w:highlight w:val="none"/>
              </w:rPr>
              <w:t>否则经评委会一致认定后,按照无效投标处理。</w:t>
            </w:r>
          </w:p>
        </w:tc>
      </w:tr>
      <w:tr w14:paraId="276AA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8" w:type="dxa"/>
            <w:gridSpan w:val="2"/>
            <w:vMerge w:val="restart"/>
            <w:noWrap w:val="0"/>
            <w:vAlign w:val="center"/>
          </w:tcPr>
          <w:p w14:paraId="04507945">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4.1.2</w:t>
            </w:r>
          </w:p>
        </w:tc>
        <w:tc>
          <w:tcPr>
            <w:tcW w:w="1276" w:type="dxa"/>
            <w:vMerge w:val="restart"/>
            <w:noWrap w:val="0"/>
            <w:vAlign w:val="center"/>
          </w:tcPr>
          <w:p w14:paraId="6F3D1DE8">
            <w:pPr>
              <w:adjustRightInd w:val="0"/>
              <w:snapToGrid w:val="0"/>
              <w:spacing w:line="560" w:lineRule="exact"/>
              <w:jc w:val="center"/>
              <w:rPr>
                <w:rFonts w:ascii="宋体" w:hAnsi="宋体" w:cs="宋体"/>
                <w:color w:val="auto"/>
                <w:szCs w:val="21"/>
                <w:highlight w:val="none"/>
              </w:rPr>
            </w:pPr>
            <w:r>
              <w:rPr>
                <w:rFonts w:hint="eastAsia" w:ascii="宋体" w:hAnsi="宋体" w:cs="宋体"/>
                <w:color w:val="auto"/>
                <w:szCs w:val="21"/>
                <w:highlight w:val="none"/>
              </w:rPr>
              <w:t>响应性评审标准（初步评审）</w:t>
            </w:r>
          </w:p>
        </w:tc>
        <w:tc>
          <w:tcPr>
            <w:tcW w:w="3355" w:type="dxa"/>
            <w:gridSpan w:val="3"/>
            <w:noWrap w:val="0"/>
            <w:vAlign w:val="center"/>
          </w:tcPr>
          <w:p w14:paraId="3074B015">
            <w:pPr>
              <w:adjustRightInd w:val="0"/>
              <w:snapToGrid w:val="0"/>
              <w:spacing w:line="560" w:lineRule="exact"/>
              <w:jc w:val="center"/>
              <w:textAlignment w:val="baseline"/>
              <w:rPr>
                <w:color w:val="auto"/>
                <w:szCs w:val="21"/>
                <w:highlight w:val="none"/>
              </w:rPr>
            </w:pPr>
            <w:r>
              <w:rPr>
                <w:color w:val="auto"/>
                <w:szCs w:val="21"/>
                <w:highlight w:val="none"/>
              </w:rPr>
              <w:t>投标内容</w:t>
            </w:r>
          </w:p>
        </w:tc>
        <w:tc>
          <w:tcPr>
            <w:tcW w:w="4452" w:type="dxa"/>
            <w:noWrap w:val="0"/>
            <w:vAlign w:val="center"/>
          </w:tcPr>
          <w:p w14:paraId="17D06CD6">
            <w:pPr>
              <w:adjustRightInd w:val="0"/>
              <w:snapToGrid w:val="0"/>
              <w:spacing w:line="560" w:lineRule="exact"/>
              <w:rPr>
                <w:rFonts w:hint="eastAsia" w:ascii="宋体" w:hAnsi="宋体" w:cs="宋体"/>
                <w:color w:val="auto"/>
                <w:szCs w:val="21"/>
                <w:highlight w:val="none"/>
              </w:rPr>
            </w:pPr>
            <w:r>
              <w:rPr>
                <w:rFonts w:hint="eastAsia" w:ascii="宋体" w:hAnsi="宋体" w:cs="宋体"/>
                <w:color w:val="auto"/>
                <w:szCs w:val="21"/>
                <w:highlight w:val="none"/>
              </w:rPr>
              <w:t>符合第二章“投标人须知”规定。</w:t>
            </w:r>
          </w:p>
        </w:tc>
      </w:tr>
      <w:tr w14:paraId="0A680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8" w:type="dxa"/>
            <w:gridSpan w:val="2"/>
            <w:vMerge w:val="continue"/>
            <w:noWrap w:val="0"/>
            <w:vAlign w:val="top"/>
          </w:tcPr>
          <w:p w14:paraId="5F8A48C5">
            <w:pPr>
              <w:adjustRightInd w:val="0"/>
              <w:snapToGrid w:val="0"/>
              <w:spacing w:line="560" w:lineRule="exact"/>
              <w:jc w:val="center"/>
              <w:rPr>
                <w:rFonts w:hint="eastAsia" w:ascii="宋体" w:hAnsi="宋体" w:cs="宋体"/>
                <w:color w:val="auto"/>
                <w:szCs w:val="21"/>
                <w:highlight w:val="none"/>
              </w:rPr>
            </w:pPr>
          </w:p>
        </w:tc>
        <w:tc>
          <w:tcPr>
            <w:tcW w:w="1276" w:type="dxa"/>
            <w:vMerge w:val="continue"/>
            <w:noWrap w:val="0"/>
            <w:vAlign w:val="top"/>
          </w:tcPr>
          <w:p w14:paraId="0987ED2E">
            <w:pPr>
              <w:adjustRightInd w:val="0"/>
              <w:snapToGrid w:val="0"/>
              <w:spacing w:line="560" w:lineRule="exact"/>
              <w:jc w:val="center"/>
              <w:rPr>
                <w:rFonts w:hint="eastAsia" w:ascii="宋体" w:hAnsi="宋体" w:cs="宋体"/>
                <w:color w:val="auto"/>
                <w:szCs w:val="21"/>
                <w:highlight w:val="none"/>
              </w:rPr>
            </w:pPr>
          </w:p>
        </w:tc>
        <w:tc>
          <w:tcPr>
            <w:tcW w:w="3355" w:type="dxa"/>
            <w:gridSpan w:val="3"/>
            <w:noWrap w:val="0"/>
            <w:vAlign w:val="center"/>
          </w:tcPr>
          <w:p w14:paraId="4499805E">
            <w:pPr>
              <w:adjustRightInd w:val="0"/>
              <w:snapToGrid w:val="0"/>
              <w:spacing w:line="560" w:lineRule="exact"/>
              <w:jc w:val="center"/>
              <w:textAlignment w:val="baseline"/>
              <w:rPr>
                <w:color w:val="auto"/>
                <w:szCs w:val="21"/>
                <w:highlight w:val="none"/>
              </w:rPr>
            </w:pPr>
            <w:r>
              <w:rPr>
                <w:color w:val="auto"/>
                <w:szCs w:val="21"/>
                <w:highlight w:val="none"/>
              </w:rPr>
              <w:t>权利义务</w:t>
            </w:r>
          </w:p>
        </w:tc>
        <w:tc>
          <w:tcPr>
            <w:tcW w:w="4452" w:type="dxa"/>
            <w:noWrap w:val="0"/>
            <w:vAlign w:val="center"/>
          </w:tcPr>
          <w:p w14:paraId="45167820">
            <w:pPr>
              <w:adjustRightInd w:val="0"/>
              <w:snapToGrid w:val="0"/>
              <w:spacing w:line="560" w:lineRule="exact"/>
              <w:rPr>
                <w:rFonts w:hint="eastAsia" w:ascii="宋体" w:hAnsi="宋体" w:cs="宋体"/>
                <w:color w:val="auto"/>
                <w:szCs w:val="21"/>
                <w:highlight w:val="none"/>
              </w:rPr>
            </w:pPr>
            <w:r>
              <w:rPr>
                <w:rFonts w:hint="eastAsia" w:ascii="宋体" w:hAnsi="宋体" w:cs="宋体"/>
                <w:color w:val="auto"/>
                <w:szCs w:val="21"/>
                <w:highlight w:val="none"/>
              </w:rPr>
              <w:t>符合第五章“合同条款及格式”规定。</w:t>
            </w:r>
          </w:p>
        </w:tc>
      </w:tr>
      <w:tr w14:paraId="4239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08" w:type="dxa"/>
            <w:gridSpan w:val="2"/>
            <w:vMerge w:val="continue"/>
            <w:noWrap w:val="0"/>
            <w:vAlign w:val="top"/>
          </w:tcPr>
          <w:p w14:paraId="32A10F28">
            <w:pPr>
              <w:adjustRightInd w:val="0"/>
              <w:snapToGrid w:val="0"/>
              <w:spacing w:line="560" w:lineRule="exact"/>
              <w:jc w:val="center"/>
              <w:rPr>
                <w:rFonts w:hint="eastAsia" w:ascii="宋体" w:hAnsi="宋体" w:cs="宋体"/>
                <w:color w:val="auto"/>
                <w:szCs w:val="21"/>
                <w:highlight w:val="none"/>
              </w:rPr>
            </w:pPr>
          </w:p>
        </w:tc>
        <w:tc>
          <w:tcPr>
            <w:tcW w:w="1276" w:type="dxa"/>
            <w:vMerge w:val="continue"/>
            <w:noWrap w:val="0"/>
            <w:vAlign w:val="top"/>
          </w:tcPr>
          <w:p w14:paraId="2817BFD6">
            <w:pPr>
              <w:adjustRightInd w:val="0"/>
              <w:snapToGrid w:val="0"/>
              <w:spacing w:line="560" w:lineRule="exact"/>
              <w:jc w:val="center"/>
              <w:rPr>
                <w:rFonts w:hint="eastAsia" w:ascii="宋体" w:hAnsi="宋体" w:cs="宋体"/>
                <w:color w:val="auto"/>
                <w:szCs w:val="21"/>
                <w:highlight w:val="none"/>
              </w:rPr>
            </w:pPr>
          </w:p>
        </w:tc>
        <w:tc>
          <w:tcPr>
            <w:tcW w:w="3355" w:type="dxa"/>
            <w:gridSpan w:val="3"/>
            <w:noWrap w:val="0"/>
            <w:vAlign w:val="center"/>
          </w:tcPr>
          <w:p w14:paraId="5ACC9661">
            <w:pPr>
              <w:adjustRightInd w:val="0"/>
              <w:snapToGrid w:val="0"/>
              <w:spacing w:line="560" w:lineRule="exact"/>
              <w:jc w:val="center"/>
              <w:textAlignment w:val="baseline"/>
              <w:rPr>
                <w:color w:val="auto"/>
                <w:szCs w:val="21"/>
                <w:highlight w:val="none"/>
              </w:rPr>
            </w:pPr>
            <w:r>
              <w:rPr>
                <w:rFonts w:hint="eastAsia"/>
                <w:color w:val="auto"/>
                <w:szCs w:val="21"/>
                <w:highlight w:val="none"/>
              </w:rPr>
              <w:t>技术标准和要求</w:t>
            </w:r>
          </w:p>
        </w:tc>
        <w:tc>
          <w:tcPr>
            <w:tcW w:w="4452" w:type="dxa"/>
            <w:noWrap w:val="0"/>
            <w:vAlign w:val="center"/>
          </w:tcPr>
          <w:p w14:paraId="65FD47F7">
            <w:pPr>
              <w:adjustRightInd w:val="0"/>
              <w:snapToGrid w:val="0"/>
              <w:spacing w:line="560" w:lineRule="exact"/>
              <w:rPr>
                <w:rFonts w:hint="eastAsia" w:ascii="宋体" w:hAnsi="宋体" w:cs="宋体"/>
                <w:color w:val="auto"/>
                <w:szCs w:val="21"/>
                <w:highlight w:val="none"/>
              </w:rPr>
            </w:pPr>
            <w:r>
              <w:rPr>
                <w:rFonts w:hint="eastAsia" w:ascii="宋体" w:hAnsi="宋体" w:cs="宋体"/>
                <w:color w:val="auto"/>
                <w:szCs w:val="21"/>
                <w:highlight w:val="none"/>
              </w:rPr>
              <w:t>符合第八章“技术标准和要求”规定。</w:t>
            </w:r>
          </w:p>
        </w:tc>
      </w:tr>
      <w:tr w14:paraId="7359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9991" w:type="dxa"/>
            <w:gridSpan w:val="7"/>
            <w:noWrap w:val="0"/>
            <w:vAlign w:val="top"/>
          </w:tcPr>
          <w:p w14:paraId="03CA6C47">
            <w:pPr>
              <w:adjustRightInd w:val="0"/>
              <w:snapToGrid w:val="0"/>
              <w:spacing w:line="560" w:lineRule="exact"/>
              <w:jc w:val="center"/>
              <w:rPr>
                <w:rFonts w:ascii="宋体" w:hAnsi="宋体" w:cs="宋体"/>
                <w:color w:val="auto"/>
                <w:szCs w:val="21"/>
                <w:highlight w:val="none"/>
              </w:rPr>
            </w:pPr>
            <w:r>
              <w:rPr>
                <w:rFonts w:hint="eastAsia" w:ascii="宋体" w:hAnsi="宋体" w:cs="宋体"/>
                <w:color w:val="auto"/>
                <w:szCs w:val="21"/>
                <w:highlight w:val="none"/>
              </w:rPr>
              <w:t>技术标评分细则</w:t>
            </w:r>
          </w:p>
        </w:tc>
      </w:tr>
      <w:tr w14:paraId="372E2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63" w:type="dxa"/>
            <w:noWrap w:val="0"/>
            <w:vAlign w:val="top"/>
          </w:tcPr>
          <w:p w14:paraId="59D16CB4">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2280" w:type="dxa"/>
            <w:gridSpan w:val="3"/>
            <w:noWrap w:val="0"/>
            <w:vAlign w:val="top"/>
          </w:tcPr>
          <w:p w14:paraId="2480357A">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评审因素</w:t>
            </w:r>
          </w:p>
        </w:tc>
        <w:tc>
          <w:tcPr>
            <w:tcW w:w="1260" w:type="dxa"/>
            <w:noWrap w:val="0"/>
            <w:vAlign w:val="top"/>
          </w:tcPr>
          <w:p w14:paraId="61BB9A45">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分值设置</w:t>
            </w:r>
          </w:p>
        </w:tc>
        <w:tc>
          <w:tcPr>
            <w:tcW w:w="5688" w:type="dxa"/>
            <w:gridSpan w:val="2"/>
            <w:noWrap w:val="0"/>
            <w:vAlign w:val="top"/>
          </w:tcPr>
          <w:p w14:paraId="6C5164F9">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评审标准</w:t>
            </w:r>
          </w:p>
        </w:tc>
      </w:tr>
      <w:tr w14:paraId="61A10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63" w:type="dxa"/>
            <w:noWrap w:val="0"/>
            <w:vAlign w:val="center"/>
          </w:tcPr>
          <w:p w14:paraId="55B0C7CA">
            <w:pPr>
              <w:adjustRightInd w:val="0"/>
              <w:snapToGrid w:val="0"/>
              <w:spacing w:line="560" w:lineRule="exact"/>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2280" w:type="dxa"/>
            <w:gridSpan w:val="3"/>
            <w:noWrap w:val="0"/>
            <w:vAlign w:val="center"/>
          </w:tcPr>
          <w:p w14:paraId="07A89D9C">
            <w:pPr>
              <w:adjustRightInd w:val="0"/>
              <w:snapToGrid w:val="0"/>
              <w:spacing w:line="560" w:lineRule="exact"/>
              <w:jc w:val="center"/>
              <w:rPr>
                <w:rFonts w:ascii="宋体" w:hAnsi="宋体" w:cs="宋体"/>
                <w:color w:val="auto"/>
                <w:szCs w:val="21"/>
                <w:highlight w:val="none"/>
              </w:rPr>
            </w:pPr>
            <w:r>
              <w:rPr>
                <w:rFonts w:hint="eastAsia" w:ascii="宋体" w:hAnsi="宋体" w:cs="宋体"/>
                <w:color w:val="auto"/>
                <w:szCs w:val="21"/>
                <w:highlight w:val="none"/>
              </w:rPr>
              <w:t>施工组织设计</w:t>
            </w:r>
          </w:p>
        </w:tc>
        <w:tc>
          <w:tcPr>
            <w:tcW w:w="1260" w:type="dxa"/>
            <w:noWrap w:val="0"/>
            <w:vAlign w:val="center"/>
          </w:tcPr>
          <w:p w14:paraId="5296BCCB">
            <w:pPr>
              <w:adjustRightInd w:val="0"/>
              <w:snapToGrid w:val="0"/>
              <w:spacing w:line="560" w:lineRule="exact"/>
              <w:jc w:val="center"/>
              <w:rPr>
                <w:rFonts w:ascii="宋体" w:hAnsi="宋体" w:cs="宋体"/>
                <w:color w:val="auto"/>
                <w:szCs w:val="21"/>
                <w:highlight w:val="none"/>
              </w:rPr>
            </w:pPr>
            <w:r>
              <w:rPr>
                <w:rFonts w:hint="eastAsia" w:ascii="宋体" w:hAnsi="宋体" w:cs="宋体"/>
                <w:color w:val="auto"/>
                <w:szCs w:val="21"/>
                <w:highlight w:val="none"/>
              </w:rPr>
              <w:t>10分</w:t>
            </w:r>
          </w:p>
        </w:tc>
        <w:tc>
          <w:tcPr>
            <w:tcW w:w="5688" w:type="dxa"/>
            <w:gridSpan w:val="2"/>
            <w:noWrap w:val="0"/>
            <w:vAlign w:val="top"/>
          </w:tcPr>
          <w:p w14:paraId="16C489D1">
            <w:pPr>
              <w:adjustRightInd w:val="0"/>
              <w:snapToGrid w:val="0"/>
              <w:spacing w:line="560" w:lineRule="exact"/>
              <w:jc w:val="left"/>
              <w:rPr>
                <w:rFonts w:hint="eastAsia" w:ascii="宋体" w:hAnsi="宋体" w:cs="宋体"/>
                <w:color w:val="auto"/>
                <w:szCs w:val="21"/>
                <w:highlight w:val="none"/>
              </w:rPr>
            </w:pPr>
            <w:r>
              <w:rPr>
                <w:rFonts w:hint="eastAsia" w:ascii="宋体" w:hAnsi="宋体" w:cs="宋体"/>
                <w:color w:val="auto"/>
                <w:szCs w:val="21"/>
                <w:highlight w:val="none"/>
              </w:rPr>
              <w:t>包括①总体筹划与总平面布置；②工程进度计划与措施及施工网络图；③主要施工方案和技术措施；④主要物资供应计划；⑤劳动力安排计划，主要施工机械、设备进场计划；⑥确保工程质量的管理体系与措施；⑦确保安全生产的管理体系与措施；⑧确保文明施工的管理体系与措施；⑨工程重难点及对应保证措施；⑩危大工程安全管理与新技术、新产品、新工艺、新材料应用等。每项分值范围为1分</w:t>
            </w:r>
            <w:r>
              <w:rPr>
                <w:rFonts w:hint="eastAsia" w:ascii="宋体" w:hAnsi="宋体" w:cs="宋体"/>
                <w:color w:val="auto"/>
                <w:szCs w:val="21"/>
                <w:highlight w:val="none"/>
                <w:lang w:eastAsia="zh-CN"/>
              </w:rPr>
              <w:t>。</w:t>
            </w:r>
            <w:r>
              <w:rPr>
                <w:rFonts w:hint="eastAsia" w:ascii="宋体" w:hAnsi="宋体" w:cs="宋体"/>
                <w:color w:val="auto"/>
                <w:szCs w:val="21"/>
                <w:highlight w:val="none"/>
              </w:rPr>
              <w:t>优秀得1分，良好得0.9分，一般得0.8分，合格得0.7分，不合格或缺项的不得分。</w:t>
            </w:r>
          </w:p>
        </w:tc>
      </w:tr>
    </w:tbl>
    <w:p w14:paraId="136E1570">
      <w:pPr>
        <w:pStyle w:val="19"/>
        <w:spacing w:after="0" w:line="560" w:lineRule="exact"/>
        <w:ind w:left="0" w:leftChars="0" w:firstLine="422"/>
        <w:jc w:val="left"/>
        <w:rPr>
          <w:rFonts w:hint="eastAsia" w:ascii="宋体" w:hAnsi="宋体" w:cs="宋体"/>
          <w:b/>
          <w:bCs/>
          <w:color w:val="auto"/>
          <w:highlight w:val="none"/>
        </w:rPr>
      </w:pPr>
      <w:r>
        <w:rPr>
          <w:rFonts w:hint="eastAsia" w:ascii="宋体" w:hAnsi="宋体" w:cs="宋体"/>
          <w:b/>
          <w:bCs/>
          <w:color w:val="auto"/>
          <w:highlight w:val="none"/>
        </w:rPr>
        <w:t>注：1、该项由专家评委评审打分，取所有评委评分中分别去掉一个最高和最低评分后的平均值为最终得分，保留两位小数点，第三位四舍五入。</w:t>
      </w:r>
    </w:p>
    <w:p w14:paraId="4B8A2E10">
      <w:pPr>
        <w:pStyle w:val="19"/>
        <w:spacing w:after="0" w:line="560" w:lineRule="exact"/>
        <w:ind w:left="0" w:leftChars="0" w:firstLine="422"/>
        <w:jc w:val="left"/>
        <w:rPr>
          <w:rFonts w:hint="eastAsia" w:ascii="宋体" w:hAnsi="宋体" w:cs="宋体"/>
          <w:b/>
          <w:bCs/>
          <w:color w:val="auto"/>
          <w:highlight w:val="none"/>
        </w:rPr>
      </w:pPr>
      <w:r>
        <w:rPr>
          <w:rFonts w:hint="eastAsia" w:ascii="宋体" w:hAnsi="宋体" w:cs="宋体"/>
          <w:b/>
          <w:bCs/>
          <w:color w:val="auto"/>
          <w:highlight w:val="none"/>
        </w:rPr>
        <w:t>2、该项目技术标为暗标横向评审，暗标横向评审技术标不设目录，评审前系统自动对所有投标人的技术标及各评分点分别进行编号；投标企业制作的技术标部分不得出现可能泄露投标人单位及个人信息的文字、图片、图表（技术标部分不得签章）等有关表述，否则该评分点作零分处理。</w:t>
      </w:r>
    </w:p>
    <w:p w14:paraId="4FE0CD65">
      <w:pPr>
        <w:pStyle w:val="19"/>
        <w:spacing w:line="560" w:lineRule="exact"/>
        <w:ind w:left="0" w:leftChars="0" w:firstLine="413" w:firstLineChars="196"/>
        <w:jc w:val="left"/>
        <w:rPr>
          <w:rFonts w:hint="eastAsia" w:ascii="宋体" w:hAnsi="宋体" w:cs="宋体"/>
          <w:b/>
          <w:bCs/>
          <w:color w:val="auto"/>
          <w:highlight w:val="none"/>
        </w:rPr>
      </w:pPr>
      <w:r>
        <w:rPr>
          <w:rFonts w:hint="eastAsia" w:ascii="宋体" w:hAnsi="宋体" w:cs="宋体"/>
          <w:b/>
          <w:bCs/>
          <w:color w:val="auto"/>
          <w:highlight w:val="none"/>
        </w:rPr>
        <w:t>2.1 技术标暗标不设空白页。技术标投标文件封面不出现投标人、法定代表人签章内容，格式以系统设置为准。正文必须按招标文件要求的顺序进行排版；</w:t>
      </w:r>
    </w:p>
    <w:p w14:paraId="4F6CC794">
      <w:pPr>
        <w:pStyle w:val="19"/>
        <w:spacing w:after="0" w:line="560" w:lineRule="exact"/>
        <w:ind w:left="0" w:leftChars="0" w:firstLine="422"/>
        <w:jc w:val="left"/>
        <w:rPr>
          <w:rFonts w:hint="eastAsia" w:ascii="宋体" w:hAnsi="宋体" w:cs="宋体"/>
          <w:b/>
          <w:bCs/>
          <w:color w:val="auto"/>
          <w:highlight w:val="none"/>
        </w:rPr>
      </w:pPr>
      <w:r>
        <w:rPr>
          <w:rFonts w:hint="eastAsia" w:ascii="宋体" w:hAnsi="宋体" w:cs="宋体"/>
          <w:b/>
          <w:bCs/>
          <w:color w:val="auto"/>
          <w:highlight w:val="none"/>
        </w:rPr>
        <w:t>2.2技术标暗标正文文字排版统一使用中文宋体字体，文字为白底黑色，图表采用黑白灰色（不得采用彩色）；文字部分不得插入任何图表（可以用“见附图x”或“见附表x”说明）。所有附图、附表必须依次附在各章对应评分点内容的文末，计算在页数要求内；</w:t>
      </w:r>
    </w:p>
    <w:p w14:paraId="5D2B87C7">
      <w:pPr>
        <w:pStyle w:val="19"/>
        <w:spacing w:after="0" w:line="560" w:lineRule="exact"/>
        <w:ind w:left="0" w:leftChars="0" w:firstLine="422"/>
        <w:jc w:val="left"/>
        <w:rPr>
          <w:rFonts w:hint="eastAsia" w:ascii="宋体" w:hAnsi="宋体" w:cs="宋体"/>
          <w:b/>
          <w:bCs/>
          <w:color w:val="auto"/>
          <w:highlight w:val="none"/>
        </w:rPr>
      </w:pPr>
      <w:r>
        <w:rPr>
          <w:rFonts w:hint="eastAsia" w:ascii="宋体" w:hAnsi="宋体" w:cs="宋体"/>
          <w:b/>
          <w:bCs/>
          <w:color w:val="auto"/>
          <w:highlight w:val="none"/>
        </w:rPr>
        <w:t>2.3 正文采用宋体四号常规字，字符间距设为标准值，行距为单倍行距，不勾选“如果定义了文档网格，则对齐到网格”；正文统一设为左对齐，章、节标题、及段落首行缩进2个汉字，段落前后不设空行；正文版面不加页眉、页脚、边框、下划线等标志，正文页码用小五号阿拉伯数字，居中。单位符号中有上下角标要求的，必须在相应位置做角标；</w:t>
      </w:r>
    </w:p>
    <w:p w14:paraId="0D5824F5">
      <w:pPr>
        <w:spacing w:line="560" w:lineRule="exact"/>
        <w:ind w:firstLine="413" w:firstLineChars="196"/>
        <w:rPr>
          <w:rFonts w:hint="eastAsia" w:ascii="宋体" w:hAnsi="宋体" w:cs="宋体"/>
          <w:b/>
          <w:bCs/>
          <w:color w:val="auto"/>
          <w:highlight w:val="none"/>
        </w:rPr>
      </w:pPr>
      <w:r>
        <w:rPr>
          <w:rFonts w:hint="eastAsia" w:ascii="宋体" w:hAnsi="宋体" w:cs="宋体"/>
          <w:b/>
          <w:bCs/>
          <w:color w:val="auto"/>
          <w:highlight w:val="none"/>
        </w:rPr>
        <w:t>3、技术标暗标文件的格式、制作不符合上述要求的，每一分项扣</w:t>
      </w:r>
      <w:r>
        <w:rPr>
          <w:rFonts w:hint="eastAsia" w:ascii="宋体" w:hAnsi="宋体" w:cs="宋体"/>
          <w:b/>
          <w:bCs/>
          <w:color w:val="auto"/>
          <w:highlight w:val="none"/>
          <w:u w:val="single"/>
        </w:rPr>
        <w:t xml:space="preserve"> </w:t>
      </w:r>
      <w:r>
        <w:rPr>
          <w:rFonts w:hint="eastAsia" w:ascii="宋体" w:hAnsi="宋体" w:cs="宋体"/>
          <w:b/>
          <w:bCs/>
          <w:color w:val="auto"/>
          <w:highlight w:val="none"/>
          <w:u w:val="single"/>
          <w:lang w:val="en-US" w:eastAsia="zh-CN"/>
        </w:rPr>
        <w:t>0.2</w:t>
      </w:r>
      <w:r>
        <w:rPr>
          <w:rFonts w:hint="eastAsia" w:ascii="宋体" w:hAnsi="宋体" w:cs="宋体"/>
          <w:b/>
          <w:bCs/>
          <w:color w:val="auto"/>
          <w:highlight w:val="none"/>
        </w:rPr>
        <w:t>分。技术标实行暗标的，对技术标（暗标）部分不予澄清、说明或者补正。</w:t>
      </w:r>
    </w:p>
    <w:p w14:paraId="05A43488">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4、招标人应根据招标项目实际，在招标文件中明确招标中施工组织设计的评审要点。其中施工组织设计评审要点主要包括：</w:t>
      </w:r>
    </w:p>
    <w:p w14:paraId="355AF45A">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①总体筹划与总平面布置（页数不多于4页）；</w:t>
      </w:r>
    </w:p>
    <w:p w14:paraId="047477F1">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②工程进度计划与措施及施工网络图（页数不多于10页）；</w:t>
      </w:r>
    </w:p>
    <w:p w14:paraId="3A968D4B">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③主要施工方案和技术措施（页数不多于15页）；</w:t>
      </w:r>
    </w:p>
    <w:p w14:paraId="6DBD2D85">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④主要物资供应计划（页数不多于4页）；</w:t>
      </w:r>
    </w:p>
    <w:p w14:paraId="27DADD18">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⑤劳动力安排计划，主要施工机械、设备进场计划（页数不多于12页）；</w:t>
      </w:r>
    </w:p>
    <w:p w14:paraId="636EE4AC">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⑥确保工程质量的管理体系与措施（页数不多于7页）；</w:t>
      </w:r>
    </w:p>
    <w:p w14:paraId="3097C9EE">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⑦确保安全生产的管理体系与措施（页数不多于7页）；</w:t>
      </w:r>
    </w:p>
    <w:p w14:paraId="33F50A72">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⑧确保文明施工的管理体系与措施（页数不多于7页）；</w:t>
      </w:r>
    </w:p>
    <w:p w14:paraId="1314D8F8">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⑨工程重难点及对应保证措施（页数不多于7页）；</w:t>
      </w:r>
    </w:p>
    <w:p w14:paraId="1B564694">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⑩危大工程安全管理与新技术、新产品、新工艺、新材料应用（如有，页数不多于15页）；</w:t>
      </w:r>
    </w:p>
    <w:p w14:paraId="2971D6AC">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具体篇幅(字数)要求及扣分标准（扣分值为0.2分）。未做要求的，投标人可根据实际需要进行编制投标文件，但不得出现泄漏投标人信息的任何表述。偏离规定标准的，评标委员会应酌情扣分。</w:t>
      </w:r>
    </w:p>
    <w:p w14:paraId="6F4DBF76">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暗标评审仅限评标环节。评标结束后，如出现质疑、投诉、举报等，经认定评标错误的，由评标委员会纠正错误或重新评分，此时不再受暗标评审约束，但在纠正错误或重新评分中发现投标企业技术标出现可能泄露投标人单位及个人信息的文字、图片、图表（技术标不得签章）等有关表述的，对应技术标评分点仍按零分处理。</w:t>
      </w:r>
    </w:p>
    <w:p w14:paraId="326FF805">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6、如所有投标企业技术标都出现能反映企业信息等相关内容的，该项目流标。</w:t>
      </w:r>
    </w:p>
    <w:p w14:paraId="4C39FC25">
      <w:pPr>
        <w:pStyle w:val="19"/>
        <w:adjustRightInd w:val="0"/>
        <w:snapToGrid w:val="0"/>
        <w:spacing w:after="0" w:line="560" w:lineRule="exact"/>
        <w:ind w:left="0" w:leftChars="0" w:firstLine="0" w:firstLineChars="0"/>
        <w:jc w:val="center"/>
        <w:rPr>
          <w:rFonts w:hint="eastAsia"/>
          <w:b/>
          <w:color w:val="auto"/>
          <w:sz w:val="28"/>
          <w:szCs w:val="21"/>
          <w:highlight w:val="none"/>
        </w:rPr>
      </w:pPr>
      <w:r>
        <w:rPr>
          <w:rFonts w:hint="eastAsia"/>
          <w:b/>
          <w:color w:val="auto"/>
          <w:sz w:val="28"/>
          <w:szCs w:val="21"/>
          <w:highlight w:val="none"/>
        </w:rPr>
        <w:t>（四）商务标评审</w:t>
      </w:r>
    </w:p>
    <w:tbl>
      <w:tblPr>
        <w:tblStyle w:val="20"/>
        <w:tblW w:w="10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780"/>
        <w:gridCol w:w="846"/>
        <w:gridCol w:w="1985"/>
        <w:gridCol w:w="5794"/>
      </w:tblGrid>
      <w:tr w14:paraId="18903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61" w:type="dxa"/>
            <w:gridSpan w:val="2"/>
            <w:noWrap w:val="0"/>
            <w:vAlign w:val="center"/>
          </w:tcPr>
          <w:p w14:paraId="3A3E1B7D">
            <w:pPr>
              <w:adjustRightInd w:val="0"/>
              <w:snapToGrid w:val="0"/>
              <w:spacing w:line="560" w:lineRule="exact"/>
              <w:jc w:val="center"/>
              <w:rPr>
                <w:rFonts w:ascii="宋体" w:hAnsi="宋体"/>
                <w:color w:val="auto"/>
                <w:szCs w:val="21"/>
                <w:highlight w:val="none"/>
              </w:rPr>
            </w:pPr>
            <w:r>
              <w:rPr>
                <w:rFonts w:hint="eastAsia" w:ascii="宋体" w:hAnsi="宋体"/>
                <w:color w:val="auto"/>
                <w:szCs w:val="21"/>
                <w:highlight w:val="none"/>
              </w:rPr>
              <w:t>条款号</w:t>
            </w:r>
          </w:p>
        </w:tc>
        <w:tc>
          <w:tcPr>
            <w:tcW w:w="2831" w:type="dxa"/>
            <w:gridSpan w:val="2"/>
            <w:noWrap w:val="0"/>
            <w:vAlign w:val="center"/>
          </w:tcPr>
          <w:p w14:paraId="08DFDCD5">
            <w:pPr>
              <w:adjustRightInd w:val="0"/>
              <w:snapToGrid w:val="0"/>
              <w:spacing w:line="560" w:lineRule="exact"/>
              <w:jc w:val="center"/>
              <w:rPr>
                <w:rFonts w:ascii="宋体" w:hAnsi="宋体"/>
                <w:color w:val="auto"/>
                <w:szCs w:val="21"/>
                <w:highlight w:val="none"/>
              </w:rPr>
            </w:pPr>
            <w:r>
              <w:rPr>
                <w:rFonts w:hint="eastAsia" w:ascii="宋体" w:hAnsi="宋体"/>
                <w:color w:val="auto"/>
                <w:szCs w:val="21"/>
                <w:highlight w:val="none"/>
              </w:rPr>
              <w:t>评审因素</w:t>
            </w:r>
          </w:p>
        </w:tc>
        <w:tc>
          <w:tcPr>
            <w:tcW w:w="5794" w:type="dxa"/>
            <w:noWrap w:val="0"/>
            <w:vAlign w:val="center"/>
          </w:tcPr>
          <w:p w14:paraId="1C91F7F5">
            <w:pPr>
              <w:adjustRightInd w:val="0"/>
              <w:snapToGrid w:val="0"/>
              <w:spacing w:line="560" w:lineRule="exact"/>
              <w:jc w:val="center"/>
              <w:rPr>
                <w:rFonts w:ascii="宋体" w:hAnsi="宋体"/>
                <w:color w:val="auto"/>
                <w:szCs w:val="21"/>
                <w:highlight w:val="none"/>
              </w:rPr>
            </w:pPr>
            <w:r>
              <w:rPr>
                <w:rFonts w:hint="eastAsia" w:ascii="宋体" w:hAnsi="宋体"/>
                <w:color w:val="auto"/>
                <w:szCs w:val="21"/>
                <w:highlight w:val="none"/>
              </w:rPr>
              <w:t>评审标准</w:t>
            </w:r>
          </w:p>
        </w:tc>
      </w:tr>
      <w:tr w14:paraId="48FA5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81" w:type="dxa"/>
            <w:vMerge w:val="restart"/>
            <w:noWrap w:val="0"/>
            <w:vAlign w:val="center"/>
          </w:tcPr>
          <w:p w14:paraId="6BF6FE24">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4.2.1</w:t>
            </w:r>
          </w:p>
        </w:tc>
        <w:tc>
          <w:tcPr>
            <w:tcW w:w="780" w:type="dxa"/>
            <w:vMerge w:val="restart"/>
            <w:noWrap w:val="0"/>
            <w:vAlign w:val="center"/>
          </w:tcPr>
          <w:p w14:paraId="236DE3A9">
            <w:pPr>
              <w:adjustRightInd w:val="0"/>
              <w:snapToGrid w:val="0"/>
              <w:spacing w:line="560" w:lineRule="exact"/>
              <w:jc w:val="center"/>
              <w:rPr>
                <w:rFonts w:ascii="宋体" w:hAnsi="宋体"/>
                <w:color w:val="auto"/>
                <w:szCs w:val="21"/>
                <w:highlight w:val="none"/>
              </w:rPr>
            </w:pPr>
            <w:r>
              <w:rPr>
                <w:rFonts w:hint="eastAsia" w:ascii="宋体" w:hAnsi="宋体"/>
                <w:color w:val="auto"/>
                <w:szCs w:val="21"/>
                <w:highlight w:val="none"/>
              </w:rPr>
              <w:t>形式评审标准</w:t>
            </w:r>
          </w:p>
        </w:tc>
        <w:tc>
          <w:tcPr>
            <w:tcW w:w="2831" w:type="dxa"/>
            <w:gridSpan w:val="2"/>
            <w:noWrap w:val="0"/>
            <w:vAlign w:val="center"/>
          </w:tcPr>
          <w:p w14:paraId="101BD831">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投标函签字盖章</w:t>
            </w:r>
          </w:p>
        </w:tc>
        <w:tc>
          <w:tcPr>
            <w:tcW w:w="5794" w:type="dxa"/>
            <w:noWrap w:val="0"/>
            <w:vAlign w:val="center"/>
          </w:tcPr>
          <w:p w14:paraId="280DF552">
            <w:pPr>
              <w:adjustRightInd w:val="0"/>
              <w:snapToGrid w:val="0"/>
              <w:spacing w:line="560" w:lineRule="exact"/>
              <w:jc w:val="left"/>
              <w:rPr>
                <w:rFonts w:ascii="宋体" w:hAnsi="宋体"/>
                <w:color w:val="auto"/>
                <w:szCs w:val="21"/>
                <w:highlight w:val="none"/>
              </w:rPr>
            </w:pPr>
            <w:r>
              <w:rPr>
                <w:rFonts w:hint="eastAsia" w:ascii="宋体" w:hAnsi="宋体"/>
                <w:color w:val="auto"/>
                <w:szCs w:val="21"/>
                <w:highlight w:val="none"/>
              </w:rPr>
              <w:t>有投标人及其法定代表人签章。</w:t>
            </w:r>
          </w:p>
        </w:tc>
      </w:tr>
      <w:tr w14:paraId="0C612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81" w:type="dxa"/>
            <w:vMerge w:val="continue"/>
            <w:noWrap w:val="0"/>
            <w:vAlign w:val="center"/>
          </w:tcPr>
          <w:p w14:paraId="08753B02">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764B0327">
            <w:pPr>
              <w:widowControl/>
              <w:adjustRightInd w:val="0"/>
              <w:snapToGrid w:val="0"/>
              <w:spacing w:line="560" w:lineRule="exact"/>
              <w:jc w:val="left"/>
              <w:rPr>
                <w:rFonts w:ascii="宋体" w:hAnsi="宋体"/>
                <w:color w:val="auto"/>
                <w:szCs w:val="21"/>
                <w:highlight w:val="none"/>
              </w:rPr>
            </w:pPr>
          </w:p>
        </w:tc>
        <w:tc>
          <w:tcPr>
            <w:tcW w:w="2831" w:type="dxa"/>
            <w:gridSpan w:val="2"/>
            <w:noWrap w:val="0"/>
            <w:vAlign w:val="center"/>
          </w:tcPr>
          <w:p w14:paraId="6B69A4A0">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投标文件格式</w:t>
            </w:r>
          </w:p>
        </w:tc>
        <w:tc>
          <w:tcPr>
            <w:tcW w:w="5794" w:type="dxa"/>
            <w:noWrap w:val="0"/>
            <w:vAlign w:val="center"/>
          </w:tcPr>
          <w:p w14:paraId="2CE285B6">
            <w:pPr>
              <w:adjustRightInd w:val="0"/>
              <w:snapToGrid w:val="0"/>
              <w:spacing w:line="560" w:lineRule="exact"/>
              <w:jc w:val="left"/>
              <w:rPr>
                <w:rFonts w:ascii="宋体" w:hAnsi="宋体"/>
                <w:color w:val="auto"/>
                <w:szCs w:val="21"/>
                <w:highlight w:val="none"/>
              </w:rPr>
            </w:pPr>
            <w:r>
              <w:rPr>
                <w:rFonts w:hint="eastAsia" w:ascii="宋体" w:hAnsi="宋体"/>
                <w:color w:val="auto"/>
                <w:szCs w:val="21"/>
                <w:highlight w:val="none"/>
              </w:rPr>
              <w:t>符合第九章“投标文件格式”的要求。</w:t>
            </w:r>
          </w:p>
        </w:tc>
      </w:tr>
      <w:tr w14:paraId="6DA7E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81" w:type="dxa"/>
            <w:vMerge w:val="continue"/>
            <w:noWrap w:val="0"/>
            <w:vAlign w:val="center"/>
          </w:tcPr>
          <w:p w14:paraId="6709EF76">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55DCB7E7">
            <w:pPr>
              <w:widowControl/>
              <w:adjustRightInd w:val="0"/>
              <w:snapToGrid w:val="0"/>
              <w:spacing w:line="560" w:lineRule="exact"/>
              <w:jc w:val="left"/>
              <w:rPr>
                <w:rFonts w:ascii="宋体" w:hAnsi="宋体"/>
                <w:color w:val="auto"/>
                <w:szCs w:val="21"/>
                <w:highlight w:val="none"/>
              </w:rPr>
            </w:pPr>
          </w:p>
        </w:tc>
        <w:tc>
          <w:tcPr>
            <w:tcW w:w="2831" w:type="dxa"/>
            <w:gridSpan w:val="2"/>
            <w:noWrap w:val="0"/>
            <w:vAlign w:val="center"/>
          </w:tcPr>
          <w:p w14:paraId="13DC32CE">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商务标签字盖章</w:t>
            </w:r>
          </w:p>
        </w:tc>
        <w:tc>
          <w:tcPr>
            <w:tcW w:w="5794" w:type="dxa"/>
            <w:noWrap w:val="0"/>
            <w:vAlign w:val="center"/>
          </w:tcPr>
          <w:p w14:paraId="0C06EAA9">
            <w:pPr>
              <w:adjustRightInd w:val="0"/>
              <w:snapToGrid w:val="0"/>
              <w:spacing w:line="560" w:lineRule="exact"/>
              <w:jc w:val="left"/>
              <w:rPr>
                <w:rFonts w:ascii="宋体" w:hAnsi="宋体"/>
                <w:color w:val="auto"/>
                <w:szCs w:val="21"/>
                <w:highlight w:val="none"/>
              </w:rPr>
            </w:pPr>
            <w:r>
              <w:rPr>
                <w:rFonts w:hint="eastAsia" w:ascii="宋体" w:hAnsi="宋体"/>
                <w:color w:val="auto"/>
                <w:szCs w:val="21"/>
                <w:highlight w:val="none"/>
              </w:rPr>
              <w:t>按投标文件格式要求签章。</w:t>
            </w:r>
          </w:p>
        </w:tc>
      </w:tr>
      <w:tr w14:paraId="4758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881" w:type="dxa"/>
            <w:vMerge w:val="continue"/>
            <w:noWrap w:val="0"/>
            <w:vAlign w:val="center"/>
          </w:tcPr>
          <w:p w14:paraId="7369E1E2">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21EC2F6C">
            <w:pPr>
              <w:widowControl/>
              <w:adjustRightInd w:val="0"/>
              <w:snapToGrid w:val="0"/>
              <w:spacing w:line="560" w:lineRule="exact"/>
              <w:jc w:val="left"/>
              <w:rPr>
                <w:rFonts w:ascii="宋体" w:hAnsi="宋体"/>
                <w:color w:val="auto"/>
                <w:szCs w:val="21"/>
                <w:highlight w:val="none"/>
              </w:rPr>
            </w:pPr>
          </w:p>
        </w:tc>
        <w:tc>
          <w:tcPr>
            <w:tcW w:w="2831" w:type="dxa"/>
            <w:gridSpan w:val="2"/>
            <w:noWrap w:val="0"/>
            <w:vAlign w:val="center"/>
          </w:tcPr>
          <w:p w14:paraId="6C5F9E68">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报价唯一</w:t>
            </w:r>
          </w:p>
        </w:tc>
        <w:tc>
          <w:tcPr>
            <w:tcW w:w="5794" w:type="dxa"/>
            <w:noWrap w:val="0"/>
            <w:vAlign w:val="center"/>
          </w:tcPr>
          <w:p w14:paraId="7D747B7F">
            <w:pPr>
              <w:adjustRightInd w:val="0"/>
              <w:snapToGrid w:val="0"/>
              <w:spacing w:line="560" w:lineRule="exact"/>
              <w:jc w:val="left"/>
              <w:rPr>
                <w:rFonts w:ascii="宋体" w:hAnsi="宋体"/>
                <w:color w:val="auto"/>
                <w:szCs w:val="21"/>
                <w:highlight w:val="none"/>
              </w:rPr>
            </w:pPr>
            <w:r>
              <w:rPr>
                <w:rFonts w:hint="eastAsia" w:ascii="宋体" w:hAnsi="宋体"/>
                <w:color w:val="auto"/>
                <w:szCs w:val="21"/>
                <w:highlight w:val="none"/>
              </w:rPr>
              <w:t>只能有一个报价。</w:t>
            </w:r>
          </w:p>
        </w:tc>
      </w:tr>
      <w:tr w14:paraId="361FD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1" w:type="dxa"/>
            <w:vMerge w:val="restart"/>
            <w:noWrap w:val="0"/>
            <w:vAlign w:val="center"/>
          </w:tcPr>
          <w:p w14:paraId="6201B720">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4.2.2</w:t>
            </w:r>
          </w:p>
        </w:tc>
        <w:tc>
          <w:tcPr>
            <w:tcW w:w="780" w:type="dxa"/>
            <w:vMerge w:val="restart"/>
            <w:noWrap w:val="0"/>
            <w:vAlign w:val="center"/>
          </w:tcPr>
          <w:p w14:paraId="0D3F2EAC">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响应性评审标准</w:t>
            </w:r>
          </w:p>
          <w:p w14:paraId="30F84184">
            <w:pPr>
              <w:adjustRightInd w:val="0"/>
              <w:snapToGrid w:val="0"/>
              <w:spacing w:line="560" w:lineRule="exact"/>
              <w:jc w:val="center"/>
              <w:rPr>
                <w:rFonts w:ascii="宋体" w:hAnsi="宋体"/>
                <w:color w:val="auto"/>
                <w:szCs w:val="21"/>
                <w:highlight w:val="none"/>
              </w:rPr>
            </w:pPr>
          </w:p>
        </w:tc>
        <w:tc>
          <w:tcPr>
            <w:tcW w:w="2831" w:type="dxa"/>
            <w:gridSpan w:val="2"/>
            <w:noWrap w:val="0"/>
            <w:vAlign w:val="center"/>
          </w:tcPr>
          <w:p w14:paraId="67FBE78D">
            <w:pPr>
              <w:adjustRightInd w:val="0"/>
              <w:snapToGrid w:val="0"/>
              <w:spacing w:line="560" w:lineRule="exact"/>
              <w:jc w:val="left"/>
              <w:rPr>
                <w:rFonts w:ascii="宋体" w:hAnsi="宋体"/>
                <w:color w:val="auto"/>
                <w:szCs w:val="21"/>
                <w:highlight w:val="none"/>
              </w:rPr>
            </w:pPr>
            <w:r>
              <w:rPr>
                <w:rFonts w:hint="eastAsia" w:ascii="宋体" w:hAnsi="宋体"/>
                <w:color w:val="auto"/>
                <w:szCs w:val="21"/>
                <w:highlight w:val="none"/>
              </w:rPr>
              <w:t>工期</w:t>
            </w:r>
          </w:p>
        </w:tc>
        <w:tc>
          <w:tcPr>
            <w:tcW w:w="5794" w:type="dxa"/>
            <w:noWrap w:val="0"/>
            <w:vAlign w:val="center"/>
          </w:tcPr>
          <w:p w14:paraId="7569F3E9">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符合投标须知前附表规定。</w:t>
            </w:r>
          </w:p>
        </w:tc>
      </w:tr>
      <w:tr w14:paraId="3EAE0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81" w:type="dxa"/>
            <w:vMerge w:val="continue"/>
            <w:noWrap w:val="0"/>
            <w:vAlign w:val="center"/>
          </w:tcPr>
          <w:p w14:paraId="58331FFC">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75A014CD">
            <w:pPr>
              <w:widowControl/>
              <w:adjustRightInd w:val="0"/>
              <w:snapToGrid w:val="0"/>
              <w:spacing w:line="560" w:lineRule="exact"/>
              <w:jc w:val="left"/>
              <w:rPr>
                <w:rFonts w:ascii="宋体" w:hAnsi="宋体"/>
                <w:color w:val="auto"/>
                <w:szCs w:val="21"/>
                <w:highlight w:val="none"/>
              </w:rPr>
            </w:pPr>
          </w:p>
        </w:tc>
        <w:tc>
          <w:tcPr>
            <w:tcW w:w="2831" w:type="dxa"/>
            <w:gridSpan w:val="2"/>
            <w:noWrap w:val="0"/>
            <w:vAlign w:val="center"/>
          </w:tcPr>
          <w:p w14:paraId="1C553389">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工程质量</w:t>
            </w:r>
          </w:p>
        </w:tc>
        <w:tc>
          <w:tcPr>
            <w:tcW w:w="5794" w:type="dxa"/>
            <w:noWrap w:val="0"/>
            <w:vAlign w:val="center"/>
          </w:tcPr>
          <w:p w14:paraId="0A83B8EA">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符合投标须知前附表规定。</w:t>
            </w:r>
          </w:p>
        </w:tc>
      </w:tr>
      <w:tr w14:paraId="13A84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81" w:type="dxa"/>
            <w:vMerge w:val="continue"/>
            <w:noWrap w:val="0"/>
            <w:vAlign w:val="center"/>
          </w:tcPr>
          <w:p w14:paraId="40DD3A15">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03FE6F72">
            <w:pPr>
              <w:widowControl/>
              <w:adjustRightInd w:val="0"/>
              <w:snapToGrid w:val="0"/>
              <w:spacing w:line="560" w:lineRule="exact"/>
              <w:jc w:val="left"/>
              <w:rPr>
                <w:rFonts w:ascii="宋体" w:hAnsi="宋体"/>
                <w:color w:val="auto"/>
                <w:szCs w:val="21"/>
                <w:highlight w:val="none"/>
              </w:rPr>
            </w:pPr>
          </w:p>
        </w:tc>
        <w:tc>
          <w:tcPr>
            <w:tcW w:w="2831" w:type="dxa"/>
            <w:gridSpan w:val="2"/>
            <w:noWrap w:val="0"/>
            <w:vAlign w:val="center"/>
          </w:tcPr>
          <w:p w14:paraId="79550661">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投标有效期</w:t>
            </w:r>
          </w:p>
        </w:tc>
        <w:tc>
          <w:tcPr>
            <w:tcW w:w="5794" w:type="dxa"/>
            <w:noWrap w:val="0"/>
            <w:vAlign w:val="center"/>
          </w:tcPr>
          <w:p w14:paraId="4A6357BF">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符合投标须知前附表规定。</w:t>
            </w:r>
          </w:p>
        </w:tc>
      </w:tr>
      <w:tr w14:paraId="3F167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881" w:type="dxa"/>
            <w:vMerge w:val="continue"/>
            <w:noWrap w:val="0"/>
            <w:vAlign w:val="center"/>
          </w:tcPr>
          <w:p w14:paraId="0492F1B6">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0F17A4E0">
            <w:pPr>
              <w:widowControl/>
              <w:adjustRightInd w:val="0"/>
              <w:snapToGrid w:val="0"/>
              <w:spacing w:line="560" w:lineRule="exact"/>
              <w:jc w:val="left"/>
              <w:rPr>
                <w:rFonts w:ascii="宋体" w:hAnsi="宋体"/>
                <w:color w:val="auto"/>
                <w:szCs w:val="21"/>
                <w:highlight w:val="none"/>
              </w:rPr>
            </w:pPr>
          </w:p>
        </w:tc>
        <w:tc>
          <w:tcPr>
            <w:tcW w:w="2831" w:type="dxa"/>
            <w:gridSpan w:val="2"/>
            <w:noWrap w:val="0"/>
            <w:vAlign w:val="center"/>
          </w:tcPr>
          <w:p w14:paraId="39A55D3E">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已标价工程量清单</w:t>
            </w:r>
          </w:p>
        </w:tc>
        <w:tc>
          <w:tcPr>
            <w:tcW w:w="5794" w:type="dxa"/>
            <w:noWrap w:val="0"/>
            <w:vAlign w:val="center"/>
          </w:tcPr>
          <w:p w14:paraId="378281DE">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与招标人发布的招标工程量清单（含需评审材料清单）排序一致。</w:t>
            </w:r>
          </w:p>
        </w:tc>
      </w:tr>
      <w:tr w14:paraId="46489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881" w:type="dxa"/>
            <w:vMerge w:val="continue"/>
            <w:noWrap w:val="0"/>
            <w:vAlign w:val="center"/>
          </w:tcPr>
          <w:p w14:paraId="2697A6CC">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3173707B">
            <w:pPr>
              <w:widowControl/>
              <w:adjustRightInd w:val="0"/>
              <w:snapToGrid w:val="0"/>
              <w:spacing w:line="560" w:lineRule="exact"/>
              <w:jc w:val="left"/>
              <w:rPr>
                <w:rFonts w:ascii="宋体" w:hAnsi="宋体"/>
                <w:color w:val="auto"/>
                <w:szCs w:val="21"/>
                <w:highlight w:val="none"/>
              </w:rPr>
            </w:pPr>
          </w:p>
        </w:tc>
        <w:tc>
          <w:tcPr>
            <w:tcW w:w="2831" w:type="dxa"/>
            <w:gridSpan w:val="2"/>
            <w:noWrap w:val="0"/>
            <w:vAlign w:val="center"/>
          </w:tcPr>
          <w:p w14:paraId="4E13798F">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投标总价评审</w:t>
            </w:r>
          </w:p>
        </w:tc>
        <w:tc>
          <w:tcPr>
            <w:tcW w:w="5794" w:type="dxa"/>
            <w:noWrap w:val="0"/>
            <w:vAlign w:val="center"/>
          </w:tcPr>
          <w:p w14:paraId="21BCFFB4">
            <w:pPr>
              <w:adjustRightInd w:val="0"/>
              <w:snapToGrid w:val="0"/>
              <w:spacing w:line="560" w:lineRule="exact"/>
              <w:rPr>
                <w:rFonts w:ascii="宋体" w:hAnsi="宋体"/>
                <w:color w:val="auto"/>
                <w:spacing w:val="-6"/>
                <w:szCs w:val="21"/>
                <w:highlight w:val="none"/>
              </w:rPr>
            </w:pPr>
            <w:r>
              <w:rPr>
                <w:rFonts w:hint="eastAsia" w:ascii="宋体" w:hAnsi="宋体"/>
                <w:color w:val="auto"/>
                <w:spacing w:val="-6"/>
                <w:szCs w:val="21"/>
                <w:highlight w:val="none"/>
              </w:rPr>
              <w:t>不得高于最高投标限价，也不得低于工程成本价。</w:t>
            </w:r>
          </w:p>
        </w:tc>
      </w:tr>
      <w:tr w14:paraId="27B46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881" w:type="dxa"/>
            <w:vMerge w:val="continue"/>
            <w:noWrap w:val="0"/>
            <w:vAlign w:val="center"/>
          </w:tcPr>
          <w:p w14:paraId="208A1842">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2C3D9D95">
            <w:pPr>
              <w:widowControl/>
              <w:adjustRightInd w:val="0"/>
              <w:snapToGrid w:val="0"/>
              <w:spacing w:line="560" w:lineRule="exact"/>
              <w:jc w:val="left"/>
              <w:rPr>
                <w:rFonts w:ascii="宋体" w:hAnsi="宋体"/>
                <w:color w:val="auto"/>
                <w:szCs w:val="21"/>
                <w:highlight w:val="none"/>
              </w:rPr>
            </w:pPr>
          </w:p>
        </w:tc>
        <w:tc>
          <w:tcPr>
            <w:tcW w:w="2831" w:type="dxa"/>
            <w:gridSpan w:val="2"/>
            <w:noWrap w:val="0"/>
            <w:vAlign w:val="center"/>
          </w:tcPr>
          <w:p w14:paraId="06D7B1F5">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暂列金额、专业工程暂估价、分部分项工程材料及设备暂估价</w:t>
            </w:r>
          </w:p>
        </w:tc>
        <w:tc>
          <w:tcPr>
            <w:tcW w:w="5794" w:type="dxa"/>
            <w:noWrap w:val="0"/>
            <w:vAlign w:val="center"/>
          </w:tcPr>
          <w:p w14:paraId="48EE22C7">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与招标人发布的招标工程量清单一致。</w:t>
            </w:r>
          </w:p>
        </w:tc>
      </w:tr>
      <w:tr w14:paraId="0C9C6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881" w:type="dxa"/>
            <w:vMerge w:val="restart"/>
            <w:noWrap w:val="0"/>
            <w:vAlign w:val="center"/>
          </w:tcPr>
          <w:p w14:paraId="74B1BEBA">
            <w:pPr>
              <w:adjustRightInd w:val="0"/>
              <w:snapToGrid w:val="0"/>
              <w:spacing w:line="560" w:lineRule="exact"/>
              <w:rPr>
                <w:rFonts w:ascii="宋体" w:hAnsi="宋体"/>
                <w:color w:val="auto"/>
                <w:szCs w:val="21"/>
                <w:highlight w:val="none"/>
              </w:rPr>
            </w:pPr>
            <w:r>
              <w:rPr>
                <w:rFonts w:ascii="宋体" w:hAnsi="宋体"/>
                <w:color w:val="auto"/>
                <w:szCs w:val="21"/>
                <w:highlight w:val="none"/>
              </w:rPr>
              <w:t>4.2.3</w:t>
            </w:r>
          </w:p>
        </w:tc>
        <w:tc>
          <w:tcPr>
            <w:tcW w:w="780" w:type="dxa"/>
            <w:vMerge w:val="restart"/>
            <w:noWrap w:val="0"/>
            <w:vAlign w:val="center"/>
          </w:tcPr>
          <w:p w14:paraId="546702E3">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详细评审标准</w:t>
            </w:r>
          </w:p>
        </w:tc>
        <w:tc>
          <w:tcPr>
            <w:tcW w:w="846" w:type="dxa"/>
            <w:vMerge w:val="restart"/>
            <w:noWrap w:val="0"/>
            <w:vAlign w:val="center"/>
          </w:tcPr>
          <w:p w14:paraId="4D64ADF6">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工程成本评审</w:t>
            </w:r>
          </w:p>
        </w:tc>
        <w:tc>
          <w:tcPr>
            <w:tcW w:w="7779" w:type="dxa"/>
            <w:gridSpan w:val="2"/>
            <w:noWrap w:val="0"/>
            <w:vAlign w:val="center"/>
          </w:tcPr>
          <w:p w14:paraId="6E0FCED7">
            <w:pPr>
              <w:adjustRightInd w:val="0"/>
              <w:snapToGrid w:val="0"/>
              <w:spacing w:line="560" w:lineRule="exact"/>
              <w:rPr>
                <w:rFonts w:ascii="宋体" w:hAnsi="宋体"/>
                <w:color w:val="auto"/>
                <w:spacing w:val="-6"/>
                <w:szCs w:val="21"/>
                <w:highlight w:val="none"/>
              </w:rPr>
            </w:pPr>
            <w:r>
              <w:rPr>
                <w:rFonts w:hint="eastAsia" w:ascii="宋体" w:hAnsi="宋体"/>
                <w:color w:val="auto"/>
                <w:szCs w:val="21"/>
                <w:highlight w:val="none"/>
              </w:rPr>
              <w:t>投标报价出现下列情形之一的，由评标委员会重点评审后界定其报价是否低于工程成本：</w:t>
            </w:r>
          </w:p>
        </w:tc>
      </w:tr>
      <w:tr w14:paraId="7A940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881" w:type="dxa"/>
            <w:vMerge w:val="continue"/>
            <w:noWrap w:val="0"/>
            <w:vAlign w:val="center"/>
          </w:tcPr>
          <w:p w14:paraId="3A17C374">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49B8E236">
            <w:pPr>
              <w:widowControl/>
              <w:adjustRightInd w:val="0"/>
              <w:snapToGrid w:val="0"/>
              <w:spacing w:line="560" w:lineRule="exact"/>
              <w:jc w:val="left"/>
              <w:rPr>
                <w:rFonts w:ascii="宋体" w:hAnsi="宋体"/>
                <w:color w:val="auto"/>
                <w:szCs w:val="21"/>
                <w:highlight w:val="none"/>
              </w:rPr>
            </w:pPr>
          </w:p>
        </w:tc>
        <w:tc>
          <w:tcPr>
            <w:tcW w:w="846" w:type="dxa"/>
            <w:vMerge w:val="continue"/>
            <w:noWrap w:val="0"/>
            <w:vAlign w:val="center"/>
          </w:tcPr>
          <w:p w14:paraId="1C026CF1">
            <w:pPr>
              <w:adjustRightInd w:val="0"/>
              <w:snapToGrid w:val="0"/>
              <w:spacing w:line="560" w:lineRule="exact"/>
              <w:rPr>
                <w:rFonts w:ascii="宋体" w:hAnsi="宋体"/>
                <w:color w:val="auto"/>
                <w:szCs w:val="21"/>
                <w:highlight w:val="none"/>
              </w:rPr>
            </w:pPr>
          </w:p>
        </w:tc>
        <w:tc>
          <w:tcPr>
            <w:tcW w:w="1985" w:type="dxa"/>
            <w:noWrap w:val="0"/>
            <w:vAlign w:val="center"/>
          </w:tcPr>
          <w:p w14:paraId="2F00B380">
            <w:pPr>
              <w:adjustRightInd w:val="0"/>
              <w:snapToGrid w:val="0"/>
              <w:spacing w:line="560" w:lineRule="exact"/>
              <w:rPr>
                <w:rFonts w:hint="eastAsia" w:ascii="宋体" w:hAnsi="宋体"/>
                <w:color w:val="auto"/>
                <w:szCs w:val="21"/>
                <w:highlight w:val="none"/>
              </w:rPr>
            </w:pPr>
            <w:r>
              <w:rPr>
                <w:rFonts w:hint="eastAsia" w:ascii="宋体" w:hAnsi="宋体"/>
                <w:color w:val="auto"/>
                <w:szCs w:val="21"/>
                <w:highlight w:val="none"/>
              </w:rPr>
              <w:t>投标报价</w:t>
            </w:r>
          </w:p>
        </w:tc>
        <w:tc>
          <w:tcPr>
            <w:tcW w:w="5794" w:type="dxa"/>
            <w:noWrap w:val="0"/>
            <w:vAlign w:val="center"/>
          </w:tcPr>
          <w:p w14:paraId="4CD8585B">
            <w:pPr>
              <w:adjustRightInd w:val="0"/>
              <w:snapToGrid w:val="0"/>
              <w:spacing w:line="560" w:lineRule="exact"/>
              <w:rPr>
                <w:rFonts w:hint="eastAsia" w:ascii="宋体" w:hAnsi="宋体"/>
                <w:color w:val="auto"/>
                <w:szCs w:val="21"/>
                <w:highlight w:val="none"/>
              </w:rPr>
            </w:pPr>
            <w:r>
              <w:rPr>
                <w:rFonts w:hint="eastAsia" w:ascii="宋体" w:hAnsi="宋体"/>
                <w:color w:val="auto"/>
                <w:szCs w:val="21"/>
                <w:highlight w:val="none"/>
              </w:rPr>
              <w:t>投标报价低于本项目通过资信、技术评审且商务标初步评审合格的有效投标报价平均值10%以上。</w:t>
            </w:r>
          </w:p>
        </w:tc>
      </w:tr>
      <w:tr w14:paraId="4A7C9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881" w:type="dxa"/>
            <w:vMerge w:val="continue"/>
            <w:noWrap w:val="0"/>
            <w:vAlign w:val="center"/>
          </w:tcPr>
          <w:p w14:paraId="524DBDBF">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281FC66F">
            <w:pPr>
              <w:widowControl/>
              <w:adjustRightInd w:val="0"/>
              <w:snapToGrid w:val="0"/>
              <w:spacing w:line="560" w:lineRule="exact"/>
              <w:jc w:val="left"/>
              <w:rPr>
                <w:rFonts w:ascii="宋体" w:hAnsi="宋体"/>
                <w:color w:val="auto"/>
                <w:szCs w:val="21"/>
                <w:highlight w:val="none"/>
              </w:rPr>
            </w:pPr>
          </w:p>
        </w:tc>
        <w:tc>
          <w:tcPr>
            <w:tcW w:w="846" w:type="dxa"/>
            <w:vMerge w:val="continue"/>
            <w:noWrap w:val="0"/>
            <w:vAlign w:val="center"/>
          </w:tcPr>
          <w:p w14:paraId="12D31FEE">
            <w:pPr>
              <w:adjustRightInd w:val="0"/>
              <w:snapToGrid w:val="0"/>
              <w:spacing w:line="560" w:lineRule="exact"/>
              <w:rPr>
                <w:rFonts w:ascii="宋体" w:hAnsi="宋体"/>
                <w:color w:val="auto"/>
                <w:szCs w:val="21"/>
                <w:highlight w:val="none"/>
              </w:rPr>
            </w:pPr>
          </w:p>
        </w:tc>
        <w:tc>
          <w:tcPr>
            <w:tcW w:w="1985" w:type="dxa"/>
            <w:noWrap w:val="0"/>
            <w:vAlign w:val="center"/>
          </w:tcPr>
          <w:p w14:paraId="7FE8591F">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报价内容完整性</w:t>
            </w:r>
          </w:p>
        </w:tc>
        <w:tc>
          <w:tcPr>
            <w:tcW w:w="5794" w:type="dxa"/>
            <w:noWrap w:val="0"/>
            <w:vAlign w:val="center"/>
          </w:tcPr>
          <w:p w14:paraId="72B8C141">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因投标人原因造成投标报价清单缺漏，缺漏项总额（多算或多报总额不得抵消缺漏项目总额）累计占本项目通过资信、技术评审且商务标初步评审合格</w:t>
            </w:r>
            <w:r>
              <w:rPr>
                <w:rFonts w:hint="eastAsia" w:ascii="宋体" w:hAnsi="宋体"/>
                <w:color w:val="auto"/>
                <w:spacing w:val="-6"/>
                <w:szCs w:val="21"/>
                <w:highlight w:val="none"/>
              </w:rPr>
              <w:t>有效投标总报价平均值</w:t>
            </w:r>
            <w:r>
              <w:rPr>
                <w:rFonts w:ascii="宋体" w:hAnsi="宋体"/>
                <w:color w:val="auto"/>
                <w:spacing w:val="-6"/>
                <w:szCs w:val="21"/>
                <w:highlight w:val="none"/>
              </w:rPr>
              <w:t>5%</w:t>
            </w:r>
            <w:r>
              <w:rPr>
                <w:rFonts w:hint="eastAsia" w:ascii="宋体" w:hAnsi="宋体"/>
                <w:color w:val="auto"/>
                <w:spacing w:val="-6"/>
                <w:szCs w:val="21"/>
                <w:highlight w:val="none"/>
              </w:rPr>
              <w:t>以上。</w:t>
            </w:r>
          </w:p>
        </w:tc>
      </w:tr>
      <w:tr w14:paraId="7E17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81" w:type="dxa"/>
            <w:vMerge w:val="continue"/>
            <w:noWrap w:val="0"/>
            <w:vAlign w:val="center"/>
          </w:tcPr>
          <w:p w14:paraId="533B668A">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7067A3A3">
            <w:pPr>
              <w:widowControl/>
              <w:adjustRightInd w:val="0"/>
              <w:snapToGrid w:val="0"/>
              <w:spacing w:line="560" w:lineRule="exact"/>
              <w:jc w:val="left"/>
              <w:rPr>
                <w:rFonts w:ascii="宋体" w:hAnsi="宋体"/>
                <w:color w:val="auto"/>
                <w:szCs w:val="21"/>
                <w:highlight w:val="none"/>
              </w:rPr>
            </w:pPr>
          </w:p>
        </w:tc>
        <w:tc>
          <w:tcPr>
            <w:tcW w:w="846" w:type="dxa"/>
            <w:vMerge w:val="continue"/>
            <w:noWrap w:val="0"/>
            <w:vAlign w:val="center"/>
          </w:tcPr>
          <w:p w14:paraId="6B5E97E8">
            <w:pPr>
              <w:adjustRightInd w:val="0"/>
              <w:snapToGrid w:val="0"/>
              <w:spacing w:line="560" w:lineRule="exact"/>
              <w:rPr>
                <w:rFonts w:hint="eastAsia" w:ascii="宋体" w:hAnsi="宋体"/>
                <w:color w:val="auto"/>
                <w:szCs w:val="21"/>
                <w:highlight w:val="none"/>
              </w:rPr>
            </w:pPr>
          </w:p>
        </w:tc>
        <w:tc>
          <w:tcPr>
            <w:tcW w:w="1985" w:type="dxa"/>
            <w:noWrap w:val="0"/>
            <w:vAlign w:val="center"/>
          </w:tcPr>
          <w:p w14:paraId="1CCB7558">
            <w:pPr>
              <w:adjustRightInd w:val="0"/>
              <w:snapToGrid w:val="0"/>
              <w:spacing w:line="560" w:lineRule="exact"/>
              <w:rPr>
                <w:rFonts w:hint="eastAsia" w:ascii="宋体" w:hAnsi="宋体"/>
                <w:color w:val="auto"/>
                <w:szCs w:val="21"/>
                <w:highlight w:val="none"/>
              </w:rPr>
            </w:pPr>
            <w:r>
              <w:rPr>
                <w:rFonts w:hint="eastAsia" w:ascii="宋体" w:hAnsi="宋体"/>
                <w:color w:val="auto"/>
                <w:szCs w:val="21"/>
                <w:highlight w:val="none"/>
              </w:rPr>
              <w:t>人工工日单价</w:t>
            </w:r>
          </w:p>
        </w:tc>
        <w:tc>
          <w:tcPr>
            <w:tcW w:w="5794" w:type="dxa"/>
            <w:noWrap w:val="0"/>
            <w:vAlign w:val="center"/>
          </w:tcPr>
          <w:p w14:paraId="0BDEEC33">
            <w:pPr>
              <w:adjustRightInd w:val="0"/>
              <w:snapToGrid w:val="0"/>
              <w:spacing w:line="560" w:lineRule="exact"/>
              <w:rPr>
                <w:rFonts w:hint="eastAsia" w:ascii="宋体" w:hAnsi="宋体"/>
                <w:color w:val="auto"/>
                <w:szCs w:val="21"/>
                <w:highlight w:val="none"/>
              </w:rPr>
            </w:pPr>
            <w:r>
              <w:rPr>
                <w:rFonts w:hint="eastAsia" w:ascii="宋体" w:hAnsi="宋体"/>
                <w:color w:val="auto"/>
                <w:szCs w:val="21"/>
                <w:highlight w:val="none"/>
              </w:rPr>
              <w:t>不得低于招标人发布的最高投标限价中的人工工日单价</w:t>
            </w:r>
          </w:p>
        </w:tc>
      </w:tr>
      <w:tr w14:paraId="075D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81" w:type="dxa"/>
            <w:vMerge w:val="continue"/>
            <w:noWrap w:val="0"/>
            <w:vAlign w:val="center"/>
          </w:tcPr>
          <w:p w14:paraId="05C6F24C">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5CEC42DF">
            <w:pPr>
              <w:widowControl/>
              <w:adjustRightInd w:val="0"/>
              <w:snapToGrid w:val="0"/>
              <w:spacing w:line="560" w:lineRule="exact"/>
              <w:jc w:val="left"/>
              <w:rPr>
                <w:rFonts w:ascii="宋体" w:hAnsi="宋体"/>
                <w:color w:val="auto"/>
                <w:szCs w:val="21"/>
                <w:highlight w:val="none"/>
              </w:rPr>
            </w:pPr>
          </w:p>
        </w:tc>
        <w:tc>
          <w:tcPr>
            <w:tcW w:w="846" w:type="dxa"/>
            <w:vMerge w:val="continue"/>
            <w:noWrap w:val="0"/>
            <w:vAlign w:val="center"/>
          </w:tcPr>
          <w:p w14:paraId="6DACFB22">
            <w:pPr>
              <w:adjustRightInd w:val="0"/>
              <w:snapToGrid w:val="0"/>
              <w:spacing w:line="560" w:lineRule="exact"/>
              <w:rPr>
                <w:rFonts w:ascii="宋体" w:hAnsi="宋体"/>
                <w:color w:val="auto"/>
                <w:szCs w:val="21"/>
                <w:highlight w:val="none"/>
              </w:rPr>
            </w:pPr>
          </w:p>
        </w:tc>
        <w:tc>
          <w:tcPr>
            <w:tcW w:w="1985" w:type="dxa"/>
            <w:noWrap w:val="0"/>
            <w:vAlign w:val="center"/>
          </w:tcPr>
          <w:p w14:paraId="3EDBABB2">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需评审材料数量</w:t>
            </w:r>
          </w:p>
        </w:tc>
        <w:tc>
          <w:tcPr>
            <w:tcW w:w="5794" w:type="dxa"/>
            <w:noWrap w:val="0"/>
            <w:vAlign w:val="center"/>
          </w:tcPr>
          <w:p w14:paraId="2B38C948">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需评审的主要材料消耗量低于最高投标限价相应材料数量的5</w:t>
            </w:r>
            <w:r>
              <w:rPr>
                <w:rFonts w:ascii="宋体" w:hAnsi="宋体"/>
                <w:color w:val="auto"/>
                <w:szCs w:val="21"/>
                <w:highlight w:val="none"/>
              </w:rPr>
              <w:t>%</w:t>
            </w:r>
            <w:r>
              <w:rPr>
                <w:rFonts w:hint="eastAsia" w:ascii="宋体" w:hAnsi="宋体"/>
                <w:color w:val="auto"/>
                <w:szCs w:val="21"/>
                <w:highlight w:val="none"/>
              </w:rPr>
              <w:t>以上，且低于本项目通过资信、技术评审且商务标初步评审合格有效投标报价相应材料消耗量平均值的</w:t>
            </w:r>
            <w:r>
              <w:rPr>
                <w:rFonts w:ascii="宋体" w:hAnsi="宋体"/>
                <w:color w:val="auto"/>
                <w:szCs w:val="21"/>
                <w:highlight w:val="none"/>
              </w:rPr>
              <w:t>3%</w:t>
            </w:r>
            <w:r>
              <w:rPr>
                <w:rFonts w:hint="eastAsia" w:ascii="宋体" w:hAnsi="宋体"/>
                <w:color w:val="auto"/>
                <w:szCs w:val="21"/>
                <w:highlight w:val="none"/>
              </w:rPr>
              <w:t>以上。</w:t>
            </w:r>
          </w:p>
        </w:tc>
      </w:tr>
      <w:tr w14:paraId="510CB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881" w:type="dxa"/>
            <w:vMerge w:val="continue"/>
            <w:noWrap w:val="0"/>
            <w:vAlign w:val="center"/>
          </w:tcPr>
          <w:p w14:paraId="3DE631AF">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484BB7B5">
            <w:pPr>
              <w:widowControl/>
              <w:adjustRightInd w:val="0"/>
              <w:snapToGrid w:val="0"/>
              <w:spacing w:line="560" w:lineRule="exact"/>
              <w:jc w:val="left"/>
              <w:rPr>
                <w:rFonts w:ascii="宋体" w:hAnsi="宋体"/>
                <w:color w:val="auto"/>
                <w:szCs w:val="21"/>
                <w:highlight w:val="none"/>
              </w:rPr>
            </w:pPr>
          </w:p>
        </w:tc>
        <w:tc>
          <w:tcPr>
            <w:tcW w:w="846" w:type="dxa"/>
            <w:vMerge w:val="continue"/>
            <w:noWrap w:val="0"/>
            <w:vAlign w:val="center"/>
          </w:tcPr>
          <w:p w14:paraId="08264C0E">
            <w:pPr>
              <w:adjustRightInd w:val="0"/>
              <w:snapToGrid w:val="0"/>
              <w:spacing w:line="560" w:lineRule="exact"/>
              <w:rPr>
                <w:rFonts w:ascii="宋体" w:hAnsi="宋体"/>
                <w:color w:val="auto"/>
                <w:szCs w:val="21"/>
                <w:highlight w:val="none"/>
              </w:rPr>
            </w:pPr>
          </w:p>
        </w:tc>
        <w:tc>
          <w:tcPr>
            <w:tcW w:w="1985" w:type="dxa"/>
            <w:noWrap w:val="0"/>
            <w:vAlign w:val="center"/>
          </w:tcPr>
          <w:p w14:paraId="1509EDFC">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施工机具使用费</w:t>
            </w:r>
          </w:p>
        </w:tc>
        <w:tc>
          <w:tcPr>
            <w:tcW w:w="5794" w:type="dxa"/>
            <w:noWrap w:val="0"/>
            <w:vAlign w:val="center"/>
          </w:tcPr>
          <w:p w14:paraId="7F8AA631">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施工机具使用费低于本项目通过资信、技术评审且商务标初步评审合格有效投标报价施工机具使用费平均值的</w:t>
            </w:r>
            <w:r>
              <w:rPr>
                <w:rFonts w:ascii="宋体" w:hAnsi="宋体"/>
                <w:color w:val="auto"/>
                <w:szCs w:val="21"/>
                <w:highlight w:val="none"/>
              </w:rPr>
              <w:t>10%</w:t>
            </w:r>
            <w:r>
              <w:rPr>
                <w:rFonts w:hint="eastAsia" w:ascii="宋体" w:hAnsi="宋体"/>
                <w:color w:val="auto"/>
                <w:szCs w:val="21"/>
                <w:highlight w:val="none"/>
              </w:rPr>
              <w:t>以上。</w:t>
            </w:r>
          </w:p>
        </w:tc>
      </w:tr>
      <w:tr w14:paraId="18D65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81" w:type="dxa"/>
            <w:vMerge w:val="continue"/>
            <w:noWrap w:val="0"/>
            <w:vAlign w:val="center"/>
          </w:tcPr>
          <w:p w14:paraId="30160CE0">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1E008DC4">
            <w:pPr>
              <w:widowControl/>
              <w:adjustRightInd w:val="0"/>
              <w:snapToGrid w:val="0"/>
              <w:spacing w:line="560" w:lineRule="exact"/>
              <w:jc w:val="left"/>
              <w:rPr>
                <w:rFonts w:ascii="宋体" w:hAnsi="宋体"/>
                <w:color w:val="auto"/>
                <w:szCs w:val="21"/>
                <w:highlight w:val="none"/>
              </w:rPr>
            </w:pPr>
          </w:p>
        </w:tc>
        <w:tc>
          <w:tcPr>
            <w:tcW w:w="846" w:type="dxa"/>
            <w:vMerge w:val="continue"/>
            <w:noWrap w:val="0"/>
            <w:vAlign w:val="center"/>
          </w:tcPr>
          <w:p w14:paraId="13E0E01F">
            <w:pPr>
              <w:adjustRightInd w:val="0"/>
              <w:snapToGrid w:val="0"/>
              <w:spacing w:line="560" w:lineRule="exact"/>
              <w:rPr>
                <w:rFonts w:ascii="宋体" w:hAnsi="宋体"/>
                <w:color w:val="auto"/>
                <w:szCs w:val="21"/>
                <w:highlight w:val="none"/>
              </w:rPr>
            </w:pPr>
          </w:p>
        </w:tc>
        <w:tc>
          <w:tcPr>
            <w:tcW w:w="1985" w:type="dxa"/>
            <w:noWrap w:val="0"/>
            <w:vAlign w:val="center"/>
          </w:tcPr>
          <w:p w14:paraId="43C9D387">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管理费和利润费率</w:t>
            </w:r>
          </w:p>
        </w:tc>
        <w:tc>
          <w:tcPr>
            <w:tcW w:w="5794" w:type="dxa"/>
            <w:noWrap w:val="0"/>
            <w:vAlign w:val="center"/>
          </w:tcPr>
          <w:p w14:paraId="1633E9EB">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管理费、利润投标费率低于</w:t>
            </w:r>
            <w:r>
              <w:rPr>
                <w:rFonts w:ascii="宋体" w:hAnsi="宋体"/>
                <w:color w:val="auto"/>
                <w:szCs w:val="21"/>
                <w:highlight w:val="none"/>
              </w:rPr>
              <w:t>0%</w:t>
            </w:r>
            <w:r>
              <w:rPr>
                <w:rFonts w:hint="eastAsia" w:ascii="宋体" w:hAnsi="宋体"/>
                <w:color w:val="auto"/>
                <w:szCs w:val="21"/>
                <w:highlight w:val="none"/>
              </w:rPr>
              <w:t>。</w:t>
            </w:r>
          </w:p>
        </w:tc>
      </w:tr>
      <w:tr w14:paraId="46ADE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81" w:type="dxa"/>
            <w:vMerge w:val="continue"/>
            <w:noWrap w:val="0"/>
            <w:vAlign w:val="center"/>
          </w:tcPr>
          <w:p w14:paraId="77CDAB26">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28FE236E">
            <w:pPr>
              <w:widowControl/>
              <w:adjustRightInd w:val="0"/>
              <w:snapToGrid w:val="0"/>
              <w:spacing w:line="560" w:lineRule="exact"/>
              <w:jc w:val="left"/>
              <w:rPr>
                <w:rFonts w:ascii="宋体" w:hAnsi="宋体"/>
                <w:color w:val="auto"/>
                <w:szCs w:val="21"/>
                <w:highlight w:val="none"/>
              </w:rPr>
            </w:pPr>
          </w:p>
        </w:tc>
        <w:tc>
          <w:tcPr>
            <w:tcW w:w="846" w:type="dxa"/>
            <w:vMerge w:val="restart"/>
            <w:noWrap w:val="0"/>
            <w:vAlign w:val="center"/>
          </w:tcPr>
          <w:p w14:paraId="43CF5C10">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无效报价</w:t>
            </w:r>
          </w:p>
        </w:tc>
        <w:tc>
          <w:tcPr>
            <w:tcW w:w="1985" w:type="dxa"/>
            <w:noWrap w:val="0"/>
            <w:vAlign w:val="center"/>
          </w:tcPr>
          <w:p w14:paraId="16160A71">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暂估价材料、设备</w:t>
            </w:r>
          </w:p>
        </w:tc>
        <w:tc>
          <w:tcPr>
            <w:tcW w:w="5794" w:type="dxa"/>
            <w:noWrap w:val="0"/>
            <w:vAlign w:val="center"/>
          </w:tcPr>
          <w:p w14:paraId="43C1BD8F">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材料、设备暂估价未按要求计入分部分项工程费。</w:t>
            </w:r>
          </w:p>
        </w:tc>
      </w:tr>
      <w:tr w14:paraId="17211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881" w:type="dxa"/>
            <w:vMerge w:val="continue"/>
            <w:noWrap w:val="0"/>
            <w:vAlign w:val="center"/>
          </w:tcPr>
          <w:p w14:paraId="27B4920A">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5865BB6A">
            <w:pPr>
              <w:widowControl/>
              <w:adjustRightInd w:val="0"/>
              <w:snapToGrid w:val="0"/>
              <w:spacing w:line="560" w:lineRule="exact"/>
              <w:jc w:val="left"/>
              <w:rPr>
                <w:rFonts w:ascii="宋体" w:hAnsi="宋体"/>
                <w:color w:val="auto"/>
                <w:szCs w:val="21"/>
                <w:highlight w:val="none"/>
              </w:rPr>
            </w:pPr>
          </w:p>
        </w:tc>
        <w:tc>
          <w:tcPr>
            <w:tcW w:w="846" w:type="dxa"/>
            <w:vMerge w:val="continue"/>
            <w:noWrap w:val="0"/>
            <w:vAlign w:val="center"/>
          </w:tcPr>
          <w:p w14:paraId="65E4FCE3">
            <w:pPr>
              <w:adjustRightInd w:val="0"/>
              <w:snapToGrid w:val="0"/>
              <w:spacing w:line="560" w:lineRule="exact"/>
              <w:rPr>
                <w:rFonts w:ascii="宋体" w:hAnsi="宋体"/>
                <w:color w:val="auto"/>
                <w:szCs w:val="21"/>
                <w:highlight w:val="none"/>
              </w:rPr>
            </w:pPr>
          </w:p>
        </w:tc>
        <w:tc>
          <w:tcPr>
            <w:tcW w:w="1985" w:type="dxa"/>
            <w:noWrap w:val="0"/>
            <w:vAlign w:val="center"/>
          </w:tcPr>
          <w:p w14:paraId="491BE339">
            <w:pPr>
              <w:adjustRightInd w:val="0"/>
              <w:snapToGrid w:val="0"/>
              <w:spacing w:line="560" w:lineRule="exact"/>
              <w:jc w:val="center"/>
              <w:rPr>
                <w:rFonts w:ascii="宋体" w:hAnsi="宋体"/>
                <w:color w:val="auto"/>
                <w:szCs w:val="21"/>
                <w:highlight w:val="none"/>
              </w:rPr>
            </w:pPr>
            <w:r>
              <w:rPr>
                <w:rFonts w:hint="eastAsia" w:ascii="宋体" w:hAnsi="宋体"/>
                <w:color w:val="auto"/>
                <w:szCs w:val="21"/>
                <w:highlight w:val="none"/>
              </w:rPr>
              <w:t>不可竞争项目费费率</w:t>
            </w:r>
          </w:p>
        </w:tc>
        <w:tc>
          <w:tcPr>
            <w:tcW w:w="5794" w:type="dxa"/>
            <w:noWrap w:val="0"/>
            <w:vAlign w:val="center"/>
          </w:tcPr>
          <w:p w14:paraId="79FE0CE5">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低于建标〔2021〕42号文规定的费率。</w:t>
            </w:r>
          </w:p>
        </w:tc>
      </w:tr>
      <w:tr w14:paraId="711C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81" w:type="dxa"/>
            <w:vMerge w:val="continue"/>
            <w:noWrap w:val="0"/>
            <w:vAlign w:val="center"/>
          </w:tcPr>
          <w:p w14:paraId="4C406C02">
            <w:pPr>
              <w:widowControl/>
              <w:adjustRightInd w:val="0"/>
              <w:snapToGrid w:val="0"/>
              <w:spacing w:line="560" w:lineRule="exact"/>
              <w:jc w:val="left"/>
              <w:rPr>
                <w:rFonts w:ascii="宋体" w:hAnsi="宋体"/>
                <w:color w:val="auto"/>
                <w:szCs w:val="21"/>
                <w:highlight w:val="none"/>
              </w:rPr>
            </w:pPr>
          </w:p>
        </w:tc>
        <w:tc>
          <w:tcPr>
            <w:tcW w:w="780" w:type="dxa"/>
            <w:vMerge w:val="continue"/>
            <w:noWrap w:val="0"/>
            <w:vAlign w:val="center"/>
          </w:tcPr>
          <w:p w14:paraId="15078FD0">
            <w:pPr>
              <w:widowControl/>
              <w:adjustRightInd w:val="0"/>
              <w:snapToGrid w:val="0"/>
              <w:spacing w:line="560" w:lineRule="exact"/>
              <w:jc w:val="left"/>
              <w:rPr>
                <w:rFonts w:ascii="宋体" w:hAnsi="宋体"/>
                <w:color w:val="auto"/>
                <w:szCs w:val="21"/>
                <w:highlight w:val="none"/>
              </w:rPr>
            </w:pPr>
          </w:p>
        </w:tc>
        <w:tc>
          <w:tcPr>
            <w:tcW w:w="846" w:type="dxa"/>
            <w:vMerge w:val="continue"/>
            <w:noWrap w:val="0"/>
            <w:vAlign w:val="center"/>
          </w:tcPr>
          <w:p w14:paraId="3EB0C2DD">
            <w:pPr>
              <w:adjustRightInd w:val="0"/>
              <w:snapToGrid w:val="0"/>
              <w:spacing w:line="560" w:lineRule="exact"/>
              <w:rPr>
                <w:rFonts w:ascii="宋体" w:hAnsi="宋体"/>
                <w:color w:val="auto"/>
                <w:szCs w:val="21"/>
                <w:highlight w:val="none"/>
              </w:rPr>
            </w:pPr>
          </w:p>
        </w:tc>
        <w:tc>
          <w:tcPr>
            <w:tcW w:w="1985" w:type="dxa"/>
            <w:noWrap w:val="0"/>
            <w:vAlign w:val="center"/>
          </w:tcPr>
          <w:p w14:paraId="5ECCF347">
            <w:pPr>
              <w:adjustRightInd w:val="0"/>
              <w:snapToGrid w:val="0"/>
              <w:spacing w:line="560" w:lineRule="exact"/>
              <w:jc w:val="center"/>
              <w:rPr>
                <w:rFonts w:ascii="宋体" w:hAnsi="宋体"/>
                <w:color w:val="auto"/>
                <w:szCs w:val="21"/>
                <w:highlight w:val="none"/>
              </w:rPr>
            </w:pPr>
            <w:r>
              <w:rPr>
                <w:rFonts w:hint="eastAsia" w:ascii="宋体" w:hAnsi="宋体"/>
                <w:color w:val="auto"/>
                <w:szCs w:val="21"/>
                <w:highlight w:val="none"/>
              </w:rPr>
              <w:t>税率</w:t>
            </w:r>
          </w:p>
        </w:tc>
        <w:tc>
          <w:tcPr>
            <w:tcW w:w="5794" w:type="dxa"/>
            <w:noWrap w:val="0"/>
            <w:vAlign w:val="center"/>
          </w:tcPr>
          <w:p w14:paraId="167A7A15">
            <w:pPr>
              <w:adjustRightInd w:val="0"/>
              <w:snapToGrid w:val="0"/>
              <w:spacing w:line="560" w:lineRule="exact"/>
              <w:rPr>
                <w:rFonts w:ascii="宋体" w:hAnsi="宋体"/>
                <w:color w:val="auto"/>
                <w:szCs w:val="21"/>
                <w:highlight w:val="none"/>
              </w:rPr>
            </w:pPr>
            <w:r>
              <w:rPr>
                <w:rFonts w:hint="eastAsia" w:ascii="宋体" w:hAnsi="宋体"/>
                <w:color w:val="auto"/>
                <w:szCs w:val="21"/>
                <w:highlight w:val="none"/>
              </w:rPr>
              <w:t>低于《关于调整我省现行建设工程计价依据增值税税率的通知》（皖造价〔2019〕7号）规定的费率。</w:t>
            </w:r>
          </w:p>
        </w:tc>
      </w:tr>
      <w:tr w14:paraId="38A22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1" w:type="dxa"/>
            <w:noWrap w:val="0"/>
            <w:vAlign w:val="center"/>
          </w:tcPr>
          <w:p w14:paraId="3A8CC8E0">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.1</w:t>
            </w:r>
          </w:p>
        </w:tc>
        <w:tc>
          <w:tcPr>
            <w:tcW w:w="780" w:type="dxa"/>
            <w:noWrap w:val="0"/>
            <w:vAlign w:val="center"/>
          </w:tcPr>
          <w:p w14:paraId="697A712A">
            <w:pPr>
              <w:adjustRightInd w:val="0"/>
              <w:snapToGrid w:val="0"/>
              <w:spacing w:line="560" w:lineRule="exact"/>
              <w:jc w:val="center"/>
              <w:rPr>
                <w:rFonts w:ascii="宋体" w:hAnsi="宋体"/>
                <w:color w:val="auto"/>
                <w:szCs w:val="21"/>
                <w:highlight w:val="none"/>
              </w:rPr>
            </w:pPr>
            <w:r>
              <w:rPr>
                <w:rFonts w:hint="eastAsia" w:ascii="宋体" w:hAnsi="宋体"/>
                <w:color w:val="auto"/>
                <w:szCs w:val="21"/>
                <w:highlight w:val="none"/>
                <w:lang w:val="en-US" w:eastAsia="zh-CN"/>
              </w:rPr>
              <w:t>商务得分（73分）</w:t>
            </w:r>
          </w:p>
        </w:tc>
        <w:tc>
          <w:tcPr>
            <w:tcW w:w="8625" w:type="dxa"/>
            <w:gridSpan w:val="3"/>
            <w:noWrap w:val="0"/>
            <w:vAlign w:val="center"/>
          </w:tcPr>
          <w:p w14:paraId="0AB2BFD2">
            <w:pPr>
              <w:spacing w:line="560" w:lineRule="exact"/>
              <w:rPr>
                <w:rFonts w:hint="eastAsia" w:ascii="宋体" w:hAnsi="宋体" w:cs="宋体"/>
                <w:color w:val="auto"/>
              </w:rPr>
            </w:pPr>
            <w:r>
              <w:rPr>
                <w:rFonts w:hint="eastAsia" w:ascii="宋体" w:hAnsi="宋体" w:cs="宋体"/>
                <w:color w:val="auto"/>
              </w:rPr>
              <w:t>商务标评分按下列步骤计算：</w:t>
            </w:r>
          </w:p>
          <w:p w14:paraId="1E530EF9">
            <w:pPr>
              <w:spacing w:line="560" w:lineRule="exact"/>
              <w:rPr>
                <w:rFonts w:hint="eastAsia" w:ascii="宋体" w:hAnsi="宋体" w:cs="宋体"/>
                <w:color w:val="auto"/>
              </w:rPr>
            </w:pPr>
            <w:r>
              <w:rPr>
                <w:rFonts w:hint="eastAsia" w:ascii="宋体" w:hAnsi="宋体" w:cs="宋体"/>
                <w:color w:val="auto"/>
              </w:rPr>
              <w:t>第一步：计算B值。</w:t>
            </w:r>
          </w:p>
          <w:p w14:paraId="302C968A">
            <w:pPr>
              <w:spacing w:line="560" w:lineRule="exact"/>
              <w:rPr>
                <w:rFonts w:hint="eastAsia" w:ascii="宋体" w:hAnsi="宋体" w:cs="宋体"/>
                <w:color w:val="auto"/>
                <w:szCs w:val="21"/>
              </w:rPr>
            </w:pPr>
            <w:r>
              <w:rPr>
                <w:rFonts w:hint="eastAsia" w:ascii="宋体" w:hAnsi="宋体" w:cs="宋体"/>
                <w:color w:val="auto"/>
                <w:szCs w:val="21"/>
              </w:rPr>
              <w:t>①B值为入围第二阶段的投标人的有效投标报价的算术平均值。</w:t>
            </w:r>
          </w:p>
          <w:p w14:paraId="71E2CE09">
            <w:pPr>
              <w:spacing w:line="560" w:lineRule="exact"/>
              <w:rPr>
                <w:rFonts w:hint="eastAsia" w:ascii="宋体" w:hAnsi="宋体" w:cs="宋体"/>
                <w:color w:val="auto"/>
                <w:szCs w:val="21"/>
              </w:rPr>
            </w:pPr>
            <w:r>
              <w:rPr>
                <w:rFonts w:hint="eastAsia" w:ascii="宋体" w:hAnsi="宋体" w:cs="宋体"/>
                <w:color w:val="auto"/>
                <w:szCs w:val="21"/>
              </w:rPr>
              <w:t>第二步：计算评标基准价F值。</w:t>
            </w:r>
          </w:p>
          <w:p w14:paraId="43FC2B7C">
            <w:pPr>
              <w:spacing w:line="560" w:lineRule="exact"/>
              <w:rPr>
                <w:rFonts w:hint="eastAsia" w:ascii="宋体" w:hAnsi="宋体" w:cs="宋体"/>
                <w:color w:val="auto"/>
                <w:szCs w:val="21"/>
              </w:rPr>
            </w:pPr>
            <w:r>
              <w:rPr>
                <w:rFonts w:hint="eastAsia" w:ascii="宋体" w:hAnsi="宋体" w:cs="宋体"/>
                <w:color w:val="auto"/>
                <w:szCs w:val="21"/>
              </w:rPr>
              <w:t>①F=B×（1-K），其中K为调整系数，K的取值为-0.5%（1号），0%（2号），0.5%（3号），1.0%（4号），1.5%（5号）。</w:t>
            </w:r>
          </w:p>
          <w:p w14:paraId="6A22C4B8">
            <w:pPr>
              <w:spacing w:line="560" w:lineRule="exact"/>
              <w:rPr>
                <w:rFonts w:hint="eastAsia" w:ascii="宋体" w:hAnsi="宋体" w:cs="宋体"/>
                <w:color w:val="auto"/>
                <w:szCs w:val="21"/>
              </w:rPr>
            </w:pPr>
            <w:r>
              <w:rPr>
                <w:rFonts w:hint="eastAsia" w:ascii="宋体" w:hAnsi="宋体" w:cs="宋体"/>
                <w:color w:val="auto"/>
                <w:szCs w:val="21"/>
              </w:rPr>
              <w:t>第三步：计算报价偏差率。</w:t>
            </w:r>
          </w:p>
          <w:p w14:paraId="2C1F9DB2">
            <w:pPr>
              <w:spacing w:line="560" w:lineRule="exact"/>
              <w:rPr>
                <w:rFonts w:hint="eastAsia" w:ascii="宋体" w:hAnsi="宋体" w:cs="宋体"/>
                <w:color w:val="auto"/>
                <w:szCs w:val="21"/>
              </w:rPr>
            </w:pPr>
            <w:r>
              <w:rPr>
                <w:rFonts w:hint="eastAsia" w:ascii="宋体" w:hAnsi="宋体" w:cs="宋体"/>
                <w:color w:val="auto"/>
                <w:szCs w:val="21"/>
              </w:rPr>
              <w:t>①偏差率=|（投标报价-评标基准价）/评标基准价|×100%</w:t>
            </w:r>
          </w:p>
          <w:p w14:paraId="12048284">
            <w:pPr>
              <w:spacing w:line="560" w:lineRule="exact"/>
              <w:rPr>
                <w:rFonts w:hint="eastAsia" w:ascii="宋体" w:hAnsi="宋体" w:cs="宋体"/>
                <w:color w:val="auto"/>
                <w:szCs w:val="21"/>
              </w:rPr>
            </w:pPr>
            <w:r>
              <w:rPr>
                <w:rFonts w:hint="eastAsia" w:ascii="宋体" w:hAnsi="宋体" w:cs="宋体"/>
                <w:color w:val="auto"/>
                <w:szCs w:val="21"/>
              </w:rPr>
              <w:t>第四步：计算报价得分</w:t>
            </w:r>
          </w:p>
          <w:p w14:paraId="435437CB">
            <w:pPr>
              <w:spacing w:line="560" w:lineRule="exact"/>
              <w:rPr>
                <w:rFonts w:hint="eastAsia" w:ascii="宋体" w:hAnsi="宋体" w:cs="宋体"/>
                <w:color w:val="auto"/>
                <w:szCs w:val="21"/>
              </w:rPr>
            </w:pPr>
            <w:r>
              <w:rPr>
                <w:rFonts w:hint="eastAsia" w:ascii="宋体" w:hAnsi="宋体" w:cs="宋体"/>
                <w:color w:val="auto"/>
                <w:szCs w:val="21"/>
              </w:rPr>
              <w:t>①投标报价等于评标基准价的得满分。</w:t>
            </w:r>
          </w:p>
          <w:p w14:paraId="713F1DEB">
            <w:pPr>
              <w:spacing w:line="560" w:lineRule="exact"/>
              <w:rPr>
                <w:rFonts w:hint="eastAsia" w:ascii="宋体" w:hAnsi="宋体" w:cs="宋体"/>
                <w:color w:val="auto"/>
                <w:szCs w:val="21"/>
              </w:rPr>
            </w:pPr>
            <w:r>
              <w:rPr>
                <w:rFonts w:hint="eastAsia" w:ascii="宋体" w:hAnsi="宋体" w:cs="宋体"/>
                <w:color w:val="auto"/>
                <w:szCs w:val="21"/>
              </w:rPr>
              <w:t>②投标报价高于评标基准价的，投标报价得分=报价满分值-偏差率×100×1</w:t>
            </w:r>
          </w:p>
          <w:p w14:paraId="6EB3B30E">
            <w:pPr>
              <w:spacing w:line="560" w:lineRule="exact"/>
              <w:rPr>
                <w:rFonts w:hint="eastAsia" w:ascii="宋体" w:hAnsi="宋体" w:cs="宋体"/>
                <w:color w:val="auto"/>
                <w:szCs w:val="21"/>
              </w:rPr>
            </w:pPr>
            <w:r>
              <w:rPr>
                <w:rFonts w:hint="eastAsia" w:ascii="宋体" w:hAnsi="宋体" w:cs="宋体"/>
                <w:color w:val="auto"/>
                <w:szCs w:val="21"/>
              </w:rPr>
              <w:t>③投标报价低于评标基准价的，投标报价得分=报价满分值-偏差率×100×0.5</w:t>
            </w:r>
          </w:p>
          <w:p w14:paraId="131AD7D8">
            <w:pPr>
              <w:pStyle w:val="19"/>
              <w:adjustRightInd w:val="0"/>
              <w:snapToGrid w:val="0"/>
              <w:spacing w:after="0" w:line="560" w:lineRule="exact"/>
              <w:ind w:left="0" w:leftChars="0" w:firstLine="0" w:firstLineChars="0"/>
              <w:jc w:val="left"/>
              <w:rPr>
                <w:rFonts w:ascii="宋体" w:hAnsi="宋体" w:cs="宋体"/>
                <w:color w:val="auto"/>
                <w:szCs w:val="21"/>
                <w:highlight w:val="none"/>
              </w:rPr>
            </w:pPr>
            <w:r>
              <w:rPr>
                <w:rFonts w:hint="eastAsia" w:ascii="宋体" w:hAnsi="宋体" w:cs="宋体"/>
                <w:b/>
                <w:color w:val="auto"/>
                <w:szCs w:val="21"/>
              </w:rPr>
              <w:t>注：计算过程中，B值、评标基准价F值、偏差率、报价得分均保留两位小数，小数点后第三位四舍五入。</w:t>
            </w:r>
          </w:p>
        </w:tc>
      </w:tr>
    </w:tbl>
    <w:p w14:paraId="6509C560">
      <w:pPr>
        <w:adjustRightInd w:val="0"/>
        <w:snapToGrid w:val="0"/>
        <w:spacing w:line="560" w:lineRule="exact"/>
        <w:ind w:firstLine="316" w:firstLineChars="150"/>
        <w:rPr>
          <w:rFonts w:hint="eastAsia" w:ascii="黑体" w:hAnsi="黑体" w:eastAsia="黑体" w:cs="黑体"/>
          <w:b/>
          <w:color w:val="auto"/>
          <w:szCs w:val="21"/>
          <w:highlight w:val="none"/>
        </w:rPr>
      </w:pPr>
      <w:r>
        <w:rPr>
          <w:rFonts w:hint="eastAsia" w:ascii="黑体" w:hAnsi="黑体" w:eastAsia="黑体" w:cs="黑体"/>
          <w:b/>
          <w:color w:val="auto"/>
          <w:szCs w:val="21"/>
          <w:highlight w:val="none"/>
        </w:rPr>
        <w:t>商务标评审表注：</w:t>
      </w:r>
    </w:p>
    <w:p w14:paraId="12CEA147">
      <w:pPr>
        <w:adjustRightInd w:val="0"/>
        <w:snapToGrid w:val="0"/>
        <w:spacing w:line="560" w:lineRule="exact"/>
        <w:ind w:firstLine="422" w:firstLineChars="200"/>
        <w:rPr>
          <w:rFonts w:hint="eastAsia" w:ascii="黑体" w:hAnsi="黑体" w:eastAsia="黑体" w:cs="黑体"/>
          <w:b/>
          <w:bCs/>
          <w:color w:val="auto"/>
          <w:szCs w:val="21"/>
          <w:highlight w:val="none"/>
          <w:u w:val="none"/>
        </w:rPr>
      </w:pPr>
      <w:r>
        <w:rPr>
          <w:rFonts w:hint="eastAsia" w:ascii="黑体" w:hAnsi="黑体" w:eastAsia="黑体" w:cs="黑体"/>
          <w:b/>
          <w:color w:val="auto"/>
          <w:szCs w:val="21"/>
          <w:highlight w:val="none"/>
        </w:rPr>
        <w:t>1、</w:t>
      </w:r>
      <w:r>
        <w:rPr>
          <w:rFonts w:hint="eastAsia" w:ascii="黑体" w:hAnsi="黑体" w:eastAsia="黑体" w:cs="黑体"/>
          <w:b/>
          <w:bCs/>
          <w:color w:val="auto"/>
          <w:szCs w:val="21"/>
          <w:highlight w:val="none"/>
        </w:rPr>
        <w:t>投标人总报价如超过A值，A值</w:t>
      </w:r>
      <w:r>
        <w:rPr>
          <w:rFonts w:hint="eastAsia" w:ascii="黑体" w:hAnsi="黑体" w:eastAsia="黑体" w:cs="黑体"/>
          <w:b/>
          <w:bCs/>
          <w:color w:val="auto"/>
          <w:szCs w:val="21"/>
          <w:highlight w:val="none"/>
          <w:u w:val="none"/>
        </w:rPr>
        <w:t xml:space="preserve">=最高投标限价×（1-J） +（暂列金额+暂估价）×1.09×J（其中J= </w:t>
      </w:r>
      <w:r>
        <w:rPr>
          <w:rFonts w:hint="eastAsia" w:ascii="黑体" w:hAnsi="黑体" w:eastAsia="黑体" w:cs="黑体"/>
          <w:b/>
          <w:bCs/>
          <w:color w:val="auto"/>
          <w:szCs w:val="21"/>
          <w:highlight w:val="none"/>
          <w:u w:val="none"/>
          <w:lang w:val="en-US" w:eastAsia="zh-CN"/>
        </w:rPr>
        <w:t>10</w:t>
      </w:r>
      <w:r>
        <w:rPr>
          <w:rFonts w:hint="eastAsia" w:ascii="黑体" w:hAnsi="黑体" w:eastAsia="黑体" w:cs="黑体"/>
          <w:b/>
          <w:bCs/>
          <w:color w:val="auto"/>
          <w:szCs w:val="21"/>
          <w:highlight w:val="none"/>
          <w:u w:val="none"/>
        </w:rPr>
        <w:t>%），该投标报价不参与B值计算。</w:t>
      </w:r>
      <w:r>
        <w:rPr>
          <w:rFonts w:hint="eastAsia" w:ascii="宋体" w:hAnsi="宋体" w:cs="宋体"/>
          <w:color w:val="auto"/>
          <w:szCs w:val="21"/>
          <w:highlight w:val="none"/>
        </w:rPr>
        <w:t>保留两位小数，小数点后第三位四舍五入。</w:t>
      </w:r>
      <w:r>
        <w:rPr>
          <w:rFonts w:hint="eastAsia" w:ascii="黑体" w:hAnsi="黑体" w:eastAsia="黑体" w:cs="黑体"/>
          <w:b/>
          <w:bCs/>
          <w:color w:val="auto"/>
          <w:szCs w:val="21"/>
          <w:highlight w:val="none"/>
          <w:u w:val="none"/>
        </w:rPr>
        <w:t xml:space="preserve"> </w:t>
      </w:r>
    </w:p>
    <w:p w14:paraId="5E2B8B64">
      <w:pPr>
        <w:adjustRightInd w:val="0"/>
        <w:snapToGrid w:val="0"/>
        <w:spacing w:line="560" w:lineRule="exact"/>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、只有评审通过的投标人才能参加</w:t>
      </w:r>
      <w:r>
        <w:rPr>
          <w:rFonts w:hint="eastAsia" w:ascii="宋体" w:hAnsi="宋体" w:cs="宋体"/>
          <w:color w:val="auto"/>
          <w:szCs w:val="21"/>
          <w:highlight w:val="none"/>
          <w:lang w:val="en-US" w:eastAsia="zh-CN"/>
        </w:rPr>
        <w:t>商务得分的计算</w:t>
      </w:r>
      <w:r>
        <w:rPr>
          <w:rFonts w:hint="eastAsia" w:ascii="宋体" w:hAnsi="宋体" w:cs="宋体"/>
          <w:color w:val="auto"/>
          <w:szCs w:val="21"/>
          <w:highlight w:val="none"/>
        </w:rPr>
        <w:t>。</w:t>
      </w:r>
    </w:p>
    <w:p w14:paraId="3EBF3E94">
      <w:pPr>
        <w:adjustRightInd w:val="0"/>
        <w:snapToGrid w:val="0"/>
        <w:spacing w:line="560" w:lineRule="exact"/>
        <w:ind w:firstLine="420" w:firstLineChars="200"/>
        <w:rPr>
          <w:rFonts w:hint="eastAsia" w:ascii="宋体" w:hAnsi="宋体" w:eastAsia="宋体" w:cs="宋体"/>
          <w:color w:val="auto"/>
          <w:szCs w:val="21"/>
          <w:highlight w:val="none"/>
          <w:lang w:eastAsia="zh-CN"/>
        </w:rPr>
      </w:pPr>
      <w:r>
        <w:rPr>
          <w:rFonts w:ascii="宋体" w:hAnsi="宋体" w:cs="宋体"/>
          <w:color w:val="auto"/>
          <w:szCs w:val="21"/>
          <w:highlight w:val="none"/>
        </w:rPr>
        <w:t>3</w:t>
      </w:r>
      <w:r>
        <w:rPr>
          <w:rFonts w:hint="eastAsia" w:ascii="宋体" w:hAnsi="宋体" w:cs="宋体"/>
          <w:color w:val="auto"/>
          <w:szCs w:val="21"/>
          <w:highlight w:val="none"/>
        </w:rPr>
        <w:t>、本表所称投标报价是指按招标文件规定修正后的投标总报价（多算投标报价、多报费用不扣减）</w:t>
      </w:r>
      <w:r>
        <w:rPr>
          <w:rFonts w:hint="eastAsia" w:ascii="宋体" w:hAnsi="宋体" w:cs="宋体"/>
          <w:color w:val="auto"/>
          <w:szCs w:val="21"/>
          <w:highlight w:val="none"/>
          <w:lang w:val="en-US" w:eastAsia="zh-CN"/>
        </w:rPr>
        <w:t>,报价以元为单位，保留两位小数，小数点后第三位四舍五入。</w:t>
      </w:r>
    </w:p>
    <w:p w14:paraId="540E696B">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4、B值计算方法：</w:t>
      </w:r>
    </w:p>
    <w:p w14:paraId="7A5511EC">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B值为入围</w:t>
      </w:r>
      <w:r>
        <w:rPr>
          <w:rFonts w:hint="eastAsia" w:ascii="宋体" w:hAnsi="宋体" w:cs="宋体"/>
          <w:color w:val="auto"/>
          <w:szCs w:val="21"/>
          <w:highlight w:val="none"/>
          <w:lang w:val="en-US" w:eastAsia="zh-CN"/>
        </w:rPr>
        <w:t>入围第二阶段的</w:t>
      </w:r>
      <w:r>
        <w:rPr>
          <w:rFonts w:hint="eastAsia" w:ascii="宋体" w:hAnsi="宋体" w:cs="宋体"/>
          <w:color w:val="auto"/>
          <w:szCs w:val="21"/>
          <w:highlight w:val="none"/>
        </w:rPr>
        <w:t>投标人的有效投标报价的算术平均值。</w:t>
      </w:r>
    </w:p>
    <w:p w14:paraId="16C3F7C1">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、K值（评标基准价系数）的抽取：资信标、技术标、商务标评审完成后，招标人在线抽取K值，并根据抽取的K值计算F值，评标办法中的评标基准价计算出来后，除数字计算错误外，其他情况均不再调整。</w:t>
      </w:r>
    </w:p>
    <w:p w14:paraId="552420C1">
      <w:pPr>
        <w:adjustRightInd w:val="0"/>
        <w:snapToGrid w:val="0"/>
        <w:spacing w:line="560" w:lineRule="exact"/>
        <w:ind w:firstLine="420" w:firstLineChars="200"/>
        <w:rPr>
          <w:rFonts w:hint="eastAsia" w:ascii="宋体" w:hAnsi="宋体" w:cs="宋体"/>
          <w:b/>
          <w:color w:val="auto"/>
          <w:szCs w:val="21"/>
          <w:highlight w:val="none"/>
          <w:u w:val="single"/>
        </w:rPr>
      </w:pPr>
      <w:r>
        <w:rPr>
          <w:rFonts w:hint="eastAsia"/>
          <w:color w:val="auto"/>
          <w:highlight w:val="none"/>
        </w:rPr>
        <w:t>4、</w:t>
      </w:r>
      <w:r>
        <w:rPr>
          <w:rFonts w:hint="eastAsia" w:ascii="宋体" w:hAnsi="宋体" w:cs="宋体"/>
          <w:color w:val="auto"/>
          <w:szCs w:val="21"/>
          <w:highlight w:val="none"/>
        </w:rPr>
        <w:t>投标人（如投标人为联合体，联合体中施工企业需提供）注册建造师必须满足相应建筑业企业资质标准要求，评标委员会在评审时，将对此进行评审。投标单位（如投标人为联合体，联合体中施工企业需提供）应在商务标文件中提供全国建筑市场监管公共服务平台(四库一平台)企业注册人员网页截图，未提供相关截图，按无效标处理。</w:t>
      </w:r>
    </w:p>
    <w:p w14:paraId="2AD77AEE">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678" w:name="_Toc95223429"/>
      <w:r>
        <w:rPr>
          <w:rFonts w:hint="eastAsia" w:ascii="黑体" w:hAnsi="黑体" w:cs="黑体"/>
          <w:color w:val="auto"/>
          <w:sz w:val="21"/>
          <w:szCs w:val="21"/>
          <w:highlight w:val="none"/>
        </w:rPr>
        <w:t>1. 评标方法</w:t>
      </w:r>
      <w:bookmarkEnd w:id="678"/>
    </w:p>
    <w:p w14:paraId="26FDE69E">
      <w:pPr>
        <w:adjustRightInd w:val="0"/>
        <w:snapToGrid w:val="0"/>
        <w:spacing w:line="56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本次评标采用综合评估法</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评定分离）</w:t>
      </w:r>
      <w:r>
        <w:rPr>
          <w:rFonts w:hint="eastAsia" w:ascii="宋体" w:hAnsi="宋体" w:cs="宋体"/>
          <w:color w:val="auto"/>
          <w:szCs w:val="21"/>
          <w:highlight w:val="none"/>
        </w:rPr>
        <w:t>。评标委员会对满足招标文件实质性要求的投标文件，按照本章规定的评分标准计算得分，按照各项评审因素的总得分从高到低推荐</w:t>
      </w:r>
      <w:r>
        <w:rPr>
          <w:rFonts w:hint="eastAsia" w:ascii="宋体" w:hAnsi="宋体" w:cs="宋体"/>
          <w:color w:val="auto"/>
          <w:szCs w:val="21"/>
          <w:highlight w:val="none"/>
          <w:lang w:val="en-US" w:eastAsia="zh-CN"/>
        </w:rPr>
        <w:t>3名</w:t>
      </w:r>
      <w:r>
        <w:rPr>
          <w:rFonts w:hint="eastAsia" w:ascii="宋体" w:hAnsi="宋体" w:cs="宋体"/>
          <w:color w:val="auto"/>
          <w:szCs w:val="21"/>
          <w:highlight w:val="none"/>
        </w:rPr>
        <w:t>中标候选人</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不排序）</w:t>
      </w:r>
      <w:r>
        <w:rPr>
          <w:rFonts w:hint="eastAsia" w:ascii="宋体" w:hAnsi="宋体" w:cs="宋体"/>
          <w:color w:val="auto"/>
          <w:szCs w:val="21"/>
          <w:highlight w:val="none"/>
        </w:rPr>
        <w:t>。如总得分相等，以投标报价低的优先，投标报价仍相等，由评标委员会主任委员或招标人随机抽取确定。</w:t>
      </w:r>
    </w:p>
    <w:p w14:paraId="0783346F">
      <w:pPr>
        <w:widowControl/>
        <w:adjustRightInd w:val="0"/>
        <w:snapToGrid w:val="0"/>
        <w:spacing w:line="56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根据评标委员会评审初步结论，项目单位（代理机构）对预中标候选人、法定代表人及其项目经理（建造师）是否存在招标文件要求查询的失信行为进行网上核查后，提交网站截图等查询记录给评标委员会复核。若核查结果不符合招标文件规定的投标人资格条件信誉要求，由评标委员会取消其预中标候选人资格，并依次替补，再次对替补单位进行核查。如评标现场未发现问题但标后质疑（异议）、投诉发现中标候选人存在信誉问题，则组织评标委员会重新启动复核程序。核查结果不改变原评标基准价。</w:t>
      </w:r>
    </w:p>
    <w:p w14:paraId="1305EA39">
      <w:pPr>
        <w:wordWrap w:val="0"/>
        <w:adjustRightInd w:val="0"/>
        <w:snapToGrid w:val="0"/>
        <w:spacing w:line="56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（2）评标委员会登录全国建筑市场监管公共服务平台(四库-平台)https://jzsc.mohurd.gov.cn/home 进行实时查询，并结合《住房城乡建设部关于进一步加强建设工程企业资质审批管理工作的通知》（建市规〔2023〕3号）、《住房和城乡建设部办公厅关于建设工程企业资质有关事项的通知》（建办市函〔2022〕361号）和安徽省住建厅《关于建设工程企业资质有关事宜的通知》（建市函〔2022〕748 号），对中标候选人的关系企业履约能力的建造师数量进行评审：</w:t>
      </w:r>
    </w:p>
    <w:p w14:paraId="14F9C5BA">
      <w:pPr>
        <w:widowControl/>
        <w:adjustRightInd w:val="0"/>
        <w:snapToGrid w:val="0"/>
        <w:spacing w:line="560" w:lineRule="exact"/>
        <w:ind w:firstLine="420" w:firstLineChars="200"/>
        <w:jc w:val="left"/>
        <w:rPr>
          <w:rFonts w:hint="eastAsia" w:ascii="宋体" w:hAnsi="宋体" w:cs="宋体"/>
          <w:color w:val="auto"/>
          <w:szCs w:val="21"/>
          <w:highlight w:val="none"/>
        </w:rPr>
      </w:pPr>
      <w:r>
        <w:rPr>
          <w:rFonts w:hint="eastAsia" w:ascii="仿宋_GB2312" w:hAnsi="宋体" w:eastAsia="仿宋_GB2312" w:cs="宋体"/>
          <w:color w:val="auto"/>
          <w:szCs w:val="21"/>
          <w:highlight w:val="none"/>
        </w:rPr>
        <w:t>①</w:t>
      </w:r>
      <w:r>
        <w:rPr>
          <w:rFonts w:hint="eastAsia" w:ascii="宋体" w:hAnsi="宋体" w:cs="宋体"/>
          <w:color w:val="auto"/>
          <w:szCs w:val="21"/>
          <w:highlight w:val="none"/>
        </w:rPr>
        <w:t>建筑工程施工总承包特级资质企业：注册一级建造师50人以上。</w:t>
      </w:r>
    </w:p>
    <w:p w14:paraId="085F07C2">
      <w:pPr>
        <w:widowControl/>
        <w:adjustRightInd w:val="0"/>
        <w:snapToGrid w:val="0"/>
        <w:spacing w:line="560" w:lineRule="exact"/>
        <w:ind w:firstLine="420" w:firstLineChars="200"/>
        <w:jc w:val="left"/>
        <w:rPr>
          <w:rFonts w:hint="eastAsia" w:ascii="宋体" w:hAnsi="宋体" w:cs="宋体"/>
          <w:color w:val="auto"/>
          <w:szCs w:val="21"/>
          <w:highlight w:val="none"/>
        </w:rPr>
      </w:pPr>
      <w:r>
        <w:rPr>
          <w:rFonts w:hint="eastAsia" w:ascii="仿宋_GB2312" w:hAnsi="宋体" w:eastAsia="仿宋_GB2312" w:cs="宋体"/>
          <w:color w:val="auto"/>
          <w:szCs w:val="21"/>
          <w:highlight w:val="none"/>
        </w:rPr>
        <w:t>②</w:t>
      </w:r>
      <w:r>
        <w:rPr>
          <w:rFonts w:hint="eastAsia" w:ascii="宋体" w:hAnsi="宋体" w:cs="宋体"/>
          <w:color w:val="auto"/>
          <w:szCs w:val="21"/>
          <w:highlight w:val="none"/>
        </w:rPr>
        <w:t>建筑工程施工总承包壹级资质企业：建筑工程、机电工程专业一级注册建造师合计不少于12人，其中建筑工程专业一级注册建造师不少于9人。</w:t>
      </w:r>
    </w:p>
    <w:p w14:paraId="623BD452">
      <w:pPr>
        <w:widowControl/>
        <w:adjustRightInd w:val="0"/>
        <w:snapToGrid w:val="0"/>
        <w:spacing w:line="560" w:lineRule="exact"/>
        <w:ind w:firstLine="420" w:firstLineChars="200"/>
        <w:jc w:val="left"/>
        <w:rPr>
          <w:rFonts w:hint="eastAsia" w:ascii="宋体" w:hAnsi="宋体" w:cs="宋体"/>
          <w:color w:val="auto"/>
          <w:szCs w:val="21"/>
          <w:highlight w:val="none"/>
        </w:rPr>
      </w:pPr>
      <w:r>
        <w:rPr>
          <w:rFonts w:hint="eastAsia" w:ascii="仿宋_GB2312" w:hAnsi="宋体" w:eastAsia="仿宋_GB2312" w:cs="宋体"/>
          <w:color w:val="auto"/>
          <w:szCs w:val="21"/>
          <w:highlight w:val="none"/>
        </w:rPr>
        <w:t>③</w:t>
      </w:r>
      <w:r>
        <w:rPr>
          <w:rFonts w:hint="eastAsia" w:ascii="宋体" w:hAnsi="宋体" w:cs="宋体"/>
          <w:color w:val="auto"/>
          <w:szCs w:val="21"/>
          <w:highlight w:val="none"/>
        </w:rPr>
        <w:t>建筑工程施工总承包贰级、叁级资质企业：建筑工程、机电工程专业注册建造师合计不少于5人，其中建筑工程专业注册建造师不少于4人。</w:t>
      </w:r>
    </w:p>
    <w:p w14:paraId="247F50D7">
      <w:pPr>
        <w:widowControl/>
        <w:adjustRightInd w:val="0"/>
        <w:snapToGrid w:val="0"/>
        <w:spacing w:line="56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中标候选人的注册建造师不满足上述要求的，评标委员会对该投标不予认可，并将该情形报送相关行政主管部门。中标候选人依次替补，评标委员会再次对替补单位进行核查。</w:t>
      </w:r>
    </w:p>
    <w:p w14:paraId="72FA6292">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679" w:name="_Toc95223430"/>
      <w:r>
        <w:rPr>
          <w:rFonts w:hint="eastAsia" w:ascii="黑体" w:hAnsi="黑体" w:cs="黑体"/>
          <w:color w:val="auto"/>
          <w:sz w:val="21"/>
          <w:szCs w:val="21"/>
          <w:highlight w:val="none"/>
        </w:rPr>
        <w:t>2.评标委员会的职责</w:t>
      </w:r>
      <w:bookmarkEnd w:id="679"/>
    </w:p>
    <w:p w14:paraId="7592838F">
      <w:pPr>
        <w:adjustRightInd w:val="0"/>
        <w:snapToGrid w:val="0"/>
        <w:spacing w:line="560" w:lineRule="exact"/>
        <w:ind w:firstLine="420" w:firstLineChars="200"/>
        <w:rPr>
          <w:rFonts w:hint="eastAsia" w:ascii="宋体" w:hAnsi="宋体" w:cs="宋体"/>
          <w:color w:val="auto"/>
          <w:szCs w:val="21"/>
          <w:highlight w:val="none"/>
        </w:rPr>
      </w:pPr>
      <w:bookmarkStart w:id="680" w:name="_Toc95223431"/>
      <w:r>
        <w:rPr>
          <w:rFonts w:hint="eastAsia" w:ascii="宋体" w:hAnsi="宋体" w:cs="宋体"/>
          <w:color w:val="auto"/>
          <w:szCs w:val="21"/>
          <w:highlight w:val="none"/>
        </w:rPr>
        <w:t>评标委员会应当根据本评标办法，应进行系统地评审和比较，向招标人推荐中标候选人或根据招标人的授权直接确定中标人。各评委必须独立评审，提出评审意见，不受任何单位或者个人的干预。各评委对其各自评审结果负责，并在评标报告上签字确认。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69C9CBA5">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评标委员会应加强对报价合理性审查。评标评审委员会认为拟推荐的中标候选人的报价明显低于其他通过符合性审查投标人的报价，存在异常低价，有可能影响项目质量或者不能诚信履约的，应当要求投标人在评标现场合理的时间内提供书面说明，必要时提交相关证明材料；投标人不能证明其报价合理性的，或评标委员会认定其存在履约及质量安全风险的，评标评审委员会应当将其作为无效投标处理。</w:t>
      </w:r>
    </w:p>
    <w:p w14:paraId="6DA21E8A">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r>
        <w:rPr>
          <w:rFonts w:hint="eastAsia" w:ascii="黑体" w:hAnsi="黑体" w:cs="黑体"/>
          <w:color w:val="auto"/>
          <w:sz w:val="21"/>
          <w:szCs w:val="21"/>
          <w:highlight w:val="none"/>
        </w:rPr>
        <w:t>3.评标程序</w:t>
      </w:r>
      <w:bookmarkEnd w:id="680"/>
    </w:p>
    <w:p w14:paraId="601192D5">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评标先做准备工作，再进行资格、技术标评审，然后进行商务标评审。</w:t>
      </w:r>
    </w:p>
    <w:p w14:paraId="455D136D">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681" w:name="_Toc95223432"/>
      <w:r>
        <w:rPr>
          <w:rFonts w:hint="eastAsia" w:ascii="黑体" w:hAnsi="黑体" w:cs="黑体"/>
          <w:color w:val="auto"/>
          <w:sz w:val="21"/>
          <w:szCs w:val="21"/>
          <w:highlight w:val="none"/>
        </w:rPr>
        <w:t>3.1评标准备工作</w:t>
      </w:r>
      <w:bookmarkEnd w:id="681"/>
    </w:p>
    <w:p w14:paraId="70DA952C">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评标委员会熟悉评标工作情况：</w:t>
      </w:r>
    </w:p>
    <w:p w14:paraId="23010710">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（1）阅读由招标人或者其委托的工程代理机构编制的招标项目情况材料。</w:t>
      </w:r>
    </w:p>
    <w:p w14:paraId="4BF243A5">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（2）阅读、研究招标文件和相关评标资料，获取评标所需要的重要信息和数据，至少应了解和熟悉以下内容：招标项目的范围和性质，招标文件规定的主要技术要求、标准和商务条款。</w:t>
      </w:r>
    </w:p>
    <w:p w14:paraId="4B8AD7E7">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（3）熟悉招标文件规定的评标标准和评标方法及在评标过程中需要考虑的相关因素。</w:t>
      </w:r>
    </w:p>
    <w:p w14:paraId="61BDBDC0">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（4）核对评标工作用表。</w:t>
      </w:r>
    </w:p>
    <w:p w14:paraId="60A24EC6">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682" w:name="_Toc95223433"/>
      <w:r>
        <w:rPr>
          <w:rFonts w:hint="eastAsia" w:ascii="黑体" w:hAnsi="黑体" w:cs="黑体"/>
          <w:color w:val="auto"/>
          <w:sz w:val="21"/>
          <w:szCs w:val="21"/>
          <w:highlight w:val="none"/>
        </w:rPr>
        <w:t>3.2技术标评审</w:t>
      </w:r>
      <w:bookmarkEnd w:id="682"/>
    </w:p>
    <w:p w14:paraId="15FDD6F8">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详见技术标评审表。</w:t>
      </w:r>
    </w:p>
    <w:p w14:paraId="69731601">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683" w:name="_Toc95223434"/>
      <w:r>
        <w:rPr>
          <w:rFonts w:hint="eastAsia" w:ascii="黑体" w:hAnsi="黑体" w:cs="黑体"/>
          <w:color w:val="auto"/>
          <w:sz w:val="21"/>
          <w:szCs w:val="21"/>
          <w:highlight w:val="none"/>
        </w:rPr>
        <w:t>3.3商务标评审</w:t>
      </w:r>
      <w:bookmarkEnd w:id="683"/>
    </w:p>
    <w:p w14:paraId="102ED281">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详见商务标评审表。</w:t>
      </w:r>
    </w:p>
    <w:p w14:paraId="7117156C">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r>
        <w:rPr>
          <w:rFonts w:hint="eastAsia" w:ascii="黑体" w:hAnsi="黑体" w:cs="黑体"/>
          <w:color w:val="auto"/>
          <w:sz w:val="21"/>
          <w:szCs w:val="21"/>
          <w:highlight w:val="none"/>
        </w:rPr>
        <w:t>3.4推荐中标候选人</w:t>
      </w:r>
    </w:p>
    <w:p w14:paraId="4B51808F">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资信评审、技术标评审、商务标评审后，推荐</w:t>
      </w:r>
      <w:r>
        <w:rPr>
          <w:rFonts w:hint="eastAsia" w:ascii="宋体" w:hAnsi="宋体" w:cs="宋体"/>
          <w:color w:val="auto"/>
          <w:szCs w:val="21"/>
          <w:highlight w:val="none"/>
          <w:lang w:val="en-US" w:eastAsia="zh-CN"/>
        </w:rPr>
        <w:t>3名</w:t>
      </w:r>
      <w:r>
        <w:rPr>
          <w:rFonts w:hint="eastAsia" w:ascii="宋体" w:hAnsi="宋体" w:cs="宋体"/>
          <w:color w:val="auto"/>
          <w:szCs w:val="21"/>
          <w:highlight w:val="none"/>
        </w:rPr>
        <w:t>中标候选</w:t>
      </w:r>
      <w:r>
        <w:rPr>
          <w:rFonts w:hint="eastAsia" w:ascii="宋体" w:hAnsi="宋体" w:cs="宋体"/>
          <w:color w:val="auto"/>
          <w:szCs w:val="21"/>
          <w:highlight w:val="none"/>
          <w:lang w:val="en-US" w:eastAsia="zh-CN"/>
        </w:rPr>
        <w:t>人（不排序）</w:t>
      </w:r>
      <w:r>
        <w:rPr>
          <w:rFonts w:hint="eastAsia" w:ascii="宋体" w:hAnsi="宋体" w:cs="宋体"/>
          <w:color w:val="auto"/>
          <w:szCs w:val="21"/>
          <w:highlight w:val="none"/>
        </w:rPr>
        <w:t>。</w:t>
      </w:r>
    </w:p>
    <w:p w14:paraId="6850256A">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684" w:name="_Toc95223435"/>
      <w:r>
        <w:rPr>
          <w:rFonts w:hint="eastAsia" w:ascii="黑体" w:hAnsi="黑体" w:cs="黑体"/>
          <w:color w:val="auto"/>
          <w:sz w:val="21"/>
          <w:szCs w:val="21"/>
          <w:highlight w:val="none"/>
        </w:rPr>
        <w:t>4.评审内容</w:t>
      </w:r>
      <w:bookmarkEnd w:id="684"/>
    </w:p>
    <w:p w14:paraId="2CA2E1E0">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685" w:name="_Toc95223436"/>
      <w:r>
        <w:rPr>
          <w:rFonts w:hint="eastAsia" w:ascii="黑体" w:hAnsi="黑体" w:cs="黑体"/>
          <w:color w:val="auto"/>
          <w:sz w:val="21"/>
          <w:szCs w:val="21"/>
          <w:highlight w:val="none"/>
        </w:rPr>
        <w:t>4.1技术标评审</w:t>
      </w:r>
      <w:bookmarkEnd w:id="685"/>
    </w:p>
    <w:p w14:paraId="23780F01">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4.1.1形式性评审标准：见技术标评审表。</w:t>
      </w:r>
    </w:p>
    <w:p w14:paraId="4FEB2782">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4.1.2响应性评审标准：见技术标评审表。</w:t>
      </w:r>
    </w:p>
    <w:p w14:paraId="1E026CA4">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评标委员会依据上述标准对投标文件进行形式性评审和响应性评审。有一项不符合评审标准的，作无效投标处理。对否定的技术标，评标委员会要提出充足的否定理由，并填写在技术标评标记录上。</w:t>
      </w:r>
    </w:p>
    <w:p w14:paraId="30B05B0F">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686" w:name="_Toc95223437"/>
      <w:r>
        <w:rPr>
          <w:rFonts w:hint="eastAsia" w:ascii="黑体" w:hAnsi="黑体" w:cs="黑体"/>
          <w:color w:val="auto"/>
          <w:sz w:val="21"/>
          <w:szCs w:val="21"/>
          <w:highlight w:val="none"/>
        </w:rPr>
        <w:t>4.2商务标评审</w:t>
      </w:r>
      <w:bookmarkEnd w:id="686"/>
    </w:p>
    <w:p w14:paraId="76E05D46">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只有通过技术标评审的投标才能够进入本阶段评审。</w:t>
      </w:r>
    </w:p>
    <w:p w14:paraId="01E8CE7E">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4.2.1形式性评审标准：见商务标评审表。</w:t>
      </w:r>
    </w:p>
    <w:p w14:paraId="16C39943">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4.2.2响应性评审标准：见商务标评审表。</w:t>
      </w:r>
    </w:p>
    <w:p w14:paraId="6F5B7F52">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评标委员会依据上述标准对投标文件进行初步评审。有一项不符合评审标准的，作无效投标处理。</w:t>
      </w:r>
    </w:p>
    <w:p w14:paraId="34C55566">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4.2.3详细评审标准：见商务标评审表。</w:t>
      </w:r>
    </w:p>
    <w:p w14:paraId="66DC291B">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4.2.3.1投标报价清标</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本项目不采用）</w:t>
      </w:r>
      <w:r>
        <w:rPr>
          <w:rFonts w:hint="eastAsia" w:ascii="宋体" w:hAnsi="宋体" w:cs="宋体"/>
          <w:color w:val="auto"/>
          <w:szCs w:val="21"/>
          <w:highlight w:val="none"/>
        </w:rPr>
        <w:t>：</w:t>
      </w:r>
    </w:p>
    <w:p w14:paraId="789D9892">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（1）清标是指通过对需要评审的工程量清单投标报价采用核对、比较、筛选等方法，对基础性数据进行分析和整理。其目的是找出投标文件中可能存在疑义或者显著异常的数据，为评审中的质疑工作提供基础。</w:t>
      </w:r>
    </w:p>
    <w:p w14:paraId="77575756">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（2）清标工作应当使用计算机辅助评标系统，由计算机完成。</w:t>
      </w:r>
    </w:p>
    <w:p w14:paraId="7D222D16">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（3）清标的内容和步骤：</w:t>
      </w:r>
    </w:p>
    <w:p w14:paraId="6414AC86">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① 投标文件在符合性、响应性等方面存在的偏差。</w:t>
      </w:r>
    </w:p>
    <w:p w14:paraId="516FE0A7">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② 投标文件存在的算术计算错误和修正结果。</w:t>
      </w:r>
    </w:p>
    <w:p w14:paraId="54A95334">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③ 在列出的所有偏差中，属于重大偏差的情形和相关依据；在列出的所有偏差中、属于细微偏差的情形。</w:t>
      </w:r>
    </w:p>
    <w:p w14:paraId="3BE13076">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④ 列出投标价格过高或过低等的清单项目的序号、项目编码、项目名称、项目特征、与招标文件规定的标准之间存在的偏差幅度和产生原因的摘录。</w:t>
      </w:r>
    </w:p>
    <w:p w14:paraId="605915FF">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4.2.4评标委员会审查投标文件，审核并确认</w:t>
      </w:r>
      <w:r>
        <w:rPr>
          <w:rFonts w:hint="eastAsia" w:ascii="宋体" w:hAnsi="宋体" w:cs="宋体"/>
          <w:color w:val="auto"/>
          <w:szCs w:val="21"/>
          <w:highlight w:val="none"/>
          <w:lang w:val="en-US" w:eastAsia="zh-CN"/>
        </w:rPr>
        <w:t>评审</w:t>
      </w:r>
      <w:r>
        <w:rPr>
          <w:rFonts w:hint="eastAsia" w:ascii="宋体" w:hAnsi="宋体" w:cs="宋体"/>
          <w:color w:val="auto"/>
          <w:szCs w:val="21"/>
          <w:highlight w:val="none"/>
        </w:rPr>
        <w:t>结果，投标报价有错误的，评标委员会按以下原则对投标报价进行修正。</w:t>
      </w:r>
    </w:p>
    <w:p w14:paraId="41879FB8">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（1）投标文件中的大写金额与小写金额不一致的，以大写金额为准。</w:t>
      </w:r>
    </w:p>
    <w:p w14:paraId="05575614">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（2）总价金额与依据单价计算出的结果不一致的，以单价金额为准修正总价，但单价金额小数点有明显错误的除外。</w:t>
      </w:r>
    </w:p>
    <w:p w14:paraId="2094B65F">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（3）工程量清单报价表中综合单价与工程量清单项目价格分析表相对应综合单价不一致时，以工程量清单项目价格分析表中标出的综合单价为准。</w:t>
      </w:r>
    </w:p>
    <w:p w14:paraId="4E5AE0B2">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按上述修正错误的原则及方法调整或修正投标文件的投标报价，调整或修正的价格经投标人书面确认后具有约束力。中标价原则上以调整或修正后的价格为准，调整或修正后的价格与投标报价相比，价格低的为中标价。投标人不接受的，其投标将被拒绝。</w:t>
      </w:r>
    </w:p>
    <w:p w14:paraId="3BD16EAE">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687" w:name="_Toc95223438"/>
      <w:r>
        <w:rPr>
          <w:rFonts w:hint="eastAsia" w:ascii="黑体" w:hAnsi="黑体" w:cs="黑体"/>
          <w:color w:val="auto"/>
          <w:sz w:val="21"/>
          <w:szCs w:val="21"/>
          <w:highlight w:val="none"/>
        </w:rPr>
        <w:t>5.无效投标条款</w:t>
      </w:r>
      <w:bookmarkEnd w:id="687"/>
    </w:p>
    <w:p w14:paraId="405DB9FA">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5.1投标人存在下列情形的招标人将拒收投标文件：</w:t>
      </w:r>
    </w:p>
    <w:p w14:paraId="1F62FD76">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未在投标截止时间前通过网上招标投标系统递交有效电子投标文件的，开标系统不予接收，投标将被拒绝。</w:t>
      </w:r>
    </w:p>
    <w:p w14:paraId="40C476D9">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所有投标人应在规定时间里完成投标文件的解密工作（投标企业接到远程解密指令后，须在规定时间内解密（以网上开评标系统解密倒计时为准）。因投标人自身原因导致投标文件在规定时间内未能解密、解密失败或解密超时，投标文件无效；因招标人或代理公司原因或网上平台发生故障，导致无法按时完成投标文件解密的，经代理公司申请后可延迟解密时间）。</w:t>
      </w:r>
    </w:p>
    <w:p w14:paraId="240B4C87">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5.2投标人有下列情形的，经评审后其投标作无效投标处理：</w:t>
      </w:r>
    </w:p>
    <w:p w14:paraId="2052A3FF">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5.2.1技术标评审</w:t>
      </w:r>
    </w:p>
    <w:p w14:paraId="22CA483A">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评标委员会依据《技术标评审表》进行形式性评审和响应性评审。有一项不符合评审标准的，做无效投标处理；对否定的技术标，评标委员会要提出充足的否定理由，并填写在技术标评标记录上。</w:t>
      </w:r>
    </w:p>
    <w:p w14:paraId="48A42FA3">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5.2.2商务标评审</w:t>
      </w:r>
    </w:p>
    <w:p w14:paraId="47AEA2F2">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(1)评标委员会依据《商务标评审表》进行形式性评审和响应性评审。有一项不符合评审标准的，做无效投标处理；</w:t>
      </w:r>
    </w:p>
    <w:p w14:paraId="584BC619">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（2）商务标详细评审标准中有任何一项不能通过评审的，作无效投标处理。</w:t>
      </w:r>
    </w:p>
    <w:p w14:paraId="7644E065">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5.3其他无效投标情况：</w:t>
      </w:r>
    </w:p>
    <w:p w14:paraId="1418E0D1">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评标委员会发现投标人的投标报价明显低于其他投标报价，使得其投标报价可能低于其成本的，应当要求该投标人作出书面说明并提供相应的证明材料。投标人不能合理说明或者不能提供相应证明材料的，由评标委员会认定该投标人以低于成本报价竞标，其投标作无效投标处理。</w:t>
      </w:r>
    </w:p>
    <w:p w14:paraId="667A599F">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（2）按第四章“评标方法”4.2.4项修正错误的原则及方法调整或修正投标文件的投标报价，调整或修正的价格经投标人书面确认后具有约束力。投标人不接受修正价格的，其投标将被拒绝。</w:t>
      </w:r>
    </w:p>
    <w:p w14:paraId="6E0FD82F">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（3）第二章“投标人须知”第1.4.3项规定的任何一种情形的。</w:t>
      </w:r>
    </w:p>
    <w:p w14:paraId="4BA4071E">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（4）投标人有串通投标、视为串通投标、弄虚作假、行贿等违法行为。</w:t>
      </w:r>
    </w:p>
    <w:p w14:paraId="73A0BC8E">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（5）投标文件没有对招标文件的实质性要求和条件作出响应。</w:t>
      </w:r>
    </w:p>
    <w:p w14:paraId="1D269B26">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（6）未按规定的格式填写导致实质性内容不全以及实质上不响应，或者关键字迹模糊、无法辨认；经公共资源交易监督部门核准的。</w:t>
      </w:r>
    </w:p>
    <w:p w14:paraId="31733E39">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（7）同一投标人提交两个以上不同的投标文件或者投标报价，但招标文件规定提交备选投标的除外。</w:t>
      </w:r>
    </w:p>
    <w:p w14:paraId="6752DA77">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（8）投标文件中存在招标人不能接受的其他实质性条件。</w:t>
      </w:r>
    </w:p>
    <w:p w14:paraId="5FF7C54C">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（9）投标文件中填报的拟任项目经理（建造师）与资格审查通过的项目经理（建造师）（或注册建造师）前后不一致的。</w:t>
      </w:r>
    </w:p>
    <w:p w14:paraId="48C2A60E">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（10）投标人拒不按照要求对投标文件进行澄清、说明、补正的，或评标委员会根据招标文件的规定对招标文件的计算错误进行修正后，投标人不接受修正的投标报价的。</w:t>
      </w:r>
    </w:p>
    <w:p w14:paraId="4D8B9F59">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（11）投标人投标MAC地址一致。</w:t>
      </w:r>
    </w:p>
    <w:p w14:paraId="6979A7EE">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（12）投标人单方面出现其他投标人材料。</w:t>
      </w:r>
    </w:p>
    <w:p w14:paraId="604112BE">
      <w:pPr>
        <w:adjustRightInd w:val="0"/>
        <w:snapToGrid w:val="0"/>
        <w:spacing w:line="560" w:lineRule="exact"/>
        <w:ind w:firstLine="420" w:firstLineChars="200"/>
        <w:rPr>
          <w:rFonts w:ascii="宋体" w:hAnsi="宋体" w:cs="宋体"/>
          <w:strike/>
          <w:color w:val="auto"/>
          <w:szCs w:val="21"/>
          <w:highlight w:val="none"/>
        </w:rPr>
      </w:pPr>
      <w:r>
        <w:rPr>
          <w:rFonts w:hint="eastAsia" w:ascii="宋体" w:hAnsi="宋体" w:cs="宋体"/>
          <w:color w:val="auto"/>
          <w:szCs w:val="21"/>
          <w:highlight w:val="none"/>
        </w:rPr>
        <w:t>（13）</w:t>
      </w:r>
      <w:r>
        <w:rPr>
          <w:rFonts w:hint="eastAsia" w:ascii="宋体" w:hAnsi="宋体" w:cs="宋体"/>
          <w:bCs/>
          <w:color w:val="auto"/>
          <w:szCs w:val="21"/>
          <w:highlight w:val="none"/>
        </w:rPr>
        <w:t>评标时查询投标文件制作机器码、文件创建标识码及造价软件加密锁号。若存在投标文件制作机器码或创建标识码或造价软件加密锁号信息与其他投标人雷同的，投标无效。</w:t>
      </w:r>
    </w:p>
    <w:p w14:paraId="2A92713A">
      <w:pPr>
        <w:adjustRightInd w:val="0"/>
        <w:snapToGrid w:val="0"/>
        <w:spacing w:line="560" w:lineRule="exact"/>
        <w:ind w:firstLine="420" w:firstLineChars="200"/>
        <w:rPr>
          <w:rFonts w:ascii="宋体" w:hAnsi="宋体" w:cs="宋体"/>
          <w:strike/>
          <w:color w:val="auto"/>
          <w:szCs w:val="21"/>
          <w:highlight w:val="none"/>
        </w:rPr>
      </w:pPr>
      <w:r>
        <w:rPr>
          <w:rFonts w:hint="eastAsia" w:ascii="宋体" w:hAnsi="宋体" w:cs="宋体"/>
          <w:bCs/>
          <w:color w:val="auto"/>
          <w:szCs w:val="21"/>
          <w:highlight w:val="none"/>
        </w:rPr>
        <w:t>（14）</w:t>
      </w:r>
      <w:r>
        <w:rPr>
          <w:rFonts w:hint="eastAsia" w:ascii="宋体" w:hAnsi="宋体" w:cs="宋体"/>
          <w:color w:val="auto"/>
          <w:szCs w:val="21"/>
          <w:highlight w:val="none"/>
          <w:lang w:bidi="ar"/>
        </w:rPr>
        <w:t>投标人申请开具电子保函MAC地址一致。</w:t>
      </w:r>
    </w:p>
    <w:p w14:paraId="539B690F">
      <w:pPr>
        <w:adjustRightInd w:val="0"/>
        <w:snapToGrid w:val="0"/>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（15）投标人联系人或联系电话相同的。</w:t>
      </w:r>
    </w:p>
    <w:p w14:paraId="7D65496E">
      <w:pPr>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（16）法律、法规规定的其他情形。</w:t>
      </w:r>
    </w:p>
    <w:p w14:paraId="3C2B9E02">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688" w:name="_Toc95223439"/>
      <w:r>
        <w:rPr>
          <w:rFonts w:hint="eastAsia" w:ascii="黑体" w:hAnsi="黑体" w:cs="黑体"/>
          <w:color w:val="auto"/>
          <w:sz w:val="21"/>
          <w:szCs w:val="21"/>
          <w:highlight w:val="none"/>
        </w:rPr>
        <w:t>6.投标文件的澄清和补正</w:t>
      </w:r>
      <w:bookmarkEnd w:id="688"/>
    </w:p>
    <w:p w14:paraId="470198FD">
      <w:pPr>
        <w:adjustRightInd w:val="0"/>
        <w:snapToGrid w:val="0"/>
        <w:spacing w:line="560" w:lineRule="exact"/>
        <w:ind w:firstLine="420" w:firstLineChars="200"/>
        <w:rPr>
          <w:rFonts w:hint="eastAsia" w:ascii="宋体" w:hAnsi="宋体" w:cs="宋体"/>
          <w:color w:val="000000"/>
          <w:szCs w:val="21"/>
        </w:rPr>
      </w:pPr>
      <w:bookmarkStart w:id="689" w:name="_Toc95223440"/>
      <w:r>
        <w:rPr>
          <w:rFonts w:hint="eastAsia" w:ascii="宋体" w:hAnsi="宋体" w:cs="宋体"/>
          <w:color w:val="000000"/>
          <w:szCs w:val="21"/>
        </w:rPr>
        <w:t>6.1在评标过程中，评标委员会可以书面形式要求投标人对所提交的投标文件中含义不明确、对同类问题表述不一致或者有明显文字和计算错误”，其他评标办法请一并修改的内容进行书面澄清或说明，或者对细微偏差进行补正。评标委员会不接受投标人主动提出的澄清、说明或补正。</w:t>
      </w:r>
    </w:p>
    <w:p w14:paraId="6177360D">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6.2澄清、说明和补正不得改变投标文件的实质性内容（算术性错误修正的除外）。投标人的书面澄清、说明和补正属于投标文件的组成部分。</w:t>
      </w:r>
    </w:p>
    <w:p w14:paraId="18E944BB">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6.3评标委员会对投标人提交的澄清、说明和补正有疑问的，可以要求投标人进一步澄清、说明或补正、直至满足评标委员会的要求。</w:t>
      </w:r>
    </w:p>
    <w:p w14:paraId="20BFDF7E">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按照投标文件规定进行澄清、补正后的投标报价经投标人的法定代表人或其委托代理人确认后即为该投标人的最终投标报价。投标人一旦中标，此报价即为中标价。</w:t>
      </w:r>
    </w:p>
    <w:p w14:paraId="082A0173">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r>
        <w:rPr>
          <w:rFonts w:hint="eastAsia" w:ascii="黑体" w:hAnsi="黑体" w:cs="黑体"/>
          <w:color w:val="auto"/>
          <w:sz w:val="21"/>
          <w:szCs w:val="21"/>
          <w:highlight w:val="none"/>
        </w:rPr>
        <w:t>7.评分标准</w:t>
      </w:r>
      <w:bookmarkEnd w:id="689"/>
    </w:p>
    <w:p w14:paraId="68DA5E45">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7.1评分标准：见评分表。</w:t>
      </w:r>
    </w:p>
    <w:p w14:paraId="3F6057C3">
      <w:pPr>
        <w:pStyle w:val="3"/>
        <w:adjustRightInd w:val="0"/>
        <w:snapToGrid w:val="0"/>
        <w:spacing w:before="0" w:after="0" w:line="560" w:lineRule="exact"/>
        <w:ind w:firstLine="422" w:firstLineChars="200"/>
        <w:rPr>
          <w:rFonts w:hint="eastAsia" w:ascii="黑体" w:hAnsi="黑体" w:cs="黑体"/>
          <w:color w:val="auto"/>
          <w:sz w:val="21"/>
          <w:szCs w:val="21"/>
          <w:highlight w:val="none"/>
        </w:rPr>
      </w:pPr>
      <w:bookmarkStart w:id="690" w:name="_Toc95223441"/>
      <w:r>
        <w:rPr>
          <w:rFonts w:hint="eastAsia" w:ascii="黑体" w:hAnsi="黑体" w:cs="黑体"/>
          <w:color w:val="auto"/>
          <w:sz w:val="21"/>
          <w:szCs w:val="21"/>
          <w:highlight w:val="none"/>
        </w:rPr>
        <w:t>8.评审结果</w:t>
      </w:r>
      <w:bookmarkEnd w:id="690"/>
    </w:p>
    <w:p w14:paraId="6735DD53">
      <w:pPr>
        <w:adjustRightInd w:val="0"/>
        <w:snapToGrid w:val="0"/>
        <w:spacing w:line="56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8.1评标委员会按照各项评审因素的总得分从高到低推荐</w:t>
      </w:r>
      <w:r>
        <w:rPr>
          <w:rFonts w:hint="eastAsia" w:ascii="宋体" w:hAnsi="宋体" w:cs="宋体"/>
          <w:color w:val="auto"/>
          <w:szCs w:val="21"/>
          <w:highlight w:val="none"/>
          <w:lang w:val="en-US" w:eastAsia="zh-CN"/>
        </w:rPr>
        <w:t>3名</w:t>
      </w:r>
      <w:r>
        <w:rPr>
          <w:rFonts w:hint="eastAsia" w:ascii="宋体" w:hAnsi="宋体" w:cs="宋体"/>
          <w:color w:val="auto"/>
          <w:szCs w:val="21"/>
          <w:highlight w:val="none"/>
        </w:rPr>
        <w:t>中标候选人</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不排序）</w:t>
      </w:r>
      <w:r>
        <w:rPr>
          <w:rFonts w:hint="eastAsia" w:ascii="宋体" w:hAnsi="宋体" w:cs="宋体"/>
          <w:color w:val="auto"/>
          <w:szCs w:val="21"/>
          <w:highlight w:val="none"/>
        </w:rPr>
        <w:t>。如总得分相等，以投标报价低的优先，投标报价仍相等，由评标委员会主任委员或招标人随机抽取确定。</w:t>
      </w:r>
    </w:p>
    <w:p w14:paraId="29ADE9E3">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8.2评标委员会完成评标后，应当向招标人提交书面评标报告。评标报告应当如实记载以下内容：</w:t>
      </w:r>
    </w:p>
    <w:p w14:paraId="157DB894">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（1）基本情况和数据表。</w:t>
      </w:r>
    </w:p>
    <w:p w14:paraId="74A27287">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（2）评标委员会成员名单。</w:t>
      </w:r>
    </w:p>
    <w:p w14:paraId="375C9B0A">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（3）开标记录。</w:t>
      </w:r>
    </w:p>
    <w:p w14:paraId="4EFE175A">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（4）符合要求的投标人一览表。</w:t>
      </w:r>
    </w:p>
    <w:p w14:paraId="01EC15F9">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（5）否决投标情况说明。</w:t>
      </w:r>
    </w:p>
    <w:p w14:paraId="31568D04">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（6）评标标准、评标方法或者评标因素。</w:t>
      </w:r>
    </w:p>
    <w:p w14:paraId="4B6C7114">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（7）评标情况一览表。</w:t>
      </w:r>
    </w:p>
    <w:p w14:paraId="60AE95C5">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（8）经评审的投标人</w:t>
      </w:r>
      <w:r>
        <w:rPr>
          <w:rFonts w:hint="eastAsia" w:ascii="宋体" w:hAnsi="宋体" w:cs="宋体"/>
          <w:color w:val="auto"/>
          <w:szCs w:val="21"/>
          <w:highlight w:val="none"/>
          <w:lang w:val="en-US" w:eastAsia="zh-CN"/>
        </w:rPr>
        <w:t>情况表</w:t>
      </w:r>
      <w:r>
        <w:rPr>
          <w:rFonts w:hint="eastAsia" w:ascii="宋体" w:hAnsi="宋体" w:cs="宋体"/>
          <w:color w:val="auto"/>
          <w:szCs w:val="21"/>
          <w:highlight w:val="none"/>
        </w:rPr>
        <w:t>。</w:t>
      </w:r>
    </w:p>
    <w:p w14:paraId="2BF51C20">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（9）推荐的中标候选人名单与签订合同前要处理的事宜。</w:t>
      </w:r>
    </w:p>
    <w:p w14:paraId="09A5D0CD">
      <w:pPr>
        <w:adjustRightInd w:val="0"/>
        <w:snapToGrid w:val="0"/>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（10）澄清、说明、补正事项纪要。</w:t>
      </w:r>
    </w:p>
    <w:p w14:paraId="4B31DC1B">
      <w:pPr>
        <w:pStyle w:val="3"/>
        <w:adjustRightInd w:val="0"/>
        <w:snapToGrid w:val="0"/>
        <w:spacing w:before="0" w:after="0" w:line="520" w:lineRule="exact"/>
        <w:ind w:firstLine="422" w:firstLineChars="200"/>
        <w:rPr>
          <w:rFonts w:hint="eastAsia" w:ascii="黑体" w:hAnsi="黑体" w:cs="黑体"/>
          <w:color w:val="auto"/>
          <w:sz w:val="21"/>
          <w:szCs w:val="21"/>
          <w:highlight w:val="none"/>
        </w:rPr>
      </w:pPr>
      <w:bookmarkStart w:id="691" w:name="_Toc95223442"/>
      <w:r>
        <w:rPr>
          <w:rFonts w:hint="eastAsia" w:ascii="黑体" w:hAnsi="黑体" w:cs="黑体"/>
          <w:color w:val="auto"/>
          <w:sz w:val="21"/>
          <w:szCs w:val="21"/>
          <w:highlight w:val="none"/>
        </w:rPr>
        <w:t>9.其他</w:t>
      </w:r>
      <w:bookmarkEnd w:id="691"/>
    </w:p>
    <w:p w14:paraId="745E1282">
      <w:pPr>
        <w:adjustRightInd w:val="0"/>
        <w:snapToGrid w:val="0"/>
        <w:spacing w:line="520" w:lineRule="exact"/>
        <w:ind w:firstLine="420" w:firstLineChars="200"/>
        <w:rPr>
          <w:rFonts w:hint="eastAsia"/>
          <w:color w:val="auto"/>
          <w:highlight w:val="none"/>
        </w:rPr>
      </w:pPr>
      <w:r>
        <w:rPr>
          <w:rFonts w:hint="eastAsia" w:ascii="宋体" w:hAnsi="宋体" w:cs="宋体"/>
          <w:color w:val="auto"/>
          <w:szCs w:val="21"/>
          <w:highlight w:val="none"/>
        </w:rPr>
        <w:t>投标人提供的与投标文件有关的各类证书、证明、文件、资料等的真实性、合法性由投标人负全责。</w:t>
      </w:r>
    </w:p>
    <w:p w14:paraId="0BF52E6D">
      <w:pPr>
        <w:pStyle w:val="2"/>
        <w:adjustRightInd w:val="0"/>
        <w:snapToGrid w:val="0"/>
        <w:spacing w:before="0" w:after="0" w:line="560" w:lineRule="exact"/>
        <w:jc w:val="center"/>
        <w:rPr>
          <w:color w:val="auto"/>
          <w:highlight w:val="none"/>
        </w:rPr>
        <w:sectPr>
          <w:footerReference r:id="rId4" w:type="default"/>
          <w:footnotePr>
            <w:numFmt w:val="decimalEnclosedCircleChinese"/>
            <w:numRestart w:val="eachPage"/>
          </w:footnotePr>
          <w:pgSz w:w="11907" w:h="16840"/>
          <w:pgMar w:top="1474" w:right="1474" w:bottom="1474" w:left="1474" w:header="799" w:footer="907" w:gutter="0"/>
          <w:pgNumType w:fmt="numberInDash" w:start="1"/>
          <w:cols w:space="720" w:num="1"/>
          <w:docGrid w:linePitch="271" w:charSpace="0"/>
        </w:sectPr>
      </w:pPr>
      <w:bookmarkStart w:id="692" w:name="_Toc95223458"/>
    </w:p>
    <w:p w14:paraId="7CF86A2F">
      <w:pPr>
        <w:pStyle w:val="2"/>
        <w:adjustRightInd w:val="0"/>
        <w:snapToGrid w:val="0"/>
        <w:spacing w:before="0" w:after="0" w:line="560" w:lineRule="exact"/>
        <w:jc w:val="center"/>
        <w:rPr>
          <w:rFonts w:hint="eastAsia"/>
          <w:color w:val="auto"/>
          <w:highlight w:val="none"/>
        </w:rPr>
      </w:pPr>
      <w:r>
        <w:rPr>
          <w:rFonts w:hint="eastAsia"/>
          <w:color w:val="auto"/>
          <w:highlight w:val="none"/>
        </w:rPr>
        <w:t>第五章 合同条款及格式</w:t>
      </w:r>
      <w:bookmarkEnd w:id="692"/>
    </w:p>
    <w:p w14:paraId="7878A654">
      <w:pPr>
        <w:adjustRightInd w:val="0"/>
        <w:snapToGrid w:val="0"/>
        <w:spacing w:line="560" w:lineRule="exact"/>
        <w:jc w:val="center"/>
        <w:rPr>
          <w:rFonts w:hint="eastAsia" w:eastAsia="仿宋_GB2312"/>
          <w:bCs/>
          <w:color w:val="auto"/>
          <w:sz w:val="32"/>
          <w:szCs w:val="32"/>
          <w:highlight w:val="none"/>
        </w:rPr>
      </w:pPr>
    </w:p>
    <w:p w14:paraId="00E27BCE">
      <w:pPr>
        <w:adjustRightInd w:val="0"/>
        <w:snapToGrid w:val="0"/>
        <w:spacing w:line="560" w:lineRule="exact"/>
        <w:jc w:val="center"/>
        <w:rPr>
          <w:rFonts w:hint="eastAsia" w:eastAsia="仿宋_GB2312"/>
          <w:bCs/>
          <w:color w:val="auto"/>
          <w:sz w:val="32"/>
          <w:szCs w:val="32"/>
          <w:highlight w:val="none"/>
        </w:rPr>
      </w:pPr>
    </w:p>
    <w:p w14:paraId="293C2B21">
      <w:pPr>
        <w:adjustRightInd w:val="0"/>
        <w:snapToGrid w:val="0"/>
        <w:spacing w:line="560" w:lineRule="exact"/>
        <w:jc w:val="center"/>
        <w:rPr>
          <w:rFonts w:hint="eastAsia" w:eastAsia="仿宋_GB2312"/>
          <w:bCs/>
          <w:color w:val="auto"/>
          <w:sz w:val="32"/>
          <w:szCs w:val="32"/>
          <w:highlight w:val="none"/>
        </w:rPr>
      </w:pPr>
    </w:p>
    <w:p w14:paraId="76F58068">
      <w:pPr>
        <w:adjustRightInd w:val="0"/>
        <w:snapToGrid w:val="0"/>
        <w:spacing w:line="560" w:lineRule="exact"/>
        <w:jc w:val="center"/>
        <w:rPr>
          <w:rFonts w:eastAsia="仿宋_GB2312"/>
          <w:bCs/>
          <w:color w:val="auto"/>
          <w:sz w:val="32"/>
          <w:szCs w:val="32"/>
          <w:highlight w:val="none"/>
          <w:u w:val="single"/>
        </w:rPr>
      </w:pPr>
      <w:r>
        <w:rPr>
          <w:rFonts w:hint="eastAsia" w:eastAsia="仿宋_GB2312"/>
          <w:bCs/>
          <w:color w:val="auto"/>
          <w:sz w:val="32"/>
          <w:szCs w:val="32"/>
          <w:highlight w:val="none"/>
        </w:rPr>
        <w:t>合同编号：</w:t>
      </w:r>
      <w:r>
        <w:rPr>
          <w:rFonts w:hint="eastAsia" w:eastAsia="仿宋_GB2312"/>
          <w:bCs/>
          <w:color w:val="auto"/>
          <w:sz w:val="32"/>
          <w:szCs w:val="32"/>
          <w:highlight w:val="none"/>
          <w:u w:val="single"/>
        </w:rPr>
        <w:t>（HT-YL- ）</w:t>
      </w:r>
    </w:p>
    <w:p w14:paraId="00A3CD67">
      <w:pPr>
        <w:adjustRightInd w:val="0"/>
        <w:snapToGrid w:val="0"/>
        <w:spacing w:line="560" w:lineRule="exact"/>
        <w:jc w:val="center"/>
        <w:rPr>
          <w:rFonts w:eastAsia="华文中宋"/>
          <w:b/>
          <w:color w:val="auto"/>
          <w:sz w:val="52"/>
          <w:szCs w:val="52"/>
          <w:highlight w:val="none"/>
        </w:rPr>
      </w:pPr>
    </w:p>
    <w:p w14:paraId="7D4A9D18">
      <w:pPr>
        <w:adjustRightInd w:val="0"/>
        <w:snapToGrid w:val="0"/>
        <w:jc w:val="center"/>
        <w:rPr>
          <w:rFonts w:eastAsia="华文中宋"/>
          <w:b/>
          <w:color w:val="auto"/>
          <w:sz w:val="52"/>
          <w:szCs w:val="52"/>
          <w:highlight w:val="none"/>
        </w:rPr>
      </w:pPr>
      <w:r>
        <w:rPr>
          <w:rFonts w:hint="eastAsia" w:ascii="宋体" w:hAnsi="宋体" w:cs="宋体"/>
          <w:b/>
          <w:color w:val="auto"/>
          <w:sz w:val="72"/>
          <w:szCs w:val="52"/>
          <w:highlight w:val="none"/>
          <w:u w:val="single"/>
        </w:rPr>
        <w:t xml:space="preserve"> </w:t>
      </w:r>
      <w:r>
        <w:rPr>
          <w:rFonts w:hint="eastAsia" w:ascii="宋体" w:hAnsi="宋体" w:cs="宋体"/>
          <w:b/>
          <w:color w:val="auto"/>
          <w:sz w:val="72"/>
          <w:szCs w:val="52"/>
          <w:highlight w:val="none"/>
          <w:u w:val="single"/>
          <w:lang w:eastAsia="zh-CN"/>
        </w:rPr>
        <w:t>中新苏滁高新区（未来产业园）智能制造工业坊项目</w:t>
      </w:r>
      <w:r>
        <w:rPr>
          <w:rFonts w:hint="eastAsia" w:ascii="宋体" w:hAnsi="宋体" w:cs="宋体"/>
          <w:b/>
          <w:color w:val="auto"/>
          <w:sz w:val="72"/>
          <w:szCs w:val="52"/>
          <w:highlight w:val="none"/>
        </w:rPr>
        <w:t>施工合同</w:t>
      </w:r>
      <w:r>
        <w:rPr>
          <w:rFonts w:eastAsia="华文中宋"/>
          <w:b/>
          <w:color w:val="auto"/>
          <w:sz w:val="52"/>
          <w:szCs w:val="52"/>
          <w:highlight w:val="none"/>
        </w:rPr>
        <w:br w:type="textWrapping"/>
      </w:r>
      <w:bookmarkStart w:id="693" w:name="_Toc506107333"/>
      <w:bookmarkStart w:id="694" w:name="_Toc15058927"/>
      <w:bookmarkStart w:id="695" w:name="_Toc60061567"/>
    </w:p>
    <w:p w14:paraId="4DA27993">
      <w:pPr>
        <w:adjustRightInd w:val="0"/>
        <w:snapToGrid w:val="0"/>
        <w:spacing w:line="560" w:lineRule="exact"/>
        <w:jc w:val="center"/>
        <w:rPr>
          <w:rFonts w:eastAsia="华文中宋"/>
          <w:b/>
          <w:color w:val="auto"/>
          <w:sz w:val="52"/>
          <w:szCs w:val="52"/>
          <w:highlight w:val="none"/>
        </w:rPr>
      </w:pPr>
    </w:p>
    <w:p w14:paraId="17C2668B">
      <w:pPr>
        <w:adjustRightInd w:val="0"/>
        <w:snapToGrid w:val="0"/>
        <w:spacing w:line="560" w:lineRule="exact"/>
        <w:jc w:val="center"/>
        <w:rPr>
          <w:rFonts w:eastAsia="黑体"/>
          <w:b/>
          <w:color w:val="auto"/>
          <w:sz w:val="72"/>
          <w:szCs w:val="72"/>
          <w:highlight w:val="none"/>
        </w:rPr>
      </w:pPr>
    </w:p>
    <w:p w14:paraId="7B07CF03">
      <w:pPr>
        <w:adjustRightInd w:val="0"/>
        <w:snapToGrid w:val="0"/>
        <w:spacing w:line="560" w:lineRule="exact"/>
        <w:jc w:val="center"/>
        <w:rPr>
          <w:rFonts w:hint="eastAsia" w:ascii="宋体" w:hAnsi="宋体" w:cs="宋体"/>
          <w:b/>
          <w:color w:val="auto"/>
          <w:sz w:val="54"/>
          <w:szCs w:val="72"/>
          <w:highlight w:val="none"/>
        </w:rPr>
      </w:pPr>
    </w:p>
    <w:p w14:paraId="722A1EA0">
      <w:pPr>
        <w:pStyle w:val="19"/>
        <w:rPr>
          <w:color w:val="auto"/>
          <w:highlight w:val="none"/>
        </w:rPr>
      </w:pPr>
    </w:p>
    <w:p w14:paraId="71A95233">
      <w:pPr>
        <w:adjustRightInd w:val="0"/>
        <w:snapToGrid w:val="0"/>
        <w:spacing w:line="560" w:lineRule="exact"/>
        <w:jc w:val="center"/>
        <w:rPr>
          <w:rFonts w:eastAsia="黑体"/>
          <w:b/>
          <w:color w:val="auto"/>
          <w:sz w:val="52"/>
          <w:szCs w:val="52"/>
          <w:highlight w:val="none"/>
        </w:rPr>
      </w:pPr>
    </w:p>
    <w:p w14:paraId="29926363">
      <w:pPr>
        <w:adjustRightInd w:val="0"/>
        <w:snapToGrid w:val="0"/>
        <w:spacing w:line="560" w:lineRule="exact"/>
        <w:rPr>
          <w:b/>
          <w:color w:val="auto"/>
          <w:sz w:val="28"/>
          <w:szCs w:val="28"/>
          <w:highlight w:val="none"/>
        </w:rPr>
      </w:pPr>
    </w:p>
    <w:p w14:paraId="546DF2ED">
      <w:pPr>
        <w:adjustRightInd w:val="0"/>
        <w:snapToGrid w:val="0"/>
        <w:spacing w:line="560" w:lineRule="exact"/>
        <w:rPr>
          <w:b/>
          <w:color w:val="auto"/>
          <w:sz w:val="28"/>
          <w:szCs w:val="28"/>
          <w:highlight w:val="none"/>
        </w:rPr>
      </w:pPr>
    </w:p>
    <w:p w14:paraId="328033A1">
      <w:pPr>
        <w:adjustRightInd w:val="0"/>
        <w:snapToGrid w:val="0"/>
        <w:spacing w:line="560" w:lineRule="exact"/>
        <w:rPr>
          <w:b/>
          <w:color w:val="auto"/>
          <w:sz w:val="28"/>
          <w:szCs w:val="28"/>
          <w:highlight w:val="none"/>
        </w:rPr>
      </w:pPr>
    </w:p>
    <w:p w14:paraId="6CB17B00">
      <w:pPr>
        <w:adjustRightInd w:val="0"/>
        <w:snapToGrid w:val="0"/>
        <w:spacing w:line="560" w:lineRule="exact"/>
        <w:rPr>
          <w:b/>
          <w:color w:val="auto"/>
          <w:sz w:val="28"/>
          <w:szCs w:val="28"/>
          <w:highlight w:val="none"/>
        </w:rPr>
      </w:pPr>
    </w:p>
    <w:p w14:paraId="56DBA0C8">
      <w:pPr>
        <w:adjustRightInd w:val="0"/>
        <w:snapToGrid w:val="0"/>
        <w:spacing w:line="560" w:lineRule="exact"/>
        <w:jc w:val="center"/>
        <w:rPr>
          <w:b/>
          <w:color w:val="auto"/>
          <w:sz w:val="28"/>
          <w:szCs w:val="28"/>
          <w:highlight w:val="none"/>
        </w:rPr>
      </w:pPr>
    </w:p>
    <w:p w14:paraId="21E5003C">
      <w:pPr>
        <w:adjustRightInd w:val="0"/>
        <w:snapToGrid w:val="0"/>
        <w:spacing w:line="560" w:lineRule="exact"/>
        <w:jc w:val="center"/>
        <w:rPr>
          <w:b/>
          <w:color w:val="auto"/>
          <w:sz w:val="32"/>
          <w:szCs w:val="28"/>
          <w:highlight w:val="none"/>
        </w:rPr>
      </w:pPr>
      <w:r>
        <w:rPr>
          <w:color w:val="auto"/>
          <w:szCs w:val="22"/>
          <w:highlight w:val="none"/>
        </w:rPr>
        <mc:AlternateContent>
          <mc:Choice Requires="wps">
            <w:drawing>
              <wp:anchor distT="0" distB="0" distL="114300" distR="114300" simplePos="0" relativeHeight="251660288" behindDoc="0" locked="0" layoutInCell="1" allowOverlap="1">
                <wp:simplePos x="0" y="0"/>
                <wp:positionH relativeFrom="column">
                  <wp:posOffset>4495800</wp:posOffset>
                </wp:positionH>
                <wp:positionV relativeFrom="paragraph">
                  <wp:posOffset>213360</wp:posOffset>
                </wp:positionV>
                <wp:extent cx="723900" cy="457200"/>
                <wp:effectExtent l="4445" t="4445" r="18415" b="10795"/>
                <wp:wrapNone/>
                <wp:docPr id="1" name="文本框 1"/>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14:paraId="100BC1CF"/>
                        </w:txbxContent>
                      </wps:txbx>
                      <wps:bodyPr upright="1"/>
                    </wps:wsp>
                  </a:graphicData>
                </a:graphic>
              </wp:anchor>
            </w:drawing>
          </mc:Choice>
          <mc:Fallback>
            <w:pict>
              <v:shape id="_x0000_s1026" o:spid="_x0000_s1026" o:spt="202" type="#_x0000_t202" style="position:absolute;left:0pt;margin-left:354pt;margin-top:16.8pt;height:36pt;width:57pt;z-index:251660288;mso-width-relative:page;mso-height-relative:page;" filled="f" stroked="t" coordsize="21600,21600" o:gfxdata="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&#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tzKmrZAAAACgEAAA8AAAAAAAAAAQAgAAAAIgAAAGRy&#10;cy9kb3ducmV2LnhtbFBLAQIUABQAAAAIAIdO4kDtHmq6BAIAAAwEAAAOAAAAAAAAAAEAIAAAACgB&#10;AABkcnMvZTJvRG9jLnhtbFBLBQYAAAAABgAGAFkBAACeBQAAAAA=&#10;">
                <v:fill on="f" focussize="0,0"/>
                <v:stroke color="#FFFFFF" joinstyle="miter"/>
                <v:imagedata o:title=""/>
                <o:lock v:ext="edit" aspectratio="f"/>
                <v:textbox>
                  <w:txbxContent>
                    <w:p w14:paraId="100BC1CF"/>
                  </w:txbxContent>
                </v:textbox>
              </v:shape>
            </w:pict>
          </mc:Fallback>
        </mc:AlternateContent>
      </w:r>
      <w:bookmarkEnd w:id="693"/>
      <w:bookmarkEnd w:id="694"/>
      <w:bookmarkEnd w:id="695"/>
      <w:r>
        <w:rPr>
          <w:rFonts w:hint="eastAsia"/>
          <w:b/>
          <w:color w:val="auto"/>
          <w:sz w:val="32"/>
          <w:szCs w:val="28"/>
          <w:highlight w:val="none"/>
        </w:rPr>
        <w:t>住房和城乡建设部</w:t>
      </w:r>
    </w:p>
    <w:p w14:paraId="09FB6B12">
      <w:pPr>
        <w:adjustRightInd w:val="0"/>
        <w:snapToGrid w:val="0"/>
        <w:spacing w:line="560" w:lineRule="exact"/>
        <w:jc w:val="center"/>
        <w:rPr>
          <w:b/>
          <w:color w:val="auto"/>
          <w:sz w:val="32"/>
          <w:szCs w:val="28"/>
          <w:highlight w:val="none"/>
        </w:rPr>
      </w:pPr>
      <w:r>
        <w:rPr>
          <w:rFonts w:hint="eastAsia"/>
          <w:b/>
          <w:color w:val="auto"/>
          <w:sz w:val="32"/>
          <w:szCs w:val="28"/>
          <w:highlight w:val="none"/>
        </w:rPr>
        <w:t>国家工商行政管理总局</w:t>
      </w:r>
    </w:p>
    <w:p w14:paraId="35D6B487">
      <w:pPr>
        <w:adjustRightInd w:val="0"/>
        <w:snapToGrid w:val="0"/>
        <w:spacing w:line="560" w:lineRule="exact"/>
        <w:rPr>
          <w:rFonts w:hint="eastAsia" w:ascii="仿宋_GB2312" w:eastAsia="仿宋_GB2312"/>
          <w:color w:val="auto"/>
          <w:szCs w:val="21"/>
          <w:highlight w:val="none"/>
          <w:u w:val="single"/>
        </w:rPr>
      </w:pPr>
    </w:p>
    <w:p w14:paraId="6A2A48C3">
      <w:pPr>
        <w:keepNext/>
        <w:keepLines/>
        <w:spacing w:line="360" w:lineRule="auto"/>
        <w:jc w:val="both"/>
        <w:outlineLvl w:val="1"/>
        <w:rPr>
          <w:rFonts w:ascii="宋体" w:hAnsi="宋体" w:cs="宋体"/>
          <w:b/>
          <w:bCs/>
          <w:color w:val="auto"/>
          <w:sz w:val="32"/>
          <w:szCs w:val="32"/>
          <w:highlight w:val="none"/>
        </w:rPr>
        <w:sectPr>
          <w:footnotePr>
            <w:numFmt w:val="decimalEnclosedCircleChinese"/>
            <w:numRestart w:val="eachPage"/>
          </w:footnotePr>
          <w:pgSz w:w="11907" w:h="16840"/>
          <w:pgMar w:top="1474" w:right="1474" w:bottom="1474" w:left="1474" w:header="799" w:footer="907" w:gutter="0"/>
          <w:pgNumType w:fmt="numberInDash"/>
          <w:cols w:space="720" w:num="1"/>
          <w:docGrid w:linePitch="271" w:charSpace="0"/>
        </w:sectPr>
      </w:pPr>
      <w:bookmarkStart w:id="696" w:name="_Toc28799376"/>
      <w:bookmarkStart w:id="697" w:name="_Toc3977"/>
      <w:bookmarkStart w:id="698" w:name="_Toc95223459"/>
    </w:p>
    <w:p w14:paraId="62B78661">
      <w:pPr>
        <w:keepNext/>
        <w:keepLines/>
        <w:spacing w:line="360" w:lineRule="auto"/>
        <w:jc w:val="center"/>
        <w:outlineLvl w:val="1"/>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第一节  合同协议书</w:t>
      </w:r>
      <w:bookmarkEnd w:id="696"/>
      <w:bookmarkEnd w:id="697"/>
      <w:bookmarkEnd w:id="698"/>
    </w:p>
    <w:p w14:paraId="515467EB">
      <w:pPr>
        <w:spacing w:line="360" w:lineRule="auto"/>
        <w:rPr>
          <w:rFonts w:hint="eastAsia" w:ascii="宋体" w:hAnsi="宋体" w:cs="宋体"/>
          <w:b/>
          <w:color w:val="auto"/>
          <w:sz w:val="24"/>
          <w:highlight w:val="none"/>
          <w:u w:val="single"/>
        </w:rPr>
      </w:pPr>
      <w:r>
        <w:rPr>
          <w:rFonts w:hint="eastAsia" w:ascii="宋体" w:hAnsi="宋体" w:cs="宋体"/>
          <w:b/>
          <w:color w:val="auto"/>
          <w:sz w:val="24"/>
          <w:highlight w:val="none"/>
        </w:rPr>
        <w:t>发包人（全</w:t>
      </w:r>
      <w:r>
        <w:rPr>
          <w:rFonts w:hint="eastAsia" w:ascii="宋体" w:hAnsi="宋体" w:cs="宋体"/>
          <w:b/>
          <w:color w:val="auto"/>
          <w:sz w:val="24"/>
          <w:highlight w:val="none"/>
          <w:u w:val="none"/>
        </w:rPr>
        <w:t>称）：</w:t>
      </w:r>
      <w:r>
        <w:rPr>
          <w:rFonts w:hint="eastAsia" w:ascii="宋体" w:hAnsi="宋体" w:cs="宋体"/>
          <w:b/>
          <w:color w:val="auto"/>
          <w:sz w:val="24"/>
          <w:highlight w:val="none"/>
          <w:u w:val="single"/>
        </w:rPr>
        <w:t></w:t>
      </w:r>
      <w:r>
        <w:rPr>
          <w:rFonts w:hint="eastAsia" w:ascii="宋体" w:hAnsi="宋体" w:cs="宋体"/>
          <w:b/>
          <w:color w:val="auto"/>
          <w:sz w:val="24"/>
          <w:highlight w:val="none"/>
          <w:u w:val="single"/>
          <w:lang w:val="en-US" w:eastAsia="zh-CN"/>
        </w:rPr>
        <w:t>滁州苏滁产城开发有限公司</w:t>
      </w:r>
      <w:r>
        <w:rPr>
          <w:rFonts w:hint="eastAsia" w:ascii="宋体" w:hAnsi="宋体" w:cs="宋体"/>
          <w:b/>
          <w:color w:val="auto"/>
          <w:sz w:val="24"/>
          <w:highlight w:val="none"/>
          <w:u w:val="single"/>
        </w:rPr>
        <w:t></w:t>
      </w:r>
    </w:p>
    <w:p w14:paraId="0BB55DA8">
      <w:pPr>
        <w:spacing w:line="360" w:lineRule="auto"/>
        <w:rPr>
          <w:rFonts w:hint="eastAsia" w:ascii="宋体" w:hAnsi="宋体" w:cs="宋体"/>
          <w:color w:val="auto"/>
          <w:szCs w:val="21"/>
          <w:highlight w:val="none"/>
          <w:u w:val="single"/>
        </w:rPr>
      </w:pPr>
      <w:r>
        <w:rPr>
          <w:rFonts w:hint="eastAsia" w:ascii="宋体" w:hAnsi="宋体" w:cs="宋体"/>
          <w:b/>
          <w:color w:val="auto"/>
          <w:sz w:val="24"/>
          <w:highlight w:val="none"/>
          <w:u w:val="none"/>
        </w:rPr>
        <w:t>承包人（全称）：</w:t>
      </w:r>
      <w:r>
        <w:rPr>
          <w:rFonts w:hint="eastAsia" w:ascii="宋体" w:hAnsi="宋体" w:cs="宋体"/>
          <w:b/>
          <w:color w:val="auto"/>
          <w:sz w:val="24"/>
          <w:highlight w:val="none"/>
          <w:u w:val="single"/>
        </w:rPr>
        <w:t>                </w:t>
      </w:r>
    </w:p>
    <w:p w14:paraId="69A15F3E">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u w:val="single"/>
        </w:rPr>
        <w:t xml:space="preserve">根据《中华人民共和国民法典》《中华人民共和国建筑法》及有关法律规定，遵循平等、自愿、公平和诚实信用的原则，双方就 </w:t>
      </w:r>
      <w:r>
        <w:rPr>
          <w:rFonts w:hint="eastAsia" w:ascii="宋体" w:hAnsi="宋体" w:cs="宋体"/>
          <w:color w:val="auto"/>
          <w:szCs w:val="21"/>
          <w:highlight w:val="none"/>
          <w:u w:val="single"/>
          <w:lang w:eastAsia="zh-CN"/>
        </w:rPr>
        <w:t>中新苏滁高新区（未来产业园）智能制造工业坊项目</w:t>
      </w:r>
      <w:r>
        <w:rPr>
          <w:rFonts w:hint="eastAsia" w:ascii="宋体" w:hAnsi="宋体" w:cs="宋体"/>
          <w:color w:val="auto"/>
          <w:szCs w:val="21"/>
          <w:highlight w:val="none"/>
          <w:u w:val="single"/>
        </w:rPr>
        <w:t xml:space="preserve"> 工程施工及有关事项协商一致，共同达成如下协议：</w:t>
      </w:r>
      <w:bookmarkStart w:id="699" w:name="_Toc351203481"/>
    </w:p>
    <w:p w14:paraId="03AD9A86">
      <w:pPr>
        <w:spacing w:line="360" w:lineRule="auto"/>
        <w:ind w:firstLine="422" w:firstLineChars="200"/>
        <w:rPr>
          <w:rFonts w:hint="eastAsia" w:ascii="宋体" w:hAnsi="宋体" w:cs="宋体"/>
          <w:color w:val="auto"/>
          <w:szCs w:val="21"/>
          <w:highlight w:val="none"/>
          <w:u w:val="single"/>
        </w:rPr>
      </w:pPr>
      <w:r>
        <w:rPr>
          <w:rFonts w:hint="eastAsia" w:ascii="宋体" w:hAnsi="宋体" w:cs="宋体"/>
          <w:b/>
          <w:color w:val="auto"/>
          <w:szCs w:val="21"/>
          <w:highlight w:val="none"/>
          <w:u w:val="single"/>
        </w:rPr>
        <w:t>一、工程概况</w:t>
      </w:r>
      <w:bookmarkEnd w:id="699"/>
    </w:p>
    <w:p w14:paraId="12942798">
      <w:pPr>
        <w:spacing w:line="360" w:lineRule="auto"/>
        <w:ind w:firstLine="411" w:firstLineChars="196"/>
        <w:rPr>
          <w:rFonts w:hint="eastAsia" w:ascii="宋体" w:hAnsi="宋体" w:cs="宋体"/>
          <w:color w:val="auto"/>
          <w:szCs w:val="21"/>
          <w:highlight w:val="none"/>
          <w:u w:val="single"/>
        </w:rPr>
      </w:pPr>
      <w:r>
        <w:rPr>
          <w:rFonts w:hint="eastAsia" w:ascii="宋体" w:hAnsi="宋体" w:cs="宋体"/>
          <w:bCs/>
          <w:color w:val="auto"/>
          <w:szCs w:val="21"/>
          <w:highlight w:val="none"/>
          <w:u w:val="single"/>
        </w:rPr>
        <w:t>1. 工程名称</w:t>
      </w:r>
      <w:r>
        <w:rPr>
          <w:rFonts w:hint="eastAsia" w:ascii="宋体" w:hAnsi="宋体" w:cs="宋体"/>
          <w:color w:val="auto"/>
          <w:szCs w:val="21"/>
          <w:highlight w:val="none"/>
          <w:u w:val="single"/>
        </w:rPr>
        <w:t>：</w:t>
      </w:r>
      <w:r>
        <w:rPr>
          <w:rFonts w:hint="eastAsia" w:ascii="宋体" w:hAnsi="宋体" w:cs="宋体"/>
          <w:color w:val="auto"/>
          <w:szCs w:val="21"/>
          <w:highlight w:val="none"/>
          <w:u w:val="single"/>
          <w:lang w:eastAsia="zh-CN"/>
        </w:rPr>
        <w:t>中新苏滁高新区（未来产业园）智能制造工业坊项目</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p>
    <w:p w14:paraId="0CE24C64">
      <w:pPr>
        <w:spacing w:line="360" w:lineRule="auto"/>
        <w:ind w:firstLine="411" w:firstLineChars="196"/>
        <w:rPr>
          <w:rFonts w:hint="eastAsia" w:ascii="宋体" w:hAnsi="宋体" w:cs="宋体"/>
          <w:bCs/>
          <w:color w:val="auto"/>
          <w:szCs w:val="21"/>
          <w:highlight w:val="none"/>
          <w:u w:val="single"/>
        </w:rPr>
      </w:pPr>
      <w:r>
        <w:rPr>
          <w:rFonts w:hint="eastAsia" w:ascii="宋体" w:hAnsi="宋体" w:cs="宋体"/>
          <w:bCs/>
          <w:color w:val="auto"/>
          <w:szCs w:val="21"/>
          <w:highlight w:val="none"/>
          <w:u w:val="single"/>
        </w:rPr>
        <w:t xml:space="preserve">2. 工程地点：安徽省滁州市东至白塔街,南至滁中路,西至滁州大道,北至滨河南路 </w:t>
      </w:r>
      <w:r>
        <w:rPr>
          <w:rFonts w:hint="eastAsia" w:ascii="宋体" w:hAnsi="宋体" w:cs="宋体"/>
          <w:color w:val="auto"/>
          <w:szCs w:val="21"/>
          <w:highlight w:val="none"/>
          <w:u w:val="single"/>
        </w:rPr>
        <w:t>。</w:t>
      </w:r>
    </w:p>
    <w:p w14:paraId="742F0C03">
      <w:pPr>
        <w:spacing w:line="360" w:lineRule="auto"/>
        <w:ind w:firstLine="411" w:firstLineChars="196"/>
        <w:rPr>
          <w:rFonts w:hint="eastAsia" w:ascii="宋体" w:hAnsi="宋体" w:cs="宋体"/>
          <w:bCs/>
          <w:color w:val="auto"/>
          <w:szCs w:val="21"/>
          <w:highlight w:val="none"/>
          <w:u w:val="single"/>
        </w:rPr>
      </w:pPr>
      <w:r>
        <w:rPr>
          <w:rFonts w:hint="eastAsia" w:ascii="宋体" w:hAnsi="宋体" w:cs="宋体"/>
          <w:bCs/>
          <w:color w:val="auto"/>
          <w:szCs w:val="21"/>
          <w:highlight w:val="none"/>
          <w:u w:val="single"/>
        </w:rPr>
        <w:t xml:space="preserve">3. 工程立项批准文号：                            </w:t>
      </w:r>
      <w:r>
        <w:rPr>
          <w:rFonts w:hint="eastAsia" w:ascii="宋体" w:hAnsi="宋体" w:cs="宋体"/>
          <w:color w:val="auto"/>
          <w:szCs w:val="21"/>
          <w:highlight w:val="none"/>
          <w:u w:val="single"/>
        </w:rPr>
        <w:t xml:space="preserve"> </w:t>
      </w:r>
      <w:r>
        <w:rPr>
          <w:rFonts w:hint="eastAsia" w:ascii="宋体" w:hAnsi="宋体" w:cs="宋体"/>
          <w:bCs/>
          <w:color w:val="auto"/>
          <w:szCs w:val="21"/>
          <w:highlight w:val="none"/>
          <w:u w:val="single"/>
        </w:rPr>
        <w:t>。</w:t>
      </w:r>
    </w:p>
    <w:p w14:paraId="0A3A9105">
      <w:pPr>
        <w:spacing w:line="360" w:lineRule="auto"/>
        <w:ind w:firstLine="411" w:firstLineChars="196"/>
        <w:rPr>
          <w:rFonts w:hint="eastAsia" w:ascii="宋体" w:hAnsi="宋体" w:cs="宋体"/>
          <w:bCs/>
          <w:color w:val="auto"/>
          <w:szCs w:val="21"/>
          <w:highlight w:val="none"/>
          <w:u w:val="single"/>
        </w:rPr>
      </w:pPr>
      <w:r>
        <w:rPr>
          <w:rFonts w:hint="eastAsia" w:ascii="宋体" w:hAnsi="宋体" w:cs="宋体"/>
          <w:bCs/>
          <w:color w:val="auto"/>
          <w:szCs w:val="21"/>
          <w:highlight w:val="none"/>
          <w:u w:val="single"/>
        </w:rPr>
        <w:t xml:space="preserve">4. 资金来源：  </w:t>
      </w:r>
      <w:r>
        <w:rPr>
          <w:rFonts w:hint="eastAsia" w:ascii="宋体" w:hAnsi="宋体" w:cs="宋体"/>
          <w:bCs/>
          <w:color w:val="auto"/>
          <w:szCs w:val="21"/>
          <w:highlight w:val="none"/>
          <w:u w:val="single"/>
          <w:lang w:val="en-US" w:eastAsia="zh-CN"/>
        </w:rPr>
        <w:t xml:space="preserve">                               </w:t>
      </w:r>
      <w:r>
        <w:rPr>
          <w:rFonts w:hint="eastAsia" w:ascii="宋体" w:hAnsi="宋体" w:cs="宋体"/>
          <w:color w:val="auto"/>
          <w:szCs w:val="21"/>
          <w:highlight w:val="none"/>
          <w:u w:val="single"/>
        </w:rPr>
        <w:t xml:space="preserve">  </w:t>
      </w:r>
      <w:r>
        <w:rPr>
          <w:rFonts w:hint="eastAsia" w:ascii="宋体" w:hAnsi="宋体" w:cs="宋体"/>
          <w:bCs/>
          <w:color w:val="auto"/>
          <w:szCs w:val="21"/>
          <w:highlight w:val="none"/>
          <w:u w:val="single"/>
        </w:rPr>
        <w:t>。</w:t>
      </w:r>
    </w:p>
    <w:p w14:paraId="4C190CCB">
      <w:pPr>
        <w:spacing w:line="360" w:lineRule="auto"/>
        <w:ind w:firstLine="411" w:firstLineChars="196"/>
        <w:rPr>
          <w:rFonts w:hint="eastAsia" w:ascii="宋体" w:hAnsi="宋体" w:cs="宋体"/>
          <w:bCs/>
          <w:color w:val="auto"/>
          <w:szCs w:val="21"/>
          <w:highlight w:val="none"/>
          <w:u w:val="single"/>
        </w:rPr>
      </w:pPr>
      <w:r>
        <w:rPr>
          <w:rFonts w:hint="eastAsia" w:ascii="宋体" w:hAnsi="宋体" w:cs="宋体"/>
          <w:bCs/>
          <w:color w:val="auto"/>
          <w:szCs w:val="21"/>
          <w:highlight w:val="none"/>
          <w:u w:val="single"/>
        </w:rPr>
        <w:t xml:space="preserve">5. 工程内容： </w:t>
      </w:r>
      <w:r>
        <w:rPr>
          <w:rFonts w:hint="eastAsia" w:ascii="宋体" w:hAnsi="宋体" w:cs="宋体"/>
          <w:bCs/>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bCs/>
          <w:color w:val="auto"/>
          <w:szCs w:val="21"/>
          <w:highlight w:val="none"/>
          <w:u w:val="single"/>
        </w:rPr>
        <w:t>。</w:t>
      </w:r>
    </w:p>
    <w:p w14:paraId="4816B7D0">
      <w:pPr>
        <w:spacing w:line="360" w:lineRule="auto"/>
        <w:ind w:firstLine="411" w:firstLineChars="196"/>
        <w:rPr>
          <w:rFonts w:hint="eastAsia" w:ascii="宋体" w:hAnsi="宋体" w:cs="宋体"/>
          <w:bCs/>
          <w:color w:val="auto"/>
          <w:szCs w:val="21"/>
          <w:highlight w:val="none"/>
          <w:u w:val="single"/>
        </w:rPr>
      </w:pPr>
      <w:r>
        <w:rPr>
          <w:rFonts w:hint="eastAsia" w:ascii="宋体" w:hAnsi="宋体" w:cs="宋体"/>
          <w:color w:val="auto"/>
          <w:szCs w:val="21"/>
          <w:highlight w:val="none"/>
          <w:u w:val="single"/>
        </w:rPr>
        <w:t>群体工程应附《承包人承揽工程项目一览表》（附件1）。</w:t>
      </w:r>
    </w:p>
    <w:p w14:paraId="77E7BCB5">
      <w:pPr>
        <w:spacing w:line="360" w:lineRule="auto"/>
        <w:ind w:firstLine="411" w:firstLineChars="196"/>
        <w:rPr>
          <w:rFonts w:hint="eastAsia" w:ascii="宋体" w:hAnsi="宋体" w:cs="宋体"/>
          <w:color w:val="auto"/>
          <w:szCs w:val="21"/>
          <w:highlight w:val="none"/>
          <w:u w:val="single"/>
        </w:rPr>
      </w:pPr>
      <w:r>
        <w:rPr>
          <w:rFonts w:hint="eastAsia" w:ascii="宋体" w:hAnsi="宋体" w:cs="宋体"/>
          <w:bCs/>
          <w:color w:val="auto"/>
          <w:szCs w:val="21"/>
          <w:highlight w:val="none"/>
          <w:u w:val="single"/>
        </w:rPr>
        <w:t>6. 工程承包范围：</w:t>
      </w:r>
      <w:r>
        <w:rPr>
          <w:rFonts w:hint="eastAsia" w:ascii="宋体" w:hAnsi="宋体" w:cs="宋体"/>
          <w:color w:val="auto"/>
          <w:szCs w:val="21"/>
          <w:highlight w:val="none"/>
          <w:u w:val="single"/>
        </w:rPr>
        <w:t xml:space="preserve"> </w:t>
      </w:r>
      <w:r>
        <w:rPr>
          <w:rFonts w:hint="eastAsia" w:ascii="宋体" w:hAnsi="宋体" w:cs="宋体"/>
          <w:bCs/>
          <w:color w:val="auto"/>
          <w:szCs w:val="21"/>
          <w:highlight w:val="none"/>
          <w:u w:val="single"/>
        </w:rPr>
        <w:t>本工程施工图纸和工程量清单中的所有内容</w:t>
      </w:r>
      <w:r>
        <w:rPr>
          <w:rFonts w:hint="eastAsia" w:ascii="宋体" w:hAnsi="宋体" w:cs="宋体"/>
          <w:color w:val="auto"/>
          <w:szCs w:val="21"/>
          <w:highlight w:val="none"/>
          <w:u w:val="single"/>
        </w:rPr>
        <w:t xml:space="preserve"> 。</w:t>
      </w:r>
    </w:p>
    <w:p w14:paraId="5EAA6A1E">
      <w:pPr>
        <w:spacing w:line="360" w:lineRule="auto"/>
        <w:ind w:firstLine="422" w:firstLineChars="200"/>
        <w:rPr>
          <w:rFonts w:hint="eastAsia" w:ascii="宋体" w:hAnsi="宋体" w:cs="宋体"/>
          <w:b/>
          <w:color w:val="auto"/>
          <w:szCs w:val="21"/>
          <w:highlight w:val="none"/>
          <w:u w:val="single"/>
        </w:rPr>
      </w:pPr>
      <w:bookmarkStart w:id="700" w:name="_Toc351203482"/>
      <w:r>
        <w:rPr>
          <w:rFonts w:hint="eastAsia" w:ascii="宋体" w:hAnsi="宋体" w:cs="宋体"/>
          <w:b/>
          <w:color w:val="auto"/>
          <w:szCs w:val="21"/>
          <w:highlight w:val="none"/>
          <w:u w:val="single"/>
        </w:rPr>
        <w:t>二、合同工期</w:t>
      </w:r>
      <w:bookmarkEnd w:id="700"/>
    </w:p>
    <w:p w14:paraId="7B2D8C52">
      <w:pPr>
        <w:spacing w:line="360" w:lineRule="auto"/>
        <w:ind w:firstLine="459"/>
        <w:rPr>
          <w:rFonts w:hint="eastAsia" w:ascii="宋体" w:hAnsi="宋体" w:cs="宋体"/>
          <w:color w:val="auto"/>
          <w:szCs w:val="21"/>
          <w:highlight w:val="none"/>
          <w:u w:val="single"/>
        </w:rPr>
      </w:pPr>
      <w:r>
        <w:rPr>
          <w:rFonts w:hint="eastAsia" w:ascii="宋体" w:hAnsi="宋体" w:cs="宋体"/>
          <w:color w:val="auto"/>
          <w:szCs w:val="21"/>
          <w:highlight w:val="none"/>
          <w:u w:val="single"/>
        </w:rPr>
        <w:t>计划开工日期：          年      月      日。</w:t>
      </w:r>
    </w:p>
    <w:p w14:paraId="13FBB815">
      <w:pPr>
        <w:spacing w:line="360" w:lineRule="auto"/>
        <w:ind w:firstLine="459"/>
        <w:rPr>
          <w:rFonts w:hint="eastAsia" w:ascii="宋体" w:hAnsi="宋体" w:cs="宋体"/>
          <w:color w:val="auto"/>
          <w:szCs w:val="21"/>
          <w:highlight w:val="none"/>
          <w:u w:val="single"/>
        </w:rPr>
      </w:pPr>
      <w:r>
        <w:rPr>
          <w:rFonts w:hint="eastAsia" w:ascii="宋体" w:hAnsi="宋体" w:cs="宋体"/>
          <w:color w:val="auto"/>
          <w:szCs w:val="21"/>
          <w:highlight w:val="none"/>
          <w:u w:val="single"/>
        </w:rPr>
        <w:t>计划竣工日期：          年      月      日。</w:t>
      </w:r>
    </w:p>
    <w:p w14:paraId="29DDD852">
      <w:pPr>
        <w:spacing w:line="360" w:lineRule="auto"/>
        <w:ind w:firstLine="459"/>
        <w:rPr>
          <w:rFonts w:hint="default" w:ascii="宋体" w:hAnsi="宋体" w:eastAsia="宋体" w:cs="宋体"/>
          <w:color w:val="auto"/>
          <w:szCs w:val="21"/>
          <w:highlight w:val="none"/>
          <w:u w:val="single"/>
          <w:lang w:val="en-US" w:eastAsia="zh-CN"/>
        </w:rPr>
      </w:pPr>
      <w:r>
        <w:rPr>
          <w:rFonts w:hint="eastAsia" w:ascii="宋体" w:hAnsi="宋体" w:cs="宋体"/>
          <w:color w:val="auto"/>
          <w:szCs w:val="21"/>
          <w:highlight w:val="none"/>
          <w:u w:val="single"/>
        </w:rPr>
        <w:t xml:space="preserve">工期总日历天数：       </w:t>
      </w:r>
      <w:r>
        <w:rPr>
          <w:rFonts w:hint="eastAsia" w:ascii="宋体" w:hAnsi="宋体" w:cs="宋体"/>
          <w:color w:val="auto"/>
          <w:szCs w:val="21"/>
          <w:highlight w:val="none"/>
          <w:u w:val="single"/>
          <w:lang w:val="en-US" w:eastAsia="zh-CN"/>
        </w:rPr>
        <w:t>其中:</w:t>
      </w:r>
    </w:p>
    <w:p w14:paraId="10E0744D">
      <w:pPr>
        <w:spacing w:line="360" w:lineRule="auto"/>
        <w:ind w:firstLine="459"/>
        <w:rPr>
          <w:rFonts w:hint="eastAsia" w:ascii="宋体" w:hAnsi="宋体" w:eastAsia="宋体" w:cs="宋体"/>
          <w:bCs/>
          <w:color w:val="auto"/>
          <w:szCs w:val="21"/>
          <w:highlight w:val="yellow"/>
          <w:u w:val="single"/>
          <w:lang w:val="en-US" w:eastAsia="zh-CN"/>
        </w:rPr>
      </w:pPr>
      <w:r>
        <w:rPr>
          <w:rFonts w:hint="eastAsia" w:ascii="宋体" w:hAnsi="宋体" w:eastAsia="宋体" w:cs="宋体"/>
          <w:bCs/>
          <w:color w:val="auto"/>
          <w:szCs w:val="21"/>
          <w:highlight w:val="none"/>
          <w:u w:val="single"/>
          <w:lang w:val="en-US" w:eastAsia="zh-CN"/>
        </w:rPr>
        <w:t>注：每延期一天向招标人支付10000元/天的违约金，工期提前不奖励。</w:t>
      </w:r>
    </w:p>
    <w:p w14:paraId="65534226">
      <w:pPr>
        <w:spacing w:line="360" w:lineRule="auto"/>
        <w:ind w:firstLine="459"/>
        <w:rPr>
          <w:rFonts w:hint="eastAsia" w:ascii="宋体" w:hAnsi="宋体" w:cs="宋体"/>
          <w:color w:val="auto"/>
          <w:szCs w:val="21"/>
          <w:highlight w:val="none"/>
          <w:u w:val="single"/>
        </w:rPr>
      </w:pPr>
      <w:r>
        <w:rPr>
          <w:rFonts w:hint="eastAsia" w:ascii="宋体" w:hAnsi="宋体" w:cs="宋体"/>
          <w:color w:val="auto"/>
          <w:szCs w:val="21"/>
          <w:highlight w:val="none"/>
          <w:u w:val="single"/>
        </w:rPr>
        <w:t>工期总日历天数与根据前述计划开竣工日期计算的工期天数不一致的，以工期总日历天数为准。</w:t>
      </w:r>
    </w:p>
    <w:p w14:paraId="7B7189D5">
      <w:pPr>
        <w:spacing w:line="360" w:lineRule="auto"/>
        <w:ind w:firstLine="422" w:firstLineChars="200"/>
        <w:rPr>
          <w:rFonts w:hint="eastAsia" w:ascii="宋体" w:hAnsi="宋体" w:cs="宋体"/>
          <w:b/>
          <w:color w:val="auto"/>
          <w:szCs w:val="21"/>
          <w:highlight w:val="none"/>
          <w:u w:val="single"/>
        </w:rPr>
      </w:pPr>
      <w:bookmarkStart w:id="701" w:name="_Toc351203483"/>
      <w:r>
        <w:rPr>
          <w:rFonts w:hint="eastAsia" w:ascii="宋体" w:hAnsi="宋体" w:cs="宋体"/>
          <w:b/>
          <w:color w:val="auto"/>
          <w:szCs w:val="21"/>
          <w:highlight w:val="none"/>
          <w:u w:val="single"/>
        </w:rPr>
        <w:t>三、质量标准</w:t>
      </w:r>
      <w:bookmarkEnd w:id="701"/>
    </w:p>
    <w:p w14:paraId="0EDE5048">
      <w:pPr>
        <w:spacing w:line="360" w:lineRule="auto"/>
        <w:ind w:firstLine="459"/>
        <w:rPr>
          <w:rFonts w:hint="eastAsia" w:ascii="宋体" w:hAnsi="宋体" w:cs="宋体"/>
          <w:color w:val="auto"/>
          <w:szCs w:val="21"/>
          <w:highlight w:val="none"/>
          <w:u w:val="single"/>
        </w:rPr>
      </w:pPr>
      <w:r>
        <w:rPr>
          <w:rFonts w:hint="eastAsia" w:ascii="宋体" w:hAnsi="宋体" w:cs="宋体"/>
          <w:color w:val="auto"/>
          <w:szCs w:val="21"/>
          <w:highlight w:val="none"/>
          <w:u w:val="single"/>
        </w:rPr>
        <w:t>工程质量符合  国家工程施工质量验收</w:t>
      </w:r>
      <w:r>
        <w:rPr>
          <w:rFonts w:hint="eastAsia" w:ascii="宋体" w:hAnsi="宋体" w:cs="宋体"/>
          <w:color w:val="auto"/>
          <w:szCs w:val="21"/>
          <w:highlight w:val="none"/>
          <w:u w:val="single"/>
          <w:lang w:val="en-US" w:eastAsia="zh-CN"/>
        </w:rPr>
        <w:t>合格</w:t>
      </w:r>
      <w:r>
        <w:rPr>
          <w:rFonts w:hint="eastAsia" w:ascii="宋体" w:hAnsi="宋体" w:cs="宋体"/>
          <w:color w:val="auto"/>
          <w:szCs w:val="21"/>
          <w:highlight w:val="none"/>
          <w:u w:val="single"/>
        </w:rPr>
        <w:t xml:space="preserve">   标准。</w:t>
      </w:r>
    </w:p>
    <w:p w14:paraId="6CADAE5C">
      <w:pPr>
        <w:spacing w:line="360" w:lineRule="auto"/>
        <w:ind w:firstLine="422" w:firstLineChars="200"/>
        <w:rPr>
          <w:rFonts w:hint="eastAsia" w:ascii="宋体" w:hAnsi="宋体" w:cs="宋体"/>
          <w:b/>
          <w:color w:val="auto"/>
          <w:szCs w:val="21"/>
          <w:highlight w:val="none"/>
          <w:u w:val="single"/>
        </w:rPr>
      </w:pPr>
      <w:bookmarkStart w:id="702" w:name="_Toc351203484"/>
      <w:r>
        <w:rPr>
          <w:rFonts w:hint="eastAsia" w:ascii="宋体" w:hAnsi="宋体" w:cs="宋体"/>
          <w:b/>
          <w:color w:val="auto"/>
          <w:szCs w:val="21"/>
          <w:highlight w:val="none"/>
          <w:u w:val="single"/>
        </w:rPr>
        <w:t>四、签约合同价与合同价格形式</w:t>
      </w:r>
      <w:bookmarkEnd w:id="702"/>
    </w:p>
    <w:p w14:paraId="24226D76">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u w:val="single"/>
        </w:rPr>
        <w:t>1. 签约合同价为：</w:t>
      </w:r>
    </w:p>
    <w:p w14:paraId="341A78F1">
      <w:pPr>
        <w:spacing w:line="360" w:lineRule="auto"/>
        <w:ind w:firstLine="525" w:firstLineChars="250"/>
        <w:rPr>
          <w:rFonts w:hint="eastAsia" w:ascii="宋体" w:hAnsi="宋体" w:cs="宋体"/>
          <w:color w:val="auto"/>
          <w:szCs w:val="21"/>
          <w:highlight w:val="none"/>
          <w:u w:val="single"/>
        </w:rPr>
      </w:pPr>
      <w:bookmarkStart w:id="703" w:name="_Toc351203485"/>
      <w:r>
        <w:rPr>
          <w:rFonts w:hint="eastAsia" w:ascii="宋体" w:hAnsi="宋体" w:cs="宋体"/>
          <w:color w:val="auto"/>
          <w:szCs w:val="21"/>
          <w:highlight w:val="none"/>
          <w:u w:val="single"/>
        </w:rPr>
        <w:t>人民币（大写）                 (¥          元)；</w:t>
      </w:r>
    </w:p>
    <w:p w14:paraId="78BD4BD6">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u w:val="single"/>
        </w:rPr>
        <w:t>其中：</w:t>
      </w:r>
    </w:p>
    <w:p w14:paraId="20A356FE">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u w:val="single"/>
        </w:rPr>
        <w:t>（1）安全文明施工费：</w:t>
      </w:r>
    </w:p>
    <w:p w14:paraId="76085518">
      <w:pPr>
        <w:spacing w:line="360" w:lineRule="auto"/>
        <w:ind w:firstLine="945" w:firstLineChars="450"/>
        <w:rPr>
          <w:rFonts w:hint="eastAsia" w:ascii="宋体" w:hAnsi="宋体" w:cs="宋体"/>
          <w:color w:val="auto"/>
          <w:szCs w:val="21"/>
          <w:highlight w:val="none"/>
          <w:u w:val="single"/>
        </w:rPr>
      </w:pPr>
      <w:r>
        <w:rPr>
          <w:rFonts w:hint="eastAsia" w:ascii="宋体" w:hAnsi="宋体" w:cs="宋体"/>
          <w:color w:val="auto"/>
          <w:szCs w:val="21"/>
          <w:highlight w:val="none"/>
          <w:u w:val="single"/>
        </w:rPr>
        <w:t>人民币（大写）               (¥          元)；</w:t>
      </w:r>
    </w:p>
    <w:p w14:paraId="3D673F52">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u w:val="single"/>
        </w:rPr>
        <w:t>（2）材料和工程设备暂估价金额：</w:t>
      </w:r>
    </w:p>
    <w:p w14:paraId="4254EAEA">
      <w:pPr>
        <w:spacing w:line="360" w:lineRule="auto"/>
        <w:ind w:firstLine="945" w:firstLineChars="450"/>
        <w:rPr>
          <w:rFonts w:hint="eastAsia" w:ascii="宋体" w:hAnsi="宋体" w:cs="宋体"/>
          <w:color w:val="auto"/>
          <w:szCs w:val="21"/>
          <w:highlight w:val="none"/>
          <w:u w:val="single"/>
        </w:rPr>
      </w:pPr>
      <w:r>
        <w:rPr>
          <w:rFonts w:hint="eastAsia" w:ascii="宋体" w:hAnsi="宋体" w:cs="宋体"/>
          <w:color w:val="auto"/>
          <w:szCs w:val="21"/>
          <w:highlight w:val="none"/>
          <w:u w:val="single"/>
        </w:rPr>
        <w:t>人民币（大写）               (¥          元)；</w:t>
      </w:r>
    </w:p>
    <w:p w14:paraId="0D31A78B">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u w:val="single"/>
        </w:rPr>
        <w:t>（3）专业工程暂估价金额：</w:t>
      </w:r>
    </w:p>
    <w:p w14:paraId="26DFA6BC">
      <w:pPr>
        <w:spacing w:line="360" w:lineRule="auto"/>
        <w:ind w:firstLine="945" w:firstLineChars="450"/>
        <w:rPr>
          <w:rFonts w:hint="eastAsia" w:ascii="宋体" w:hAnsi="宋体" w:cs="宋体"/>
          <w:color w:val="auto"/>
          <w:szCs w:val="21"/>
          <w:highlight w:val="none"/>
          <w:u w:val="single"/>
        </w:rPr>
      </w:pPr>
      <w:r>
        <w:rPr>
          <w:rFonts w:hint="eastAsia" w:ascii="宋体" w:hAnsi="宋体" w:cs="宋体"/>
          <w:color w:val="auto"/>
          <w:szCs w:val="21"/>
          <w:highlight w:val="none"/>
          <w:u w:val="single"/>
        </w:rPr>
        <w:t>人民币（大写）               (¥          元)；；</w:t>
      </w:r>
    </w:p>
    <w:p w14:paraId="75460483">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u w:val="single"/>
        </w:rPr>
        <w:t>（4）暂列金额：</w:t>
      </w:r>
    </w:p>
    <w:p w14:paraId="789BDB49">
      <w:pPr>
        <w:spacing w:line="360" w:lineRule="auto"/>
        <w:ind w:firstLine="945" w:firstLineChars="450"/>
        <w:rPr>
          <w:rFonts w:hint="eastAsia"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s="宋体"/>
          <w:color w:val="auto"/>
          <w:szCs w:val="21"/>
          <w:highlight w:val="none"/>
          <w:u w:val="single"/>
        </w:rPr>
        <w:t xml:space="preserve">               (¥          元)；</w:t>
      </w:r>
      <w:r>
        <w:rPr>
          <w:rFonts w:hint="eastAsia" w:ascii="宋体" w:hAnsi="宋体" w:cs="宋体"/>
          <w:color w:val="auto"/>
          <w:szCs w:val="21"/>
          <w:highlight w:val="none"/>
        </w:rPr>
        <w:t>。</w:t>
      </w:r>
    </w:p>
    <w:p w14:paraId="7D8460C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 合同价格形式：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单价合同</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51EE9ED1">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五、</w:t>
      </w:r>
      <w:bookmarkEnd w:id="703"/>
      <w:r>
        <w:rPr>
          <w:rFonts w:hint="eastAsia" w:ascii="宋体" w:hAnsi="宋体" w:cs="宋体"/>
          <w:b/>
          <w:color w:val="auto"/>
          <w:szCs w:val="21"/>
          <w:highlight w:val="none"/>
        </w:rPr>
        <w:t>项目经理</w:t>
      </w:r>
    </w:p>
    <w:p w14:paraId="59CB514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承包人项目经理： </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551CE096">
      <w:pPr>
        <w:spacing w:line="360" w:lineRule="auto"/>
        <w:ind w:firstLine="422" w:firstLineChars="200"/>
        <w:rPr>
          <w:rFonts w:hint="eastAsia" w:ascii="宋体" w:hAnsi="宋体" w:cs="宋体"/>
          <w:b/>
          <w:color w:val="auto"/>
          <w:szCs w:val="21"/>
          <w:highlight w:val="none"/>
        </w:rPr>
      </w:pPr>
      <w:bookmarkStart w:id="704" w:name="_Toc351203486"/>
      <w:r>
        <w:rPr>
          <w:rFonts w:hint="eastAsia" w:ascii="宋体" w:hAnsi="宋体" w:cs="宋体"/>
          <w:b/>
          <w:color w:val="auto"/>
          <w:szCs w:val="21"/>
          <w:highlight w:val="none"/>
        </w:rPr>
        <w:t>六、合同文件构成</w:t>
      </w:r>
      <w:bookmarkEnd w:id="704"/>
    </w:p>
    <w:p w14:paraId="020AB3DE">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本协议书与下列文件一起构成合同文件：</w:t>
      </w:r>
    </w:p>
    <w:p w14:paraId="0C061C18">
      <w:pPr>
        <w:autoSpaceDE w:val="0"/>
        <w:autoSpaceDN w:val="0"/>
        <w:adjustRightIn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（1）中标通知书（如果有）；</w:t>
      </w:r>
    </w:p>
    <w:p w14:paraId="4A797A89">
      <w:pPr>
        <w:autoSpaceDE w:val="0"/>
        <w:autoSpaceDN w:val="0"/>
        <w:adjustRightIn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 xml:space="preserve">（2）投标函及其附录（如果有）； </w:t>
      </w:r>
    </w:p>
    <w:p w14:paraId="48DBA77C">
      <w:pPr>
        <w:autoSpaceDE w:val="0"/>
        <w:autoSpaceDN w:val="0"/>
        <w:adjustRightIn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（3）专用合同条款及其附件；</w:t>
      </w:r>
    </w:p>
    <w:p w14:paraId="3B2D256B">
      <w:pPr>
        <w:autoSpaceDE w:val="0"/>
        <w:autoSpaceDN w:val="0"/>
        <w:adjustRightIn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（4）通用合同条款；</w:t>
      </w:r>
    </w:p>
    <w:p w14:paraId="4D34A93B">
      <w:pPr>
        <w:autoSpaceDE w:val="0"/>
        <w:autoSpaceDN w:val="0"/>
        <w:adjustRightIn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（5）技术标准和要求；</w:t>
      </w:r>
    </w:p>
    <w:p w14:paraId="7A13CD0F">
      <w:pPr>
        <w:autoSpaceDE w:val="0"/>
        <w:autoSpaceDN w:val="0"/>
        <w:adjustRightIn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（6）图纸；</w:t>
      </w:r>
    </w:p>
    <w:p w14:paraId="707A9D1E">
      <w:pPr>
        <w:autoSpaceDE w:val="0"/>
        <w:autoSpaceDN w:val="0"/>
        <w:adjustRightIn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（7）已标价工程量清单或预算书；</w:t>
      </w:r>
    </w:p>
    <w:p w14:paraId="147FECEE">
      <w:pPr>
        <w:autoSpaceDE w:val="0"/>
        <w:autoSpaceDN w:val="0"/>
        <w:adjustRightIn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（8）其他合同文件。</w:t>
      </w:r>
    </w:p>
    <w:p w14:paraId="36CEB702">
      <w:pPr>
        <w:autoSpaceDE w:val="0"/>
        <w:autoSpaceDN w:val="0"/>
        <w:adjustRightIn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在合同订立及履行过程中形成的与合同有关的文件均构成合同文件组成部分。</w:t>
      </w:r>
    </w:p>
    <w:p w14:paraId="2C821BEE">
      <w:pPr>
        <w:autoSpaceDE w:val="0"/>
        <w:autoSpaceDN w:val="0"/>
        <w:adjustRightIn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上述各项合同文件包括合同当事人就该项合同文件所作出的补充和修改，属于同一类内容的文件，应以最新签署的为准。专用合同条款及其附件须经合同当事人签字或盖章。</w:t>
      </w:r>
    </w:p>
    <w:p w14:paraId="193DD8DA">
      <w:pPr>
        <w:spacing w:line="360" w:lineRule="auto"/>
        <w:ind w:firstLine="422" w:firstLineChars="200"/>
        <w:rPr>
          <w:rFonts w:hint="eastAsia" w:ascii="宋体" w:hAnsi="宋体" w:cs="宋体"/>
          <w:b/>
          <w:color w:val="auto"/>
          <w:szCs w:val="21"/>
          <w:highlight w:val="none"/>
        </w:rPr>
      </w:pPr>
      <w:bookmarkStart w:id="705" w:name="_Toc351203487"/>
      <w:r>
        <w:rPr>
          <w:rFonts w:hint="eastAsia" w:ascii="宋体" w:hAnsi="宋体" w:cs="宋体"/>
          <w:b/>
          <w:color w:val="auto"/>
          <w:szCs w:val="21"/>
          <w:highlight w:val="none"/>
        </w:rPr>
        <w:t>七、承诺</w:t>
      </w:r>
      <w:bookmarkEnd w:id="705"/>
    </w:p>
    <w:p w14:paraId="42D72467">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 发包人承诺按照法律规定履行项目审批手续、筹集工程建设资金并按照合同约定的期限和方式支付合同价款。</w:t>
      </w:r>
    </w:p>
    <w:p w14:paraId="5304A070">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2. 承包人承诺按照法律规定及合同约定组织完成工程施工，确保工程质量和安全，不进行转包及违法分包，并在缺陷责任期及保修期内承担相应的工程维修责任。</w:t>
      </w:r>
    </w:p>
    <w:p w14:paraId="311497AF">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3. 发包人和承包人通过招投标形式签订合同的，双方理解并承诺不再就本项目通过资信、技术评审且商务标初步评审合格另行签订与合同实质性内容相背离的协议。</w:t>
      </w:r>
    </w:p>
    <w:p w14:paraId="588ED973">
      <w:pPr>
        <w:spacing w:line="360" w:lineRule="auto"/>
        <w:ind w:firstLine="422" w:firstLineChars="200"/>
        <w:rPr>
          <w:rFonts w:hint="eastAsia" w:ascii="宋体" w:hAnsi="宋体" w:cs="宋体"/>
          <w:b/>
          <w:color w:val="auto"/>
          <w:szCs w:val="21"/>
          <w:highlight w:val="none"/>
        </w:rPr>
      </w:pPr>
      <w:bookmarkStart w:id="706" w:name="_Toc351203488"/>
      <w:r>
        <w:rPr>
          <w:rFonts w:hint="eastAsia" w:ascii="宋体" w:hAnsi="宋体" w:cs="宋体"/>
          <w:b/>
          <w:color w:val="auto"/>
          <w:szCs w:val="21"/>
          <w:highlight w:val="none"/>
        </w:rPr>
        <w:t>八、词语含义</w:t>
      </w:r>
      <w:bookmarkEnd w:id="706"/>
    </w:p>
    <w:p w14:paraId="50BD39A7">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本协议书中词语含义与第二部分通用合同条款中赋予的含义相同。</w:t>
      </w:r>
    </w:p>
    <w:p w14:paraId="086BF627">
      <w:pPr>
        <w:spacing w:line="360" w:lineRule="auto"/>
        <w:ind w:firstLine="422" w:firstLineChars="200"/>
        <w:rPr>
          <w:rFonts w:hint="eastAsia" w:ascii="宋体" w:hAnsi="宋体" w:cs="宋体"/>
          <w:b/>
          <w:color w:val="auto"/>
          <w:szCs w:val="21"/>
          <w:highlight w:val="none"/>
        </w:rPr>
      </w:pPr>
      <w:bookmarkStart w:id="707" w:name="_Toc351203489"/>
      <w:r>
        <w:rPr>
          <w:rFonts w:hint="eastAsia" w:ascii="宋体" w:hAnsi="宋体" w:cs="宋体"/>
          <w:b/>
          <w:color w:val="auto"/>
          <w:szCs w:val="21"/>
          <w:highlight w:val="none"/>
        </w:rPr>
        <w:t>九、签订时间</w:t>
      </w:r>
      <w:bookmarkEnd w:id="707"/>
    </w:p>
    <w:p w14:paraId="293AE543">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本合同于</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年</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月</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日签订。</w:t>
      </w:r>
    </w:p>
    <w:p w14:paraId="698582BB">
      <w:pPr>
        <w:spacing w:line="360" w:lineRule="auto"/>
        <w:ind w:firstLine="422" w:firstLineChars="200"/>
        <w:rPr>
          <w:rFonts w:hint="eastAsia" w:ascii="宋体" w:hAnsi="宋体" w:cs="宋体"/>
          <w:b/>
          <w:color w:val="auto"/>
          <w:szCs w:val="21"/>
          <w:highlight w:val="none"/>
        </w:rPr>
      </w:pPr>
      <w:bookmarkStart w:id="708" w:name="_Toc351203490"/>
      <w:r>
        <w:rPr>
          <w:rFonts w:hint="eastAsia" w:ascii="宋体" w:hAnsi="宋体" w:cs="宋体"/>
          <w:b/>
          <w:color w:val="auto"/>
          <w:szCs w:val="21"/>
          <w:highlight w:val="none"/>
        </w:rPr>
        <w:t>十、签订地点</w:t>
      </w:r>
      <w:bookmarkEnd w:id="708"/>
    </w:p>
    <w:p w14:paraId="4F997512">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本合同在</w:t>
      </w:r>
      <w:r>
        <w:rPr>
          <w:rFonts w:hint="eastAsia" w:ascii="宋体" w:hAnsi="宋体" w:cs="宋体"/>
          <w:bCs/>
          <w:color w:val="auto"/>
          <w:szCs w:val="21"/>
          <w:highlight w:val="none"/>
          <w:u w:val="single"/>
        </w:rPr>
        <w:t xml:space="preserve">    </w:t>
      </w:r>
      <w:r>
        <w:rPr>
          <w:rFonts w:hint="eastAsia" w:ascii="宋体" w:cs="宋体"/>
          <w:bCs/>
          <w:color w:val="auto"/>
          <w:szCs w:val="21"/>
          <w:highlight w:val="none"/>
          <w:u w:val="single"/>
          <w:lang w:val="en-US" w:eastAsia="zh-CN"/>
        </w:rPr>
        <w:t>中新苏滁高新区</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签订。</w:t>
      </w:r>
    </w:p>
    <w:p w14:paraId="73C26446">
      <w:pPr>
        <w:spacing w:line="360" w:lineRule="auto"/>
        <w:ind w:firstLine="422" w:firstLineChars="200"/>
        <w:rPr>
          <w:rFonts w:hint="eastAsia" w:ascii="宋体" w:hAnsi="宋体" w:cs="宋体"/>
          <w:b/>
          <w:color w:val="auto"/>
          <w:szCs w:val="21"/>
          <w:highlight w:val="none"/>
        </w:rPr>
      </w:pPr>
      <w:bookmarkStart w:id="709" w:name="_Toc351203491"/>
      <w:r>
        <w:rPr>
          <w:rFonts w:hint="eastAsia" w:ascii="宋体" w:hAnsi="宋体" w:cs="宋体"/>
          <w:b/>
          <w:color w:val="auto"/>
          <w:szCs w:val="21"/>
          <w:highlight w:val="none"/>
        </w:rPr>
        <w:t>十一、补充协议</w:t>
      </w:r>
      <w:bookmarkEnd w:id="709"/>
    </w:p>
    <w:p w14:paraId="6A8B4F09">
      <w:pPr>
        <w:spacing w:line="360" w:lineRule="auto"/>
        <w:ind w:firstLine="420" w:firstLineChars="200"/>
        <w:rPr>
          <w:rFonts w:hint="eastAsia" w:ascii="宋体" w:hAnsi="宋体" w:cs="宋体"/>
          <w:b/>
          <w:bCs/>
          <w:color w:val="auto"/>
          <w:szCs w:val="21"/>
          <w:highlight w:val="none"/>
        </w:rPr>
      </w:pPr>
      <w:r>
        <w:rPr>
          <w:rFonts w:hint="eastAsia" w:ascii="宋体" w:hAnsi="宋体" w:cs="宋体"/>
          <w:bCs/>
          <w:color w:val="auto"/>
          <w:szCs w:val="21"/>
          <w:highlight w:val="none"/>
        </w:rPr>
        <w:t>合同未尽事宜，合同当事人另行签订补充协议，补充协议是合同的组成部分。</w:t>
      </w:r>
    </w:p>
    <w:p w14:paraId="70F16D66">
      <w:pPr>
        <w:spacing w:line="360" w:lineRule="auto"/>
        <w:ind w:firstLine="422" w:firstLineChars="200"/>
        <w:rPr>
          <w:rFonts w:hint="eastAsia" w:ascii="宋体" w:hAnsi="宋体" w:cs="宋体"/>
          <w:b/>
          <w:color w:val="auto"/>
          <w:szCs w:val="21"/>
          <w:highlight w:val="none"/>
        </w:rPr>
      </w:pPr>
      <w:bookmarkStart w:id="710" w:name="_Toc351203492"/>
      <w:r>
        <w:rPr>
          <w:rFonts w:hint="eastAsia" w:ascii="宋体" w:hAnsi="宋体" w:cs="宋体"/>
          <w:b/>
          <w:color w:val="auto"/>
          <w:szCs w:val="21"/>
          <w:highlight w:val="none"/>
        </w:rPr>
        <w:t>十二、合同生效</w:t>
      </w:r>
      <w:bookmarkEnd w:id="710"/>
    </w:p>
    <w:p w14:paraId="06FAC253">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本合同自</w:t>
      </w:r>
      <w:r>
        <w:rPr>
          <w:rFonts w:hint="eastAsia" w:ascii="宋体" w:hAnsi="宋体" w:cs="宋体"/>
          <w:bCs/>
          <w:color w:val="auto"/>
          <w:szCs w:val="21"/>
          <w:highlight w:val="none"/>
          <w:u w:val="single"/>
        </w:rPr>
        <w:t xml:space="preserve">   </w:t>
      </w:r>
      <w:r>
        <w:rPr>
          <w:rFonts w:hint="eastAsia" w:ascii="宋体" w:cs="宋体"/>
          <w:bCs/>
          <w:color w:val="auto"/>
          <w:szCs w:val="21"/>
          <w:highlight w:val="none"/>
          <w:u w:val="single"/>
        </w:rPr>
        <w:t>双方签字</w:t>
      </w:r>
      <w:r>
        <w:rPr>
          <w:rFonts w:hint="eastAsia" w:ascii="宋体" w:cs="宋体"/>
          <w:bCs/>
          <w:color w:val="auto"/>
          <w:szCs w:val="21"/>
          <w:highlight w:val="none"/>
          <w:u w:val="single"/>
          <w:lang w:val="en-US" w:eastAsia="zh-CN"/>
        </w:rPr>
        <w:t>盖</w:t>
      </w:r>
      <w:r>
        <w:rPr>
          <w:rFonts w:hint="eastAsia" w:ascii="宋体" w:cs="宋体"/>
          <w:bCs/>
          <w:color w:val="auto"/>
          <w:szCs w:val="21"/>
          <w:highlight w:val="none"/>
          <w:u w:val="single"/>
        </w:rPr>
        <w:t>章后</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生效。</w:t>
      </w:r>
    </w:p>
    <w:p w14:paraId="1465EC3E">
      <w:pPr>
        <w:spacing w:line="360" w:lineRule="auto"/>
        <w:ind w:firstLine="422" w:firstLineChars="200"/>
        <w:rPr>
          <w:rFonts w:hint="eastAsia" w:ascii="宋体" w:hAnsi="宋体" w:cs="宋体"/>
          <w:b/>
          <w:color w:val="auto"/>
          <w:szCs w:val="21"/>
          <w:highlight w:val="none"/>
        </w:rPr>
      </w:pPr>
      <w:bookmarkStart w:id="711" w:name="_Toc351203493"/>
      <w:r>
        <w:rPr>
          <w:rFonts w:hint="eastAsia" w:ascii="宋体" w:hAnsi="宋体" w:cs="宋体"/>
          <w:b/>
          <w:color w:val="auto"/>
          <w:szCs w:val="21"/>
          <w:highlight w:val="none"/>
        </w:rPr>
        <w:t>十三、合同份数</w:t>
      </w:r>
      <w:bookmarkEnd w:id="711"/>
    </w:p>
    <w:p w14:paraId="72CB04CF">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本合同一式</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份，均具有同等法律效力，发包人执</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份，承包人执</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w:t>
      </w:r>
    </w:p>
    <w:p w14:paraId="29129639">
      <w:pPr>
        <w:spacing w:line="360" w:lineRule="auto"/>
        <w:rPr>
          <w:rFonts w:hint="eastAsia" w:ascii="宋体" w:hAnsi="宋体" w:cs="宋体"/>
          <w:bCs/>
          <w:color w:val="auto"/>
          <w:szCs w:val="21"/>
          <w:highlight w:val="none"/>
        </w:rPr>
      </w:pPr>
    </w:p>
    <w:p w14:paraId="17C54B2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发包人：</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(公章)          承包人：</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 xml:space="preserve"> (公章)</w:t>
      </w:r>
    </w:p>
    <w:p w14:paraId="173C73D1">
      <w:pPr>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 xml:space="preserve">                                 </w:t>
      </w:r>
    </w:p>
    <w:p w14:paraId="4CA382B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法定代表人或其委托代理人：              法定代表人或其委托代理人：</w:t>
      </w:r>
    </w:p>
    <w:p w14:paraId="0392CD4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（签字）</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（签字）</w:t>
      </w:r>
      <w:r>
        <w:rPr>
          <w:rFonts w:hint="eastAsia" w:ascii="宋体" w:hAnsi="宋体" w:cs="宋体"/>
          <w:color w:val="auto"/>
          <w:szCs w:val="21"/>
          <w:highlight w:val="none"/>
          <w:u w:val="single"/>
        </w:rPr>
        <w:t xml:space="preserve">                  </w:t>
      </w:r>
    </w:p>
    <w:p w14:paraId="2C90BD30">
      <w:pPr>
        <w:spacing w:line="360" w:lineRule="auto"/>
        <w:rPr>
          <w:rFonts w:hint="eastAsia" w:ascii="宋体" w:hAnsi="宋体" w:cs="宋体"/>
          <w:color w:val="auto"/>
          <w:szCs w:val="21"/>
          <w:highlight w:val="none"/>
          <w:u w:val="single"/>
        </w:rPr>
      </w:pPr>
    </w:p>
    <w:p w14:paraId="36293B69">
      <w:pPr>
        <w:tabs>
          <w:tab w:val="left" w:pos="4410"/>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组织机构代码：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组织机构代码：</w:t>
      </w:r>
      <w:r>
        <w:rPr>
          <w:rFonts w:hint="eastAsia" w:ascii="宋体" w:hAnsi="宋体" w:cs="宋体"/>
          <w:color w:val="auto"/>
          <w:szCs w:val="21"/>
          <w:highlight w:val="none"/>
          <w:u w:val="single"/>
        </w:rPr>
        <w:t>             </w:t>
      </w:r>
      <w:r>
        <w:rPr>
          <w:rFonts w:hint="eastAsia" w:ascii="宋体" w:hAnsi="宋体" w:cs="宋体"/>
          <w:color w:val="auto"/>
          <w:szCs w:val="21"/>
          <w:highlight w:val="none"/>
        </w:rPr>
        <w:t xml:space="preserve"> </w:t>
      </w:r>
    </w:p>
    <w:p w14:paraId="016F920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地  址：</w:t>
      </w:r>
      <w:r>
        <w:rPr>
          <w:rFonts w:hint="eastAsia" w:ascii="宋体" w:hAnsi="宋体" w:cs="宋体"/>
          <w:color w:val="auto"/>
          <w:szCs w:val="21"/>
          <w:highlight w:val="none"/>
          <w:u w:val="single"/>
        </w:rPr>
        <w:t xml:space="preserve">                     </w:t>
      </w:r>
    </w:p>
    <w:p w14:paraId="6957854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 xml:space="preserve">              邮政编码：</w:t>
      </w:r>
      <w:r>
        <w:rPr>
          <w:rFonts w:hint="eastAsia" w:ascii="宋体" w:hAnsi="宋体" w:cs="宋体"/>
          <w:color w:val="auto"/>
          <w:szCs w:val="21"/>
          <w:highlight w:val="none"/>
          <w:u w:val="single"/>
        </w:rPr>
        <w:t xml:space="preserve">                     </w:t>
      </w:r>
    </w:p>
    <w:p w14:paraId="7B1BB75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法定代表人：</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 xml:space="preserve">              法定代表人：</w:t>
      </w:r>
      <w:r>
        <w:rPr>
          <w:rFonts w:hint="eastAsia" w:ascii="宋体" w:hAnsi="宋体" w:cs="宋体"/>
          <w:color w:val="auto"/>
          <w:szCs w:val="21"/>
          <w:highlight w:val="none"/>
          <w:u w:val="single"/>
        </w:rPr>
        <w:t xml:space="preserve">               </w:t>
      </w:r>
    </w:p>
    <w:p w14:paraId="180883A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委托代理人：</w:t>
      </w:r>
      <w:r>
        <w:rPr>
          <w:rFonts w:hint="eastAsia" w:ascii="宋体" w:hAnsi="宋体" w:cs="宋体"/>
          <w:color w:val="auto"/>
          <w:szCs w:val="21"/>
          <w:highlight w:val="none"/>
          <w:u w:val="single"/>
        </w:rPr>
        <w:t xml:space="preserve">                   </w:t>
      </w:r>
    </w:p>
    <w:p w14:paraId="530E11A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电  话：</w:t>
      </w:r>
      <w:r>
        <w:rPr>
          <w:rFonts w:hint="eastAsia" w:ascii="宋体" w:hAnsi="宋体" w:cs="宋体"/>
          <w:color w:val="auto"/>
          <w:szCs w:val="21"/>
          <w:highlight w:val="none"/>
          <w:u w:val="single"/>
        </w:rPr>
        <w:t xml:space="preserve">                       </w:t>
      </w:r>
    </w:p>
    <w:p w14:paraId="64AD3A0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传  真：</w:t>
      </w:r>
      <w:r>
        <w:rPr>
          <w:rFonts w:hint="eastAsia" w:ascii="宋体" w:hAnsi="宋体" w:cs="宋体"/>
          <w:color w:val="auto"/>
          <w:szCs w:val="21"/>
          <w:highlight w:val="none"/>
          <w:u w:val="single"/>
        </w:rPr>
        <w:t xml:space="preserve">                     </w:t>
      </w:r>
    </w:p>
    <w:p w14:paraId="33CFBA1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电子信箱：</w:t>
      </w:r>
      <w:r>
        <w:rPr>
          <w:rFonts w:hint="eastAsia" w:ascii="宋体" w:hAnsi="宋体" w:cs="宋体"/>
          <w:color w:val="auto"/>
          <w:szCs w:val="21"/>
          <w:highlight w:val="none"/>
          <w:u w:val="single"/>
        </w:rPr>
        <w:t xml:space="preserve">                     </w:t>
      </w:r>
    </w:p>
    <w:p w14:paraId="21D8EA6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开户银行：</w:t>
      </w:r>
      <w:r>
        <w:rPr>
          <w:rFonts w:hint="eastAsia" w:ascii="宋体" w:hAnsi="宋体" w:cs="宋体"/>
          <w:color w:val="auto"/>
          <w:szCs w:val="21"/>
          <w:highlight w:val="none"/>
          <w:u w:val="single"/>
        </w:rPr>
        <w:t xml:space="preserve">                   </w:t>
      </w:r>
    </w:p>
    <w:p w14:paraId="698BB3B0">
      <w:pPr>
        <w:ind w:firstLine="420" w:firstLineChars="200"/>
        <w:rPr>
          <w:rFonts w:hint="eastAsia" w:ascii="宋体" w:hAnsi="宋体" w:cs="宋体"/>
          <w:color w:val="auto"/>
          <w:highlight w:val="none"/>
        </w:rPr>
      </w:pPr>
      <w:r>
        <w:rPr>
          <w:rFonts w:hint="eastAsia" w:ascii="宋体" w:hAnsi="宋体" w:cs="宋体"/>
          <w:color w:val="auto"/>
          <w:szCs w:val="21"/>
          <w:highlight w:val="none"/>
        </w:rPr>
        <w:t>账  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账  号：</w:t>
      </w:r>
      <w:r>
        <w:rPr>
          <w:rFonts w:hint="eastAsia" w:ascii="宋体" w:hAnsi="宋体" w:cs="宋体"/>
          <w:color w:val="auto"/>
          <w:szCs w:val="21"/>
          <w:highlight w:val="none"/>
          <w:u w:val="single"/>
        </w:rPr>
        <w:t xml:space="preserve">                     </w:t>
      </w:r>
    </w:p>
    <w:p w14:paraId="5228CB2D">
      <w:pPr>
        <w:pStyle w:val="19"/>
        <w:rPr>
          <w:rFonts w:hint="eastAsia"/>
          <w:color w:val="auto"/>
          <w:highlight w:val="none"/>
        </w:rPr>
      </w:pPr>
      <w:bookmarkStart w:id="712" w:name="_Toc28799377"/>
    </w:p>
    <w:p w14:paraId="3965C723">
      <w:pPr>
        <w:rPr>
          <w:rFonts w:hint="eastAsia"/>
          <w:color w:val="auto"/>
          <w:highlight w:val="none"/>
        </w:rPr>
      </w:pPr>
    </w:p>
    <w:p w14:paraId="27C77D5F">
      <w:pPr>
        <w:pStyle w:val="19"/>
        <w:rPr>
          <w:rFonts w:hint="eastAsia"/>
          <w:color w:val="auto"/>
          <w:highlight w:val="none"/>
        </w:rPr>
      </w:pPr>
    </w:p>
    <w:p w14:paraId="519D3700">
      <w:pPr>
        <w:rPr>
          <w:rFonts w:hint="eastAsia"/>
          <w:color w:val="auto"/>
          <w:highlight w:val="none"/>
        </w:rPr>
      </w:pPr>
    </w:p>
    <w:p w14:paraId="5BC689FB">
      <w:pPr>
        <w:pStyle w:val="19"/>
        <w:rPr>
          <w:rFonts w:hint="eastAsia"/>
          <w:color w:val="auto"/>
          <w:highlight w:val="none"/>
        </w:rPr>
      </w:pPr>
    </w:p>
    <w:p w14:paraId="6116C428">
      <w:pPr>
        <w:rPr>
          <w:rFonts w:hint="eastAsia"/>
          <w:color w:val="auto"/>
          <w:highlight w:val="none"/>
        </w:rPr>
      </w:pPr>
    </w:p>
    <w:p w14:paraId="0444BD3D">
      <w:pPr>
        <w:pStyle w:val="19"/>
        <w:rPr>
          <w:rFonts w:hint="eastAsia"/>
          <w:color w:val="auto"/>
          <w:highlight w:val="none"/>
        </w:rPr>
      </w:pPr>
    </w:p>
    <w:p w14:paraId="04836342">
      <w:pPr>
        <w:pStyle w:val="19"/>
        <w:ind w:left="0" w:leftChars="0" w:firstLine="0" w:firstLineChars="0"/>
        <w:rPr>
          <w:rFonts w:hint="eastAsia"/>
          <w:color w:val="auto"/>
          <w:highlight w:val="none"/>
        </w:rPr>
      </w:pPr>
    </w:p>
    <w:p w14:paraId="606CA0BC">
      <w:pPr>
        <w:rPr>
          <w:rFonts w:hint="eastAsia"/>
          <w:color w:val="auto"/>
          <w:highlight w:val="none"/>
        </w:rPr>
      </w:pPr>
    </w:p>
    <w:p w14:paraId="41302FB8">
      <w:pPr>
        <w:pStyle w:val="19"/>
        <w:rPr>
          <w:rFonts w:hint="eastAsia"/>
          <w:color w:val="auto"/>
          <w:highlight w:val="none"/>
        </w:rPr>
      </w:pPr>
    </w:p>
    <w:p w14:paraId="7BAFBC26">
      <w:pPr>
        <w:keepNext/>
        <w:keepLines/>
        <w:spacing w:line="360" w:lineRule="auto"/>
        <w:jc w:val="center"/>
        <w:outlineLvl w:val="1"/>
        <w:rPr>
          <w:rFonts w:ascii="宋体" w:hAnsi="宋体" w:cs="宋体"/>
          <w:b/>
          <w:bCs/>
          <w:color w:val="auto"/>
          <w:sz w:val="32"/>
          <w:szCs w:val="32"/>
          <w:highlight w:val="none"/>
        </w:rPr>
        <w:sectPr>
          <w:footnotePr>
            <w:numFmt w:val="decimalEnclosedCircleChinese"/>
            <w:numRestart w:val="eachPage"/>
          </w:footnotePr>
          <w:pgSz w:w="11907" w:h="16840"/>
          <w:pgMar w:top="1474" w:right="1474" w:bottom="1474" w:left="1474" w:header="799" w:footer="907" w:gutter="0"/>
          <w:pgNumType w:fmt="numberInDash"/>
          <w:cols w:space="720" w:num="1"/>
          <w:docGrid w:linePitch="271" w:charSpace="0"/>
        </w:sectPr>
      </w:pPr>
      <w:bookmarkStart w:id="713" w:name="_Toc95223460"/>
      <w:bookmarkStart w:id="714" w:name="_Toc15494"/>
    </w:p>
    <w:p w14:paraId="0E0CFB22">
      <w:pPr>
        <w:keepNext/>
        <w:keepLines/>
        <w:spacing w:line="360" w:lineRule="auto"/>
        <w:jc w:val="center"/>
        <w:outlineLvl w:val="1"/>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第二节  通用合同条款</w:t>
      </w:r>
      <w:bookmarkEnd w:id="712"/>
      <w:bookmarkEnd w:id="713"/>
      <w:bookmarkEnd w:id="714"/>
    </w:p>
    <w:p w14:paraId="628CCFBF">
      <w:pPr>
        <w:ind w:firstLine="560" w:firstLineChars="200"/>
        <w:rPr>
          <w:rFonts w:hint="eastAsia" w:ascii="宋体" w:hAnsi="宋体" w:cs="宋体"/>
          <w:snapToGrid w:val="0"/>
          <w:color w:val="auto"/>
          <w:kern w:val="0"/>
          <w:sz w:val="28"/>
          <w:highlight w:val="none"/>
        </w:rPr>
      </w:pPr>
    </w:p>
    <w:p w14:paraId="5F0AAFFE">
      <w:pPr>
        <w:adjustRightInd w:val="0"/>
        <w:snapToGrid w:val="0"/>
        <w:spacing w:line="480" w:lineRule="auto"/>
        <w:ind w:firstLine="562" w:firstLineChars="200"/>
        <w:rPr>
          <w:rFonts w:hint="eastAsia" w:ascii="宋体" w:hAnsi="宋体" w:cs="宋体"/>
          <w:b/>
          <w:bCs/>
          <w:snapToGrid w:val="0"/>
          <w:color w:val="auto"/>
          <w:kern w:val="0"/>
          <w:sz w:val="28"/>
          <w:highlight w:val="none"/>
        </w:rPr>
      </w:pPr>
      <w:r>
        <w:rPr>
          <w:rFonts w:hint="eastAsia" w:ascii="宋体" w:hAnsi="宋体" w:cs="宋体"/>
          <w:b/>
          <w:bCs/>
          <w:snapToGrid w:val="0"/>
          <w:color w:val="auto"/>
          <w:kern w:val="0"/>
          <w:sz w:val="28"/>
          <w:highlight w:val="none"/>
        </w:rPr>
        <w:t>采用《建设工程施工合同(示范文本)》（GF-2017-0201）中通用合同条款。上述资料由投标人自行准备。</w:t>
      </w:r>
    </w:p>
    <w:p w14:paraId="662E2876">
      <w:pPr>
        <w:keepNext/>
        <w:keepLines/>
        <w:adjustRightInd w:val="0"/>
        <w:snapToGrid w:val="0"/>
        <w:spacing w:line="360" w:lineRule="auto"/>
        <w:jc w:val="center"/>
        <w:outlineLvl w:val="1"/>
        <w:rPr>
          <w:rFonts w:hint="eastAsia" w:ascii="宋体" w:hAnsi="宋体" w:cs="宋体"/>
          <w:bCs/>
          <w:color w:val="auto"/>
          <w:sz w:val="32"/>
          <w:szCs w:val="32"/>
          <w:highlight w:val="none"/>
        </w:rPr>
      </w:pPr>
      <w:r>
        <w:rPr>
          <w:rFonts w:hint="eastAsia" w:ascii="宋体" w:hAnsi="宋体" w:cs="宋体"/>
          <w:b/>
          <w:bCs/>
          <w:color w:val="auto"/>
          <w:sz w:val="24"/>
          <w:szCs w:val="32"/>
          <w:highlight w:val="none"/>
        </w:rPr>
        <w:br w:type="page"/>
      </w:r>
      <w:bookmarkStart w:id="715" w:name="_Toc28799378"/>
      <w:bookmarkStart w:id="716" w:name="_Toc8192"/>
      <w:bookmarkStart w:id="717" w:name="_Toc95223461"/>
      <w:r>
        <w:rPr>
          <w:rFonts w:hint="eastAsia" w:ascii="宋体" w:hAnsi="宋体" w:cs="宋体"/>
          <w:b/>
          <w:bCs/>
          <w:color w:val="auto"/>
          <w:sz w:val="32"/>
          <w:szCs w:val="32"/>
          <w:highlight w:val="none"/>
        </w:rPr>
        <w:t>第三节  专用合同条款</w:t>
      </w:r>
      <w:bookmarkEnd w:id="715"/>
      <w:bookmarkEnd w:id="716"/>
      <w:bookmarkEnd w:id="717"/>
    </w:p>
    <w:p w14:paraId="31295ACD">
      <w:pPr>
        <w:keepNext/>
        <w:keepLines/>
        <w:adjustRightInd w:val="0"/>
        <w:snapToGrid w:val="0"/>
        <w:spacing w:line="384" w:lineRule="auto"/>
        <w:jc w:val="left"/>
        <w:outlineLvl w:val="2"/>
        <w:rPr>
          <w:rFonts w:hint="eastAsia" w:ascii="宋体" w:hAnsi="宋体" w:cs="宋体"/>
          <w:bCs/>
          <w:color w:val="auto"/>
          <w:sz w:val="24"/>
          <w:highlight w:val="none"/>
        </w:rPr>
      </w:pPr>
      <w:bookmarkStart w:id="718" w:name="_Toc351203633"/>
      <w:bookmarkStart w:id="719" w:name="_Toc95223462"/>
      <w:r>
        <w:rPr>
          <w:rFonts w:hint="eastAsia" w:ascii="宋体" w:hAnsi="宋体" w:cs="宋体"/>
          <w:bCs/>
          <w:color w:val="auto"/>
          <w:sz w:val="24"/>
          <w:highlight w:val="none"/>
        </w:rPr>
        <w:t>1</w:t>
      </w:r>
      <w:bookmarkStart w:id="720" w:name="_Toc296891196"/>
      <w:bookmarkStart w:id="721" w:name="_Toc292559866"/>
      <w:bookmarkStart w:id="722" w:name="_Toc296346657"/>
      <w:bookmarkStart w:id="723" w:name="_Toc297048342"/>
      <w:bookmarkStart w:id="724" w:name="_Toc297120456"/>
      <w:bookmarkStart w:id="725" w:name="_Toc296503156"/>
      <w:bookmarkStart w:id="726" w:name="_Toc296890984"/>
      <w:bookmarkStart w:id="727" w:name="_Toc292559361"/>
      <w:bookmarkStart w:id="728" w:name="_Toc296347155"/>
      <w:bookmarkStart w:id="729" w:name="_Toc296944495"/>
      <w:r>
        <w:rPr>
          <w:rFonts w:hint="eastAsia" w:ascii="宋体" w:hAnsi="宋体" w:cs="宋体"/>
          <w:bCs/>
          <w:color w:val="auto"/>
          <w:sz w:val="24"/>
          <w:highlight w:val="none"/>
        </w:rPr>
        <w:t>. 一般约定</w:t>
      </w:r>
      <w:bookmarkEnd w:id="718"/>
      <w:bookmarkEnd w:id="719"/>
    </w:p>
    <w:bookmarkEnd w:id="720"/>
    <w:bookmarkEnd w:id="721"/>
    <w:bookmarkEnd w:id="722"/>
    <w:bookmarkEnd w:id="723"/>
    <w:bookmarkEnd w:id="724"/>
    <w:bookmarkEnd w:id="725"/>
    <w:bookmarkEnd w:id="726"/>
    <w:bookmarkEnd w:id="727"/>
    <w:bookmarkEnd w:id="728"/>
    <w:bookmarkEnd w:id="729"/>
    <w:p w14:paraId="3FC1D423">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1.1 词语定义与解释</w:t>
      </w:r>
    </w:p>
    <w:p w14:paraId="67F2A75E">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1.1.1 合同</w:t>
      </w:r>
    </w:p>
    <w:p w14:paraId="73CEAA0F">
      <w:pPr>
        <w:adjustRightInd w:val="0"/>
        <w:snapToGrid w:val="0"/>
        <w:spacing w:line="384" w:lineRule="auto"/>
        <w:ind w:firstLine="420" w:firstLineChars="200"/>
        <w:rPr>
          <w:rFonts w:hint="eastAsia" w:ascii="宋体" w:hAnsi="宋体" w:cs="宋体"/>
          <w:color w:val="auto"/>
          <w:kern w:val="0"/>
          <w:highlight w:val="none"/>
          <w:u w:val="single"/>
        </w:rPr>
      </w:pPr>
      <w:r>
        <w:rPr>
          <w:rFonts w:hint="eastAsia" w:ascii="宋体" w:hAnsi="宋体" w:cs="宋体"/>
          <w:color w:val="auto"/>
          <w:kern w:val="0"/>
          <w:highlight w:val="none"/>
        </w:rPr>
        <w:t>1.1.1.10 其他合同文件包括：</w:t>
      </w:r>
      <w:r>
        <w:rPr>
          <w:rFonts w:hint="eastAsia" w:ascii="宋体" w:hAnsi="宋体" w:cs="宋体"/>
          <w:color w:val="auto"/>
          <w:kern w:val="0"/>
          <w:szCs w:val="21"/>
          <w:highlight w:val="none"/>
          <w:u w:val="single"/>
        </w:rPr>
        <w:t>本项目招标文件、在合同订立及履行过程中形成的与合同有关的文件均构成合同文件组成部分，若上述文件有不明确或不一致之处，以招标文件为准</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p>
    <w:p w14:paraId="656BEE01">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1.1.2 合同当事人及其他相关方</w:t>
      </w:r>
    </w:p>
    <w:p w14:paraId="5D908219">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1.1.2.4 监理人：</w:t>
      </w:r>
    </w:p>
    <w:p w14:paraId="4398BF80">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名    称：</w:t>
      </w:r>
      <w:r>
        <w:rPr>
          <w:rFonts w:hint="eastAsia" w:ascii="宋体" w:hAnsi="宋体" w:cs="宋体"/>
          <w:color w:val="auto"/>
          <w:highlight w:val="none"/>
          <w:u w:val="single"/>
        </w:rPr>
        <w:t xml:space="preserve">  </w:t>
      </w:r>
      <w:r>
        <w:rPr>
          <w:rFonts w:hint="eastAsia" w:ascii="宋体" w:hAnsi="宋体" w:eastAsia="宋体" w:cs="宋体"/>
          <w:color w:val="auto"/>
          <w:kern w:val="0"/>
          <w:szCs w:val="21"/>
          <w:highlight w:val="none"/>
          <w:u w:val="single"/>
        </w:rPr>
        <w:t>详见监理合同</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1658CD8">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资质类别和等级：</w:t>
      </w:r>
      <w:r>
        <w:rPr>
          <w:rFonts w:hint="eastAsia" w:ascii="宋体" w:hAnsi="宋体" w:cs="宋体"/>
          <w:color w:val="auto"/>
          <w:highlight w:val="none"/>
          <w:u w:val="single"/>
        </w:rPr>
        <w:t xml:space="preserve">  </w:t>
      </w:r>
      <w:r>
        <w:rPr>
          <w:rFonts w:hint="eastAsia" w:ascii="宋体" w:hAnsi="宋体" w:eastAsia="宋体" w:cs="宋体"/>
          <w:color w:val="auto"/>
          <w:kern w:val="0"/>
          <w:szCs w:val="21"/>
          <w:highlight w:val="none"/>
          <w:u w:val="single"/>
        </w:rPr>
        <w:t>/</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6957D4CD">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eastAsia="宋体" w:cs="宋体"/>
          <w:color w:val="auto"/>
          <w:kern w:val="0"/>
          <w:szCs w:val="21"/>
          <w:highlight w:val="none"/>
          <w:u w:val="single"/>
        </w:rPr>
        <w:t>/</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43B9B06">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eastAsia="宋体" w:cs="宋体"/>
          <w:color w:val="auto"/>
          <w:kern w:val="0"/>
          <w:szCs w:val="21"/>
          <w:highlight w:val="none"/>
          <w:u w:val="single"/>
        </w:rPr>
        <w:t>/</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B8D6E1A">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xml:space="preserve">  </w:t>
      </w:r>
      <w:r>
        <w:rPr>
          <w:rFonts w:hint="eastAsia" w:ascii="宋体" w:hAnsi="宋体" w:eastAsia="宋体" w:cs="宋体"/>
          <w:color w:val="auto"/>
          <w:kern w:val="0"/>
          <w:szCs w:val="21"/>
          <w:highlight w:val="none"/>
          <w:u w:val="single"/>
        </w:rPr>
        <w:t>/</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A67F49D">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1.1.2.5 设计人：</w:t>
      </w:r>
    </w:p>
    <w:p w14:paraId="15345CF5">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名    称：</w:t>
      </w:r>
      <w:r>
        <w:rPr>
          <w:rFonts w:hint="eastAsia" w:ascii="宋体" w:hAnsi="宋体" w:cs="宋体"/>
          <w:color w:val="auto"/>
          <w:highlight w:val="none"/>
          <w:u w:val="single"/>
        </w:rPr>
        <w:t xml:space="preserve">  </w:t>
      </w:r>
      <w:r>
        <w:rPr>
          <w:rFonts w:hint="eastAsia" w:ascii="宋体" w:hAnsi="宋体" w:eastAsia="宋体" w:cs="宋体"/>
          <w:color w:val="auto"/>
          <w:kern w:val="0"/>
          <w:szCs w:val="21"/>
          <w:highlight w:val="none"/>
          <w:u w:val="single"/>
        </w:rPr>
        <w:t>详见</w:t>
      </w:r>
      <w:r>
        <w:rPr>
          <w:rFonts w:hint="eastAsia" w:ascii="宋体" w:hAnsi="宋体" w:eastAsia="宋体" w:cs="宋体"/>
          <w:color w:val="auto"/>
          <w:kern w:val="0"/>
          <w:szCs w:val="21"/>
          <w:highlight w:val="none"/>
          <w:u w:val="single"/>
          <w:lang w:val="en-US" w:eastAsia="zh-CN"/>
        </w:rPr>
        <w:t>设计</w:t>
      </w:r>
      <w:r>
        <w:rPr>
          <w:rFonts w:hint="eastAsia" w:ascii="宋体" w:hAnsi="宋体" w:eastAsia="宋体" w:cs="宋体"/>
          <w:color w:val="auto"/>
          <w:kern w:val="0"/>
          <w:szCs w:val="21"/>
          <w:highlight w:val="none"/>
          <w:u w:val="single"/>
        </w:rPr>
        <w:t>合同</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BEE5DD4">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资质类别和等级：</w:t>
      </w:r>
      <w:r>
        <w:rPr>
          <w:rFonts w:hint="eastAsia" w:ascii="宋体" w:hAnsi="宋体" w:cs="宋体"/>
          <w:color w:val="auto"/>
          <w:highlight w:val="none"/>
          <w:u w:val="single"/>
        </w:rPr>
        <w:t xml:space="preserve"> </w:t>
      </w:r>
      <w:r>
        <w:rPr>
          <w:rFonts w:hint="eastAsia" w:ascii="宋体" w:hAnsi="宋体" w:eastAsia="宋体" w:cs="宋体"/>
          <w:color w:val="auto"/>
          <w:kern w:val="0"/>
          <w:szCs w:val="21"/>
          <w:highlight w:val="none"/>
          <w:u w:val="single"/>
        </w:rPr>
        <w:t>/</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484A4DC">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eastAsia="宋体" w:cs="宋体"/>
          <w:color w:val="auto"/>
          <w:kern w:val="0"/>
          <w:szCs w:val="21"/>
          <w:highlight w:val="none"/>
          <w:u w:val="single"/>
        </w:rPr>
        <w:t>/</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30D0464">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eastAsia="宋体" w:cs="宋体"/>
          <w:color w:val="auto"/>
          <w:kern w:val="0"/>
          <w:szCs w:val="21"/>
          <w:highlight w:val="none"/>
          <w:u w:val="single"/>
        </w:rPr>
        <w:t>/</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B9BDD14">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xml:space="preserve">    </w:t>
      </w:r>
      <w:r>
        <w:rPr>
          <w:rFonts w:hint="eastAsia" w:ascii="宋体" w:hAnsi="宋体" w:eastAsia="宋体" w:cs="宋体"/>
          <w:color w:val="auto"/>
          <w:kern w:val="0"/>
          <w:szCs w:val="21"/>
          <w:highlight w:val="none"/>
          <w:u w:val="single"/>
        </w:rPr>
        <w:t>/</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3AD158E">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1.1.3 工程和设备</w:t>
      </w:r>
    </w:p>
    <w:p w14:paraId="2C81CF42">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1.1.3.7 作为施工现场组成部分的其他场所包括：</w:t>
      </w:r>
      <w:r>
        <w:rPr>
          <w:rFonts w:hint="eastAsia" w:ascii="宋体" w:hAnsi="宋体" w:cs="宋体"/>
          <w:color w:val="auto"/>
          <w:highlight w:val="none"/>
          <w:u w:val="single"/>
        </w:rPr>
        <w:t xml:space="preserve"> </w:t>
      </w:r>
      <w:r>
        <w:rPr>
          <w:rFonts w:hint="eastAsia" w:ascii="宋体" w:hAnsi="宋体" w:cs="宋体"/>
          <w:color w:val="auto"/>
          <w:szCs w:val="21"/>
          <w:highlight w:val="none"/>
          <w:u w:val="single"/>
        </w:rPr>
        <w:t>见施工图纸并现场确定</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DC07213">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1.1.3.9 永久占地包括：</w:t>
      </w:r>
      <w:r>
        <w:rPr>
          <w:rFonts w:hint="eastAsia" w:ascii="宋体" w:hAnsi="宋体" w:cs="宋体"/>
          <w:color w:val="auto"/>
          <w:highlight w:val="none"/>
          <w:u w:val="single"/>
        </w:rPr>
        <w:t xml:space="preserve">  </w:t>
      </w:r>
      <w:r>
        <w:rPr>
          <w:rFonts w:hint="eastAsia" w:ascii="宋体" w:hAnsi="宋体" w:eastAsia="宋体" w:cs="宋体"/>
          <w:color w:val="auto"/>
          <w:szCs w:val="21"/>
          <w:highlight w:val="none"/>
          <w:u w:val="single"/>
        </w:rPr>
        <w:t>见施工图纸</w:t>
      </w:r>
      <w:r>
        <w:rPr>
          <w:rFonts w:hint="eastAsia" w:ascii="宋体" w:hAnsi="宋体" w:cs="宋体"/>
          <w:color w:val="auto"/>
          <w:highlight w:val="none"/>
          <w:u w:val="single"/>
        </w:rPr>
        <w:t xml:space="preserve">  </w:t>
      </w:r>
      <w:r>
        <w:rPr>
          <w:rFonts w:hint="eastAsia" w:ascii="宋体" w:hAnsi="宋体" w:cs="宋体"/>
          <w:color w:val="auto"/>
          <w:kern w:val="0"/>
          <w:highlight w:val="none"/>
        </w:rPr>
        <w:t>。</w:t>
      </w:r>
    </w:p>
    <w:p w14:paraId="6A9C8F1A">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kern w:val="0"/>
          <w:highlight w:val="none"/>
        </w:rPr>
        <w:t>1.1.3.10 临时占地包括：</w:t>
      </w:r>
      <w:r>
        <w:rPr>
          <w:rFonts w:hint="eastAsia" w:ascii="宋体" w:hAnsi="宋体" w:cs="宋体"/>
          <w:color w:val="auto"/>
          <w:highlight w:val="none"/>
          <w:u w:val="single"/>
        </w:rPr>
        <w:t xml:space="preserve">  </w:t>
      </w:r>
      <w:r>
        <w:rPr>
          <w:rFonts w:hint="eastAsia" w:ascii="宋体" w:hAnsi="宋体" w:cs="宋体"/>
          <w:color w:val="auto"/>
          <w:szCs w:val="21"/>
          <w:highlight w:val="none"/>
          <w:u w:val="single"/>
        </w:rPr>
        <w:t xml:space="preserve"> 现场确定</w:t>
      </w:r>
      <w:r>
        <w:rPr>
          <w:rFonts w:hint="eastAsia" w:ascii="宋体" w:hAnsi="宋体" w:cs="宋体"/>
          <w:color w:val="auto"/>
          <w:highlight w:val="none"/>
          <w:u w:val="single"/>
        </w:rPr>
        <w:t></w:t>
      </w:r>
      <w:r>
        <w:rPr>
          <w:rFonts w:hint="eastAsia" w:ascii="宋体" w:hAnsi="宋体" w:cs="宋体"/>
          <w:color w:val="auto"/>
          <w:kern w:val="0"/>
          <w:highlight w:val="none"/>
        </w:rPr>
        <w:t>。</w:t>
      </w:r>
    </w:p>
    <w:p w14:paraId="70557463">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 xml:space="preserve">1.3 法律 </w:t>
      </w:r>
    </w:p>
    <w:p w14:paraId="7AA6B471">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适用于合同的其他规范性文件：</w:t>
      </w:r>
      <w:r>
        <w:rPr>
          <w:rFonts w:hint="eastAsia" w:ascii="宋体" w:hAnsi="宋体" w:cs="宋体"/>
          <w:color w:val="auto"/>
          <w:highlight w:val="none"/>
          <w:lang w:val="en-US" w:eastAsia="zh-CN"/>
        </w:rPr>
        <w:t xml:space="preserve"> </w:t>
      </w:r>
      <w:r>
        <w:rPr>
          <w:rFonts w:hint="eastAsia" w:ascii="宋体" w:hAnsi="宋体" w:cs="宋体"/>
          <w:color w:val="auto"/>
          <w:szCs w:val="21"/>
          <w:highlight w:val="none"/>
          <w:u w:val="single"/>
        </w:rPr>
        <w:t>中</w:t>
      </w:r>
      <w:r>
        <w:rPr>
          <w:rFonts w:hint="eastAsia" w:ascii="宋体" w:hAnsi="宋体" w:eastAsia="宋体" w:cs="宋体"/>
          <w:color w:val="auto"/>
          <w:szCs w:val="21"/>
          <w:highlight w:val="none"/>
          <w:u w:val="single"/>
        </w:rPr>
        <w:t>华人民共和国建设部颁发的现行的有关标准、规范及省、市有关规定</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4D7A5C6">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1.4 标准和规范</w:t>
      </w:r>
    </w:p>
    <w:p w14:paraId="465796F7">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1.4.1 适用于工程的标准规范包括：</w:t>
      </w:r>
      <w:r>
        <w:rPr>
          <w:rFonts w:hint="eastAsia" w:ascii="宋体" w:hAnsi="宋体" w:cs="宋体"/>
          <w:color w:val="auto"/>
          <w:szCs w:val="21"/>
          <w:highlight w:val="none"/>
          <w:u w:val="single"/>
        </w:rPr>
        <w:t xml:space="preserve"> 中华人民共和国建设部颁发的现行的有关标准、规范及省、市有关规定  </w:t>
      </w:r>
      <w:r>
        <w:rPr>
          <w:rFonts w:hint="eastAsia" w:ascii="宋体" w:hAnsi="宋体" w:cs="宋体"/>
          <w:color w:val="auto"/>
          <w:szCs w:val="21"/>
          <w:highlight w:val="none"/>
        </w:rPr>
        <w:t>。</w:t>
      </w:r>
    </w:p>
    <w:p w14:paraId="54E4FDB1">
      <w:pPr>
        <w:adjustRightInd w:val="0"/>
        <w:snapToGrid w:val="0"/>
        <w:spacing w:line="384" w:lineRule="auto"/>
        <w:ind w:firstLine="420" w:firstLineChars="200"/>
        <w:rPr>
          <w:rFonts w:hint="eastAsia" w:ascii="宋体" w:hAnsi="宋体" w:cs="宋体"/>
          <w:color w:val="auto"/>
          <w:kern w:val="0"/>
          <w:highlight w:val="none"/>
          <w:u w:val="single"/>
        </w:rPr>
      </w:pPr>
      <w:r>
        <w:rPr>
          <w:rFonts w:hint="eastAsia" w:ascii="宋体" w:hAnsi="宋体" w:cs="宋体"/>
          <w:color w:val="auto"/>
          <w:kern w:val="0"/>
          <w:highlight w:val="none"/>
        </w:rPr>
        <w:t>1.4.2 发包人提供国外标准、规范的名称：</w:t>
      </w:r>
      <w:r>
        <w:rPr>
          <w:rFonts w:hint="eastAsia" w:ascii="宋体" w:hAnsi="宋体" w:cs="宋体"/>
          <w:color w:val="auto"/>
          <w:kern w:val="0"/>
          <w:highlight w:val="none"/>
          <w:u w:val="single"/>
        </w:rPr>
        <w:t xml:space="preserve"> </w:t>
      </w:r>
      <w:r>
        <w:rPr>
          <w:rFonts w:hint="eastAsia" w:ascii="宋体" w:hAnsi="宋体" w:cs="宋体"/>
          <w:color w:val="auto"/>
          <w:kern w:val="0"/>
          <w:szCs w:val="21"/>
          <w:highlight w:val="none"/>
          <w:u w:val="single"/>
        </w:rPr>
        <w:t>承包人自备国内现行适用的标准、规范</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p>
    <w:p w14:paraId="2C7223AA">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发包人提供国外标准、规范的份数：</w:t>
      </w:r>
      <w:r>
        <w:rPr>
          <w:rFonts w:hint="eastAsia" w:ascii="宋体" w:hAnsi="宋体" w:cs="宋体"/>
          <w:color w:val="auto"/>
          <w:kern w:val="0"/>
          <w:highlight w:val="none"/>
          <w:u w:val="single"/>
        </w:rPr>
        <w:t xml:space="preserve">  </w:t>
      </w:r>
      <w:r>
        <w:rPr>
          <w:rFonts w:hint="eastAsia" w:ascii="宋体" w:hAnsi="宋体" w:eastAsia="宋体" w:cs="宋体"/>
          <w:color w:val="auto"/>
          <w:kern w:val="0"/>
          <w:szCs w:val="21"/>
          <w:highlight w:val="none"/>
          <w:u w:val="single"/>
          <w:lang w:val="en-US" w:eastAsia="zh-CN"/>
        </w:rPr>
        <w:t>无</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p>
    <w:p w14:paraId="61E5149A">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kern w:val="0"/>
          <w:highlight w:val="none"/>
        </w:rPr>
        <w:t>发包人提供国外标准、规范的时间：</w:t>
      </w:r>
      <w:r>
        <w:rPr>
          <w:rFonts w:hint="eastAsia" w:ascii="宋体" w:hAnsi="宋体" w:cs="宋体"/>
          <w:color w:val="auto"/>
          <w:kern w:val="0"/>
          <w:highlight w:val="none"/>
          <w:u w:val="single"/>
        </w:rPr>
        <w:t xml:space="preserve">  </w:t>
      </w:r>
      <w:r>
        <w:rPr>
          <w:rFonts w:hint="eastAsia" w:ascii="宋体" w:hAnsi="宋体" w:eastAsia="宋体" w:cs="宋体"/>
          <w:color w:val="auto"/>
          <w:kern w:val="0"/>
          <w:szCs w:val="21"/>
          <w:highlight w:val="none"/>
          <w:u w:val="single"/>
          <w:lang w:val="en-US" w:eastAsia="zh-CN"/>
        </w:rPr>
        <w:t>无</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p>
    <w:p w14:paraId="526C168D">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1.4.3 发包人对工程的技术标准和功能要求的特殊要求：</w:t>
      </w:r>
      <w:r>
        <w:rPr>
          <w:rFonts w:hint="eastAsia" w:ascii="宋体" w:hAnsi="宋体" w:cs="宋体"/>
          <w:color w:val="auto"/>
          <w:highlight w:val="none"/>
          <w:u w:val="single"/>
        </w:rPr>
        <w:t xml:space="preserve"> </w:t>
      </w:r>
      <w:r>
        <w:rPr>
          <w:rFonts w:hint="eastAsia" w:ascii="宋体" w:hAnsi="宋体" w:eastAsia="宋体" w:cs="宋体"/>
          <w:color w:val="auto"/>
          <w:kern w:val="0"/>
          <w:szCs w:val="21"/>
          <w:highlight w:val="none"/>
          <w:u w:val="single"/>
          <w:lang w:val="en-US" w:eastAsia="zh-CN"/>
        </w:rPr>
        <w:t>按现行规范执行</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E09862A">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1.5 合同文件的优先顺序</w:t>
      </w:r>
    </w:p>
    <w:p w14:paraId="297AE83A">
      <w:pPr>
        <w:adjustRightInd w:val="0"/>
        <w:snapToGrid w:val="0"/>
        <w:spacing w:line="384" w:lineRule="auto"/>
        <w:ind w:firstLine="420" w:firstLineChars="200"/>
        <w:rPr>
          <w:rFonts w:hint="eastAsia" w:ascii="宋体" w:hAnsi="宋体" w:cs="宋体"/>
          <w:b/>
          <w:color w:val="auto"/>
          <w:highlight w:val="none"/>
          <w:u w:val="single"/>
        </w:rPr>
      </w:pPr>
      <w:r>
        <w:rPr>
          <w:rFonts w:hint="eastAsia" w:ascii="宋体" w:hAnsi="宋体" w:cs="宋体"/>
          <w:color w:val="auto"/>
          <w:kern w:val="0"/>
          <w:highlight w:val="none"/>
        </w:rPr>
        <w:t>合同文件组成及优先顺序为：</w:t>
      </w:r>
      <w:r>
        <w:rPr>
          <w:rFonts w:hint="eastAsia" w:ascii="宋体" w:hAnsi="宋体" w:cs="宋体"/>
          <w:color w:val="auto"/>
          <w:highlight w:val="none"/>
          <w:u w:val="single"/>
        </w:rPr>
        <w:t xml:space="preserve"> </w:t>
      </w:r>
      <w:r>
        <w:rPr>
          <w:rFonts w:hint="eastAsia" w:ascii="宋体" w:hAnsi="宋体" w:eastAsia="宋体" w:cs="宋体"/>
          <w:color w:val="auto"/>
          <w:kern w:val="0"/>
          <w:szCs w:val="21"/>
          <w:highlight w:val="none"/>
          <w:u w:val="single"/>
          <w:lang w:val="en-US" w:eastAsia="zh-CN"/>
        </w:rPr>
        <w:t>执行通用条款, 若上述文件有不明确或不一致之处，以招标文件为准。</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C8E0519">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1.6 图纸和承包人文件</w:t>
      </w:r>
      <w:r>
        <w:rPr>
          <w:rFonts w:hint="eastAsia" w:ascii="宋体" w:hAnsi="宋体" w:cs="宋体"/>
          <w:bCs/>
          <w:color w:val="auto"/>
          <w:szCs w:val="28"/>
          <w:highlight w:val="none"/>
        </w:rPr>
        <w:tab/>
      </w:r>
    </w:p>
    <w:p w14:paraId="03846377">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1.6.1 图纸的提供和交底</w:t>
      </w:r>
    </w:p>
    <w:p w14:paraId="4B200407">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发包人向承包人提供图纸的期限：</w:t>
      </w:r>
      <w:r>
        <w:rPr>
          <w:rFonts w:hint="eastAsia" w:ascii="宋体" w:hAnsi="宋体" w:cs="宋体"/>
          <w:color w:val="auto"/>
          <w:highlight w:val="none"/>
          <w:u w:val="single"/>
        </w:rPr>
        <w:t xml:space="preserve">  </w:t>
      </w:r>
      <w:r>
        <w:rPr>
          <w:rFonts w:hint="eastAsia" w:ascii="宋体" w:hAnsi="宋体" w:cs="宋体"/>
          <w:color w:val="auto"/>
          <w:szCs w:val="21"/>
          <w:highlight w:val="none"/>
          <w:u w:val="single"/>
        </w:rPr>
        <w:t>开工通知前</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EEC7F2E">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发包人向承包人提供图纸的数量：</w:t>
      </w:r>
      <w:r>
        <w:rPr>
          <w:rFonts w:hint="eastAsia" w:ascii="宋体" w:hAnsi="宋体" w:cs="宋体"/>
          <w:color w:val="auto"/>
          <w:szCs w:val="21"/>
          <w:highlight w:val="none"/>
          <w:u w:val="single"/>
        </w:rPr>
        <w:t xml:space="preserve">提供 </w:t>
      </w:r>
      <w:r>
        <w:rPr>
          <w:rFonts w:hint="eastAsia" w:ascii="宋体" w:hAnsi="宋体" w:cs="宋体"/>
          <w:color w:val="auto"/>
          <w:szCs w:val="21"/>
          <w:highlight w:val="none"/>
          <w:u w:val="single"/>
          <w:lang w:val="en-US" w:eastAsia="zh-CN"/>
        </w:rPr>
        <w:t>1</w:t>
      </w:r>
      <w:r>
        <w:rPr>
          <w:rFonts w:hint="eastAsia" w:ascii="宋体" w:hAnsi="宋体" w:cs="宋体"/>
          <w:color w:val="auto"/>
          <w:szCs w:val="21"/>
          <w:highlight w:val="none"/>
          <w:u w:val="single"/>
        </w:rPr>
        <w:t xml:space="preserve"> 套（含竣工图 </w:t>
      </w:r>
      <w:r>
        <w:rPr>
          <w:rFonts w:hint="eastAsia" w:ascii="宋体" w:hAnsi="宋体" w:cs="宋体"/>
          <w:color w:val="auto"/>
          <w:szCs w:val="21"/>
          <w:highlight w:val="none"/>
          <w:u w:val="single"/>
          <w:lang w:val="en-US" w:eastAsia="zh-CN"/>
        </w:rPr>
        <w:t>1</w:t>
      </w:r>
      <w:r>
        <w:rPr>
          <w:rFonts w:hint="eastAsia" w:ascii="宋体" w:hAnsi="宋体" w:cs="宋体"/>
          <w:color w:val="auto"/>
          <w:szCs w:val="21"/>
          <w:highlight w:val="none"/>
          <w:u w:val="single"/>
        </w:rPr>
        <w:t xml:space="preserve"> 套），不足的由承包人自行复制，费用自理；</w:t>
      </w:r>
    </w:p>
    <w:p w14:paraId="188A63B4">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发包人向承包人提供图纸的内容：</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6E13588C">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1.6.4 承包人文件</w:t>
      </w:r>
    </w:p>
    <w:p w14:paraId="42397B95">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需要由承包人提供的文件，包括：</w:t>
      </w:r>
      <w:r>
        <w:rPr>
          <w:rFonts w:hint="eastAsia" w:ascii="宋体" w:hAnsi="宋体" w:cs="宋体"/>
          <w:color w:val="auto"/>
          <w:highlight w:val="none"/>
          <w:u w:val="single"/>
        </w:rPr>
        <w:t xml:space="preserve">  </w:t>
      </w:r>
      <w:r>
        <w:rPr>
          <w:rFonts w:hint="eastAsia" w:ascii="宋体" w:hAnsi="宋体" w:eastAsia="宋体" w:cs="宋体"/>
          <w:color w:val="auto"/>
          <w:highlight w:val="none"/>
          <w:u w:val="single"/>
        </w:rPr>
        <w:t>另行约定</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1FBE2F4">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承包人提供的文件的期限为：</w:t>
      </w:r>
      <w:r>
        <w:rPr>
          <w:rFonts w:hint="eastAsia" w:ascii="宋体" w:hAnsi="宋体" w:cs="宋体"/>
          <w:color w:val="auto"/>
          <w:highlight w:val="none"/>
          <w:u w:val="single"/>
        </w:rPr>
        <w:t xml:space="preserve">  </w:t>
      </w:r>
      <w:r>
        <w:rPr>
          <w:rFonts w:hint="eastAsia" w:ascii="宋体" w:hAnsi="宋体" w:eastAsia="宋体" w:cs="宋体"/>
          <w:color w:val="auto"/>
          <w:highlight w:val="none"/>
          <w:u w:val="single"/>
        </w:rPr>
        <w:t>另行约定</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3F69C88">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承包人提供的文件的数量为：</w:t>
      </w:r>
      <w:r>
        <w:rPr>
          <w:rFonts w:hint="eastAsia" w:ascii="宋体" w:hAnsi="宋体" w:cs="宋体"/>
          <w:color w:val="auto"/>
          <w:highlight w:val="none"/>
          <w:u w:val="single"/>
        </w:rPr>
        <w:t xml:space="preserve">  </w:t>
      </w:r>
      <w:r>
        <w:rPr>
          <w:rFonts w:hint="eastAsia" w:ascii="宋体" w:hAnsi="宋体" w:eastAsia="宋体" w:cs="宋体"/>
          <w:color w:val="auto"/>
          <w:highlight w:val="none"/>
          <w:u w:val="single"/>
        </w:rPr>
        <w:t>另行约定</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DD62661">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承包人提供的文件的形式为：</w:t>
      </w:r>
      <w:r>
        <w:rPr>
          <w:rFonts w:hint="eastAsia" w:ascii="宋体" w:hAnsi="宋体" w:cs="宋体"/>
          <w:color w:val="auto"/>
          <w:highlight w:val="none"/>
          <w:u w:val="single"/>
        </w:rPr>
        <w:t xml:space="preserve">  </w:t>
      </w:r>
      <w:r>
        <w:rPr>
          <w:rFonts w:hint="eastAsia" w:ascii="宋体" w:hAnsi="宋体" w:eastAsia="宋体" w:cs="宋体"/>
          <w:color w:val="auto"/>
          <w:highlight w:val="none"/>
          <w:u w:val="single"/>
        </w:rPr>
        <w:t>另行约定</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FAD6398">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发包人审批承包人文件的期限：</w:t>
      </w:r>
      <w:r>
        <w:rPr>
          <w:rFonts w:hint="eastAsia" w:ascii="宋体" w:hAnsi="宋体" w:cs="宋体"/>
          <w:color w:val="auto"/>
          <w:highlight w:val="none"/>
          <w:u w:val="single"/>
        </w:rPr>
        <w:t xml:space="preserve">  </w:t>
      </w:r>
      <w:r>
        <w:rPr>
          <w:rFonts w:hint="eastAsia" w:ascii="宋体" w:hAnsi="宋体" w:eastAsia="宋体" w:cs="宋体"/>
          <w:color w:val="auto"/>
          <w:highlight w:val="none"/>
          <w:u w:val="single"/>
        </w:rPr>
        <w:t>另行约定</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EEB824A">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1.6.5 图纸和承包人文件的保管</w:t>
      </w:r>
    </w:p>
    <w:p w14:paraId="2BC8A7D7">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关于图纸和承包人文件保管的约定：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执行通用条款</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68389B20">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1.7 联络</w:t>
      </w:r>
    </w:p>
    <w:p w14:paraId="61E9BD69">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1.7.1 发包人和承包人应当在</w:t>
      </w:r>
      <w:r>
        <w:rPr>
          <w:rFonts w:hint="eastAsia" w:ascii="宋体" w:hAnsi="宋体" w:cs="宋体"/>
          <w:color w:val="auto"/>
          <w:highlight w:val="none"/>
          <w:u w:val="single"/>
        </w:rPr>
        <w:t>7</w:t>
      </w:r>
      <w:r>
        <w:rPr>
          <w:rFonts w:hint="eastAsia" w:ascii="宋体" w:hAnsi="宋体" w:cs="宋体"/>
          <w:color w:val="auto"/>
          <w:kern w:val="0"/>
          <w:highlight w:val="none"/>
        </w:rPr>
        <w:t>天内将与合同有关的通知、批准、证明、证书、指示、指令、要求、请求、同意、意见、确定和决定等书面函件送达对方当事人。</w:t>
      </w:r>
    </w:p>
    <w:p w14:paraId="516C71FE">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1.7.2 发包人接收文件的地点：</w:t>
      </w:r>
      <w:r>
        <w:rPr>
          <w:rFonts w:hint="eastAsia" w:ascii="宋体" w:hAnsi="宋体" w:cs="宋体"/>
          <w:color w:val="auto"/>
          <w:highlight w:val="none"/>
          <w:u w:val="single"/>
        </w:rPr>
        <w:t xml:space="preserve">  </w:t>
      </w:r>
      <w:r>
        <w:rPr>
          <w:rFonts w:hint="eastAsia" w:ascii="宋体" w:hAnsi="宋体" w:eastAsia="宋体" w:cs="宋体"/>
          <w:color w:val="auto"/>
          <w:szCs w:val="21"/>
          <w:highlight w:val="none"/>
          <w:u w:val="single"/>
          <w:lang w:val="en-US" w:eastAsia="zh-CN"/>
        </w:rPr>
        <w:t>发包人办公室</w:t>
      </w:r>
      <w:r>
        <w:rPr>
          <w:rFonts w:hint="eastAsia" w:ascii="宋体" w:hAnsi="宋体" w:cs="宋体"/>
          <w:color w:val="auto"/>
          <w:highlight w:val="none"/>
          <w:u w:val="single"/>
        </w:rPr>
        <w:t></w:t>
      </w:r>
      <w:r>
        <w:rPr>
          <w:rFonts w:hint="eastAsia" w:ascii="宋体" w:hAnsi="宋体" w:cs="宋体"/>
          <w:color w:val="auto"/>
          <w:kern w:val="0"/>
          <w:highlight w:val="none"/>
        </w:rPr>
        <w:t>；</w:t>
      </w:r>
    </w:p>
    <w:p w14:paraId="7301A4F0">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发包人指定的接收人为：</w:t>
      </w:r>
      <w:r>
        <w:rPr>
          <w:rFonts w:hint="eastAsia" w:ascii="宋体" w:hAnsi="宋体" w:cs="宋体"/>
          <w:color w:val="auto"/>
          <w:highlight w:val="none"/>
          <w:u w:val="single"/>
        </w:rPr>
        <w:t xml:space="preserve">  </w:t>
      </w:r>
      <w:r>
        <w:rPr>
          <w:rFonts w:hint="eastAsia" w:ascii="宋体" w:hAnsi="宋体" w:eastAsia="宋体" w:cs="宋体"/>
          <w:color w:val="auto"/>
          <w:szCs w:val="21"/>
          <w:highlight w:val="none"/>
          <w:u w:val="single"/>
          <w:lang w:val="en-US" w:eastAsia="zh-CN"/>
        </w:rPr>
        <w:t>发包人指派的项目经理</w:t>
      </w:r>
      <w:r>
        <w:rPr>
          <w:rFonts w:hint="eastAsia" w:ascii="宋体" w:hAnsi="宋体" w:cs="宋体"/>
          <w:color w:val="auto"/>
          <w:highlight w:val="none"/>
          <w:u w:val="single"/>
        </w:rPr>
        <w:t></w:t>
      </w:r>
      <w:r>
        <w:rPr>
          <w:rFonts w:hint="eastAsia" w:ascii="宋体" w:hAnsi="宋体" w:cs="宋体"/>
          <w:color w:val="auto"/>
          <w:kern w:val="0"/>
          <w:highlight w:val="none"/>
        </w:rPr>
        <w:t>。</w:t>
      </w:r>
    </w:p>
    <w:p w14:paraId="6863FE94">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承包人接收文件的地点：</w:t>
      </w:r>
      <w:r>
        <w:rPr>
          <w:rFonts w:hint="eastAsia" w:ascii="宋体" w:hAnsi="宋体" w:cs="宋体"/>
          <w:color w:val="auto"/>
          <w:highlight w:val="none"/>
          <w:u w:val="single"/>
        </w:rPr>
        <w:t xml:space="preserve">  </w:t>
      </w:r>
      <w:r>
        <w:rPr>
          <w:rFonts w:hint="eastAsia" w:ascii="宋体" w:hAnsi="宋体" w:eastAsia="宋体" w:cs="宋体"/>
          <w:color w:val="auto"/>
          <w:szCs w:val="21"/>
          <w:highlight w:val="none"/>
          <w:u w:val="single"/>
          <w:lang w:val="en-US" w:eastAsia="zh-CN"/>
        </w:rPr>
        <w:t>项目部</w:t>
      </w:r>
      <w:r>
        <w:rPr>
          <w:rFonts w:hint="eastAsia" w:ascii="宋体" w:hAnsi="宋体" w:cs="宋体"/>
          <w:color w:val="auto"/>
          <w:highlight w:val="none"/>
          <w:u w:val="single"/>
        </w:rPr>
        <w:t xml:space="preserve"> </w:t>
      </w:r>
      <w:r>
        <w:rPr>
          <w:rFonts w:hint="eastAsia" w:ascii="宋体" w:hAnsi="宋体" w:cs="宋体"/>
          <w:color w:val="auto"/>
          <w:kern w:val="0"/>
          <w:highlight w:val="none"/>
        </w:rPr>
        <w:t>；</w:t>
      </w:r>
    </w:p>
    <w:p w14:paraId="77E3B8A9">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承包人指定的接收人为：</w:t>
      </w:r>
      <w:r>
        <w:rPr>
          <w:rFonts w:hint="eastAsia" w:ascii="宋体" w:hAnsi="宋体" w:cs="宋体"/>
          <w:color w:val="auto"/>
          <w:highlight w:val="none"/>
          <w:u w:val="single"/>
        </w:rPr>
        <w:t xml:space="preserve">  </w:t>
      </w:r>
      <w:r>
        <w:rPr>
          <w:rFonts w:hint="eastAsia" w:ascii="宋体" w:hAnsi="宋体" w:eastAsia="宋体" w:cs="宋体"/>
          <w:color w:val="auto"/>
          <w:szCs w:val="21"/>
          <w:highlight w:val="none"/>
          <w:u w:val="single"/>
          <w:lang w:val="en-US" w:eastAsia="zh-CN"/>
        </w:rPr>
        <w:t>项目部</w:t>
      </w:r>
      <w:r>
        <w:rPr>
          <w:rFonts w:hint="eastAsia" w:ascii="宋体" w:hAnsi="宋体" w:cs="宋体"/>
          <w:color w:val="auto"/>
          <w:highlight w:val="none"/>
          <w:u w:val="single"/>
        </w:rPr>
        <w:t xml:space="preserve">  </w:t>
      </w:r>
      <w:r>
        <w:rPr>
          <w:rFonts w:hint="eastAsia" w:ascii="宋体" w:hAnsi="宋体" w:cs="宋体"/>
          <w:color w:val="auto"/>
          <w:kern w:val="0"/>
          <w:highlight w:val="none"/>
        </w:rPr>
        <w:t>。</w:t>
      </w:r>
    </w:p>
    <w:p w14:paraId="235C97E1">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监理人接收文件的地点：</w:t>
      </w:r>
      <w:r>
        <w:rPr>
          <w:rFonts w:hint="eastAsia" w:ascii="宋体" w:hAnsi="宋体" w:cs="宋体"/>
          <w:color w:val="auto"/>
          <w:highlight w:val="none"/>
          <w:u w:val="single"/>
        </w:rPr>
        <w:t xml:space="preserve"> </w:t>
      </w:r>
      <w:r>
        <w:rPr>
          <w:rFonts w:hint="eastAsia" w:ascii="宋体" w:hAnsi="宋体" w:eastAsia="宋体" w:cs="宋体"/>
          <w:color w:val="auto"/>
          <w:szCs w:val="21"/>
          <w:highlight w:val="none"/>
          <w:u w:val="single"/>
          <w:lang w:val="en-US" w:eastAsia="zh-CN"/>
        </w:rPr>
        <w:t>监理部</w:t>
      </w:r>
      <w:r>
        <w:rPr>
          <w:rFonts w:hint="eastAsia" w:ascii="宋体" w:hAnsi="宋体" w:cs="宋体"/>
          <w:color w:val="auto"/>
          <w:highlight w:val="none"/>
          <w:u w:val="single"/>
        </w:rPr>
        <w:t></w:t>
      </w:r>
      <w:r>
        <w:rPr>
          <w:rFonts w:hint="eastAsia" w:ascii="宋体" w:hAnsi="宋体" w:cs="宋体"/>
          <w:color w:val="auto"/>
          <w:kern w:val="0"/>
          <w:highlight w:val="none"/>
        </w:rPr>
        <w:t>；</w:t>
      </w:r>
    </w:p>
    <w:p w14:paraId="0926A394">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监理人指定的接收人为：</w:t>
      </w:r>
      <w:r>
        <w:rPr>
          <w:rFonts w:hint="eastAsia" w:ascii="宋体" w:hAnsi="宋体" w:cs="宋体"/>
          <w:color w:val="auto"/>
          <w:highlight w:val="none"/>
          <w:u w:val="single"/>
        </w:rPr>
        <w:t xml:space="preserve">  </w:t>
      </w:r>
      <w:r>
        <w:rPr>
          <w:rFonts w:hint="eastAsia" w:ascii="宋体" w:hAnsi="宋体" w:eastAsia="宋体" w:cs="宋体"/>
          <w:color w:val="auto"/>
          <w:szCs w:val="21"/>
          <w:highlight w:val="none"/>
          <w:u w:val="single"/>
          <w:lang w:val="en-US" w:eastAsia="zh-CN"/>
        </w:rPr>
        <w:t>总监理工程</w:t>
      </w:r>
      <w:r>
        <w:rPr>
          <w:rFonts w:hint="eastAsia" w:ascii="宋体" w:hAnsi="宋体" w:cs="宋体"/>
          <w:color w:val="auto"/>
          <w:highlight w:val="none"/>
          <w:u w:val="single"/>
        </w:rPr>
        <w:t xml:space="preserve"> </w:t>
      </w:r>
      <w:r>
        <w:rPr>
          <w:rFonts w:hint="eastAsia" w:ascii="宋体" w:hAnsi="宋体" w:cs="宋体"/>
          <w:color w:val="auto"/>
          <w:kern w:val="0"/>
          <w:highlight w:val="none"/>
        </w:rPr>
        <w:t>。</w:t>
      </w:r>
    </w:p>
    <w:p w14:paraId="21635125">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1.10 交通运输</w:t>
      </w:r>
    </w:p>
    <w:p w14:paraId="24E89CB9">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w:t>
      </w:r>
      <w:bookmarkStart w:id="730" w:name="_Toc303539100"/>
      <w:bookmarkStart w:id="731" w:name="_Toc318581155"/>
      <w:bookmarkStart w:id="732" w:name="_Toc304295521"/>
      <w:bookmarkStart w:id="733" w:name="_Toc312677986"/>
      <w:bookmarkStart w:id="734" w:name="_Toc300934943"/>
      <w:r>
        <w:rPr>
          <w:rFonts w:hint="eastAsia" w:ascii="宋体" w:hAnsi="宋体" w:cs="宋体"/>
          <w:color w:val="auto"/>
          <w:highlight w:val="none"/>
        </w:rPr>
        <w:t>.10.1 出入现场的权利</w:t>
      </w:r>
    </w:p>
    <w:p w14:paraId="62A58CCF">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s="宋体"/>
          <w:color w:val="auto"/>
          <w:highlight w:val="none"/>
        </w:rPr>
        <w:t>关于出入现场的权利的约定：</w:t>
      </w:r>
      <w:r>
        <w:rPr>
          <w:rFonts w:hint="eastAsia" w:ascii="宋体" w:hAnsi="宋体" w:eastAsia="宋体" w:cs="宋体"/>
          <w:color w:val="auto"/>
          <w:szCs w:val="21"/>
          <w:highlight w:val="none"/>
          <w:u w:val="single"/>
          <w:lang w:val="en-US" w:eastAsia="zh-CN"/>
        </w:rPr>
        <w:t>按有关规定办理有关施工场地交通、环卫和施工噪音管理等手续，费用由承包人负责。施工中建筑垃圾需运出施工现场外时，承包人需到城管部门办理相关手续并按城管部门指定地点放置。承包人违反城管、环卫等有关管理的规定，被处以罚款的，由承包人承担。</w:t>
      </w:r>
    </w:p>
    <w:p w14:paraId="57473B61">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施工前应开设1-2个固定施工通道，通道位置由发包人和承包人现场共同确认，确定后不得移动并采取有效硬化措施。不得损坏道路路面路侧石、人行道板、雨水井、雨水篦、绿化带、通信光缆、燃气管道、供电等公共设施，如因工程需要，确需损坏少量公共设施的，施工方应办理相关手续，在完工后必须恢复原状或按照有关部门核定的价格赔偿。以上均为工程验收内容，若施工方有损毁不及时修复，发包人有权委托其他施工方进行维修，发生的费用从承包人工程款中直接扣除，并在每阶段付款节点顺延三个月支付。施工过程中，应办理渣土运输证件，保持开发区道路清洁，如有抛撒滴漏，应及时清扫。否则发包人对承包人进行处罚。施工方应确保施工安全,若施工过程中出现工伤事故及由此产生的所有经济赔偿由施工方负责,与发包人无关。</w:t>
      </w:r>
    </w:p>
    <w:p w14:paraId="2F6FF224">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在本工程施工期间，施工单位使用的运输车辆须满足公安、市容城管、交通管理部门等的规定并按要求依法遵照有关规定办理运输许可证，严禁使用无牌无证车辆进行施工，若因以上原因造成的各种行政罚款等费用，由施工单位自行承担，发包人不具有协调等责任义务。如由此造成影响导致业主声誉受损，发包人将向承包人收取违约金5000元/次。</w:t>
      </w:r>
    </w:p>
    <w:bookmarkEnd w:id="730"/>
    <w:bookmarkEnd w:id="731"/>
    <w:bookmarkEnd w:id="732"/>
    <w:bookmarkEnd w:id="733"/>
    <w:bookmarkEnd w:id="734"/>
    <w:p w14:paraId="6F14A11D">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w:t>
      </w:r>
      <w:bookmarkStart w:id="735" w:name="_Toc312677987"/>
      <w:bookmarkStart w:id="736" w:name="_Toc300934944"/>
      <w:bookmarkStart w:id="737" w:name="_Toc304295522"/>
      <w:bookmarkStart w:id="738" w:name="_Toc318581156"/>
      <w:bookmarkStart w:id="739" w:name="_Toc303539101"/>
      <w:r>
        <w:rPr>
          <w:rFonts w:hint="eastAsia" w:ascii="宋体" w:hAnsi="宋体" w:cs="宋体"/>
          <w:color w:val="auto"/>
          <w:highlight w:val="none"/>
        </w:rPr>
        <w:t>.10.3 场内交通</w:t>
      </w:r>
    </w:p>
    <w:p w14:paraId="54AA50FC">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kern w:val="0"/>
          <w:highlight w:val="none"/>
        </w:rPr>
        <w:t>关于场外交通和场内交通的边界的约定：</w:t>
      </w:r>
      <w:r>
        <w:rPr>
          <w:rFonts w:hint="eastAsia" w:ascii="宋体" w:hAnsi="宋体" w:eastAsia="宋体" w:cs="宋体"/>
          <w:color w:val="auto"/>
          <w:szCs w:val="21"/>
          <w:highlight w:val="none"/>
          <w:u w:val="single"/>
          <w:lang w:val="en-US" w:eastAsia="zh-CN"/>
        </w:rPr>
        <w:t>场内交通设施和道路由承包人负责建设，发包人不另支付费用，场内交通边界现场确定。</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BDED227">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s="宋体"/>
          <w:color w:val="auto"/>
          <w:highlight w:val="none"/>
        </w:rPr>
        <w:t>关于发包人向承包人免费提供满足工程施工需要的场内道路和交通设施的约定：</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承包人自行踏勘，自行解决。</w:t>
      </w:r>
    </w:p>
    <w:p w14:paraId="6C304DBE">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发包人提供临时用水、用电接驳点至红线外，本项目范围内水电根据需要承包人自行布置；发包人提供项目范围内原始地形地貌测量成果，后期（如有）发生第三方测量费用，均由承包人承担</w:t>
      </w:r>
      <w:r>
        <w:rPr>
          <w:rFonts w:hint="eastAsia" w:ascii="宋体" w:hAnsi="宋体" w:cs="宋体"/>
          <w:color w:val="auto"/>
          <w:szCs w:val="21"/>
          <w:highlight w:val="none"/>
          <w:u w:val="single"/>
          <w:lang w:val="en-US" w:eastAsia="zh-CN"/>
        </w:rPr>
        <w:t>。</w:t>
      </w:r>
    </w:p>
    <w:bookmarkEnd w:id="735"/>
    <w:bookmarkEnd w:id="736"/>
    <w:bookmarkEnd w:id="737"/>
    <w:bookmarkEnd w:id="738"/>
    <w:bookmarkEnd w:id="739"/>
    <w:p w14:paraId="0A0F77AF">
      <w:pPr>
        <w:adjustRightInd w:val="0"/>
        <w:snapToGrid w:val="0"/>
        <w:spacing w:line="384" w:lineRule="auto"/>
        <w:ind w:firstLine="420" w:firstLineChars="200"/>
        <w:rPr>
          <w:rFonts w:hint="eastAsia" w:ascii="宋体" w:hAnsi="宋体" w:cs="宋体"/>
          <w:color w:val="auto"/>
          <w:highlight w:val="none"/>
        </w:rPr>
      </w:pPr>
      <w:bookmarkStart w:id="740" w:name="_Toc318581157"/>
      <w:r>
        <w:rPr>
          <w:rFonts w:hint="eastAsia" w:ascii="宋体" w:hAnsi="宋体" w:cs="宋体"/>
          <w:color w:val="auto"/>
          <w:highlight w:val="none"/>
        </w:rPr>
        <w:t>1.10.4 超大件和超重件的运输</w:t>
      </w:r>
    </w:p>
    <w:p w14:paraId="4C8214FE">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运输超大件或超重件所需的道路和桥梁临时加固改造费用和其他有关费用由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承包人</w:t>
      </w:r>
      <w:r>
        <w:rPr>
          <w:rFonts w:hint="eastAsia" w:ascii="宋体" w:hAnsi="宋体" w:cs="宋体"/>
          <w:color w:val="auto"/>
          <w:szCs w:val="21"/>
          <w:highlight w:val="none"/>
          <w:u w:val="single"/>
        </w:rPr>
        <w:t xml:space="preserve">  </w:t>
      </w:r>
      <w:r>
        <w:rPr>
          <w:rFonts w:hint="eastAsia" w:ascii="宋体" w:hAnsi="宋体" w:cs="宋体"/>
          <w:color w:val="auto"/>
          <w:highlight w:val="none"/>
        </w:rPr>
        <w:t>承担。</w:t>
      </w:r>
    </w:p>
    <w:bookmarkEnd w:id="740"/>
    <w:p w14:paraId="18EF4FB7">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1.11 知识产权</w:t>
      </w:r>
    </w:p>
    <w:p w14:paraId="662FF2CF">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1.11.1 关于发包人提供给承包人的图纸、发包人为实施工程自行编制或委托编制的技术规范以及反映发包人关于合同要求或其他类似性质的文件的著作权的归属：</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发包人</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35D5B3E7">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关于发包人提供的上述文件的使用限制的要求：</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未经发包人同意不得复制，不得向承包人以外的人员泄漏有关图纸内容，工程竣工后，原图全部收回</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481BC39E">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1.11.2 关于承包人为实施工程所编制文件的著作权的归属：</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执行通用条款</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0F02EC8A">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关于承包人提供的上述文件的使用限制的要求：</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执行通用条款</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635EA86D">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1.11.4 承包人在施工过程中所采用的专利、专有技术、技术秘密的使用费的承担方式：</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执行通用条款</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46B79988">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1.13 工程量清单错误的修正</w:t>
      </w:r>
    </w:p>
    <w:p w14:paraId="538FF539">
      <w:pPr>
        <w:adjustRightInd w:val="0"/>
        <w:snapToGrid w:val="0"/>
        <w:spacing w:line="384" w:lineRule="auto"/>
        <w:ind w:firstLine="420" w:firstLineChars="200"/>
        <w:rPr>
          <w:rFonts w:hint="eastAsia" w:ascii="宋体" w:hAnsi="宋体" w:cs="宋体"/>
          <w:b/>
          <w:color w:val="auto"/>
          <w:highlight w:val="none"/>
          <w:u w:val="single"/>
        </w:rPr>
      </w:pPr>
      <w:r>
        <w:rPr>
          <w:rFonts w:hint="eastAsia" w:ascii="宋体" w:hAnsi="宋体" w:cs="宋体"/>
          <w:color w:val="auto"/>
          <w:highlight w:val="none"/>
        </w:rPr>
        <w:t>出现工程量清单错误时，是否调整合同价格：</w:t>
      </w:r>
      <w:r>
        <w:rPr>
          <w:rFonts w:hint="eastAsia" w:ascii="宋体" w:hAnsi="宋体" w:cs="宋体"/>
          <w:b/>
          <w:color w:val="auto"/>
          <w:highlight w:val="none"/>
          <w:u w:val="single"/>
        </w:rPr>
        <w:t xml:space="preserve"> </w:t>
      </w:r>
      <w:r>
        <w:rPr>
          <w:rFonts w:hint="eastAsia" w:ascii="宋体" w:hAnsi="宋体" w:eastAsia="宋体" w:cs="宋体"/>
          <w:color w:val="auto"/>
          <w:szCs w:val="21"/>
          <w:highlight w:val="none"/>
          <w:u w:val="single"/>
          <w:lang w:val="en-US" w:eastAsia="zh-CN"/>
        </w:rPr>
        <w:t>按国家、省、市相关文件规定</w:t>
      </w:r>
      <w:r>
        <w:rPr>
          <w:rFonts w:hint="eastAsia" w:ascii="宋体" w:hAnsi="宋体" w:cs="宋体"/>
          <w:b/>
          <w:color w:val="auto"/>
          <w:highlight w:val="none"/>
          <w:u w:val="single"/>
        </w:rPr>
        <w:t xml:space="preserve"> </w:t>
      </w:r>
      <w:r>
        <w:rPr>
          <w:rFonts w:hint="eastAsia" w:ascii="宋体" w:hAnsi="宋体" w:cs="宋体"/>
          <w:bCs/>
          <w:color w:val="auto"/>
          <w:highlight w:val="none"/>
        </w:rPr>
        <w:t xml:space="preserve"> 。</w:t>
      </w:r>
    </w:p>
    <w:p w14:paraId="5471F60A">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s="宋体"/>
          <w:color w:val="auto"/>
          <w:highlight w:val="none"/>
        </w:rPr>
        <w:t>允许调整合同价格的工程量偏差范围：</w:t>
      </w:r>
      <w:r>
        <w:rPr>
          <w:rFonts w:hint="eastAsia" w:ascii="宋体" w:hAnsi="宋体" w:eastAsia="宋体" w:cs="宋体"/>
          <w:color w:val="auto"/>
          <w:szCs w:val="21"/>
          <w:highlight w:val="none"/>
          <w:u w:val="single"/>
          <w:lang w:val="en-US" w:eastAsia="zh-CN"/>
        </w:rPr>
        <w:t>工程量按实计量，若清单子目实际工程量增加超出清单工程量的15％的，且原合同内综合单价超出招标最高投标限价中综合单价的，超出部分的工程量综合单价按照招标最高投标限价中综合单价乘以中标价/最高投标限价（中标价和最高投标限价均应扣除暂列金额和暂估价部分）。新增项目单价按照最高投标限价的编制原则重新组价×（1-中标下浮率），重新组价价格最终以审计部门审核结算价为准。</w:t>
      </w:r>
    </w:p>
    <w:p w14:paraId="4E1F4C5D">
      <w:pPr>
        <w:adjustRightInd w:val="0"/>
        <w:snapToGrid w:val="0"/>
        <w:spacing w:line="384" w:lineRule="auto"/>
        <w:ind w:firstLine="420" w:firstLineChars="200"/>
        <w:rPr>
          <w:rFonts w:hint="eastAsia"/>
          <w:color w:val="auto"/>
          <w:highlight w:val="none"/>
          <w:lang w:val="en-US" w:eastAsia="zh-CN"/>
        </w:rPr>
      </w:pPr>
      <w:r>
        <w:rPr>
          <w:rFonts w:hint="eastAsia" w:ascii="宋体" w:hAnsi="宋体" w:eastAsia="宋体" w:cs="宋体"/>
          <w:color w:val="auto"/>
          <w:szCs w:val="21"/>
          <w:highlight w:val="none"/>
          <w:u w:val="single"/>
          <w:lang w:val="en-US" w:eastAsia="zh-CN"/>
        </w:rPr>
        <w:t>若项目进行减项，且原合同内综合单价低于发包人公布的最高投标限价中综合单价的，其该减项部分的工程量综合单价按照最高投标限价中综合单价乘以中标价/最高投标限价（中标价和最高投标限价均应扣除暂列金额和暂估价部分）。</w:t>
      </w:r>
    </w:p>
    <w:p w14:paraId="66AA85FB">
      <w:pPr>
        <w:keepNext/>
        <w:keepLines/>
        <w:adjustRightInd w:val="0"/>
        <w:snapToGrid w:val="0"/>
        <w:spacing w:line="384" w:lineRule="auto"/>
        <w:jc w:val="left"/>
        <w:outlineLvl w:val="2"/>
        <w:rPr>
          <w:rFonts w:hint="eastAsia" w:ascii="宋体" w:hAnsi="宋体" w:cs="宋体"/>
          <w:bCs/>
          <w:color w:val="auto"/>
          <w:sz w:val="24"/>
          <w:highlight w:val="none"/>
        </w:rPr>
      </w:pPr>
      <w:bookmarkStart w:id="741" w:name="_Toc95223463"/>
      <w:bookmarkStart w:id="742" w:name="_Toc351203634"/>
      <w:r>
        <w:rPr>
          <w:rFonts w:hint="eastAsia" w:ascii="宋体" w:hAnsi="宋体" w:cs="宋体"/>
          <w:bCs/>
          <w:color w:val="auto"/>
          <w:sz w:val="24"/>
          <w:highlight w:val="none"/>
        </w:rPr>
        <w:t>2</w:t>
      </w:r>
      <w:bookmarkStart w:id="743" w:name="_Toc296347156"/>
      <w:bookmarkStart w:id="744" w:name="_Toc296890985"/>
      <w:bookmarkStart w:id="745" w:name="_Toc297048343"/>
      <w:bookmarkStart w:id="746" w:name="_Toc296891197"/>
      <w:bookmarkStart w:id="747" w:name="_Toc292559362"/>
      <w:bookmarkStart w:id="748" w:name="_Toc296346658"/>
      <w:bookmarkStart w:id="749" w:name="_Toc296944496"/>
      <w:bookmarkStart w:id="750" w:name="_Toc297120457"/>
      <w:bookmarkStart w:id="751" w:name="_Toc292559867"/>
      <w:bookmarkStart w:id="752" w:name="_Toc296503157"/>
      <w:r>
        <w:rPr>
          <w:rFonts w:hint="eastAsia" w:ascii="宋体" w:hAnsi="宋体" w:cs="宋体"/>
          <w:bCs/>
          <w:color w:val="auto"/>
          <w:sz w:val="24"/>
          <w:highlight w:val="none"/>
        </w:rPr>
        <w:t>. 发包人</w:t>
      </w:r>
      <w:bookmarkEnd w:id="741"/>
      <w:bookmarkEnd w:id="742"/>
    </w:p>
    <w:bookmarkEnd w:id="743"/>
    <w:bookmarkEnd w:id="744"/>
    <w:bookmarkEnd w:id="745"/>
    <w:bookmarkEnd w:id="746"/>
    <w:bookmarkEnd w:id="747"/>
    <w:bookmarkEnd w:id="748"/>
    <w:bookmarkEnd w:id="749"/>
    <w:bookmarkEnd w:id="750"/>
    <w:bookmarkEnd w:id="751"/>
    <w:bookmarkEnd w:id="752"/>
    <w:p w14:paraId="25B98829">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2.2 发包人代表</w:t>
      </w:r>
    </w:p>
    <w:p w14:paraId="5243B4D5">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发包人代表：</w:t>
      </w:r>
    </w:p>
    <w:p w14:paraId="415F0BE3">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姓    名：</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26BA10BC">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身份证号：</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BD40297">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职    务：</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发包人代表                  </w:t>
      </w:r>
      <w:r>
        <w:rPr>
          <w:rFonts w:hint="eastAsia" w:ascii="宋体" w:hAnsi="宋体" w:cs="宋体"/>
          <w:color w:val="auto"/>
          <w:highlight w:val="none"/>
          <w:u w:val="single"/>
        </w:rPr>
        <w:t> </w:t>
      </w:r>
      <w:r>
        <w:rPr>
          <w:rFonts w:hint="eastAsia" w:ascii="宋体" w:hAnsi="宋体" w:cs="宋体"/>
          <w:color w:val="auto"/>
          <w:highlight w:val="none"/>
        </w:rPr>
        <w:t>；</w:t>
      </w:r>
    </w:p>
    <w:p w14:paraId="118EF822">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3613C8D">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681A33EA">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41F226A2">
      <w:pPr>
        <w:adjustRightInd w:val="0"/>
        <w:snapToGrid w:val="0"/>
        <w:spacing w:line="384" w:lineRule="auto"/>
        <w:ind w:firstLine="420" w:firstLineChars="200"/>
        <w:rPr>
          <w:rFonts w:hint="eastAsia" w:ascii="宋体" w:hAnsi="宋体" w:cs="宋体"/>
          <w:b/>
          <w:color w:val="auto"/>
          <w:highlight w:val="none"/>
        </w:rPr>
      </w:pPr>
      <w:r>
        <w:rPr>
          <w:rFonts w:hint="eastAsia" w:ascii="宋体" w:hAnsi="宋体" w:cs="宋体"/>
          <w:color w:val="auto"/>
          <w:highlight w:val="none"/>
        </w:rPr>
        <w:t>发包人对发包人代表的授权范围如下：</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0C47664">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2.4 施工现场、施工条件和基础资料的提供</w:t>
      </w:r>
    </w:p>
    <w:p w14:paraId="10A1DB6C">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2.4.1 提供施工现场</w:t>
      </w:r>
    </w:p>
    <w:p w14:paraId="30A59B71">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关于发包人移交施工现场的期限要求：</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开工前</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16AD9741">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2.4.2 提供施工条件</w:t>
      </w:r>
    </w:p>
    <w:p w14:paraId="0C6C41C2">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s="宋体"/>
          <w:color w:val="auto"/>
          <w:highlight w:val="none"/>
        </w:rPr>
        <w:t>关于发包人应负责提供施工所需要的条件，包括：</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发包人委托承包人办理以下第(1)项至第(5)项工作，所有的费用由承包人考虑在签约合同价中，相关的时间也包括在合同工期以内。发包人对上述工作提供必要的协助和配合： </w:t>
      </w:r>
    </w:p>
    <w:p w14:paraId="77D6C972">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 xml:space="preserve">（1）办理土地临时征用，平整施工场地等工作，使施工场地具备施工条件，在开工后继续负责解决以上事项遗留问题； </w:t>
      </w:r>
    </w:p>
    <w:p w14:paraId="4FC4F1DE">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（2）将施工所需水、电、电讯线路从施工场地外部接至约定地点，保证施工期间的需要；场地达到设计标高的土方和加固措施；</w:t>
      </w:r>
    </w:p>
    <w:p w14:paraId="7BAA5E7C">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（3）开通施工场地与城乡公共道路的通道，以及负责修建施工场地内的道路和交通设施，满足施工运输的需要，保证施工期间的畅通；</w:t>
      </w:r>
    </w:p>
    <w:p w14:paraId="017FCA99">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4）承包人应负责收集施工现场及工程施工所必需的毗邻区域内供水、排水、供电、供气、供热、通信、广播电视等地下管线资料，气象和水文观测资料，地质勘察资料，相邻建筑物、构筑物和地下工程等有关基础资料，并对所收集资料的真实性、准确性和完整性负责。工程地质和地下管线资料纸质版，承包人可在发包人资料档案室借阅或复印，并应向相关管线管理机构、管线权属单位及工程所在地城建档案馆调阅相关地下管线档案资料。承包人进入现场施工后应委托专业单位进行调查和探挖工作，确认现有管线位置、种类及埋深，采取措施予以保护，对原有管线或者设施埋设的位置不明时，应当挖样洞复测，在掌握实际情况后方可施工。如有损坏，承包人应当立即停止施工，做好记录，并立即通知有关单位进行抢修，因此发生的相关费用及损失赔偿等法律责任由承包人承担；</w:t>
      </w:r>
    </w:p>
    <w:p w14:paraId="6ED6358F">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（5）办理施工许可证及其他施工所需证件、批件和临时用地、停水、停电、中断道路交通、爆破作业等的申请批准手续（证明承包人自身资质的证件除外）。</w:t>
      </w:r>
    </w:p>
    <w:p w14:paraId="4E9AC8E7">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2.5 资金来源证明及支付担保</w:t>
      </w:r>
    </w:p>
    <w:p w14:paraId="1D42872C">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发包人提供资金来源证明及资金安排的期限要求：在取得施工许可证的</w:t>
      </w:r>
      <w:r>
        <w:rPr>
          <w:rFonts w:hint="eastAsia" w:ascii="宋体" w:hAnsi="宋体" w:cs="宋体"/>
          <w:color w:val="auto"/>
          <w:highlight w:val="none"/>
          <w:lang w:val="en-US" w:eastAsia="zh-CN"/>
        </w:rPr>
        <w:t>3</w:t>
      </w:r>
      <w:r>
        <w:rPr>
          <w:rFonts w:hint="eastAsia" w:ascii="宋体" w:hAnsi="宋体" w:cs="宋体"/>
          <w:color w:val="auto"/>
          <w:highlight w:val="none"/>
        </w:rPr>
        <w:t>个月内办结工程款支付担保。施工单位在收到工程款支付担保后</w:t>
      </w:r>
      <w:r>
        <w:rPr>
          <w:rFonts w:hint="eastAsia" w:ascii="宋体" w:hAnsi="宋体" w:cs="宋体"/>
          <w:color w:val="auto"/>
          <w:highlight w:val="none"/>
          <w:lang w:val="en-US" w:eastAsia="zh-CN"/>
        </w:rPr>
        <w:t>3</w:t>
      </w:r>
      <w:r>
        <w:rPr>
          <w:rFonts w:hint="eastAsia" w:ascii="宋体" w:hAnsi="宋体" w:cs="宋体"/>
          <w:color w:val="auto"/>
          <w:highlight w:val="none"/>
        </w:rPr>
        <w:t>日内将相关资料上传至至项目所在地农民工工资支付监管平台，未按时按承诺提交工程款支付担保的工程建设项目，将视作建设资金未落实。</w:t>
      </w:r>
    </w:p>
    <w:p w14:paraId="5FA17375">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发包人是否提供支付担保：</w:t>
      </w:r>
      <w:r>
        <w:rPr>
          <w:rFonts w:hint="eastAsia" w:ascii="宋体" w:hAnsi="宋体" w:cs="宋体"/>
          <w:b/>
          <w:color w:val="auto"/>
          <w:highlight w:val="none"/>
        </w:rPr>
        <w:t>提供支付担保</w:t>
      </w:r>
      <w:r>
        <w:rPr>
          <w:rFonts w:hint="eastAsia" w:ascii="宋体" w:hAnsi="宋体" w:cs="宋体"/>
          <w:color w:val="auto"/>
          <w:highlight w:val="none"/>
        </w:rPr>
        <w:t>。</w:t>
      </w:r>
    </w:p>
    <w:p w14:paraId="1E3487D8">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发包人提供支付担保的形式：工程款支付担保可以采用银行保函、保证保险、工程担保公司担保等方式。银行保函、保证保险和工程担保保单应当为不可撤销的保证。发包人应当向承包人提供签约合同价8%的工程款支付担保。</w:t>
      </w:r>
    </w:p>
    <w:p w14:paraId="1320279C">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对于政府投资的工程建设项目，发包人可以提供财政等政府有权部门出具的落实项目建设资金保障证明作为工程款支付担保凭证。工程款支付担保保证期限原则上应与施工合同约定的期限保持一致（采用分阶段担保的，建设单位支付相应的工程款后，当期工程款支付担保解除，进入下一阶段工程款支付担保）。施工工期延期的，建设单位应在保证期限到期前 30 天，办理保函、保单延期手续。</w:t>
      </w:r>
    </w:p>
    <w:p w14:paraId="027A8CC8">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工程款支付担保保证有效期内，建设单位未按照规定向农民工工资专用账户拨付工资性工程款或者未按照合同约定支付施工进度款的，施工总承包企业（包括专业承包企业，下同）可以要求保证人履行保证责任，同时将拖欠信息报送工程所在地住房城乡建设主管部门和人力资源社会保障主管部门。</w:t>
      </w:r>
    </w:p>
    <w:p w14:paraId="493BE81A">
      <w:pPr>
        <w:pStyle w:val="19"/>
        <w:ind w:left="0" w:leftChars="0"/>
        <w:rPr>
          <w:rFonts w:hint="eastAsia"/>
          <w:color w:val="auto"/>
          <w:highlight w:val="none"/>
        </w:rPr>
      </w:pPr>
      <w:r>
        <w:rPr>
          <w:rFonts w:hint="eastAsia"/>
          <w:color w:val="auto"/>
          <w:highlight w:val="none"/>
        </w:rPr>
        <w:t>在我省开展工程款支付担保业务的保证人应向有关主管部门提供担保凭证网络验证途径。</w:t>
      </w:r>
    </w:p>
    <w:p w14:paraId="0E9BEF5D">
      <w:pPr>
        <w:keepNext/>
        <w:keepLines/>
        <w:adjustRightInd w:val="0"/>
        <w:snapToGrid w:val="0"/>
        <w:spacing w:line="384" w:lineRule="auto"/>
        <w:jc w:val="left"/>
        <w:outlineLvl w:val="2"/>
        <w:rPr>
          <w:rFonts w:hint="eastAsia" w:ascii="宋体" w:hAnsi="宋体" w:cs="宋体"/>
          <w:bCs/>
          <w:color w:val="auto"/>
          <w:sz w:val="24"/>
          <w:highlight w:val="none"/>
        </w:rPr>
      </w:pPr>
      <w:bookmarkStart w:id="753" w:name="_Toc351203635"/>
      <w:bookmarkStart w:id="754" w:name="_Toc95223464"/>
      <w:r>
        <w:rPr>
          <w:rFonts w:hint="eastAsia" w:ascii="宋体" w:hAnsi="宋体" w:cs="宋体"/>
          <w:bCs/>
          <w:color w:val="auto"/>
          <w:sz w:val="24"/>
          <w:highlight w:val="none"/>
        </w:rPr>
        <w:t>3</w:t>
      </w:r>
      <w:bookmarkStart w:id="755" w:name="_Toc297048344"/>
      <w:bookmarkStart w:id="756" w:name="_Toc296944497"/>
      <w:bookmarkStart w:id="757" w:name="_Toc296503158"/>
      <w:bookmarkStart w:id="758" w:name="_Toc292559868"/>
      <w:bookmarkStart w:id="759" w:name="_Toc296347157"/>
      <w:bookmarkStart w:id="760" w:name="_Toc297120458"/>
      <w:bookmarkStart w:id="761" w:name="_Toc292559363"/>
      <w:bookmarkStart w:id="762" w:name="_Toc296891198"/>
      <w:bookmarkStart w:id="763" w:name="_Toc296346659"/>
      <w:bookmarkStart w:id="764" w:name="_Toc296890986"/>
      <w:r>
        <w:rPr>
          <w:rFonts w:hint="eastAsia" w:ascii="宋体" w:hAnsi="宋体" w:cs="宋体"/>
          <w:bCs/>
          <w:color w:val="auto"/>
          <w:sz w:val="24"/>
          <w:highlight w:val="none"/>
        </w:rPr>
        <w:t>. 承包人</w:t>
      </w:r>
      <w:bookmarkEnd w:id="753"/>
      <w:bookmarkEnd w:id="754"/>
    </w:p>
    <w:bookmarkEnd w:id="755"/>
    <w:bookmarkEnd w:id="756"/>
    <w:bookmarkEnd w:id="757"/>
    <w:bookmarkEnd w:id="758"/>
    <w:bookmarkEnd w:id="759"/>
    <w:bookmarkEnd w:id="760"/>
    <w:bookmarkEnd w:id="761"/>
    <w:bookmarkEnd w:id="762"/>
    <w:bookmarkEnd w:id="763"/>
    <w:bookmarkEnd w:id="764"/>
    <w:p w14:paraId="68D8DC58">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3.1 承包人的一般义务</w:t>
      </w:r>
    </w:p>
    <w:p w14:paraId="711105AD">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kern w:val="0"/>
          <w:highlight w:val="none"/>
        </w:rPr>
        <w:t>（9）</w:t>
      </w:r>
      <w:r>
        <w:rPr>
          <w:rFonts w:hint="eastAsia" w:ascii="宋体" w:hAnsi="宋体" w:cs="宋体"/>
          <w:color w:val="auto"/>
          <w:highlight w:val="none"/>
        </w:rPr>
        <w:t>承包人提交的竣工资料的内容：</w:t>
      </w:r>
      <w:r>
        <w:rPr>
          <w:rFonts w:hint="eastAsia" w:ascii="宋体" w:hAnsi="宋体" w:cs="宋体"/>
          <w:color w:val="auto"/>
          <w:szCs w:val="21"/>
          <w:highlight w:val="none"/>
          <w:u w:val="single"/>
        </w:rPr>
        <w:t>承包人提供全套竣工图，所有竣工图应为新图纸</w:t>
      </w:r>
      <w:r>
        <w:rPr>
          <w:rFonts w:hint="eastAsia" w:ascii="宋体" w:hAnsi="宋体" w:cs="宋体"/>
          <w:color w:val="auto"/>
          <w:highlight w:val="none"/>
        </w:rPr>
        <w:t>。</w:t>
      </w:r>
    </w:p>
    <w:p w14:paraId="738990C7">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承包人需要提交的竣工资料套数：</w:t>
      </w:r>
      <w:r>
        <w:rPr>
          <w:rFonts w:hint="eastAsia" w:ascii="宋体" w:hAnsi="宋体" w:cs="宋体"/>
          <w:color w:val="auto"/>
          <w:szCs w:val="21"/>
          <w:highlight w:val="none"/>
          <w:u w:val="single"/>
        </w:rPr>
        <w:t xml:space="preserve"> 按市档案馆要求执行  </w:t>
      </w:r>
      <w:r>
        <w:rPr>
          <w:rFonts w:hint="eastAsia" w:ascii="宋体" w:hAnsi="宋体" w:cs="宋体"/>
          <w:color w:val="auto"/>
          <w:highlight w:val="none"/>
        </w:rPr>
        <w:t>。</w:t>
      </w:r>
    </w:p>
    <w:p w14:paraId="7927C2FE">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承包人提交的竣工资料的费用承担：</w:t>
      </w:r>
      <w:r>
        <w:rPr>
          <w:rFonts w:hint="eastAsia" w:ascii="宋体" w:hAnsi="宋体" w:cs="宋体"/>
          <w:color w:val="auto"/>
          <w:szCs w:val="21"/>
          <w:highlight w:val="none"/>
          <w:u w:val="single"/>
        </w:rPr>
        <w:t xml:space="preserve">承包人承担           </w:t>
      </w:r>
      <w:r>
        <w:rPr>
          <w:rFonts w:hint="eastAsia" w:ascii="宋体" w:hAnsi="宋体" w:cs="宋体"/>
          <w:color w:val="auto"/>
          <w:highlight w:val="none"/>
        </w:rPr>
        <w:t>。</w:t>
      </w:r>
    </w:p>
    <w:p w14:paraId="45F78DD8">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承包人提交的竣工资料移交时间：</w:t>
      </w:r>
      <w:r>
        <w:rPr>
          <w:rFonts w:hint="eastAsia" w:ascii="宋体" w:hAnsi="宋体" w:cs="宋体"/>
          <w:color w:val="auto"/>
          <w:highlight w:val="none"/>
          <w:u w:val="single"/>
        </w:rPr>
        <w:t xml:space="preserve"> </w:t>
      </w:r>
      <w:r>
        <w:rPr>
          <w:rFonts w:hint="eastAsia" w:ascii="宋体" w:hAnsi="宋体" w:cs="宋体"/>
          <w:color w:val="auto"/>
          <w:szCs w:val="21"/>
          <w:highlight w:val="none"/>
          <w:u w:val="single"/>
        </w:rPr>
        <w:t>工程竣工验收合格后</w:t>
      </w:r>
      <w:r>
        <w:rPr>
          <w:rFonts w:hint="eastAsia" w:ascii="宋体" w:hAnsi="宋体" w:cs="宋体"/>
          <w:color w:val="auto"/>
          <w:szCs w:val="21"/>
          <w:highlight w:val="none"/>
          <w:u w:val="single"/>
          <w:lang w:val="en-US" w:eastAsia="zh-CN"/>
        </w:rPr>
        <w:t>3</w:t>
      </w:r>
      <w:r>
        <w:rPr>
          <w:rFonts w:hint="eastAsia" w:ascii="宋体" w:hAnsi="宋体" w:cs="宋体"/>
          <w:color w:val="auto"/>
          <w:szCs w:val="21"/>
          <w:highlight w:val="none"/>
          <w:u w:val="single"/>
        </w:rPr>
        <w:t>个月内</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E13967D">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承包人提交的竣工资料形式要求：</w:t>
      </w:r>
      <w:r>
        <w:rPr>
          <w:rFonts w:hint="eastAsia" w:ascii="宋体" w:hAnsi="宋体" w:cs="宋体"/>
          <w:color w:val="auto"/>
          <w:highlight w:val="none"/>
          <w:u w:val="single"/>
        </w:rPr>
        <w:t xml:space="preserve">   </w:t>
      </w:r>
      <w:r>
        <w:rPr>
          <w:rFonts w:hint="eastAsia" w:ascii="宋体" w:hAnsi="宋体" w:cs="宋体"/>
          <w:color w:val="auto"/>
          <w:szCs w:val="21"/>
          <w:highlight w:val="none"/>
          <w:u w:val="single"/>
        </w:rPr>
        <w:t>按市档案馆要求执行</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02474B2">
      <w:pPr>
        <w:adjustRightInd w:val="0"/>
        <w:snapToGrid w:val="0"/>
        <w:spacing w:line="384" w:lineRule="auto"/>
        <w:ind w:firstLine="420" w:firstLineChars="200"/>
        <w:rPr>
          <w:rFonts w:hint="eastAsia" w:ascii="宋体" w:hAnsi="宋体" w:eastAsia="宋体" w:cs="宋体"/>
          <w:color w:val="auto"/>
          <w:szCs w:val="21"/>
          <w:highlight w:val="none"/>
          <w:u w:val="single"/>
          <w:lang w:eastAsia="zh-CN"/>
        </w:rPr>
      </w:pPr>
      <w:r>
        <w:rPr>
          <w:rFonts w:hint="eastAsia" w:ascii="宋体" w:hAnsi="宋体" w:cs="宋体"/>
          <w:color w:val="auto"/>
          <w:kern w:val="0"/>
          <w:highlight w:val="none"/>
        </w:rPr>
        <w:t>（10）承包人应履行的其他义务：</w:t>
      </w:r>
      <w:r>
        <w:rPr>
          <w:rFonts w:hint="eastAsia" w:ascii="宋体" w:hAnsi="宋体" w:eastAsia="宋体" w:cs="宋体"/>
          <w:color w:val="auto"/>
          <w:szCs w:val="21"/>
          <w:highlight w:val="none"/>
          <w:u w:val="single"/>
        </w:rPr>
        <w:t xml:space="preserve">a、按合同约定工期竣工。实际开工日期将以开工令为准，总工期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个</w:t>
      </w:r>
      <w:r>
        <w:rPr>
          <w:rFonts w:hint="eastAsia" w:ascii="宋体" w:hAnsi="宋体" w:eastAsia="宋体" w:cs="宋体"/>
          <w:color w:val="auto"/>
          <w:szCs w:val="21"/>
          <w:highlight w:val="none"/>
          <w:u w:val="single"/>
          <w:lang w:val="en-US" w:eastAsia="zh-CN"/>
        </w:rPr>
        <w:t>日历天</w:t>
      </w:r>
      <w:r>
        <w:rPr>
          <w:rFonts w:hint="eastAsia" w:ascii="宋体" w:hAnsi="宋体" w:eastAsia="宋体" w:cs="宋体"/>
          <w:color w:val="auto"/>
          <w:szCs w:val="21"/>
          <w:highlight w:val="none"/>
          <w:u w:val="single"/>
        </w:rPr>
        <w:t>完成竣工验收</w:t>
      </w:r>
      <w:r>
        <w:rPr>
          <w:rFonts w:hint="eastAsia" w:ascii="宋体" w:hAnsi="宋体" w:eastAsia="宋体" w:cs="宋体"/>
          <w:color w:val="auto"/>
          <w:szCs w:val="21"/>
          <w:highlight w:val="none"/>
          <w:u w:val="single"/>
          <w:lang w:eastAsia="zh-CN"/>
        </w:rPr>
        <w:t>。</w:t>
      </w:r>
    </w:p>
    <w:p w14:paraId="7B6BA368">
      <w:pPr>
        <w:adjustRightInd w:val="0"/>
        <w:snapToGrid w:val="0"/>
        <w:spacing w:line="384"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b、承包人在施工区域围挡自成系统，</w:t>
      </w:r>
      <w:r>
        <w:rPr>
          <w:rFonts w:hint="eastAsia" w:ascii="宋体" w:hAnsi="宋体" w:eastAsia="宋体" w:cs="宋体"/>
          <w:color w:val="auto"/>
          <w:szCs w:val="21"/>
          <w:highlight w:val="none"/>
          <w:u w:val="single"/>
          <w:lang w:val="en-US" w:eastAsia="zh-CN"/>
        </w:rPr>
        <w:t>沿街围挡高度不低于</w:t>
      </w:r>
      <w:r>
        <w:rPr>
          <w:rFonts w:hint="eastAsia" w:ascii="宋体" w:hAnsi="宋体" w:cs="宋体"/>
          <w:color w:val="auto"/>
          <w:szCs w:val="21"/>
          <w:highlight w:val="none"/>
          <w:u w:val="single"/>
          <w:lang w:val="en-US" w:eastAsia="zh-CN"/>
        </w:rPr>
        <w:t>2</w:t>
      </w:r>
      <w:r>
        <w:rPr>
          <w:rFonts w:hint="eastAsia" w:ascii="宋体" w:hAnsi="宋体" w:eastAsia="宋体" w:cs="宋体"/>
          <w:color w:val="auto"/>
          <w:szCs w:val="21"/>
          <w:highlight w:val="none"/>
          <w:u w:val="single"/>
          <w:lang w:val="en-US" w:eastAsia="zh-CN"/>
        </w:rPr>
        <w:t>米，其余</w:t>
      </w:r>
      <w:r>
        <w:rPr>
          <w:rFonts w:hint="default" w:ascii="宋体" w:hAnsi="宋体" w:eastAsia="宋体" w:cs="宋体"/>
          <w:color w:val="auto"/>
          <w:szCs w:val="21"/>
          <w:highlight w:val="none"/>
          <w:u w:val="single"/>
          <w:lang w:val="en-US" w:eastAsia="zh-CN"/>
        </w:rPr>
        <w:t>围挡设置必须符合相关部门要求，对于围挡的宣传标语（图案）等设置，必须按照建设单位要求进行布置，并且及时更新、更换。所产生的所有费用均包含在投标报价中。具体围挡方案必须报建设单位审批后方可实施。</w:t>
      </w:r>
      <w:r>
        <w:rPr>
          <w:rFonts w:hint="eastAsia" w:ascii="宋体" w:hAnsi="宋体" w:eastAsia="宋体" w:cs="宋体"/>
          <w:color w:val="auto"/>
          <w:szCs w:val="21"/>
          <w:highlight w:val="none"/>
          <w:u w:val="single"/>
        </w:rPr>
        <w:t>分隔材料采用硬质材料，符合安监等相关要求，公共道路及冲洗平台由承包人提供，承包人不得因其他人使用公共道路及冲洗平台而收取任何费用。</w:t>
      </w:r>
    </w:p>
    <w:p w14:paraId="238729D7">
      <w:pPr>
        <w:adjustRightInd w:val="0"/>
        <w:snapToGrid w:val="0"/>
        <w:spacing w:line="384"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lang w:eastAsia="zh-CN"/>
        </w:rPr>
        <w:t>c</w:t>
      </w:r>
      <w:r>
        <w:rPr>
          <w:rFonts w:hint="eastAsia" w:ascii="宋体" w:hAnsi="宋体" w:eastAsia="宋体" w:cs="宋体"/>
          <w:color w:val="auto"/>
          <w:szCs w:val="21"/>
          <w:highlight w:val="none"/>
          <w:u w:val="single"/>
        </w:rPr>
        <w:t>、发包人代表有权就其他未尽事宜或临时发生的计划发出指令，承包人须积极配合执行，除有设计变更增加费用外，其他费用不予增加。</w:t>
      </w:r>
    </w:p>
    <w:p w14:paraId="62BCBB2F">
      <w:pPr>
        <w:adjustRightInd w:val="0"/>
        <w:snapToGrid w:val="0"/>
        <w:spacing w:line="384"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eastAsia="zh-CN"/>
        </w:rPr>
        <w:t>d</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u w:val="single"/>
          <w:lang w:val="en-US" w:eastAsia="zh-CN"/>
        </w:rPr>
        <w:t>承包人</w:t>
      </w:r>
      <w:r>
        <w:rPr>
          <w:rFonts w:hint="eastAsia" w:ascii="宋体" w:hAnsi="宋体" w:eastAsia="宋体" w:cs="宋体"/>
          <w:color w:val="auto"/>
          <w:szCs w:val="21"/>
          <w:highlight w:val="none"/>
          <w:u w:val="single"/>
        </w:rPr>
        <w:t>在领取中标通知书后必须配合办理相关报建手续、施工许可证，此项工作必须在中标通知书发放30日内完成（若因</w:t>
      </w:r>
      <w:r>
        <w:rPr>
          <w:rFonts w:hint="eastAsia" w:ascii="宋体" w:hAnsi="宋体" w:eastAsia="宋体" w:cs="宋体"/>
          <w:color w:val="auto"/>
          <w:szCs w:val="21"/>
          <w:highlight w:val="none"/>
          <w:u w:val="single"/>
          <w:lang w:val="en-US" w:eastAsia="zh-CN"/>
        </w:rPr>
        <w:t>发包人</w:t>
      </w:r>
      <w:r>
        <w:rPr>
          <w:rFonts w:hint="eastAsia" w:ascii="宋体" w:hAnsi="宋体" w:eastAsia="宋体" w:cs="宋体"/>
          <w:color w:val="auto"/>
          <w:szCs w:val="21"/>
          <w:highlight w:val="none"/>
          <w:u w:val="single"/>
        </w:rPr>
        <w:t>原因造成的除外）；否则，每拖延一天处以</w:t>
      </w:r>
      <w:r>
        <w:rPr>
          <w:rFonts w:hint="eastAsia" w:ascii="宋体" w:hAnsi="宋体" w:eastAsia="宋体" w:cs="宋体"/>
          <w:color w:val="auto"/>
          <w:szCs w:val="21"/>
          <w:highlight w:val="none"/>
          <w:u w:val="single"/>
          <w:lang w:val="en-US" w:eastAsia="zh-CN"/>
        </w:rPr>
        <w:t>10000</w:t>
      </w:r>
      <w:r>
        <w:rPr>
          <w:rFonts w:hint="eastAsia" w:ascii="宋体" w:hAnsi="宋体" w:eastAsia="宋体" w:cs="宋体"/>
          <w:color w:val="auto"/>
          <w:szCs w:val="21"/>
          <w:highlight w:val="none"/>
          <w:u w:val="single"/>
        </w:rPr>
        <w:t>元违约金，提前不奖励。</w:t>
      </w:r>
    </w:p>
    <w:p w14:paraId="34C68B63">
      <w:pPr>
        <w:adjustRightInd w:val="0"/>
        <w:snapToGrid w:val="0"/>
        <w:spacing w:line="384"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lang w:eastAsia="zh-CN"/>
        </w:rPr>
        <w:t>e</w:t>
      </w:r>
      <w:r>
        <w:rPr>
          <w:rFonts w:hint="eastAsia" w:ascii="宋体" w:hAnsi="宋体" w:eastAsia="宋体" w:cs="宋体"/>
          <w:color w:val="auto"/>
          <w:szCs w:val="21"/>
          <w:highlight w:val="none"/>
          <w:u w:val="single"/>
        </w:rPr>
        <w:t xml:space="preserve">、承包人应按要求建立电子脸谱考勤系统，并接入行业主管部门或项目单位的监管系统。                                </w:t>
      </w:r>
    </w:p>
    <w:p w14:paraId="03C3ECA3">
      <w:pPr>
        <w:adjustRightInd w:val="0"/>
        <w:snapToGrid w:val="0"/>
        <w:spacing w:line="384" w:lineRule="auto"/>
        <w:ind w:firstLine="420" w:firstLineChars="200"/>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u w:val="single"/>
          <w:lang w:eastAsia="zh-CN"/>
        </w:rPr>
        <w:t>f、</w:t>
      </w:r>
      <w:r>
        <w:rPr>
          <w:rFonts w:hint="eastAsia" w:ascii="宋体" w:hAnsi="宋体" w:eastAsia="宋体" w:cs="宋体"/>
          <w:color w:val="auto"/>
          <w:szCs w:val="21"/>
          <w:highlight w:val="none"/>
          <w:u w:val="single"/>
        </w:rPr>
        <w:t>承包人在现场应对图纸进行有效的管理，确定现场图纸的有效版本，其他版本应及时标注其中替换、变更、作废等内容，以确保施工按准确的图纸进行。如因现场图纸管理不当造成施工质量问题或工期延误，由承包人承担工期延误责任并向发包人赔偿损失。</w:t>
      </w:r>
    </w:p>
    <w:p w14:paraId="3CDAB366">
      <w:pPr>
        <w:adjustRightInd w:val="0"/>
        <w:snapToGrid w:val="0"/>
        <w:spacing w:line="384"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g</w:t>
      </w:r>
      <w:r>
        <w:rPr>
          <w:rFonts w:hint="eastAsia" w:ascii="宋体" w:hAnsi="宋体" w:eastAsia="宋体" w:cs="宋体"/>
          <w:color w:val="auto"/>
          <w:szCs w:val="21"/>
          <w:highlight w:val="none"/>
          <w:u w:val="single"/>
          <w:lang w:eastAsia="zh-CN"/>
        </w:rPr>
        <w:t>、</w:t>
      </w:r>
      <w:r>
        <w:rPr>
          <w:rFonts w:hint="eastAsia" w:ascii="宋体" w:hAnsi="宋体" w:eastAsia="宋体" w:cs="宋体"/>
          <w:color w:val="auto"/>
          <w:szCs w:val="21"/>
          <w:highlight w:val="none"/>
          <w:u w:val="single"/>
        </w:rPr>
        <w:t>承包人收到施工图后，应对施工图纸认真核查，如发包人提供的图纸、资料不完整的，承包人应在该项工程或分项工程开工前14日之前向发包人提交补充图纸及资料的使用时间表。承包人应积极参与发包人组织的施工图纸交底及会审工作，承包人在拿到施工图15日内应指出图纸上有悖国家强制性规范、施工质量与安全之处，并做好各系统管线的综合平衡工作。如承包人未能履行上述审查义务而造成工程费用增加和工期损失，由承包人承担增加的费用，工期不予顺延。</w:t>
      </w:r>
    </w:p>
    <w:p w14:paraId="48FCC65A">
      <w:pPr>
        <w:adjustRightInd w:val="0"/>
        <w:snapToGrid w:val="0"/>
        <w:spacing w:line="384"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h</w:t>
      </w:r>
      <w:r>
        <w:rPr>
          <w:rFonts w:hint="eastAsia" w:ascii="宋体" w:hAnsi="宋体" w:eastAsia="宋体" w:cs="宋体"/>
          <w:color w:val="auto"/>
          <w:szCs w:val="21"/>
          <w:highlight w:val="none"/>
          <w:u w:val="single"/>
          <w:lang w:eastAsia="zh-CN"/>
        </w:rPr>
        <w:t>、</w:t>
      </w:r>
      <w:r>
        <w:rPr>
          <w:rFonts w:hint="eastAsia" w:ascii="宋体" w:hAnsi="宋体" w:eastAsia="宋体" w:cs="宋体"/>
          <w:color w:val="auto"/>
          <w:szCs w:val="21"/>
          <w:highlight w:val="none"/>
          <w:u w:val="single"/>
        </w:rPr>
        <w:t>向</w:t>
      </w:r>
      <w:r>
        <w:rPr>
          <w:rFonts w:hint="eastAsia" w:ascii="宋体" w:hAnsi="宋体" w:eastAsia="宋体" w:cs="宋体"/>
          <w:color w:val="auto"/>
          <w:szCs w:val="21"/>
          <w:highlight w:val="none"/>
          <w:u w:val="single"/>
          <w:lang w:val="en-US" w:eastAsia="zh-CN"/>
        </w:rPr>
        <w:t>发包人</w:t>
      </w:r>
      <w:r>
        <w:rPr>
          <w:rFonts w:hint="eastAsia" w:ascii="宋体" w:hAnsi="宋体" w:eastAsia="宋体" w:cs="宋体"/>
          <w:color w:val="auto"/>
          <w:szCs w:val="21"/>
          <w:highlight w:val="none"/>
          <w:u w:val="single"/>
        </w:rPr>
        <w:t>提供年、季、月度工程及相应进度统计报表；</w:t>
      </w:r>
    </w:p>
    <w:p w14:paraId="6CFCFE63">
      <w:pPr>
        <w:adjustRightInd w:val="0"/>
        <w:snapToGrid w:val="0"/>
        <w:spacing w:line="384"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i.承包人必须认真参加每次例会。每次与会人员包括</w:t>
      </w:r>
      <w:r>
        <w:rPr>
          <w:rFonts w:hint="eastAsia" w:ascii="宋体" w:hAnsi="宋体" w:eastAsia="宋体" w:cs="宋体"/>
          <w:color w:val="auto"/>
          <w:szCs w:val="21"/>
          <w:highlight w:val="none"/>
          <w:u w:val="single"/>
          <w:lang w:val="en-US" w:eastAsia="zh-CN"/>
        </w:rPr>
        <w:t>项目经理</w:t>
      </w:r>
      <w:r>
        <w:rPr>
          <w:rFonts w:hint="eastAsia" w:ascii="宋体" w:hAnsi="宋体" w:eastAsia="宋体" w:cs="宋体"/>
          <w:color w:val="auto"/>
          <w:szCs w:val="21"/>
          <w:highlight w:val="none"/>
          <w:u w:val="single"/>
        </w:rPr>
        <w:t>、技术负责人等。进场后必须服从发包人、监理人的管理。</w:t>
      </w:r>
    </w:p>
    <w:p w14:paraId="758C1C9B">
      <w:pPr>
        <w:adjustRightInd w:val="0"/>
        <w:snapToGrid w:val="0"/>
        <w:spacing w:line="384"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j</w:t>
      </w:r>
      <w:r>
        <w:rPr>
          <w:rFonts w:hint="eastAsia" w:ascii="宋体" w:hAnsi="宋体" w:eastAsia="宋体" w:cs="宋体"/>
          <w:color w:val="auto"/>
          <w:szCs w:val="21"/>
          <w:highlight w:val="none"/>
          <w:u w:val="single"/>
          <w:lang w:eastAsia="zh-CN"/>
        </w:rPr>
        <w:t>、</w:t>
      </w:r>
      <w:r>
        <w:rPr>
          <w:rFonts w:hint="eastAsia" w:ascii="宋体" w:hAnsi="宋体" w:eastAsia="宋体" w:cs="宋体"/>
          <w:color w:val="auto"/>
          <w:szCs w:val="21"/>
          <w:highlight w:val="none"/>
          <w:u w:val="single"/>
        </w:rPr>
        <w:t>根据工程需要，提供和维修非夜间施工使用的照明、围栏设施，负责安全保卫；</w:t>
      </w:r>
    </w:p>
    <w:p w14:paraId="77954BC3">
      <w:pPr>
        <w:adjustRightInd w:val="0"/>
        <w:snapToGrid w:val="0"/>
        <w:spacing w:line="384"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k</w:t>
      </w:r>
      <w:r>
        <w:rPr>
          <w:rFonts w:hint="eastAsia" w:ascii="宋体" w:hAnsi="宋体" w:eastAsia="宋体" w:cs="宋体"/>
          <w:color w:val="auto"/>
          <w:szCs w:val="21"/>
          <w:highlight w:val="none"/>
          <w:u w:val="single"/>
          <w:lang w:eastAsia="zh-CN"/>
        </w:rPr>
        <w:t>、</w:t>
      </w:r>
      <w:r>
        <w:rPr>
          <w:rFonts w:hint="eastAsia" w:ascii="宋体" w:hAnsi="宋体" w:eastAsia="宋体" w:cs="宋体"/>
          <w:color w:val="auto"/>
          <w:szCs w:val="21"/>
          <w:highlight w:val="none"/>
          <w:u w:val="single"/>
        </w:rPr>
        <w:t>向发包人提供施工场地办公和生活的房屋及设施；</w:t>
      </w:r>
    </w:p>
    <w:p w14:paraId="6D3BAAB1">
      <w:pPr>
        <w:adjustRightInd w:val="0"/>
        <w:snapToGrid w:val="0"/>
        <w:spacing w:line="384"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lang w:val="en-US" w:eastAsia="zh-CN"/>
        </w:rPr>
        <w:t>l</w:t>
      </w:r>
      <w:r>
        <w:rPr>
          <w:rFonts w:hint="eastAsia" w:ascii="宋体" w:hAnsi="宋体" w:eastAsia="宋体" w:cs="宋体"/>
          <w:color w:val="auto"/>
          <w:szCs w:val="21"/>
          <w:highlight w:val="none"/>
          <w:u w:val="single"/>
          <w:lang w:eastAsia="zh-CN"/>
        </w:rPr>
        <w:t>、</w:t>
      </w:r>
      <w:r>
        <w:rPr>
          <w:rFonts w:hint="eastAsia" w:ascii="宋体" w:hAnsi="宋体" w:eastAsia="宋体" w:cs="宋体"/>
          <w:color w:val="auto"/>
          <w:szCs w:val="21"/>
          <w:highlight w:val="none"/>
          <w:u w:val="single"/>
        </w:rPr>
        <w:t>向发包人及监理人提供进入现场所必须的条件为发包人及监理人进入工地和施工现场提供方便和安全条件，并有义务提醒上述进入现场人员要对自己安全负责，向发包人雇用的其他单位提供配合的协作。</w:t>
      </w:r>
    </w:p>
    <w:p w14:paraId="52CDCA77">
      <w:pPr>
        <w:adjustRightInd w:val="0"/>
        <w:snapToGrid w:val="0"/>
        <w:spacing w:line="384"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m</w:t>
      </w:r>
      <w:r>
        <w:rPr>
          <w:rFonts w:hint="eastAsia" w:ascii="宋体" w:hAnsi="宋体" w:eastAsia="宋体" w:cs="宋体"/>
          <w:color w:val="auto"/>
          <w:szCs w:val="21"/>
          <w:highlight w:val="none"/>
          <w:u w:val="single"/>
          <w:lang w:eastAsia="zh-CN"/>
        </w:rPr>
        <w:t>、</w:t>
      </w:r>
      <w:r>
        <w:rPr>
          <w:rFonts w:hint="eastAsia" w:ascii="宋体" w:hAnsi="宋体" w:eastAsia="宋体" w:cs="宋体"/>
          <w:color w:val="auto"/>
          <w:szCs w:val="21"/>
          <w:highlight w:val="none"/>
          <w:u w:val="single"/>
        </w:rPr>
        <w:t>遵守政府有关主管部门对施工场地交通、施工噪音以及环境保护和安全生产等的管理规定，按规定办理有关手续，并以书面形式通知发包人；</w:t>
      </w:r>
    </w:p>
    <w:p w14:paraId="36FA9271">
      <w:pPr>
        <w:adjustRightInd w:val="0"/>
        <w:snapToGrid w:val="0"/>
        <w:spacing w:line="384"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n</w:t>
      </w:r>
      <w:r>
        <w:rPr>
          <w:rFonts w:hint="eastAsia" w:ascii="宋体" w:hAnsi="宋体" w:eastAsia="宋体" w:cs="宋体"/>
          <w:color w:val="auto"/>
          <w:szCs w:val="21"/>
          <w:highlight w:val="none"/>
          <w:u w:val="single"/>
          <w:lang w:eastAsia="zh-CN"/>
        </w:rPr>
        <w:t>、</w:t>
      </w:r>
      <w:r>
        <w:rPr>
          <w:rFonts w:hint="eastAsia" w:ascii="宋体" w:hAnsi="宋体" w:eastAsia="宋体" w:cs="宋体"/>
          <w:color w:val="auto"/>
          <w:szCs w:val="21"/>
          <w:highlight w:val="none"/>
          <w:u w:val="single"/>
        </w:rPr>
        <w:t>做好施工场地地下管线和邻近建筑物、构筑物（包括文物保护建筑）、古树名木的保护工作，费用由承包人承担；</w:t>
      </w:r>
    </w:p>
    <w:p w14:paraId="0AA9A581">
      <w:pPr>
        <w:adjustRightInd w:val="0"/>
        <w:snapToGrid w:val="0"/>
        <w:spacing w:line="384"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o</w:t>
      </w:r>
      <w:r>
        <w:rPr>
          <w:rFonts w:hint="eastAsia" w:ascii="宋体" w:hAnsi="宋体" w:eastAsia="宋体" w:cs="宋体"/>
          <w:color w:val="auto"/>
          <w:szCs w:val="21"/>
          <w:highlight w:val="none"/>
          <w:u w:val="single"/>
          <w:lang w:eastAsia="zh-CN"/>
        </w:rPr>
        <w:t>、</w:t>
      </w:r>
      <w:r>
        <w:rPr>
          <w:rFonts w:hint="eastAsia" w:ascii="宋体" w:hAnsi="宋体" w:eastAsia="宋体" w:cs="宋体"/>
          <w:color w:val="auto"/>
          <w:szCs w:val="21"/>
          <w:highlight w:val="none"/>
          <w:u w:val="single"/>
        </w:rPr>
        <w:t>购买、翻译标准、规范或制定施工工艺，费用由均由承包人承担；</w:t>
      </w:r>
    </w:p>
    <w:p w14:paraId="3054CB85">
      <w:pPr>
        <w:adjustRightInd w:val="0"/>
        <w:snapToGrid w:val="0"/>
        <w:spacing w:line="384"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lang w:val="en-US" w:eastAsia="zh-CN"/>
        </w:rPr>
        <w:t>p</w:t>
      </w:r>
      <w:r>
        <w:rPr>
          <w:rFonts w:hint="eastAsia" w:ascii="宋体" w:hAnsi="宋体" w:eastAsia="宋体" w:cs="宋体"/>
          <w:color w:val="auto"/>
          <w:szCs w:val="21"/>
          <w:highlight w:val="none"/>
          <w:u w:val="single"/>
          <w:lang w:eastAsia="zh-CN"/>
        </w:rPr>
        <w:t>、</w:t>
      </w:r>
      <w:r>
        <w:rPr>
          <w:rFonts w:hint="eastAsia" w:ascii="宋体" w:hAnsi="宋体" w:eastAsia="宋体" w:cs="宋体"/>
          <w:color w:val="auto"/>
          <w:szCs w:val="21"/>
          <w:highlight w:val="none"/>
          <w:u w:val="single"/>
        </w:rPr>
        <w:t>在特殊技术要求未加规定但却在图纸上示出或可合理地被指明为合同一部分（反之亦然）的情况下，为执行和完成合同，这些工程应按监理人、发包人代表指导执行，并应使发包人完全满意；</w:t>
      </w:r>
    </w:p>
    <w:p w14:paraId="315387E0">
      <w:pPr>
        <w:adjustRightInd w:val="0"/>
        <w:snapToGrid w:val="0"/>
        <w:spacing w:line="384"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lang w:val="en-US" w:eastAsia="zh-CN"/>
        </w:rPr>
        <w:t>q</w:t>
      </w:r>
      <w:r>
        <w:rPr>
          <w:rFonts w:hint="eastAsia" w:ascii="宋体" w:hAnsi="宋体" w:eastAsia="宋体" w:cs="宋体"/>
          <w:color w:val="auto"/>
          <w:szCs w:val="21"/>
          <w:highlight w:val="none"/>
          <w:u w:val="single"/>
          <w:lang w:eastAsia="zh-CN"/>
        </w:rPr>
        <w:t>、</w:t>
      </w:r>
      <w:r>
        <w:rPr>
          <w:rFonts w:hint="eastAsia" w:ascii="宋体" w:hAnsi="宋体" w:eastAsia="宋体" w:cs="宋体"/>
          <w:color w:val="auto"/>
          <w:szCs w:val="21"/>
          <w:highlight w:val="none"/>
          <w:u w:val="single"/>
        </w:rPr>
        <w:t>承包人应按监理人、发包人代表的指示按期提供有关本工程项目施工资料以进行统计。承包人必须在整个合同期间每月向监理人、发包人代表提交</w:t>
      </w:r>
      <w:r>
        <w:rPr>
          <w:rFonts w:hint="eastAsia" w:ascii="宋体" w:hAnsi="宋体" w:eastAsia="宋体" w:cs="宋体"/>
          <w:color w:val="auto"/>
          <w:szCs w:val="21"/>
          <w:highlight w:val="none"/>
          <w:u w:val="single"/>
          <w:lang w:val="en-US" w:eastAsia="zh-CN"/>
        </w:rPr>
        <w:t>两</w:t>
      </w:r>
      <w:r>
        <w:rPr>
          <w:rFonts w:hint="eastAsia" w:ascii="宋体" w:hAnsi="宋体" w:eastAsia="宋体" w:cs="宋体"/>
          <w:color w:val="auto"/>
          <w:szCs w:val="21"/>
          <w:highlight w:val="none"/>
          <w:u w:val="single"/>
        </w:rPr>
        <w:t>套彩色照片(包括底片)，照片的拍摄在监理人、发包人代表同意下取自工程的不同部位，每张照片应标上日期、工序等简介，并有叙述说明其位置的标记。这些照片的底片和正片的版权和所有权归属发包人。</w:t>
      </w:r>
    </w:p>
    <w:p w14:paraId="3662E310">
      <w:pPr>
        <w:adjustRightInd w:val="0"/>
        <w:snapToGrid w:val="0"/>
        <w:spacing w:line="384"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周报材料：工程开工后每周报送工程施工情况报告，每周工程例会前提交周报材料三份。</w:t>
      </w:r>
    </w:p>
    <w:p w14:paraId="44FAB0FF">
      <w:pPr>
        <w:adjustRightInd w:val="0"/>
        <w:snapToGrid w:val="0"/>
        <w:spacing w:line="384"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月报材料：每月25日前上报月报材料三份给监理工程师，经总监审核确认后上报发包人。</w:t>
      </w:r>
    </w:p>
    <w:p w14:paraId="5508BE0B">
      <w:pPr>
        <w:adjustRightInd w:val="0"/>
        <w:snapToGrid w:val="0"/>
        <w:spacing w:line="384" w:lineRule="auto"/>
        <w:ind w:firstLine="420" w:firstLineChars="200"/>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u w:val="single"/>
          <w:lang w:val="en-US" w:eastAsia="zh-CN"/>
        </w:rPr>
        <w:t>r</w:t>
      </w:r>
      <w:r>
        <w:rPr>
          <w:rFonts w:hint="eastAsia" w:ascii="宋体" w:hAnsi="宋体" w:eastAsia="宋体" w:cs="宋体"/>
          <w:color w:val="auto"/>
          <w:szCs w:val="21"/>
          <w:highlight w:val="none"/>
          <w:u w:val="single"/>
          <w:lang w:eastAsia="zh-CN"/>
        </w:rPr>
        <w:t>、除基坑及土方堆放区域外，本工程施工现场所有场地均需用混凝土硬化。生活区、办公区搭设在发包人指定区域内，经监理统一规划后实施，同时，饰以绿化。门楼的样式及颜色报发包人确认后实施。</w:t>
      </w:r>
    </w:p>
    <w:p w14:paraId="7882B4B9">
      <w:pPr>
        <w:adjustRightInd w:val="0"/>
        <w:snapToGrid w:val="0"/>
        <w:spacing w:line="384" w:lineRule="auto"/>
        <w:ind w:firstLine="420" w:firstLineChars="200"/>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u w:val="single"/>
          <w:lang w:eastAsia="zh-CN"/>
        </w:rPr>
        <w:t>●承包人应综合考虑本工程发包人其他承包人办公及工人宿舍的使用要求，为其无偿提供充分的办公用房、工人宿舍及食堂。</w:t>
      </w:r>
    </w:p>
    <w:p w14:paraId="5E8374F1">
      <w:pPr>
        <w:adjustRightInd w:val="0"/>
        <w:snapToGrid w:val="0"/>
        <w:spacing w:line="384" w:lineRule="auto"/>
        <w:ind w:firstLine="420" w:firstLineChars="200"/>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u w:val="single"/>
          <w:lang w:eastAsia="zh-CN"/>
        </w:rPr>
        <w:t>●本工程办公用房及工人宿舍均必须采用全新彩钢板进行搭设（板材材质必须符合消防规范要求，采用阻燃板材）。</w:t>
      </w:r>
    </w:p>
    <w:p w14:paraId="5728B3C8">
      <w:pPr>
        <w:adjustRightInd w:val="0"/>
        <w:snapToGrid w:val="0"/>
        <w:spacing w:line="384" w:lineRule="auto"/>
        <w:ind w:firstLine="420" w:firstLineChars="200"/>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u w:val="single"/>
          <w:lang w:eastAsia="zh-CN"/>
        </w:rPr>
        <w:t>●临时设施总体应满足全部建设过程全部施工和管理工作需要。生活区平面布置及工人宿舍、食堂的位置需经监理工程师批准，生活区地面需硬化或绿化。</w:t>
      </w:r>
    </w:p>
    <w:p w14:paraId="4E31ACE1">
      <w:pPr>
        <w:adjustRightInd w:val="0"/>
        <w:snapToGrid w:val="0"/>
        <w:spacing w:line="384" w:lineRule="auto"/>
        <w:ind w:firstLine="420" w:firstLineChars="200"/>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u w:val="single"/>
          <w:lang w:eastAsia="zh-CN"/>
        </w:rPr>
        <w:t>●承包人应制定生活和环境卫生管理制度，要搞好职工宿舍卫生和食堂卫生，要设置水冲式厕所，并做好厕所保洁工作，不乱倒垃圾，生活垃圾纳入城市垃圾处理系统，临时搭建须经发包人批准，且应整齐美观。</w:t>
      </w:r>
    </w:p>
    <w:p w14:paraId="3DC5B2F7">
      <w:pPr>
        <w:adjustRightInd w:val="0"/>
        <w:snapToGrid w:val="0"/>
        <w:spacing w:line="384" w:lineRule="auto"/>
        <w:ind w:firstLine="420" w:firstLineChars="200"/>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u w:val="single"/>
          <w:lang w:eastAsia="zh-CN"/>
        </w:rPr>
        <w:t>●合同实施期间如果出现办公用房、职工宿舍、职工食堂等不能满足实际需要等情况，本合同承包人应在发包人要求的合理的时间内无条件予以解决。</w:t>
      </w:r>
    </w:p>
    <w:p w14:paraId="629FC400">
      <w:pPr>
        <w:adjustRightInd w:val="0"/>
        <w:snapToGrid w:val="0"/>
        <w:spacing w:line="384" w:lineRule="auto"/>
        <w:ind w:firstLine="420" w:firstLineChars="200"/>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u w:val="single"/>
          <w:lang w:eastAsia="zh-CN"/>
        </w:rPr>
        <w:t>●承包人在与发包人约定的时间内无条件清退所有施工场地，临时设施、塔吊设备基础、建筑垃圾、施工道路等有碍后期配套实施的均视为建筑垃圾，必须在后期配套进场前内清理完毕。如拒不清退，发包人将委托其他单位实施清运并且发包人将暂停计量支付、工程结算、工程验收等工作，承包人应承担由此而产生的一切后果。</w:t>
      </w:r>
    </w:p>
    <w:p w14:paraId="512D299E">
      <w:pPr>
        <w:adjustRightInd w:val="0"/>
        <w:snapToGrid w:val="0"/>
        <w:spacing w:line="384"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lang w:val="en-US" w:eastAsia="zh-CN"/>
        </w:rPr>
        <w:t>s</w:t>
      </w:r>
      <w:r>
        <w:rPr>
          <w:rFonts w:hint="eastAsia" w:ascii="宋体" w:hAnsi="宋体" w:eastAsia="宋体" w:cs="宋体"/>
          <w:color w:val="auto"/>
          <w:szCs w:val="21"/>
          <w:highlight w:val="none"/>
          <w:u w:val="single"/>
          <w:lang w:eastAsia="zh-CN"/>
        </w:rPr>
        <w:t>、</w:t>
      </w:r>
      <w:r>
        <w:rPr>
          <w:rFonts w:hint="eastAsia" w:ascii="宋体" w:hAnsi="宋体" w:eastAsia="宋体" w:cs="宋体"/>
          <w:color w:val="auto"/>
          <w:szCs w:val="21"/>
          <w:highlight w:val="none"/>
          <w:u w:val="single"/>
        </w:rPr>
        <w:t>承包人应做的其他工作。</w:t>
      </w:r>
    </w:p>
    <w:p w14:paraId="2D59C320">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3.2 项目经理</w:t>
      </w:r>
    </w:p>
    <w:p w14:paraId="02719FF7">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kern w:val="0"/>
          <w:highlight w:val="none"/>
        </w:rPr>
        <w:t xml:space="preserve">3.2.1 </w:t>
      </w:r>
      <w:r>
        <w:rPr>
          <w:rFonts w:hint="eastAsia" w:ascii="宋体" w:hAnsi="宋体" w:cs="宋体"/>
          <w:color w:val="auto"/>
          <w:highlight w:val="none"/>
        </w:rPr>
        <w:t>项目经理：</w:t>
      </w:r>
    </w:p>
    <w:p w14:paraId="0519C27B">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姓    名：</w:t>
      </w:r>
      <w:r>
        <w:rPr>
          <w:rFonts w:hint="eastAsia" w:ascii="宋体" w:hAnsi="宋体" w:cs="宋体"/>
          <w:color w:val="auto"/>
          <w:highlight w:val="none"/>
          <w:u w:val="single"/>
        </w:rPr>
        <w:t>                                 </w:t>
      </w:r>
      <w:r>
        <w:rPr>
          <w:rFonts w:hint="eastAsia" w:ascii="宋体" w:hAnsi="宋体" w:cs="宋体"/>
          <w:color w:val="auto"/>
          <w:highlight w:val="none"/>
        </w:rPr>
        <w:t>；</w:t>
      </w:r>
    </w:p>
    <w:p w14:paraId="6696D7C3">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身份证号：</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6B04002">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建造师执业资格等级：</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38B7914">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建造师注册证书号：</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0ACAD93">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建造师执业印章号：</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DF36C2E">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安全生产考核合格证书号：</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E3DECE7">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256527E">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9B50AA7">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9B1F5E7">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承包人对项目经理的授权范围如下：</w:t>
      </w:r>
      <w:r>
        <w:rPr>
          <w:rFonts w:hint="eastAsia" w:ascii="宋体" w:hAnsi="宋体" w:cs="宋体"/>
          <w:color w:val="auto"/>
          <w:highlight w:val="none"/>
          <w:u w:val="single"/>
        </w:rPr>
        <w:t xml:space="preserve">  </w:t>
      </w:r>
      <w:r>
        <w:rPr>
          <w:rFonts w:hint="eastAsia" w:ascii="宋体" w:hAnsi="宋体" w:cs="宋体"/>
          <w:color w:val="auto"/>
          <w:szCs w:val="21"/>
          <w:highlight w:val="none"/>
          <w:u w:val="single"/>
        </w:rPr>
        <w:t>按承包人书面授权书约定</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4C5B400">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关于项目经理每月在施工现场的时间要求：</w:t>
      </w:r>
      <w:r>
        <w:rPr>
          <w:rFonts w:hint="eastAsia" w:ascii="宋体" w:hAnsi="宋体" w:eastAsia="宋体" w:cs="宋体"/>
          <w:color w:val="auto"/>
          <w:szCs w:val="21"/>
          <w:highlight w:val="none"/>
          <w:u w:val="single"/>
        </w:rPr>
        <w:t>项目</w:t>
      </w:r>
      <w:r>
        <w:rPr>
          <w:rFonts w:hint="eastAsia" w:ascii="宋体" w:hAnsi="宋体" w:eastAsia="宋体" w:cs="宋体"/>
          <w:color w:val="auto"/>
          <w:szCs w:val="21"/>
          <w:highlight w:val="none"/>
          <w:u w:val="single"/>
          <w:lang w:val="en-US" w:eastAsia="zh-CN"/>
        </w:rPr>
        <w:t>经理</w:t>
      </w:r>
      <w:r>
        <w:rPr>
          <w:rFonts w:hint="eastAsia" w:ascii="宋体" w:hAnsi="宋体" w:eastAsia="宋体" w:cs="宋体"/>
          <w:color w:val="auto"/>
          <w:szCs w:val="21"/>
          <w:highlight w:val="none"/>
          <w:u w:val="single"/>
        </w:rPr>
        <w:t>每月在岗时间不得少于</w:t>
      </w:r>
      <w:r>
        <w:rPr>
          <w:rFonts w:hint="eastAsia" w:ascii="宋体" w:hAnsi="宋体" w:eastAsia="宋体" w:cs="宋体"/>
          <w:color w:val="auto"/>
          <w:szCs w:val="21"/>
          <w:highlight w:val="none"/>
          <w:u w:val="single"/>
          <w:lang w:val="en-US" w:eastAsia="zh-CN"/>
        </w:rPr>
        <w:t>26</w:t>
      </w:r>
      <w:r>
        <w:rPr>
          <w:rFonts w:hint="eastAsia" w:ascii="宋体" w:hAnsi="宋体" w:eastAsia="宋体" w:cs="宋体"/>
          <w:color w:val="auto"/>
          <w:szCs w:val="21"/>
          <w:highlight w:val="none"/>
          <w:u w:val="single"/>
        </w:rPr>
        <w:t>天，每天不少于8小时，特殊情况下需离开时必须事先征得</w:t>
      </w:r>
      <w:r>
        <w:rPr>
          <w:rFonts w:hint="eastAsia" w:ascii="宋体" w:hAnsi="宋体" w:eastAsia="宋体" w:cs="宋体"/>
          <w:color w:val="auto"/>
          <w:szCs w:val="21"/>
          <w:highlight w:val="none"/>
          <w:u w:val="single"/>
          <w:lang w:val="en-US" w:eastAsia="zh-CN"/>
        </w:rPr>
        <w:t>发包人</w:t>
      </w:r>
      <w:r>
        <w:rPr>
          <w:rFonts w:hint="eastAsia" w:ascii="宋体" w:hAnsi="宋体" w:eastAsia="宋体" w:cs="宋体"/>
          <w:color w:val="auto"/>
          <w:szCs w:val="21"/>
          <w:highlight w:val="none"/>
          <w:u w:val="single"/>
        </w:rPr>
        <w:t>和监理同意后方可离开。未按规定在岗履责的，对</w:t>
      </w:r>
      <w:r>
        <w:rPr>
          <w:rFonts w:hint="eastAsia" w:ascii="宋体" w:hAnsi="宋体" w:eastAsia="宋体" w:cs="宋体"/>
          <w:color w:val="auto"/>
          <w:szCs w:val="21"/>
          <w:highlight w:val="none"/>
          <w:u w:val="single"/>
          <w:lang w:eastAsia="zh-CN"/>
        </w:rPr>
        <w:t>项目经理</w:t>
      </w:r>
      <w:r>
        <w:rPr>
          <w:rFonts w:hint="eastAsia" w:ascii="宋体" w:hAnsi="宋体" w:eastAsia="宋体" w:cs="宋体"/>
          <w:color w:val="auto"/>
          <w:szCs w:val="21"/>
          <w:highlight w:val="none"/>
          <w:u w:val="single"/>
        </w:rPr>
        <w:t>处以3000元/人·天的违约金。在合同履行期间，发包人有权对包括但不限于</w:t>
      </w:r>
      <w:r>
        <w:rPr>
          <w:rFonts w:hint="eastAsia" w:ascii="宋体" w:hAnsi="宋体" w:eastAsia="宋体" w:cs="宋体"/>
          <w:color w:val="auto"/>
          <w:szCs w:val="21"/>
          <w:highlight w:val="none"/>
          <w:u w:val="single"/>
          <w:lang w:val="en-US" w:eastAsia="zh-CN"/>
        </w:rPr>
        <w:t>项目经理</w:t>
      </w:r>
      <w:r>
        <w:rPr>
          <w:rFonts w:hint="eastAsia" w:ascii="宋体" w:hAnsi="宋体" w:eastAsia="宋体" w:cs="宋体"/>
          <w:color w:val="auto"/>
          <w:szCs w:val="21"/>
          <w:highlight w:val="none"/>
          <w:u w:val="single"/>
        </w:rPr>
        <w:t>的实际在施工现场的时间、工作能力等进行考评，考评标准由发包人另行确定并告知。若</w:t>
      </w:r>
      <w:r>
        <w:rPr>
          <w:rFonts w:hint="eastAsia" w:ascii="宋体" w:hAnsi="宋体" w:eastAsia="宋体" w:cs="宋体"/>
          <w:color w:val="auto"/>
          <w:szCs w:val="21"/>
          <w:highlight w:val="none"/>
          <w:u w:val="single"/>
          <w:lang w:val="en-US" w:eastAsia="zh-CN"/>
        </w:rPr>
        <w:t>项目经理</w:t>
      </w:r>
      <w:r>
        <w:rPr>
          <w:rFonts w:hint="eastAsia" w:ascii="宋体" w:hAnsi="宋体" w:eastAsia="宋体" w:cs="宋体"/>
          <w:color w:val="auto"/>
          <w:szCs w:val="21"/>
          <w:highlight w:val="none"/>
          <w:u w:val="single"/>
        </w:rPr>
        <w:t>达不到考评要求，承包人每次应向发包人支付人民币3000元至3万元之间的违约金（具体违约金金额由发包人根据项目考评结果情况确定），发包人有权从应付工程款中直接扣除承包人应支付的违约金。</w:t>
      </w:r>
      <w:r>
        <w:rPr>
          <w:rFonts w:hint="eastAsia" w:ascii="宋体" w:hAnsi="宋体" w:cs="宋体"/>
          <w:color w:val="auto"/>
          <w:szCs w:val="21"/>
          <w:highlight w:val="none"/>
        </w:rPr>
        <w:t>。</w:t>
      </w:r>
      <w:r>
        <w:rPr>
          <w:rFonts w:hint="eastAsia" w:ascii="宋体" w:hAnsi="宋体" w:cs="宋体"/>
          <w:color w:val="auto"/>
          <w:highlight w:val="none"/>
        </w:rPr>
        <w:t xml:space="preserve"> </w:t>
      </w:r>
    </w:p>
    <w:p w14:paraId="06F94D7C">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承包人未提交劳动合同，以及没有为项目经理缴纳社会保险证明的违约责任：</w:t>
      </w:r>
      <w:r>
        <w:rPr>
          <w:rFonts w:hint="eastAsia" w:ascii="宋体" w:hAnsi="宋体" w:eastAsia="宋体" w:cs="宋体"/>
          <w:color w:val="auto"/>
          <w:szCs w:val="21"/>
          <w:highlight w:val="none"/>
          <w:u w:val="single"/>
        </w:rPr>
        <w:t>执行通用条款</w:t>
      </w:r>
      <w:r>
        <w:rPr>
          <w:rFonts w:hint="eastAsia" w:ascii="宋体" w:hAnsi="宋体" w:eastAsia="宋体" w:cs="宋体"/>
          <w:color w:val="auto"/>
          <w:szCs w:val="21"/>
          <w:highlight w:val="none"/>
          <w:u w:val="single"/>
          <w:lang w:eastAsia="zh-CN"/>
        </w:rPr>
        <w:t>，</w:t>
      </w:r>
      <w:r>
        <w:rPr>
          <w:rFonts w:hint="eastAsia" w:ascii="宋体" w:hAnsi="宋体" w:eastAsia="宋体" w:cs="宋体"/>
          <w:color w:val="auto"/>
          <w:szCs w:val="21"/>
          <w:highlight w:val="none"/>
          <w:u w:val="single"/>
        </w:rPr>
        <w:t>签订本合同前提供，资格审查时已提供的，不再重复提供。</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7A74889">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kern w:val="0"/>
          <w:highlight w:val="none"/>
        </w:rPr>
        <w:t>项目经理未经批准，擅自离开施工现场的违约责任：</w:t>
      </w:r>
      <w:r>
        <w:rPr>
          <w:rFonts w:hint="eastAsia" w:ascii="宋体" w:hAnsi="宋体" w:cs="宋体"/>
          <w:color w:val="auto"/>
          <w:szCs w:val="21"/>
          <w:highlight w:val="none"/>
          <w:u w:val="single"/>
        </w:rPr>
        <w:t>承包人未能按照承诺到岗尽职的，发包人将视情况严重程度对其作出相应处理，给予警告并发出整改通知。如仍未及时整改，发包人有权责令其停工整改、直至解除合同。发包人还将停止支付工程款项，扣留任何未付的工程进度款项补偿发包人的有关损失或工期延误的损失，并就此向承包人索赔。</w:t>
      </w:r>
    </w:p>
    <w:p w14:paraId="5B564115">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3.2.3 承包人擅自更换项目经理的违约责任：</w:t>
      </w:r>
    </w:p>
    <w:p w14:paraId="7898A3D9">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承包人不得擅自更换投标时所报项目经理,否则发包人有权解除合同，由此造成的损失由承包人自行承担，承包人还应赔偿由此造成发包人的全部损失。确需更换的须在签订合同后，报经发包人同意后按相关规定办理，</w:t>
      </w:r>
      <w:r>
        <w:rPr>
          <w:rFonts w:hint="eastAsia" w:ascii="宋体" w:hAnsi="宋体" w:cs="宋体"/>
          <w:b/>
          <w:bCs/>
          <w:color w:val="auto"/>
          <w:szCs w:val="21"/>
          <w:highlight w:val="none"/>
          <w:u w:val="single"/>
        </w:rPr>
        <w:t>并支付</w:t>
      </w:r>
      <w:r>
        <w:rPr>
          <w:rFonts w:hint="eastAsia" w:ascii="宋体" w:hAnsi="宋体" w:cs="宋体"/>
          <w:b/>
          <w:bCs/>
          <w:color w:val="auto"/>
          <w:szCs w:val="21"/>
          <w:highlight w:val="none"/>
          <w:u w:val="single"/>
          <w:lang w:val="en-US" w:eastAsia="zh-CN"/>
        </w:rPr>
        <w:t>30</w:t>
      </w:r>
      <w:r>
        <w:rPr>
          <w:rFonts w:hint="eastAsia" w:ascii="宋体" w:hAnsi="宋体" w:cs="宋体"/>
          <w:b/>
          <w:bCs/>
          <w:color w:val="auto"/>
          <w:szCs w:val="21"/>
          <w:highlight w:val="none"/>
          <w:u w:val="single"/>
        </w:rPr>
        <w:t>万元的违约金</w:t>
      </w:r>
      <w:r>
        <w:rPr>
          <w:rFonts w:hint="eastAsia" w:ascii="宋体" w:hAnsi="宋体" w:cs="宋体"/>
          <w:color w:val="auto"/>
          <w:szCs w:val="21"/>
          <w:highlight w:val="none"/>
          <w:u w:val="single"/>
        </w:rPr>
        <w:t>，更换后的人员不得低于承包人投标时所报人员资质和技术水平。</w:t>
      </w:r>
    </w:p>
    <w:p w14:paraId="0C089751">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3.2.4 承包人无正当理由拒绝更换项目经理的违约责任：</w:t>
      </w:r>
      <w:r>
        <w:rPr>
          <w:rFonts w:hint="eastAsia" w:ascii="宋体" w:hAnsi="宋体" w:cs="宋体"/>
          <w:color w:val="auto"/>
          <w:highlight w:val="none"/>
          <w:u w:val="single"/>
        </w:rPr>
        <w:t>承包</w:t>
      </w:r>
      <w:r>
        <w:rPr>
          <w:rFonts w:hint="eastAsia" w:ascii="宋体" w:hAnsi="宋体" w:cs="宋体"/>
          <w:color w:val="auto"/>
          <w:highlight w:val="none"/>
          <w:u w:val="single"/>
          <w:lang w:val="en-US" w:eastAsia="zh-CN"/>
        </w:rPr>
        <w:t>人</w:t>
      </w:r>
      <w:r>
        <w:rPr>
          <w:rFonts w:hint="eastAsia" w:ascii="宋体" w:hAnsi="宋体" w:cs="宋体"/>
          <w:color w:val="auto"/>
          <w:highlight w:val="none"/>
          <w:u w:val="single"/>
          <w:lang w:eastAsia="zh-CN"/>
        </w:rPr>
        <w:t>项目经理</w:t>
      </w:r>
      <w:r>
        <w:rPr>
          <w:rFonts w:hint="eastAsia" w:ascii="宋体" w:hAnsi="宋体" w:cs="宋体"/>
          <w:color w:val="auto"/>
          <w:highlight w:val="none"/>
          <w:u w:val="single"/>
        </w:rPr>
        <w:t>、项目技术负责人的工作不能符合发包人、监理工程师的要</w:t>
      </w:r>
      <w:r>
        <w:rPr>
          <w:rFonts w:hint="eastAsia" w:ascii="宋体" w:hAnsi="宋体" w:cs="宋体"/>
          <w:color w:val="auto"/>
          <w:highlight w:val="none"/>
          <w:u w:val="single"/>
          <w:lang w:val="en-US" w:eastAsia="zh-CN"/>
        </w:rPr>
        <w:t>求或</w:t>
      </w:r>
      <w:r>
        <w:rPr>
          <w:rFonts w:hint="eastAsia" w:ascii="宋体" w:hAnsi="宋体" w:cs="宋体"/>
          <w:color w:val="auto"/>
          <w:highlight w:val="none"/>
          <w:u w:val="single"/>
        </w:rPr>
        <w:t>不满足岗位管理水平及技术水平等原因要求时，发包人</w:t>
      </w:r>
      <w:r>
        <w:rPr>
          <w:rFonts w:hint="eastAsia" w:ascii="宋体" w:hAnsi="宋体" w:cs="宋体"/>
          <w:color w:val="auto"/>
          <w:highlight w:val="none"/>
          <w:u w:val="single"/>
          <w:lang w:val="en-US" w:eastAsia="zh-CN"/>
        </w:rPr>
        <w:t>有权</w:t>
      </w:r>
      <w:r>
        <w:rPr>
          <w:rFonts w:hint="eastAsia" w:ascii="宋体" w:hAnsi="宋体" w:cs="宋体"/>
          <w:color w:val="auto"/>
          <w:highlight w:val="none"/>
          <w:u w:val="single"/>
        </w:rPr>
        <w:t>要求承包</w:t>
      </w:r>
      <w:r>
        <w:rPr>
          <w:rFonts w:hint="eastAsia" w:ascii="宋体" w:hAnsi="宋体" w:cs="宋体"/>
          <w:color w:val="auto"/>
          <w:highlight w:val="none"/>
          <w:u w:val="single"/>
          <w:lang w:val="en-US" w:eastAsia="zh-CN"/>
        </w:rPr>
        <w:t>人</w:t>
      </w:r>
      <w:r>
        <w:rPr>
          <w:rFonts w:hint="eastAsia" w:ascii="宋体" w:hAnsi="宋体" w:cs="宋体"/>
          <w:color w:val="auto"/>
          <w:highlight w:val="none"/>
          <w:u w:val="single"/>
        </w:rPr>
        <w:t>更换</w:t>
      </w:r>
      <w:r>
        <w:rPr>
          <w:rFonts w:hint="eastAsia" w:ascii="宋体" w:hAnsi="宋体" w:cs="宋体"/>
          <w:color w:val="auto"/>
          <w:highlight w:val="none"/>
          <w:u w:val="single"/>
          <w:lang w:eastAsia="zh-CN"/>
        </w:rPr>
        <w:t>项目经理</w:t>
      </w:r>
      <w:r>
        <w:rPr>
          <w:rFonts w:hint="eastAsia" w:ascii="宋体" w:hAnsi="宋体" w:cs="宋体"/>
          <w:color w:val="auto"/>
          <w:highlight w:val="none"/>
          <w:u w:val="single"/>
        </w:rPr>
        <w:t>、项目技术负责人，并给以承包人15日的宽限期，以便承包人物色并更换新的项目</w:t>
      </w:r>
      <w:r>
        <w:rPr>
          <w:rFonts w:hint="eastAsia" w:ascii="宋体" w:hAnsi="宋体" w:cs="宋体"/>
          <w:color w:val="auto"/>
          <w:highlight w:val="none"/>
          <w:u w:val="single"/>
          <w:lang w:eastAsia="zh-CN"/>
        </w:rPr>
        <w:t>经理</w:t>
      </w:r>
      <w:r>
        <w:rPr>
          <w:rFonts w:hint="eastAsia" w:ascii="宋体" w:hAnsi="宋体" w:cs="宋体"/>
          <w:color w:val="auto"/>
          <w:highlight w:val="none"/>
          <w:u w:val="single"/>
        </w:rPr>
        <w:t>、项目技术负责人</w:t>
      </w:r>
      <w:r>
        <w:rPr>
          <w:rFonts w:hint="eastAsia" w:ascii="宋体" w:hAnsi="宋体" w:cs="宋体"/>
          <w:color w:val="auto"/>
          <w:highlight w:val="none"/>
          <w:u w:val="single"/>
          <w:lang w:eastAsia="zh-CN"/>
        </w:rPr>
        <w:t>，</w:t>
      </w:r>
      <w:r>
        <w:rPr>
          <w:rFonts w:hint="eastAsia" w:ascii="宋体" w:hAnsi="宋体" w:cs="宋体"/>
          <w:color w:val="auto"/>
          <w:highlight w:val="none"/>
          <w:u w:val="single"/>
        </w:rPr>
        <w:t>更换后人员不得低于</w:t>
      </w:r>
      <w:r>
        <w:rPr>
          <w:rFonts w:hint="eastAsia" w:ascii="宋体" w:hAnsi="宋体" w:cs="宋体"/>
          <w:color w:val="auto"/>
          <w:highlight w:val="none"/>
          <w:u w:val="single"/>
          <w:lang w:val="en-US" w:eastAsia="zh-CN"/>
        </w:rPr>
        <w:t>变更前所</w:t>
      </w:r>
      <w:r>
        <w:rPr>
          <w:rFonts w:hint="eastAsia" w:ascii="宋体" w:hAnsi="宋体" w:cs="宋体"/>
          <w:color w:val="auto"/>
          <w:highlight w:val="none"/>
          <w:u w:val="single"/>
        </w:rPr>
        <w:t>报人员资质</w:t>
      </w:r>
      <w:r>
        <w:rPr>
          <w:rFonts w:hint="eastAsia" w:ascii="宋体" w:hAnsi="宋体" w:cs="宋体"/>
          <w:color w:val="auto"/>
          <w:highlight w:val="none"/>
          <w:u w:val="single"/>
          <w:lang w:eastAsia="zh-CN"/>
        </w:rPr>
        <w:t>、</w:t>
      </w:r>
      <w:r>
        <w:rPr>
          <w:rFonts w:hint="eastAsia" w:ascii="宋体" w:hAnsi="宋体" w:cs="宋体"/>
          <w:color w:val="auto"/>
          <w:highlight w:val="none"/>
          <w:u w:val="single"/>
          <w:lang w:val="en-US" w:eastAsia="zh-CN"/>
        </w:rPr>
        <w:t>业绩经验等</w:t>
      </w:r>
      <w:r>
        <w:rPr>
          <w:rFonts w:hint="eastAsia" w:ascii="宋体" w:hAnsi="宋体" w:cs="宋体"/>
          <w:color w:val="auto"/>
          <w:highlight w:val="none"/>
          <w:u w:val="single"/>
        </w:rPr>
        <w:t>，并经发包人书面认可，</w:t>
      </w:r>
      <w:r>
        <w:rPr>
          <w:rFonts w:hint="eastAsia" w:ascii="宋体" w:hAnsi="宋体" w:eastAsia="宋体" w:cs="宋体"/>
          <w:color w:val="auto"/>
          <w:highlight w:val="none"/>
          <w:u w:val="single"/>
        </w:rPr>
        <w:t>同时发包人对承包人处以人民币</w:t>
      </w:r>
      <w:r>
        <w:rPr>
          <w:rFonts w:hint="eastAsia" w:ascii="宋体" w:hAnsi="宋体" w:cs="宋体"/>
          <w:color w:val="auto"/>
          <w:highlight w:val="none"/>
          <w:u w:val="single"/>
          <w:lang w:val="en-US" w:eastAsia="zh-CN"/>
        </w:rPr>
        <w:t>30</w:t>
      </w:r>
      <w:r>
        <w:rPr>
          <w:rFonts w:hint="eastAsia" w:ascii="宋体" w:hAnsi="宋体" w:eastAsia="宋体" w:cs="宋体"/>
          <w:color w:val="auto"/>
          <w:highlight w:val="none"/>
          <w:u w:val="single"/>
        </w:rPr>
        <w:t>万元违约金/人</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u w:val="single"/>
        </w:rPr>
        <w:t>次</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更换项目经理）、</w:t>
      </w:r>
      <w:r>
        <w:rPr>
          <w:rFonts w:hint="eastAsia" w:ascii="宋体" w:hAnsi="宋体" w:eastAsia="宋体" w:cs="宋体"/>
          <w:color w:val="auto"/>
          <w:highlight w:val="none"/>
          <w:u w:val="single"/>
        </w:rPr>
        <w:t>人民币</w:t>
      </w:r>
      <w:r>
        <w:rPr>
          <w:rFonts w:hint="eastAsia" w:ascii="宋体" w:hAnsi="宋体" w:cs="宋体"/>
          <w:color w:val="auto"/>
          <w:highlight w:val="none"/>
          <w:u w:val="single"/>
          <w:lang w:val="en-US" w:eastAsia="zh-CN"/>
        </w:rPr>
        <w:t>20</w:t>
      </w:r>
      <w:r>
        <w:rPr>
          <w:rFonts w:hint="eastAsia" w:ascii="宋体" w:hAnsi="宋体" w:eastAsia="宋体" w:cs="宋体"/>
          <w:color w:val="auto"/>
          <w:highlight w:val="none"/>
          <w:u w:val="single"/>
        </w:rPr>
        <w:t>万元违约金/人</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u w:val="single"/>
        </w:rPr>
        <w:t>次</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更换项目技术负责人）</w:t>
      </w:r>
      <w:r>
        <w:rPr>
          <w:rFonts w:hint="eastAsia" w:ascii="宋体" w:hAnsi="宋体" w:eastAsia="宋体" w:cs="宋体"/>
          <w:color w:val="auto"/>
          <w:highlight w:val="none"/>
          <w:u w:val="single"/>
        </w:rPr>
        <w:t>。承包</w:t>
      </w:r>
      <w:r>
        <w:rPr>
          <w:rFonts w:hint="eastAsia" w:ascii="宋体" w:hAnsi="宋体" w:cs="宋体"/>
          <w:color w:val="auto"/>
          <w:highlight w:val="none"/>
          <w:u w:val="single"/>
        </w:rPr>
        <w:t>人无正当理由拒绝</w:t>
      </w:r>
      <w:r>
        <w:rPr>
          <w:rFonts w:hint="eastAsia" w:ascii="宋体" w:hAnsi="宋体" w:cs="宋体"/>
          <w:color w:val="auto"/>
          <w:highlight w:val="none"/>
          <w:u w:val="single"/>
          <w:lang w:val="en-US" w:eastAsia="zh-CN"/>
        </w:rPr>
        <w:t>或</w:t>
      </w:r>
      <w:r>
        <w:rPr>
          <w:rFonts w:hint="eastAsia" w:ascii="宋体" w:hAnsi="宋体" w:cs="宋体"/>
          <w:color w:val="auto"/>
          <w:highlight w:val="none"/>
          <w:u w:val="single"/>
        </w:rPr>
        <w:t>未能更换项目</w:t>
      </w:r>
      <w:r>
        <w:rPr>
          <w:rFonts w:hint="eastAsia" w:ascii="宋体" w:hAnsi="宋体" w:cs="宋体"/>
          <w:color w:val="auto"/>
          <w:highlight w:val="none"/>
          <w:u w:val="single"/>
          <w:lang w:eastAsia="zh-CN"/>
        </w:rPr>
        <w:t>经理</w:t>
      </w:r>
      <w:r>
        <w:rPr>
          <w:rFonts w:hint="eastAsia" w:ascii="宋体" w:hAnsi="宋体" w:cs="宋体"/>
          <w:color w:val="auto"/>
          <w:highlight w:val="none"/>
          <w:u w:val="single"/>
        </w:rPr>
        <w:t>、项目技术负责人的，自承包人接到发包人更换项目</w:t>
      </w:r>
      <w:r>
        <w:rPr>
          <w:rFonts w:hint="eastAsia" w:ascii="宋体" w:hAnsi="宋体" w:cs="宋体"/>
          <w:color w:val="auto"/>
          <w:highlight w:val="none"/>
          <w:u w:val="single"/>
          <w:lang w:eastAsia="zh-CN"/>
        </w:rPr>
        <w:t>经理</w:t>
      </w:r>
      <w:r>
        <w:rPr>
          <w:rFonts w:hint="eastAsia" w:ascii="宋体" w:hAnsi="宋体" w:cs="宋体"/>
          <w:color w:val="auto"/>
          <w:highlight w:val="none"/>
          <w:u w:val="single"/>
        </w:rPr>
        <w:t>、项目技术负责人通知之第16日起，承包人向发包人支付违约金1万元/天，直至更换符合发包人要求的项目</w:t>
      </w:r>
      <w:r>
        <w:rPr>
          <w:rFonts w:hint="eastAsia" w:ascii="宋体" w:hAnsi="宋体" w:cs="宋体"/>
          <w:color w:val="auto"/>
          <w:highlight w:val="none"/>
          <w:u w:val="single"/>
          <w:lang w:eastAsia="zh-CN"/>
        </w:rPr>
        <w:t>经理</w:t>
      </w:r>
      <w:r>
        <w:rPr>
          <w:rFonts w:hint="eastAsia" w:ascii="宋体" w:hAnsi="宋体" w:cs="宋体"/>
          <w:color w:val="auto"/>
          <w:highlight w:val="none"/>
          <w:u w:val="single"/>
        </w:rPr>
        <w:t>、项目技术负责人为止，由此增加的费用和（或）延误的工期及其它责任由承包人承担。</w:t>
      </w:r>
    </w:p>
    <w:p w14:paraId="71001C5F">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3.3 承包人人员</w:t>
      </w:r>
    </w:p>
    <w:p w14:paraId="2505B27F">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3.3.1 承包人提交项目管理机构及施工现场管理人员安排报告的期限：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签订合同时</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12B9CED1">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3.3.3 承包人无正当理由拒绝撤换主要施工管理人员的违约责任：</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DBFE01A">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3.3.4 承包人主要施工管理人员离开施工现场的批准要求：</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需离开时必须事先征得发包人和监理人同意后方可离开。</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101B0302">
      <w:pPr>
        <w:adjustRightInd w:val="0"/>
        <w:snapToGrid w:val="0"/>
        <w:spacing w:line="384" w:lineRule="auto"/>
        <w:ind w:firstLine="424" w:firstLineChars="202"/>
        <w:rPr>
          <w:rFonts w:hint="eastAsia"/>
          <w:color w:val="auto"/>
          <w:highlight w:val="none"/>
        </w:rPr>
      </w:pPr>
      <w:r>
        <w:rPr>
          <w:rFonts w:hint="eastAsia" w:ascii="宋体" w:hAnsi="宋体" w:cs="宋体"/>
          <w:color w:val="auto"/>
          <w:highlight w:val="none"/>
        </w:rPr>
        <w:t>3.3.5 承包人擅自更换主要施工管理人员的违约责任：</w:t>
      </w:r>
      <w:r>
        <w:rPr>
          <w:rFonts w:hint="eastAsia" w:ascii="宋体" w:hAnsi="宋体" w:cs="宋体"/>
          <w:color w:val="auto"/>
          <w:szCs w:val="21"/>
          <w:highlight w:val="none"/>
          <w:u w:val="single"/>
        </w:rPr>
        <w:t>承包人不得擅自更换主要管理人员,否则发包人有权解除合同，由此造成的损失由承包人自行承担，承包人还应赔偿由此造成发包人的全部损失。确需更换的须在签订合同后，报经发包人同意后按相关规定办理，</w:t>
      </w:r>
      <w:r>
        <w:rPr>
          <w:rFonts w:hint="eastAsia" w:ascii="宋体" w:hAnsi="宋体" w:cs="宋体"/>
          <w:b/>
          <w:bCs/>
          <w:color w:val="auto"/>
          <w:szCs w:val="21"/>
          <w:highlight w:val="none"/>
          <w:u w:val="single"/>
        </w:rPr>
        <w:t>并支付</w:t>
      </w:r>
      <w:r>
        <w:rPr>
          <w:rFonts w:hint="eastAsia" w:ascii="宋体" w:hAnsi="宋体" w:cs="宋体"/>
          <w:b/>
          <w:bCs/>
          <w:color w:val="auto"/>
          <w:szCs w:val="21"/>
          <w:highlight w:val="none"/>
          <w:u w:val="single"/>
          <w:lang w:val="en-US" w:eastAsia="zh-CN"/>
        </w:rPr>
        <w:t>20</w:t>
      </w:r>
      <w:r>
        <w:rPr>
          <w:rFonts w:hint="eastAsia" w:ascii="宋体" w:hAnsi="宋体" w:cs="宋体"/>
          <w:b/>
          <w:bCs/>
          <w:color w:val="auto"/>
          <w:szCs w:val="21"/>
          <w:highlight w:val="none"/>
          <w:u w:val="single"/>
        </w:rPr>
        <w:t>万元/人的违约金，</w:t>
      </w:r>
      <w:r>
        <w:rPr>
          <w:rFonts w:hint="eastAsia" w:ascii="宋体" w:hAnsi="宋体" w:cs="宋体"/>
          <w:color w:val="auto"/>
          <w:szCs w:val="21"/>
          <w:highlight w:val="none"/>
          <w:u w:val="single"/>
        </w:rPr>
        <w:t>更换后的人员不得低于承包人投标时所报人员资质和技术水平。发包人如认为有必要，可要求对上述人员中的部分人员作出更好的调整。</w:t>
      </w:r>
      <w:r>
        <w:rPr>
          <w:rFonts w:hint="eastAsia" w:ascii="宋体" w:hAnsi="宋体" w:cs="宋体"/>
          <w:color w:val="auto"/>
          <w:szCs w:val="21"/>
          <w:highlight w:val="none"/>
          <w:u w:val="single"/>
          <w:lang w:val="en-US" w:eastAsia="zh-CN"/>
        </w:rPr>
        <w:t xml:space="preserve"> </w:t>
      </w:r>
    </w:p>
    <w:p w14:paraId="0AB8A96C">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s="宋体"/>
          <w:color w:val="auto"/>
          <w:highlight w:val="none"/>
        </w:rPr>
        <w:t>承包人主要施工管理人员擅自离开施工现场的违约责任：</w:t>
      </w:r>
      <w:r>
        <w:rPr>
          <w:rFonts w:hint="eastAsia" w:ascii="宋体" w:hAnsi="宋体" w:eastAsia="宋体" w:cs="宋体"/>
          <w:color w:val="auto"/>
          <w:szCs w:val="21"/>
          <w:highlight w:val="none"/>
          <w:u w:val="single"/>
          <w:lang w:val="en-US" w:eastAsia="zh-CN"/>
        </w:rPr>
        <w:t>擅自离开施工现场的，处以每人每次1000元违约金（项目经理及项目技术负责人擅自离开施工现场的，处以每人每次3000元违约金），缴纳违约金后方可请款。</w:t>
      </w:r>
    </w:p>
    <w:p w14:paraId="7EF26D06">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eastAsia="宋体" w:cs="宋体"/>
          <w:color w:val="auto"/>
          <w:szCs w:val="21"/>
          <w:highlight w:val="none"/>
          <w:u w:val="single"/>
          <w:lang w:val="en-US" w:eastAsia="zh-CN"/>
        </w:rPr>
        <w:t>承包人未能按照承诺到岗尽职的，发包人给予警告并发出整改通知。如仍未及时整改，发包人有权责令其停工整改、直至终止合同。发包人将停止支付工程款项，扣留任何未付的工程进度款项补偿建设单位的有关损失或工期延误的损失，并就此向承包人索赔。</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FA96A94">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3</w:t>
      </w:r>
      <w:bookmarkStart w:id="765" w:name="_Toc297048345"/>
      <w:bookmarkStart w:id="766" w:name="_Toc312677988"/>
      <w:bookmarkStart w:id="767" w:name="_Toc297123492"/>
      <w:bookmarkStart w:id="768" w:name="_Toc300934945"/>
      <w:bookmarkStart w:id="769" w:name="_Toc292559364"/>
      <w:bookmarkStart w:id="770" w:name="_Toc292559869"/>
      <w:bookmarkStart w:id="771" w:name="_Toc303539102"/>
      <w:bookmarkStart w:id="772" w:name="_Toc296890987"/>
      <w:bookmarkStart w:id="773" w:name="_Toc304295523"/>
      <w:bookmarkStart w:id="774" w:name="_Toc296347158"/>
      <w:bookmarkStart w:id="775" w:name="_Toc297120459"/>
      <w:bookmarkStart w:id="776" w:name="_Toc296944498"/>
      <w:bookmarkStart w:id="777" w:name="_Toc297216151"/>
      <w:bookmarkStart w:id="778" w:name="_Toc296346660"/>
      <w:bookmarkStart w:id="779" w:name="_Toc296891199"/>
      <w:bookmarkStart w:id="780" w:name="_Toc296503159"/>
      <w:r>
        <w:rPr>
          <w:rFonts w:hint="eastAsia" w:ascii="宋体" w:hAnsi="宋体" w:cs="宋体"/>
          <w:bCs/>
          <w:color w:val="auto"/>
          <w:szCs w:val="28"/>
          <w:highlight w:val="none"/>
        </w:rPr>
        <w:t>.5 分包</w:t>
      </w:r>
    </w:p>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14:paraId="3D465CBC">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3</w:t>
      </w:r>
      <w:bookmarkStart w:id="781" w:name="_Toc300934946"/>
      <w:bookmarkStart w:id="782" w:name="_Toc296890988"/>
      <w:bookmarkStart w:id="783" w:name="_Toc296944499"/>
      <w:bookmarkStart w:id="784" w:name="_Toc304295524"/>
      <w:bookmarkStart w:id="785" w:name="_Toc292559870"/>
      <w:bookmarkStart w:id="786" w:name="_Toc292559365"/>
      <w:bookmarkStart w:id="787" w:name="_Toc296347159"/>
      <w:bookmarkStart w:id="788" w:name="_Toc297048346"/>
      <w:bookmarkStart w:id="789" w:name="_Toc303539103"/>
      <w:bookmarkStart w:id="790" w:name="_Toc297120460"/>
      <w:bookmarkStart w:id="791" w:name="_Toc297123493"/>
      <w:bookmarkStart w:id="792" w:name="_Toc296503160"/>
      <w:bookmarkStart w:id="793" w:name="_Toc297216152"/>
      <w:bookmarkStart w:id="794" w:name="_Toc296346661"/>
      <w:bookmarkStart w:id="795" w:name="_Toc296891200"/>
      <w:bookmarkStart w:id="796" w:name="_Toc312677989"/>
      <w:bookmarkStart w:id="797" w:name="_Toc318581158"/>
      <w:r>
        <w:rPr>
          <w:rFonts w:hint="eastAsia" w:ascii="宋体" w:hAnsi="宋体" w:cs="宋体"/>
          <w:color w:val="auto"/>
          <w:highlight w:val="none"/>
        </w:rPr>
        <w:t>.5.1 分包的一般约定</w:t>
      </w:r>
    </w:p>
    <w:p w14:paraId="4D70DAB6">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禁止分包的工程包括：</w:t>
      </w:r>
      <w:r>
        <w:rPr>
          <w:rFonts w:hint="eastAsia" w:ascii="宋体" w:hAnsi="宋体" w:cs="宋体"/>
          <w:color w:val="auto"/>
          <w:highlight w:val="none"/>
          <w:u w:val="single"/>
        </w:rPr>
        <w:t xml:space="preserve">  </w:t>
      </w:r>
      <w:r>
        <w:rPr>
          <w:rFonts w:hint="eastAsia" w:ascii="宋体" w:hAnsi="宋体" w:eastAsia="宋体" w:cs="宋体"/>
          <w:color w:val="auto"/>
          <w:szCs w:val="21"/>
          <w:highlight w:val="none"/>
          <w:u w:val="single"/>
          <w:lang w:val="en-US" w:eastAsia="zh-CN"/>
        </w:rPr>
        <w:t>按国家规定</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6657CEC6">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主体结构、关键性工作的范围：</w:t>
      </w:r>
      <w:r>
        <w:rPr>
          <w:rFonts w:hint="eastAsia" w:ascii="宋体" w:hAnsi="宋体" w:eastAsia="宋体" w:cs="宋体"/>
          <w:color w:val="auto"/>
          <w:szCs w:val="21"/>
          <w:highlight w:val="none"/>
          <w:u w:val="single"/>
          <w:lang w:val="en-US" w:eastAsia="zh-CN"/>
        </w:rPr>
        <w:t>房建、水利工程为主体结构；市政工程为道路基层、面层；园林景观工程为绿化采购、栽植、养护。</w:t>
      </w:r>
      <w:r>
        <w:rPr>
          <w:rFonts w:hint="eastAsia" w:ascii="宋体" w:hAnsi="宋体" w:cs="宋体"/>
          <w:color w:val="auto"/>
          <w:highlight w:val="none"/>
          <w:u w:val="single"/>
        </w:rPr>
        <w:t xml:space="preserve"> </w:t>
      </w:r>
      <w:r>
        <w:rPr>
          <w:rFonts w:hint="eastAsia" w:ascii="宋体" w:hAnsi="宋体" w:cs="宋体"/>
          <w:color w:val="auto"/>
          <w:highlight w:val="none"/>
        </w:rPr>
        <w:t>。</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Start w:id="798" w:name="_Toc300934947"/>
      <w:bookmarkStart w:id="799" w:name="_Toc296944500"/>
      <w:bookmarkStart w:id="800" w:name="_Toc296503161"/>
      <w:bookmarkStart w:id="801" w:name="_Toc297048347"/>
      <w:bookmarkStart w:id="802" w:name="_Toc296890989"/>
      <w:bookmarkStart w:id="803" w:name="_Toc296891201"/>
      <w:bookmarkStart w:id="804" w:name="_Toc297216153"/>
      <w:bookmarkStart w:id="805" w:name="_Toc296347160"/>
      <w:bookmarkStart w:id="806" w:name="_Toc304295525"/>
      <w:bookmarkStart w:id="807" w:name="_Toc297123494"/>
      <w:bookmarkStart w:id="808" w:name="_Toc303539104"/>
      <w:bookmarkStart w:id="809" w:name="_Toc296346662"/>
      <w:bookmarkStart w:id="810" w:name="_Toc297120461"/>
    </w:p>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14:paraId="4389E335">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3</w:t>
      </w:r>
      <w:bookmarkStart w:id="811" w:name="_Toc312677990"/>
      <w:bookmarkStart w:id="812" w:name="_Toc318581159"/>
      <w:r>
        <w:rPr>
          <w:rFonts w:hint="eastAsia" w:ascii="宋体" w:hAnsi="宋体" w:cs="宋体"/>
          <w:color w:val="auto"/>
          <w:highlight w:val="none"/>
        </w:rPr>
        <w:t>.5.2 分包的确定</w:t>
      </w:r>
    </w:p>
    <w:p w14:paraId="65DA1FDB">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允许分包的专业工程包括：</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主体结构、关键性工作的范围以外的专业工程</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326D8D0B">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其他关于分包的约定：</w:t>
      </w:r>
      <w:r>
        <w:rPr>
          <w:rFonts w:hint="eastAsia" w:ascii="宋体" w:hAnsi="宋体" w:cs="宋体"/>
          <w:color w:val="auto"/>
          <w:highlight w:val="none"/>
          <w:u w:val="single"/>
        </w:rPr>
        <w:t xml:space="preserve"> </w:t>
      </w:r>
      <w:r>
        <w:rPr>
          <w:rFonts w:hint="eastAsia" w:ascii="宋体" w:hAnsi="宋体" w:eastAsia="宋体" w:cs="宋体"/>
          <w:color w:val="auto"/>
          <w:szCs w:val="21"/>
          <w:highlight w:val="none"/>
          <w:u w:val="single"/>
          <w:lang w:val="en-US" w:eastAsia="zh-CN"/>
        </w:rPr>
        <w:t>分包单位须经发包人考察书面同意后，方可进场施工，分包合同须经发包人审核同意（须向发包人提供一份分包合同原件），分包工程中所涉及的材料设备品牌须在分包合同中明确，且经发包人同意后，方可使用。劳务分包人或专业分包人完成的工程，经发包人或监理人检查屡次（3次及以上）发生同类缺陷或问题的，发包人有权指令承包人更换此分包人，承包人必须在接到指令后立即执行，不能以任何事由推阻，相关一切工期延误和费用损失等均由承包人承担。</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E6B4EF6">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3.5.4 分包合同价款</w:t>
      </w:r>
    </w:p>
    <w:p w14:paraId="7868F2A6">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关于分包合同价款支付的约定：</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承包人支付</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bookmarkEnd w:id="811"/>
    <w:bookmarkEnd w:id="812"/>
    <w:p w14:paraId="7DBFA9AA">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3.6 工程照管与成品、半成品保护</w:t>
      </w:r>
    </w:p>
    <w:p w14:paraId="2A1AC337">
      <w:pPr>
        <w:adjustRightInd w:val="0"/>
        <w:snapToGrid w:val="0"/>
        <w:spacing w:line="384" w:lineRule="auto"/>
        <w:ind w:firstLine="420" w:firstLineChars="200"/>
        <w:rPr>
          <w:rFonts w:hint="eastAsia" w:ascii="宋体" w:hAnsi="宋体" w:cs="宋体"/>
          <w:color w:val="auto"/>
          <w:kern w:val="0"/>
          <w:highlight w:val="none"/>
          <w:u w:val="single"/>
        </w:rPr>
      </w:pPr>
      <w:r>
        <w:rPr>
          <w:rFonts w:hint="eastAsia" w:ascii="宋体" w:hAnsi="宋体" w:cs="宋体"/>
          <w:color w:val="auto"/>
          <w:kern w:val="0"/>
          <w:highlight w:val="none"/>
        </w:rPr>
        <w:t>承包人负责照管工程及工程相关的材料、工程设备的起始时间：</w:t>
      </w:r>
      <w:r>
        <w:rPr>
          <w:rFonts w:hint="eastAsia" w:ascii="宋体" w:hAnsi="宋体" w:cs="宋体"/>
          <w:color w:val="auto"/>
          <w:szCs w:val="21"/>
          <w:highlight w:val="none"/>
          <w:u w:val="single"/>
        </w:rPr>
        <w:t>自发包人向承包人移交施工现场之日起，承包人应负责照管工程及工程相关的材料、工程设备，直到颁发工程接收证书之日止。</w:t>
      </w:r>
    </w:p>
    <w:p w14:paraId="2ACB055C">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3.7 履约保证金</w:t>
      </w:r>
    </w:p>
    <w:p w14:paraId="7C701C3E">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承包人是否提供履约保证金： </w:t>
      </w:r>
      <w:r>
        <w:rPr>
          <w:rFonts w:hint="eastAsia" w:ascii="宋体" w:hAnsi="宋体" w:cs="宋体"/>
          <w:color w:val="auto"/>
          <w:szCs w:val="21"/>
          <w:highlight w:val="none"/>
          <w:u w:val="single"/>
        </w:rPr>
        <w:t>提供</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6DF4D7A2">
      <w:pPr>
        <w:adjustRightInd w:val="0"/>
        <w:snapToGrid w:val="0"/>
        <w:spacing w:line="384" w:lineRule="auto"/>
        <w:ind w:firstLine="420" w:firstLineChars="200"/>
        <w:rPr>
          <w:rFonts w:hint="eastAsia" w:ascii="宋体" w:hAnsi="宋体" w:cs="宋体"/>
          <w:bCs/>
          <w:snapToGrid w:val="0"/>
          <w:color w:val="auto"/>
          <w:kern w:val="0"/>
          <w:szCs w:val="21"/>
          <w:highlight w:val="none"/>
        </w:rPr>
      </w:pPr>
      <w:r>
        <w:rPr>
          <w:rFonts w:hint="eastAsia" w:ascii="宋体" w:hAnsi="宋体" w:cs="宋体"/>
          <w:color w:val="auto"/>
          <w:highlight w:val="none"/>
        </w:rPr>
        <w:t>承包人提供履约保证金的形式：</w:t>
      </w:r>
      <w:r>
        <w:rPr>
          <w:rFonts w:hint="eastAsia" w:ascii="宋体" w:hAnsi="宋体" w:cs="宋体"/>
          <w:bCs/>
          <w:snapToGrid w:val="0"/>
          <w:color w:val="auto"/>
          <w:kern w:val="0"/>
          <w:szCs w:val="21"/>
          <w:highlight w:val="none"/>
        </w:rPr>
        <w:t>银行转账或银行电汇或银行保函或担保机构担保或保证保险</w:t>
      </w:r>
    </w:p>
    <w:p w14:paraId="660C1D17">
      <w:pPr>
        <w:adjustRightInd w:val="0"/>
        <w:snapToGrid w:val="0"/>
        <w:spacing w:line="384" w:lineRule="auto"/>
        <w:ind w:left="-73" w:leftChars="-35" w:firstLine="497" w:firstLineChars="237"/>
        <w:rPr>
          <w:rFonts w:hint="eastAsia"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注：</w:t>
      </w:r>
      <w:r>
        <w:rPr>
          <w:rFonts w:hint="eastAsia" w:ascii="宋体" w:hAnsi="宋体" w:cs="宋体"/>
          <w:color w:val="auto"/>
          <w:highlight w:val="none"/>
        </w:rPr>
        <w:t>履约保证金的金额：</w:t>
      </w:r>
      <w:r>
        <w:rPr>
          <w:rFonts w:hint="eastAsia" w:ascii="宋体" w:hAnsi="宋体" w:cs="宋体"/>
          <w:color w:val="auto"/>
          <w:szCs w:val="21"/>
          <w:highlight w:val="none"/>
        </w:rPr>
        <w:t>中标合同金额×</w:t>
      </w:r>
      <w:r>
        <w:rPr>
          <w:rFonts w:hint="eastAsia" w:ascii="宋体" w:hAnsi="宋体" w:cs="宋体"/>
          <w:color w:val="auto"/>
          <w:highlight w:val="none"/>
        </w:rPr>
        <w:t>2％。</w:t>
      </w:r>
    </w:p>
    <w:p w14:paraId="4547529C">
      <w:pPr>
        <w:adjustRightInd w:val="0"/>
        <w:snapToGrid w:val="0"/>
        <w:spacing w:line="384" w:lineRule="auto"/>
        <w:ind w:firstLine="840" w:firstLineChars="400"/>
        <w:rPr>
          <w:rFonts w:hint="eastAsia" w:ascii="宋体" w:hAnsi="宋体" w:cs="宋体"/>
          <w:color w:val="auto"/>
          <w:highlight w:val="none"/>
        </w:rPr>
      </w:pPr>
      <w:r>
        <w:rPr>
          <w:rFonts w:hint="eastAsia" w:ascii="宋体" w:hAnsi="宋体" w:cs="宋体"/>
          <w:color w:val="auto"/>
          <w:highlight w:val="none"/>
        </w:rPr>
        <w:t xml:space="preserve">履约保证金提交期限的要求： </w:t>
      </w:r>
      <w:r>
        <w:rPr>
          <w:rFonts w:hint="eastAsia" w:ascii="宋体" w:hAnsi="宋体" w:cs="宋体"/>
          <w:color w:val="auto"/>
          <w:szCs w:val="21"/>
          <w:highlight w:val="none"/>
          <w:u w:val="single"/>
        </w:rPr>
        <w:t>签订合同前 。</w:t>
      </w:r>
      <w:r>
        <w:rPr>
          <w:rFonts w:hint="eastAsia" w:ascii="宋体" w:hAnsi="宋体" w:cs="宋体"/>
          <w:color w:val="auto"/>
          <w:highlight w:val="none"/>
        </w:rPr>
        <w:t xml:space="preserve"> </w:t>
      </w:r>
    </w:p>
    <w:p w14:paraId="08ACF5F0">
      <w:pPr>
        <w:adjustRightInd w:val="0"/>
        <w:snapToGrid w:val="0"/>
        <w:spacing w:line="384" w:lineRule="auto"/>
        <w:ind w:firstLine="840" w:firstLineChars="400"/>
        <w:rPr>
          <w:rFonts w:hint="eastAsia" w:ascii="宋体" w:hAnsi="宋体" w:cs="宋体"/>
          <w:color w:val="auto"/>
          <w:highlight w:val="none"/>
        </w:rPr>
      </w:pPr>
      <w:r>
        <w:rPr>
          <w:rFonts w:hint="eastAsia" w:ascii="宋体" w:hAnsi="宋体" w:cs="宋体"/>
          <w:bCs/>
          <w:snapToGrid w:val="0"/>
          <w:color w:val="auto"/>
          <w:kern w:val="0"/>
          <w:szCs w:val="21"/>
          <w:highlight w:val="none"/>
        </w:rPr>
        <w:t>履约保证金退还时限：履约保证金有效期满7日内（最迟不得超过项目竣工验收通过后28天）。</w:t>
      </w:r>
    </w:p>
    <w:p w14:paraId="24E1D48A">
      <w:pPr>
        <w:keepNext/>
        <w:keepLines/>
        <w:adjustRightInd w:val="0"/>
        <w:snapToGrid w:val="0"/>
        <w:spacing w:line="384" w:lineRule="auto"/>
        <w:jc w:val="left"/>
        <w:outlineLvl w:val="2"/>
        <w:rPr>
          <w:rFonts w:hint="eastAsia" w:ascii="宋体" w:hAnsi="宋体" w:cs="宋体"/>
          <w:bCs/>
          <w:color w:val="auto"/>
          <w:sz w:val="24"/>
          <w:highlight w:val="none"/>
        </w:rPr>
      </w:pPr>
      <w:bookmarkStart w:id="813" w:name="_Toc95223465"/>
      <w:bookmarkStart w:id="814" w:name="_Toc351203636"/>
      <w:r>
        <w:rPr>
          <w:rFonts w:hint="eastAsia" w:ascii="宋体" w:hAnsi="宋体" w:cs="宋体"/>
          <w:bCs/>
          <w:color w:val="auto"/>
          <w:sz w:val="24"/>
          <w:highlight w:val="none"/>
        </w:rPr>
        <w:t>4</w:t>
      </w:r>
      <w:bookmarkStart w:id="815" w:name="_Toc296890990"/>
      <w:bookmarkStart w:id="816" w:name="_Toc296347161"/>
      <w:bookmarkStart w:id="817" w:name="_Toc292559871"/>
      <w:bookmarkStart w:id="818" w:name="_Toc296944501"/>
      <w:bookmarkStart w:id="819" w:name="_Toc296503162"/>
      <w:bookmarkStart w:id="820" w:name="_Toc297048348"/>
      <w:bookmarkStart w:id="821" w:name="_Toc296891202"/>
      <w:bookmarkStart w:id="822" w:name="_Toc297120462"/>
      <w:bookmarkStart w:id="823" w:name="_Toc292559366"/>
      <w:bookmarkStart w:id="824" w:name="_Toc296346663"/>
      <w:bookmarkStart w:id="825" w:name="_Toc267251413"/>
      <w:r>
        <w:rPr>
          <w:rFonts w:hint="eastAsia" w:ascii="宋体" w:hAnsi="宋体" w:cs="宋体"/>
          <w:bCs/>
          <w:color w:val="auto"/>
          <w:sz w:val="24"/>
          <w:highlight w:val="none"/>
        </w:rPr>
        <w:t>. 监</w:t>
      </w:r>
      <w:bookmarkEnd w:id="815"/>
      <w:bookmarkEnd w:id="816"/>
      <w:bookmarkEnd w:id="817"/>
      <w:bookmarkEnd w:id="818"/>
      <w:bookmarkEnd w:id="819"/>
      <w:bookmarkEnd w:id="820"/>
      <w:bookmarkEnd w:id="821"/>
      <w:bookmarkEnd w:id="822"/>
      <w:bookmarkEnd w:id="823"/>
      <w:bookmarkEnd w:id="824"/>
      <w:bookmarkEnd w:id="825"/>
      <w:r>
        <w:rPr>
          <w:rFonts w:hint="eastAsia" w:ascii="宋体" w:hAnsi="宋体" w:cs="宋体"/>
          <w:bCs/>
          <w:color w:val="auto"/>
          <w:sz w:val="24"/>
          <w:highlight w:val="none"/>
        </w:rPr>
        <w:t>理人</w:t>
      </w:r>
      <w:bookmarkEnd w:id="813"/>
      <w:bookmarkEnd w:id="814"/>
    </w:p>
    <w:p w14:paraId="75611DA3">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4.1 监理人的一般规定</w:t>
      </w:r>
    </w:p>
    <w:p w14:paraId="65A47564">
      <w:pPr>
        <w:adjustRightInd w:val="0"/>
        <w:snapToGrid w:val="0"/>
        <w:spacing w:line="384" w:lineRule="auto"/>
        <w:ind w:firstLine="420" w:firstLineChars="200"/>
        <w:rPr>
          <w:rFonts w:hint="eastAsia" w:ascii="宋体" w:hAnsi="宋体" w:cs="宋体"/>
          <w:b/>
          <w:color w:val="auto"/>
          <w:highlight w:val="none"/>
          <w:u w:val="single"/>
        </w:rPr>
      </w:pPr>
      <w:r>
        <w:rPr>
          <w:rFonts w:hint="eastAsia" w:ascii="宋体" w:hAnsi="宋体" w:cs="宋体"/>
          <w:color w:val="auto"/>
          <w:highlight w:val="none"/>
        </w:rPr>
        <w:t>关于监理人的监理内容：</w:t>
      </w:r>
      <w:r>
        <w:rPr>
          <w:rFonts w:hint="eastAsia" w:ascii="宋体" w:hAnsi="宋体" w:eastAsia="宋体" w:cs="宋体"/>
          <w:color w:val="auto"/>
          <w:highlight w:val="none"/>
          <w:u w:val="single"/>
        </w:rPr>
        <w:t>受发包人委托负责本工程的质量、进度、成本、安全文明施工、成品保护、环境保护、细部检查管理、交付入住配合等方面的监理工作，并在发包人授权的情况下全面负责现场协调管理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B1E57B3">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关于监理人的监理权限：</w:t>
      </w:r>
      <w:r>
        <w:rPr>
          <w:rFonts w:hint="eastAsia" w:ascii="宋体" w:hAnsi="宋体" w:eastAsia="宋体" w:cs="宋体"/>
          <w:color w:val="auto"/>
          <w:highlight w:val="none"/>
          <w:u w:val="single"/>
        </w:rPr>
        <w:t>涉及对本工程合同中发包人的义务、责任、风险、费用（投资）增加，或对本工程合同中承包人的义务、责任、风险减少或免除，或任何涉及工程质量、工期、安全、标准、造价以及其他可能引起工程造价、工期变化的各类确认，必须经监理人审核后报发包人批准方能生效</w:t>
      </w:r>
      <w:r>
        <w:rPr>
          <w:rFonts w:hint="eastAsia" w:ascii="宋体" w:hAnsi="宋体" w:cs="宋体"/>
          <w:color w:val="auto"/>
          <w:szCs w:val="21"/>
          <w:highlight w:val="none"/>
        </w:rPr>
        <w:t>。</w:t>
      </w:r>
      <w:r>
        <w:rPr>
          <w:rFonts w:hint="eastAsia" w:ascii="宋体" w:hAnsi="宋体" w:cs="宋体"/>
          <w:color w:val="auto"/>
          <w:highlight w:val="none"/>
        </w:rPr>
        <w:t xml:space="preserve"> </w:t>
      </w:r>
    </w:p>
    <w:p w14:paraId="61398E17">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关于监理人在施工现场的办公场所、生活场所的提供和费用承担的约定：</w:t>
      </w:r>
      <w:r>
        <w:rPr>
          <w:rFonts w:hint="eastAsia" w:ascii="宋体" w:hAnsi="宋体" w:cs="宋体"/>
          <w:color w:val="auto"/>
          <w:szCs w:val="21"/>
          <w:highlight w:val="none"/>
          <w:u w:val="single"/>
        </w:rPr>
        <w:t xml:space="preserve"> </w:t>
      </w:r>
      <w:r>
        <w:rPr>
          <w:rFonts w:hint="eastAsia" w:ascii="宋体" w:hAnsi="宋体" w:eastAsia="宋体" w:cs="宋体"/>
          <w:color w:val="auto"/>
          <w:highlight w:val="none"/>
          <w:u w:val="single"/>
        </w:rPr>
        <w:t>承包人</w:t>
      </w:r>
      <w:r>
        <w:rPr>
          <w:rFonts w:hint="eastAsia" w:ascii="宋体" w:hAnsi="宋体" w:eastAsia="宋体" w:cs="宋体"/>
          <w:color w:val="auto"/>
          <w:highlight w:val="none"/>
          <w:u w:val="single"/>
          <w:lang w:val="en-US" w:eastAsia="zh-CN"/>
        </w:rPr>
        <w:t>免费</w:t>
      </w:r>
      <w:r>
        <w:rPr>
          <w:rFonts w:hint="eastAsia" w:ascii="宋体" w:hAnsi="宋体" w:eastAsia="宋体" w:cs="宋体"/>
          <w:color w:val="auto"/>
          <w:highlight w:val="none"/>
          <w:u w:val="single"/>
        </w:rPr>
        <w:t>提供和承担</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D1BDAF3">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4.2 监理人员</w:t>
      </w:r>
    </w:p>
    <w:p w14:paraId="67DEF0D2">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总监理工程师：</w:t>
      </w:r>
    </w:p>
    <w:p w14:paraId="00D1CBD3">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姓    名：</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C99637C">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职    务：</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07A166D">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监理工程师执业资格证书号：</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189B033">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w:t>
      </w:r>
      <w:r>
        <w:rPr>
          <w:rFonts w:hint="eastAsia" w:ascii="宋体" w:hAnsi="宋体" w:cs="宋体"/>
          <w:color w:val="auto"/>
          <w:highlight w:val="none"/>
        </w:rPr>
        <w:t>；</w:t>
      </w:r>
    </w:p>
    <w:p w14:paraId="2A1937B5">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A1C2924">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4B2774A">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关于监理人的其他约定：</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507683AE">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4.4 商定或确定</w:t>
      </w:r>
    </w:p>
    <w:p w14:paraId="5B1060A2">
      <w:pPr>
        <w:adjustRightInd w:val="0"/>
        <w:snapToGrid w:val="0"/>
        <w:spacing w:line="384" w:lineRule="auto"/>
        <w:ind w:firstLine="420" w:firstLineChars="200"/>
        <w:rPr>
          <w:rFonts w:hint="eastAsia" w:ascii="宋体" w:hAnsi="宋体" w:cs="宋体"/>
          <w:color w:val="auto"/>
          <w:highlight w:val="none"/>
        </w:rPr>
      </w:pPr>
      <w:bookmarkStart w:id="826" w:name="_Toc267251418"/>
      <w:r>
        <w:rPr>
          <w:rFonts w:hint="eastAsia" w:ascii="宋体" w:hAnsi="宋体" w:cs="宋体"/>
          <w:color w:val="auto"/>
          <w:highlight w:val="none"/>
        </w:rPr>
        <w:t>在发包人和承包人不能通过协商达成一致意见时，发包人授权监理人对以下事项进行确定：</w:t>
      </w:r>
    </w:p>
    <w:p w14:paraId="35F3DC7D">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62785A1C">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62FA747F">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（3）</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511BBCD">
      <w:pPr>
        <w:keepNext/>
        <w:keepLines/>
        <w:adjustRightInd w:val="0"/>
        <w:snapToGrid w:val="0"/>
        <w:spacing w:line="384" w:lineRule="auto"/>
        <w:jc w:val="left"/>
        <w:outlineLvl w:val="2"/>
        <w:rPr>
          <w:rFonts w:hint="eastAsia" w:ascii="宋体" w:hAnsi="宋体" w:cs="宋体"/>
          <w:bCs/>
          <w:color w:val="auto"/>
          <w:sz w:val="24"/>
          <w:highlight w:val="none"/>
        </w:rPr>
      </w:pPr>
      <w:bookmarkStart w:id="827" w:name="_Toc351203637"/>
      <w:bookmarkStart w:id="828" w:name="_Toc95223466"/>
      <w:r>
        <w:rPr>
          <w:rFonts w:hint="eastAsia" w:ascii="宋体" w:hAnsi="宋体" w:cs="宋体"/>
          <w:bCs/>
          <w:color w:val="auto"/>
          <w:sz w:val="24"/>
          <w:highlight w:val="none"/>
        </w:rPr>
        <w:t>5</w:t>
      </w:r>
      <w:bookmarkEnd w:id="826"/>
      <w:bookmarkStart w:id="829" w:name="_Toc296944502"/>
      <w:bookmarkStart w:id="830" w:name="_Toc296890991"/>
      <w:bookmarkStart w:id="831" w:name="_Toc292559872"/>
      <w:bookmarkStart w:id="832" w:name="_Toc297048349"/>
      <w:bookmarkStart w:id="833" w:name="_Toc296891203"/>
      <w:bookmarkStart w:id="834" w:name="_Toc296347162"/>
      <w:bookmarkStart w:id="835" w:name="_Toc296503163"/>
      <w:bookmarkStart w:id="836" w:name="_Toc296346664"/>
      <w:bookmarkStart w:id="837" w:name="_Toc297120463"/>
      <w:bookmarkStart w:id="838" w:name="_Toc292559367"/>
      <w:r>
        <w:rPr>
          <w:rFonts w:hint="eastAsia" w:ascii="宋体" w:hAnsi="宋体" w:cs="宋体"/>
          <w:bCs/>
          <w:color w:val="auto"/>
          <w:sz w:val="24"/>
          <w:highlight w:val="none"/>
        </w:rPr>
        <w:t>. 工程质量</w:t>
      </w:r>
      <w:bookmarkEnd w:id="827"/>
      <w:bookmarkEnd w:id="828"/>
    </w:p>
    <w:p w14:paraId="584A5536">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5.1 质量要求</w:t>
      </w:r>
    </w:p>
    <w:p w14:paraId="29AA074E">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5</w:t>
      </w:r>
      <w:bookmarkStart w:id="839" w:name="_Toc297123496"/>
      <w:bookmarkStart w:id="840" w:name="_Toc297216155"/>
      <w:bookmarkStart w:id="841" w:name="_Toc312677997"/>
      <w:bookmarkStart w:id="842" w:name="_Toc318581164"/>
      <w:bookmarkStart w:id="843" w:name="_Toc304295527"/>
      <w:bookmarkStart w:id="844" w:name="_Toc303539106"/>
      <w:bookmarkStart w:id="845" w:name="_Toc300934949"/>
      <w:r>
        <w:rPr>
          <w:rFonts w:hint="eastAsia" w:ascii="宋体" w:hAnsi="宋体" w:cs="宋体"/>
          <w:color w:val="auto"/>
          <w:highlight w:val="none"/>
        </w:rPr>
        <w:t>.1.1 特殊质量标准和要求：</w:t>
      </w:r>
      <w:r>
        <w:rPr>
          <w:rFonts w:hint="eastAsia" w:ascii="宋体" w:hAnsi="宋体" w:cs="宋体"/>
          <w:color w:val="auto"/>
          <w:highlight w:val="none"/>
          <w:u w:val="single"/>
        </w:rPr>
        <w:t xml:space="preserve"> </w:t>
      </w:r>
      <w:r>
        <w:rPr>
          <w:rFonts w:hint="eastAsia" w:ascii="宋体" w:hAnsi="宋体" w:cs="宋体"/>
          <w:color w:val="auto"/>
          <w:szCs w:val="21"/>
          <w:highlight w:val="none"/>
          <w:u w:val="single"/>
        </w:rPr>
        <w:t>本工程应达到招标文件规定的质量合格标准。</w:t>
      </w:r>
      <w:r>
        <w:rPr>
          <w:rFonts w:hint="eastAsia" w:ascii="宋体" w:hAnsi="宋体" w:eastAsia="宋体" w:cs="宋体"/>
          <w:color w:val="auto"/>
          <w:szCs w:val="21"/>
          <w:highlight w:val="none"/>
          <w:u w:val="single"/>
        </w:rPr>
        <w:t>承包人应按照现行的国家施工验收规范和资料评定标准施工；预验收不合格须整改</w:t>
      </w:r>
      <w:r>
        <w:rPr>
          <w:rFonts w:hint="eastAsia" w:ascii="宋体" w:hAnsi="宋体" w:cs="宋体"/>
          <w:color w:val="auto"/>
          <w:szCs w:val="21"/>
          <w:highlight w:val="none"/>
          <w:u w:val="single"/>
        </w:rPr>
        <w:t>合格，并处以10万元违约金；竣工验收必须合格，否则发包人将处以20万元违约金</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rPr>
        <w:t>承包人同意终止施工合同并不再支付剩余工程款，承包人并应当另行承担因此给发包人造成的全部损</w:t>
      </w:r>
      <w:r>
        <w:rPr>
          <w:rFonts w:hint="eastAsia" w:ascii="宋体" w:hAnsi="宋体" w:cs="宋体"/>
          <w:color w:val="auto"/>
          <w:szCs w:val="21"/>
          <w:highlight w:val="none"/>
          <w:u w:val="single"/>
          <w:lang w:eastAsia="zh-CN"/>
        </w:rPr>
        <w:t>。</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FF8D557">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s="宋体"/>
          <w:color w:val="auto"/>
          <w:highlight w:val="none"/>
        </w:rPr>
        <w:t>关于工程奖项的约定：</w:t>
      </w:r>
      <w:r>
        <w:rPr>
          <w:rFonts w:hint="eastAsia" w:ascii="宋体" w:hAnsi="宋体" w:eastAsia="宋体" w:cs="宋体"/>
          <w:color w:val="auto"/>
          <w:szCs w:val="21"/>
          <w:highlight w:val="none"/>
          <w:u w:val="single"/>
          <w:lang w:val="en-US" w:eastAsia="zh-CN"/>
        </w:rPr>
        <w:t>本项目在达到国家工程施工质量验收合格标准和获得安徽省建筑安全生产标准化工地的基础上，须同时获得省优“黄山杯</w:t>
      </w:r>
      <w:r>
        <w:rPr>
          <w:rFonts w:hint="eastAsia" w:ascii="宋体" w:hAnsi="宋体" w:cs="宋体"/>
          <w:color w:val="auto"/>
          <w:szCs w:val="21"/>
          <w:highlight w:val="none"/>
          <w:u w:val="single"/>
          <w:lang w:val="en-US" w:eastAsia="zh-CN"/>
        </w:rPr>
        <w:t>”</w:t>
      </w:r>
      <w:r>
        <w:rPr>
          <w:rFonts w:hint="eastAsia" w:ascii="宋体" w:hAnsi="宋体" w:eastAsia="宋体" w:cs="宋体"/>
          <w:color w:val="auto"/>
          <w:szCs w:val="21"/>
          <w:highlight w:val="none"/>
          <w:u w:val="single"/>
          <w:lang w:val="en-US" w:eastAsia="zh-CN"/>
        </w:rPr>
        <w:t>。具体奖罚措施如下：</w:t>
      </w:r>
    </w:p>
    <w:p w14:paraId="05BC9CE3">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1.获得省优“黄山杯”给予工程结算金额的1.0%奖励；</w:t>
      </w:r>
    </w:p>
    <w:p w14:paraId="6ED46998">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2.获得市优“琅琊杯”给予工程结算金额的0.8%奖励；</w:t>
      </w:r>
    </w:p>
    <w:p w14:paraId="6DC156B0">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3.同时获得省优“黄山杯”和市优“琅琊杯”，给予工程结算金额的1.0%奖励；</w:t>
      </w:r>
    </w:p>
    <w:p w14:paraId="26B719DF">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4.未获得省优“黄山杯</w:t>
      </w:r>
      <w:r>
        <w:rPr>
          <w:rFonts w:hint="eastAsia" w:ascii="宋体" w:hAnsi="宋体" w:cs="宋体"/>
          <w:color w:val="auto"/>
          <w:szCs w:val="21"/>
          <w:highlight w:val="none"/>
          <w:u w:val="single"/>
          <w:lang w:val="en-US" w:eastAsia="zh-CN"/>
        </w:rPr>
        <w:t>”</w:t>
      </w:r>
      <w:r>
        <w:rPr>
          <w:rFonts w:hint="eastAsia" w:ascii="宋体" w:hAnsi="宋体" w:eastAsia="宋体" w:cs="宋体"/>
          <w:color w:val="auto"/>
          <w:szCs w:val="21"/>
          <w:highlight w:val="none"/>
          <w:u w:val="single"/>
          <w:lang w:val="en-US" w:eastAsia="zh-CN"/>
        </w:rPr>
        <w:t>，扣除本工程结算总价的1.0%作为违约金。</w:t>
      </w:r>
    </w:p>
    <w:p w14:paraId="61812FC8">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u w:val="single"/>
          <w:lang w:val="en-US" w:eastAsia="zh-CN"/>
        </w:rPr>
        <w:t>.项目在付清结算价款前须获得相关奖项证明,否则在结算价款中先行予以暂扣未取得黄山杯的违约金，后续获得相关奖项证明后，与奖励金额一并发放。</w:t>
      </w:r>
    </w:p>
    <w:p w14:paraId="00825185">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5.3 隐蔽工程检查</w:t>
      </w:r>
    </w:p>
    <w:p w14:paraId="2C36514F">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5.3.2 承包人提前通知监理人隐蔽工程检查的期限的约定：</w:t>
      </w:r>
      <w:r>
        <w:rPr>
          <w:rFonts w:hint="eastAsia" w:ascii="宋体" w:hAnsi="宋体" w:eastAsia="宋体" w:cs="宋体"/>
          <w:color w:val="auto"/>
          <w:szCs w:val="21"/>
          <w:highlight w:val="none"/>
          <w:u w:val="single"/>
          <w:lang w:val="en-US" w:eastAsia="zh-CN"/>
        </w:rPr>
        <w:t>工程具备隐蔽条件或达到中间验收部位时，承包人自检合格后，在隐蔽和中间验收48小时前书面通知发包人代表和监理工程师参加。通知应包含承包人自检记录、隐蔽和中间验收的内容、时间和地点。承包人准备验收记录，验收合格，发包人代表及监理工程师在验收记录上签字后，方可进行隐蔽和继续施工。验收不合格，承包人在限定时间内重新验收。承包人不服从质量管理的，发包人有权清退其出场，并赔偿因此而造成的一切损失。</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78488214">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监理人不能按时进行检查时，应提前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24</w:t>
      </w:r>
      <w:r>
        <w:rPr>
          <w:rFonts w:hint="eastAsia" w:ascii="宋体" w:hAnsi="宋体" w:cs="宋体"/>
          <w:color w:val="auto"/>
          <w:szCs w:val="21"/>
          <w:highlight w:val="none"/>
          <w:u w:val="single"/>
        </w:rPr>
        <w:t xml:space="preserve"> </w:t>
      </w:r>
      <w:r>
        <w:rPr>
          <w:rFonts w:hint="eastAsia" w:ascii="宋体" w:hAnsi="宋体" w:cs="宋体"/>
          <w:color w:val="auto"/>
          <w:highlight w:val="none"/>
        </w:rPr>
        <w:t>小时提交书面延期要求。</w:t>
      </w:r>
    </w:p>
    <w:p w14:paraId="1CC9E4AE">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关于延期最长不得超过：</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48</w:t>
      </w:r>
      <w:r>
        <w:rPr>
          <w:rFonts w:hint="eastAsia" w:ascii="宋体" w:hAnsi="宋体" w:cs="宋体"/>
          <w:color w:val="auto"/>
          <w:szCs w:val="21"/>
          <w:highlight w:val="none"/>
          <w:u w:val="single"/>
        </w:rPr>
        <w:t xml:space="preserve"> </w:t>
      </w:r>
      <w:r>
        <w:rPr>
          <w:rFonts w:hint="eastAsia" w:ascii="宋体" w:hAnsi="宋体" w:cs="宋体"/>
          <w:color w:val="auto"/>
          <w:highlight w:val="none"/>
        </w:rPr>
        <w:t>小时。</w:t>
      </w:r>
    </w:p>
    <w:p w14:paraId="41C58EEB">
      <w:pPr>
        <w:keepNext/>
        <w:keepLines/>
        <w:adjustRightInd w:val="0"/>
        <w:snapToGrid w:val="0"/>
        <w:spacing w:line="384" w:lineRule="auto"/>
        <w:jc w:val="left"/>
        <w:outlineLvl w:val="2"/>
        <w:rPr>
          <w:rFonts w:hint="eastAsia" w:ascii="宋体" w:hAnsi="宋体" w:cs="宋体"/>
          <w:bCs/>
          <w:color w:val="auto"/>
          <w:sz w:val="24"/>
          <w:highlight w:val="none"/>
        </w:rPr>
      </w:pPr>
      <w:bookmarkStart w:id="846" w:name="_Toc95223467"/>
      <w:bookmarkStart w:id="847" w:name="_Toc351203638"/>
      <w:r>
        <w:rPr>
          <w:rFonts w:hint="eastAsia" w:ascii="宋体" w:hAnsi="宋体" w:cs="宋体"/>
          <w:bCs/>
          <w:color w:val="auto"/>
          <w:sz w:val="24"/>
          <w:highlight w:val="none"/>
        </w:rPr>
        <w:t>6. 安全文明施工与环境保护</w:t>
      </w:r>
      <w:bookmarkEnd w:id="846"/>
      <w:bookmarkEnd w:id="847"/>
    </w:p>
    <w:p w14:paraId="52A89478">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6.1 安全文明施工</w:t>
      </w:r>
    </w:p>
    <w:p w14:paraId="02ED50DA">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s="宋体"/>
          <w:color w:val="auto"/>
          <w:highlight w:val="none"/>
        </w:rPr>
        <w:t>6.1.1 项目安全生产的达标目标及相应事项的约定：</w:t>
      </w:r>
      <w:r>
        <w:rPr>
          <w:rFonts w:hint="eastAsia" w:ascii="宋体" w:hAnsi="宋体" w:eastAsia="宋体" w:cs="宋体"/>
          <w:color w:val="auto"/>
          <w:szCs w:val="21"/>
          <w:highlight w:val="none"/>
          <w:u w:val="single"/>
          <w:lang w:val="en-US" w:eastAsia="zh-CN"/>
        </w:rPr>
        <w:t>承包人应严格遵守安全文明施工有关规定，注意高压电线、电缆、管线、设备、灯具等可能带来施工安全隐患的问题，并承担由此可能产生的费用。有关现场安全文明的要求详见《安全施工与文明现场协议书》及“技术标准和要求”，缺项部分参照通用条款。安全防护文明施工措施费已包含在合同价款中，承包人应自行承担该费用。</w:t>
      </w:r>
    </w:p>
    <w:p w14:paraId="1522C9E1">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施工安全要求</w:t>
      </w:r>
    </w:p>
    <w:p w14:paraId="4EE835FC">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承包人报请监理工程师和发包人审批的施工组织设计中应有安全施工方案，要有安全施工管理系统，配备足够的安全管理人员，将施工安全落到实处。</w:t>
      </w:r>
    </w:p>
    <w:p w14:paraId="2BF6867F">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承包人应严格遵守现行工程建设法律、法规及国家、地区安全生产规程、规定。</w:t>
      </w:r>
    </w:p>
    <w:p w14:paraId="38A28E68">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严格按照安全标准组织施工，并随时接受行业安全检查人员依法实施的监督检查，并采取必要的安全防护措施，消除事故隐患。由于承包人安全措施不力造成的责任和因此发生的费用，由承包人承担。</w:t>
      </w:r>
    </w:p>
    <w:p w14:paraId="152C1A8B">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若监理工程师认为承包人在现场施工中存在一定的安全隐患，有可能威胁到现场人员的生命安全和发包人利益，有权要求承包人采取必要的措施和增加必要的设施以杜绝安全隐患。采取措施的相关费用应由承包人承担。</w:t>
      </w:r>
    </w:p>
    <w:p w14:paraId="4D9B8F65">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承包人应在施工现场悬挂必须的安全标志，以引起现场的人员对安全隐患的注意。承包人应对非承包人的人员进入现场进行必要的安全指导和宣传。</w:t>
      </w:r>
    </w:p>
    <w:p w14:paraId="4BB5A09B">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承包人所有雇员和代表都应穿戴整齐，行为文明。要佩戴由承包人提供的工作证，工作证应表明姓名、职务。身份及编号，在现场期间应一直佩戴胸前。承包人的所有机械及设备都应醒目地标注承包人的名称及编号。</w:t>
      </w:r>
    </w:p>
    <w:p w14:paraId="17F3695D">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节假日滁州市及中新苏滁高新区重大活动期间以及发包人需要的时间段内，可能对施工作出某些限制和配合要求，承包人应按照要求作出必要的配合，并承担有可能因此而引起的工效降低及相应的配合费用。</w:t>
      </w:r>
    </w:p>
    <w:p w14:paraId="7E0C95A0">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如安全生产事故系因承包人（包含其员工、代理人、分包商及其他一切关联方）的原因所引起的，则承包人应承担由此引起的一切法律责任及经济损失，发包人有权在承包人工程款中直接等额扣除相应损失金额，同时承包人还应按每个事故向发包人支付人民币3-50万元的违约金（具体金额由发包人按以下标准在相应幅度内确定后一并在工程款中予以扣除，事故被发包人公司层面通报的为3－10万；事故被中新苏滁高新区职能部门通报的为10－20万；事故被市级职能部门通报的为20－30万；事故被市级以上职能部门通报的为40－50万）以作为给发包人带来不便和增加工作的补偿，这不包括有关当局由于上述事故而规定的任何罚金或采取措施的费用。如发包人因此产生对第三方赔偿、补偿等负担义务的，由承包人负责承担。</w:t>
      </w:r>
    </w:p>
    <w:p w14:paraId="12F83747">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eastAsia="宋体" w:cs="宋体"/>
          <w:color w:val="auto"/>
          <w:szCs w:val="21"/>
          <w:highlight w:val="none"/>
          <w:u w:val="single"/>
          <w:lang w:val="en-US" w:eastAsia="zh-CN"/>
        </w:rPr>
        <w:t>如发生的安全生产事故导致人员伤亡或经济损失在10万元以上的，则发包人有权解除与承包人的合同，承包人应承担由此引起的一切法律责任及经济损失。</w:t>
      </w:r>
    </w:p>
    <w:p w14:paraId="7B81983E">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6.1.4 关于治安保卫的特别约定：</w:t>
      </w:r>
      <w:r>
        <w:rPr>
          <w:rFonts w:hint="eastAsia" w:ascii="宋体" w:hAnsi="宋体" w:eastAsia="宋体" w:cs="宋体"/>
          <w:color w:val="auto"/>
          <w:szCs w:val="21"/>
          <w:highlight w:val="none"/>
          <w:u w:val="single"/>
          <w:lang w:val="en-US" w:eastAsia="zh-CN"/>
        </w:rPr>
        <w:t>承包人应保证在整个合同履行过程中不发生民事或刑事案件，并承担施工安全保卫工作及非夜间施工照明的责任和要求：在实施和完成本工程过程中，承包人应充分关注和保障所有在场人员的安全，承包人对安全防护工作负全责（包括但不限于责任和费用），并禁止非施工人员、车辆进入现场。为保护本工程免遭损坏，或为现场附近和过往人群的安全与方便，在确有必要的时候和地方，或当监理工程师或有关主管部门要求时，承包人应自费提供照明、警卫、护栅、警告标志等安全防护措施。所有安全事故及责任，由承包人承担。如承包人未履行上述约定及通用条款相关义务造成工程、财产和人身伤害，由承包人承担责任，赔偿损失及支付发生的费用。</w:t>
      </w:r>
    </w:p>
    <w:p w14:paraId="15D80394">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s="宋体"/>
          <w:color w:val="auto"/>
          <w:highlight w:val="none"/>
        </w:rPr>
        <w:t>关于编制施工场地治安管理计划的约定：</w:t>
      </w:r>
      <w:r>
        <w:rPr>
          <w:rFonts w:hint="eastAsia" w:ascii="宋体" w:hAnsi="宋体" w:eastAsia="宋体" w:cs="宋体"/>
          <w:color w:val="auto"/>
          <w:szCs w:val="21"/>
          <w:highlight w:val="none"/>
          <w:u w:val="single"/>
          <w:lang w:val="en-US" w:eastAsia="zh-CN"/>
        </w:rPr>
        <w:t>承包人应在合同签订10个日历天内编制施工场地治安管理计划，并制定应对突发治安事件的紧急预案上报发包人。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14:paraId="7787B93C">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门禁管理要求：</w:t>
      </w:r>
    </w:p>
    <w:p w14:paraId="160D3AAF">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为进一步加强建设工程施工现场作业人员的动态管理，更好地落实施工现场作业人员的教育、管理和服务各项工作，防范民工工资纠纷，维护民工权益和社会稳定，促进工程质量、安全管理水平的提高和建设行业的科学发展。</w:t>
      </w:r>
    </w:p>
    <w:p w14:paraId="06A2E052">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通过在工地大门口设置门禁系统，对施工现场进行封闭管理（人脸识别通过确认后大门将自动打开，反之则无法进入工地现场），并将统计人员数据信息投影至显示屏上。</w:t>
      </w:r>
    </w:p>
    <w:p w14:paraId="01D116E9">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eastAsia="宋体" w:cs="宋体"/>
          <w:color w:val="auto"/>
          <w:szCs w:val="21"/>
          <w:highlight w:val="none"/>
          <w:u w:val="single"/>
          <w:lang w:val="en-US" w:eastAsia="zh-CN"/>
        </w:rPr>
        <w:t>通过以人脸识别方式来强化管理工地现场务工人员和管理人员的出入和考勤，总包单位管理者能实时掌握现场实际人数以及人员进出和出勤情况。将解决项目上人员数量不明、信息不清的状况，提升工地的安全秩序和工作质量。</w:t>
      </w:r>
      <w:r>
        <w:rPr>
          <w:rFonts w:hint="eastAsia" w:ascii="宋体" w:hAnsi="宋体" w:eastAsia="宋体" w:cs="宋体"/>
          <w:color w:val="auto"/>
          <w:szCs w:val="21"/>
          <w:highlight w:val="none"/>
          <w:u w:val="single"/>
          <w:lang w:val="en-US" w:eastAsia="zh-CN"/>
        </w:rPr>
        <w:br w:type="textWrapping"/>
      </w:r>
      <w:r>
        <w:rPr>
          <w:rFonts w:hint="eastAsia" w:ascii="宋体" w:hAnsi="宋体" w:eastAsia="宋体" w:cs="宋体"/>
          <w:color w:val="auto"/>
          <w:szCs w:val="21"/>
          <w:highlight w:val="none"/>
          <w:u w:val="single"/>
          <w:lang w:val="en-US" w:eastAsia="zh-CN"/>
        </w:rPr>
        <w:t xml:space="preserve">    做到自动统计、分组汇总，信息反馈及时准确。对施工现场人员的进出有效管理。</w:t>
      </w:r>
      <w:r>
        <w:rPr>
          <w:rFonts w:hint="eastAsia" w:ascii="宋体" w:hAnsi="宋体" w:eastAsia="宋体" w:cs="宋体"/>
          <w:color w:val="auto"/>
          <w:szCs w:val="21"/>
          <w:highlight w:val="none"/>
          <w:u w:val="single"/>
          <w:lang w:val="en-US" w:eastAsia="zh-CN"/>
        </w:rPr>
        <w:br w:type="textWrapping"/>
      </w:r>
      <w:r>
        <w:rPr>
          <w:rFonts w:hint="eastAsia" w:ascii="宋体" w:hAnsi="宋体" w:eastAsia="宋体" w:cs="宋体"/>
          <w:color w:val="auto"/>
          <w:szCs w:val="21"/>
          <w:highlight w:val="none"/>
          <w:u w:val="single"/>
          <w:lang w:val="en-US" w:eastAsia="zh-CN"/>
        </w:rPr>
        <w:t xml:space="preserve">    考勤数据准确统计，可生成从分包班组到务工人员的各种考勤数据统计报表，可以帮助企业进一步进行人力成本分析、分包投入分析、工程效率等分析。而数据的有效保存也可有效防范和处理各种劳资纠纷事件。</w:t>
      </w:r>
      <w:r>
        <w:rPr>
          <w:rFonts w:hint="eastAsia" w:ascii="宋体" w:hAnsi="宋体" w:eastAsia="宋体" w:cs="宋体"/>
          <w:color w:val="auto"/>
          <w:szCs w:val="21"/>
          <w:highlight w:val="none"/>
          <w:u w:val="single"/>
          <w:lang w:val="en-US" w:eastAsia="zh-CN"/>
        </w:rPr>
        <w:br w:type="textWrapping"/>
      </w:r>
      <w:r>
        <w:rPr>
          <w:rFonts w:hint="eastAsia" w:ascii="宋体" w:hAnsi="宋体" w:eastAsia="宋体" w:cs="宋体"/>
          <w:color w:val="auto"/>
          <w:szCs w:val="21"/>
          <w:highlight w:val="none"/>
          <w:u w:val="single"/>
          <w:lang w:val="en-US" w:eastAsia="zh-CN"/>
        </w:rPr>
        <w:t xml:space="preserve">    通过各系统模块配合，综合分析数据，可提高项目管理的准确性、提升可信度和管理效果。</w:t>
      </w:r>
      <w:r>
        <w:rPr>
          <w:rFonts w:hint="eastAsia" w:ascii="宋体" w:hAnsi="宋体" w:eastAsia="宋体" w:cs="宋体"/>
          <w:color w:val="auto"/>
          <w:szCs w:val="21"/>
          <w:highlight w:val="none"/>
          <w:u w:val="single"/>
          <w:lang w:val="en-US" w:eastAsia="zh-CN"/>
        </w:rPr>
        <w:br w:type="textWrapping"/>
      </w:r>
      <w:r>
        <w:rPr>
          <w:rFonts w:hint="eastAsia" w:ascii="宋体" w:hAnsi="宋体" w:eastAsia="宋体" w:cs="宋体"/>
          <w:color w:val="auto"/>
          <w:szCs w:val="21"/>
          <w:highlight w:val="none"/>
          <w:u w:val="single"/>
          <w:lang w:val="en-US" w:eastAsia="zh-CN"/>
        </w:rPr>
        <w:t xml:space="preserve">    系统各类汇总数据信息有可保留、互关联、可查询的特点，可以帮助总包对分包队伍效率、人员队伍状况等各项关心点的项目进行数据分析和预警控制工作。</w:t>
      </w:r>
      <w:r>
        <w:rPr>
          <w:rFonts w:hint="eastAsia" w:ascii="宋体" w:hAnsi="宋体" w:eastAsia="宋体" w:cs="宋体"/>
          <w:color w:val="auto"/>
          <w:szCs w:val="21"/>
          <w:highlight w:val="none"/>
          <w:u w:val="single"/>
          <w:lang w:val="en-US" w:eastAsia="zh-CN"/>
        </w:rPr>
        <w:br w:type="textWrapping"/>
      </w:r>
      <w:r>
        <w:rPr>
          <w:rFonts w:hint="eastAsia" w:ascii="宋体" w:hAnsi="宋体" w:eastAsia="宋体" w:cs="宋体"/>
          <w:color w:val="auto"/>
          <w:szCs w:val="21"/>
          <w:highlight w:val="none"/>
          <w:u w:val="single"/>
          <w:lang w:val="en-US" w:eastAsia="zh-CN"/>
        </w:rPr>
        <w:t xml:space="preserve">    通过对务工人员全面管理和真实数据的存档，可以有效的缓解目前传统管理模式中的各方矛盾冲突，对构筑和谐社会、确保项目稳定安全十分有利 。</w:t>
      </w:r>
    </w:p>
    <w:p w14:paraId="54D303E0">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6.1.5 文明施工</w:t>
      </w:r>
    </w:p>
    <w:p w14:paraId="5B23979A">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合同当事人对文明施工的要求：</w:t>
      </w:r>
      <w:r>
        <w:rPr>
          <w:rFonts w:hint="eastAsia" w:ascii="宋体" w:hAnsi="宋体" w:eastAsia="宋体" w:cs="宋体"/>
          <w:color w:val="auto"/>
          <w:szCs w:val="21"/>
          <w:highlight w:val="none"/>
          <w:u w:val="single"/>
          <w:lang w:val="en-US" w:eastAsia="zh-CN"/>
        </w:rPr>
        <w:t>承包人必须根据滁州当地政府管理机构及发包人的要求进行安全文明施工并交纳有关费用</w:t>
      </w:r>
      <w:r>
        <w:rPr>
          <w:rFonts w:hint="eastAsia" w:ascii="宋体" w:hAnsi="宋体" w:cs="宋体"/>
          <w:color w:val="auto"/>
          <w:highlight w:val="none"/>
        </w:rPr>
        <w:t>。</w:t>
      </w:r>
    </w:p>
    <w:p w14:paraId="5075DB63">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s="宋体"/>
          <w:color w:val="auto"/>
          <w:highlight w:val="none"/>
        </w:rPr>
        <w:t>6.1.6 关于安全文明施工费支付比例和支付期限的约定：</w:t>
      </w:r>
      <w:r>
        <w:rPr>
          <w:rFonts w:hint="eastAsia" w:ascii="宋体" w:hAnsi="宋体" w:eastAsia="宋体" w:cs="宋体"/>
          <w:color w:val="auto"/>
          <w:szCs w:val="21"/>
          <w:highlight w:val="none"/>
          <w:u w:val="single"/>
          <w:lang w:val="en-US" w:eastAsia="zh-CN"/>
        </w:rPr>
        <w:t>与工程款同期同比例支付。施工单位须按滁州市相关规定及监理单位、建设单位、安监站要求做好现场安全文明措施，提供安全文明投入的相关凭证。</w:t>
      </w:r>
    </w:p>
    <w:p w14:paraId="65CF33BF">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发生安全事故，承包人应按照有关规定立即上报有关部门并通知工程师，同时按照政府有关要求处理，由事故责任方承担发生的费用。发包人根据事故的分类对承包人进行处以违约：（1）特别重大事故，发包人对承包人处以50万元  的人民币违约金；（2）重大事故，发包人对承包人处以 30万元  的人民币违约金；（3）较大事故，发包人对承包人处以 20万元  的人民币违约金；（4）一般事故，发包人对承包人处以 10万元的人民币违约金；并承担因施工安全事故给本工程建设单位、项目管理单位和监理人带来的经济损失。</w:t>
      </w:r>
    </w:p>
    <w:p w14:paraId="1F4BF938">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发生质量事故，承包人应按照有关规定立即上报有关部门并通知工程师，同时按照政府有关要求处理，由事故责任方承担发生的费用。发包人根据事故的分类对承包人进行处以违约：（1）特别重大质量事故，发包人对承包人处以 50万元 的人民币违约金；（2）重大质量事故，发包人对承包人处以 30万元 的人民币违约金；（3）严重质量事故，发包人对承包人处以 20万元 的人民币违约金；（4）一般质量事故，发包人对承包人处以 10万元 的人民币违约金；并承担因施工质量事故给本工程建设单位、项目管理单位和监理人带来的经济损失。</w:t>
      </w:r>
    </w:p>
    <w:p w14:paraId="6F6A83B8">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承包方自行解决进场道路绿化开口协调及费用，所需费用已包含在投标综合单价中，不另计。</w:t>
      </w:r>
    </w:p>
    <w:bookmarkEnd w:id="839"/>
    <w:bookmarkEnd w:id="840"/>
    <w:bookmarkEnd w:id="841"/>
    <w:bookmarkEnd w:id="842"/>
    <w:bookmarkEnd w:id="843"/>
    <w:bookmarkEnd w:id="844"/>
    <w:bookmarkEnd w:id="845"/>
    <w:p w14:paraId="3C5DCB93">
      <w:pPr>
        <w:adjustRightInd w:val="0"/>
        <w:snapToGrid w:val="0"/>
        <w:spacing w:line="384" w:lineRule="auto"/>
        <w:rPr>
          <w:rFonts w:hint="eastAsia" w:ascii="宋体" w:hAnsi="宋体" w:cs="宋体"/>
          <w:bCs/>
          <w:color w:val="auto"/>
          <w:sz w:val="24"/>
          <w:highlight w:val="none"/>
        </w:rPr>
      </w:pPr>
      <w:bookmarkStart w:id="848" w:name="_Toc351203639"/>
      <w:bookmarkStart w:id="849" w:name="_Toc95223468"/>
      <w:r>
        <w:rPr>
          <w:rFonts w:hint="eastAsia" w:ascii="宋体" w:hAnsi="宋体" w:cs="宋体"/>
          <w:bCs/>
          <w:color w:val="auto"/>
          <w:sz w:val="24"/>
          <w:highlight w:val="none"/>
        </w:rPr>
        <w:t>7. 工期和进度</w:t>
      </w:r>
      <w:bookmarkEnd w:id="848"/>
      <w:bookmarkEnd w:id="849"/>
    </w:p>
    <w:p w14:paraId="683D543E">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7.1 施工组织设计</w:t>
      </w:r>
    </w:p>
    <w:p w14:paraId="1E01A316">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7.1.1 合</w:t>
      </w:r>
      <w:r>
        <w:rPr>
          <w:rFonts w:hint="eastAsia" w:ascii="宋体" w:hAnsi="宋体" w:cs="宋体"/>
          <w:color w:val="auto"/>
          <w:kern w:val="0"/>
          <w:highlight w:val="none"/>
        </w:rPr>
        <w:t>同当事人约定的施工组织设计应包括的其他内容：</w:t>
      </w:r>
      <w:r>
        <w:rPr>
          <w:rFonts w:hint="eastAsia" w:ascii="宋体" w:hAnsi="宋体" w:eastAsia="宋体" w:cs="宋体"/>
          <w:color w:val="auto"/>
          <w:szCs w:val="21"/>
          <w:highlight w:val="none"/>
          <w:u w:val="single"/>
          <w:lang w:val="en-US" w:eastAsia="zh-CN"/>
        </w:rPr>
        <w:t>本工程需编制每月施工进度计划，经监理、发包人审批后作为进度款支付和考核进度完成的指标</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791AC99E">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highlight w:val="none"/>
        </w:rPr>
        <w:t xml:space="preserve">7.1.2 </w:t>
      </w:r>
      <w:r>
        <w:rPr>
          <w:rFonts w:hint="eastAsia" w:ascii="宋体" w:hAnsi="宋体" w:cs="宋体"/>
          <w:color w:val="auto"/>
          <w:kern w:val="0"/>
          <w:highlight w:val="none"/>
        </w:rPr>
        <w:t>施工组织设计的提交和修改</w:t>
      </w:r>
    </w:p>
    <w:p w14:paraId="2C696547">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kern w:val="0"/>
          <w:highlight w:val="none"/>
        </w:rPr>
        <w:t>承包人提交详细施工组织设计的期限的约定：</w:t>
      </w:r>
      <w:r>
        <w:rPr>
          <w:rFonts w:hint="eastAsia" w:ascii="宋体" w:hAnsi="宋体" w:eastAsia="宋体" w:cs="宋体"/>
          <w:color w:val="auto"/>
          <w:szCs w:val="21"/>
          <w:highlight w:val="none"/>
          <w:u w:val="single"/>
          <w:lang w:val="en-US" w:eastAsia="zh-CN"/>
        </w:rPr>
        <w:t>图纸会审及设计交底后一周内提供标后施工组织设计。承包人不按时送审符合要求的上述资料，造成监理人无法判断工程进展顺利与否的，发包人有权要求承包人支付1万元/次的违约金，并有权拒付相应部分工程进度款，由承包人承担相关责任 。</w:t>
      </w:r>
      <w:r>
        <w:rPr>
          <w:rFonts w:hint="eastAsia" w:ascii="宋体" w:hAnsi="宋体" w:cs="宋体"/>
          <w:color w:val="auto"/>
          <w:szCs w:val="21"/>
          <w:highlight w:val="none"/>
          <w:u w:val="single"/>
        </w:rPr>
        <w:t xml:space="preserve"> </w:t>
      </w:r>
    </w:p>
    <w:p w14:paraId="76994709">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发包人和监理人在收到详细的施工组织设计后确认或提出修改意见的期限：</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发包人代表和监理工程师应于收到承包人资料一周内予以确认，逾期不批复，可视为该施工组织设计（施工方案）和进度计划已经批准</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35893F49">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7</w:t>
      </w:r>
      <w:bookmarkStart w:id="850" w:name="_Toc297123514"/>
      <w:bookmarkStart w:id="851" w:name="_Toc303539123"/>
      <w:bookmarkStart w:id="852" w:name="_Toc312678005"/>
      <w:bookmarkStart w:id="853" w:name="_Toc312677479"/>
      <w:bookmarkStart w:id="854" w:name="_Toc297216173"/>
      <w:bookmarkStart w:id="855" w:name="_Toc300934966"/>
      <w:bookmarkStart w:id="856" w:name="_Toc304295541"/>
      <w:r>
        <w:rPr>
          <w:rFonts w:hint="eastAsia" w:ascii="宋体" w:hAnsi="宋体" w:cs="宋体"/>
          <w:bCs/>
          <w:color w:val="auto"/>
          <w:szCs w:val="28"/>
          <w:highlight w:val="none"/>
        </w:rPr>
        <w:t>.2 施工进度计划</w:t>
      </w:r>
    </w:p>
    <w:p w14:paraId="2BE5C068">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7.2.2 施工进度计划的修订</w:t>
      </w:r>
    </w:p>
    <w:p w14:paraId="33133E09">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发包人和监理人在收到修订的施工进度计划后确认或提出修改意见的期限：</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发包人代表和监理工程师应于收到承包人资料一周内予以确认，逾期不批复，可视为该施工组织设计（施工方案）已经批准。承包人必须按照批准的进度计划组织施工，接受发包人代表对进度的检查、监督。工程实际进展与进度计划不符时，承包人应立即修改进度计划和采取赶工措施，调整后的进度计划及相应的措施报告上报监理、发包人代表批准后执行。</w:t>
      </w:r>
      <w:r>
        <w:rPr>
          <w:rFonts w:hint="eastAsia" w:ascii="宋体" w:hAnsi="宋体" w:cs="宋体"/>
          <w:color w:val="auto"/>
          <w:szCs w:val="21"/>
          <w:highlight w:val="none"/>
          <w:u w:val="single"/>
        </w:rPr>
        <w:t xml:space="preserve"> </w:t>
      </w:r>
    </w:p>
    <w:p w14:paraId="7BB099DF">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7.3 开工</w:t>
      </w:r>
    </w:p>
    <w:p w14:paraId="5842AA1B">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7.3.1 开工准备</w:t>
      </w:r>
    </w:p>
    <w:p w14:paraId="40DBC81D">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关于承包人提交</w:t>
      </w:r>
      <w:r>
        <w:rPr>
          <w:rFonts w:hint="eastAsia" w:ascii="宋体" w:hAnsi="宋体" w:cs="宋体"/>
          <w:color w:val="auto"/>
          <w:kern w:val="0"/>
          <w:highlight w:val="none"/>
        </w:rPr>
        <w:t>工程开工报审表的期限：</w:t>
      </w:r>
      <w:r>
        <w:rPr>
          <w:rFonts w:hint="eastAsia" w:ascii="宋体" w:hAnsi="宋体" w:cs="宋体"/>
          <w:color w:val="auto"/>
          <w:szCs w:val="21"/>
          <w:highlight w:val="none"/>
          <w:u w:val="single"/>
        </w:rPr>
        <w:t xml:space="preserve"> </w:t>
      </w:r>
      <w:bookmarkStart w:id="857" w:name="EB79fd3e7ac25841a1bb24843e75c4a9cf"/>
      <w:r>
        <w:rPr>
          <w:rFonts w:hint="eastAsia" w:ascii="宋体" w:hAnsi="宋体" w:eastAsia="宋体" w:cs="宋体"/>
          <w:color w:val="auto"/>
          <w:szCs w:val="21"/>
          <w:highlight w:val="none"/>
          <w:u w:val="single"/>
          <w:lang w:val="en-US" w:eastAsia="zh-CN"/>
        </w:rPr>
        <w:t>收到中标通知书后 30天内</w:t>
      </w:r>
      <w:bookmarkEnd w:id="857"/>
      <w:r>
        <w:rPr>
          <w:rFonts w:hint="eastAsia" w:ascii="宋体" w:hAnsi="宋体" w:eastAsia="宋体" w:cs="宋体"/>
          <w:color w:val="auto"/>
          <w:szCs w:val="21"/>
          <w:highlight w:val="none"/>
          <w:u w:val="single"/>
          <w:lang w:val="en-US" w:eastAsia="zh-CN"/>
        </w:rPr>
        <w:t>，以书面形式向发包人提供开工报审表。开工报审表应详细说明按施工进度计划正常施工所需的施工道路、临时设施、材料、工程设备、施工设备、施工人员等落实情况以及工程的进度安排。</w:t>
      </w:r>
      <w:r>
        <w:rPr>
          <w:rFonts w:hint="eastAsia" w:ascii="宋体" w:hAnsi="宋体" w:cs="宋体"/>
          <w:color w:val="auto"/>
          <w:szCs w:val="21"/>
          <w:highlight w:val="none"/>
          <w:u w:val="single"/>
        </w:rPr>
        <w:t xml:space="preserve">  </w:t>
      </w:r>
    </w:p>
    <w:p w14:paraId="73249582">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关于发包人应完成的其他开工准备工作及期限：</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开工前</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05EA7F4C">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关于承包人应完成的其他开工准备工作及期限：</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开工前</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56C449C5">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7.3.2 开工通知</w:t>
      </w:r>
    </w:p>
    <w:p w14:paraId="20DE3FF2">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因发包人原因造成监理人未能在计划开工日期之日起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365</w:t>
      </w:r>
      <w:r>
        <w:rPr>
          <w:rFonts w:hint="eastAsia" w:ascii="宋体" w:hAnsi="宋体" w:cs="宋体"/>
          <w:color w:val="auto"/>
          <w:szCs w:val="21"/>
          <w:highlight w:val="none"/>
          <w:u w:val="single"/>
        </w:rPr>
        <w:t xml:space="preserve"> </w:t>
      </w:r>
      <w:r>
        <w:rPr>
          <w:rFonts w:hint="eastAsia" w:ascii="宋体" w:hAnsi="宋体" w:cs="宋体"/>
          <w:color w:val="auto"/>
          <w:highlight w:val="none"/>
        </w:rPr>
        <w:t>天内发出开工通知的，承包人有权提出价格调整要求，或者解除合同。</w:t>
      </w:r>
    </w:p>
    <w:bookmarkEnd w:id="850"/>
    <w:bookmarkEnd w:id="851"/>
    <w:bookmarkEnd w:id="852"/>
    <w:bookmarkEnd w:id="853"/>
    <w:bookmarkEnd w:id="854"/>
    <w:bookmarkEnd w:id="855"/>
    <w:bookmarkEnd w:id="856"/>
    <w:p w14:paraId="64CE2DD2">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7.4 测量放线</w:t>
      </w:r>
    </w:p>
    <w:p w14:paraId="396F4536">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s="宋体"/>
          <w:color w:val="auto"/>
          <w:highlight w:val="none"/>
        </w:rPr>
        <w:t>7.4.1 发包人通过监理人向承包人提供测量基准点、基准线和水准点及其书面资料的期限：</w:t>
      </w:r>
      <w:r>
        <w:rPr>
          <w:rFonts w:hint="eastAsia" w:ascii="宋体" w:hAnsi="宋体" w:cs="宋体"/>
          <w:color w:val="auto"/>
          <w:szCs w:val="21"/>
          <w:highlight w:val="none"/>
          <w:u w:val="single"/>
        </w:rPr>
        <w:t xml:space="preserve"> </w:t>
      </w:r>
      <w:bookmarkStart w:id="858" w:name="EBce06c504456746f28786ccb2e7cc12c8"/>
      <w:r>
        <w:rPr>
          <w:rFonts w:hint="eastAsia" w:ascii="宋体" w:hAnsi="宋体" w:eastAsia="宋体" w:cs="宋体"/>
          <w:color w:val="auto"/>
          <w:szCs w:val="21"/>
          <w:highlight w:val="none"/>
          <w:u w:val="single"/>
          <w:lang w:val="en-US" w:eastAsia="zh-CN"/>
        </w:rPr>
        <w:t>开工前提供</w:t>
      </w:r>
      <w:bookmarkEnd w:id="858"/>
      <w:r>
        <w:rPr>
          <w:rFonts w:hint="eastAsia" w:ascii="宋体" w:hAnsi="宋体" w:eastAsia="宋体" w:cs="宋体"/>
          <w:color w:val="auto"/>
          <w:szCs w:val="21"/>
          <w:highlight w:val="none"/>
          <w:u w:val="single"/>
          <w:lang w:val="en-US" w:eastAsia="zh-CN"/>
        </w:rPr>
        <w:t>水准点与坐标控制点，按施工图由发包人、承包人、监理现场交验，交验后，承包人应妥善保护场内水准点与控制点，任意破坏或遗失应由承包人负责恢复的费用。</w:t>
      </w:r>
    </w:p>
    <w:p w14:paraId="049A0C63">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①承包人应对发包人提供的测量控制点进行复核、验算、复测放样和完成全部测量数据计算等工作并报监理复核确认批准。</w:t>
      </w:r>
    </w:p>
    <w:p w14:paraId="717D6A52">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②承包人应进行放线测量，负责放线的准确性，并保护和保留所有的测量标志。标志的复测和重新定位应由承包人承担费用并且留设影像资料。</w:t>
      </w:r>
    </w:p>
    <w:p w14:paraId="095AB7CB">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③承包人负责保护和保存好工程范围内的全部控制网点、水准网点和自己布设的控制点，对测点的移动破坏负全责。</w:t>
      </w:r>
    </w:p>
    <w:p w14:paraId="56C2AB84">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eastAsia="宋体" w:cs="宋体"/>
          <w:color w:val="auto"/>
          <w:szCs w:val="21"/>
          <w:highlight w:val="none"/>
          <w:u w:val="single"/>
          <w:lang w:val="en-US" w:eastAsia="zh-CN"/>
        </w:rPr>
        <w:t>④发包人将不受理任何关于监理工程师或其他的代表未给予放线协助的投诉，一旦发现竣工的工程与设计不符，应认为是错误建造，则要求承包人拆毁并重新建造，或者由承包人对发包人作出由于错误建造工程而使其蒙受到损害的赔偿，监理工程师在此方面的决定应是最终的，而且是有约束力的。承包人应提供放线所需的仪器、用具和劳力。</w:t>
      </w:r>
    </w:p>
    <w:p w14:paraId="7D917865">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7</w:t>
      </w:r>
      <w:bookmarkStart w:id="859" w:name="_Toc297216175"/>
      <w:bookmarkStart w:id="860" w:name="_Toc303539125"/>
      <w:bookmarkStart w:id="861" w:name="_Toc312678010"/>
      <w:bookmarkStart w:id="862" w:name="_Toc297123516"/>
      <w:bookmarkStart w:id="863" w:name="_Toc300934968"/>
      <w:bookmarkStart w:id="864" w:name="_Toc304295546"/>
      <w:bookmarkStart w:id="865" w:name="_Toc312677484"/>
      <w:r>
        <w:rPr>
          <w:rFonts w:hint="eastAsia" w:ascii="宋体" w:hAnsi="宋体" w:cs="宋体"/>
          <w:bCs/>
          <w:color w:val="auto"/>
          <w:szCs w:val="28"/>
          <w:highlight w:val="none"/>
        </w:rPr>
        <w:t>.5 工期延误</w:t>
      </w:r>
    </w:p>
    <w:bookmarkEnd w:id="859"/>
    <w:bookmarkEnd w:id="860"/>
    <w:bookmarkEnd w:id="861"/>
    <w:bookmarkEnd w:id="862"/>
    <w:bookmarkEnd w:id="863"/>
    <w:bookmarkEnd w:id="864"/>
    <w:bookmarkEnd w:id="865"/>
    <w:p w14:paraId="3FF11DD4">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7.5.1 因发包人原因导致工期延误</w:t>
      </w:r>
    </w:p>
    <w:p w14:paraId="4DF2CE04">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（7）因发包人原因导致工期延误的其他情形：</w:t>
      </w:r>
      <w:r>
        <w:rPr>
          <w:rFonts w:hint="eastAsia" w:ascii="宋体" w:hAnsi="宋体" w:cs="宋体"/>
          <w:color w:val="auto"/>
          <w:highlight w:val="none"/>
          <w:u w:val="single"/>
        </w:rPr>
        <w:t xml:space="preserve"> </w:t>
      </w:r>
      <w:r>
        <w:rPr>
          <w:rFonts w:hint="eastAsia" w:ascii="宋体" w:hAnsi="宋体" w:eastAsia="宋体" w:cs="宋体"/>
          <w:color w:val="auto"/>
          <w:szCs w:val="21"/>
          <w:highlight w:val="none"/>
          <w:u w:val="single"/>
          <w:lang w:val="en-US" w:eastAsia="zh-CN"/>
        </w:rPr>
        <w:t>由于发包人的原因和非承包人的责任停工的，工期顺延</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6ECA4DE">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7</w:t>
      </w:r>
      <w:bookmarkStart w:id="866" w:name="_Toc318581169"/>
      <w:bookmarkStart w:id="867" w:name="_Toc312678012"/>
      <w:bookmarkStart w:id="868" w:name="_Toc312677486"/>
      <w:bookmarkStart w:id="869" w:name="_Toc304295548"/>
      <w:bookmarkStart w:id="870" w:name="_Toc297216177"/>
      <w:bookmarkStart w:id="871" w:name="_Toc300934970"/>
      <w:bookmarkStart w:id="872" w:name="_Toc297123518"/>
      <w:bookmarkStart w:id="873" w:name="_Toc303539127"/>
      <w:r>
        <w:rPr>
          <w:rFonts w:hint="eastAsia" w:ascii="宋体" w:hAnsi="宋体" w:cs="宋体"/>
          <w:color w:val="auto"/>
          <w:highlight w:val="none"/>
        </w:rPr>
        <w:t>.5.2 因承包人原因导致工期延误</w:t>
      </w:r>
    </w:p>
    <w:bookmarkEnd w:id="866"/>
    <w:bookmarkEnd w:id="867"/>
    <w:bookmarkEnd w:id="868"/>
    <w:p w14:paraId="23A307CB">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因</w:t>
      </w:r>
      <w:bookmarkStart w:id="874" w:name="_Toc312677487"/>
      <w:bookmarkStart w:id="875" w:name="_Toc312678013"/>
      <w:bookmarkStart w:id="876" w:name="_Toc318581170"/>
      <w:r>
        <w:rPr>
          <w:rFonts w:hint="eastAsia" w:ascii="宋体" w:hAnsi="宋体" w:cs="宋体"/>
          <w:color w:val="auto"/>
          <w:highlight w:val="none"/>
        </w:rPr>
        <w:t>承包人原因造成工期延误，逾期竣工违约金的计算方法为：</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1）因承包人原因造成合同工期延误，每延误一天，处以10000元/天违约金。月工程量未完成的当期不得请款，当月未完成的工程量纳入下月一并完成，完不成的仍不予请款，依次类推。（2）对连续3个月未完成月进度计划的，发包人约谈中标单位法定代表人，并要求更换项目经理，每次处以10万元违约金，由此所产生的赶工措施费用不予增加。经发包人多次督促，承包人拒不整改或整改不到位的，发包人可终止施工合同，同时处以中标合同金额×2%×50%的金额作为违约金，发包人另选的施工队伍进场施工，承包人须无条件配合（包括变更施工许可证、盖章等），不得以任何借口阻挠另选的施工队伍施工，不得向发包人提出任何索赔要求。</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bookmarkEnd w:id="869"/>
      <w:bookmarkEnd w:id="870"/>
      <w:bookmarkEnd w:id="871"/>
      <w:bookmarkEnd w:id="872"/>
      <w:bookmarkEnd w:id="873"/>
      <w:bookmarkEnd w:id="874"/>
      <w:bookmarkEnd w:id="875"/>
    </w:p>
    <w:bookmarkEnd w:id="876"/>
    <w:p w14:paraId="4917EA04">
      <w:pPr>
        <w:adjustRightInd w:val="0"/>
        <w:snapToGrid w:val="0"/>
        <w:spacing w:line="384" w:lineRule="auto"/>
        <w:ind w:firstLine="420" w:firstLineChars="200"/>
        <w:rPr>
          <w:rFonts w:hint="eastAsia" w:ascii="宋体" w:hAnsi="宋体" w:cs="宋体"/>
          <w:b/>
          <w:color w:val="auto"/>
          <w:highlight w:val="none"/>
          <w:u w:val="single"/>
        </w:rPr>
      </w:pPr>
      <w:r>
        <w:rPr>
          <w:rFonts w:hint="eastAsia" w:ascii="宋体" w:hAnsi="宋体" w:cs="宋体"/>
          <w:color w:val="auto"/>
          <w:highlight w:val="none"/>
        </w:rPr>
        <w:t>因承包人原因造成工期延误，逾</w:t>
      </w:r>
      <w:bookmarkStart w:id="877" w:name="_Toc318581171"/>
      <w:bookmarkStart w:id="878" w:name="_Toc312678014"/>
      <w:r>
        <w:rPr>
          <w:rFonts w:hint="eastAsia" w:ascii="宋体" w:hAnsi="宋体" w:cs="宋体"/>
          <w:color w:val="auto"/>
          <w:highlight w:val="none"/>
        </w:rPr>
        <w:t>期竣工违约金的上限：</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中标价*2%</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bookmarkEnd w:id="877"/>
    <w:bookmarkEnd w:id="878"/>
    <w:p w14:paraId="44987F1D">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7</w:t>
      </w:r>
      <w:bookmarkStart w:id="879" w:name="_Toc312678015"/>
      <w:bookmarkStart w:id="880" w:name="_Toc297123519"/>
      <w:bookmarkStart w:id="881" w:name="_Toc304295549"/>
      <w:bookmarkStart w:id="882" w:name="_Toc297216178"/>
      <w:bookmarkStart w:id="883" w:name="_Toc300934971"/>
      <w:bookmarkStart w:id="884" w:name="_Toc303539128"/>
      <w:r>
        <w:rPr>
          <w:rFonts w:hint="eastAsia" w:ascii="宋体" w:hAnsi="宋体" w:cs="宋体"/>
          <w:bCs/>
          <w:color w:val="auto"/>
          <w:szCs w:val="28"/>
          <w:highlight w:val="none"/>
        </w:rPr>
        <w:t>.6 不</w:t>
      </w:r>
      <w:bookmarkEnd w:id="879"/>
      <w:bookmarkEnd w:id="880"/>
      <w:bookmarkEnd w:id="881"/>
      <w:bookmarkEnd w:id="882"/>
      <w:bookmarkEnd w:id="883"/>
      <w:bookmarkEnd w:id="884"/>
      <w:r>
        <w:rPr>
          <w:rFonts w:hint="eastAsia" w:ascii="宋体" w:hAnsi="宋体" w:cs="宋体"/>
          <w:bCs/>
          <w:color w:val="auto"/>
          <w:szCs w:val="28"/>
          <w:highlight w:val="none"/>
        </w:rPr>
        <w:t>利物质条件</w:t>
      </w:r>
    </w:p>
    <w:p w14:paraId="3B319545">
      <w:pPr>
        <w:adjustRightInd w:val="0"/>
        <w:snapToGrid w:val="0"/>
        <w:spacing w:line="384" w:lineRule="auto"/>
        <w:ind w:firstLine="420" w:firstLineChars="200"/>
        <w:rPr>
          <w:rFonts w:hint="eastAsia" w:ascii="宋体" w:hAnsi="宋体" w:cs="宋体"/>
          <w:b/>
          <w:color w:val="auto"/>
          <w:highlight w:val="none"/>
          <w:u w:val="single"/>
        </w:rPr>
      </w:pPr>
      <w:bookmarkStart w:id="885" w:name="_Toc318581172"/>
      <w:bookmarkStart w:id="886" w:name="_Toc300934972"/>
      <w:bookmarkStart w:id="887" w:name="_Toc304295550"/>
      <w:bookmarkStart w:id="888" w:name="_Toc297216179"/>
      <w:bookmarkStart w:id="889" w:name="_Toc297123520"/>
      <w:bookmarkStart w:id="890" w:name="_Toc312678016"/>
      <w:bookmarkStart w:id="891" w:name="_Toc303539129"/>
      <w:r>
        <w:rPr>
          <w:rFonts w:hint="eastAsia" w:ascii="宋体" w:hAnsi="宋体" w:cs="宋体"/>
          <w:color w:val="auto"/>
          <w:highlight w:val="none"/>
        </w:rPr>
        <w:t>不利物质条件的其他情形和有关约定：</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执行通用条款</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bookmarkEnd w:id="885"/>
    <w:bookmarkEnd w:id="886"/>
    <w:bookmarkEnd w:id="887"/>
    <w:bookmarkEnd w:id="888"/>
    <w:bookmarkEnd w:id="889"/>
    <w:bookmarkEnd w:id="890"/>
    <w:bookmarkEnd w:id="891"/>
    <w:p w14:paraId="2D676448">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7</w:t>
      </w:r>
      <w:bookmarkStart w:id="892" w:name="_Toc297216180"/>
      <w:bookmarkStart w:id="893" w:name="_Toc297123521"/>
      <w:bookmarkStart w:id="894" w:name="_Toc312678017"/>
      <w:bookmarkStart w:id="895" w:name="_Toc303539130"/>
      <w:bookmarkStart w:id="896" w:name="_Toc300934973"/>
      <w:bookmarkStart w:id="897" w:name="_Toc304295551"/>
      <w:r>
        <w:rPr>
          <w:rFonts w:hint="eastAsia" w:ascii="宋体" w:hAnsi="宋体" w:cs="宋体"/>
          <w:bCs/>
          <w:color w:val="auto"/>
          <w:szCs w:val="28"/>
          <w:highlight w:val="none"/>
        </w:rPr>
        <w:t>.7 异常恶劣的气候条件</w:t>
      </w:r>
    </w:p>
    <w:bookmarkEnd w:id="892"/>
    <w:bookmarkEnd w:id="893"/>
    <w:bookmarkEnd w:id="894"/>
    <w:bookmarkEnd w:id="895"/>
    <w:bookmarkEnd w:id="896"/>
    <w:bookmarkEnd w:id="897"/>
    <w:p w14:paraId="23427F5A">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发包人和承包人同意以下情形视为异常恶劣的气候条件：</w:t>
      </w:r>
    </w:p>
    <w:p w14:paraId="6478BE23">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七</w:t>
      </w:r>
      <w:r>
        <w:rPr>
          <w:rFonts w:hint="eastAsia" w:ascii="宋体" w:hAnsi="宋体" w:eastAsia="宋体" w:cs="宋体"/>
          <w:color w:val="auto"/>
          <w:szCs w:val="21"/>
          <w:highlight w:val="none"/>
          <w:u w:val="single"/>
          <w:lang w:val="en-US" w:eastAsia="zh-CN"/>
        </w:rPr>
        <w:t>级以上（含七级）大风连续 8 小时</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0C013EA">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u w:val="single"/>
        </w:rPr>
        <w:t xml:space="preserve">  </w:t>
      </w:r>
      <w:r>
        <w:rPr>
          <w:rFonts w:hint="eastAsia" w:ascii="宋体" w:hAnsi="宋体" w:eastAsia="宋体" w:cs="宋体"/>
          <w:color w:val="auto"/>
          <w:szCs w:val="21"/>
          <w:highlight w:val="none"/>
          <w:u w:val="single"/>
          <w:lang w:val="en-US" w:eastAsia="zh-CN"/>
        </w:rPr>
        <w:t>日最高温度大于 40 摄氏度，日最低温度小于-4 摄氏度</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C750CE2">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hint="eastAsia" w:ascii="宋体" w:hAnsi="宋体" w:cs="宋体"/>
          <w:color w:val="auto"/>
          <w:highlight w:val="none"/>
          <w:u w:val="single"/>
        </w:rPr>
        <w:t xml:space="preserve">  </w:t>
      </w:r>
      <w:r>
        <w:rPr>
          <w:rFonts w:hint="eastAsia" w:ascii="宋体" w:hAnsi="宋体" w:eastAsia="宋体" w:cs="宋体"/>
          <w:color w:val="auto"/>
          <w:szCs w:val="21"/>
          <w:highlight w:val="none"/>
          <w:u w:val="single"/>
          <w:lang w:val="en-US" w:eastAsia="zh-CN"/>
        </w:rPr>
        <w:t>日（昼夜）平均积雪量超过 200mm 的恶劣天气影响</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58C422F">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7.9 提前竣工</w:t>
      </w:r>
    </w:p>
    <w:p w14:paraId="539CA011">
      <w:pPr>
        <w:adjustRightInd w:val="0"/>
        <w:snapToGrid w:val="0"/>
        <w:spacing w:line="384" w:lineRule="auto"/>
        <w:ind w:firstLine="420" w:firstLineChars="200"/>
        <w:rPr>
          <w:rFonts w:hint="eastAsia" w:ascii="宋体" w:hAnsi="宋体" w:cs="宋体"/>
          <w:color w:val="auto"/>
          <w:highlight w:val="yellow"/>
        </w:rPr>
      </w:pPr>
      <w:r>
        <w:rPr>
          <w:rFonts w:hint="eastAsia" w:ascii="宋体" w:hAnsi="宋体" w:cs="宋体"/>
          <w:color w:val="auto"/>
          <w:highlight w:val="none"/>
        </w:rPr>
        <w:t>7.9.2 提前竣工的奖励：</w:t>
      </w:r>
      <w:r>
        <w:rPr>
          <w:rFonts w:hint="eastAsia" w:ascii="宋体" w:hAnsi="宋体" w:cs="宋体"/>
          <w:color w:val="FF0000"/>
          <w:highlight w:val="none"/>
          <w:u w:val="single"/>
          <w:lang w:val="en-US" w:eastAsia="zh-CN"/>
        </w:rPr>
        <w:t>无</w:t>
      </w:r>
    </w:p>
    <w:p w14:paraId="6B7E7F8B">
      <w:pPr>
        <w:keepNext/>
        <w:keepLines/>
        <w:adjustRightInd w:val="0"/>
        <w:snapToGrid w:val="0"/>
        <w:spacing w:line="384" w:lineRule="auto"/>
        <w:jc w:val="left"/>
        <w:outlineLvl w:val="2"/>
        <w:rPr>
          <w:rFonts w:hint="eastAsia" w:ascii="宋体" w:hAnsi="宋体" w:cs="宋体"/>
          <w:bCs/>
          <w:color w:val="auto"/>
          <w:sz w:val="24"/>
          <w:highlight w:val="none"/>
        </w:rPr>
      </w:pPr>
      <w:bookmarkStart w:id="898" w:name="_Toc95223469"/>
      <w:bookmarkStart w:id="899" w:name="_Toc351203640"/>
      <w:r>
        <w:rPr>
          <w:rFonts w:hint="eastAsia" w:ascii="宋体" w:hAnsi="宋体" w:cs="宋体"/>
          <w:bCs/>
          <w:color w:val="auto"/>
          <w:sz w:val="24"/>
          <w:highlight w:val="none"/>
        </w:rPr>
        <w:t>8. 材料与设备</w:t>
      </w:r>
      <w:bookmarkEnd w:id="898"/>
      <w:bookmarkEnd w:id="899"/>
    </w:p>
    <w:bookmarkEnd w:id="829"/>
    <w:bookmarkEnd w:id="830"/>
    <w:bookmarkEnd w:id="831"/>
    <w:bookmarkEnd w:id="832"/>
    <w:bookmarkEnd w:id="833"/>
    <w:bookmarkEnd w:id="834"/>
    <w:bookmarkEnd w:id="835"/>
    <w:bookmarkEnd w:id="836"/>
    <w:bookmarkEnd w:id="837"/>
    <w:bookmarkEnd w:id="838"/>
    <w:p w14:paraId="37150CCE">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8</w:t>
      </w:r>
      <w:bookmarkStart w:id="900" w:name="_Toc297120467"/>
      <w:bookmarkStart w:id="901" w:name="_Toc292559372"/>
      <w:bookmarkStart w:id="902" w:name="_Toc312678019"/>
      <w:bookmarkStart w:id="903" w:name="_Toc297216186"/>
      <w:bookmarkStart w:id="904" w:name="_Toc296503167"/>
      <w:bookmarkStart w:id="905" w:name="_Toc312677493"/>
      <w:bookmarkStart w:id="906" w:name="_Toc296346668"/>
      <w:bookmarkStart w:id="907" w:name="_Toc304295556"/>
      <w:bookmarkStart w:id="908" w:name="_Toc296347166"/>
      <w:bookmarkStart w:id="909" w:name="_Toc297048353"/>
      <w:bookmarkStart w:id="910" w:name="_Toc296944506"/>
      <w:bookmarkStart w:id="911" w:name="_Toc297123527"/>
      <w:bookmarkStart w:id="912" w:name="_Toc296891207"/>
      <w:bookmarkStart w:id="913" w:name="_Toc296890995"/>
      <w:bookmarkStart w:id="914" w:name="_Toc292559877"/>
      <w:bookmarkStart w:id="915" w:name="_Toc303539136"/>
      <w:bookmarkStart w:id="916" w:name="_Toc280868654"/>
      <w:bookmarkStart w:id="917" w:name="_Toc300934979"/>
      <w:bookmarkStart w:id="918" w:name="_Toc280868655"/>
      <w:bookmarkStart w:id="919" w:name="_Toc267251424"/>
      <w:bookmarkStart w:id="920" w:name="_Toc280868656"/>
      <w:r>
        <w:rPr>
          <w:rFonts w:hint="eastAsia" w:ascii="宋体" w:hAnsi="宋体" w:cs="宋体"/>
          <w:color w:val="auto"/>
          <w:highlight w:val="none"/>
        </w:rPr>
        <w:t>.4 材料与工程设备的保管与使用</w:t>
      </w:r>
    </w:p>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14:paraId="6310C4D5">
      <w:pPr>
        <w:adjustRightInd w:val="0"/>
        <w:snapToGrid w:val="0"/>
        <w:spacing w:line="384" w:lineRule="auto"/>
        <w:ind w:firstLine="420" w:firstLineChars="200"/>
        <w:rPr>
          <w:rFonts w:hint="eastAsia" w:ascii="宋体" w:hAnsi="宋体" w:cs="宋体"/>
          <w:color w:val="auto"/>
          <w:highlight w:val="none"/>
          <w:u w:val="single"/>
          <w:lang w:val="en-US" w:eastAsia="zh-CN"/>
        </w:rPr>
      </w:pPr>
      <w:r>
        <w:rPr>
          <w:rFonts w:hint="eastAsia" w:ascii="宋体" w:hAnsi="宋体" w:cs="宋体"/>
          <w:color w:val="auto"/>
          <w:highlight w:val="none"/>
        </w:rPr>
        <w:t>8</w:t>
      </w:r>
      <w:bookmarkStart w:id="921" w:name="_Toc292559373"/>
      <w:bookmarkStart w:id="922" w:name="_Toc292559878"/>
      <w:bookmarkStart w:id="923" w:name="_Toc297216187"/>
      <w:bookmarkStart w:id="924" w:name="_Toc303539137"/>
      <w:bookmarkStart w:id="925" w:name="_Toc296347167"/>
      <w:bookmarkStart w:id="926" w:name="_Toc297048354"/>
      <w:bookmarkStart w:id="927" w:name="_Toc297123528"/>
      <w:bookmarkStart w:id="928" w:name="_Toc304295557"/>
      <w:bookmarkStart w:id="929" w:name="_Toc312677494"/>
      <w:bookmarkStart w:id="930" w:name="_Toc296944507"/>
      <w:bookmarkStart w:id="931" w:name="_Toc296346669"/>
      <w:bookmarkStart w:id="932" w:name="_Toc296890996"/>
      <w:bookmarkStart w:id="933" w:name="_Toc297120468"/>
      <w:bookmarkStart w:id="934" w:name="_Toc300934980"/>
      <w:bookmarkStart w:id="935" w:name="_Toc318581173"/>
      <w:bookmarkStart w:id="936" w:name="_Toc296891208"/>
      <w:bookmarkStart w:id="937" w:name="_Toc296503168"/>
      <w:bookmarkStart w:id="938" w:name="_Toc312678020"/>
      <w:r>
        <w:rPr>
          <w:rFonts w:hint="eastAsia" w:ascii="宋体" w:hAnsi="宋体" w:cs="宋体"/>
          <w:color w:val="auto"/>
          <w:highlight w:val="none"/>
        </w:rPr>
        <w:t>.4.1 发包人供应的材料设备的保管费用的承担：</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承包人承担。</w:t>
      </w:r>
    </w:p>
    <w:p w14:paraId="172720BA">
      <w:pPr>
        <w:adjustRightInd w:val="0"/>
        <w:snapToGrid w:val="0"/>
        <w:spacing w:line="384" w:lineRule="auto"/>
        <w:ind w:firstLine="420" w:firstLineChars="200"/>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u w:val="single"/>
          <w:lang w:val="en-US" w:eastAsia="zh-CN"/>
        </w:rPr>
        <w:t xml:space="preserve">双方约定承包人采购的材料设备必须符合有关规范、设计图纸规定的质量要求，且需经发包人和监理工程师验收合格后方可进场，但工程主体部分所需的混凝土必须按规定全部使用商品混凝土。如出现工程型号短缺，必须经发包人同意后才可采购。承包人所购材料质量不得低于招标最高投标限价中所给价格的材质，承包人在购买材料前需征得业主及监理方签字确认，方可购买并使用，否则不得进场使用。 </w:t>
      </w:r>
    </w:p>
    <w:p w14:paraId="32000434">
      <w:pPr>
        <w:adjustRightInd w:val="0"/>
        <w:snapToGrid w:val="0"/>
        <w:spacing w:line="384" w:lineRule="auto"/>
        <w:ind w:firstLine="420" w:firstLineChars="200"/>
        <w:rPr>
          <w:rFonts w:hint="eastAsia" w:ascii="宋体" w:hAnsi="宋体" w:eastAsia="宋体" w:cs="宋体"/>
          <w:color w:val="auto"/>
          <w:highlight w:val="none"/>
          <w:u w:val="single"/>
          <w:lang w:val="en-US" w:eastAsia="zh-CN"/>
        </w:rPr>
      </w:pPr>
      <w:r>
        <w:rPr>
          <w:rFonts w:hint="eastAsia" w:ascii="宋体" w:hAnsi="宋体" w:cs="宋体"/>
          <w:color w:val="auto"/>
          <w:highlight w:val="none"/>
          <w:u w:val="single"/>
          <w:lang w:val="en-US" w:eastAsia="zh-CN"/>
        </w:rPr>
        <w:t>承包人</w:t>
      </w:r>
      <w:r>
        <w:rPr>
          <w:rFonts w:hint="eastAsia" w:ascii="宋体" w:hAnsi="宋体" w:eastAsia="宋体" w:cs="宋体"/>
          <w:color w:val="auto"/>
          <w:highlight w:val="none"/>
          <w:u w:val="single"/>
          <w:lang w:val="en-US" w:eastAsia="zh-CN"/>
        </w:rPr>
        <w:t>须在采购施工的主要材料及设备前，提供不少于三个满足国家规范、图纸及招标文件要求的材料品牌，供发包人选择确定。若承包人提供给发包人选择的材料不满足国家规范、图纸及招标文件要求的，发包人不予认可，并处以该项材料</w:t>
      </w:r>
      <w:r>
        <w:rPr>
          <w:rFonts w:hint="eastAsia" w:ascii="宋体" w:hAnsi="宋体" w:cs="宋体"/>
          <w:color w:val="auto"/>
          <w:highlight w:val="none"/>
          <w:u w:val="single"/>
          <w:lang w:val="en-US" w:eastAsia="zh-CN"/>
        </w:rPr>
        <w:t>总价</w:t>
      </w:r>
      <w:r>
        <w:rPr>
          <w:rFonts w:hint="eastAsia" w:ascii="宋体" w:hAnsi="宋体" w:eastAsia="宋体" w:cs="宋体"/>
          <w:color w:val="auto"/>
          <w:highlight w:val="none"/>
          <w:u w:val="single"/>
          <w:lang w:val="en-US" w:eastAsia="zh-CN"/>
        </w:rPr>
        <w:t>的5%且不低于5万元作为违约金。</w:t>
      </w:r>
    </w:p>
    <w:p w14:paraId="07B66D9F">
      <w:pPr>
        <w:adjustRightInd w:val="0"/>
        <w:snapToGrid w:val="0"/>
        <w:spacing w:line="384" w:lineRule="auto"/>
        <w:ind w:firstLine="420" w:firstLineChars="200"/>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u w:val="single"/>
          <w:lang w:val="en-US" w:eastAsia="zh-CN"/>
        </w:rPr>
        <w:t>发包人有权随机抽取承包人提供的材料进行检测，若检测不合格，检测费用由承包人支付，不合格材料无条件退场并处以1万元/次违约金；二次抽检不合格，不合格材料无条件退场并处以5万元/次违约金并上报主管部门。</w:t>
      </w:r>
    </w:p>
    <w:p w14:paraId="3E6E50D8">
      <w:pPr>
        <w:adjustRightInd w:val="0"/>
        <w:snapToGrid w:val="0"/>
        <w:spacing w:line="384" w:lineRule="auto"/>
        <w:ind w:firstLine="420" w:firstLineChars="200"/>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u w:val="single"/>
          <w:lang w:val="en-US" w:eastAsia="zh-CN"/>
        </w:rPr>
        <w:t>本项目的主要材料（包含但不限于钢筋及混凝土）及设备采购前，中标人须编制采购清单经招标人确认后实施，否则不予进场使用，未经招标人同意擅自采购上述材料及设备的，处以50000元/次违约金，且采购的材料及设备不得用于本项目施工且须在规定时间内将其材料及设备进行清场处理，同时招标人有权单方解除合同，履约保证金不予退还，同时按照已完成合格工程量价款的70%进行结算。</w:t>
      </w:r>
    </w:p>
    <w:p w14:paraId="4CEEE8F3">
      <w:pPr>
        <w:adjustRightInd w:val="0"/>
        <w:snapToGrid w:val="0"/>
        <w:spacing w:line="384" w:lineRule="auto"/>
        <w:ind w:firstLine="420" w:firstLineChars="200"/>
        <w:rPr>
          <w:rFonts w:hint="eastAsia" w:ascii="宋体" w:hAnsi="宋体" w:eastAsia="宋体" w:cs="宋体"/>
          <w:color w:val="auto"/>
          <w:sz w:val="21"/>
          <w:szCs w:val="21"/>
          <w:highlight w:val="none"/>
          <w:u w:val="single"/>
          <w:lang w:val="en-US" w:eastAsia="zh-CN"/>
        </w:rPr>
      </w:pPr>
      <w:r>
        <w:rPr>
          <w:rFonts w:hint="eastAsia" w:ascii="宋体" w:hAnsi="宋体" w:cs="宋体"/>
          <w:color w:val="auto"/>
          <w:sz w:val="21"/>
          <w:szCs w:val="21"/>
          <w:highlight w:val="none"/>
          <w:u w:val="single"/>
          <w:lang w:val="en-US" w:eastAsia="zh-CN"/>
        </w:rPr>
        <w:t>承包人</w:t>
      </w:r>
      <w:r>
        <w:rPr>
          <w:rFonts w:hint="eastAsia" w:ascii="宋体" w:hAnsi="宋体" w:eastAsia="宋体" w:cs="宋体"/>
          <w:color w:val="auto"/>
          <w:sz w:val="21"/>
          <w:szCs w:val="21"/>
          <w:highlight w:val="none"/>
          <w:u w:val="single"/>
          <w:lang w:val="en-US" w:eastAsia="zh-CN"/>
        </w:rPr>
        <w:t>无条件配合</w:t>
      </w:r>
      <w:r>
        <w:rPr>
          <w:rFonts w:hint="eastAsia" w:ascii="宋体" w:hAnsi="宋体" w:cs="宋体"/>
          <w:color w:val="auto"/>
          <w:sz w:val="21"/>
          <w:szCs w:val="21"/>
          <w:highlight w:val="none"/>
          <w:u w:val="single"/>
          <w:lang w:val="en-US" w:eastAsia="zh-CN"/>
        </w:rPr>
        <w:t>发包人</w:t>
      </w:r>
      <w:r>
        <w:rPr>
          <w:rFonts w:hint="eastAsia" w:ascii="宋体" w:hAnsi="宋体" w:eastAsia="宋体" w:cs="宋体"/>
          <w:color w:val="auto"/>
          <w:sz w:val="21"/>
          <w:szCs w:val="21"/>
          <w:highlight w:val="none"/>
          <w:u w:val="single"/>
          <w:lang w:val="en-US" w:eastAsia="zh-CN"/>
        </w:rPr>
        <w:t>及相关单位开展供应链业务，否则</w:t>
      </w:r>
      <w:r>
        <w:rPr>
          <w:rFonts w:hint="eastAsia" w:ascii="宋体" w:hAnsi="宋体" w:cs="宋体"/>
          <w:color w:val="auto"/>
          <w:sz w:val="21"/>
          <w:szCs w:val="21"/>
          <w:highlight w:val="none"/>
          <w:u w:val="single"/>
          <w:lang w:val="en-US" w:eastAsia="zh-CN"/>
        </w:rPr>
        <w:t>发包人</w:t>
      </w:r>
      <w:r>
        <w:rPr>
          <w:rFonts w:hint="eastAsia" w:ascii="宋体" w:hAnsi="宋体" w:eastAsia="宋体" w:cs="宋体"/>
          <w:color w:val="auto"/>
          <w:sz w:val="21"/>
          <w:szCs w:val="21"/>
          <w:highlight w:val="none"/>
          <w:u w:val="single"/>
          <w:lang w:val="en-US" w:eastAsia="zh-CN"/>
        </w:rPr>
        <w:t>有权将项目所有材料另行采购同时处以合同价的1%作为违约金。</w:t>
      </w:r>
    </w:p>
    <w:bookmarkEnd w:id="921"/>
    <w:bookmarkEnd w:id="922"/>
    <w:p w14:paraId="52B49273">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8.6 样品</w:t>
      </w:r>
    </w:p>
    <w:p w14:paraId="5119CEC9">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8.6.1 样品的报送与封存</w:t>
      </w:r>
    </w:p>
    <w:p w14:paraId="406A3B60">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kern w:val="0"/>
          <w:highlight w:val="none"/>
        </w:rPr>
        <w:t>需要承包人报送样品的材料或工程设备，样品的种类、名称、规格、数量要求：</w:t>
      </w:r>
      <w:r>
        <w:rPr>
          <w:rFonts w:hint="eastAsia" w:ascii="宋体" w:hAnsi="宋体" w:cs="宋体"/>
          <w:color w:val="auto"/>
          <w:highlight w:val="none"/>
          <w:u w:val="single"/>
        </w:rPr>
        <w:t xml:space="preserve"> </w:t>
      </w:r>
      <w:r>
        <w:rPr>
          <w:rFonts w:hint="eastAsia" w:ascii="宋体" w:hAnsi="宋体" w:eastAsia="宋体" w:cs="宋体"/>
          <w:color w:val="auto"/>
          <w:highlight w:val="none"/>
          <w:u w:val="single"/>
          <w:lang w:val="en-US" w:eastAsia="zh-CN"/>
        </w:rPr>
        <w:t>按监理或发包人要求确定</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EE7C059">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8.8 施工设备和临时设施</w:t>
      </w:r>
    </w:p>
    <w:p w14:paraId="0B1B8B35">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8.8.1 承包人提供的施工设备和临时设施</w:t>
      </w:r>
    </w:p>
    <w:p w14:paraId="300CD89A">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关于修建临时设施费用承担的约定：</w:t>
      </w:r>
      <w:r>
        <w:rPr>
          <w:rFonts w:hint="eastAsia" w:ascii="宋体" w:hAnsi="宋体" w:cs="宋体"/>
          <w:color w:val="auto"/>
          <w:szCs w:val="21"/>
          <w:highlight w:val="none"/>
          <w:u w:val="single"/>
        </w:rPr>
        <w:t xml:space="preserve"> </w:t>
      </w:r>
      <w:r>
        <w:rPr>
          <w:rFonts w:hint="eastAsia" w:ascii="宋体" w:hAnsi="宋体" w:eastAsia="宋体" w:cs="宋体"/>
          <w:color w:val="auto"/>
          <w:highlight w:val="none"/>
          <w:u w:val="single"/>
          <w:lang w:val="en-US" w:eastAsia="zh-CN"/>
        </w:rPr>
        <w:t>由承包人自行承担费用</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14:paraId="7BF41286">
      <w:pPr>
        <w:keepNext/>
        <w:keepLines/>
        <w:adjustRightInd w:val="0"/>
        <w:snapToGrid w:val="0"/>
        <w:spacing w:line="384" w:lineRule="auto"/>
        <w:jc w:val="left"/>
        <w:outlineLvl w:val="2"/>
        <w:rPr>
          <w:rFonts w:hint="eastAsia" w:ascii="宋体" w:hAnsi="宋体" w:cs="宋体"/>
          <w:bCs/>
          <w:color w:val="auto"/>
          <w:sz w:val="24"/>
          <w:highlight w:val="none"/>
        </w:rPr>
      </w:pPr>
      <w:bookmarkStart w:id="939" w:name="_Toc95223470"/>
      <w:bookmarkStart w:id="940" w:name="_Toc351203641"/>
      <w:r>
        <w:rPr>
          <w:rFonts w:hint="eastAsia" w:ascii="宋体" w:hAnsi="宋体" w:cs="宋体"/>
          <w:bCs/>
          <w:color w:val="auto"/>
          <w:sz w:val="24"/>
          <w:highlight w:val="none"/>
        </w:rPr>
        <w:t>9</w:t>
      </w:r>
      <w:bookmarkEnd w:id="918"/>
      <w:bookmarkEnd w:id="919"/>
      <w:bookmarkEnd w:id="920"/>
      <w:bookmarkStart w:id="941" w:name="_Toc297216192"/>
      <w:bookmarkStart w:id="942" w:name="_Toc312677495"/>
      <w:bookmarkStart w:id="943" w:name="_Toc300934982"/>
      <w:bookmarkStart w:id="944" w:name="_Toc303539139"/>
      <w:bookmarkStart w:id="945" w:name="_Toc297123533"/>
      <w:bookmarkStart w:id="946" w:name="_Toc304295559"/>
      <w:bookmarkStart w:id="947" w:name="_Toc312678021"/>
      <w:bookmarkStart w:id="948" w:name="_Toc296347172"/>
      <w:bookmarkStart w:id="949" w:name="_Toc296891001"/>
      <w:bookmarkStart w:id="950" w:name="_Toc296891213"/>
      <w:bookmarkStart w:id="951" w:name="_Toc292559883"/>
      <w:bookmarkStart w:id="952" w:name="_Toc297048359"/>
      <w:bookmarkStart w:id="953" w:name="_Toc292559378"/>
      <w:bookmarkStart w:id="954" w:name="_Toc267251428"/>
      <w:bookmarkStart w:id="955" w:name="_Toc296346674"/>
      <w:bookmarkStart w:id="956" w:name="_Toc296944512"/>
      <w:bookmarkStart w:id="957" w:name="_Toc267251427"/>
      <w:bookmarkStart w:id="958" w:name="_Toc297120473"/>
      <w:bookmarkStart w:id="959" w:name="_Toc296503173"/>
      <w:r>
        <w:rPr>
          <w:rFonts w:hint="eastAsia" w:ascii="宋体" w:hAnsi="宋体" w:cs="宋体"/>
          <w:bCs/>
          <w:color w:val="auto"/>
          <w:sz w:val="24"/>
          <w:highlight w:val="none"/>
        </w:rPr>
        <w:t>. 试验与检验</w:t>
      </w:r>
      <w:bookmarkEnd w:id="939"/>
      <w:bookmarkEnd w:id="940"/>
    </w:p>
    <w:bookmarkEnd w:id="941"/>
    <w:bookmarkEnd w:id="942"/>
    <w:bookmarkEnd w:id="943"/>
    <w:bookmarkEnd w:id="944"/>
    <w:bookmarkEnd w:id="945"/>
    <w:bookmarkEnd w:id="946"/>
    <w:bookmarkEnd w:id="947"/>
    <w:p w14:paraId="745AA666">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9</w:t>
      </w:r>
      <w:bookmarkStart w:id="960" w:name="_Toc303539140"/>
      <w:bookmarkStart w:id="961" w:name="_Toc297216193"/>
      <w:bookmarkStart w:id="962" w:name="_Toc312678022"/>
      <w:bookmarkStart w:id="963" w:name="_Toc300934983"/>
      <w:bookmarkStart w:id="964" w:name="_Toc297123534"/>
      <w:bookmarkStart w:id="965" w:name="_Toc312677496"/>
      <w:bookmarkStart w:id="966" w:name="_Toc304295560"/>
      <w:r>
        <w:rPr>
          <w:rFonts w:hint="eastAsia" w:ascii="宋体" w:hAnsi="宋体" w:cs="宋体"/>
          <w:bCs/>
          <w:color w:val="auto"/>
          <w:szCs w:val="28"/>
          <w:highlight w:val="none"/>
        </w:rPr>
        <w:t>.1 试验设备与试验人员</w:t>
      </w:r>
    </w:p>
    <w:bookmarkEnd w:id="960"/>
    <w:bookmarkEnd w:id="961"/>
    <w:bookmarkEnd w:id="962"/>
    <w:bookmarkEnd w:id="963"/>
    <w:bookmarkEnd w:id="964"/>
    <w:bookmarkEnd w:id="965"/>
    <w:bookmarkEnd w:id="966"/>
    <w:p w14:paraId="47C6CCB4">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9</w:t>
      </w:r>
      <w:bookmarkStart w:id="967" w:name="_Toc312677497"/>
      <w:bookmarkStart w:id="968" w:name="_Toc312678023"/>
      <w:bookmarkStart w:id="969" w:name="_Toc297216194"/>
      <w:bookmarkStart w:id="970" w:name="_Toc297123535"/>
      <w:bookmarkStart w:id="971" w:name="_Toc303539141"/>
      <w:bookmarkStart w:id="972" w:name="_Toc300934984"/>
      <w:bookmarkStart w:id="973" w:name="_Toc304295561"/>
      <w:bookmarkStart w:id="974" w:name="_Toc318581174"/>
      <w:r>
        <w:rPr>
          <w:rFonts w:hint="eastAsia" w:ascii="宋体" w:hAnsi="宋体" w:cs="宋体"/>
          <w:color w:val="auto"/>
          <w:highlight w:val="none"/>
        </w:rPr>
        <w:t>.1.2 试验设备</w:t>
      </w:r>
    </w:p>
    <w:p w14:paraId="013AD9FB">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施工现场需要配置的试验场所</w:t>
      </w:r>
      <w:bookmarkEnd w:id="967"/>
      <w:bookmarkEnd w:id="968"/>
      <w:bookmarkEnd w:id="969"/>
      <w:bookmarkEnd w:id="970"/>
      <w:bookmarkEnd w:id="971"/>
      <w:bookmarkEnd w:id="972"/>
      <w:bookmarkEnd w:id="973"/>
      <w:bookmarkStart w:id="975" w:name="_Toc303539142"/>
      <w:bookmarkStart w:id="976" w:name="_Toc312677498"/>
      <w:bookmarkStart w:id="977" w:name="_Toc297216195"/>
      <w:bookmarkStart w:id="978" w:name="_Toc304295562"/>
      <w:bookmarkStart w:id="979" w:name="_Toc297123536"/>
      <w:bookmarkStart w:id="980" w:name="_Toc312678024"/>
      <w:bookmarkStart w:id="981" w:name="_Toc300934985"/>
      <w:r>
        <w:rPr>
          <w:rFonts w:hint="eastAsia" w:ascii="宋体" w:hAnsi="宋体" w:cs="宋体"/>
          <w:color w:val="auto"/>
          <w:highlight w:val="none"/>
        </w:rPr>
        <w:t>：</w:t>
      </w:r>
      <w:r>
        <w:rPr>
          <w:rFonts w:hint="eastAsia" w:ascii="宋体" w:hAnsi="宋体" w:cs="宋体"/>
          <w:color w:val="auto"/>
          <w:highlight w:val="none"/>
          <w:u w:val="single"/>
        </w:rPr>
        <w:t xml:space="preserve"> </w:t>
      </w:r>
      <w:r>
        <w:rPr>
          <w:rFonts w:hint="eastAsia" w:ascii="宋体" w:hAnsi="宋体" w:eastAsia="宋体" w:cs="宋体"/>
          <w:color w:val="auto"/>
          <w:highlight w:val="none"/>
          <w:u w:val="single"/>
          <w:lang w:val="en-US" w:eastAsia="zh-CN"/>
        </w:rPr>
        <w:t>按有关规定执行，承包人自行承担费用</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610F7A7E">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施工现场需要配备的试验设备：</w:t>
      </w:r>
      <w:r>
        <w:rPr>
          <w:rFonts w:hint="eastAsia" w:ascii="宋体" w:hAnsi="宋体" w:eastAsia="宋体" w:cs="宋体"/>
          <w:color w:val="auto"/>
          <w:highlight w:val="none"/>
          <w:u w:val="single"/>
          <w:lang w:val="en-US" w:eastAsia="zh-CN"/>
        </w:rPr>
        <w:t>按有关规定执行，承包人自行承担费用</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54301C0">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施工现场需要具备的其他试验条件：</w:t>
      </w:r>
      <w:r>
        <w:rPr>
          <w:rFonts w:hint="eastAsia" w:ascii="宋体" w:hAnsi="宋体" w:cs="宋体"/>
          <w:color w:val="auto"/>
          <w:highlight w:val="none"/>
          <w:u w:val="single"/>
        </w:rPr>
        <w:t xml:space="preserve"> </w:t>
      </w:r>
      <w:r>
        <w:rPr>
          <w:rFonts w:hint="eastAsia" w:ascii="宋体" w:hAnsi="宋体" w:eastAsia="宋体" w:cs="宋体"/>
          <w:color w:val="auto"/>
          <w:highlight w:val="none"/>
          <w:u w:val="single"/>
          <w:lang w:val="en-US" w:eastAsia="zh-CN"/>
        </w:rPr>
        <w:t>按有关规定执行，承包人自行承担费用</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43EAF0E">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 xml:space="preserve">9.4 现场工艺试验 </w:t>
      </w:r>
    </w:p>
    <w:p w14:paraId="23E17515">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现场工艺试验的有关约定：</w:t>
      </w:r>
      <w:r>
        <w:rPr>
          <w:rFonts w:hint="eastAsia" w:ascii="宋体" w:hAnsi="宋体" w:cs="宋体"/>
          <w:color w:val="auto"/>
          <w:highlight w:val="none"/>
          <w:u w:val="single"/>
        </w:rPr>
        <w:t xml:space="preserve"> </w:t>
      </w:r>
      <w:r>
        <w:rPr>
          <w:rFonts w:hint="eastAsia" w:ascii="宋体" w:hAnsi="宋体" w:eastAsia="宋体" w:cs="宋体"/>
          <w:color w:val="auto"/>
          <w:highlight w:val="none"/>
          <w:u w:val="single"/>
          <w:lang w:val="en-US" w:eastAsia="zh-CN"/>
        </w:rPr>
        <w:t>按有关规定执行，承包人自行承担费用</w:t>
      </w:r>
      <w:r>
        <w:rPr>
          <w:rFonts w:hint="eastAsia" w:ascii="宋体" w:hAnsi="宋体" w:cs="宋体"/>
          <w:color w:val="auto"/>
          <w:highlight w:val="none"/>
          <w:u w:val="single"/>
        </w:rPr>
        <w:t xml:space="preserve">  </w:t>
      </w:r>
      <w:r>
        <w:rPr>
          <w:rFonts w:hint="eastAsia" w:ascii="宋体" w:hAnsi="宋体" w:cs="宋体"/>
          <w:color w:val="auto"/>
          <w:highlight w:val="none"/>
        </w:rPr>
        <w:t>。</w:t>
      </w:r>
    </w:p>
    <w:bookmarkEnd w:id="974"/>
    <w:bookmarkEnd w:id="975"/>
    <w:bookmarkEnd w:id="976"/>
    <w:bookmarkEnd w:id="977"/>
    <w:bookmarkEnd w:id="978"/>
    <w:bookmarkEnd w:id="979"/>
    <w:bookmarkEnd w:id="980"/>
    <w:bookmarkEnd w:id="981"/>
    <w:p w14:paraId="783247E7">
      <w:pPr>
        <w:keepNext/>
        <w:keepLines/>
        <w:adjustRightInd w:val="0"/>
        <w:snapToGrid w:val="0"/>
        <w:spacing w:line="384" w:lineRule="auto"/>
        <w:jc w:val="left"/>
        <w:outlineLvl w:val="2"/>
        <w:rPr>
          <w:rFonts w:hint="eastAsia" w:ascii="宋体" w:hAnsi="宋体" w:cs="宋体"/>
          <w:bCs/>
          <w:color w:val="auto"/>
          <w:sz w:val="24"/>
          <w:highlight w:val="none"/>
        </w:rPr>
      </w:pPr>
      <w:bookmarkStart w:id="982" w:name="_Toc95223471"/>
      <w:bookmarkStart w:id="983" w:name="_Toc351203642"/>
      <w:r>
        <w:rPr>
          <w:rFonts w:hint="eastAsia" w:ascii="宋体" w:hAnsi="宋体" w:cs="宋体"/>
          <w:bCs/>
          <w:color w:val="auto"/>
          <w:sz w:val="24"/>
          <w:highlight w:val="none"/>
        </w:rPr>
        <w:t>1</w:t>
      </w:r>
      <w:bookmarkEnd w:id="948"/>
      <w:bookmarkEnd w:id="949"/>
      <w:bookmarkEnd w:id="950"/>
      <w:bookmarkEnd w:id="951"/>
      <w:bookmarkEnd w:id="952"/>
      <w:bookmarkEnd w:id="953"/>
      <w:bookmarkEnd w:id="954"/>
      <w:bookmarkEnd w:id="955"/>
      <w:bookmarkEnd w:id="956"/>
      <w:bookmarkEnd w:id="957"/>
      <w:bookmarkEnd w:id="958"/>
      <w:bookmarkEnd w:id="959"/>
      <w:bookmarkStart w:id="984" w:name="_Toc297216199"/>
      <w:bookmarkStart w:id="985" w:name="_Toc292559903"/>
      <w:bookmarkStart w:id="986" w:name="_Toc296891021"/>
      <w:bookmarkStart w:id="987" w:name="_Toc296347192"/>
      <w:bookmarkStart w:id="988" w:name="_Toc297123540"/>
      <w:bookmarkStart w:id="989" w:name="_Toc297048379"/>
      <w:bookmarkStart w:id="990" w:name="_Toc296503193"/>
      <w:bookmarkStart w:id="991" w:name="_Toc303539146"/>
      <w:bookmarkStart w:id="992" w:name="_Toc296944532"/>
      <w:bookmarkStart w:id="993" w:name="_Toc297120493"/>
      <w:bookmarkStart w:id="994" w:name="_Toc292559398"/>
      <w:bookmarkStart w:id="995" w:name="_Toc300934989"/>
      <w:bookmarkStart w:id="996" w:name="_Toc304295566"/>
      <w:bookmarkStart w:id="997" w:name="_Toc296346694"/>
      <w:bookmarkStart w:id="998" w:name="_Toc296891233"/>
      <w:bookmarkStart w:id="999" w:name="_Toc312678025"/>
      <w:bookmarkStart w:id="1000" w:name="_Toc312677499"/>
      <w:bookmarkStart w:id="1001" w:name="_Toc267251435"/>
      <w:bookmarkStart w:id="1002" w:name="_Toc267251440"/>
      <w:bookmarkStart w:id="1003" w:name="_Toc267251441"/>
      <w:bookmarkStart w:id="1004" w:name="_Toc267251433"/>
      <w:bookmarkStart w:id="1005" w:name="_Toc267251437"/>
      <w:bookmarkStart w:id="1006" w:name="_Toc267251439"/>
      <w:bookmarkStart w:id="1007" w:name="_Toc267251442"/>
      <w:r>
        <w:rPr>
          <w:rFonts w:hint="eastAsia" w:ascii="宋体" w:hAnsi="宋体" w:cs="宋体"/>
          <w:bCs/>
          <w:color w:val="auto"/>
          <w:sz w:val="24"/>
          <w:highlight w:val="none"/>
        </w:rPr>
        <w:t>0. 变更</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bookmarkEnd w:id="999"/>
    <w:bookmarkEnd w:id="1000"/>
    <w:p w14:paraId="3ACEE9C0">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w:t>
      </w:r>
      <w:bookmarkStart w:id="1008" w:name="_Toc297048380"/>
      <w:bookmarkStart w:id="1009" w:name="_Toc296503194"/>
      <w:bookmarkStart w:id="1010" w:name="_Toc304295567"/>
      <w:bookmarkStart w:id="1011" w:name="_Toc297216200"/>
      <w:bookmarkStart w:id="1012" w:name="_Toc296346695"/>
      <w:bookmarkStart w:id="1013" w:name="_Toc296347193"/>
      <w:bookmarkStart w:id="1014" w:name="_Toc312678026"/>
      <w:bookmarkStart w:id="1015" w:name="_Toc292559399"/>
      <w:bookmarkStart w:id="1016" w:name="_Toc303539147"/>
      <w:bookmarkStart w:id="1017" w:name="_Toc297120494"/>
      <w:bookmarkStart w:id="1018" w:name="_Toc297123541"/>
      <w:bookmarkStart w:id="1019" w:name="_Toc296944533"/>
      <w:bookmarkStart w:id="1020" w:name="_Toc292559904"/>
      <w:bookmarkStart w:id="1021" w:name="_Toc312677500"/>
      <w:bookmarkStart w:id="1022" w:name="_Toc296891022"/>
      <w:bookmarkStart w:id="1023" w:name="_Toc300934990"/>
      <w:bookmarkStart w:id="1024" w:name="_Toc296891234"/>
      <w:r>
        <w:rPr>
          <w:rFonts w:hint="eastAsia" w:ascii="宋体" w:hAnsi="宋体" w:cs="宋体"/>
          <w:bCs/>
          <w:color w:val="auto"/>
          <w:szCs w:val="28"/>
          <w:highlight w:val="none"/>
        </w:rPr>
        <w:t>0.1 变更的范围</w:t>
      </w:r>
    </w:p>
    <w:p w14:paraId="0FC12C09">
      <w:pPr>
        <w:adjustRightInd w:val="0"/>
        <w:snapToGrid w:val="0"/>
        <w:spacing w:line="384" w:lineRule="auto"/>
        <w:ind w:firstLine="420" w:firstLineChars="200"/>
        <w:rPr>
          <w:rFonts w:hint="eastAsia" w:ascii="宋体" w:hAnsi="宋体" w:eastAsia="宋体" w:cs="宋体"/>
          <w:color w:val="auto"/>
          <w:highlight w:val="none"/>
          <w:u w:val="single"/>
          <w:lang w:val="en-US" w:eastAsia="zh-CN"/>
        </w:rPr>
      </w:pPr>
      <w:r>
        <w:rPr>
          <w:rFonts w:hint="eastAsia" w:ascii="宋体" w:hAnsi="宋体" w:cs="宋体"/>
          <w:color w:val="auto"/>
          <w:highlight w:val="none"/>
        </w:rPr>
        <w:t>关于变更的范围的约定：</w:t>
      </w:r>
      <w:r>
        <w:rPr>
          <w:rFonts w:hint="eastAsia" w:ascii="宋体" w:hAnsi="宋体" w:cs="宋体"/>
          <w:color w:val="auto"/>
          <w:szCs w:val="21"/>
          <w:highlight w:val="none"/>
          <w:u w:val="single"/>
        </w:rPr>
        <w:t xml:space="preserve"> </w:t>
      </w:r>
      <w:r>
        <w:rPr>
          <w:rFonts w:hint="eastAsia" w:ascii="宋体" w:hAnsi="宋体" w:eastAsia="宋体" w:cs="宋体"/>
          <w:color w:val="auto"/>
          <w:highlight w:val="none"/>
          <w:u w:val="single"/>
          <w:lang w:val="en-US" w:eastAsia="zh-CN"/>
        </w:rPr>
        <w:t>执行通用条款，符合国家、省、市相关文件规定。</w:t>
      </w:r>
    </w:p>
    <w:p w14:paraId="1D3D0B46">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eastAsia="宋体" w:cs="宋体"/>
          <w:color w:val="auto"/>
          <w:kern w:val="2"/>
          <w:sz w:val="21"/>
          <w:szCs w:val="24"/>
          <w:highlight w:val="none"/>
          <w:u w:val="single"/>
          <w:lang w:val="en-US" w:eastAsia="zh-CN" w:bidi="ar-SA"/>
        </w:rPr>
        <w:t>发包人根据项目需要进行变更，包括不限于增项、减项、工程量增加、减少等，承包人必须无条件接收实施，费用按照合同条款中的变更条款确定。确认增（减）的工程变更、现场签证价款应作为追加（减）合同价款与工程进度款同期支付。若承包人拒不执行或不及时执行，处以20000元/次违约金。</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22866586">
      <w:pPr>
        <w:keepNext/>
        <w:keepLines/>
        <w:adjustRightInd w:val="0"/>
        <w:snapToGrid w:val="0"/>
        <w:spacing w:line="384" w:lineRule="auto"/>
        <w:ind w:firstLine="420" w:firstLineChars="200"/>
        <w:outlineLvl w:val="3"/>
        <w:rPr>
          <w:rFonts w:hint="default" w:ascii="宋体" w:hAnsi="宋体" w:eastAsia="宋体" w:cs="宋体"/>
          <w:bCs/>
          <w:color w:val="auto"/>
          <w:szCs w:val="28"/>
          <w:highlight w:val="none"/>
          <w:lang w:val="en-US" w:eastAsia="zh-CN"/>
        </w:rPr>
      </w:pPr>
      <w:r>
        <w:rPr>
          <w:rFonts w:hint="eastAsia" w:ascii="宋体" w:hAnsi="宋体" w:cs="宋体"/>
          <w:bCs/>
          <w:color w:val="auto"/>
          <w:szCs w:val="28"/>
          <w:highlight w:val="none"/>
          <w:lang w:val="en-US" w:eastAsia="zh-CN"/>
        </w:rPr>
        <w:t>特别说明：清单勘误及图纸设计引起的变更：施工许可证领取2个月内完成图审会审，若未在规定的时间内提出处以5000元/天违约金，并由于图纸问题增加的变更费用后期不予增加。对于工程量清单的增量和漏项问题：领取施工许可证3个月内完成清单的缺项缺量等问题，未在规定时间内完成处以5000元/天违约金，且增加的费用不予调整。</w:t>
      </w:r>
    </w:p>
    <w:p w14:paraId="67E34EB3">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10.4 变更估价</w:t>
      </w:r>
    </w:p>
    <w:p w14:paraId="3D428836">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10.4.1 变更估价原则</w:t>
      </w:r>
    </w:p>
    <w:p w14:paraId="694A90F4">
      <w:pPr>
        <w:pageBreakBefore w:val="0"/>
        <w:widowControl w:val="0"/>
        <w:kinsoku/>
        <w:wordWrap/>
        <w:overflowPunct/>
        <w:topLinePunct w:val="0"/>
        <w:autoSpaceDE/>
        <w:autoSpaceDN/>
        <w:bidi w:val="0"/>
        <w:adjustRightInd w:val="0"/>
        <w:snapToGrid w:val="0"/>
        <w:spacing w:line="384" w:lineRule="auto"/>
        <w:ind w:firstLine="420" w:firstLineChars="200"/>
        <w:textAlignment w:val="auto"/>
        <w:rPr>
          <w:rFonts w:hint="eastAsia" w:ascii="宋体" w:hAnsi="宋体" w:cs="宋体"/>
          <w:color w:val="auto"/>
          <w:kern w:val="0"/>
          <w:highlight w:val="none"/>
        </w:rPr>
      </w:pPr>
      <w:r>
        <w:rPr>
          <w:rFonts w:hint="eastAsia" w:ascii="宋体" w:hAnsi="宋体" w:cs="宋体"/>
          <w:color w:val="auto"/>
          <w:highlight w:val="none"/>
        </w:rPr>
        <w:t xml:space="preserve">关于变更估价的约定： </w:t>
      </w:r>
      <w:r>
        <w:rPr>
          <w:rFonts w:hint="eastAsia" w:ascii="宋体" w:hAnsi="宋体" w:eastAsia="宋体" w:cs="宋体"/>
          <w:color w:val="auto"/>
          <w:kern w:val="2"/>
          <w:sz w:val="21"/>
          <w:szCs w:val="24"/>
          <w:highlight w:val="none"/>
          <w:u w:val="single"/>
          <w:lang w:val="en-US" w:eastAsia="zh-CN" w:bidi="ar-SA"/>
        </w:rPr>
        <w:t>按国家、省、市相关文件规定</w:t>
      </w:r>
      <w:r>
        <w:rPr>
          <w:rFonts w:hint="eastAsia" w:ascii="宋体" w:hAnsi="宋体" w:cs="宋体"/>
          <w:color w:val="auto"/>
          <w:highlight w:val="none"/>
        </w:rPr>
        <w:t xml:space="preserve"> </w:t>
      </w:r>
    </w:p>
    <w:p w14:paraId="3C58B3C2">
      <w:pPr>
        <w:pageBreakBefore w:val="0"/>
        <w:widowControl w:val="0"/>
        <w:kinsoku/>
        <w:wordWrap/>
        <w:overflowPunct/>
        <w:topLinePunct w:val="0"/>
        <w:autoSpaceDE/>
        <w:autoSpaceDN/>
        <w:bidi w:val="0"/>
        <w:adjustRightInd w:val="0"/>
        <w:snapToGrid w:val="0"/>
        <w:spacing w:line="384" w:lineRule="auto"/>
        <w:ind w:firstLine="422" w:firstLineChars="200"/>
        <w:textAlignment w:val="auto"/>
        <w:rPr>
          <w:rFonts w:hint="eastAsia" w:ascii="宋体" w:hAnsi="宋体" w:cs="宋体"/>
          <w:b/>
          <w:color w:val="auto"/>
          <w:highlight w:val="none"/>
        </w:rPr>
      </w:pPr>
      <w:r>
        <w:rPr>
          <w:rFonts w:hint="eastAsia" w:ascii="宋体" w:hAnsi="宋体" w:cs="宋体"/>
          <w:b/>
          <w:color w:val="auto"/>
          <w:kern w:val="0"/>
          <w:highlight w:val="none"/>
        </w:rPr>
        <w:t>10.4.1.1因工程变更引起已标价工程量清单项目或其工程数量发生变化时，按下列规定调整：</w:t>
      </w:r>
      <w:r>
        <w:rPr>
          <w:rFonts w:hint="eastAsia" w:ascii="宋体" w:hAnsi="宋体" w:cs="宋体"/>
          <w:b/>
          <w:color w:val="auto"/>
          <w:highlight w:val="none"/>
        </w:rPr>
        <w:t xml:space="preserve"> </w:t>
      </w:r>
      <w:r>
        <w:rPr>
          <w:rFonts w:hint="eastAsia" w:ascii="宋体" w:hAnsi="宋体" w:cs="宋体"/>
          <w:b/>
          <w:color w:val="auto"/>
          <w:highlight w:val="none"/>
          <w:u w:val="single"/>
        </w:rPr>
        <w:t xml:space="preserve"> </w:t>
      </w:r>
      <w:r>
        <w:rPr>
          <w:rFonts w:hint="eastAsia" w:ascii="宋体" w:hAnsi="宋体" w:eastAsia="宋体" w:cs="宋体"/>
          <w:color w:val="auto"/>
          <w:kern w:val="2"/>
          <w:sz w:val="21"/>
          <w:szCs w:val="24"/>
          <w:highlight w:val="none"/>
          <w:u w:val="single"/>
          <w:lang w:val="en-US" w:eastAsia="zh-CN" w:bidi="ar-SA"/>
        </w:rPr>
        <w:t>变更导致结算工程量增加 15%以内（含 15%）部分的，执行中标单价；超出15%以外部分，且原合同内综合单价超出招标最高投标限价中综合单价的，超出部分的工程量综合单价按照招标最高投标限价中综合单价乘以中标价/最高投标限价（中标价和最高投标限价均应扣除暂列金额和暂估价部分）。(组价明显错误的予以纠正) 。新增项目单价按照最高投标限价的编制原则重新组价×（1-中标下浮率），重新组价价格最终以审计部门审核结算价为准。</w:t>
      </w:r>
      <w:r>
        <w:rPr>
          <w:rFonts w:hint="eastAsia" w:ascii="宋体" w:hAnsi="宋体" w:cs="宋体"/>
          <w:b/>
          <w:color w:val="auto"/>
          <w:highlight w:val="none"/>
        </w:rPr>
        <w:t xml:space="preserve"> </w:t>
      </w:r>
    </w:p>
    <w:p w14:paraId="7B1389AB">
      <w:pPr>
        <w:pageBreakBefore w:val="0"/>
        <w:widowControl w:val="0"/>
        <w:kinsoku/>
        <w:wordWrap/>
        <w:overflowPunct/>
        <w:topLinePunct w:val="0"/>
        <w:autoSpaceDE/>
        <w:autoSpaceDN/>
        <w:bidi w:val="0"/>
        <w:adjustRightInd w:val="0"/>
        <w:snapToGrid w:val="0"/>
        <w:spacing w:line="384" w:lineRule="auto"/>
        <w:ind w:firstLine="422"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10.4.1.2工程变更引起施工方案改变并使措施项目发生变化时，承包人提出调整措施项目费的，应事前将拟实施的方案提交发包人确认，并应详细说明与原方案措施项目相比的变化情况。拟实施的方案经发承包双方确认后执行，并应按照下列规定调整措施项目费：</w:t>
      </w:r>
    </w:p>
    <w:p w14:paraId="01045468">
      <w:pPr>
        <w:pageBreakBefore w:val="0"/>
        <w:widowControl w:val="0"/>
        <w:kinsoku/>
        <w:wordWrap/>
        <w:overflowPunct/>
        <w:topLinePunct w:val="0"/>
        <w:autoSpaceDE/>
        <w:autoSpaceDN/>
        <w:bidi w:val="0"/>
        <w:snapToGrid w:val="0"/>
        <w:spacing w:line="384" w:lineRule="auto"/>
        <w:ind w:firstLine="422" w:firstLineChars="200"/>
        <w:textAlignment w:val="auto"/>
        <w:rPr>
          <w:rFonts w:hint="eastAsia" w:ascii="宋体" w:hAnsi="宋体" w:eastAsia="宋体" w:cs="宋体"/>
          <w:color w:val="auto"/>
          <w:kern w:val="2"/>
          <w:sz w:val="21"/>
          <w:szCs w:val="24"/>
          <w:highlight w:val="none"/>
          <w:u w:val="single"/>
          <w:lang w:val="en-US" w:eastAsia="zh-CN" w:bidi="ar-SA"/>
        </w:rPr>
      </w:pPr>
      <w:r>
        <w:rPr>
          <w:rFonts w:hint="eastAsia" w:ascii="宋体" w:hAnsi="宋体" w:cs="宋体"/>
          <w:b/>
          <w:color w:val="auto"/>
          <w:szCs w:val="21"/>
          <w:highlight w:val="none"/>
          <w:u w:val="single"/>
        </w:rPr>
        <w:t xml:space="preserve"> </w:t>
      </w:r>
      <w:r>
        <w:rPr>
          <w:rFonts w:hint="eastAsia" w:ascii="宋体" w:hAnsi="宋体" w:eastAsia="宋体" w:cs="宋体"/>
          <w:color w:val="auto"/>
          <w:kern w:val="2"/>
          <w:sz w:val="21"/>
          <w:szCs w:val="24"/>
          <w:highlight w:val="none"/>
          <w:u w:val="single"/>
          <w:lang w:val="en-US" w:eastAsia="zh-CN" w:bidi="ar-SA"/>
        </w:rPr>
        <w:t>技术措施费调整：由于承包人改变施工技术措施，造成的价格变动，措施费不予调整。因发包人要求或工程量的增减必须改变原来施工技术措施，造成价格变动的，应扣减相应的原施工技术措施费后，按新增项目组价方式，进行措施费调整。由于分部分项清单工程量增减导致措施费用变化的，按实调整。</w:t>
      </w:r>
    </w:p>
    <w:p w14:paraId="104353FB">
      <w:pPr>
        <w:pageBreakBefore w:val="0"/>
        <w:widowControl w:val="0"/>
        <w:kinsoku/>
        <w:wordWrap/>
        <w:overflowPunct/>
        <w:topLinePunct w:val="0"/>
        <w:autoSpaceDE/>
        <w:autoSpaceDN/>
        <w:bidi w:val="0"/>
        <w:snapToGrid w:val="0"/>
        <w:spacing w:line="384" w:lineRule="auto"/>
        <w:ind w:firstLine="420" w:firstLineChars="200"/>
        <w:textAlignment w:val="auto"/>
        <w:rPr>
          <w:rFonts w:hint="eastAsia" w:ascii="宋体" w:hAnsi="宋体" w:cs="宋体"/>
          <w:b/>
          <w:color w:val="auto"/>
          <w:szCs w:val="21"/>
          <w:highlight w:val="none"/>
          <w:u w:val="single"/>
        </w:rPr>
      </w:pPr>
      <w:r>
        <w:rPr>
          <w:rFonts w:hint="eastAsia" w:ascii="宋体" w:hAnsi="宋体" w:eastAsia="宋体" w:cs="宋体"/>
          <w:color w:val="auto"/>
          <w:kern w:val="2"/>
          <w:sz w:val="21"/>
          <w:szCs w:val="24"/>
          <w:highlight w:val="none"/>
          <w:u w:val="single"/>
          <w:lang w:val="en-US" w:eastAsia="zh-CN" w:bidi="ar-SA"/>
        </w:rPr>
        <w:t>组织措施费调整：由于分部分项清单工程量增减导致措施费用变化的，按实调整。</w:t>
      </w:r>
    </w:p>
    <w:p w14:paraId="571FF3D2">
      <w:pPr>
        <w:keepNext/>
        <w:keepLines/>
        <w:pageBreakBefore w:val="0"/>
        <w:widowControl w:val="0"/>
        <w:kinsoku/>
        <w:wordWrap/>
        <w:overflowPunct/>
        <w:topLinePunct w:val="0"/>
        <w:autoSpaceDE/>
        <w:autoSpaceDN/>
        <w:bidi w:val="0"/>
        <w:adjustRightInd w:val="0"/>
        <w:snapToGrid w:val="0"/>
        <w:spacing w:line="384" w:lineRule="auto"/>
        <w:ind w:firstLine="420" w:firstLineChars="200"/>
        <w:textAlignment w:val="auto"/>
        <w:outlineLvl w:val="3"/>
        <w:rPr>
          <w:rFonts w:hint="eastAsia" w:ascii="宋体" w:hAnsi="宋体" w:cs="宋体"/>
          <w:bCs/>
          <w:color w:val="auto"/>
          <w:szCs w:val="28"/>
          <w:highlight w:val="none"/>
        </w:rPr>
      </w:pPr>
      <w:r>
        <w:rPr>
          <w:rFonts w:hint="eastAsia" w:ascii="宋体" w:hAnsi="宋体" w:cs="宋体"/>
          <w:bCs/>
          <w:color w:val="auto"/>
          <w:szCs w:val="28"/>
          <w:highlight w:val="none"/>
        </w:rPr>
        <w:t>1</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Start w:id="1025" w:name="_Toc297048383"/>
      <w:bookmarkStart w:id="1026" w:name="_Toc297216203"/>
      <w:bookmarkStart w:id="1027" w:name="_Toc297120497"/>
      <w:bookmarkStart w:id="1028" w:name="_Toc296891025"/>
      <w:bookmarkStart w:id="1029" w:name="_Toc296891237"/>
      <w:bookmarkStart w:id="1030" w:name="_Toc292559907"/>
      <w:bookmarkStart w:id="1031" w:name="_Toc297123544"/>
      <w:bookmarkStart w:id="1032" w:name="_Toc303539150"/>
      <w:bookmarkStart w:id="1033" w:name="_Toc292559402"/>
      <w:bookmarkStart w:id="1034" w:name="_Toc296347196"/>
      <w:bookmarkStart w:id="1035" w:name="_Toc296346698"/>
      <w:bookmarkStart w:id="1036" w:name="_Toc296944536"/>
      <w:bookmarkStart w:id="1037" w:name="_Toc300934993"/>
      <w:bookmarkStart w:id="1038" w:name="_Toc296503197"/>
      <w:bookmarkStart w:id="1039" w:name="_Toc312678029"/>
      <w:bookmarkStart w:id="1040" w:name="_Toc304295570"/>
      <w:bookmarkStart w:id="1041" w:name="_Toc312677503"/>
      <w:r>
        <w:rPr>
          <w:rFonts w:hint="eastAsia" w:ascii="宋体" w:hAnsi="宋体" w:cs="宋体"/>
          <w:bCs/>
          <w:color w:val="auto"/>
          <w:szCs w:val="28"/>
          <w:highlight w:val="none"/>
        </w:rPr>
        <w:t>0.5 承</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Start w:id="1042" w:name="_Toc297216204"/>
      <w:bookmarkStart w:id="1043" w:name="_Toc296503203"/>
      <w:bookmarkStart w:id="1044" w:name="_Toc297120503"/>
      <w:bookmarkStart w:id="1045" w:name="_Toc296944542"/>
      <w:bookmarkStart w:id="1046" w:name="_Toc297123545"/>
      <w:bookmarkStart w:id="1047" w:name="_Toc296891243"/>
      <w:bookmarkStart w:id="1048" w:name="_Toc297048389"/>
      <w:bookmarkStart w:id="1049" w:name="_Toc296347202"/>
      <w:bookmarkStart w:id="1050" w:name="_Toc296346704"/>
      <w:bookmarkStart w:id="1051" w:name="_Toc300934994"/>
      <w:bookmarkStart w:id="1052" w:name="_Toc296891031"/>
      <w:bookmarkStart w:id="1053" w:name="_Toc303539151"/>
      <w:bookmarkStart w:id="1054" w:name="_Toc292559913"/>
      <w:bookmarkStart w:id="1055" w:name="_Toc292559408"/>
      <w:r>
        <w:rPr>
          <w:rFonts w:hint="eastAsia" w:ascii="宋体" w:hAnsi="宋体" w:cs="宋体"/>
          <w:bCs/>
          <w:color w:val="auto"/>
          <w:szCs w:val="28"/>
          <w:highlight w:val="none"/>
        </w:rPr>
        <w:t>包人的合理化建议</w:t>
      </w:r>
    </w:p>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14:paraId="1496D4D6">
      <w:pPr>
        <w:pageBreakBefore w:val="0"/>
        <w:widowControl w:val="0"/>
        <w:kinsoku/>
        <w:wordWrap/>
        <w:overflowPunct/>
        <w:topLinePunct w:val="0"/>
        <w:autoSpaceDE/>
        <w:autoSpaceDN/>
        <w:bidi w:val="0"/>
        <w:adjustRightInd w:val="0"/>
        <w:snapToGrid w:val="0"/>
        <w:spacing w:line="384" w:lineRule="auto"/>
        <w:ind w:firstLine="420" w:firstLineChars="200"/>
        <w:textAlignment w:val="auto"/>
        <w:rPr>
          <w:rFonts w:hint="eastAsia" w:ascii="宋体" w:hAnsi="宋体" w:cs="宋体"/>
          <w:color w:val="auto"/>
          <w:highlight w:val="none"/>
          <w:u w:val="single"/>
        </w:rPr>
      </w:pPr>
      <w:r>
        <w:rPr>
          <w:rFonts w:hint="eastAsia" w:ascii="宋体" w:hAnsi="宋体" w:cs="宋体"/>
          <w:color w:val="auto"/>
          <w:highlight w:val="none"/>
        </w:rPr>
        <w:t>监理人审查承包人合理化建议的期限：</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4EAE83D6">
      <w:pPr>
        <w:pageBreakBefore w:val="0"/>
        <w:widowControl w:val="0"/>
        <w:kinsoku/>
        <w:wordWrap/>
        <w:overflowPunct/>
        <w:topLinePunct w:val="0"/>
        <w:autoSpaceDE/>
        <w:autoSpaceDN/>
        <w:bidi w:val="0"/>
        <w:adjustRightInd w:val="0"/>
        <w:snapToGrid w:val="0"/>
        <w:spacing w:line="384"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发包人审批承包人合理化建议的期限：</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36634FEF">
      <w:pPr>
        <w:pageBreakBefore w:val="0"/>
        <w:widowControl w:val="0"/>
        <w:kinsoku/>
        <w:wordWrap/>
        <w:overflowPunct/>
        <w:topLinePunct w:val="0"/>
        <w:autoSpaceDE/>
        <w:autoSpaceDN/>
        <w:bidi w:val="0"/>
        <w:adjustRightInd w:val="0"/>
        <w:snapToGrid w:val="0"/>
        <w:spacing w:line="384" w:lineRule="auto"/>
        <w:ind w:firstLine="420" w:firstLineChars="200"/>
        <w:textAlignment w:val="auto"/>
        <w:rPr>
          <w:rFonts w:hint="eastAsia" w:ascii="宋体" w:hAnsi="宋体" w:cs="宋体"/>
          <w:color w:val="auto"/>
          <w:highlight w:val="none"/>
          <w:u w:val="single"/>
        </w:rPr>
      </w:pPr>
      <w:r>
        <w:rPr>
          <w:rFonts w:hint="eastAsia" w:ascii="宋体" w:hAnsi="宋体" w:cs="宋体"/>
          <w:color w:val="auto"/>
          <w:highlight w:val="none"/>
        </w:rPr>
        <w:t>承</w:t>
      </w:r>
      <w:bookmarkStart w:id="1056" w:name="_Toc296347203"/>
      <w:bookmarkStart w:id="1057" w:name="_Toc297216205"/>
      <w:bookmarkStart w:id="1058" w:name="_Toc296891032"/>
      <w:bookmarkStart w:id="1059" w:name="_Toc292559409"/>
      <w:bookmarkStart w:id="1060" w:name="_Toc303539152"/>
      <w:bookmarkStart w:id="1061" w:name="_Toc318581175"/>
      <w:bookmarkStart w:id="1062" w:name="_Toc297120504"/>
      <w:bookmarkStart w:id="1063" w:name="_Toc297123546"/>
      <w:bookmarkStart w:id="1064" w:name="_Toc312678030"/>
      <w:bookmarkStart w:id="1065" w:name="_Toc297048390"/>
      <w:bookmarkStart w:id="1066" w:name="_Toc304295571"/>
      <w:bookmarkStart w:id="1067" w:name="_Toc296503204"/>
      <w:bookmarkStart w:id="1068" w:name="_Toc312677504"/>
      <w:bookmarkStart w:id="1069" w:name="_Toc292559914"/>
      <w:bookmarkStart w:id="1070" w:name="_Toc296346705"/>
      <w:bookmarkStart w:id="1071" w:name="_Toc300934995"/>
      <w:bookmarkStart w:id="1072" w:name="_Toc296944543"/>
      <w:bookmarkStart w:id="1073" w:name="_Toc296891244"/>
      <w:r>
        <w:rPr>
          <w:rFonts w:hint="eastAsia" w:ascii="宋体" w:hAnsi="宋体" w:cs="宋体"/>
          <w:color w:val="auto"/>
          <w:highlight w:val="none"/>
        </w:rPr>
        <w:t>包人提出的合理化建议降低了合同价格或者提高了工程经济效益的奖励的方法和金额为：</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14:paraId="7DD6BE15">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w:t>
      </w:r>
      <w:bookmarkStart w:id="1074" w:name="_Toc297123548"/>
      <w:bookmarkStart w:id="1075" w:name="_Toc297120499"/>
      <w:bookmarkStart w:id="1076" w:name="_Toc292559909"/>
      <w:bookmarkStart w:id="1077" w:name="_Toc296346700"/>
      <w:bookmarkStart w:id="1078" w:name="_Toc292559404"/>
      <w:bookmarkStart w:id="1079" w:name="_Toc303539154"/>
      <w:bookmarkStart w:id="1080" w:name="_Toc296503199"/>
      <w:bookmarkStart w:id="1081" w:name="_Toc297048385"/>
      <w:bookmarkStart w:id="1082" w:name="_Toc304295574"/>
      <w:bookmarkStart w:id="1083" w:name="_Toc300934997"/>
      <w:bookmarkStart w:id="1084" w:name="_Toc296347198"/>
      <w:bookmarkStart w:id="1085" w:name="_Toc297216207"/>
      <w:bookmarkStart w:id="1086" w:name="_Toc296891239"/>
      <w:bookmarkStart w:id="1087" w:name="_Toc312678033"/>
      <w:bookmarkStart w:id="1088" w:name="_Toc296891027"/>
      <w:bookmarkStart w:id="1089" w:name="_Toc296944538"/>
      <w:bookmarkStart w:id="1090" w:name="_Toc312677507"/>
      <w:r>
        <w:rPr>
          <w:rFonts w:hint="eastAsia" w:ascii="宋体" w:hAnsi="宋体" w:cs="宋体"/>
          <w:bCs/>
          <w:color w:val="auto"/>
          <w:szCs w:val="28"/>
          <w:highlight w:val="none"/>
        </w:rPr>
        <w:t>0.7 暂估价</w:t>
      </w:r>
    </w:p>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14:paraId="5AF1BEE3">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kern w:val="0"/>
          <w:highlight w:val="none"/>
        </w:rPr>
        <w:t>暂</w:t>
      </w:r>
      <w:bookmarkStart w:id="1091" w:name="_Toc312678034"/>
      <w:bookmarkStart w:id="1092" w:name="_Toc318581176"/>
      <w:bookmarkStart w:id="1093" w:name="_Toc312677508"/>
      <w:r>
        <w:rPr>
          <w:rFonts w:hint="eastAsia" w:ascii="宋体" w:hAnsi="宋体" w:cs="宋体"/>
          <w:color w:val="auto"/>
          <w:kern w:val="0"/>
          <w:highlight w:val="none"/>
        </w:rPr>
        <w:t>估价材料和工程设备的明细详见附件12：《</w:t>
      </w:r>
      <w:r>
        <w:rPr>
          <w:rFonts w:hint="eastAsia" w:ascii="宋体" w:hAnsi="宋体" w:cs="宋体"/>
          <w:color w:val="auto"/>
          <w:highlight w:val="none"/>
        </w:rPr>
        <w:t>暂估价一览表》</w:t>
      </w:r>
      <w:r>
        <w:rPr>
          <w:rFonts w:hint="eastAsia" w:ascii="宋体" w:hAnsi="宋体" w:cs="宋体"/>
          <w:color w:val="auto"/>
          <w:kern w:val="0"/>
          <w:highlight w:val="none"/>
        </w:rPr>
        <w:t>。</w:t>
      </w:r>
    </w:p>
    <w:bookmarkEnd w:id="1091"/>
    <w:bookmarkEnd w:id="1092"/>
    <w:bookmarkEnd w:id="1093"/>
    <w:p w14:paraId="55A1C59B">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w:t>
      </w:r>
      <w:bookmarkStart w:id="1094" w:name="_Toc318581177"/>
      <w:bookmarkStart w:id="1095" w:name="_Toc312678035"/>
      <w:bookmarkStart w:id="1096" w:name="_Toc312677509"/>
      <w:r>
        <w:rPr>
          <w:rFonts w:hint="eastAsia" w:ascii="宋体" w:hAnsi="宋体" w:cs="宋体"/>
          <w:color w:val="auto"/>
          <w:highlight w:val="none"/>
        </w:rPr>
        <w:t>0.7.1 依法必须招标的暂估价项目</w:t>
      </w:r>
    </w:p>
    <w:bookmarkEnd w:id="1094"/>
    <w:bookmarkEnd w:id="1095"/>
    <w:bookmarkEnd w:id="1096"/>
    <w:p w14:paraId="65A93B4C">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对于依法必须招标的暂估价项目的确认和批准采取第</w:t>
      </w:r>
      <w:r>
        <w:rPr>
          <w:rFonts w:hint="eastAsia" w:ascii="宋体" w:hAnsi="宋体" w:cs="宋体"/>
          <w:color w:val="auto"/>
          <w:highlight w:val="none"/>
          <w:u w:val="single"/>
        </w:rPr>
        <w:t xml:space="preserve">  2  </w:t>
      </w:r>
      <w:r>
        <w:rPr>
          <w:rFonts w:hint="eastAsia" w:ascii="宋体" w:hAnsi="宋体" w:cs="宋体"/>
          <w:color w:val="auto"/>
          <w:highlight w:val="none"/>
        </w:rPr>
        <w:t>种方式确定。</w:t>
      </w:r>
      <w:r>
        <w:rPr>
          <w:rFonts w:hint="eastAsia" w:ascii="宋体" w:hAnsi="宋体" w:cs="宋体"/>
          <w:b/>
          <w:color w:val="auto"/>
          <w:highlight w:val="none"/>
          <w:u w:val="single"/>
        </w:rPr>
        <w:t xml:space="preserve">并应按相关规定进行二次招标  </w:t>
      </w:r>
      <w:r>
        <w:rPr>
          <w:rFonts w:hint="eastAsia" w:ascii="宋体" w:hAnsi="宋体" w:cs="宋体"/>
          <w:color w:val="auto"/>
          <w:highlight w:val="none"/>
        </w:rPr>
        <w:t>。</w:t>
      </w:r>
    </w:p>
    <w:p w14:paraId="474642E6">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10.7.2 不属于依法必须招标的暂估价项目</w:t>
      </w:r>
    </w:p>
    <w:p w14:paraId="6BE15B68">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对于不属于依法必须招标的暂估价项目的确认和批准采取第 </w:t>
      </w:r>
      <w:r>
        <w:rPr>
          <w:rFonts w:hint="eastAsia" w:ascii="宋体" w:hAnsi="宋体" w:cs="宋体"/>
          <w:color w:val="auto"/>
          <w:highlight w:val="none"/>
          <w:u w:val="single"/>
        </w:rPr>
        <w:t xml:space="preserve">1 </w:t>
      </w:r>
      <w:r>
        <w:rPr>
          <w:rFonts w:hint="eastAsia" w:ascii="宋体" w:hAnsi="宋体" w:cs="宋体"/>
          <w:color w:val="auto"/>
          <w:highlight w:val="none"/>
        </w:rPr>
        <w:t>种方式确定。</w:t>
      </w:r>
    </w:p>
    <w:p w14:paraId="0A4F3851">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highlight w:val="none"/>
        </w:rPr>
        <w:t>第3种方式：</w:t>
      </w:r>
      <w:r>
        <w:rPr>
          <w:rFonts w:hint="eastAsia" w:ascii="宋体" w:hAnsi="宋体" w:cs="宋体"/>
          <w:color w:val="auto"/>
          <w:kern w:val="0"/>
          <w:highlight w:val="none"/>
        </w:rPr>
        <w:t>承包人直接实施的暂估价项目</w:t>
      </w:r>
    </w:p>
    <w:p w14:paraId="6E076629">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承包人直接实施的暂估价项目的约定：</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3640FE1B">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10.8 暂列金额</w:t>
      </w:r>
    </w:p>
    <w:p w14:paraId="091E5473">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kern w:val="0"/>
          <w:highlight w:val="none"/>
        </w:rPr>
        <w:t>合同当事人关于暂列金额使用的约定：</w:t>
      </w:r>
      <w:r>
        <w:rPr>
          <w:rFonts w:hint="eastAsia" w:ascii="宋体" w:hAnsi="宋体" w:cs="宋体"/>
          <w:color w:val="auto"/>
          <w:szCs w:val="21"/>
          <w:highlight w:val="none"/>
          <w:u w:val="single"/>
        </w:rPr>
        <w:t>暂列金是发包人为可能发生工程变更而暂列的金额，是</w:t>
      </w:r>
      <w:r>
        <w:rPr>
          <w:rFonts w:hint="eastAsia" w:ascii="宋体" w:hAnsi="宋体" w:eastAsia="宋体" w:cs="宋体"/>
          <w:color w:val="auto"/>
          <w:szCs w:val="21"/>
          <w:highlight w:val="none"/>
          <w:u w:val="single"/>
          <w:lang w:val="en-US" w:eastAsia="zh-CN"/>
        </w:rPr>
        <w:t>发包人</w:t>
      </w:r>
      <w:r>
        <w:rPr>
          <w:rFonts w:hint="eastAsia" w:ascii="宋体" w:hAnsi="宋体" w:cs="宋体"/>
          <w:color w:val="auto"/>
          <w:szCs w:val="21"/>
          <w:highlight w:val="none"/>
          <w:u w:val="single"/>
        </w:rPr>
        <w:t>自行确定设立的，承包商无权使用此笔费用。此费用按实际发生经</w:t>
      </w:r>
      <w:r>
        <w:rPr>
          <w:rFonts w:hint="eastAsia" w:ascii="宋体" w:hAnsi="宋体" w:eastAsia="宋体" w:cs="宋体"/>
          <w:color w:val="auto"/>
          <w:szCs w:val="21"/>
          <w:highlight w:val="none"/>
          <w:u w:val="single"/>
          <w:lang w:val="en-US" w:eastAsia="zh-CN"/>
        </w:rPr>
        <w:t>发包人</w:t>
      </w:r>
      <w:r>
        <w:rPr>
          <w:rFonts w:hint="eastAsia" w:ascii="宋体" w:hAnsi="宋体" w:cs="宋体"/>
          <w:color w:val="auto"/>
          <w:szCs w:val="21"/>
          <w:highlight w:val="none"/>
          <w:u w:val="single"/>
        </w:rPr>
        <w:t xml:space="preserve">签证后确定全部使用、部分使用或不使用。暂列金不计入工程款付款的基数。 </w:t>
      </w:r>
      <w:r>
        <w:rPr>
          <w:rFonts w:hint="eastAsia" w:ascii="宋体" w:hAnsi="宋体" w:cs="宋体"/>
          <w:color w:val="auto"/>
          <w:kern w:val="0"/>
          <w:highlight w:val="none"/>
        </w:rPr>
        <w:t>。</w:t>
      </w:r>
    </w:p>
    <w:p w14:paraId="58F0B302">
      <w:pPr>
        <w:keepNext/>
        <w:keepLines/>
        <w:adjustRightInd w:val="0"/>
        <w:snapToGrid w:val="0"/>
        <w:spacing w:line="384" w:lineRule="auto"/>
        <w:jc w:val="left"/>
        <w:outlineLvl w:val="2"/>
        <w:rPr>
          <w:rFonts w:hint="eastAsia" w:ascii="宋体" w:hAnsi="宋体" w:cs="宋体"/>
          <w:bCs/>
          <w:color w:val="auto"/>
          <w:sz w:val="24"/>
          <w:highlight w:val="none"/>
        </w:rPr>
      </w:pPr>
      <w:bookmarkStart w:id="1097" w:name="_Toc95223472"/>
      <w:bookmarkStart w:id="1098" w:name="_Toc351203643"/>
      <w:r>
        <w:rPr>
          <w:rFonts w:hint="eastAsia" w:ascii="宋体" w:hAnsi="宋体" w:cs="宋体"/>
          <w:bCs/>
          <w:color w:val="auto"/>
          <w:sz w:val="24"/>
          <w:highlight w:val="none"/>
        </w:rPr>
        <w:t>11. 价格调整</w:t>
      </w:r>
      <w:bookmarkEnd w:id="1097"/>
      <w:bookmarkEnd w:id="1098"/>
    </w:p>
    <w:p w14:paraId="72F9548D">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bookmarkStart w:id="1099" w:name="_Toc300935000"/>
      <w:bookmarkStart w:id="1100" w:name="_Toc292559911"/>
      <w:bookmarkStart w:id="1101" w:name="_Toc296346702"/>
      <w:bookmarkStart w:id="1102" w:name="_Toc297120501"/>
      <w:bookmarkStart w:id="1103" w:name="_Toc296891241"/>
      <w:bookmarkStart w:id="1104" w:name="_Toc296891029"/>
      <w:bookmarkStart w:id="1105" w:name="_Toc296503201"/>
      <w:bookmarkStart w:id="1106" w:name="_Toc312678039"/>
      <w:bookmarkStart w:id="1107" w:name="_Toc292559406"/>
      <w:bookmarkStart w:id="1108" w:name="_Toc296944540"/>
      <w:bookmarkStart w:id="1109" w:name="_Toc296347200"/>
      <w:bookmarkStart w:id="1110" w:name="_Toc297216209"/>
      <w:bookmarkStart w:id="1111" w:name="_Toc297048387"/>
      <w:bookmarkStart w:id="1112" w:name="_Toc304295577"/>
      <w:bookmarkStart w:id="1113" w:name="_Toc303539157"/>
      <w:bookmarkStart w:id="1114" w:name="_Toc297123550"/>
      <w:r>
        <w:rPr>
          <w:rFonts w:hint="eastAsia" w:ascii="宋体" w:hAnsi="宋体" w:cs="宋体"/>
          <w:bCs/>
          <w:color w:val="auto"/>
          <w:szCs w:val="28"/>
          <w:highlight w:val="none"/>
        </w:rPr>
        <w:t>11.1 市场价格波动引起的调整</w:t>
      </w:r>
    </w:p>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14:paraId="0D536E36">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kern w:val="0"/>
          <w:highlight w:val="none"/>
        </w:rPr>
        <w:t>市场价格波动是否调整合同价格的约定：</w:t>
      </w:r>
      <w:r>
        <w:rPr>
          <w:rFonts w:hint="eastAsia" w:ascii="宋体" w:hAnsi="宋体" w:cs="宋体"/>
          <w:b/>
          <w:color w:val="auto"/>
          <w:highlight w:val="none"/>
          <w:u w:val="single"/>
        </w:rPr>
        <w:t xml:space="preserve">   </w:t>
      </w:r>
      <w:r>
        <w:rPr>
          <w:rFonts w:hint="eastAsia" w:ascii="宋体" w:hAnsi="宋体" w:cs="宋体"/>
          <w:b/>
          <w:color w:val="auto"/>
          <w:highlight w:val="none"/>
          <w:u w:val="single"/>
          <w:lang w:val="en-US" w:eastAsia="zh-CN"/>
        </w:rPr>
        <w:t>调整，具体见以下约定</w:t>
      </w:r>
      <w:r>
        <w:rPr>
          <w:rFonts w:hint="eastAsia" w:ascii="宋体" w:hAnsi="宋体" w:cs="宋体"/>
          <w:b/>
          <w:color w:val="auto"/>
          <w:highlight w:val="none"/>
          <w:u w:val="single"/>
        </w:rPr>
        <w:t xml:space="preserve">   </w:t>
      </w:r>
      <w:r>
        <w:rPr>
          <w:rFonts w:hint="eastAsia" w:ascii="宋体" w:hAnsi="宋体" w:cs="宋体"/>
          <w:color w:val="auto"/>
          <w:highlight w:val="none"/>
        </w:rPr>
        <w:t>。</w:t>
      </w:r>
    </w:p>
    <w:p w14:paraId="114BDD38">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因市场价格波动调整合同价格，采用以下第</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2</w:t>
      </w:r>
      <w:r>
        <w:rPr>
          <w:rFonts w:hint="eastAsia" w:ascii="宋体" w:hAnsi="宋体" w:cs="宋体"/>
          <w:color w:val="auto"/>
          <w:highlight w:val="none"/>
          <w:u w:val="single"/>
        </w:rPr>
        <w:t xml:space="preserve">  </w:t>
      </w:r>
      <w:r>
        <w:rPr>
          <w:rFonts w:hint="eastAsia" w:ascii="宋体" w:hAnsi="宋体" w:cs="宋体"/>
          <w:color w:val="auto"/>
          <w:highlight w:val="none"/>
        </w:rPr>
        <w:t>种方式对合同价格进行调整：</w:t>
      </w:r>
    </w:p>
    <w:p w14:paraId="286CCBD9">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第1种方式：采用价格指数进行价格调整。</w:t>
      </w:r>
    </w:p>
    <w:p w14:paraId="15F2B175">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关于各可调因子、定值和变值权重，以及基本价格指数及其来源的约定：</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2F07AC41">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第2种方式：采用造价信息进行价格调整。</w:t>
      </w:r>
    </w:p>
    <w:p w14:paraId="05949A45">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（1）价格的调整：</w:t>
      </w:r>
    </w:p>
    <w:p w14:paraId="1142ECC6">
      <w:pPr>
        <w:adjustRightInd w:val="0"/>
        <w:snapToGrid w:val="0"/>
        <w:spacing w:line="384" w:lineRule="auto"/>
        <w:ind w:firstLine="840" w:firstLineChars="400"/>
        <w:rPr>
          <w:rFonts w:hint="eastAsia" w:ascii="宋体" w:hAnsi="宋体" w:cs="宋体"/>
          <w:color w:val="auto"/>
          <w:highlight w:val="none"/>
        </w:rPr>
      </w:pPr>
      <w:r>
        <w:rPr>
          <w:rFonts w:hint="eastAsia" w:ascii="宋体" w:hAnsi="宋体" w:cs="宋体"/>
          <w:color w:val="auto"/>
          <w:highlight w:val="none"/>
        </w:rPr>
        <w:t>①可调整价格的主要材料范围的约定:</w:t>
      </w:r>
      <w:r>
        <w:rPr>
          <w:rFonts w:hint="eastAsia" w:ascii="宋体" w:hAnsi="宋体" w:cs="宋体"/>
          <w:color w:val="auto"/>
          <w:highlight w:val="none"/>
          <w:u w:val="single"/>
        </w:rPr>
        <w:t xml:space="preserve"> </w:t>
      </w:r>
      <w:r>
        <w:rPr>
          <w:rFonts w:hint="eastAsia" w:ascii="宋体" w:hAnsi="宋体" w:eastAsia="宋体" w:cs="宋体"/>
          <w:color w:val="auto"/>
          <w:highlight w:val="none"/>
          <w:u w:val="single"/>
          <w:lang w:val="en-US" w:eastAsia="zh-CN"/>
        </w:rPr>
        <w:t>钢材（钢筋、</w:t>
      </w:r>
      <w:r>
        <w:rPr>
          <w:rFonts w:hint="eastAsia" w:ascii="宋体" w:hAnsi="宋体" w:cs="宋体"/>
          <w:color w:val="auto"/>
          <w:highlight w:val="none"/>
          <w:u w:val="single"/>
          <w:lang w:val="en-US" w:eastAsia="zh-CN"/>
        </w:rPr>
        <w:t>钢结构主构件</w:t>
      </w:r>
      <w:r>
        <w:rPr>
          <w:rFonts w:hint="eastAsia" w:ascii="宋体" w:hAnsi="宋体" w:eastAsia="宋体" w:cs="宋体"/>
          <w:color w:val="auto"/>
          <w:highlight w:val="none"/>
          <w:u w:val="single"/>
          <w:lang w:val="en-US" w:eastAsia="zh-CN"/>
        </w:rPr>
        <w:t>）、水泥、混凝土、砂、石、预拌砂浆、电线电缆</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029B00B">
      <w:pPr>
        <w:adjustRightInd w:val="0"/>
        <w:snapToGrid w:val="0"/>
        <w:spacing w:line="384" w:lineRule="auto"/>
        <w:ind w:firstLine="840" w:firstLineChars="400"/>
        <w:rPr>
          <w:rFonts w:hint="eastAsia" w:ascii="宋体" w:hAnsi="宋体" w:cs="宋体"/>
          <w:color w:val="auto"/>
          <w:highlight w:val="none"/>
        </w:rPr>
      </w:pPr>
      <w:r>
        <w:rPr>
          <w:rFonts w:hint="eastAsia" w:ascii="宋体" w:hAnsi="宋体" w:cs="宋体"/>
          <w:color w:val="auto"/>
          <w:highlight w:val="none"/>
        </w:rPr>
        <w:t>②主要材料价差调整周期的约定:</w:t>
      </w:r>
      <w:r>
        <w:rPr>
          <w:rFonts w:hint="eastAsia" w:ascii="宋体" w:hAnsi="宋体" w:cs="宋体"/>
          <w:color w:val="auto"/>
          <w:highlight w:val="none"/>
          <w:u w:val="single"/>
        </w:rPr>
        <w:t xml:space="preserve">  </w:t>
      </w:r>
      <w:r>
        <w:rPr>
          <w:rFonts w:hint="eastAsia" w:ascii="宋体" w:hAnsi="宋体" w:eastAsia="宋体" w:cs="宋体"/>
          <w:color w:val="auto"/>
          <w:kern w:val="0"/>
          <w:szCs w:val="21"/>
          <w:highlight w:val="none"/>
          <w:u w:val="single"/>
          <w:lang w:val="en-US" w:eastAsia="zh-CN"/>
        </w:rPr>
        <w:t>合同履行期间</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8B75461">
      <w:pPr>
        <w:adjustRightInd w:val="0"/>
        <w:snapToGrid w:val="0"/>
        <w:spacing w:line="384" w:lineRule="auto"/>
        <w:ind w:firstLine="840" w:firstLineChars="400"/>
        <w:rPr>
          <w:rFonts w:hint="eastAsia" w:ascii="宋体" w:hAnsi="宋体" w:cs="宋体"/>
          <w:color w:val="auto"/>
          <w:sz w:val="24"/>
          <w:szCs w:val="32"/>
          <w:highlight w:val="none"/>
        </w:rPr>
      </w:pPr>
      <w:r>
        <w:rPr>
          <w:rFonts w:hint="eastAsia" w:ascii="宋体" w:hAnsi="宋体" w:cs="宋体"/>
          <w:color w:val="auto"/>
          <w:highlight w:val="none"/>
        </w:rPr>
        <w:t>③主要材料价差调整计算方法的约定:</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如下</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75E4F6B">
      <w:pPr>
        <w:adjustRightInd w:val="0"/>
        <w:snapToGrid w:val="0"/>
        <w:spacing w:line="384" w:lineRule="auto"/>
        <w:ind w:firstLine="840" w:firstLineChars="400"/>
        <w:rPr>
          <w:rFonts w:hint="eastAsia" w:ascii="宋体" w:hAnsi="宋体" w:cs="宋体"/>
          <w:color w:val="auto"/>
          <w:highlight w:val="none"/>
        </w:rPr>
      </w:pPr>
      <w:r>
        <w:rPr>
          <w:rFonts w:hint="eastAsia" w:ascii="宋体" w:hAnsi="宋体" w:cs="宋体"/>
          <w:color w:val="auto"/>
          <w:highlight w:val="none"/>
        </w:rPr>
        <w:t>④主要材料价差调整时间的约定:</w:t>
      </w:r>
      <w:r>
        <w:rPr>
          <w:rFonts w:hint="eastAsia" w:ascii="宋体" w:hAnsi="宋体" w:cs="宋体"/>
          <w:color w:val="auto"/>
          <w:highlight w:val="none"/>
          <w:u w:val="single"/>
        </w:rPr>
        <w:t xml:space="preserve"> </w:t>
      </w:r>
      <w:r>
        <w:rPr>
          <w:rFonts w:hint="eastAsia" w:ascii="宋体" w:hAnsi="宋体" w:eastAsia="宋体" w:cs="宋体"/>
          <w:color w:val="auto"/>
          <w:kern w:val="0"/>
          <w:szCs w:val="21"/>
          <w:highlight w:val="none"/>
          <w:u w:val="single"/>
          <w:lang w:val="en-US" w:eastAsia="zh-CN"/>
        </w:rPr>
        <w:t>合同履行期间</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6CB1FF1">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（2）关于基准价格的约定：</w:t>
      </w:r>
      <w:r>
        <w:rPr>
          <w:rFonts w:hint="eastAsia" w:ascii="宋体" w:hAnsi="宋体" w:cs="宋体"/>
          <w:color w:val="auto"/>
          <w:highlight w:val="none"/>
          <w:u w:val="single"/>
        </w:rPr>
        <w:t xml:space="preserve">  </w:t>
      </w:r>
      <w:r>
        <w:rPr>
          <w:rFonts w:hint="eastAsia" w:ascii="宋体" w:hAnsi="宋体" w:eastAsia="宋体" w:cs="宋体"/>
          <w:color w:val="auto"/>
          <w:highlight w:val="none"/>
          <w:u w:val="single"/>
          <w:lang w:val="en-US" w:eastAsia="zh-CN"/>
        </w:rPr>
        <w:t>基准价格为滁州市建设工程造价管理部门发布工程造价信息（《滁州市工程造价信息》（202</w:t>
      </w:r>
      <w:r>
        <w:rPr>
          <w:rFonts w:hint="eastAsia" w:ascii="宋体" w:hAnsi="宋体" w:cs="宋体"/>
          <w:color w:val="auto"/>
          <w:highlight w:val="none"/>
          <w:u w:val="single"/>
          <w:lang w:val="en-US" w:eastAsia="zh-CN"/>
        </w:rPr>
        <w:t>6</w:t>
      </w:r>
      <w:r>
        <w:rPr>
          <w:rFonts w:hint="eastAsia" w:ascii="宋体" w:hAnsi="宋体" w:eastAsia="宋体" w:cs="宋体"/>
          <w:color w:val="auto"/>
          <w:highlight w:val="none"/>
          <w:u w:val="single"/>
          <w:lang w:val="en-US" w:eastAsia="zh-CN"/>
        </w:rPr>
        <w:t>年第</w:t>
      </w:r>
      <w:r>
        <w:rPr>
          <w:rFonts w:hint="eastAsia" w:ascii="宋体" w:hAnsi="宋体" w:cs="宋体"/>
          <w:color w:val="auto"/>
          <w:highlight w:val="none"/>
          <w:u w:val="single"/>
          <w:lang w:val="en-US" w:eastAsia="zh-CN"/>
        </w:rPr>
        <w:t>2</w:t>
      </w:r>
      <w:r>
        <w:rPr>
          <w:rFonts w:hint="eastAsia" w:ascii="宋体" w:hAnsi="宋体" w:eastAsia="宋体" w:cs="宋体"/>
          <w:color w:val="auto"/>
          <w:highlight w:val="none"/>
          <w:u w:val="single"/>
          <w:lang w:val="en-US" w:eastAsia="zh-CN"/>
        </w:rPr>
        <w:t>期）中相对应的不含税价格以及最高投标限价中以市场询价计入的价格。人工费执行 2025年滁州市第</w:t>
      </w:r>
      <w:r>
        <w:rPr>
          <w:rFonts w:hint="eastAsia" w:ascii="宋体" w:hAnsi="宋体" w:cs="宋体"/>
          <w:color w:val="auto"/>
          <w:highlight w:val="none"/>
          <w:u w:val="single"/>
          <w:lang w:val="en-US" w:eastAsia="zh-CN"/>
        </w:rPr>
        <w:t>四</w:t>
      </w:r>
      <w:r>
        <w:rPr>
          <w:rFonts w:hint="eastAsia" w:ascii="宋体" w:hAnsi="宋体" w:eastAsia="宋体" w:cs="宋体"/>
          <w:color w:val="auto"/>
          <w:highlight w:val="none"/>
          <w:u w:val="single"/>
          <w:lang w:val="en-US" w:eastAsia="zh-CN"/>
        </w:rPr>
        <w:t>季度人工费156.5元/工日</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F9C49E8">
      <w:pPr>
        <w:adjustRightInd w:val="0"/>
        <w:snapToGrid w:val="0"/>
        <w:spacing w:line="384" w:lineRule="auto"/>
        <w:ind w:firstLine="630" w:firstLineChars="300"/>
        <w:rPr>
          <w:rFonts w:hint="eastAsia" w:ascii="宋体" w:hAnsi="宋体" w:cs="宋体"/>
          <w:color w:val="auto"/>
          <w:highlight w:val="none"/>
        </w:rPr>
      </w:pPr>
      <w:r>
        <w:rPr>
          <w:rFonts w:hint="eastAsia" w:ascii="宋体" w:hAnsi="宋体" w:cs="宋体"/>
          <w:color w:val="auto"/>
          <w:highlight w:val="none"/>
        </w:rPr>
        <w:t>①承包人在已标价工程量清单或预算书中载明的材料单价低于基准价格的：专用合同条款合同履行期间材料单价涨幅以基准价格为基础超过</w:t>
      </w:r>
      <w:r>
        <w:rPr>
          <w:rFonts w:hint="eastAsia" w:ascii="宋体" w:hAnsi="宋体" w:cs="宋体"/>
          <w:b/>
          <w:bCs/>
          <w:color w:val="auto"/>
          <w:highlight w:val="none"/>
          <w:u w:val="single"/>
        </w:rPr>
        <w:t xml:space="preserve">  5%  </w:t>
      </w:r>
      <w:r>
        <w:rPr>
          <w:rFonts w:hint="eastAsia" w:ascii="宋体" w:hAnsi="宋体" w:cs="宋体"/>
          <w:color w:val="auto"/>
          <w:highlight w:val="none"/>
        </w:rPr>
        <w:t>时，或材料单价跌幅以已标价工程量清单或预算书中载明材料单价为基础超过</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 xml:space="preserve">5%  </w:t>
      </w:r>
      <w:r>
        <w:rPr>
          <w:rFonts w:hint="eastAsia" w:ascii="宋体" w:hAnsi="宋体" w:cs="宋体"/>
          <w:color w:val="auto"/>
          <w:highlight w:val="none"/>
        </w:rPr>
        <w:t>时，其超过部分据实调整。</w:t>
      </w:r>
    </w:p>
    <w:p w14:paraId="386410D2">
      <w:pPr>
        <w:adjustRightInd w:val="0"/>
        <w:snapToGrid w:val="0"/>
        <w:spacing w:line="384" w:lineRule="auto"/>
        <w:ind w:firstLine="630" w:firstLineChars="300"/>
        <w:rPr>
          <w:rFonts w:hint="eastAsia" w:ascii="宋体" w:hAnsi="宋体" w:cs="宋体"/>
          <w:color w:val="auto"/>
          <w:highlight w:val="none"/>
        </w:rPr>
      </w:pPr>
      <w:r>
        <w:rPr>
          <w:rFonts w:hint="eastAsia" w:ascii="宋体" w:hAnsi="宋体" w:cs="宋体"/>
          <w:color w:val="auto"/>
          <w:highlight w:val="none"/>
        </w:rPr>
        <w:t>②承包人在已标价工程量清单或预算书中载明的材料单价高于基准价格的：专用合同条款合同履行期间材料单价跌幅以基准价格为基础超过</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 xml:space="preserve">5%  </w:t>
      </w:r>
      <w:r>
        <w:rPr>
          <w:rFonts w:hint="eastAsia" w:ascii="宋体" w:hAnsi="宋体" w:cs="宋体"/>
          <w:color w:val="auto"/>
          <w:highlight w:val="none"/>
        </w:rPr>
        <w:t>时，材料单价涨幅以已标价工程量清单或预算书中载明材料单价为基础超过</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 xml:space="preserve">5%  </w:t>
      </w:r>
      <w:r>
        <w:rPr>
          <w:rFonts w:hint="eastAsia" w:ascii="宋体" w:hAnsi="宋体" w:cs="宋体"/>
          <w:color w:val="auto"/>
          <w:highlight w:val="none"/>
        </w:rPr>
        <w:t>时，其超过部分据实调整。</w:t>
      </w:r>
    </w:p>
    <w:p w14:paraId="2C76749D">
      <w:pPr>
        <w:adjustRightInd w:val="0"/>
        <w:snapToGrid w:val="0"/>
        <w:spacing w:line="384" w:lineRule="auto"/>
        <w:ind w:firstLine="630" w:firstLineChars="300"/>
        <w:rPr>
          <w:rFonts w:hint="eastAsia" w:ascii="宋体" w:hAnsi="宋体" w:cs="宋体"/>
          <w:color w:val="auto"/>
          <w:highlight w:val="none"/>
        </w:rPr>
      </w:pPr>
      <w:r>
        <w:rPr>
          <w:rFonts w:hint="eastAsia" w:ascii="宋体" w:hAnsi="宋体" w:cs="宋体"/>
          <w:color w:val="auto"/>
          <w:highlight w:val="none"/>
        </w:rPr>
        <w:t>③承包人在已标价工程量清单或预算书中载明的材料单价等于基准单价的：专用合同条款合同履行期间材料单价涨跌幅以基准单价为基础超过±</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 xml:space="preserve">5%  </w:t>
      </w:r>
      <w:r>
        <w:rPr>
          <w:rFonts w:hint="eastAsia" w:ascii="宋体" w:hAnsi="宋体" w:cs="宋体"/>
          <w:color w:val="auto"/>
          <w:highlight w:val="none"/>
        </w:rPr>
        <w:t>时，其超过部分据实调整。</w:t>
      </w:r>
    </w:p>
    <w:p w14:paraId="6D9CA82A">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第3种方式：其他价格调整方式：</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w:t>
      </w:r>
      <w:r>
        <w:rPr>
          <w:rFonts w:hint="eastAsia" w:ascii="宋体" w:hAnsi="宋体" w:cs="宋体"/>
          <w:color w:val="auto"/>
          <w:highlight w:val="none"/>
          <w:u w:val="single"/>
        </w:rPr>
        <w:t xml:space="preserve">        </w:t>
      </w:r>
      <w:r>
        <w:rPr>
          <w:rFonts w:hint="eastAsia" w:ascii="宋体" w:hAnsi="宋体" w:cs="宋体"/>
          <w:color w:val="auto"/>
          <w:highlight w:val="none"/>
        </w:rPr>
        <w:t>。</w:t>
      </w:r>
    </w:p>
    <w:bookmarkEnd w:id="1001"/>
    <w:bookmarkEnd w:id="1002"/>
    <w:bookmarkEnd w:id="1003"/>
    <w:bookmarkEnd w:id="1004"/>
    <w:bookmarkEnd w:id="1005"/>
    <w:bookmarkEnd w:id="1006"/>
    <w:p w14:paraId="389E707B">
      <w:pPr>
        <w:keepNext/>
        <w:keepLines/>
        <w:adjustRightInd w:val="0"/>
        <w:snapToGrid w:val="0"/>
        <w:spacing w:line="384" w:lineRule="auto"/>
        <w:jc w:val="left"/>
        <w:outlineLvl w:val="2"/>
        <w:rPr>
          <w:rFonts w:hint="eastAsia" w:ascii="宋体" w:hAnsi="宋体" w:cs="宋体"/>
          <w:bCs/>
          <w:color w:val="auto"/>
          <w:sz w:val="24"/>
          <w:highlight w:val="none"/>
        </w:rPr>
      </w:pPr>
      <w:bookmarkStart w:id="1115" w:name="_Toc296503205"/>
      <w:bookmarkStart w:id="1116" w:name="_Toc296347204"/>
      <w:bookmarkStart w:id="1117" w:name="_Toc297120505"/>
      <w:bookmarkStart w:id="1118" w:name="_Toc296944544"/>
      <w:bookmarkStart w:id="1119" w:name="_Toc292559410"/>
      <w:bookmarkStart w:id="1120" w:name="_Toc296891245"/>
      <w:bookmarkStart w:id="1121" w:name="_Toc296346706"/>
      <w:bookmarkStart w:id="1122" w:name="_Toc296891033"/>
      <w:bookmarkStart w:id="1123" w:name="_Toc292559915"/>
      <w:bookmarkStart w:id="1124" w:name="_Toc297048391"/>
      <w:bookmarkStart w:id="1125" w:name="_Toc351203644"/>
      <w:bookmarkStart w:id="1126" w:name="_Toc95223473"/>
      <w:bookmarkStart w:id="1127" w:name="_Toc297216211"/>
      <w:bookmarkStart w:id="1128" w:name="_Toc312678040"/>
      <w:bookmarkStart w:id="1129" w:name="_Toc303539159"/>
      <w:bookmarkStart w:id="1130" w:name="_Toc297123552"/>
      <w:bookmarkStart w:id="1131" w:name="_Toc300935002"/>
      <w:bookmarkStart w:id="1132" w:name="_Toc304295579"/>
      <w:r>
        <w:rPr>
          <w:rFonts w:hint="eastAsia" w:ascii="宋体" w:hAnsi="宋体" w:cs="宋体"/>
          <w:bCs/>
          <w:color w:val="auto"/>
          <w:sz w:val="24"/>
          <w:highlight w:val="none"/>
        </w:rPr>
        <w:t xml:space="preserve">12. </w:t>
      </w:r>
      <w:bookmarkEnd w:id="1115"/>
      <w:bookmarkEnd w:id="1116"/>
      <w:bookmarkEnd w:id="1117"/>
      <w:bookmarkEnd w:id="1118"/>
      <w:bookmarkEnd w:id="1119"/>
      <w:bookmarkEnd w:id="1120"/>
      <w:bookmarkEnd w:id="1121"/>
      <w:bookmarkEnd w:id="1122"/>
      <w:bookmarkEnd w:id="1123"/>
      <w:bookmarkEnd w:id="1124"/>
      <w:r>
        <w:rPr>
          <w:rFonts w:hint="eastAsia" w:ascii="宋体" w:hAnsi="宋体" w:cs="宋体"/>
          <w:bCs/>
          <w:color w:val="auto"/>
          <w:sz w:val="24"/>
          <w:highlight w:val="none"/>
        </w:rPr>
        <w:t>合同价格、计量与支付</w:t>
      </w:r>
      <w:bookmarkEnd w:id="1125"/>
      <w:bookmarkEnd w:id="1126"/>
    </w:p>
    <w:bookmarkEnd w:id="1127"/>
    <w:bookmarkEnd w:id="1128"/>
    <w:bookmarkEnd w:id="1129"/>
    <w:bookmarkEnd w:id="1130"/>
    <w:bookmarkEnd w:id="1131"/>
    <w:bookmarkEnd w:id="1132"/>
    <w:p w14:paraId="38DC5353">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bookmarkStart w:id="1133" w:name="_Toc292559411"/>
      <w:bookmarkStart w:id="1134" w:name="_Toc292559916"/>
      <w:bookmarkStart w:id="1135" w:name="_Toc267251461"/>
      <w:bookmarkStart w:id="1136" w:name="_Toc297120506"/>
      <w:bookmarkStart w:id="1137" w:name="_Toc296891034"/>
      <w:bookmarkStart w:id="1138" w:name="_Toc296503206"/>
      <w:bookmarkStart w:id="1139" w:name="_Toc296944545"/>
      <w:bookmarkStart w:id="1140" w:name="_Toc297048392"/>
      <w:bookmarkStart w:id="1141" w:name="_Toc296347205"/>
      <w:bookmarkStart w:id="1142" w:name="_Toc296346707"/>
      <w:bookmarkStart w:id="1143" w:name="_Toc296891246"/>
      <w:bookmarkStart w:id="1144" w:name="_Toc304295580"/>
      <w:bookmarkStart w:id="1145" w:name="_Toc303539160"/>
      <w:bookmarkStart w:id="1146" w:name="_Toc312678041"/>
      <w:bookmarkStart w:id="1147" w:name="_Toc300935003"/>
      <w:bookmarkStart w:id="1148" w:name="_Toc297216212"/>
      <w:bookmarkStart w:id="1149" w:name="_Toc297123553"/>
      <w:r>
        <w:rPr>
          <w:rFonts w:hint="eastAsia" w:ascii="宋体" w:hAnsi="宋体" w:cs="宋体"/>
          <w:bCs/>
          <w:color w:val="auto"/>
          <w:szCs w:val="28"/>
          <w:highlight w:val="none"/>
        </w:rPr>
        <w:t>12.1 合</w:t>
      </w:r>
      <w:bookmarkEnd w:id="1133"/>
      <w:bookmarkEnd w:id="1134"/>
      <w:bookmarkEnd w:id="1135"/>
      <w:r>
        <w:rPr>
          <w:rFonts w:hint="eastAsia" w:ascii="宋体" w:hAnsi="宋体" w:cs="宋体"/>
          <w:bCs/>
          <w:color w:val="auto"/>
          <w:szCs w:val="28"/>
          <w:highlight w:val="none"/>
        </w:rPr>
        <w:t>同价</w:t>
      </w:r>
      <w:bookmarkEnd w:id="1136"/>
      <w:bookmarkEnd w:id="1137"/>
      <w:bookmarkEnd w:id="1138"/>
      <w:bookmarkEnd w:id="1139"/>
      <w:bookmarkEnd w:id="1140"/>
      <w:bookmarkEnd w:id="1141"/>
      <w:bookmarkEnd w:id="1142"/>
      <w:bookmarkEnd w:id="1143"/>
      <w:r>
        <w:rPr>
          <w:rFonts w:hint="eastAsia" w:ascii="宋体" w:hAnsi="宋体" w:cs="宋体"/>
          <w:bCs/>
          <w:color w:val="auto"/>
          <w:szCs w:val="28"/>
          <w:highlight w:val="none"/>
        </w:rPr>
        <w:t>格形式</w:t>
      </w:r>
    </w:p>
    <w:bookmarkEnd w:id="1144"/>
    <w:bookmarkEnd w:id="1145"/>
    <w:bookmarkEnd w:id="1146"/>
    <w:bookmarkEnd w:id="1147"/>
    <w:bookmarkEnd w:id="1148"/>
    <w:bookmarkEnd w:id="1149"/>
    <w:p w14:paraId="196BB9F8">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(1)单价合同。</w:t>
      </w:r>
    </w:p>
    <w:p w14:paraId="0F008565">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综合单价包含的风险范围：</w:t>
      </w:r>
      <w:r>
        <w:rPr>
          <w:rFonts w:hint="eastAsia" w:ascii="宋体" w:hAnsi="宋体" w:cs="宋体"/>
          <w:color w:val="auto"/>
          <w:highlight w:val="none"/>
          <w:u w:val="single"/>
        </w:rPr>
        <w:t xml:space="preserve"> </w:t>
      </w:r>
      <w:r>
        <w:rPr>
          <w:rFonts w:hint="eastAsia" w:ascii="宋体" w:hAnsi="宋体" w:cs="宋体"/>
          <w:color w:val="auto"/>
          <w:szCs w:val="21"/>
          <w:highlight w:val="none"/>
          <w:u w:val="single"/>
        </w:rPr>
        <w:t>隐含于已标价工程量清单综合单价中，用于化解发承包双方在工程合同中约定内容和范围内的市场价格波动风险的费用</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B215D7D">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风险费用的计算方法：</w:t>
      </w:r>
      <w:r>
        <w:rPr>
          <w:rFonts w:hint="eastAsia" w:ascii="宋体" w:hAnsi="宋体" w:cs="宋体"/>
          <w:color w:val="auto"/>
          <w:highlight w:val="none"/>
          <w:u w:val="single"/>
        </w:rPr>
        <w:t xml:space="preserve">   </w:t>
      </w:r>
      <w:r>
        <w:rPr>
          <w:rFonts w:hint="eastAsia" w:ascii="宋体" w:hAnsi="宋体" w:eastAsia="宋体" w:cs="宋体"/>
          <w:color w:val="auto"/>
          <w:szCs w:val="21"/>
          <w:highlight w:val="none"/>
          <w:u w:val="single"/>
        </w:rPr>
        <w:t>承包人自行考虑，包含在报价中</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1460CC7">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风险范围以外合同价格的调整方法：</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按国家规定执</w:t>
      </w:r>
      <w:r>
        <w:rPr>
          <w:rFonts w:hint="eastAsia" w:ascii="宋体" w:hAnsi="宋体" w:eastAsia="宋体" w:cs="宋体"/>
          <w:color w:val="auto"/>
          <w:highlight w:val="none"/>
          <w:u w:val="single"/>
          <w:lang w:val="en-US" w:eastAsia="zh-CN"/>
        </w:rPr>
        <w:t>行</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FAB7079">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(2)总价合同。</w:t>
      </w:r>
    </w:p>
    <w:p w14:paraId="0D4DD317">
      <w:pPr>
        <w:adjustRightInd w:val="0"/>
        <w:snapToGrid w:val="0"/>
        <w:spacing w:line="384" w:lineRule="auto"/>
        <w:ind w:firstLine="420" w:firstLineChars="200"/>
        <w:rPr>
          <w:rFonts w:hint="eastAsia" w:ascii="宋体" w:hAnsi="宋体" w:cs="宋体"/>
          <w:b/>
          <w:color w:val="auto"/>
          <w:highlight w:val="none"/>
        </w:rPr>
      </w:pPr>
      <w:r>
        <w:rPr>
          <w:rFonts w:hint="eastAsia" w:ascii="宋体" w:hAnsi="宋体" w:cs="宋体"/>
          <w:color w:val="auto"/>
          <w:highlight w:val="none"/>
        </w:rPr>
        <w:t>总价包含的风险范围：</w:t>
      </w:r>
      <w:r>
        <w:rPr>
          <w:rFonts w:hint="eastAsia" w:ascii="宋体" w:hAnsi="宋体" w:cs="宋体"/>
          <w:b/>
          <w:color w:val="auto"/>
          <w:highlight w:val="none"/>
          <w:u w:val="single"/>
        </w:rPr>
        <w:t xml:space="preserve">                                    </w:t>
      </w:r>
    </w:p>
    <w:p w14:paraId="11DE6B1D">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风险费用的计算方法：</w:t>
      </w:r>
      <w:r>
        <w:rPr>
          <w:rFonts w:hint="eastAsia" w:ascii="宋体" w:hAnsi="宋体" w:cs="宋体"/>
          <w:b/>
          <w:color w:val="auto"/>
          <w:highlight w:val="none"/>
          <w:u w:val="single"/>
        </w:rPr>
        <w:t xml:space="preserve">                     </w:t>
      </w:r>
      <w:r>
        <w:rPr>
          <w:rFonts w:hint="eastAsia" w:ascii="宋体" w:hAnsi="宋体" w:cs="宋体"/>
          <w:color w:val="auto"/>
          <w:highlight w:val="none"/>
        </w:rPr>
        <w:t>。</w:t>
      </w:r>
    </w:p>
    <w:p w14:paraId="0F3624E6">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风险范围以外合同价格的调整方法：</w:t>
      </w:r>
      <w:r>
        <w:rPr>
          <w:rFonts w:hint="eastAsia" w:ascii="宋体" w:hAnsi="宋体" w:cs="宋体"/>
          <w:color w:val="auto"/>
          <w:highlight w:val="none"/>
          <w:u w:val="single"/>
        </w:rPr>
        <w:t xml:space="preserve">  </w:t>
      </w:r>
      <w:r>
        <w:rPr>
          <w:rFonts w:hint="eastAsia" w:ascii="宋体" w:hAnsi="宋体" w:cs="宋体"/>
          <w:b/>
          <w:color w:val="auto"/>
          <w:highlight w:val="none"/>
          <w:u w:val="single"/>
        </w:rPr>
        <w:t xml:space="preserve">       </w:t>
      </w:r>
      <w:r>
        <w:rPr>
          <w:rFonts w:hint="eastAsia" w:ascii="宋体" w:hAnsi="宋体" w:cs="宋体"/>
          <w:color w:val="auto"/>
          <w:highlight w:val="none"/>
        </w:rPr>
        <w:t>。</w:t>
      </w:r>
    </w:p>
    <w:p w14:paraId="3ED25696">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(3)其他价格方式：</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6AE1D0E8">
      <w:pPr>
        <w:keepNext/>
        <w:keepLines/>
        <w:adjustRightInd w:val="0"/>
        <w:snapToGrid w:val="0"/>
        <w:spacing w:line="384" w:lineRule="auto"/>
        <w:jc w:val="left"/>
        <w:outlineLvl w:val="2"/>
        <w:rPr>
          <w:rFonts w:hint="eastAsia" w:ascii="宋体" w:hAnsi="宋体" w:cs="宋体"/>
          <w:bCs/>
          <w:color w:val="auto"/>
          <w:sz w:val="24"/>
          <w:highlight w:val="none"/>
        </w:rPr>
      </w:pPr>
      <w:bookmarkStart w:id="1150" w:name="_Toc95223474"/>
      <w:bookmarkStart w:id="1151" w:name="_Toc304295581"/>
      <w:bookmarkStart w:id="1152" w:name="_Toc303539161"/>
      <w:bookmarkStart w:id="1153" w:name="_Toc300935004"/>
      <w:bookmarkStart w:id="1154" w:name="_Toc297216213"/>
      <w:bookmarkStart w:id="1155" w:name="_Toc297123554"/>
      <w:bookmarkStart w:id="1156" w:name="_Toc312678042"/>
      <w:bookmarkStart w:id="1157" w:name="_Toc296346708"/>
      <w:bookmarkStart w:id="1158" w:name="_Toc292559917"/>
      <w:bookmarkStart w:id="1159" w:name="_Toc296347206"/>
      <w:bookmarkStart w:id="1160" w:name="_Toc297120507"/>
      <w:bookmarkStart w:id="1161" w:name="_Toc296891247"/>
      <w:bookmarkStart w:id="1162" w:name="_Toc296944546"/>
      <w:bookmarkStart w:id="1163" w:name="_Toc297048393"/>
      <w:bookmarkStart w:id="1164" w:name="_Toc296891035"/>
      <w:bookmarkStart w:id="1165" w:name="_Toc296503207"/>
      <w:bookmarkStart w:id="1166" w:name="_Toc292559412"/>
      <w:r>
        <w:rPr>
          <w:rFonts w:hint="eastAsia" w:ascii="宋体" w:hAnsi="宋体" w:cs="宋体"/>
          <w:bCs/>
          <w:color w:val="auto"/>
          <w:sz w:val="24"/>
          <w:highlight w:val="none"/>
        </w:rPr>
        <w:t>12.2 预付款</w:t>
      </w:r>
      <w:bookmarkEnd w:id="1150"/>
    </w:p>
    <w:bookmarkEnd w:id="1151"/>
    <w:bookmarkEnd w:id="1152"/>
    <w:bookmarkEnd w:id="1153"/>
    <w:bookmarkEnd w:id="1154"/>
    <w:bookmarkEnd w:id="1155"/>
    <w:bookmarkEnd w:id="1156"/>
    <w:p w14:paraId="3B9117B7">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12.2.1 预付款的支付</w:t>
      </w:r>
    </w:p>
    <w:p w14:paraId="367D0CB0">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预付款支付比例或金额：</w:t>
      </w:r>
      <w:r>
        <w:rPr>
          <w:rFonts w:hint="eastAsia" w:ascii="宋体" w:hAnsi="宋体" w:cs="宋体"/>
          <w:color w:val="auto"/>
          <w:highlight w:val="none"/>
          <w:u w:val="single"/>
        </w:rPr>
        <w:t>合同总价（扣除暂列金额）的10%</w:t>
      </w:r>
      <w:r>
        <w:rPr>
          <w:rFonts w:hint="eastAsia" w:ascii="宋体" w:hAnsi="宋体" w:cs="宋体"/>
          <w:color w:val="auto"/>
          <w:highlight w:val="none"/>
        </w:rPr>
        <w:t>。</w:t>
      </w:r>
    </w:p>
    <w:p w14:paraId="0FB90696">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预付款支付期限：</w:t>
      </w:r>
      <w:r>
        <w:rPr>
          <w:rFonts w:hint="eastAsia" w:ascii="宋体" w:hAnsi="宋体" w:cs="宋体"/>
          <w:color w:val="auto"/>
          <w:highlight w:val="none"/>
          <w:u w:val="single"/>
        </w:rPr>
        <w:t>在具备施工条件的前提下，发包人在合同签订后一个月内或不迟于约定的开工日期前 7 天内预付工程款</w:t>
      </w:r>
      <w:r>
        <w:rPr>
          <w:rFonts w:hint="eastAsia" w:ascii="宋体" w:hAnsi="宋体" w:cs="宋体"/>
          <w:color w:val="auto"/>
          <w:highlight w:val="none"/>
        </w:rPr>
        <w:t>。</w:t>
      </w:r>
    </w:p>
    <w:p w14:paraId="3E5D25FB">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预付款扣回的方式：</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szCs w:val="21"/>
          <w:highlight w:val="none"/>
          <w:u w:val="single"/>
          <w:lang w:val="en-US" w:eastAsia="zh-CN"/>
        </w:rPr>
        <w:t>首次支付进度款时按月等额扣回，六个月扣完</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6770EE4">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12.2.2 预付款担保</w:t>
      </w:r>
    </w:p>
    <w:p w14:paraId="5706FA52">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承包人提交预付款担保的期限：</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DA477E6">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预付款担保的形式为：</w:t>
      </w:r>
      <w:r>
        <w:rPr>
          <w:rFonts w:hint="eastAsia" w:ascii="宋体" w:hAnsi="宋体" w:cs="宋体"/>
          <w:color w:val="auto"/>
          <w:highlight w:val="none"/>
          <w:u w:val="single"/>
        </w:rPr>
        <w:t xml:space="preserve">                                  </w:t>
      </w:r>
      <w:r>
        <w:rPr>
          <w:rFonts w:hint="eastAsia" w:ascii="宋体" w:hAnsi="宋体" w:cs="宋体"/>
          <w:color w:val="auto"/>
          <w:highlight w:val="none"/>
        </w:rPr>
        <w:t>。</w:t>
      </w:r>
    </w:p>
    <w:bookmarkEnd w:id="1157"/>
    <w:bookmarkEnd w:id="1158"/>
    <w:bookmarkEnd w:id="1159"/>
    <w:bookmarkEnd w:id="1160"/>
    <w:bookmarkEnd w:id="1161"/>
    <w:bookmarkEnd w:id="1162"/>
    <w:bookmarkEnd w:id="1163"/>
    <w:bookmarkEnd w:id="1164"/>
    <w:bookmarkEnd w:id="1165"/>
    <w:bookmarkEnd w:id="1166"/>
    <w:p w14:paraId="6BBC3229">
      <w:pPr>
        <w:keepNext/>
        <w:keepLines/>
        <w:adjustRightInd w:val="0"/>
        <w:snapToGrid w:val="0"/>
        <w:spacing w:line="384" w:lineRule="auto"/>
        <w:jc w:val="left"/>
        <w:outlineLvl w:val="2"/>
        <w:rPr>
          <w:rFonts w:hint="eastAsia" w:ascii="宋体" w:hAnsi="宋体" w:cs="宋体"/>
          <w:bCs/>
          <w:color w:val="auto"/>
          <w:sz w:val="24"/>
          <w:highlight w:val="none"/>
        </w:rPr>
      </w:pPr>
      <w:bookmarkStart w:id="1167" w:name="_Toc95223475"/>
      <w:r>
        <w:rPr>
          <w:rFonts w:hint="eastAsia" w:ascii="宋体" w:hAnsi="宋体" w:cs="宋体"/>
          <w:bCs/>
          <w:color w:val="auto"/>
          <w:sz w:val="24"/>
          <w:highlight w:val="none"/>
        </w:rPr>
        <w:t>12.3 计量</w:t>
      </w:r>
      <w:bookmarkEnd w:id="1167"/>
    </w:p>
    <w:p w14:paraId="7CDF639C">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12.3.1 计量原则</w:t>
      </w:r>
    </w:p>
    <w:p w14:paraId="173E00FF">
      <w:pPr>
        <w:adjustRightInd w:val="0"/>
        <w:snapToGrid w:val="0"/>
        <w:spacing w:line="384" w:lineRule="auto"/>
        <w:ind w:firstLine="420" w:firstLineChars="200"/>
        <w:rPr>
          <w:rFonts w:hint="eastAsia" w:ascii="宋体" w:hAnsi="宋体" w:cs="宋体"/>
          <w:b/>
          <w:color w:val="auto"/>
          <w:highlight w:val="none"/>
        </w:rPr>
      </w:pPr>
      <w:r>
        <w:rPr>
          <w:rFonts w:hint="eastAsia" w:ascii="宋体" w:hAnsi="宋体" w:cs="宋体"/>
          <w:color w:val="auto"/>
          <w:highlight w:val="none"/>
        </w:rPr>
        <w:t>工程量计算规则：</w:t>
      </w:r>
      <w:r>
        <w:rPr>
          <w:rFonts w:hint="eastAsia" w:ascii="宋体" w:hAnsi="宋体" w:cs="宋体"/>
          <w:color w:val="auto"/>
          <w:szCs w:val="21"/>
          <w:highlight w:val="none"/>
          <w:u w:val="single"/>
        </w:rPr>
        <w:t>按招标工程量清单及最高投标限价所采用的工程量清单计价规范及配套文件等</w:t>
      </w:r>
      <w:r>
        <w:rPr>
          <w:rFonts w:hint="eastAsia" w:ascii="宋体" w:hAnsi="宋体" w:cs="宋体"/>
          <w:b/>
          <w:color w:val="auto"/>
          <w:highlight w:val="none"/>
        </w:rPr>
        <w:t>。</w:t>
      </w:r>
    </w:p>
    <w:p w14:paraId="5F5C0983">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12.3.2 计量周期</w:t>
      </w:r>
    </w:p>
    <w:p w14:paraId="64CC0595">
      <w:pPr>
        <w:adjustRightInd w:val="0"/>
        <w:snapToGrid w:val="0"/>
        <w:spacing w:line="384" w:lineRule="auto"/>
        <w:ind w:firstLine="420" w:firstLineChars="200"/>
        <w:rPr>
          <w:rFonts w:hint="eastAsia" w:ascii="宋体" w:hAnsi="宋体" w:cs="宋体"/>
          <w:b/>
          <w:color w:val="auto"/>
          <w:highlight w:val="none"/>
        </w:rPr>
      </w:pPr>
      <w:r>
        <w:rPr>
          <w:rFonts w:hint="eastAsia" w:ascii="宋体" w:hAnsi="宋体" w:cs="宋体"/>
          <w:color w:val="auto"/>
          <w:highlight w:val="none"/>
        </w:rPr>
        <w:t>关于计量周期的约定</w:t>
      </w:r>
      <w:r>
        <w:rPr>
          <w:rFonts w:hint="eastAsia" w:ascii="宋体" w:hAnsi="宋体" w:cs="宋体"/>
          <w:b/>
          <w:color w:val="auto"/>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按月计量</w:t>
      </w:r>
      <w:r>
        <w:rPr>
          <w:rFonts w:hint="eastAsia" w:ascii="宋体" w:hAnsi="宋体" w:cs="宋体"/>
          <w:color w:val="auto"/>
          <w:szCs w:val="21"/>
          <w:highlight w:val="none"/>
          <w:u w:val="single"/>
        </w:rPr>
        <w:t xml:space="preserve">   </w:t>
      </w:r>
      <w:r>
        <w:rPr>
          <w:rFonts w:hint="eastAsia" w:ascii="宋体" w:hAnsi="宋体" w:cs="宋体"/>
          <w:b/>
          <w:color w:val="auto"/>
          <w:highlight w:val="none"/>
        </w:rPr>
        <w:t>。</w:t>
      </w:r>
    </w:p>
    <w:p w14:paraId="20D66134">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12.3.3 单价合同的计量</w:t>
      </w:r>
    </w:p>
    <w:p w14:paraId="02FAE435">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关于单价合同计量的约定：</w:t>
      </w:r>
      <w:r>
        <w:rPr>
          <w:rFonts w:hint="eastAsia" w:ascii="宋体" w:hAnsi="宋体" w:cs="宋体"/>
          <w:color w:val="auto"/>
          <w:highlight w:val="none"/>
          <w:u w:val="single"/>
        </w:rPr>
        <w:t xml:space="preserve"> </w:t>
      </w:r>
      <w:r>
        <w:rPr>
          <w:rFonts w:hint="eastAsia" w:ascii="宋体" w:hAnsi="宋体" w:eastAsia="宋体" w:cs="宋体"/>
          <w:color w:val="auto"/>
          <w:szCs w:val="21"/>
          <w:highlight w:val="none"/>
          <w:u w:val="single"/>
          <w:lang w:val="en-US" w:eastAsia="zh-CN"/>
        </w:rPr>
        <w:t>按月计量，工程量清单数量的误差按实计量，设计变更引起清单项目工程量的增减按实计量，设计变更引起新的工程量清单项目按实计量</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7D233E8">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12.3.4 总价合同的计量</w:t>
      </w:r>
    </w:p>
    <w:p w14:paraId="65FEEC7A">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关于总价合同计量的约定：</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不执行</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45FC0A10">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12.3.5 总价合同采用支付分解表计量支付的，是否适用第</w:t>
      </w:r>
      <w:r>
        <w:rPr>
          <w:rFonts w:hint="eastAsia" w:ascii="宋体" w:hAnsi="宋体" w:cs="宋体"/>
          <w:color w:val="auto"/>
          <w:kern w:val="0"/>
          <w:highlight w:val="none"/>
        </w:rPr>
        <w:t>12.3.4</w:t>
      </w:r>
      <w:r>
        <w:rPr>
          <w:rFonts w:hint="eastAsia" w:ascii="宋体" w:hAnsi="宋体" w:cs="宋体"/>
          <w:color w:val="auto"/>
          <w:highlight w:val="none"/>
        </w:rPr>
        <w:t>项</w:t>
      </w:r>
      <w:r>
        <w:rPr>
          <w:rFonts w:hint="eastAsia" w:ascii="宋体" w:hAnsi="宋体" w:cs="宋体"/>
          <w:color w:val="auto"/>
          <w:kern w:val="0"/>
          <w:highlight w:val="none"/>
        </w:rPr>
        <w:t>〔总价合同的计量〕</w:t>
      </w:r>
      <w:r>
        <w:rPr>
          <w:rFonts w:hint="eastAsia" w:ascii="宋体" w:hAnsi="宋体" w:cs="宋体"/>
          <w:color w:val="auto"/>
          <w:highlight w:val="none"/>
        </w:rPr>
        <w:t>约定进行计量：</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不执行</w:t>
      </w:r>
      <w:r>
        <w:rPr>
          <w:rFonts w:hint="eastAsia" w:ascii="宋体" w:hAnsi="宋体" w:cs="宋体"/>
          <w:color w:val="auto"/>
          <w:szCs w:val="21"/>
          <w:highlight w:val="none"/>
          <w:u w:val="single"/>
        </w:rPr>
        <w:t xml:space="preserve">   </w:t>
      </w:r>
      <w:r>
        <w:rPr>
          <w:rFonts w:hint="eastAsia" w:ascii="宋体" w:hAnsi="宋体" w:cs="宋体"/>
          <w:b/>
          <w:color w:val="auto"/>
          <w:highlight w:val="none"/>
        </w:rPr>
        <w:t>。</w:t>
      </w:r>
    </w:p>
    <w:p w14:paraId="209E0CE8">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12.3.6 其他价格形式合同的计量</w:t>
      </w:r>
    </w:p>
    <w:p w14:paraId="747444AD">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其他价格形式的计量方式和程序：</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不执行</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34E5111A">
      <w:pPr>
        <w:keepNext/>
        <w:keepLines/>
        <w:adjustRightInd w:val="0"/>
        <w:snapToGrid w:val="0"/>
        <w:spacing w:line="384" w:lineRule="auto"/>
        <w:jc w:val="left"/>
        <w:outlineLvl w:val="2"/>
        <w:rPr>
          <w:rFonts w:hint="eastAsia" w:ascii="宋体" w:hAnsi="宋体" w:cs="宋体"/>
          <w:bCs/>
          <w:color w:val="auto"/>
          <w:sz w:val="24"/>
          <w:highlight w:val="none"/>
        </w:rPr>
      </w:pPr>
      <w:bookmarkStart w:id="1168" w:name="_Toc95223476"/>
      <w:r>
        <w:rPr>
          <w:rFonts w:hint="eastAsia" w:ascii="宋体" w:hAnsi="宋体" w:cs="宋体"/>
          <w:bCs/>
          <w:color w:val="auto"/>
          <w:sz w:val="24"/>
          <w:highlight w:val="none"/>
        </w:rPr>
        <w:t>12.4 工程进度款支付</w:t>
      </w:r>
      <w:bookmarkEnd w:id="1168"/>
    </w:p>
    <w:p w14:paraId="3FFDE55A">
      <w:pPr>
        <w:adjustRightInd w:val="0"/>
        <w:snapToGrid w:val="0"/>
        <w:spacing w:line="384" w:lineRule="auto"/>
        <w:ind w:firstLine="420" w:firstLineChars="200"/>
        <w:rPr>
          <w:rFonts w:hint="eastAsia" w:ascii="宋体" w:hAnsi="宋体" w:cs="宋体"/>
          <w:color w:val="auto"/>
          <w:highlight w:val="none"/>
        </w:rPr>
      </w:pPr>
      <w:bookmarkStart w:id="1169" w:name="_Toc292559921"/>
      <w:bookmarkStart w:id="1170" w:name="_Toc296346712"/>
      <w:bookmarkStart w:id="1171" w:name="_Toc296503211"/>
      <w:bookmarkStart w:id="1172" w:name="_Toc292559416"/>
      <w:bookmarkStart w:id="1173" w:name="_Toc297216215"/>
      <w:bookmarkStart w:id="1174" w:name="_Toc296944550"/>
      <w:bookmarkStart w:id="1175" w:name="_Toc296891039"/>
      <w:bookmarkStart w:id="1176" w:name="_Toc297123556"/>
      <w:bookmarkStart w:id="1177" w:name="_Toc297120511"/>
      <w:bookmarkStart w:id="1178" w:name="_Toc300935006"/>
      <w:bookmarkStart w:id="1179" w:name="_Toc297048397"/>
      <w:bookmarkStart w:id="1180" w:name="_Toc303539163"/>
      <w:bookmarkStart w:id="1181" w:name="_Toc296347210"/>
      <w:bookmarkStart w:id="1182" w:name="_Toc296891251"/>
      <w:r>
        <w:rPr>
          <w:rFonts w:hint="eastAsia" w:ascii="宋体" w:hAnsi="宋体" w:cs="宋体"/>
          <w:color w:val="auto"/>
          <w:highlight w:val="none"/>
        </w:rPr>
        <w:t>12.4.1 付款周期</w:t>
      </w:r>
    </w:p>
    <w:p w14:paraId="2970EE90">
      <w:pPr>
        <w:pageBreakBefore w:val="0"/>
        <w:widowControl w:val="0"/>
        <w:kinsoku/>
        <w:wordWrap/>
        <w:overflowPunct/>
        <w:topLinePunct w:val="0"/>
        <w:autoSpaceDE/>
        <w:autoSpaceDN/>
        <w:bidi w:val="0"/>
        <w:adjustRightInd w:val="0"/>
        <w:snapToGrid w:val="0"/>
        <w:spacing w:line="384" w:lineRule="auto"/>
        <w:ind w:firstLine="420" w:firstLineChars="200"/>
        <w:textAlignment w:val="auto"/>
        <w:rPr>
          <w:rFonts w:hint="eastAsia" w:ascii="宋体" w:hAnsi="宋体" w:cs="宋体"/>
          <w:color w:val="auto"/>
          <w:highlight w:val="none"/>
          <w:u w:val="single"/>
        </w:rPr>
      </w:pPr>
      <w:r>
        <w:rPr>
          <w:rFonts w:hint="eastAsia" w:ascii="宋体" w:hAnsi="宋体" w:cs="宋体"/>
          <w:color w:val="auto"/>
          <w:highlight w:val="none"/>
        </w:rPr>
        <w:t>关于付款周期的约定：</w:t>
      </w:r>
      <w:r>
        <w:rPr>
          <w:rFonts w:hint="eastAsia" w:ascii="宋体" w:hAnsi="宋体" w:cs="宋体"/>
          <w:color w:val="auto"/>
          <w:highlight w:val="none"/>
          <w:u w:val="single"/>
        </w:rPr>
        <w:t>在具备施工条件的前提下，发包人在合同签订后一个月内或不迟于约定的开工日期前7天内预付工程款为合同总价（扣除暂列金额）的</w:t>
      </w:r>
      <w:r>
        <w:rPr>
          <w:rFonts w:hint="eastAsia" w:ascii="宋体" w:hAnsi="宋体" w:cs="宋体"/>
          <w:b/>
          <w:color w:val="auto"/>
          <w:highlight w:val="none"/>
          <w:u w:val="single"/>
        </w:rPr>
        <w:t>10</w:t>
      </w:r>
      <w:r>
        <w:rPr>
          <w:rFonts w:hint="eastAsia" w:ascii="宋体" w:hAnsi="宋体" w:cs="宋体"/>
          <w:color w:val="auto"/>
          <w:highlight w:val="none"/>
          <w:u w:val="single"/>
        </w:rPr>
        <w:t>%，</w:t>
      </w:r>
      <w:r>
        <w:rPr>
          <w:rFonts w:hint="eastAsia" w:ascii="宋体" w:hAnsi="宋体" w:cs="宋体"/>
          <w:b/>
          <w:color w:val="auto"/>
          <w:highlight w:val="none"/>
          <w:u w:val="single"/>
        </w:rPr>
        <w:t>施工过程结算款支付比例不低于85%</w:t>
      </w:r>
      <w:r>
        <w:rPr>
          <w:rFonts w:hint="eastAsia" w:ascii="宋体" w:hAnsi="宋体" w:cs="宋体"/>
          <w:color w:val="auto"/>
          <w:highlight w:val="none"/>
          <w:u w:val="single"/>
        </w:rPr>
        <w:t>，结算审核完成后付至结算价款的</w:t>
      </w:r>
      <w:r>
        <w:rPr>
          <w:rFonts w:hint="eastAsia" w:ascii="宋体" w:hAnsi="宋体" w:cs="宋体"/>
          <w:b/>
          <w:color w:val="auto"/>
          <w:highlight w:val="none"/>
          <w:u w:val="single"/>
        </w:rPr>
        <w:t>98%</w:t>
      </w:r>
      <w:r>
        <w:rPr>
          <w:rFonts w:hint="eastAsia" w:ascii="宋体" w:hAnsi="宋体" w:cs="宋体"/>
          <w:color w:val="auto"/>
          <w:highlight w:val="none"/>
          <w:u w:val="single"/>
        </w:rPr>
        <w:t>，剩余</w:t>
      </w:r>
      <w:r>
        <w:rPr>
          <w:rFonts w:hint="eastAsia" w:ascii="宋体" w:hAnsi="宋体" w:cs="宋体"/>
          <w:b/>
          <w:color w:val="auto"/>
          <w:highlight w:val="none"/>
          <w:u w:val="single"/>
        </w:rPr>
        <w:t>2%</w:t>
      </w:r>
      <w:r>
        <w:rPr>
          <w:rFonts w:hint="eastAsia" w:ascii="宋体" w:hAnsi="宋体" w:cs="宋体"/>
          <w:color w:val="auto"/>
          <w:highlight w:val="none"/>
          <w:u w:val="single"/>
        </w:rPr>
        <w:t>作为质量保证金，工程缺陷责任期（自竣工验收合格之日起满</w:t>
      </w:r>
      <w:r>
        <w:rPr>
          <w:rFonts w:hint="eastAsia" w:ascii="宋体" w:hAnsi="宋体" w:cs="宋体"/>
          <w:color w:val="auto"/>
          <w:highlight w:val="none"/>
          <w:u w:val="single"/>
          <w:lang w:val="en-US" w:eastAsia="zh-CN"/>
        </w:rPr>
        <w:t>2</w:t>
      </w:r>
      <w:r>
        <w:rPr>
          <w:rFonts w:hint="eastAsia" w:ascii="宋体" w:hAnsi="宋体" w:cs="宋体"/>
          <w:color w:val="auto"/>
          <w:highlight w:val="none"/>
          <w:u w:val="single"/>
        </w:rPr>
        <w:t>年）满后付清余款。质量保证金支持保函（银行保函、担保机构担保、保证保险）使用。采用保函的不再从工程进度款中扣留质量保证金，保函有效期须与工程缺陷责任期截止时间保持一致。</w:t>
      </w:r>
    </w:p>
    <w:p w14:paraId="1C72C5E9">
      <w:pPr>
        <w:keepNext/>
        <w:keepLines/>
        <w:pageBreakBefore w:val="0"/>
        <w:widowControl w:val="0"/>
        <w:kinsoku/>
        <w:wordWrap/>
        <w:overflowPunct/>
        <w:topLinePunct w:val="0"/>
        <w:autoSpaceDE/>
        <w:autoSpaceDN/>
        <w:bidi w:val="0"/>
        <w:adjustRightInd w:val="0"/>
        <w:snapToGrid w:val="0"/>
        <w:spacing w:line="384" w:lineRule="auto"/>
        <w:ind w:firstLine="420" w:firstLineChars="200"/>
        <w:textAlignment w:val="auto"/>
        <w:outlineLvl w:val="3"/>
        <w:rPr>
          <w:rFonts w:hint="default" w:ascii="宋体" w:hAnsi="宋体" w:eastAsia="宋体" w:cs="宋体"/>
          <w:b/>
          <w:bCs/>
          <w:color w:val="auto"/>
          <w:kern w:val="2"/>
          <w:sz w:val="21"/>
          <w:szCs w:val="21"/>
          <w:highlight w:val="none"/>
          <w:u w:val="single"/>
          <w:lang w:val="en-US" w:eastAsia="zh-CN" w:bidi="ar-SA"/>
        </w:rPr>
      </w:pPr>
      <w:r>
        <w:rPr>
          <w:rFonts w:hint="eastAsia" w:ascii="宋体" w:hAnsi="宋体" w:cs="宋体"/>
          <w:color w:val="auto"/>
          <w:highlight w:val="none"/>
        </w:rPr>
        <w:t>关于付款周期的其他约定：</w:t>
      </w:r>
      <w:r>
        <w:rPr>
          <w:rFonts w:hint="eastAsia" w:ascii="宋体" w:hAnsi="宋体" w:cs="宋体"/>
          <w:color w:val="auto"/>
          <w:highlight w:val="none"/>
          <w:u w:val="single"/>
        </w:rPr>
        <w:t xml:space="preserve"> ①</w:t>
      </w:r>
      <w:r>
        <w:rPr>
          <w:rFonts w:hint="eastAsia" w:ascii="宋体" w:hAnsi="宋体" w:eastAsia="宋体" w:cs="宋体"/>
          <w:b/>
          <w:bCs/>
          <w:color w:val="auto"/>
          <w:kern w:val="2"/>
          <w:sz w:val="21"/>
          <w:szCs w:val="21"/>
          <w:highlight w:val="none"/>
          <w:u w:val="single"/>
          <w:lang w:val="en-US" w:eastAsia="zh-CN" w:bidi="ar-SA"/>
        </w:rPr>
        <w:t>项目施工开工后按月进度付款，每月付至已完成合格工程量价款的85%，工程竣工验收合格后付至已完合格工程量价款的90%。②发包人据以支付月进度款项的相关材料以及审价中心预审结果，不作为双方结算依据，更不得认为是发包人对承包人已完成工程量的认可，工程量等问题以审价中心审核结果为准。</w:t>
      </w:r>
    </w:p>
    <w:p w14:paraId="13A26E6B">
      <w:pPr>
        <w:pStyle w:val="19"/>
        <w:pageBreakBefore w:val="0"/>
        <w:widowControl w:val="0"/>
        <w:kinsoku/>
        <w:wordWrap/>
        <w:overflowPunct/>
        <w:topLinePunct w:val="0"/>
        <w:autoSpaceDE/>
        <w:autoSpaceDN/>
        <w:bidi w:val="0"/>
        <w:spacing w:after="0" w:afterLines="0" w:line="384" w:lineRule="auto"/>
        <w:ind w:left="0" w:leftChars="0"/>
        <w:textAlignment w:val="auto"/>
        <w:rPr>
          <w:rFonts w:hint="eastAsia" w:ascii="宋体" w:hAnsi="宋体" w:eastAsia="宋体" w:cs="宋体"/>
          <w:b/>
          <w:bCs/>
          <w:color w:val="auto"/>
          <w:kern w:val="2"/>
          <w:sz w:val="21"/>
          <w:szCs w:val="21"/>
          <w:highlight w:val="none"/>
          <w:u w:val="single"/>
          <w:lang w:val="en-US" w:eastAsia="zh-CN" w:bidi="ar-SA"/>
        </w:rPr>
      </w:pPr>
      <w:r>
        <w:rPr>
          <w:rFonts w:hint="eastAsia" w:ascii="宋体" w:hAnsi="宋体" w:eastAsia="宋体" w:cs="宋体"/>
          <w:b/>
          <w:bCs/>
          <w:color w:val="auto"/>
          <w:kern w:val="2"/>
          <w:sz w:val="21"/>
          <w:szCs w:val="21"/>
          <w:highlight w:val="none"/>
          <w:u w:val="single"/>
          <w:lang w:val="en-US" w:eastAsia="zh-CN" w:bidi="ar-SA"/>
        </w:rPr>
        <w:t>注：1.承包方应在请款当月的5日前，按建设单位要求将请款资料报送至发包方处，否则，当月不拨付工程款，延期至下个月。2.项目在付清结算价款前须获得相关奖项证明,否则在结算价款中先行予以暂扣未取得黄山杯的违约金，后续获得相关奖项证明后，与奖励金额一并发放。</w:t>
      </w:r>
    </w:p>
    <w:p w14:paraId="003B77B4">
      <w:pPr>
        <w:pStyle w:val="19"/>
        <w:pageBreakBefore w:val="0"/>
        <w:widowControl w:val="0"/>
        <w:kinsoku/>
        <w:wordWrap/>
        <w:overflowPunct/>
        <w:topLinePunct w:val="0"/>
        <w:autoSpaceDE/>
        <w:autoSpaceDN/>
        <w:bidi w:val="0"/>
        <w:spacing w:after="0" w:afterLines="0" w:line="384" w:lineRule="auto"/>
        <w:ind w:left="0" w:leftChars="0"/>
        <w:textAlignment w:val="auto"/>
        <w:rPr>
          <w:rFonts w:hint="default" w:ascii="宋体" w:hAnsi="宋体" w:eastAsia="宋体" w:cs="宋体"/>
          <w:b/>
          <w:bCs/>
          <w:color w:val="auto"/>
          <w:kern w:val="2"/>
          <w:sz w:val="21"/>
          <w:szCs w:val="21"/>
          <w:highlight w:val="none"/>
          <w:u w:val="single"/>
          <w:lang w:val="en-US" w:eastAsia="zh-CN" w:bidi="ar-SA"/>
        </w:rPr>
      </w:pPr>
      <w:r>
        <w:rPr>
          <w:rFonts w:hint="eastAsia" w:ascii="宋体" w:hAnsi="宋体" w:eastAsia="宋体" w:cs="宋体"/>
          <w:b/>
          <w:bCs/>
          <w:color w:val="auto"/>
          <w:kern w:val="2"/>
          <w:sz w:val="21"/>
          <w:szCs w:val="21"/>
          <w:highlight w:val="none"/>
          <w:u w:val="single"/>
          <w:lang w:val="en-US" w:eastAsia="zh-CN" w:bidi="ar-SA"/>
        </w:rPr>
        <w:t>2.本合同项下工程采用一般计税方法。本合同项下承包人收取的工程款均为含增值税价格，承包人必须开具增值税专用发票(税率根据最新的国家税法规定调整)。中标人在请款时所提供的增值税专用发票税率低于国家税务要求的，招标人将从最终合同价款中扣除差额部分。</w:t>
      </w:r>
    </w:p>
    <w:p w14:paraId="379278EB">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12.4.2进度付款申请单的编制</w:t>
      </w:r>
    </w:p>
    <w:p w14:paraId="4CD5D614">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关于进度付款申请单编制的约定：</w:t>
      </w:r>
      <w:r>
        <w:rPr>
          <w:rFonts w:hint="eastAsia" w:ascii="宋体" w:hAnsi="宋体" w:cs="宋体"/>
          <w:color w:val="auto"/>
          <w:szCs w:val="21"/>
          <w:highlight w:val="none"/>
          <w:u w:val="single"/>
        </w:rPr>
        <w:t xml:space="preserve"> </w:t>
      </w:r>
      <w:r>
        <w:rPr>
          <w:rFonts w:hint="eastAsia" w:ascii="宋体" w:hAnsi="宋体" w:eastAsia="宋体" w:cs="宋体"/>
          <w:b/>
          <w:bCs/>
          <w:color w:val="auto"/>
          <w:kern w:val="2"/>
          <w:sz w:val="21"/>
          <w:szCs w:val="21"/>
          <w:highlight w:val="none"/>
          <w:u w:val="single"/>
          <w:lang w:val="en-US" w:eastAsia="zh-CN" w:bidi="ar-SA"/>
        </w:rPr>
        <w:t>按监理要求</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399CA2DB">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r>
        <w:rPr>
          <w:rFonts w:hint="eastAsia" w:ascii="宋体" w:hAnsi="宋体" w:cs="宋体"/>
          <w:color w:val="auto"/>
          <w:highlight w:val="none"/>
        </w:rPr>
        <w:t>2.4.3进度付款申请单的提交</w:t>
      </w:r>
    </w:p>
    <w:p w14:paraId="18671DF2">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（1）单价合同进度付款申请单提交的约定：</w:t>
      </w:r>
      <w:r>
        <w:rPr>
          <w:rFonts w:hint="eastAsia" w:ascii="宋体" w:hAnsi="宋体" w:cs="宋体"/>
          <w:color w:val="auto"/>
          <w:highlight w:val="none"/>
          <w:u w:val="single"/>
        </w:rPr>
        <w:t xml:space="preserve"> </w:t>
      </w:r>
      <w:r>
        <w:rPr>
          <w:rFonts w:hint="eastAsia" w:ascii="宋体" w:hAnsi="宋体" w:eastAsia="宋体" w:cs="宋体"/>
          <w:b/>
          <w:bCs/>
          <w:color w:val="auto"/>
          <w:kern w:val="2"/>
          <w:sz w:val="21"/>
          <w:szCs w:val="21"/>
          <w:highlight w:val="none"/>
          <w:u w:val="single"/>
          <w:lang w:val="en-US" w:eastAsia="zh-CN" w:bidi="ar-SA"/>
        </w:rPr>
        <w:t>按监理要求</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45FFF4A">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（2）总价合同进度付款申请单提交的约定：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不执行</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093BA1B0">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（3）其他价格形式合同进度付款申请单提交的约定：</w:t>
      </w:r>
      <w:r>
        <w:rPr>
          <w:rFonts w:hint="eastAsia" w:ascii="宋体" w:hAnsi="宋体" w:cs="宋体"/>
          <w:color w:val="auto"/>
          <w:highlight w:val="none"/>
          <w:u w:val="single"/>
        </w:rPr>
        <w:t xml:space="preserve"> </w:t>
      </w:r>
      <w:r>
        <w:rPr>
          <w:rFonts w:hint="eastAsia" w:ascii="宋体" w:hAnsi="宋体" w:cs="宋体"/>
          <w:color w:val="auto"/>
          <w:szCs w:val="21"/>
          <w:highlight w:val="none"/>
          <w:u w:val="single"/>
          <w:lang w:val="en-US" w:eastAsia="zh-CN"/>
        </w:rPr>
        <w:t>不执行</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EF93F40">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12.4.4 进度款审核和支付</w:t>
      </w:r>
    </w:p>
    <w:p w14:paraId="01517125">
      <w:pPr>
        <w:adjustRightInd w:val="0"/>
        <w:snapToGrid w:val="0"/>
        <w:spacing w:line="384" w:lineRule="auto"/>
        <w:ind w:firstLine="420" w:firstLineChars="200"/>
        <w:rPr>
          <w:rFonts w:hint="eastAsia" w:ascii="宋体" w:hAnsi="宋体" w:cs="宋体"/>
          <w:b/>
          <w:color w:val="auto"/>
          <w:highlight w:val="none"/>
          <w:u w:val="single"/>
        </w:rPr>
      </w:pPr>
      <w:r>
        <w:rPr>
          <w:rFonts w:hint="eastAsia" w:ascii="宋体" w:hAnsi="宋体" w:cs="宋体"/>
          <w:color w:val="auto"/>
          <w:highlight w:val="none"/>
        </w:rPr>
        <w:t>（1）监理人审查并报送发包人的期限：</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执行通用条款</w:t>
      </w:r>
      <w:r>
        <w:rPr>
          <w:rFonts w:hint="eastAsia" w:ascii="宋体" w:hAnsi="宋体" w:cs="宋体"/>
          <w:color w:val="auto"/>
          <w:szCs w:val="21"/>
          <w:highlight w:val="none"/>
          <w:u w:val="single"/>
        </w:rPr>
        <w:t xml:space="preserve">  </w:t>
      </w:r>
      <w:r>
        <w:rPr>
          <w:rFonts w:hint="eastAsia" w:ascii="宋体" w:hAnsi="宋体" w:cs="宋体"/>
          <w:b/>
          <w:color w:val="auto"/>
          <w:highlight w:val="none"/>
        </w:rPr>
        <w:t>。</w:t>
      </w:r>
    </w:p>
    <w:p w14:paraId="25C103E2">
      <w:pPr>
        <w:adjustRightInd w:val="0"/>
        <w:snapToGrid w:val="0"/>
        <w:spacing w:line="384" w:lineRule="auto"/>
        <w:ind w:firstLine="420" w:firstLineChars="200"/>
        <w:rPr>
          <w:rFonts w:hint="eastAsia" w:ascii="宋体" w:hAnsi="宋体" w:cs="宋体"/>
          <w:b/>
          <w:color w:val="auto"/>
          <w:highlight w:val="none"/>
          <w:u w:val="single"/>
        </w:rPr>
      </w:pPr>
      <w:r>
        <w:rPr>
          <w:rFonts w:hint="eastAsia" w:ascii="宋体" w:hAnsi="宋体" w:cs="宋体"/>
          <w:color w:val="auto"/>
          <w:highlight w:val="none"/>
        </w:rPr>
        <w:t>发包人完成审批并签发进度款支付证书的期限：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C5CDA5B">
      <w:pPr>
        <w:adjustRightInd w:val="0"/>
        <w:snapToGrid w:val="0"/>
        <w:spacing w:line="384" w:lineRule="auto"/>
        <w:ind w:firstLine="420" w:firstLineChars="200"/>
        <w:rPr>
          <w:rFonts w:hint="eastAsia" w:ascii="宋体" w:hAnsi="宋体" w:cs="宋体"/>
          <w:b/>
          <w:color w:val="auto"/>
          <w:highlight w:val="none"/>
        </w:rPr>
      </w:pPr>
      <w:r>
        <w:rPr>
          <w:rFonts w:hint="eastAsia" w:ascii="宋体" w:hAnsi="宋体" w:cs="宋体"/>
          <w:color w:val="auto"/>
          <w:highlight w:val="none"/>
        </w:rPr>
        <w:t>（2）发包人支付进度款的期限：</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详见12.4规定</w:t>
      </w:r>
      <w:r>
        <w:rPr>
          <w:rFonts w:hint="eastAsia" w:ascii="宋体" w:hAnsi="宋体" w:cs="宋体"/>
          <w:color w:val="auto"/>
          <w:szCs w:val="21"/>
          <w:highlight w:val="none"/>
          <w:u w:val="single"/>
        </w:rPr>
        <w:t xml:space="preserve"> </w:t>
      </w:r>
      <w:r>
        <w:rPr>
          <w:rFonts w:hint="eastAsia" w:ascii="宋体" w:hAnsi="宋体" w:cs="宋体"/>
          <w:b/>
          <w:color w:val="auto"/>
          <w:highlight w:val="none"/>
        </w:rPr>
        <w:t>。</w:t>
      </w:r>
    </w:p>
    <w:p w14:paraId="43A464A0">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 xml:space="preserve">发包人逾期支付进度款的违约金的计算方式 </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无</w:t>
      </w:r>
      <w:r>
        <w:rPr>
          <w:rFonts w:hint="eastAsia" w:ascii="宋体" w:hAnsi="宋体" w:cs="宋体"/>
          <w:color w:val="auto"/>
          <w:highlight w:val="none"/>
          <w:u w:val="single"/>
        </w:rPr>
        <w:t xml:space="preserve">    </w:t>
      </w:r>
      <w:r>
        <w:rPr>
          <w:rFonts w:hint="eastAsia" w:ascii="宋体" w:hAnsi="宋体" w:cs="宋体"/>
          <w:b/>
          <w:color w:val="auto"/>
          <w:highlight w:val="none"/>
        </w:rPr>
        <w:t>。</w:t>
      </w:r>
    </w:p>
    <w:p w14:paraId="2B9E24F1">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12.4.6 支付分解表的编制</w:t>
      </w:r>
    </w:p>
    <w:p w14:paraId="3FA1159C">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(2)总价合同支付分解表的编制与审批：</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632B5603">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(3)单价合同的总价项目支付分解表的编制与审批：</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510EE50C">
      <w:pPr>
        <w:adjustRightInd w:val="0"/>
        <w:snapToGrid w:val="0"/>
        <w:spacing w:line="384" w:lineRule="auto"/>
        <w:ind w:firstLine="422" w:firstLineChars="200"/>
        <w:rPr>
          <w:rFonts w:hint="eastAsia" w:ascii="宋体" w:hAnsi="宋体" w:cs="宋体"/>
          <w:b/>
          <w:color w:val="auto"/>
          <w:highlight w:val="none"/>
        </w:rPr>
      </w:pPr>
      <w:r>
        <w:rPr>
          <w:rFonts w:hint="eastAsia" w:ascii="宋体" w:hAnsi="宋体" w:cs="宋体"/>
          <w:b/>
          <w:color w:val="auto"/>
          <w:highlight w:val="none"/>
        </w:rPr>
        <w:t>12.4.7 农民工工资管理（农民工工资保证金支持保函使用）</w:t>
      </w:r>
    </w:p>
    <w:p w14:paraId="60FFF673">
      <w:pPr>
        <w:adjustRightInd w:val="0"/>
        <w:snapToGrid w:val="0"/>
        <w:spacing w:line="384" w:lineRule="auto"/>
        <w:ind w:firstLine="420" w:firstLineChars="200"/>
        <w:rPr>
          <w:rFonts w:hint="eastAsia" w:ascii="宋体" w:hAnsi="宋体" w:eastAsia="宋体" w:cs="宋体"/>
          <w:bCs/>
          <w:color w:val="auto"/>
          <w:highlight w:val="none"/>
          <w:lang w:eastAsia="zh-CN"/>
        </w:rPr>
      </w:pPr>
      <w:r>
        <w:rPr>
          <w:rFonts w:hint="eastAsia" w:ascii="宋体" w:hAnsi="宋体" w:cs="宋体"/>
          <w:bCs/>
          <w:color w:val="auto"/>
          <w:highlight w:val="none"/>
        </w:rPr>
        <w:t>(1)本工程农民工工资实行专用账户管理，承包人设立的专用账户开户行为</w:t>
      </w:r>
      <w:r>
        <w:rPr>
          <w:rFonts w:hint="eastAsia" w:ascii="宋体" w:hAnsi="宋体" w:cs="宋体"/>
          <w:bCs/>
          <w:color w:val="auto"/>
          <w:highlight w:val="none"/>
          <w:u w:val="single"/>
        </w:rPr>
        <w:t xml:space="preserve">：        </w:t>
      </w:r>
      <w:r>
        <w:rPr>
          <w:rFonts w:hint="eastAsia" w:ascii="宋体" w:hAnsi="宋体" w:cs="宋体"/>
          <w:bCs/>
          <w:color w:val="auto"/>
          <w:highlight w:val="none"/>
        </w:rPr>
        <w:t>，账号：</w:t>
      </w:r>
      <w:r>
        <w:rPr>
          <w:rFonts w:hint="eastAsia" w:ascii="宋体" w:hAnsi="宋体" w:cs="宋体"/>
          <w:bCs/>
          <w:color w:val="auto"/>
          <w:highlight w:val="none"/>
          <w:u w:val="single"/>
        </w:rPr>
        <w:t xml:space="preserve">              </w:t>
      </w:r>
      <w:r>
        <w:rPr>
          <w:rFonts w:hint="eastAsia" w:ascii="宋体" w:hAnsi="宋体" w:cs="宋体"/>
          <w:bCs/>
          <w:color w:val="auto"/>
          <w:highlight w:val="none"/>
          <w:lang w:eastAsia="zh-CN"/>
        </w:rPr>
        <w:t>；</w:t>
      </w:r>
    </w:p>
    <w:p w14:paraId="45E10B69">
      <w:pPr>
        <w:adjustRightInd w:val="0"/>
        <w:snapToGrid w:val="0"/>
        <w:spacing w:line="384"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(2)本工程工资性工程款</w:t>
      </w:r>
      <w:r>
        <w:rPr>
          <w:rFonts w:hint="eastAsia" w:ascii="宋体" w:hAnsi="宋体" w:cs="宋体"/>
          <w:bCs/>
          <w:color w:val="auto"/>
          <w:highlight w:val="none"/>
          <w:u w:val="single"/>
        </w:rPr>
        <w:t xml:space="preserve">         </w:t>
      </w:r>
      <w:r>
        <w:rPr>
          <w:rFonts w:hint="eastAsia" w:ascii="宋体" w:hAnsi="宋体" w:cs="宋体"/>
          <w:bCs/>
          <w:color w:val="auto"/>
          <w:highlight w:val="none"/>
        </w:rPr>
        <w:t>元（相应的最低工资标准乘建筑面积）；其中工资性工程预付款</w:t>
      </w:r>
      <w:r>
        <w:rPr>
          <w:rFonts w:hint="eastAsia" w:ascii="宋体" w:hAnsi="宋体" w:cs="宋体"/>
          <w:bCs/>
          <w:color w:val="auto"/>
          <w:highlight w:val="none"/>
          <w:u w:val="single"/>
        </w:rPr>
        <w:t xml:space="preserve">         </w:t>
      </w:r>
      <w:r>
        <w:rPr>
          <w:rFonts w:hint="eastAsia" w:ascii="宋体" w:hAnsi="宋体" w:cs="宋体"/>
          <w:bCs/>
          <w:color w:val="auto"/>
          <w:highlight w:val="none"/>
        </w:rPr>
        <w:t>元。(工资性工程款除月工期)</w:t>
      </w:r>
    </w:p>
    <w:p w14:paraId="552D7C5E">
      <w:pPr>
        <w:adjustRightInd w:val="0"/>
        <w:snapToGrid w:val="0"/>
        <w:spacing w:line="384"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(3)发包人在监理人签发开工报告前，将工资性工程预付款转入承包人开立的农民工工资专用账户。</w:t>
      </w:r>
    </w:p>
    <w:p w14:paraId="76315385">
      <w:pPr>
        <w:adjustRightInd w:val="0"/>
        <w:snapToGrid w:val="0"/>
        <w:spacing w:line="384"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工程开工后第一个月支付工资性工程进度款起，分</w:t>
      </w:r>
      <w:r>
        <w:rPr>
          <w:rFonts w:hint="eastAsia" w:ascii="宋体" w:hAnsi="宋体" w:cs="宋体"/>
          <w:bCs/>
          <w:color w:val="auto"/>
          <w:highlight w:val="none"/>
          <w:u w:val="single"/>
        </w:rPr>
        <w:t xml:space="preserve">  </w:t>
      </w:r>
      <w:r>
        <w:rPr>
          <w:rFonts w:hint="eastAsia" w:ascii="宋体" w:hAnsi="宋体" w:cs="宋体"/>
          <w:bCs/>
          <w:color w:val="auto"/>
          <w:szCs w:val="21"/>
          <w:highlight w:val="none"/>
          <w:u w:val="single"/>
        </w:rPr>
        <w:t xml:space="preserve"> </w:t>
      </w:r>
      <w:r>
        <w:rPr>
          <w:rFonts w:hint="eastAsia" w:ascii="宋体" w:hAnsi="宋体" w:cs="宋体"/>
          <w:bCs/>
          <w:color w:val="auto"/>
          <w:highlight w:val="none"/>
          <w:u w:val="single"/>
        </w:rPr>
        <w:t xml:space="preserve">  </w:t>
      </w:r>
      <w:r>
        <w:rPr>
          <w:rFonts w:hint="eastAsia" w:ascii="宋体" w:hAnsi="宋体" w:cs="宋体"/>
          <w:bCs/>
          <w:color w:val="auto"/>
          <w:highlight w:val="none"/>
        </w:rPr>
        <w:t>月扣回工资性工程预付款。</w:t>
      </w:r>
    </w:p>
    <w:p w14:paraId="52477C25">
      <w:pPr>
        <w:adjustRightInd w:val="0"/>
        <w:snapToGrid w:val="0"/>
        <w:spacing w:line="384"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(4)发包人于每月25日前将工资性工程进度款转入农民工工资专用账户。</w:t>
      </w:r>
    </w:p>
    <w:p w14:paraId="5452D11E">
      <w:pPr>
        <w:adjustRightInd w:val="0"/>
        <w:snapToGrid w:val="0"/>
        <w:spacing w:line="384"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(5)承包人每月25日前上报本工程农民工工资清单，每月10日前委托开设农民工工资专用账户的银行支付农民工工资。</w:t>
      </w:r>
    </w:p>
    <w:p w14:paraId="45645420">
      <w:pPr>
        <w:adjustRightInd w:val="0"/>
        <w:snapToGrid w:val="0"/>
        <w:spacing w:line="384" w:lineRule="auto"/>
        <w:ind w:firstLine="420" w:firstLineChars="200"/>
        <w:rPr>
          <w:rFonts w:hint="eastAsia" w:ascii="宋体" w:hAnsi="宋体" w:eastAsia="宋体" w:cs="宋体"/>
          <w:bCs/>
          <w:color w:val="auto"/>
          <w:highlight w:val="none"/>
        </w:rPr>
      </w:pPr>
      <w:r>
        <w:rPr>
          <w:rFonts w:hint="eastAsia" w:ascii="宋体" w:hAnsi="宋体" w:cs="宋体"/>
          <w:bCs/>
          <w:color w:val="auto"/>
          <w:highlight w:val="none"/>
        </w:rPr>
        <w:t>(6)工程竣工后，经项目部农民工维权组确认无农民工工资拖欠后，发、承双方办理农民工工</w:t>
      </w:r>
      <w:r>
        <w:rPr>
          <w:rFonts w:hint="eastAsia" w:ascii="宋体" w:hAnsi="宋体" w:eastAsia="宋体" w:cs="宋体"/>
          <w:bCs/>
          <w:color w:val="auto"/>
          <w:highlight w:val="none"/>
        </w:rPr>
        <w:t>资专用账户撤销手续，农民工工资专用账户余额划至本合同约定的承包人账户。</w:t>
      </w:r>
    </w:p>
    <w:bookmarkEnd w:id="1007"/>
    <w:p w14:paraId="21E4B41C">
      <w:pPr>
        <w:adjustRightInd w:val="0"/>
        <w:snapToGrid w:val="0"/>
        <w:spacing w:line="384" w:lineRule="auto"/>
        <w:ind w:firstLine="420" w:firstLineChars="200"/>
        <w:rPr>
          <w:rFonts w:hint="eastAsia" w:ascii="宋体" w:hAnsi="宋体" w:eastAsia="宋体" w:cs="宋体"/>
          <w:bCs/>
          <w:color w:val="auto"/>
          <w:highlight w:val="none"/>
        </w:rPr>
      </w:pPr>
      <w:bookmarkStart w:id="1183" w:name="_Toc95223477"/>
      <w:bookmarkStart w:id="1184" w:name="_Toc351203645"/>
      <w:bookmarkStart w:id="1185" w:name="_Toc292559929"/>
      <w:bookmarkStart w:id="1186" w:name="_Toc296503219"/>
      <w:bookmarkStart w:id="1187" w:name="_Toc292559424"/>
      <w:bookmarkStart w:id="1188" w:name="_Toc296891259"/>
      <w:bookmarkStart w:id="1189" w:name="_Toc304295593"/>
      <w:bookmarkStart w:id="1190" w:name="_Toc297216223"/>
      <w:bookmarkStart w:id="1191" w:name="_Toc296346720"/>
      <w:bookmarkStart w:id="1192" w:name="_Toc300935015"/>
      <w:bookmarkStart w:id="1193" w:name="_Toc296944558"/>
      <w:bookmarkStart w:id="1194" w:name="_Toc297048405"/>
      <w:bookmarkStart w:id="1195" w:name="_Toc297123564"/>
      <w:bookmarkStart w:id="1196" w:name="_Toc312678053"/>
      <w:bookmarkStart w:id="1197" w:name="_Toc296347218"/>
      <w:bookmarkStart w:id="1198" w:name="_Toc303539172"/>
      <w:bookmarkStart w:id="1199" w:name="_Toc297120519"/>
      <w:bookmarkStart w:id="1200" w:name="_Toc296891047"/>
      <w:r>
        <w:rPr>
          <w:rFonts w:hint="eastAsia" w:ascii="宋体" w:hAnsi="宋体" w:eastAsia="宋体" w:cs="宋体"/>
          <w:bCs/>
          <w:color w:val="auto"/>
          <w:highlight w:val="none"/>
        </w:rPr>
        <w:t>13. 验收和工程试车</w:t>
      </w:r>
      <w:bookmarkEnd w:id="1183"/>
      <w:bookmarkEnd w:id="1184"/>
    </w:p>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14:paraId="6CBD5F93">
      <w:pPr>
        <w:adjustRightInd w:val="0"/>
        <w:snapToGrid w:val="0"/>
        <w:spacing w:line="384" w:lineRule="auto"/>
        <w:ind w:firstLine="420" w:firstLineChars="200"/>
        <w:rPr>
          <w:rFonts w:hint="eastAsia" w:ascii="宋体" w:hAnsi="宋体" w:eastAsia="宋体" w:cs="宋体"/>
          <w:bCs/>
          <w:color w:val="auto"/>
          <w:highlight w:val="none"/>
        </w:rPr>
      </w:pPr>
      <w:bookmarkStart w:id="1201" w:name="_Toc95223478"/>
      <w:r>
        <w:rPr>
          <w:rFonts w:hint="eastAsia" w:ascii="宋体" w:hAnsi="宋体" w:eastAsia="宋体" w:cs="宋体"/>
          <w:bCs/>
          <w:color w:val="auto"/>
          <w:highlight w:val="none"/>
        </w:rPr>
        <w:t>13.1 分部分项工程验收</w:t>
      </w:r>
      <w:bookmarkEnd w:id="1201"/>
    </w:p>
    <w:p w14:paraId="65AFA3A7">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13.1.2 监理人不能按时进行验收时，应提前 </w:t>
      </w:r>
      <w:r>
        <w:rPr>
          <w:rFonts w:hint="eastAsia" w:ascii="宋体" w:hAnsi="宋体" w:cs="宋体"/>
          <w:color w:val="auto"/>
          <w:szCs w:val="21"/>
          <w:highlight w:val="none"/>
          <w:u w:val="single"/>
        </w:rPr>
        <w:t xml:space="preserve">24 </w:t>
      </w:r>
      <w:r>
        <w:rPr>
          <w:rFonts w:hint="eastAsia" w:ascii="宋体" w:hAnsi="宋体" w:cs="宋体"/>
          <w:color w:val="auto"/>
          <w:highlight w:val="none"/>
        </w:rPr>
        <w:t>小时提交书面延期要求。</w:t>
      </w:r>
    </w:p>
    <w:p w14:paraId="40B34C73">
      <w:pPr>
        <w:adjustRightInd w:val="0"/>
        <w:snapToGrid w:val="0"/>
        <w:spacing w:line="384" w:lineRule="auto"/>
        <w:ind w:firstLine="420" w:firstLineChars="200"/>
        <w:rPr>
          <w:rFonts w:hint="eastAsia" w:ascii="宋体" w:hAnsi="宋体" w:cs="宋体"/>
          <w:b/>
          <w:color w:val="auto"/>
          <w:highlight w:val="none"/>
        </w:rPr>
      </w:pPr>
      <w:r>
        <w:rPr>
          <w:rFonts w:hint="eastAsia" w:ascii="宋体" w:hAnsi="宋体" w:cs="宋体"/>
          <w:color w:val="auto"/>
          <w:highlight w:val="none"/>
        </w:rPr>
        <w:t>关于延期最长不得超过：</w:t>
      </w:r>
      <w:r>
        <w:rPr>
          <w:rFonts w:hint="eastAsia" w:ascii="宋体" w:hAnsi="宋体" w:cs="宋体"/>
          <w:color w:val="auto"/>
          <w:highlight w:val="none"/>
          <w:u w:val="single"/>
        </w:rPr>
        <w:t xml:space="preserve"> </w:t>
      </w:r>
      <w:r>
        <w:rPr>
          <w:rFonts w:hint="eastAsia" w:ascii="宋体" w:hAnsi="宋体" w:cs="宋体"/>
          <w:color w:val="auto"/>
          <w:szCs w:val="21"/>
          <w:highlight w:val="none"/>
          <w:u w:val="single"/>
        </w:rPr>
        <w:t xml:space="preserve">48 </w:t>
      </w:r>
      <w:r>
        <w:rPr>
          <w:rFonts w:hint="eastAsia" w:ascii="宋体" w:hAnsi="宋体" w:cs="宋体"/>
          <w:color w:val="auto"/>
          <w:highlight w:val="none"/>
        </w:rPr>
        <w:t>小时。</w:t>
      </w:r>
    </w:p>
    <w:p w14:paraId="28E5686F">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bookmarkStart w:id="1202" w:name="_Toc312678056"/>
      <w:bookmarkStart w:id="1203" w:name="_Toc296944562"/>
      <w:bookmarkStart w:id="1204" w:name="_Toc303539173"/>
      <w:bookmarkStart w:id="1205" w:name="_Toc297123565"/>
      <w:bookmarkStart w:id="1206" w:name="_Toc300935016"/>
      <w:bookmarkStart w:id="1207" w:name="_Toc296346724"/>
      <w:bookmarkStart w:id="1208" w:name="_Toc296503223"/>
      <w:bookmarkStart w:id="1209" w:name="_Toc296347222"/>
      <w:bookmarkStart w:id="1210" w:name="_Toc304295596"/>
      <w:bookmarkStart w:id="1211" w:name="_Toc297048409"/>
      <w:bookmarkStart w:id="1212" w:name="_Toc297216224"/>
      <w:bookmarkStart w:id="1213" w:name="_Toc292559428"/>
      <w:bookmarkStart w:id="1214" w:name="_Toc296891051"/>
      <w:bookmarkStart w:id="1215" w:name="_Toc296891263"/>
      <w:bookmarkStart w:id="1216" w:name="_Toc292559933"/>
      <w:bookmarkStart w:id="1217" w:name="_Toc297120523"/>
      <w:bookmarkStart w:id="1218" w:name="_Toc267251470"/>
      <w:bookmarkStart w:id="1219" w:name="_Toc267251471"/>
      <w:bookmarkStart w:id="1220" w:name="_Toc267251472"/>
      <w:bookmarkStart w:id="1221" w:name="_Toc267251475"/>
      <w:bookmarkStart w:id="1222" w:name="_Toc267251474"/>
      <w:bookmarkStart w:id="1223" w:name="_Toc267251473"/>
      <w:bookmarkStart w:id="1224" w:name="_Toc267251476"/>
      <w:r>
        <w:rPr>
          <w:rFonts w:hint="eastAsia" w:ascii="宋体" w:hAnsi="宋体" w:cs="宋体"/>
          <w:bCs/>
          <w:color w:val="auto"/>
          <w:szCs w:val="28"/>
          <w:highlight w:val="none"/>
        </w:rPr>
        <w:t>13.2 竣工验收</w:t>
      </w:r>
    </w:p>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p w14:paraId="561174C0">
      <w:pPr>
        <w:adjustRightInd w:val="0"/>
        <w:snapToGrid w:val="0"/>
        <w:spacing w:line="384" w:lineRule="auto"/>
        <w:ind w:firstLine="420" w:firstLineChars="200"/>
        <w:rPr>
          <w:rFonts w:hint="eastAsia" w:ascii="宋体" w:hAnsi="宋体" w:cs="宋体"/>
          <w:color w:val="auto"/>
          <w:highlight w:val="none"/>
        </w:rPr>
      </w:pPr>
      <w:bookmarkStart w:id="1225" w:name="_Toc280868704"/>
      <w:bookmarkStart w:id="1226" w:name="_Toc280868705"/>
      <w:bookmarkStart w:id="1227" w:name="_Toc280868706"/>
      <w:bookmarkStart w:id="1228" w:name="_Toc280868707"/>
      <w:bookmarkStart w:id="1229" w:name="_Toc280868708"/>
      <w:bookmarkStart w:id="1230" w:name="_Toc280868709"/>
      <w:r>
        <w:rPr>
          <w:rFonts w:hint="eastAsia" w:ascii="宋体" w:hAnsi="宋体" w:cs="宋体"/>
          <w:color w:val="auto"/>
          <w:highlight w:val="none"/>
        </w:rPr>
        <w:t>13.2.2 竣工验收程序</w:t>
      </w:r>
    </w:p>
    <w:bookmarkEnd w:id="1225"/>
    <w:p w14:paraId="5B67351E">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kern w:val="0"/>
          <w:highlight w:val="none"/>
        </w:rPr>
        <w:t>关于竣工验收程序的约定：</w:t>
      </w:r>
      <w:r>
        <w:rPr>
          <w:rFonts w:hint="eastAsia" w:ascii="宋体" w:hAnsi="宋体" w:cs="宋体"/>
          <w:color w:val="auto"/>
          <w:szCs w:val="21"/>
          <w:highlight w:val="none"/>
          <w:u w:val="single"/>
        </w:rPr>
        <w:t>执行通用条款</w:t>
      </w:r>
      <w:r>
        <w:rPr>
          <w:rFonts w:hint="eastAsia" w:ascii="宋体" w:hAnsi="宋体" w:cs="宋体"/>
          <w:color w:val="auto"/>
          <w:highlight w:val="none"/>
        </w:rPr>
        <w:t>。</w:t>
      </w:r>
    </w:p>
    <w:p w14:paraId="5EAC97A9">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kern w:val="0"/>
          <w:highlight w:val="none"/>
        </w:rPr>
        <w:t>发包人不按照本项约定组织竣工验收、颁发工程接收证书的违约金的计算方法：</w:t>
      </w:r>
      <w:r>
        <w:rPr>
          <w:rFonts w:hint="eastAsia" w:ascii="宋体" w:hAnsi="宋体" w:cs="宋体"/>
          <w:color w:val="auto"/>
          <w:szCs w:val="21"/>
          <w:highlight w:val="none"/>
          <w:u w:val="single"/>
        </w:rPr>
        <w:t>执行通用条款</w:t>
      </w:r>
      <w:r>
        <w:rPr>
          <w:rFonts w:hint="eastAsia" w:ascii="宋体" w:hAnsi="宋体" w:cs="宋体"/>
          <w:color w:val="auto"/>
          <w:highlight w:val="none"/>
        </w:rPr>
        <w:t>。</w:t>
      </w:r>
    </w:p>
    <w:bookmarkEnd w:id="1226"/>
    <w:p w14:paraId="2557F26D">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13.2.5 移交、接收全部与部分工程</w:t>
      </w:r>
    </w:p>
    <w:bookmarkEnd w:id="1227"/>
    <w:p w14:paraId="58E9CD1E">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承包人向发包人移交工程的期限：</w:t>
      </w:r>
      <w:r>
        <w:rPr>
          <w:rFonts w:hint="eastAsia" w:ascii="宋体" w:hAnsi="宋体" w:cs="宋体"/>
          <w:color w:val="auto"/>
          <w:szCs w:val="21"/>
          <w:highlight w:val="none"/>
          <w:u w:val="single"/>
        </w:rPr>
        <w:t>颁发工程接收证书后7天内完成工程的移交</w:t>
      </w:r>
      <w:r>
        <w:rPr>
          <w:rFonts w:hint="eastAsia" w:ascii="宋体" w:hAnsi="宋体" w:cs="宋体"/>
          <w:color w:val="auto"/>
          <w:highlight w:val="none"/>
        </w:rPr>
        <w:t>。</w:t>
      </w:r>
    </w:p>
    <w:p w14:paraId="65CAEA31">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kern w:val="0"/>
          <w:highlight w:val="none"/>
        </w:rPr>
        <w:t>发包人未按本合同约定接收全部或部分工程的，违约金的计算方法为：</w:t>
      </w:r>
      <w:r>
        <w:rPr>
          <w:rFonts w:hint="eastAsia" w:ascii="宋体" w:hAnsi="宋体" w:cs="宋体"/>
          <w:color w:val="auto"/>
          <w:szCs w:val="21"/>
          <w:highlight w:val="none"/>
          <w:u w:val="single"/>
        </w:rPr>
        <w:t>发包人自应当接收工程之日起，承担工程照管、成品保护、保管等与工程有关的各项费用</w:t>
      </w:r>
      <w:r>
        <w:rPr>
          <w:rFonts w:hint="eastAsia" w:ascii="宋体" w:hAnsi="宋体" w:cs="宋体"/>
          <w:color w:val="auto"/>
          <w:highlight w:val="none"/>
        </w:rPr>
        <w:t>。</w:t>
      </w:r>
    </w:p>
    <w:bookmarkEnd w:id="1228"/>
    <w:p w14:paraId="36B15213">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承包人未按时移交工程的，违约金的计算方法为：</w:t>
      </w:r>
      <w:r>
        <w:rPr>
          <w:rFonts w:hint="eastAsia" w:ascii="宋体" w:hAnsi="宋体" w:cs="宋体"/>
          <w:color w:val="auto"/>
          <w:szCs w:val="21"/>
          <w:highlight w:val="none"/>
          <w:u w:val="single"/>
        </w:rPr>
        <w:t>每逾期1天，承包人应向发包人支付</w:t>
      </w:r>
      <w:r>
        <w:rPr>
          <w:rFonts w:hint="eastAsia" w:ascii="宋体" w:hAnsi="宋体" w:cs="宋体"/>
          <w:color w:val="auto"/>
          <w:szCs w:val="21"/>
          <w:highlight w:val="none"/>
          <w:u w:val="single"/>
          <w:lang w:val="en-US" w:eastAsia="zh-CN"/>
        </w:rPr>
        <w:t>10000</w:t>
      </w:r>
      <w:r>
        <w:rPr>
          <w:rFonts w:hint="eastAsia" w:ascii="宋体" w:hAnsi="宋体" w:cs="宋体"/>
          <w:color w:val="auto"/>
          <w:szCs w:val="21"/>
          <w:highlight w:val="none"/>
          <w:u w:val="single"/>
        </w:rPr>
        <w:t>元/天违约金</w:t>
      </w:r>
      <w:r>
        <w:rPr>
          <w:rFonts w:hint="eastAsia" w:ascii="宋体" w:hAnsi="宋体" w:cs="宋体"/>
          <w:color w:val="auto"/>
          <w:highlight w:val="none"/>
        </w:rPr>
        <w:t>。</w:t>
      </w:r>
    </w:p>
    <w:p w14:paraId="3EC373DE">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13.3 工程试车</w:t>
      </w:r>
    </w:p>
    <w:bookmarkEnd w:id="1229"/>
    <w:p w14:paraId="578C634B">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13.3.1 试车程序</w:t>
      </w:r>
    </w:p>
    <w:p w14:paraId="7DBE809D">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kern w:val="0"/>
          <w:highlight w:val="none"/>
        </w:rPr>
        <w:t>工程试车内容：</w:t>
      </w:r>
      <w:r>
        <w:rPr>
          <w:rFonts w:hint="eastAsia" w:ascii="宋体" w:hAnsi="宋体" w:cs="宋体"/>
          <w:color w:val="auto"/>
          <w:highlight w:val="none"/>
          <w:u w:val="single"/>
        </w:rPr>
        <w:t xml:space="preserve"> </w:t>
      </w:r>
      <w:r>
        <w:rPr>
          <w:rFonts w:hint="eastAsia" w:ascii="宋体" w:hAnsi="宋体" w:cs="宋体"/>
          <w:color w:val="auto"/>
          <w:szCs w:val="21"/>
          <w:highlight w:val="none"/>
          <w:u w:val="single"/>
        </w:rPr>
        <w:t>执行通用条款</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B78BF35">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（1）单机无负荷试车费用由</w:t>
      </w:r>
      <w:r>
        <w:rPr>
          <w:rFonts w:hint="eastAsia" w:ascii="宋体" w:hAnsi="宋体" w:cs="宋体"/>
          <w:color w:val="auto"/>
          <w:kern w:val="0"/>
          <w:highlight w:val="none"/>
          <w:lang w:val="en-US" w:eastAsia="zh-CN"/>
        </w:rPr>
        <w:t xml:space="preserve"> </w:t>
      </w:r>
      <w:r>
        <w:rPr>
          <w:rFonts w:hint="eastAsia" w:ascii="宋体" w:hAnsi="宋体" w:cs="宋体"/>
          <w:color w:val="auto"/>
          <w:szCs w:val="21"/>
          <w:highlight w:val="none"/>
          <w:u w:val="single"/>
        </w:rPr>
        <w:t>试车消耗的生产性原材料由发包人承担；试车其他费用（包括试车所需水电油等费用）由承包人在措施费中考虑</w:t>
      </w:r>
      <w:r>
        <w:rPr>
          <w:rFonts w:hint="eastAsia" w:ascii="宋体" w:hAnsi="宋体" w:cs="宋体"/>
          <w:color w:val="auto"/>
          <w:kern w:val="0"/>
          <w:highlight w:val="none"/>
        </w:rPr>
        <w:t>承担；</w:t>
      </w:r>
    </w:p>
    <w:p w14:paraId="35B8B398">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（2）无负荷联动试车费用由</w:t>
      </w:r>
      <w:r>
        <w:rPr>
          <w:rFonts w:hint="eastAsia" w:ascii="宋体" w:hAnsi="宋体" w:cs="宋体"/>
          <w:color w:val="auto"/>
          <w:szCs w:val="21"/>
          <w:highlight w:val="none"/>
          <w:u w:val="single"/>
        </w:rPr>
        <w:t>试车消耗的生产性原材料由发包人承担；试车其他费用（包括试车所需水电油等费用）由承包人在措施费中考虑</w:t>
      </w:r>
      <w:r>
        <w:rPr>
          <w:rFonts w:hint="eastAsia" w:ascii="宋体" w:hAnsi="宋体" w:cs="宋体"/>
          <w:color w:val="auto"/>
          <w:kern w:val="0"/>
          <w:highlight w:val="none"/>
        </w:rPr>
        <w:t>承担。</w:t>
      </w:r>
    </w:p>
    <w:p w14:paraId="0E879227">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13.3.3 投料试车</w:t>
      </w:r>
    </w:p>
    <w:p w14:paraId="6DB3DAD7">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kern w:val="0"/>
          <w:highlight w:val="none"/>
        </w:rPr>
        <w:t>关于投料试车相关事项的约定：</w:t>
      </w:r>
      <w:r>
        <w:rPr>
          <w:rFonts w:hint="eastAsia" w:ascii="宋体" w:hAnsi="宋体" w:cs="宋体"/>
          <w:color w:val="auto"/>
          <w:szCs w:val="21"/>
          <w:highlight w:val="none"/>
          <w:u w:val="single"/>
        </w:rPr>
        <w:t>执行通用条款</w:t>
      </w:r>
      <w:r>
        <w:rPr>
          <w:rFonts w:hint="eastAsia" w:ascii="宋体" w:hAnsi="宋体" w:cs="宋体"/>
          <w:color w:val="auto"/>
          <w:highlight w:val="none"/>
        </w:rPr>
        <w:t>。</w:t>
      </w:r>
    </w:p>
    <w:p w14:paraId="41FB4469">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13.6 竣工退场</w:t>
      </w:r>
    </w:p>
    <w:p w14:paraId="5CEB286D">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13.6.1 竣工退场</w:t>
      </w:r>
    </w:p>
    <w:p w14:paraId="2B0A1CA3">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承包人完成竣工退场的期限：</w:t>
      </w:r>
      <w:r>
        <w:rPr>
          <w:rFonts w:hint="eastAsia" w:ascii="宋体" w:hAnsi="宋体" w:cs="宋体"/>
          <w:color w:val="auto"/>
          <w:highlight w:val="none"/>
          <w:u w:val="single"/>
        </w:rPr>
        <w:t xml:space="preserve"> </w:t>
      </w:r>
      <w:r>
        <w:rPr>
          <w:rFonts w:hint="eastAsia" w:ascii="宋体" w:hAnsi="宋体" w:eastAsia="宋体" w:cs="宋体"/>
          <w:color w:val="auto"/>
          <w:szCs w:val="21"/>
          <w:highlight w:val="none"/>
          <w:u w:val="single"/>
        </w:rPr>
        <w:t>竣工之日起30日内</w:t>
      </w:r>
      <w:r>
        <w:rPr>
          <w:rFonts w:hint="eastAsia" w:ascii="宋体" w:hAnsi="宋体" w:cs="宋体"/>
          <w:color w:val="auto"/>
          <w:highlight w:val="none"/>
          <w:u w:val="single"/>
        </w:rPr>
        <w:t xml:space="preserve"> </w:t>
      </w:r>
      <w:r>
        <w:rPr>
          <w:rFonts w:hint="eastAsia" w:ascii="宋体" w:hAnsi="宋体" w:cs="宋体"/>
          <w:color w:val="auto"/>
          <w:kern w:val="0"/>
          <w:highlight w:val="none"/>
        </w:rPr>
        <w:t>。</w:t>
      </w:r>
    </w:p>
    <w:p w14:paraId="52AA42ED">
      <w:pPr>
        <w:keepNext/>
        <w:keepLines/>
        <w:adjustRightInd w:val="0"/>
        <w:snapToGrid w:val="0"/>
        <w:spacing w:line="384" w:lineRule="auto"/>
        <w:jc w:val="left"/>
        <w:outlineLvl w:val="2"/>
        <w:rPr>
          <w:rFonts w:hint="eastAsia" w:ascii="宋体" w:hAnsi="宋体" w:cs="宋体"/>
          <w:bCs/>
          <w:color w:val="auto"/>
          <w:sz w:val="24"/>
          <w:highlight w:val="none"/>
        </w:rPr>
      </w:pPr>
      <w:bookmarkStart w:id="1231" w:name="_Toc351203646"/>
      <w:bookmarkStart w:id="1232" w:name="_Toc95223479"/>
      <w:r>
        <w:rPr>
          <w:rFonts w:hint="eastAsia" w:ascii="宋体" w:hAnsi="宋体" w:cs="宋体"/>
          <w:bCs/>
          <w:color w:val="auto"/>
          <w:sz w:val="24"/>
          <w:highlight w:val="none"/>
        </w:rPr>
        <w:t>14. 竣工结算</w:t>
      </w:r>
      <w:bookmarkEnd w:id="1231"/>
      <w:bookmarkEnd w:id="1232"/>
    </w:p>
    <w:p w14:paraId="3DD35516">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14.1 竣工结算申请</w:t>
      </w:r>
    </w:p>
    <w:p w14:paraId="68B34043">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承包人提交竣工结算申请单的期限：</w:t>
      </w:r>
      <w:r>
        <w:rPr>
          <w:rFonts w:hint="eastAsia" w:ascii="宋体" w:hAnsi="宋体" w:cs="宋体"/>
          <w:color w:val="auto"/>
          <w:szCs w:val="21"/>
          <w:highlight w:val="none"/>
          <w:u w:val="single"/>
        </w:rPr>
        <w:t>承包人应在工程竣工验收合格后28天内</w:t>
      </w:r>
      <w:r>
        <w:rPr>
          <w:rFonts w:hint="eastAsia" w:ascii="宋体" w:hAnsi="宋体" w:cs="宋体"/>
          <w:color w:val="auto"/>
          <w:highlight w:val="none"/>
        </w:rPr>
        <w:t>。</w:t>
      </w:r>
    </w:p>
    <w:p w14:paraId="16DAE03A">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竣工结算申请单应包括的内容：</w:t>
      </w:r>
      <w:r>
        <w:rPr>
          <w:rFonts w:hint="eastAsia" w:ascii="宋体" w:hAnsi="宋体" w:cs="宋体"/>
          <w:color w:val="auto"/>
          <w:szCs w:val="21"/>
          <w:highlight w:val="none"/>
          <w:u w:val="single"/>
        </w:rPr>
        <w:t>执行通用条款</w:t>
      </w:r>
      <w:r>
        <w:rPr>
          <w:rFonts w:hint="eastAsia" w:ascii="宋体" w:hAnsi="宋体" w:cs="宋体"/>
          <w:color w:val="auto"/>
          <w:highlight w:val="none"/>
        </w:rPr>
        <w:t>。</w:t>
      </w:r>
    </w:p>
    <w:p w14:paraId="6F1C7ABB">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14.2 竣工结算审核</w:t>
      </w:r>
    </w:p>
    <w:p w14:paraId="43CF36B1">
      <w:pPr>
        <w:widowControl/>
        <w:adjustRightInd w:val="0"/>
        <w:snapToGrid w:val="0"/>
        <w:spacing w:line="384"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发包人审批竣工付款申请单的期限：发包人应在收到监理人提交的经审核的竣工结算申请单 后</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lang w:val="en-US" w:eastAsia="zh-CN"/>
        </w:rPr>
        <w:t>60</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天内完成审批。</w:t>
      </w:r>
    </w:p>
    <w:p w14:paraId="5E3EBE15">
      <w:pPr>
        <w:widowControl/>
        <w:adjustRightInd w:val="0"/>
        <w:snapToGrid w:val="0"/>
        <w:spacing w:line="384" w:lineRule="auto"/>
        <w:ind w:firstLine="422" w:firstLineChars="200"/>
        <w:jc w:val="left"/>
        <w:rPr>
          <w:rFonts w:hint="eastAsia" w:ascii="宋体" w:hAnsi="宋体" w:cs="宋体"/>
          <w:b/>
          <w:bCs/>
          <w:color w:val="auto"/>
          <w:kern w:val="0"/>
          <w:szCs w:val="21"/>
          <w:highlight w:val="none"/>
          <w:shd w:val="clear" w:color="auto" w:fill="FFFFFF"/>
        </w:rPr>
      </w:pPr>
      <w:r>
        <w:rPr>
          <w:rFonts w:hint="eastAsia" w:ascii="宋体" w:hAnsi="宋体" w:cs="宋体"/>
          <w:b/>
          <w:bCs/>
          <w:color w:val="auto"/>
          <w:kern w:val="0"/>
          <w:szCs w:val="21"/>
          <w:highlight w:val="none"/>
          <w:shd w:val="clear" w:color="auto" w:fill="FFFFFF"/>
        </w:rPr>
        <w:t>（机关、事业单位从中小企业采购工程，应当自工程交付之日起30日内支付款项；合同另有约定的，付款期限最长不得超过60日。超过60日的，自超期之日起15日内，机关、事业单位先行按照合同价与结算价孰低的98%支付工程价款。）</w:t>
      </w:r>
    </w:p>
    <w:p w14:paraId="0923A647">
      <w:pPr>
        <w:adjustRightInd w:val="0"/>
        <w:snapToGrid w:val="0"/>
        <w:spacing w:line="384"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发包人完成竣工付款的期限：发包人应在签发竣工付款证书后的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60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天内，完成对承包人的竣工付款。</w:t>
      </w:r>
    </w:p>
    <w:p w14:paraId="11C75510">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关于竣工付款证书异议部分复核的方式和程序：</w:t>
      </w:r>
      <w:r>
        <w:rPr>
          <w:rFonts w:hint="eastAsia" w:ascii="宋体" w:hAnsi="宋体" w:cs="宋体"/>
          <w:color w:val="auto"/>
          <w:szCs w:val="21"/>
          <w:highlight w:val="none"/>
          <w:u w:val="single"/>
        </w:rPr>
        <w:t>执行通用条款</w:t>
      </w:r>
      <w:r>
        <w:rPr>
          <w:rFonts w:hint="eastAsia" w:ascii="宋体" w:hAnsi="宋体" w:cs="宋体"/>
          <w:color w:val="auto"/>
          <w:highlight w:val="none"/>
        </w:rPr>
        <w:t>。</w:t>
      </w:r>
    </w:p>
    <w:p w14:paraId="33AE180E">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14.4 最终结清</w:t>
      </w:r>
    </w:p>
    <w:p w14:paraId="3E57B3D5">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14.4.1 最终结清申请单</w:t>
      </w:r>
    </w:p>
    <w:p w14:paraId="08778F8F">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承包人提交最终结清申请单的份数：</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按监理要求</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378E6A1">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kern w:val="0"/>
          <w:highlight w:val="none"/>
        </w:rPr>
        <w:t>承包人提交最终结算申请单的期限：</w:t>
      </w:r>
      <w:r>
        <w:rPr>
          <w:rFonts w:hint="eastAsia" w:ascii="宋体" w:hAnsi="宋体" w:cs="宋体"/>
          <w:color w:val="auto"/>
          <w:szCs w:val="21"/>
          <w:highlight w:val="none"/>
          <w:u w:val="single"/>
        </w:rPr>
        <w:t>缺陷责任期终止证书颁发后7天内</w:t>
      </w:r>
      <w:r>
        <w:rPr>
          <w:rFonts w:hint="eastAsia" w:ascii="宋体" w:hAnsi="宋体" w:cs="宋体"/>
          <w:color w:val="auto"/>
          <w:highlight w:val="none"/>
        </w:rPr>
        <w:t xml:space="preserve">。 </w:t>
      </w:r>
    </w:p>
    <w:p w14:paraId="2F89ADD8">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14.4.2 最终结清证书和支付</w:t>
      </w:r>
    </w:p>
    <w:p w14:paraId="051B927E">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（1）发包人完成最终结清申请单的审批并颁发最终结清证书的期限：</w:t>
      </w:r>
      <w:r>
        <w:rPr>
          <w:rFonts w:hint="eastAsia" w:ascii="宋体" w:hAnsi="宋体" w:cs="宋体"/>
          <w:color w:val="auto"/>
          <w:szCs w:val="21"/>
          <w:highlight w:val="none"/>
          <w:u w:val="single"/>
        </w:rPr>
        <w:t>收到承包人提交的最终结清申请单后14天内</w:t>
      </w:r>
      <w:r>
        <w:rPr>
          <w:rFonts w:hint="eastAsia" w:ascii="宋体" w:hAnsi="宋体" w:cs="宋体"/>
          <w:color w:val="auto"/>
          <w:highlight w:val="none"/>
        </w:rPr>
        <w:t>。</w:t>
      </w:r>
    </w:p>
    <w:p w14:paraId="22A0ABB4">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（2）发包人完成支付的期限：</w:t>
      </w:r>
      <w:r>
        <w:rPr>
          <w:rFonts w:hint="eastAsia" w:ascii="宋体" w:hAnsi="宋体" w:cs="宋体"/>
          <w:color w:val="auto"/>
          <w:szCs w:val="21"/>
          <w:highlight w:val="none"/>
          <w:u w:val="single"/>
        </w:rPr>
        <w:t>颁发最终结清证书后7天内完成支付</w:t>
      </w:r>
      <w:r>
        <w:rPr>
          <w:rFonts w:hint="eastAsia" w:ascii="宋体" w:hAnsi="宋体" w:cs="宋体"/>
          <w:color w:val="auto"/>
          <w:highlight w:val="none"/>
        </w:rPr>
        <w:t>。</w:t>
      </w:r>
    </w:p>
    <w:bookmarkEnd w:id="1218"/>
    <w:bookmarkEnd w:id="1219"/>
    <w:bookmarkEnd w:id="1220"/>
    <w:bookmarkEnd w:id="1221"/>
    <w:bookmarkEnd w:id="1222"/>
    <w:bookmarkEnd w:id="1223"/>
    <w:bookmarkEnd w:id="1224"/>
    <w:bookmarkEnd w:id="1230"/>
    <w:p w14:paraId="52E999FA">
      <w:pPr>
        <w:keepNext/>
        <w:keepLines/>
        <w:adjustRightInd w:val="0"/>
        <w:snapToGrid w:val="0"/>
        <w:spacing w:line="384" w:lineRule="auto"/>
        <w:jc w:val="left"/>
        <w:outlineLvl w:val="2"/>
        <w:rPr>
          <w:rFonts w:hint="eastAsia" w:ascii="宋体" w:hAnsi="宋体" w:cs="宋体"/>
          <w:bCs/>
          <w:color w:val="auto"/>
          <w:sz w:val="24"/>
          <w:highlight w:val="none"/>
        </w:rPr>
      </w:pPr>
      <w:bookmarkStart w:id="1233" w:name="_Toc351203647"/>
      <w:bookmarkStart w:id="1234" w:name="_Toc95223480"/>
      <w:bookmarkStart w:id="1235" w:name="_Toc267251483"/>
      <w:bookmarkStart w:id="1236" w:name="_Toc267251484"/>
      <w:bookmarkStart w:id="1237" w:name="_Toc267251482"/>
      <w:bookmarkStart w:id="1238" w:name="_Toc267251485"/>
      <w:bookmarkStart w:id="1239" w:name="_Toc267251490"/>
      <w:bookmarkStart w:id="1240" w:name="_Toc267251488"/>
      <w:bookmarkStart w:id="1241" w:name="_Toc267251486"/>
      <w:bookmarkStart w:id="1242" w:name="_Toc267251489"/>
      <w:bookmarkStart w:id="1243" w:name="_Toc267251491"/>
      <w:bookmarkStart w:id="1244" w:name="_Toc267251502"/>
      <w:bookmarkStart w:id="1245" w:name="_Toc267251492"/>
      <w:bookmarkStart w:id="1246" w:name="_Toc267251498"/>
      <w:bookmarkStart w:id="1247" w:name="_Toc267251493"/>
      <w:bookmarkStart w:id="1248" w:name="_Toc267251495"/>
      <w:bookmarkStart w:id="1249" w:name="_Toc267251497"/>
      <w:bookmarkStart w:id="1250" w:name="_Toc267251494"/>
      <w:bookmarkStart w:id="1251" w:name="_Toc267251501"/>
      <w:bookmarkStart w:id="1252" w:name="_Toc267251503"/>
      <w:bookmarkStart w:id="1253" w:name="_Toc267251496"/>
      <w:bookmarkStart w:id="1254" w:name="_Toc267251499"/>
      <w:bookmarkStart w:id="1255" w:name="_Toc267251506"/>
      <w:bookmarkStart w:id="1256" w:name="_Toc267251504"/>
      <w:bookmarkStart w:id="1257" w:name="_Toc267251507"/>
      <w:bookmarkStart w:id="1258" w:name="_Toc267251508"/>
      <w:bookmarkStart w:id="1259" w:name="_Toc267251514"/>
      <w:bookmarkStart w:id="1260" w:name="_Toc267251511"/>
      <w:bookmarkStart w:id="1261" w:name="_Toc267251509"/>
      <w:bookmarkStart w:id="1262" w:name="_Toc267251515"/>
      <w:bookmarkStart w:id="1263" w:name="_Toc267251513"/>
      <w:bookmarkStart w:id="1264" w:name="_Toc267251510"/>
      <w:r>
        <w:rPr>
          <w:rFonts w:hint="eastAsia" w:ascii="宋体" w:hAnsi="宋体" w:cs="宋体"/>
          <w:bCs/>
          <w:color w:val="auto"/>
          <w:sz w:val="24"/>
          <w:highlight w:val="none"/>
        </w:rPr>
        <w:t>15. 缺陷责任期与保修</w:t>
      </w:r>
      <w:bookmarkEnd w:id="1233"/>
      <w:bookmarkEnd w:id="1234"/>
    </w:p>
    <w:p w14:paraId="4C1EA014">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15.2 缺陷责任期</w:t>
      </w:r>
      <w:bookmarkEnd w:id="1235"/>
    </w:p>
    <w:p w14:paraId="06B78006">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缺陷责任期的具体期限：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两年（缺陷责任期自工程竣工验收合格之日起计算）</w:t>
      </w:r>
      <w:r>
        <w:rPr>
          <w:rFonts w:hint="eastAsia" w:ascii="宋体" w:hAnsi="宋体" w:cs="宋体"/>
          <w:color w:val="auto"/>
          <w:szCs w:val="21"/>
          <w:highlight w:val="none"/>
          <w:u w:val="single"/>
        </w:rPr>
        <w:t xml:space="preserve"> </w:t>
      </w:r>
      <w:r>
        <w:rPr>
          <w:rFonts w:hint="eastAsia" w:ascii="宋体" w:hAnsi="宋体" w:cs="宋体"/>
          <w:color w:val="auto"/>
          <w:highlight w:val="none"/>
        </w:rPr>
        <w:t>。</w:t>
      </w:r>
    </w:p>
    <w:p w14:paraId="44A3BC07">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15.3 质量保证金</w:t>
      </w:r>
    </w:p>
    <w:p w14:paraId="500B773B">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关于是否扣留质量保证金的约定：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是</w:t>
      </w:r>
      <w:r>
        <w:rPr>
          <w:rFonts w:hint="eastAsia" w:ascii="宋体" w:hAnsi="宋体" w:cs="宋体"/>
          <w:color w:val="auto"/>
          <w:szCs w:val="21"/>
          <w:highlight w:val="none"/>
          <w:u w:val="single"/>
        </w:rPr>
        <w:t xml:space="preserve">   </w:t>
      </w:r>
      <w:r>
        <w:rPr>
          <w:rFonts w:hint="eastAsia" w:ascii="宋体" w:hAnsi="宋体" w:cs="宋体"/>
          <w:color w:val="auto"/>
          <w:highlight w:val="none"/>
        </w:rPr>
        <w:t>。在工程项目竣工前，承包人按专用合同条款第3.7款提供履约保证金的，发包人不得同时预留工程质量保证金。</w:t>
      </w:r>
    </w:p>
    <w:p w14:paraId="58998F6A">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15.3.1 承包人提供质量保证金的方式</w:t>
      </w:r>
    </w:p>
    <w:p w14:paraId="5623F89A">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质量保证金采用以下方式：</w:t>
      </w:r>
    </w:p>
    <w:p w14:paraId="44328FC9">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（1）质量保证金保函，保证金额为：</w:t>
      </w:r>
      <w:r>
        <w:rPr>
          <w:rFonts w:hint="eastAsia" w:ascii="宋体" w:hAnsi="宋体" w:cs="宋体"/>
          <w:color w:val="auto"/>
          <w:kern w:val="0"/>
          <w:highlight w:val="none"/>
          <w:u w:val="single"/>
        </w:rPr>
        <w:t>2%的工程款</w:t>
      </w:r>
      <w:r>
        <w:rPr>
          <w:rFonts w:hint="eastAsia" w:ascii="宋体" w:hAnsi="宋体" w:cs="宋体"/>
          <w:color w:val="auto"/>
          <w:kern w:val="0"/>
          <w:highlight w:val="none"/>
        </w:rPr>
        <w:t xml:space="preserve">； </w:t>
      </w:r>
    </w:p>
    <w:p w14:paraId="095AE829">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w:t>
      </w:r>
      <w:r>
        <w:rPr>
          <w:rFonts w:hint="eastAsia" w:ascii="宋体" w:hAnsi="宋体" w:cs="宋体"/>
          <w:color w:val="auto"/>
          <w:kern w:val="0"/>
          <w:highlight w:val="none"/>
          <w:u w:val="single"/>
        </w:rPr>
        <w:t>2</w:t>
      </w:r>
      <w:r>
        <w:rPr>
          <w:rFonts w:hint="eastAsia" w:ascii="宋体" w:hAnsi="宋体" w:cs="宋体"/>
          <w:color w:val="auto"/>
          <w:kern w:val="0"/>
          <w:highlight w:val="none"/>
        </w:rPr>
        <w:t>%的工程款；</w:t>
      </w:r>
    </w:p>
    <w:p w14:paraId="65E66078">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（3）其他方式:</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p>
    <w:p w14:paraId="75AF0BF8">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15.3.2 质量保证金的扣留 </w:t>
      </w:r>
    </w:p>
    <w:p w14:paraId="6E7516DD">
      <w:pPr>
        <w:pageBreakBefore w:val="0"/>
        <w:kinsoku/>
        <w:wordWrap/>
        <w:overflowPunct/>
        <w:topLinePunct w:val="0"/>
        <w:autoSpaceDE/>
        <w:autoSpaceDN/>
        <w:bidi w:val="0"/>
        <w:adjustRightInd w:val="0"/>
        <w:snapToGrid w:val="0"/>
        <w:spacing w:line="384"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质量保证金的扣留采取以下方式：</w:t>
      </w:r>
    </w:p>
    <w:p w14:paraId="6EAEAF75">
      <w:pPr>
        <w:pageBreakBefore w:val="0"/>
        <w:kinsoku/>
        <w:wordWrap/>
        <w:overflowPunct/>
        <w:topLinePunct w:val="0"/>
        <w:autoSpaceDE/>
        <w:autoSpaceDN/>
        <w:bidi w:val="0"/>
        <w:adjustRightInd w:val="0"/>
        <w:snapToGrid w:val="0"/>
        <w:spacing w:line="384" w:lineRule="auto"/>
        <w:ind w:firstLine="420" w:firstLineChars="200"/>
        <w:textAlignment w:val="auto"/>
        <w:rPr>
          <w:rFonts w:hint="eastAsia" w:ascii="宋体" w:hAnsi="宋体" w:cs="宋体"/>
          <w:color w:val="auto"/>
          <w:kern w:val="0"/>
          <w:highlight w:val="none"/>
        </w:rPr>
      </w:pPr>
      <w:r>
        <w:rPr>
          <w:rFonts w:hint="eastAsia" w:ascii="宋体" w:hAnsi="宋体" w:cs="宋体"/>
          <w:color w:val="auto"/>
          <w:kern w:val="0"/>
          <w:highlight w:val="none"/>
        </w:rPr>
        <w:t>（1）在支付工程进度款时逐次扣留，在此情形下，质量保证金的计算基数不包括预付款的支付、扣回以及价格调整的金额；</w:t>
      </w:r>
    </w:p>
    <w:p w14:paraId="662F5D17">
      <w:pPr>
        <w:pageBreakBefore w:val="0"/>
        <w:kinsoku/>
        <w:wordWrap/>
        <w:overflowPunct/>
        <w:topLinePunct w:val="0"/>
        <w:autoSpaceDE/>
        <w:autoSpaceDN/>
        <w:bidi w:val="0"/>
        <w:adjustRightInd w:val="0"/>
        <w:snapToGrid w:val="0"/>
        <w:spacing w:line="384" w:lineRule="auto"/>
        <w:ind w:firstLine="420" w:firstLineChars="200"/>
        <w:textAlignment w:val="auto"/>
        <w:rPr>
          <w:rFonts w:hint="eastAsia" w:ascii="宋体" w:hAnsi="宋体" w:cs="宋体"/>
          <w:color w:val="auto"/>
          <w:kern w:val="0"/>
          <w:highlight w:val="none"/>
        </w:rPr>
      </w:pPr>
      <w:r>
        <w:rPr>
          <w:rFonts w:hint="eastAsia" w:ascii="宋体" w:hAnsi="宋体" w:cs="宋体"/>
          <w:color w:val="auto"/>
          <w:kern w:val="0"/>
          <w:highlight w:val="none"/>
        </w:rPr>
        <w:t>（2）工程竣工结算时一次性扣留质量保证金；</w:t>
      </w:r>
    </w:p>
    <w:p w14:paraId="404F3DB8">
      <w:pPr>
        <w:pageBreakBefore w:val="0"/>
        <w:kinsoku/>
        <w:wordWrap/>
        <w:overflowPunct/>
        <w:topLinePunct w:val="0"/>
        <w:autoSpaceDE/>
        <w:autoSpaceDN/>
        <w:bidi w:val="0"/>
        <w:adjustRightInd w:val="0"/>
        <w:snapToGrid w:val="0"/>
        <w:spacing w:line="384" w:lineRule="auto"/>
        <w:ind w:firstLine="420" w:firstLineChars="200"/>
        <w:textAlignment w:val="auto"/>
        <w:rPr>
          <w:rFonts w:hint="eastAsia" w:ascii="宋体" w:hAnsi="宋体" w:cs="宋体"/>
          <w:color w:val="auto"/>
          <w:kern w:val="0"/>
          <w:highlight w:val="none"/>
        </w:rPr>
      </w:pPr>
      <w:r>
        <w:rPr>
          <w:rFonts w:hint="eastAsia" w:ascii="宋体" w:hAnsi="宋体" w:cs="宋体"/>
          <w:color w:val="auto"/>
          <w:kern w:val="0"/>
          <w:highlight w:val="none"/>
        </w:rPr>
        <w:t>（3）其他扣留方式:</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p>
    <w:p w14:paraId="3B3CE0B3">
      <w:pPr>
        <w:pageBreakBefore w:val="0"/>
        <w:kinsoku/>
        <w:wordWrap/>
        <w:overflowPunct/>
        <w:topLinePunct w:val="0"/>
        <w:autoSpaceDE/>
        <w:autoSpaceDN/>
        <w:bidi w:val="0"/>
        <w:adjustRightInd w:val="0"/>
        <w:snapToGrid w:val="0"/>
        <w:spacing w:line="384"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关于质量保证金的补充约定：</w:t>
      </w:r>
      <w:r>
        <w:rPr>
          <w:rFonts w:hint="eastAsia" w:ascii="宋体" w:hAnsi="宋体" w:cs="宋体"/>
          <w:color w:val="auto"/>
          <w:kern w:val="0"/>
          <w:highlight w:val="none"/>
          <w:u w:val="single"/>
        </w:rPr>
        <w:t>质量保证金支持保函（银行保函、担保机构担保、保证保险）使用。采用保函的，保函有效期须与缺陷责任期截止时间保持一致</w:t>
      </w:r>
      <w:r>
        <w:rPr>
          <w:rFonts w:hint="eastAsia" w:ascii="宋体" w:hAnsi="宋体" w:cs="宋体"/>
          <w:color w:val="auto"/>
          <w:kern w:val="0"/>
          <w:highlight w:val="none"/>
        </w:rPr>
        <w:t>。</w:t>
      </w:r>
    </w:p>
    <w:bookmarkEnd w:id="1236"/>
    <w:bookmarkEnd w:id="1237"/>
    <w:p w14:paraId="6CB9F7F1">
      <w:pPr>
        <w:keepNext/>
        <w:keepLines/>
        <w:pageBreakBefore w:val="0"/>
        <w:kinsoku/>
        <w:wordWrap/>
        <w:overflowPunct/>
        <w:topLinePunct w:val="0"/>
        <w:autoSpaceDE/>
        <w:autoSpaceDN/>
        <w:bidi w:val="0"/>
        <w:adjustRightInd w:val="0"/>
        <w:snapToGrid w:val="0"/>
        <w:spacing w:line="384" w:lineRule="auto"/>
        <w:ind w:firstLine="420" w:firstLineChars="200"/>
        <w:textAlignment w:val="auto"/>
        <w:outlineLvl w:val="3"/>
        <w:rPr>
          <w:rFonts w:hint="eastAsia" w:ascii="宋体" w:hAnsi="宋体" w:cs="宋体"/>
          <w:bCs/>
          <w:color w:val="auto"/>
          <w:szCs w:val="28"/>
          <w:highlight w:val="none"/>
        </w:rPr>
      </w:pPr>
      <w:r>
        <w:rPr>
          <w:rFonts w:hint="eastAsia" w:ascii="宋体" w:hAnsi="宋体" w:cs="宋体"/>
          <w:bCs/>
          <w:color w:val="auto"/>
          <w:szCs w:val="28"/>
          <w:highlight w:val="none"/>
        </w:rPr>
        <w:t>15.4 保修</w:t>
      </w:r>
    </w:p>
    <w:bookmarkEnd w:id="1238"/>
    <w:p w14:paraId="0423F1D6">
      <w:pPr>
        <w:pageBreakBefore w:val="0"/>
        <w:kinsoku/>
        <w:wordWrap/>
        <w:overflowPunct/>
        <w:topLinePunct w:val="0"/>
        <w:autoSpaceDE/>
        <w:autoSpaceDN/>
        <w:bidi w:val="0"/>
        <w:adjustRightInd w:val="0"/>
        <w:snapToGrid w:val="0"/>
        <w:spacing w:line="384"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15.4.1 保修责任</w:t>
      </w:r>
    </w:p>
    <w:p w14:paraId="50E81EF0">
      <w:pPr>
        <w:pageBreakBefore w:val="0"/>
        <w:kinsoku/>
        <w:wordWrap/>
        <w:overflowPunct/>
        <w:topLinePunct w:val="0"/>
        <w:autoSpaceDE/>
        <w:autoSpaceDN/>
        <w:bidi w:val="0"/>
        <w:adjustRightInd w:val="0"/>
        <w:snapToGrid w:val="0"/>
        <w:spacing w:line="384" w:lineRule="auto"/>
        <w:ind w:firstLine="420" w:firstLineChars="200"/>
        <w:textAlignment w:val="auto"/>
        <w:rPr>
          <w:rFonts w:hint="eastAsia" w:ascii="宋体" w:hAnsi="宋体" w:cs="宋体"/>
          <w:color w:val="auto"/>
          <w:kern w:val="0"/>
          <w:highlight w:val="none"/>
          <w:u w:val="single"/>
        </w:rPr>
      </w:pPr>
      <w:r>
        <w:rPr>
          <w:rFonts w:hint="eastAsia" w:ascii="宋体" w:hAnsi="宋体" w:cs="宋体"/>
          <w:color w:val="auto"/>
          <w:highlight w:val="none"/>
        </w:rPr>
        <w:t>工程保修期为：</w:t>
      </w:r>
      <w:r>
        <w:rPr>
          <w:rFonts w:hint="eastAsia" w:ascii="宋体" w:hAnsi="宋体" w:cs="宋体"/>
          <w:color w:val="auto"/>
          <w:szCs w:val="21"/>
          <w:highlight w:val="none"/>
          <w:u w:val="single"/>
        </w:rPr>
        <w:t>执行《工程质量保修书》规定</w:t>
      </w:r>
      <w:r>
        <w:rPr>
          <w:rFonts w:hint="eastAsia" w:ascii="宋体" w:hAnsi="宋体" w:cs="宋体"/>
          <w:color w:val="auto"/>
          <w:kern w:val="0"/>
          <w:highlight w:val="none"/>
        </w:rPr>
        <w:t>。</w:t>
      </w:r>
    </w:p>
    <w:p w14:paraId="045E624F">
      <w:pPr>
        <w:pageBreakBefore w:val="0"/>
        <w:kinsoku/>
        <w:wordWrap/>
        <w:overflowPunct/>
        <w:topLinePunct w:val="0"/>
        <w:autoSpaceDE/>
        <w:autoSpaceDN/>
        <w:bidi w:val="0"/>
        <w:adjustRightInd w:val="0"/>
        <w:snapToGrid w:val="0"/>
        <w:spacing w:line="384"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15.4.3 修复通知</w:t>
      </w:r>
    </w:p>
    <w:p w14:paraId="606568CE">
      <w:pPr>
        <w:keepNext w:val="0"/>
        <w:keepLines w:val="0"/>
        <w:pageBreakBefore w:val="0"/>
        <w:widowControl/>
        <w:kinsoku/>
        <w:wordWrap/>
        <w:overflowPunct/>
        <w:topLinePunct w:val="0"/>
        <w:autoSpaceDE/>
        <w:autoSpaceDN/>
        <w:bidi w:val="0"/>
        <w:adjustRightInd/>
        <w:snapToGrid/>
        <w:spacing w:line="384" w:lineRule="auto"/>
        <w:ind w:firstLine="420" w:firstLineChars="200"/>
        <w:jc w:val="left"/>
        <w:textAlignment w:val="auto"/>
        <w:rPr>
          <w:rFonts w:hint="eastAsia" w:ascii="宋体" w:hAnsi="宋体" w:cs="宋体"/>
          <w:color w:val="auto"/>
          <w:kern w:val="0"/>
          <w:szCs w:val="21"/>
          <w:highlight w:val="none"/>
        </w:rPr>
      </w:pPr>
      <w:r>
        <w:rPr>
          <w:rFonts w:hint="eastAsia" w:ascii="宋体" w:hAnsi="宋体" w:cs="宋体"/>
          <w:color w:val="auto"/>
          <w:kern w:val="0"/>
          <w:highlight w:val="none"/>
        </w:rPr>
        <w:t>承包人收到保修通知并到达工程现场的合理时间：</w:t>
      </w:r>
      <w:r>
        <w:rPr>
          <w:rFonts w:hint="eastAsia" w:ascii="宋体" w:hAnsi="宋体" w:cs="宋体"/>
          <w:color w:val="auto"/>
          <w:kern w:val="0"/>
          <w:highlight w:val="none"/>
          <w:u w:val="single"/>
        </w:rPr>
        <w:t xml:space="preserve"> </w:t>
      </w:r>
      <w:r>
        <w:rPr>
          <w:rFonts w:hint="eastAsia" w:ascii="宋体" w:hAnsi="宋体" w:cs="宋体"/>
          <w:color w:val="auto"/>
          <w:kern w:val="0"/>
          <w:szCs w:val="21"/>
          <w:highlight w:val="none"/>
          <w:u w:val="single"/>
        </w:rPr>
        <w:t xml:space="preserve">自承包人收到保修通知起24小时内到达工程现场并修复缺陷或损坏 ，如承包人违反此规定，由发包人另行安排队伍进行修整，由此产生的费用将在承包人的质保金中扣除。事后出现漏水、漏电等情况，承包人应在12小时内修复 </w:t>
      </w:r>
      <w:r>
        <w:rPr>
          <w:rFonts w:hint="eastAsia" w:ascii="宋体" w:hAnsi="宋体" w:cs="宋体"/>
          <w:color w:val="auto"/>
          <w:kern w:val="0"/>
          <w:szCs w:val="21"/>
          <w:highlight w:val="none"/>
        </w:rPr>
        <w:t>。</w:t>
      </w:r>
    </w:p>
    <w:p w14:paraId="5ABAE822">
      <w:pPr>
        <w:keepNext w:val="0"/>
        <w:keepLines w:val="0"/>
        <w:pageBreakBefore w:val="0"/>
        <w:kinsoku/>
        <w:wordWrap/>
        <w:overflowPunct/>
        <w:topLinePunct w:val="0"/>
        <w:autoSpaceDE/>
        <w:autoSpaceDN/>
        <w:bidi w:val="0"/>
        <w:adjustRightInd/>
        <w:snapToGrid/>
        <w:spacing w:line="384" w:lineRule="auto"/>
        <w:ind w:firstLine="420" w:firstLineChars="200"/>
        <w:jc w:val="left"/>
        <w:textAlignment w:val="auto"/>
        <w:rPr>
          <w:rFonts w:hint="eastAsia" w:ascii="宋体" w:hAnsi="宋体" w:cs="宋体"/>
          <w:color w:val="auto"/>
          <w:kern w:val="0"/>
          <w:szCs w:val="21"/>
          <w:highlight w:val="none"/>
          <w:u w:val="single"/>
        </w:rPr>
      </w:pPr>
      <w:r>
        <w:rPr>
          <w:rFonts w:hint="eastAsia" w:ascii="宋体" w:hAnsi="宋体" w:cs="宋体"/>
          <w:color w:val="auto"/>
          <w:kern w:val="0"/>
          <w:szCs w:val="21"/>
          <w:highlight w:val="none"/>
          <w:u w:val="single"/>
        </w:rPr>
        <w:t>保修期内的维修：一般性维修承包方应在接到通知后12小时内到达；紧急事故承包方应在接到通知后6小时内到达现场抢修；事后出现渗漏水情况，承包方应在12小时内修复。</w:t>
      </w:r>
    </w:p>
    <w:p w14:paraId="084E2C41">
      <w:pPr>
        <w:keepNext w:val="0"/>
        <w:keepLines w:val="0"/>
        <w:pageBreakBefore w:val="0"/>
        <w:kinsoku/>
        <w:wordWrap/>
        <w:overflowPunct/>
        <w:topLinePunct w:val="0"/>
        <w:autoSpaceDE/>
        <w:autoSpaceDN/>
        <w:bidi w:val="0"/>
        <w:adjustRightInd/>
        <w:snapToGrid/>
        <w:spacing w:line="384" w:lineRule="auto"/>
        <w:ind w:firstLine="420" w:firstLineChars="200"/>
        <w:jc w:val="left"/>
        <w:textAlignment w:val="auto"/>
        <w:rPr>
          <w:rFonts w:hint="eastAsia" w:ascii="宋体" w:hAnsi="宋体" w:cs="宋体"/>
          <w:color w:val="auto"/>
          <w:kern w:val="0"/>
          <w:szCs w:val="21"/>
          <w:highlight w:val="none"/>
          <w:u w:val="single"/>
        </w:rPr>
      </w:pPr>
      <w:r>
        <w:rPr>
          <w:rFonts w:hint="eastAsia" w:ascii="宋体" w:hAnsi="宋体" w:cs="宋体"/>
          <w:color w:val="auto"/>
          <w:kern w:val="0"/>
          <w:szCs w:val="21"/>
          <w:highlight w:val="none"/>
          <w:u w:val="single"/>
        </w:rPr>
        <w:t>承包人</w:t>
      </w:r>
      <w:r>
        <w:rPr>
          <w:rFonts w:hint="eastAsia" w:ascii="宋体" w:hAnsi="宋体" w:cs="宋体"/>
          <w:color w:val="auto"/>
          <w:kern w:val="0"/>
          <w:szCs w:val="21"/>
          <w:highlight w:val="none"/>
          <w:u w:val="single"/>
          <w:lang w:val="en-US" w:eastAsia="zh-CN"/>
        </w:rPr>
        <w:t>未</w:t>
      </w:r>
      <w:r>
        <w:rPr>
          <w:rFonts w:hint="eastAsia" w:ascii="宋体" w:hAnsi="宋体" w:cs="宋体"/>
          <w:color w:val="auto"/>
          <w:kern w:val="0"/>
          <w:szCs w:val="21"/>
          <w:highlight w:val="none"/>
          <w:u w:val="single"/>
        </w:rPr>
        <w:t>及时维修或</w:t>
      </w:r>
      <w:r>
        <w:rPr>
          <w:rFonts w:hint="eastAsia" w:ascii="宋体" w:hAnsi="宋体" w:cs="宋体"/>
          <w:color w:val="auto"/>
          <w:kern w:val="0"/>
          <w:szCs w:val="21"/>
          <w:highlight w:val="none"/>
          <w:u w:val="single"/>
          <w:lang w:val="en-US" w:eastAsia="zh-CN"/>
        </w:rPr>
        <w:t>未</w:t>
      </w:r>
      <w:r>
        <w:rPr>
          <w:rFonts w:hint="eastAsia" w:ascii="宋体" w:hAnsi="宋体" w:cs="宋体"/>
          <w:color w:val="auto"/>
          <w:kern w:val="0"/>
          <w:szCs w:val="21"/>
          <w:highlight w:val="none"/>
          <w:u w:val="single"/>
        </w:rPr>
        <w:t>在合理期限维修完好、或经过两次维修都</w:t>
      </w:r>
      <w:r>
        <w:rPr>
          <w:rFonts w:hint="eastAsia" w:ascii="宋体" w:hAnsi="宋体" w:cs="宋体"/>
          <w:color w:val="auto"/>
          <w:kern w:val="0"/>
          <w:szCs w:val="21"/>
          <w:highlight w:val="none"/>
          <w:u w:val="single"/>
          <w:lang w:val="en-US" w:eastAsia="zh-CN"/>
        </w:rPr>
        <w:t>未</w:t>
      </w:r>
      <w:r>
        <w:rPr>
          <w:rFonts w:hint="eastAsia" w:ascii="宋体" w:hAnsi="宋体" w:cs="宋体"/>
          <w:color w:val="auto"/>
          <w:kern w:val="0"/>
          <w:szCs w:val="21"/>
          <w:highlight w:val="none"/>
          <w:u w:val="single"/>
        </w:rPr>
        <w:t>能修好的，发包人有权自行请人代为维修并确定价格，所有修复费用及赔偿费用在支付承包人质保金时直接扣除，但不等于解除承包人应负的责任。</w:t>
      </w:r>
    </w:p>
    <w:p w14:paraId="720749C4">
      <w:pPr>
        <w:keepNext w:val="0"/>
        <w:keepLines w:val="0"/>
        <w:pageBreakBefore w:val="0"/>
        <w:kinsoku/>
        <w:wordWrap/>
        <w:overflowPunct/>
        <w:topLinePunct w:val="0"/>
        <w:autoSpaceDE/>
        <w:autoSpaceDN/>
        <w:bidi w:val="0"/>
        <w:adjustRightInd/>
        <w:snapToGrid/>
        <w:spacing w:line="384" w:lineRule="auto"/>
        <w:ind w:firstLine="420" w:firstLineChars="200"/>
        <w:jc w:val="lef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u w:val="single"/>
        </w:rPr>
        <w:t xml:space="preserve">承包人每次维修完毕，应负责将施工现场清理干净、并取得业主和使用单位的验收签字 </w:t>
      </w:r>
      <w:r>
        <w:rPr>
          <w:rFonts w:hint="eastAsia" w:ascii="宋体" w:hAnsi="宋体" w:cs="宋体"/>
          <w:color w:val="auto"/>
          <w:kern w:val="0"/>
          <w:szCs w:val="21"/>
          <w:highlight w:val="none"/>
        </w:rPr>
        <w:t>。</w:t>
      </w:r>
    </w:p>
    <w:p w14:paraId="3AFF04FA">
      <w:pPr>
        <w:keepNext w:val="0"/>
        <w:keepLines w:val="0"/>
        <w:pageBreakBefore w:val="0"/>
        <w:widowControl w:val="0"/>
        <w:kinsoku/>
        <w:wordWrap/>
        <w:overflowPunct/>
        <w:topLinePunct w:val="0"/>
        <w:autoSpaceDE/>
        <w:autoSpaceDN/>
        <w:bidi w:val="0"/>
        <w:adjustRightInd/>
        <w:snapToGrid/>
        <w:spacing w:line="384" w:lineRule="auto"/>
        <w:ind w:firstLine="420" w:firstLineChars="200"/>
        <w:jc w:val="left"/>
        <w:textAlignment w:val="auto"/>
        <w:rPr>
          <w:rFonts w:hint="eastAsia" w:ascii="宋体" w:hAnsi="宋体" w:cs="宋体"/>
          <w:color w:val="auto"/>
          <w:kern w:val="0"/>
          <w:highlight w:val="none"/>
          <w:u w:val="single"/>
        </w:rPr>
      </w:pPr>
      <w:r>
        <w:rPr>
          <w:rFonts w:hint="eastAsia" w:ascii="宋体" w:hAnsi="宋体" w:eastAsia="宋体" w:cs="宋体"/>
          <w:color w:val="auto"/>
          <w:kern w:val="0"/>
          <w:sz w:val="21"/>
          <w:szCs w:val="21"/>
          <w:highlight w:val="none"/>
          <w:u w:val="single"/>
        </w:rPr>
        <w:t>承包人未及时维修或未在合理期限内维修完好、或经过两次维修都未能修好的，发包人有权自行请人代为维修并确定价格，所有修复费用及赔偿费用在支付承包人质保金时直接扣除，但不等于解除承包人应负的责任。</w:t>
      </w:r>
    </w:p>
    <w:bookmarkEnd w:id="1239"/>
    <w:bookmarkEnd w:id="1240"/>
    <w:bookmarkEnd w:id="1241"/>
    <w:bookmarkEnd w:id="1242"/>
    <w:p w14:paraId="30250B96">
      <w:pPr>
        <w:keepNext/>
        <w:keepLines/>
        <w:pageBreakBefore w:val="0"/>
        <w:kinsoku/>
        <w:wordWrap/>
        <w:overflowPunct/>
        <w:topLinePunct w:val="0"/>
        <w:autoSpaceDE/>
        <w:autoSpaceDN/>
        <w:bidi w:val="0"/>
        <w:adjustRightInd w:val="0"/>
        <w:snapToGrid w:val="0"/>
        <w:spacing w:line="384" w:lineRule="auto"/>
        <w:jc w:val="left"/>
        <w:textAlignment w:val="auto"/>
        <w:outlineLvl w:val="2"/>
        <w:rPr>
          <w:rFonts w:hint="eastAsia" w:ascii="宋体" w:hAnsi="宋体" w:cs="宋体"/>
          <w:bCs/>
          <w:color w:val="auto"/>
          <w:sz w:val="24"/>
          <w:highlight w:val="none"/>
        </w:rPr>
      </w:pPr>
      <w:bookmarkStart w:id="1265" w:name="_Toc95223481"/>
      <w:bookmarkStart w:id="1266" w:name="_Toc351203648"/>
      <w:bookmarkStart w:id="1267" w:name="_Toc280868717"/>
      <w:bookmarkStart w:id="1268" w:name="_Toc280868718"/>
      <w:r>
        <w:rPr>
          <w:rFonts w:hint="eastAsia" w:ascii="宋体" w:hAnsi="宋体" w:cs="宋体"/>
          <w:bCs/>
          <w:color w:val="auto"/>
          <w:sz w:val="24"/>
          <w:highlight w:val="none"/>
        </w:rPr>
        <w:t>16. 违约</w:t>
      </w:r>
      <w:bookmarkEnd w:id="1265"/>
      <w:bookmarkEnd w:id="1266"/>
    </w:p>
    <w:p w14:paraId="246E4479">
      <w:pPr>
        <w:keepNext/>
        <w:keepLines/>
        <w:pageBreakBefore w:val="0"/>
        <w:kinsoku/>
        <w:wordWrap/>
        <w:overflowPunct/>
        <w:topLinePunct w:val="0"/>
        <w:autoSpaceDE/>
        <w:autoSpaceDN/>
        <w:bidi w:val="0"/>
        <w:adjustRightInd w:val="0"/>
        <w:snapToGrid w:val="0"/>
        <w:spacing w:line="384" w:lineRule="auto"/>
        <w:ind w:firstLine="420" w:firstLineChars="200"/>
        <w:textAlignment w:val="auto"/>
        <w:outlineLvl w:val="3"/>
        <w:rPr>
          <w:rFonts w:hint="eastAsia" w:ascii="宋体" w:hAnsi="宋体" w:cs="宋体"/>
          <w:bCs/>
          <w:color w:val="auto"/>
          <w:szCs w:val="28"/>
          <w:highlight w:val="none"/>
        </w:rPr>
      </w:pPr>
      <w:r>
        <w:rPr>
          <w:rFonts w:hint="eastAsia" w:ascii="宋体" w:hAnsi="宋体" w:cs="宋体"/>
          <w:bCs/>
          <w:color w:val="auto"/>
          <w:szCs w:val="28"/>
          <w:highlight w:val="none"/>
        </w:rPr>
        <w:t>16.1 发包人违约</w:t>
      </w:r>
    </w:p>
    <w:p w14:paraId="30F02CD6">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16.1.1 发包人违约的情形</w:t>
      </w:r>
    </w:p>
    <w:p w14:paraId="72FE2D97">
      <w:pPr>
        <w:adjustRightInd w:val="0"/>
        <w:snapToGrid w:val="0"/>
        <w:spacing w:line="384" w:lineRule="auto"/>
        <w:ind w:firstLine="420" w:firstLineChars="200"/>
        <w:rPr>
          <w:rFonts w:hint="eastAsia" w:ascii="宋体" w:hAnsi="宋体" w:cs="宋体"/>
          <w:color w:val="auto"/>
          <w:kern w:val="0"/>
          <w:highlight w:val="none"/>
          <w:u w:val="single"/>
        </w:rPr>
      </w:pPr>
      <w:r>
        <w:rPr>
          <w:rFonts w:hint="eastAsia" w:ascii="宋体" w:hAnsi="宋体" w:cs="宋体"/>
          <w:color w:val="auto"/>
          <w:kern w:val="0"/>
          <w:highlight w:val="none"/>
        </w:rPr>
        <w:t>发包人违约的其他情形：</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u w:val="single"/>
          <w:lang w:val="en-US" w:eastAsia="zh-CN"/>
        </w:rPr>
        <w:t>无</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p>
    <w:p w14:paraId="428E15A0">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16.1.2 发包人违约的责任</w:t>
      </w:r>
    </w:p>
    <w:p w14:paraId="7FC9CB38">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发包人违约责任的承担方式和计算方法：</w:t>
      </w:r>
    </w:p>
    <w:p w14:paraId="41D59B38">
      <w:pPr>
        <w:adjustRightInd w:val="0"/>
        <w:snapToGrid w:val="0"/>
        <w:spacing w:line="384" w:lineRule="auto"/>
        <w:ind w:firstLine="420" w:firstLineChars="200"/>
        <w:rPr>
          <w:rFonts w:hint="eastAsia" w:ascii="宋体" w:hAnsi="宋体" w:cs="宋体"/>
          <w:color w:val="auto"/>
          <w:kern w:val="0"/>
          <w:highlight w:val="none"/>
          <w:u w:val="single"/>
        </w:rPr>
      </w:pPr>
      <w:r>
        <w:rPr>
          <w:rFonts w:hint="eastAsia" w:ascii="宋体" w:hAnsi="宋体" w:cs="宋体"/>
          <w:color w:val="auto"/>
          <w:kern w:val="0"/>
          <w:highlight w:val="none"/>
        </w:rPr>
        <w:t>（1）因发包人原因未能在计划开工日期前7天内下达开工通知的违约责任：</w:t>
      </w:r>
      <w:r>
        <w:rPr>
          <w:rFonts w:hint="eastAsia" w:ascii="宋体" w:hAnsi="宋体" w:cs="宋体"/>
          <w:color w:val="auto"/>
          <w:szCs w:val="21"/>
          <w:highlight w:val="none"/>
          <w:u w:val="single"/>
        </w:rPr>
        <w:t xml:space="preserve"> </w:t>
      </w:r>
      <w:bookmarkStart w:id="1269" w:name="EBf46971a580dd417e9773e82ed1892ff3"/>
      <w:r>
        <w:rPr>
          <w:rFonts w:hint="eastAsia" w:ascii="宋体" w:hAnsi="宋体" w:eastAsia="宋体" w:cs="宋体"/>
          <w:color w:val="auto"/>
          <w:kern w:val="0"/>
          <w:sz w:val="21"/>
          <w:szCs w:val="21"/>
          <w:highlight w:val="none"/>
          <w:u w:val="single"/>
        </w:rPr>
        <w:t>顺延延误经审批工期，承包人同意不因此提出任何损失或费用索赔</w:t>
      </w:r>
      <w:bookmarkEnd w:id="1269"/>
      <w:r>
        <w:rPr>
          <w:rFonts w:hint="eastAsia" w:ascii="宋体" w:hAnsi="宋体" w:eastAsia="宋体" w:cs="宋体"/>
          <w:color w:val="auto"/>
          <w:kern w:val="0"/>
          <w:sz w:val="21"/>
          <w:szCs w:val="21"/>
          <w:highlight w:val="none"/>
          <w:u w:val="single"/>
        </w:rPr>
        <w:t>。</w:t>
      </w:r>
      <w:r>
        <w:rPr>
          <w:rFonts w:hint="eastAsia" w:ascii="宋体" w:hAnsi="宋体" w:cs="宋体"/>
          <w:color w:val="auto"/>
          <w:szCs w:val="21"/>
          <w:highlight w:val="none"/>
          <w:u w:val="single"/>
        </w:rPr>
        <w:t xml:space="preserve">  </w:t>
      </w:r>
      <w:r>
        <w:rPr>
          <w:rFonts w:hint="eastAsia" w:ascii="宋体" w:hAnsi="宋体" w:cs="宋体"/>
          <w:color w:val="auto"/>
          <w:kern w:val="0"/>
          <w:highlight w:val="none"/>
        </w:rPr>
        <w:t>。</w:t>
      </w:r>
    </w:p>
    <w:p w14:paraId="5515B837">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（2）因发包人原因未能按合同约定支付合同价款的违约责任：</w:t>
      </w:r>
      <w:r>
        <w:rPr>
          <w:rFonts w:hint="eastAsia" w:ascii="宋体" w:hAnsi="宋体" w:cs="宋体"/>
          <w:color w:val="auto"/>
          <w:szCs w:val="21"/>
          <w:highlight w:val="none"/>
          <w:u w:val="single"/>
        </w:rPr>
        <w:t xml:space="preserve"> </w:t>
      </w:r>
      <w:bookmarkStart w:id="1270" w:name="EBb7107c61da904bda855f7e5884bdc59e"/>
      <w:r>
        <w:rPr>
          <w:rFonts w:hint="eastAsia" w:ascii="宋体" w:hAnsi="宋体" w:eastAsia="宋体" w:cs="宋体"/>
          <w:color w:val="auto"/>
          <w:kern w:val="0"/>
          <w:sz w:val="21"/>
          <w:szCs w:val="21"/>
          <w:highlight w:val="none"/>
          <w:u w:val="single"/>
        </w:rPr>
        <w:t>顺延延误经审批工期，承包人同意不因此提出任何损失或费用索赔</w:t>
      </w:r>
      <w:bookmarkEnd w:id="1270"/>
      <w:r>
        <w:rPr>
          <w:rFonts w:hint="eastAsia" w:ascii="宋体" w:hAnsi="宋体" w:cs="宋体"/>
          <w:color w:val="auto"/>
          <w:szCs w:val="21"/>
          <w:highlight w:val="none"/>
          <w:u w:val="single"/>
        </w:rPr>
        <w:t xml:space="preserve"> </w:t>
      </w:r>
      <w:r>
        <w:rPr>
          <w:rFonts w:hint="eastAsia" w:ascii="宋体" w:hAnsi="宋体" w:cs="宋体"/>
          <w:color w:val="auto"/>
          <w:kern w:val="0"/>
          <w:highlight w:val="none"/>
        </w:rPr>
        <w:t>。</w:t>
      </w:r>
    </w:p>
    <w:p w14:paraId="329D7BB8">
      <w:pPr>
        <w:adjustRightInd w:val="0"/>
        <w:snapToGrid w:val="0"/>
        <w:spacing w:line="384" w:lineRule="auto"/>
        <w:ind w:firstLine="420" w:firstLineChars="200"/>
        <w:rPr>
          <w:rFonts w:hint="eastAsia" w:ascii="宋体" w:hAnsi="宋体" w:cs="宋体"/>
          <w:b/>
          <w:color w:val="auto"/>
          <w:kern w:val="0"/>
          <w:highlight w:val="none"/>
          <w:u w:val="single"/>
        </w:rPr>
      </w:pPr>
      <w:r>
        <w:rPr>
          <w:rFonts w:hint="eastAsia" w:ascii="宋体" w:hAnsi="宋体" w:cs="宋体"/>
          <w:color w:val="auto"/>
          <w:kern w:val="0"/>
          <w:highlight w:val="none"/>
        </w:rPr>
        <w:t>（3）发包人违反第10.1款〔变更的范围〕第（2）项约定，自行实施被取消的工作或转由他人实施的违约责任：</w:t>
      </w:r>
      <w:r>
        <w:rPr>
          <w:rFonts w:hint="eastAsia" w:ascii="宋体" w:hAnsi="宋体" w:cs="宋体"/>
          <w:color w:val="auto"/>
          <w:szCs w:val="21"/>
          <w:highlight w:val="none"/>
          <w:u w:val="single"/>
        </w:rPr>
        <w:t xml:space="preserve">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无</w:t>
      </w:r>
      <w:r>
        <w:rPr>
          <w:rFonts w:hint="eastAsia" w:ascii="宋体" w:hAnsi="宋体" w:cs="宋体"/>
          <w:color w:val="auto"/>
          <w:szCs w:val="21"/>
          <w:highlight w:val="none"/>
          <w:u w:val="single"/>
        </w:rPr>
        <w:t xml:space="preserve">        </w:t>
      </w:r>
      <w:r>
        <w:rPr>
          <w:rFonts w:hint="eastAsia" w:ascii="宋体" w:hAnsi="宋体" w:cs="宋体"/>
          <w:b/>
          <w:color w:val="auto"/>
          <w:kern w:val="0"/>
          <w:highlight w:val="none"/>
        </w:rPr>
        <w:t>。</w:t>
      </w:r>
    </w:p>
    <w:p w14:paraId="6727C7F1">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（4）发包人提供的材料、工程设备的规格、数量或质量不符合合同约定，或因发包人原因导致交货日期延误或交货地点变更等情况的违约责任：</w:t>
      </w:r>
      <w:r>
        <w:rPr>
          <w:rFonts w:hint="eastAsia" w:ascii="宋体" w:hAnsi="宋体" w:cs="宋体"/>
          <w:color w:val="auto"/>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无</w:t>
      </w:r>
      <w:r>
        <w:rPr>
          <w:rFonts w:hint="eastAsia" w:ascii="宋体" w:hAnsi="宋体" w:cs="宋体"/>
          <w:color w:val="auto"/>
          <w:szCs w:val="21"/>
          <w:highlight w:val="none"/>
          <w:u w:val="single"/>
        </w:rPr>
        <w:t xml:space="preserve">              </w:t>
      </w:r>
      <w:r>
        <w:rPr>
          <w:rFonts w:hint="eastAsia" w:ascii="宋体" w:hAnsi="宋体" w:cs="宋体"/>
          <w:color w:val="auto"/>
          <w:kern w:val="0"/>
          <w:highlight w:val="none"/>
        </w:rPr>
        <w:t>。</w:t>
      </w:r>
    </w:p>
    <w:p w14:paraId="27B9329F">
      <w:pPr>
        <w:adjustRightInd w:val="0"/>
        <w:snapToGrid w:val="0"/>
        <w:spacing w:line="384" w:lineRule="auto"/>
        <w:ind w:firstLine="420" w:firstLineChars="200"/>
        <w:rPr>
          <w:rFonts w:hint="eastAsia" w:ascii="宋体" w:hAnsi="宋体" w:cs="宋体"/>
          <w:color w:val="auto"/>
          <w:kern w:val="0"/>
          <w:highlight w:val="none"/>
          <w:u w:val="single"/>
        </w:rPr>
      </w:pPr>
      <w:r>
        <w:rPr>
          <w:rFonts w:hint="eastAsia" w:ascii="宋体" w:hAnsi="宋体" w:cs="宋体"/>
          <w:color w:val="auto"/>
          <w:kern w:val="0"/>
          <w:highlight w:val="none"/>
        </w:rPr>
        <w:t>（5）因发包人违反合同约定造成暂停施工的违约责任：</w:t>
      </w:r>
      <w:r>
        <w:rPr>
          <w:rFonts w:hint="eastAsia" w:ascii="宋体" w:hAnsi="宋体" w:cs="宋体"/>
          <w:color w:val="auto"/>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无</w:t>
      </w:r>
      <w:r>
        <w:rPr>
          <w:rFonts w:hint="eastAsia" w:ascii="宋体" w:hAnsi="宋体" w:cs="宋体"/>
          <w:color w:val="auto"/>
          <w:szCs w:val="21"/>
          <w:highlight w:val="none"/>
          <w:u w:val="single"/>
        </w:rPr>
        <w:t xml:space="preserve">      </w:t>
      </w:r>
      <w:r>
        <w:rPr>
          <w:rFonts w:hint="eastAsia" w:ascii="宋体" w:hAnsi="宋体" w:cs="宋体"/>
          <w:color w:val="auto"/>
          <w:kern w:val="0"/>
          <w:highlight w:val="none"/>
        </w:rPr>
        <w:t>。</w:t>
      </w:r>
    </w:p>
    <w:p w14:paraId="34561655">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（6）发包人无正当理由没有在约定期限内发出复工指示，导致承包人无法复工的违约责任：</w:t>
      </w:r>
      <w:r>
        <w:rPr>
          <w:rFonts w:hint="eastAsia" w:ascii="宋体" w:hAnsi="宋体" w:cs="宋体"/>
          <w:color w:val="auto"/>
          <w:kern w:val="0"/>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无</w:t>
      </w:r>
      <w:r>
        <w:rPr>
          <w:rFonts w:hint="eastAsia" w:ascii="宋体" w:hAnsi="宋体" w:cs="宋体"/>
          <w:color w:val="auto"/>
          <w:szCs w:val="21"/>
          <w:highlight w:val="none"/>
          <w:u w:val="single"/>
        </w:rPr>
        <w:t xml:space="preserve">           </w:t>
      </w:r>
      <w:r>
        <w:rPr>
          <w:rFonts w:hint="eastAsia" w:ascii="宋体" w:hAnsi="宋体" w:cs="宋体"/>
          <w:color w:val="auto"/>
          <w:kern w:val="0"/>
          <w:highlight w:val="none"/>
        </w:rPr>
        <w:t>。</w:t>
      </w:r>
    </w:p>
    <w:p w14:paraId="751C83CC">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（7）其他：</w:t>
      </w:r>
      <w:r>
        <w:rPr>
          <w:rFonts w:hint="eastAsia" w:ascii="宋体" w:hAnsi="宋体" w:cs="宋体"/>
          <w:color w:val="auto"/>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无</w:t>
      </w:r>
      <w:r>
        <w:rPr>
          <w:rFonts w:hint="eastAsia" w:ascii="宋体" w:hAnsi="宋体" w:cs="宋体"/>
          <w:color w:val="auto"/>
          <w:szCs w:val="21"/>
          <w:highlight w:val="none"/>
          <w:u w:val="single"/>
        </w:rPr>
        <w:t xml:space="preserve">     </w:t>
      </w:r>
      <w:r>
        <w:rPr>
          <w:rFonts w:hint="eastAsia" w:ascii="宋体" w:hAnsi="宋体" w:cs="宋体"/>
          <w:color w:val="auto"/>
          <w:kern w:val="0"/>
          <w:highlight w:val="none"/>
        </w:rPr>
        <w:t>。</w:t>
      </w:r>
    </w:p>
    <w:p w14:paraId="23AF1198">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16.1.3 因发包人违约解除合同</w:t>
      </w:r>
    </w:p>
    <w:p w14:paraId="6832B3F8">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承包人按16.1.1项〔发包人违约的情形〕约定暂停施工满</w:t>
      </w:r>
      <w:r>
        <w:rPr>
          <w:rFonts w:hint="eastAsia" w:ascii="宋体" w:hAnsi="宋体" w:cs="宋体"/>
          <w:color w:val="auto"/>
          <w:szCs w:val="21"/>
          <w:highlight w:val="none"/>
          <w:u w:val="single"/>
        </w:rPr>
        <w:t>28</w:t>
      </w:r>
      <w:r>
        <w:rPr>
          <w:rFonts w:hint="eastAsia" w:ascii="宋体" w:hAnsi="宋体" w:cs="宋体"/>
          <w:color w:val="auto"/>
          <w:kern w:val="0"/>
          <w:highlight w:val="none"/>
        </w:rPr>
        <w:t>天后发包人仍不纠正其违约行为并致使合同目的不能实现的，承包人有权解除合同。</w:t>
      </w:r>
    </w:p>
    <w:p w14:paraId="25726A65">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16.2 承包人违约</w:t>
      </w:r>
    </w:p>
    <w:p w14:paraId="714B1066">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16.2.1 承包人违约的情形</w:t>
      </w:r>
    </w:p>
    <w:p w14:paraId="009BF900">
      <w:pPr>
        <w:adjustRightInd w:val="0"/>
        <w:snapToGrid w:val="0"/>
        <w:spacing w:line="384" w:lineRule="auto"/>
        <w:ind w:firstLine="420" w:firstLineChars="200"/>
        <w:rPr>
          <w:rFonts w:hint="eastAsia" w:ascii="宋体" w:hAnsi="宋体" w:cs="宋体"/>
          <w:color w:val="auto"/>
          <w:kern w:val="0"/>
          <w:highlight w:val="none"/>
          <w:u w:val="single"/>
        </w:rPr>
      </w:pPr>
      <w:r>
        <w:rPr>
          <w:rFonts w:hint="eastAsia" w:ascii="宋体" w:hAnsi="宋体" w:cs="宋体"/>
          <w:color w:val="auto"/>
          <w:kern w:val="0"/>
          <w:highlight w:val="none"/>
        </w:rPr>
        <w:t>承包人违约的其他情形：</w:t>
      </w:r>
      <w:r>
        <w:rPr>
          <w:rFonts w:hint="eastAsia" w:ascii="宋体" w:hAnsi="宋体" w:cs="宋体"/>
          <w:color w:val="auto"/>
          <w:kern w:val="0"/>
          <w:highlight w:val="none"/>
          <w:u w:val="single"/>
        </w:rPr>
        <w:t xml:space="preserve">    </w:t>
      </w:r>
      <w:r>
        <w:rPr>
          <w:rFonts w:hint="eastAsia" w:ascii="宋体" w:hAnsi="宋体" w:cs="宋体"/>
          <w:color w:val="auto"/>
          <w:kern w:val="0"/>
          <w:szCs w:val="21"/>
          <w:highlight w:val="none"/>
          <w:u w:val="single"/>
        </w:rPr>
        <w:t>执行通用条款</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p>
    <w:p w14:paraId="75EE7EB6">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16.2.2 承包人违约的责任</w:t>
      </w:r>
    </w:p>
    <w:p w14:paraId="0E8FD6BB">
      <w:pPr>
        <w:adjustRightInd w:val="0"/>
        <w:snapToGrid w:val="0"/>
        <w:spacing w:line="384" w:lineRule="auto"/>
        <w:ind w:firstLine="420" w:firstLineChars="200"/>
        <w:rPr>
          <w:rFonts w:hint="eastAsia" w:ascii="宋体" w:hAnsi="宋体" w:eastAsia="宋体" w:cs="宋体"/>
          <w:color w:val="auto"/>
          <w:kern w:val="0"/>
          <w:szCs w:val="21"/>
          <w:highlight w:val="none"/>
          <w:u w:val="single"/>
        </w:rPr>
      </w:pPr>
      <w:r>
        <w:rPr>
          <w:rFonts w:hint="eastAsia" w:ascii="宋体" w:hAnsi="宋体" w:cs="宋体"/>
          <w:color w:val="auto"/>
          <w:kern w:val="0"/>
          <w:highlight w:val="none"/>
        </w:rPr>
        <w:t>承包人违约责任的承担方式和计算方法：</w:t>
      </w:r>
      <w:r>
        <w:rPr>
          <w:rFonts w:hint="eastAsia" w:ascii="宋体" w:hAnsi="宋体" w:cs="宋体"/>
          <w:b/>
          <w:color w:val="auto"/>
          <w:highlight w:val="none"/>
          <w:u w:val="single"/>
        </w:rPr>
        <w:t xml:space="preserve"> </w:t>
      </w:r>
      <w:r>
        <w:rPr>
          <w:rFonts w:hint="eastAsia" w:ascii="宋体" w:hAnsi="宋体" w:eastAsia="宋体" w:cs="宋体"/>
          <w:color w:val="auto"/>
          <w:kern w:val="0"/>
          <w:szCs w:val="21"/>
          <w:highlight w:val="none"/>
          <w:u w:val="single"/>
        </w:rPr>
        <w:t>（1）承包人违反合同约定进行转包或违法分包的违约责任：承包人转包本工程或者违法分包本工程的（包括在工程竣工验收通过后发包人发现该种情形的），应该向发包人支付</w:t>
      </w:r>
      <w:r>
        <w:rPr>
          <w:rFonts w:hint="eastAsia" w:ascii="宋体" w:hAnsi="宋体" w:eastAsia="宋体" w:cs="宋体"/>
          <w:color w:val="auto"/>
          <w:kern w:val="0"/>
          <w:szCs w:val="21"/>
          <w:highlight w:val="none"/>
          <w:u w:val="single"/>
          <w:lang w:val="en-US" w:eastAsia="zh-CN"/>
        </w:rPr>
        <w:t>20万元违约金</w:t>
      </w:r>
      <w:r>
        <w:rPr>
          <w:rFonts w:hint="eastAsia" w:ascii="宋体" w:hAnsi="宋体" w:eastAsia="宋体" w:cs="宋体"/>
          <w:color w:val="auto"/>
          <w:kern w:val="0"/>
          <w:szCs w:val="21"/>
          <w:highlight w:val="none"/>
          <w:u w:val="single"/>
        </w:rPr>
        <w:t>，并且发包人有权随时通知解除本合同。承包人应承担因自己转包或违法分包所带来的一切不利后果。</w:t>
      </w:r>
    </w:p>
    <w:p w14:paraId="5B27AD0E">
      <w:pPr>
        <w:adjustRightInd w:val="0"/>
        <w:snapToGrid w:val="0"/>
        <w:spacing w:line="384" w:lineRule="auto"/>
        <w:ind w:firstLine="420" w:firstLineChars="200"/>
        <w:rPr>
          <w:rFonts w:hint="eastAsia" w:ascii="宋体" w:hAnsi="宋体" w:eastAsia="宋体" w:cs="宋体"/>
          <w:color w:val="auto"/>
          <w:kern w:val="0"/>
          <w:szCs w:val="21"/>
          <w:highlight w:val="none"/>
          <w:u w:val="single"/>
        </w:rPr>
      </w:pPr>
      <w:r>
        <w:rPr>
          <w:rFonts w:hint="eastAsia" w:ascii="宋体" w:hAnsi="宋体" w:eastAsia="宋体" w:cs="宋体"/>
          <w:color w:val="auto"/>
          <w:kern w:val="0"/>
          <w:szCs w:val="21"/>
          <w:highlight w:val="none"/>
          <w:u w:val="single"/>
        </w:rPr>
        <w:t>（2）承包人违反合同约定采购和使用不合格的材料和工程设备的违约责任：发包人或监理工程师每发现（包括在工程竣工验收后发现的）一次，承包人应该向发包人支付3万元违约金，并应根据发包人</w:t>
      </w:r>
      <w:r>
        <w:rPr>
          <w:rFonts w:hint="eastAsia" w:ascii="宋体" w:hAnsi="宋体" w:eastAsia="宋体" w:cs="宋体"/>
          <w:color w:val="auto"/>
          <w:kern w:val="0"/>
          <w:szCs w:val="21"/>
          <w:highlight w:val="none"/>
          <w:u w:val="single"/>
          <w:lang w:val="en-US" w:eastAsia="zh-CN"/>
        </w:rPr>
        <w:t>要求无条件整改，直至满足规范要求</w:t>
      </w:r>
      <w:r>
        <w:rPr>
          <w:rFonts w:hint="eastAsia" w:ascii="宋体" w:hAnsi="宋体" w:eastAsia="宋体" w:cs="宋体"/>
          <w:color w:val="auto"/>
          <w:kern w:val="0"/>
          <w:szCs w:val="21"/>
          <w:highlight w:val="none"/>
          <w:u w:val="single"/>
        </w:rPr>
        <w:t>。</w:t>
      </w:r>
    </w:p>
    <w:p w14:paraId="3DE14E4E">
      <w:pPr>
        <w:adjustRightInd w:val="0"/>
        <w:snapToGrid w:val="0"/>
        <w:spacing w:line="384" w:lineRule="auto"/>
        <w:ind w:firstLine="420" w:firstLineChars="200"/>
        <w:rPr>
          <w:rFonts w:hint="eastAsia" w:ascii="宋体" w:hAnsi="宋体" w:eastAsia="宋体" w:cs="宋体"/>
          <w:color w:val="auto"/>
          <w:kern w:val="0"/>
          <w:szCs w:val="21"/>
          <w:highlight w:val="none"/>
          <w:u w:val="single"/>
        </w:rPr>
      </w:pPr>
      <w:r>
        <w:rPr>
          <w:rFonts w:hint="eastAsia" w:ascii="宋体" w:hAnsi="宋体" w:eastAsia="宋体" w:cs="宋体"/>
          <w:color w:val="auto"/>
          <w:kern w:val="0"/>
          <w:szCs w:val="21"/>
          <w:highlight w:val="none"/>
          <w:u w:val="single"/>
        </w:rPr>
        <w:t>（3）工程质量不符合合同要求的违约责任：工程竣工验收时质量达不到约定的质量标准，</w:t>
      </w:r>
      <w:r>
        <w:rPr>
          <w:rFonts w:hint="eastAsia" w:ascii="宋体" w:hAnsi="宋体" w:eastAsia="宋体" w:cs="宋体"/>
          <w:color w:val="auto"/>
          <w:kern w:val="0"/>
          <w:szCs w:val="21"/>
          <w:highlight w:val="none"/>
          <w:u w:val="single"/>
          <w:lang w:val="en-US" w:eastAsia="zh-CN"/>
        </w:rPr>
        <w:t>应该向发包人支付20万元违约金</w:t>
      </w:r>
      <w:r>
        <w:rPr>
          <w:rFonts w:hint="eastAsia" w:ascii="宋体" w:hAnsi="宋体" w:eastAsia="宋体" w:cs="宋体"/>
          <w:color w:val="auto"/>
          <w:kern w:val="0"/>
          <w:szCs w:val="21"/>
          <w:highlight w:val="none"/>
          <w:u w:val="single"/>
        </w:rPr>
        <w:t>，并必须在发包人要求的期限内返工使工程达到上述质量要求，若因返工使工程逾期完成，承包人除承担上述质量违约责任外还必须按本合同约定承担逾期完工违约金。由于返工造成的所有费用由承包人自行承担。</w:t>
      </w:r>
    </w:p>
    <w:p w14:paraId="766E1C53">
      <w:pPr>
        <w:adjustRightInd w:val="0"/>
        <w:snapToGrid w:val="0"/>
        <w:spacing w:line="384" w:lineRule="auto"/>
        <w:ind w:firstLine="420" w:firstLineChars="200"/>
        <w:rPr>
          <w:rFonts w:hint="eastAsia" w:ascii="宋体" w:hAnsi="宋体" w:eastAsia="宋体" w:cs="宋体"/>
          <w:color w:val="auto"/>
          <w:kern w:val="0"/>
          <w:szCs w:val="21"/>
          <w:highlight w:val="none"/>
          <w:u w:val="single"/>
          <w:lang w:val="en-US" w:eastAsia="zh-CN"/>
        </w:rPr>
      </w:pPr>
      <w:r>
        <w:rPr>
          <w:rFonts w:hint="eastAsia" w:ascii="宋体" w:hAnsi="宋体" w:eastAsia="宋体" w:cs="宋体"/>
          <w:color w:val="auto"/>
          <w:kern w:val="0"/>
          <w:szCs w:val="21"/>
          <w:highlight w:val="none"/>
          <w:u w:val="single"/>
        </w:rPr>
        <w:t xml:space="preserve"> 工程质量达不到合格标准且拒绝或无法修复或承包人未在发包人要求的期限内返工至达到合同约定质量标准的，则发包人有权解除合同，</w:t>
      </w:r>
      <w:r>
        <w:rPr>
          <w:rFonts w:hint="eastAsia" w:ascii="宋体" w:hAnsi="宋体" w:eastAsia="宋体" w:cs="宋体"/>
          <w:color w:val="auto"/>
          <w:kern w:val="0"/>
          <w:szCs w:val="21"/>
          <w:highlight w:val="none"/>
          <w:u w:val="single"/>
          <w:lang w:val="en-US" w:eastAsia="zh-CN"/>
        </w:rPr>
        <w:t>并向发包人支付20万元违约金。</w:t>
      </w:r>
    </w:p>
    <w:p w14:paraId="0978D9BA">
      <w:pPr>
        <w:adjustRightInd w:val="0"/>
        <w:snapToGrid w:val="0"/>
        <w:spacing w:line="384" w:lineRule="auto"/>
        <w:ind w:firstLine="420" w:firstLineChars="200"/>
        <w:rPr>
          <w:rFonts w:hint="eastAsia" w:ascii="宋体" w:hAnsi="宋体" w:eastAsia="宋体" w:cs="宋体"/>
          <w:color w:val="auto"/>
          <w:kern w:val="0"/>
          <w:szCs w:val="21"/>
          <w:highlight w:val="none"/>
          <w:u w:val="single"/>
        </w:rPr>
      </w:pPr>
      <w:r>
        <w:rPr>
          <w:rFonts w:hint="eastAsia" w:ascii="宋体" w:hAnsi="宋体" w:eastAsia="宋体" w:cs="宋体"/>
          <w:color w:val="auto"/>
          <w:kern w:val="0"/>
          <w:szCs w:val="21"/>
          <w:highlight w:val="none"/>
          <w:u w:val="single"/>
          <w:lang w:val="en-US" w:eastAsia="zh-CN"/>
        </w:rPr>
        <w:t>（4）</w:t>
      </w:r>
      <w:r>
        <w:rPr>
          <w:rFonts w:hint="eastAsia" w:ascii="宋体" w:hAnsi="宋体" w:eastAsia="宋体" w:cs="宋体"/>
          <w:color w:val="auto"/>
          <w:kern w:val="0"/>
          <w:szCs w:val="21"/>
          <w:highlight w:val="none"/>
          <w:u w:val="single"/>
        </w:rPr>
        <w:t>承包人未能按施工进度计划及时完成合同约定的工作，造成工期或关键节点工期延误的违约责任：工期或关键节点工期每拖延一天，承包人向发包人支付人民币</w:t>
      </w:r>
      <w:r>
        <w:rPr>
          <w:rFonts w:hint="eastAsia" w:ascii="宋体" w:hAnsi="宋体" w:cs="宋体"/>
          <w:color w:val="auto"/>
          <w:kern w:val="0"/>
          <w:szCs w:val="21"/>
          <w:highlight w:val="none"/>
          <w:u w:val="single"/>
          <w:lang w:val="en-US" w:eastAsia="zh-CN"/>
        </w:rPr>
        <w:t>10000</w:t>
      </w:r>
      <w:r>
        <w:rPr>
          <w:rFonts w:hint="eastAsia" w:ascii="宋体" w:hAnsi="宋体" w:eastAsia="宋体" w:cs="宋体"/>
          <w:color w:val="auto"/>
          <w:kern w:val="0"/>
          <w:szCs w:val="21"/>
          <w:highlight w:val="none"/>
          <w:u w:val="single"/>
        </w:rPr>
        <w:t>元/天违约金。承包人延误前述工期，且在发包人书面催告的期限内仍未整改至满足计划进度工期要求，发包人有权认为承包人无能力按期履行合同并解除合同。</w:t>
      </w:r>
    </w:p>
    <w:p w14:paraId="7C0CF695">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16.2.3 因承包人违约解除合同</w:t>
      </w:r>
    </w:p>
    <w:p w14:paraId="45179852">
      <w:pPr>
        <w:adjustRightInd w:val="0"/>
        <w:snapToGrid w:val="0"/>
        <w:spacing w:line="384" w:lineRule="auto"/>
        <w:ind w:firstLine="420" w:firstLineChars="200"/>
        <w:rPr>
          <w:rFonts w:hint="eastAsia" w:ascii="宋体" w:hAnsi="宋体" w:cs="宋体"/>
          <w:color w:val="auto"/>
          <w:kern w:val="0"/>
          <w:highlight w:val="none"/>
          <w:u w:val="single"/>
        </w:rPr>
      </w:pPr>
      <w:r>
        <w:rPr>
          <w:rFonts w:hint="eastAsia" w:ascii="宋体" w:hAnsi="宋体" w:cs="宋体"/>
          <w:color w:val="auto"/>
          <w:kern w:val="0"/>
          <w:highlight w:val="none"/>
        </w:rPr>
        <w:t>关于承包人违约解除合同的特别约定：</w:t>
      </w:r>
      <w:r>
        <w:rPr>
          <w:rFonts w:hint="eastAsia" w:ascii="宋体" w:hAnsi="宋体" w:cs="宋体"/>
          <w:color w:val="auto"/>
          <w:kern w:val="0"/>
          <w:highlight w:val="none"/>
          <w:u w:val="single"/>
        </w:rPr>
        <w:t xml:space="preserve"> </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u w:val="single"/>
          <w:lang w:val="en-US" w:eastAsia="zh-CN"/>
        </w:rPr>
        <w:t>除专用条款约定情形外，其余</w:t>
      </w:r>
      <w:r>
        <w:rPr>
          <w:rFonts w:hint="eastAsia" w:ascii="宋体" w:hAnsi="宋体" w:eastAsia="宋体" w:cs="宋体"/>
          <w:color w:val="auto"/>
          <w:kern w:val="0"/>
          <w:szCs w:val="21"/>
          <w:highlight w:val="none"/>
          <w:u w:val="single"/>
        </w:rPr>
        <w:t>执行通用条款</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p>
    <w:p w14:paraId="0ECB5D86">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发包人继续使用承包人在施工现场的材料、设备、临时工程、承包人文件和由承包人或以其名义编制的其他文件的费用承担方式：</w:t>
      </w:r>
      <w:r>
        <w:rPr>
          <w:rFonts w:hint="eastAsia" w:ascii="宋体" w:hAnsi="宋体" w:cs="宋体"/>
          <w:color w:val="auto"/>
          <w:kern w:val="0"/>
          <w:highlight w:val="none"/>
          <w:u w:val="single"/>
        </w:rPr>
        <w:t xml:space="preserve"> </w:t>
      </w:r>
      <w:r>
        <w:rPr>
          <w:rFonts w:hint="eastAsia" w:ascii="宋体" w:hAnsi="宋体" w:eastAsia="宋体" w:cs="宋体"/>
          <w:color w:val="auto"/>
          <w:kern w:val="0"/>
          <w:szCs w:val="21"/>
          <w:highlight w:val="none"/>
          <w:u w:val="single"/>
          <w:lang w:val="en-US" w:eastAsia="zh-CN"/>
        </w:rPr>
        <w:t>承包人承担费用</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p>
    <w:p w14:paraId="407165D4">
      <w:pPr>
        <w:keepNext/>
        <w:keepLines/>
        <w:adjustRightInd w:val="0"/>
        <w:snapToGrid w:val="0"/>
        <w:spacing w:line="384" w:lineRule="auto"/>
        <w:jc w:val="left"/>
        <w:outlineLvl w:val="2"/>
        <w:rPr>
          <w:rFonts w:hint="eastAsia" w:ascii="宋体" w:hAnsi="宋体" w:cs="宋体"/>
          <w:bCs/>
          <w:color w:val="auto"/>
          <w:sz w:val="24"/>
          <w:highlight w:val="none"/>
        </w:rPr>
      </w:pPr>
      <w:bookmarkStart w:id="1271" w:name="_Toc351203649"/>
      <w:bookmarkStart w:id="1272" w:name="_Toc95223482"/>
      <w:r>
        <w:rPr>
          <w:rFonts w:hint="eastAsia" w:ascii="宋体" w:hAnsi="宋体" w:cs="宋体"/>
          <w:bCs/>
          <w:color w:val="auto"/>
          <w:sz w:val="24"/>
          <w:highlight w:val="none"/>
        </w:rPr>
        <w:t>17. 不可抗力</w:t>
      </w:r>
      <w:bookmarkEnd w:id="1271"/>
      <w:bookmarkEnd w:id="1272"/>
      <w:r>
        <w:rPr>
          <w:rFonts w:hint="eastAsia" w:ascii="宋体" w:hAnsi="宋体" w:cs="宋体"/>
          <w:bCs/>
          <w:color w:val="auto"/>
          <w:sz w:val="24"/>
          <w:highlight w:val="none"/>
        </w:rPr>
        <w:t xml:space="preserve"> </w:t>
      </w:r>
      <w:bookmarkEnd w:id="1267"/>
    </w:p>
    <w:p w14:paraId="3C920739">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17.1 不可抗力的确认</w:t>
      </w:r>
    </w:p>
    <w:p w14:paraId="543031B7">
      <w:pPr>
        <w:adjustRightInd w:val="0"/>
        <w:snapToGrid w:val="0"/>
        <w:spacing w:line="384" w:lineRule="auto"/>
        <w:ind w:firstLine="420" w:firstLineChars="200"/>
        <w:rPr>
          <w:rFonts w:hint="eastAsia" w:ascii="宋体" w:hAnsi="宋体" w:cs="宋体"/>
          <w:b/>
          <w:color w:val="auto"/>
          <w:highlight w:val="none"/>
          <w:u w:val="single"/>
        </w:rPr>
      </w:pPr>
      <w:r>
        <w:rPr>
          <w:rFonts w:hint="eastAsia" w:ascii="宋体" w:hAnsi="宋体" w:cs="宋体"/>
          <w:color w:val="auto"/>
          <w:highlight w:val="none"/>
        </w:rPr>
        <w:t>除通用合同条款约定的不可抗力事件之外，视为不可抗力的其他情形：</w:t>
      </w:r>
      <w:r>
        <w:rPr>
          <w:rFonts w:hint="eastAsia" w:ascii="宋体" w:hAnsi="宋体" w:cs="宋体"/>
          <w:color w:val="auto"/>
          <w:szCs w:val="21"/>
          <w:highlight w:val="none"/>
          <w:u w:val="single"/>
        </w:rPr>
        <w:t>执行通用条款</w:t>
      </w:r>
      <w:r>
        <w:rPr>
          <w:rFonts w:hint="eastAsia" w:ascii="宋体" w:hAnsi="宋体" w:cs="宋体"/>
          <w:color w:val="auto"/>
          <w:szCs w:val="21"/>
          <w:highlight w:val="none"/>
        </w:rPr>
        <w:t>。</w:t>
      </w:r>
    </w:p>
    <w:p w14:paraId="181F7553">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17.4 因不可抗力解除合同</w:t>
      </w:r>
    </w:p>
    <w:p w14:paraId="0DCC3E5F">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合同解除后，发包人应在商定或确定发包人应支付款项后</w:t>
      </w:r>
      <w:r>
        <w:rPr>
          <w:rFonts w:hint="eastAsia" w:ascii="宋体" w:hAnsi="宋体" w:cs="宋体"/>
          <w:color w:val="auto"/>
          <w:szCs w:val="21"/>
          <w:highlight w:val="none"/>
          <w:u w:val="single"/>
        </w:rPr>
        <w:t>28</w:t>
      </w:r>
      <w:r>
        <w:rPr>
          <w:rFonts w:hint="eastAsia" w:ascii="宋体" w:hAnsi="宋体" w:cs="宋体"/>
          <w:color w:val="auto"/>
          <w:highlight w:val="none"/>
        </w:rPr>
        <w:t>天内完成款项的支付。</w:t>
      </w:r>
    </w:p>
    <w:p w14:paraId="11679BDB">
      <w:pPr>
        <w:keepNext/>
        <w:keepLines/>
        <w:adjustRightInd w:val="0"/>
        <w:snapToGrid w:val="0"/>
        <w:spacing w:line="384" w:lineRule="auto"/>
        <w:jc w:val="left"/>
        <w:outlineLvl w:val="2"/>
        <w:rPr>
          <w:rFonts w:hint="eastAsia" w:ascii="宋体" w:hAnsi="宋体" w:cs="宋体"/>
          <w:bCs/>
          <w:color w:val="auto"/>
          <w:sz w:val="24"/>
          <w:highlight w:val="none"/>
        </w:rPr>
      </w:pPr>
      <w:bookmarkStart w:id="1273" w:name="_Toc351203650"/>
      <w:bookmarkStart w:id="1274" w:name="_Toc95223483"/>
      <w:r>
        <w:rPr>
          <w:rFonts w:hint="eastAsia" w:ascii="宋体" w:hAnsi="宋体" w:cs="宋体"/>
          <w:bCs/>
          <w:color w:val="auto"/>
          <w:sz w:val="24"/>
          <w:highlight w:val="none"/>
        </w:rPr>
        <w:t>18. 保险</w:t>
      </w:r>
      <w:bookmarkEnd w:id="1273"/>
      <w:bookmarkEnd w:id="1274"/>
    </w:p>
    <w:bookmarkEnd w:id="1268"/>
    <w:p w14:paraId="613F3BDD">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18.1 工程保险</w:t>
      </w:r>
    </w:p>
    <w:p w14:paraId="6A7ED1B0">
      <w:pPr>
        <w:adjustRightInd w:val="0"/>
        <w:snapToGrid w:val="0"/>
        <w:spacing w:line="384" w:lineRule="auto"/>
        <w:ind w:firstLine="420" w:firstLineChars="200"/>
        <w:rPr>
          <w:rFonts w:hint="eastAsia" w:ascii="宋体" w:hAnsi="宋体" w:eastAsia="宋体" w:cs="宋体"/>
          <w:color w:val="auto"/>
          <w:kern w:val="0"/>
          <w:szCs w:val="21"/>
          <w:highlight w:val="none"/>
          <w:u w:val="single"/>
          <w:lang w:val="en-US" w:eastAsia="zh-CN"/>
        </w:rPr>
      </w:pPr>
      <w:r>
        <w:rPr>
          <w:rFonts w:hint="eastAsia" w:ascii="宋体" w:hAnsi="宋体" w:cs="宋体"/>
          <w:color w:val="auto"/>
          <w:highlight w:val="none"/>
        </w:rPr>
        <w:t>关于工程保险的特别约定：</w:t>
      </w:r>
      <w:r>
        <w:rPr>
          <w:rFonts w:hint="eastAsia" w:ascii="宋体" w:hAnsi="宋体" w:eastAsia="宋体" w:cs="宋体"/>
          <w:color w:val="auto"/>
          <w:kern w:val="0"/>
          <w:szCs w:val="21"/>
          <w:highlight w:val="none"/>
          <w:u w:val="single"/>
          <w:lang w:val="en-US" w:eastAsia="zh-CN"/>
        </w:rPr>
        <w:t>承包人应遵守保险的条件，并对未保险的超出部分及保险责任以外的部分所发生的索赔和责任负责。此外，承包人应以自己的费用与保险人谈判解决所有索赔事项，并应向发包人、保险人或保险代理人提供所要求的一切文件和资料，以便保险安排、更新、保持及索赔能以实施   。</w:t>
      </w:r>
    </w:p>
    <w:p w14:paraId="5B4BF4D9">
      <w:pPr>
        <w:adjustRightInd w:val="0"/>
        <w:snapToGrid w:val="0"/>
        <w:spacing w:line="384" w:lineRule="auto"/>
        <w:ind w:firstLine="420" w:firstLineChars="200"/>
        <w:rPr>
          <w:rFonts w:hint="eastAsia" w:ascii="宋体" w:hAnsi="宋体" w:eastAsia="宋体" w:cs="宋体"/>
          <w:color w:val="auto"/>
          <w:kern w:val="0"/>
          <w:szCs w:val="21"/>
          <w:highlight w:val="none"/>
          <w:u w:val="single"/>
          <w:lang w:val="en-US" w:eastAsia="zh-CN"/>
        </w:rPr>
      </w:pPr>
      <w:r>
        <w:rPr>
          <w:rFonts w:hint="eastAsia" w:ascii="宋体" w:hAnsi="宋体" w:eastAsia="宋体" w:cs="宋体"/>
          <w:color w:val="auto"/>
          <w:kern w:val="0"/>
          <w:szCs w:val="21"/>
          <w:highlight w:val="none"/>
          <w:u w:val="single"/>
          <w:lang w:val="en-US" w:eastAsia="zh-CN"/>
        </w:rPr>
        <w:t>（1）建筑、安装工程一切险及第三者责任险，收费标准暂定如下：工程合同造价的0.045%（以实际发生为准）；</w:t>
      </w:r>
    </w:p>
    <w:p w14:paraId="6F56C79A">
      <w:pPr>
        <w:adjustRightInd w:val="0"/>
        <w:snapToGrid w:val="0"/>
        <w:spacing w:line="384" w:lineRule="auto"/>
        <w:ind w:firstLine="420" w:firstLineChars="200"/>
        <w:rPr>
          <w:rFonts w:hint="eastAsia" w:ascii="宋体" w:hAnsi="宋体" w:eastAsia="宋体" w:cs="宋体"/>
          <w:color w:val="auto"/>
          <w:kern w:val="0"/>
          <w:szCs w:val="21"/>
          <w:highlight w:val="none"/>
          <w:u w:val="single"/>
          <w:lang w:val="en-US" w:eastAsia="zh-CN"/>
        </w:rPr>
      </w:pPr>
      <w:r>
        <w:rPr>
          <w:rFonts w:hint="eastAsia" w:ascii="宋体" w:hAnsi="宋体" w:eastAsia="宋体" w:cs="宋体"/>
          <w:color w:val="auto"/>
          <w:kern w:val="0"/>
          <w:szCs w:val="21"/>
          <w:highlight w:val="none"/>
          <w:u w:val="single"/>
          <w:lang w:val="en-US" w:eastAsia="zh-CN"/>
        </w:rPr>
        <w:t>（2）建筑、安装施工人员团体意外综合保险，收费标准暂定如下（以实际发生为准）：</w:t>
      </w:r>
    </w:p>
    <w:tbl>
      <w:tblPr>
        <w:tblStyle w:val="20"/>
        <w:tblW w:w="0" w:type="auto"/>
        <w:tblInd w:w="523" w:type="dxa"/>
        <w:tblLayout w:type="fixed"/>
        <w:tblCellMar>
          <w:top w:w="0" w:type="dxa"/>
          <w:left w:w="0" w:type="dxa"/>
          <w:bottom w:w="0" w:type="dxa"/>
          <w:right w:w="0" w:type="dxa"/>
        </w:tblCellMar>
      </w:tblPr>
      <w:tblGrid>
        <w:gridCol w:w="1081"/>
        <w:gridCol w:w="1575"/>
        <w:gridCol w:w="1499"/>
        <w:gridCol w:w="1636"/>
        <w:gridCol w:w="1499"/>
      </w:tblGrid>
      <w:tr w14:paraId="04FFA180">
        <w:tblPrEx>
          <w:tblCellMar>
            <w:top w:w="0" w:type="dxa"/>
            <w:left w:w="0" w:type="dxa"/>
            <w:bottom w:w="0" w:type="dxa"/>
            <w:right w:w="0" w:type="dxa"/>
          </w:tblCellMar>
        </w:tblPrEx>
        <w:trPr>
          <w:trHeight w:val="567" w:hRule="exact"/>
        </w:trPr>
        <w:tc>
          <w:tcPr>
            <w:tcW w:w="1081" w:type="dxa"/>
            <w:tcBorders>
              <w:top w:val="single" w:color="auto" w:sz="4" w:space="0"/>
              <w:left w:val="single" w:color="auto" w:sz="4" w:space="0"/>
              <w:bottom w:val="single" w:color="auto" w:sz="4" w:space="0"/>
              <w:right w:val="single" w:color="auto" w:sz="4" w:space="0"/>
            </w:tcBorders>
            <w:noWrap w:val="0"/>
            <w:vAlign w:val="center"/>
          </w:tcPr>
          <w:p w14:paraId="2C9FECA4">
            <w:pPr>
              <w:adjustRightInd w:val="0"/>
              <w:snapToGrid w:val="0"/>
              <w:spacing w:line="384" w:lineRule="auto"/>
              <w:rPr>
                <w:rFonts w:hint="eastAsia" w:ascii="宋体" w:hAnsi="宋体" w:eastAsia="宋体" w:cs="宋体"/>
                <w:i w:val="0"/>
                <w:iCs w:val="0"/>
                <w:color w:val="auto"/>
                <w:kern w:val="0"/>
                <w:szCs w:val="21"/>
                <w:highlight w:val="none"/>
                <w:u w:val="none"/>
                <w:lang w:val="en-GB" w:eastAsia="zh-CN"/>
              </w:rPr>
            </w:pPr>
            <w:r>
              <w:rPr>
                <w:rFonts w:hint="eastAsia" w:ascii="宋体" w:hAnsi="宋体" w:eastAsia="宋体" w:cs="宋体"/>
                <w:i w:val="0"/>
                <w:iCs w:val="0"/>
                <w:color w:val="auto"/>
                <w:kern w:val="0"/>
                <w:szCs w:val="21"/>
                <w:highlight w:val="none"/>
                <w:u w:val="none"/>
                <w:lang w:val="en-GB" w:eastAsia="zh-CN"/>
              </w:rPr>
              <w:t>工程造价</w:t>
            </w:r>
          </w:p>
        </w:tc>
        <w:tc>
          <w:tcPr>
            <w:tcW w:w="1575" w:type="dxa"/>
            <w:tcBorders>
              <w:top w:val="single" w:color="auto" w:sz="4" w:space="0"/>
              <w:left w:val="nil"/>
              <w:bottom w:val="single" w:color="auto" w:sz="4" w:space="0"/>
              <w:right w:val="single" w:color="auto" w:sz="4" w:space="0"/>
            </w:tcBorders>
            <w:noWrap w:val="0"/>
            <w:vAlign w:val="center"/>
          </w:tcPr>
          <w:p w14:paraId="59CC87C0">
            <w:pPr>
              <w:adjustRightInd w:val="0"/>
              <w:snapToGrid w:val="0"/>
              <w:spacing w:line="384" w:lineRule="auto"/>
              <w:rPr>
                <w:rFonts w:hint="eastAsia" w:ascii="宋体" w:hAnsi="宋体" w:eastAsia="宋体" w:cs="宋体"/>
                <w:i w:val="0"/>
                <w:iCs w:val="0"/>
                <w:color w:val="auto"/>
                <w:kern w:val="0"/>
                <w:szCs w:val="21"/>
                <w:highlight w:val="none"/>
                <w:u w:val="none"/>
                <w:lang w:val="en-GB" w:eastAsia="zh-CN"/>
              </w:rPr>
            </w:pPr>
            <w:r>
              <w:rPr>
                <w:rFonts w:hint="eastAsia" w:ascii="宋体" w:hAnsi="宋体" w:eastAsia="宋体" w:cs="宋体"/>
                <w:i w:val="0"/>
                <w:iCs w:val="0"/>
                <w:color w:val="auto"/>
                <w:kern w:val="0"/>
                <w:szCs w:val="21"/>
                <w:highlight w:val="none"/>
                <w:u w:val="none"/>
                <w:lang w:val="en-GB" w:eastAsia="zh-CN"/>
              </w:rPr>
              <w:t>1000万以下</w:t>
            </w:r>
          </w:p>
        </w:tc>
        <w:tc>
          <w:tcPr>
            <w:tcW w:w="1499" w:type="dxa"/>
            <w:tcBorders>
              <w:top w:val="single" w:color="auto" w:sz="4" w:space="0"/>
              <w:left w:val="nil"/>
              <w:bottom w:val="single" w:color="auto" w:sz="4" w:space="0"/>
              <w:right w:val="single" w:color="auto" w:sz="4" w:space="0"/>
            </w:tcBorders>
            <w:noWrap w:val="0"/>
            <w:vAlign w:val="center"/>
          </w:tcPr>
          <w:p w14:paraId="38E0B758">
            <w:pPr>
              <w:adjustRightInd w:val="0"/>
              <w:snapToGrid w:val="0"/>
              <w:spacing w:line="384" w:lineRule="auto"/>
              <w:rPr>
                <w:rFonts w:hint="eastAsia" w:ascii="宋体" w:hAnsi="宋体" w:eastAsia="宋体" w:cs="宋体"/>
                <w:i w:val="0"/>
                <w:iCs w:val="0"/>
                <w:color w:val="auto"/>
                <w:kern w:val="0"/>
                <w:szCs w:val="21"/>
                <w:highlight w:val="none"/>
                <w:u w:val="none"/>
                <w:lang w:val="en-GB" w:eastAsia="zh-CN"/>
              </w:rPr>
            </w:pPr>
            <w:r>
              <w:rPr>
                <w:rFonts w:hint="eastAsia" w:ascii="宋体" w:hAnsi="宋体" w:eastAsia="宋体" w:cs="宋体"/>
                <w:i w:val="0"/>
                <w:iCs w:val="0"/>
                <w:color w:val="auto"/>
                <w:kern w:val="0"/>
                <w:szCs w:val="21"/>
                <w:highlight w:val="none"/>
                <w:u w:val="none"/>
                <w:lang w:val="en-GB" w:eastAsia="zh-CN"/>
              </w:rPr>
              <w:t>1000-5000万</w:t>
            </w:r>
          </w:p>
        </w:tc>
        <w:tc>
          <w:tcPr>
            <w:tcW w:w="1636" w:type="dxa"/>
            <w:tcBorders>
              <w:top w:val="single" w:color="auto" w:sz="4" w:space="0"/>
              <w:left w:val="nil"/>
              <w:bottom w:val="single" w:color="auto" w:sz="4" w:space="0"/>
              <w:right w:val="single" w:color="auto" w:sz="4" w:space="0"/>
            </w:tcBorders>
            <w:noWrap w:val="0"/>
            <w:vAlign w:val="center"/>
          </w:tcPr>
          <w:p w14:paraId="241774E7">
            <w:pPr>
              <w:adjustRightInd w:val="0"/>
              <w:snapToGrid w:val="0"/>
              <w:spacing w:line="384" w:lineRule="auto"/>
              <w:rPr>
                <w:rFonts w:hint="eastAsia" w:ascii="宋体" w:hAnsi="宋体" w:eastAsia="宋体" w:cs="宋体"/>
                <w:i w:val="0"/>
                <w:iCs w:val="0"/>
                <w:color w:val="auto"/>
                <w:kern w:val="0"/>
                <w:szCs w:val="21"/>
                <w:highlight w:val="none"/>
                <w:u w:val="none"/>
                <w:lang w:val="en-GB" w:eastAsia="zh-CN"/>
              </w:rPr>
            </w:pPr>
            <w:r>
              <w:rPr>
                <w:rFonts w:hint="eastAsia" w:ascii="宋体" w:hAnsi="宋体" w:eastAsia="宋体" w:cs="宋体"/>
                <w:i w:val="0"/>
                <w:iCs w:val="0"/>
                <w:color w:val="auto"/>
                <w:kern w:val="0"/>
                <w:szCs w:val="21"/>
                <w:highlight w:val="none"/>
                <w:u w:val="none"/>
                <w:lang w:val="en-GB" w:eastAsia="zh-CN"/>
              </w:rPr>
              <w:t>5001-50000万</w:t>
            </w:r>
          </w:p>
        </w:tc>
        <w:tc>
          <w:tcPr>
            <w:tcW w:w="1499" w:type="dxa"/>
            <w:tcBorders>
              <w:top w:val="single" w:color="auto" w:sz="4" w:space="0"/>
              <w:left w:val="nil"/>
              <w:bottom w:val="single" w:color="auto" w:sz="4" w:space="0"/>
              <w:right w:val="single" w:color="auto" w:sz="4" w:space="0"/>
            </w:tcBorders>
            <w:noWrap w:val="0"/>
            <w:vAlign w:val="center"/>
          </w:tcPr>
          <w:p w14:paraId="7940C3F9">
            <w:pPr>
              <w:adjustRightInd w:val="0"/>
              <w:snapToGrid w:val="0"/>
              <w:spacing w:line="384" w:lineRule="auto"/>
              <w:rPr>
                <w:rFonts w:hint="eastAsia" w:ascii="宋体" w:hAnsi="宋体" w:eastAsia="宋体" w:cs="宋体"/>
                <w:i w:val="0"/>
                <w:iCs w:val="0"/>
                <w:color w:val="auto"/>
                <w:kern w:val="0"/>
                <w:szCs w:val="21"/>
                <w:highlight w:val="none"/>
                <w:u w:val="none"/>
                <w:lang w:val="en-GB" w:eastAsia="zh-CN"/>
              </w:rPr>
            </w:pPr>
            <w:r>
              <w:rPr>
                <w:rFonts w:hint="eastAsia" w:ascii="宋体" w:hAnsi="宋体" w:eastAsia="宋体" w:cs="宋体"/>
                <w:i w:val="0"/>
                <w:iCs w:val="0"/>
                <w:color w:val="auto"/>
                <w:kern w:val="0"/>
                <w:szCs w:val="21"/>
                <w:highlight w:val="none"/>
                <w:u w:val="none"/>
                <w:lang w:val="en-GB" w:eastAsia="zh-CN"/>
              </w:rPr>
              <w:t>50000万以上</w:t>
            </w:r>
          </w:p>
        </w:tc>
      </w:tr>
      <w:tr w14:paraId="7C5C2B3E">
        <w:tblPrEx>
          <w:tblCellMar>
            <w:top w:w="0" w:type="dxa"/>
            <w:left w:w="0" w:type="dxa"/>
            <w:bottom w:w="0" w:type="dxa"/>
            <w:right w:w="0" w:type="dxa"/>
          </w:tblCellMar>
        </w:tblPrEx>
        <w:trPr>
          <w:trHeight w:val="567" w:hRule="exact"/>
        </w:trPr>
        <w:tc>
          <w:tcPr>
            <w:tcW w:w="1081" w:type="dxa"/>
            <w:tcBorders>
              <w:top w:val="nil"/>
              <w:left w:val="single" w:color="auto" w:sz="4" w:space="0"/>
              <w:bottom w:val="single" w:color="auto" w:sz="4" w:space="0"/>
              <w:right w:val="single" w:color="auto" w:sz="4" w:space="0"/>
            </w:tcBorders>
            <w:noWrap w:val="0"/>
            <w:vAlign w:val="center"/>
          </w:tcPr>
          <w:p w14:paraId="1ADF8EFC">
            <w:pPr>
              <w:adjustRightInd w:val="0"/>
              <w:snapToGrid w:val="0"/>
              <w:spacing w:line="384" w:lineRule="auto"/>
              <w:ind w:firstLine="420" w:firstLineChars="200"/>
              <w:rPr>
                <w:rFonts w:hint="eastAsia" w:ascii="宋体" w:hAnsi="宋体" w:eastAsia="宋体" w:cs="宋体"/>
                <w:i w:val="0"/>
                <w:iCs w:val="0"/>
                <w:color w:val="auto"/>
                <w:kern w:val="0"/>
                <w:szCs w:val="21"/>
                <w:highlight w:val="none"/>
                <w:u w:val="none"/>
                <w:lang w:val="en-GB" w:eastAsia="zh-CN"/>
              </w:rPr>
            </w:pPr>
            <w:r>
              <w:rPr>
                <w:rFonts w:hint="eastAsia" w:ascii="宋体" w:hAnsi="宋体" w:eastAsia="宋体" w:cs="宋体"/>
                <w:i w:val="0"/>
                <w:iCs w:val="0"/>
                <w:color w:val="auto"/>
                <w:kern w:val="0"/>
                <w:szCs w:val="21"/>
                <w:highlight w:val="none"/>
                <w:u w:val="none"/>
                <w:lang w:val="en-GB" w:eastAsia="zh-CN"/>
              </w:rPr>
              <w:t>费率</w:t>
            </w:r>
          </w:p>
        </w:tc>
        <w:tc>
          <w:tcPr>
            <w:tcW w:w="1575" w:type="dxa"/>
            <w:tcBorders>
              <w:top w:val="nil"/>
              <w:left w:val="nil"/>
              <w:bottom w:val="single" w:color="auto" w:sz="4" w:space="0"/>
              <w:right w:val="single" w:color="auto" w:sz="4" w:space="0"/>
            </w:tcBorders>
            <w:noWrap w:val="0"/>
            <w:vAlign w:val="center"/>
          </w:tcPr>
          <w:p w14:paraId="58BC1FE7">
            <w:pPr>
              <w:adjustRightInd w:val="0"/>
              <w:snapToGrid w:val="0"/>
              <w:spacing w:line="384" w:lineRule="auto"/>
              <w:ind w:firstLine="420" w:firstLineChars="200"/>
              <w:rPr>
                <w:rFonts w:hint="eastAsia" w:ascii="宋体" w:hAnsi="宋体" w:eastAsia="宋体" w:cs="宋体"/>
                <w:i w:val="0"/>
                <w:iCs w:val="0"/>
                <w:color w:val="auto"/>
                <w:kern w:val="0"/>
                <w:szCs w:val="21"/>
                <w:highlight w:val="none"/>
                <w:u w:val="none"/>
                <w:lang w:val="en-GB" w:eastAsia="zh-CN"/>
              </w:rPr>
            </w:pPr>
            <w:r>
              <w:rPr>
                <w:rFonts w:hint="eastAsia" w:ascii="宋体" w:hAnsi="宋体" w:eastAsia="宋体" w:cs="宋体"/>
                <w:i w:val="0"/>
                <w:iCs w:val="0"/>
                <w:color w:val="auto"/>
                <w:kern w:val="0"/>
                <w:szCs w:val="21"/>
                <w:highlight w:val="none"/>
                <w:u w:val="none"/>
                <w:lang w:val="en-GB" w:eastAsia="zh-CN"/>
              </w:rPr>
              <w:t>0.096%</w:t>
            </w:r>
          </w:p>
        </w:tc>
        <w:tc>
          <w:tcPr>
            <w:tcW w:w="1499" w:type="dxa"/>
            <w:tcBorders>
              <w:top w:val="nil"/>
              <w:left w:val="nil"/>
              <w:bottom w:val="single" w:color="auto" w:sz="4" w:space="0"/>
              <w:right w:val="single" w:color="auto" w:sz="4" w:space="0"/>
            </w:tcBorders>
            <w:noWrap w:val="0"/>
            <w:vAlign w:val="center"/>
          </w:tcPr>
          <w:p w14:paraId="1DAC17E4">
            <w:pPr>
              <w:adjustRightInd w:val="0"/>
              <w:snapToGrid w:val="0"/>
              <w:spacing w:line="384" w:lineRule="auto"/>
              <w:ind w:firstLine="420" w:firstLineChars="200"/>
              <w:rPr>
                <w:rFonts w:hint="eastAsia" w:ascii="宋体" w:hAnsi="宋体" w:eastAsia="宋体" w:cs="宋体"/>
                <w:i w:val="0"/>
                <w:iCs w:val="0"/>
                <w:color w:val="auto"/>
                <w:kern w:val="0"/>
                <w:szCs w:val="21"/>
                <w:highlight w:val="none"/>
                <w:u w:val="none"/>
                <w:lang w:val="en-GB" w:eastAsia="zh-CN"/>
              </w:rPr>
            </w:pPr>
            <w:r>
              <w:rPr>
                <w:rFonts w:hint="eastAsia" w:ascii="宋体" w:hAnsi="宋体" w:eastAsia="宋体" w:cs="宋体"/>
                <w:i w:val="0"/>
                <w:iCs w:val="0"/>
                <w:color w:val="auto"/>
                <w:kern w:val="0"/>
                <w:szCs w:val="21"/>
                <w:highlight w:val="none"/>
                <w:u w:val="none"/>
                <w:lang w:val="en-GB" w:eastAsia="zh-CN"/>
              </w:rPr>
              <w:t>0.08%</w:t>
            </w:r>
          </w:p>
        </w:tc>
        <w:tc>
          <w:tcPr>
            <w:tcW w:w="1636" w:type="dxa"/>
            <w:tcBorders>
              <w:top w:val="nil"/>
              <w:left w:val="nil"/>
              <w:bottom w:val="single" w:color="auto" w:sz="4" w:space="0"/>
              <w:right w:val="single" w:color="auto" w:sz="4" w:space="0"/>
            </w:tcBorders>
            <w:noWrap w:val="0"/>
            <w:vAlign w:val="center"/>
          </w:tcPr>
          <w:p w14:paraId="367F0512">
            <w:pPr>
              <w:adjustRightInd w:val="0"/>
              <w:snapToGrid w:val="0"/>
              <w:spacing w:line="384" w:lineRule="auto"/>
              <w:ind w:firstLine="420" w:firstLineChars="200"/>
              <w:rPr>
                <w:rFonts w:hint="eastAsia" w:ascii="宋体" w:hAnsi="宋体" w:eastAsia="宋体" w:cs="宋体"/>
                <w:i w:val="0"/>
                <w:iCs w:val="0"/>
                <w:color w:val="auto"/>
                <w:kern w:val="0"/>
                <w:szCs w:val="21"/>
                <w:highlight w:val="none"/>
                <w:u w:val="none"/>
                <w:lang w:val="en-GB" w:eastAsia="zh-CN"/>
              </w:rPr>
            </w:pPr>
            <w:r>
              <w:rPr>
                <w:rFonts w:hint="eastAsia" w:ascii="宋体" w:hAnsi="宋体" w:eastAsia="宋体" w:cs="宋体"/>
                <w:i w:val="0"/>
                <w:iCs w:val="0"/>
                <w:color w:val="auto"/>
                <w:kern w:val="0"/>
                <w:szCs w:val="21"/>
                <w:highlight w:val="none"/>
                <w:u w:val="none"/>
                <w:lang w:val="en-GB" w:eastAsia="zh-CN"/>
              </w:rPr>
              <w:t>0.064%</w:t>
            </w:r>
          </w:p>
        </w:tc>
        <w:tc>
          <w:tcPr>
            <w:tcW w:w="1499" w:type="dxa"/>
            <w:tcBorders>
              <w:top w:val="nil"/>
              <w:left w:val="nil"/>
              <w:bottom w:val="single" w:color="auto" w:sz="4" w:space="0"/>
              <w:right w:val="single" w:color="auto" w:sz="4" w:space="0"/>
            </w:tcBorders>
            <w:noWrap w:val="0"/>
            <w:vAlign w:val="center"/>
          </w:tcPr>
          <w:p w14:paraId="3E572E0D">
            <w:pPr>
              <w:adjustRightInd w:val="0"/>
              <w:snapToGrid w:val="0"/>
              <w:spacing w:line="384" w:lineRule="auto"/>
              <w:ind w:firstLine="420" w:firstLineChars="200"/>
              <w:rPr>
                <w:rFonts w:hint="eastAsia" w:ascii="宋体" w:hAnsi="宋体" w:eastAsia="宋体" w:cs="宋体"/>
                <w:i w:val="0"/>
                <w:iCs w:val="0"/>
                <w:color w:val="auto"/>
                <w:kern w:val="0"/>
                <w:szCs w:val="21"/>
                <w:highlight w:val="none"/>
                <w:u w:val="none"/>
                <w:lang w:val="en-GB" w:eastAsia="zh-CN"/>
              </w:rPr>
            </w:pPr>
            <w:r>
              <w:rPr>
                <w:rFonts w:hint="eastAsia" w:ascii="宋体" w:hAnsi="宋体" w:eastAsia="宋体" w:cs="宋体"/>
                <w:i w:val="0"/>
                <w:iCs w:val="0"/>
                <w:color w:val="auto"/>
                <w:kern w:val="0"/>
                <w:szCs w:val="21"/>
                <w:highlight w:val="none"/>
                <w:u w:val="none"/>
                <w:lang w:val="en-GB" w:eastAsia="zh-CN"/>
              </w:rPr>
              <w:t>0.048%</w:t>
            </w:r>
          </w:p>
        </w:tc>
      </w:tr>
    </w:tbl>
    <w:p w14:paraId="2EC09689">
      <w:pPr>
        <w:adjustRightInd w:val="0"/>
        <w:snapToGrid w:val="0"/>
        <w:spacing w:line="384" w:lineRule="auto"/>
        <w:ind w:firstLine="420" w:firstLineChars="200"/>
        <w:rPr>
          <w:rFonts w:hint="eastAsia" w:eastAsia="宋体"/>
          <w:color w:val="auto"/>
          <w:lang w:val="en-US" w:eastAsia="zh-CN"/>
        </w:rPr>
      </w:pPr>
      <w:r>
        <w:rPr>
          <w:rFonts w:hint="eastAsia"/>
          <w:color w:val="auto"/>
          <w:lang w:eastAsia="zh-CN"/>
        </w:rPr>
        <w:t>（</w:t>
      </w:r>
      <w:r>
        <w:rPr>
          <w:rFonts w:hint="eastAsia"/>
          <w:color w:val="auto"/>
          <w:lang w:val="en-US" w:eastAsia="zh-CN"/>
        </w:rPr>
        <w:t>3）</w:t>
      </w:r>
      <w:r>
        <w:rPr>
          <w:rFonts w:hint="eastAsia"/>
          <w:color w:val="auto"/>
        </w:rPr>
        <w:t>安全生产责任保险</w:t>
      </w:r>
      <w:r>
        <w:rPr>
          <w:rFonts w:hint="eastAsia"/>
          <w:color w:val="auto"/>
          <w:lang w:val="en-US" w:eastAsia="zh-CN"/>
        </w:rPr>
        <w:t>按照</w:t>
      </w:r>
      <w:r>
        <w:rPr>
          <w:rFonts w:hint="eastAsia"/>
          <w:color w:val="auto"/>
        </w:rPr>
        <w:t>安徽省住房和城乡建设厅 安徽省应急管理厅国家金融监督管理总局安徽监管局关于深化房屋建筑和市政基础设施工程安全生产责任保险工作的通知</w:t>
      </w:r>
      <w:r>
        <w:rPr>
          <w:rFonts w:hint="default"/>
          <w:color w:val="auto"/>
        </w:rPr>
        <w:t>建质规〔2025〕6号</w:t>
      </w:r>
      <w:r>
        <w:rPr>
          <w:rFonts w:hint="eastAsia"/>
          <w:color w:val="auto"/>
          <w:lang w:val="en-US" w:eastAsia="zh-CN"/>
        </w:rPr>
        <w:t>执行。</w:t>
      </w:r>
    </w:p>
    <w:p w14:paraId="329CB3EC">
      <w:pPr>
        <w:adjustRightInd w:val="0"/>
        <w:snapToGrid w:val="0"/>
        <w:spacing w:line="384" w:lineRule="auto"/>
        <w:ind w:firstLine="420" w:firstLineChars="200"/>
        <w:rPr>
          <w:rFonts w:hint="eastAsia" w:ascii="宋体" w:hAnsi="宋体" w:eastAsia="宋体" w:cs="宋体"/>
          <w:color w:val="auto"/>
          <w:kern w:val="0"/>
          <w:szCs w:val="21"/>
          <w:highlight w:val="none"/>
          <w:u w:val="single"/>
          <w:lang w:val="en-US" w:eastAsia="zh-CN"/>
        </w:rPr>
      </w:pPr>
      <w:r>
        <w:rPr>
          <w:rFonts w:hint="eastAsia" w:ascii="宋体" w:hAnsi="宋体" w:eastAsia="宋体" w:cs="宋体"/>
          <w:color w:val="auto"/>
          <w:kern w:val="0"/>
          <w:szCs w:val="21"/>
          <w:highlight w:val="none"/>
          <w:u w:val="single"/>
          <w:lang w:val="en-US" w:eastAsia="zh-CN"/>
        </w:rPr>
        <w:t>（4）上述费用已包含在投标总价中，中标人须按照相关法律法规要求自行投保，后续相关费用不予增加。</w:t>
      </w:r>
    </w:p>
    <w:p w14:paraId="182C0EDE">
      <w:pPr>
        <w:adjustRightInd w:val="0"/>
        <w:snapToGrid w:val="0"/>
        <w:spacing w:line="384" w:lineRule="auto"/>
        <w:ind w:firstLine="420" w:firstLineChars="200"/>
        <w:rPr>
          <w:rFonts w:hint="eastAsia" w:ascii="宋体" w:hAnsi="宋体" w:eastAsia="宋体" w:cs="宋体"/>
          <w:color w:val="auto"/>
          <w:kern w:val="0"/>
          <w:szCs w:val="21"/>
          <w:highlight w:val="none"/>
          <w:u w:val="single"/>
          <w:lang w:val="en-US" w:eastAsia="zh-CN"/>
        </w:rPr>
      </w:pPr>
      <w:r>
        <w:rPr>
          <w:rFonts w:hint="eastAsia" w:ascii="宋体" w:hAnsi="宋体" w:eastAsia="宋体" w:cs="宋体"/>
          <w:color w:val="auto"/>
          <w:kern w:val="0"/>
          <w:szCs w:val="21"/>
          <w:highlight w:val="none"/>
          <w:u w:val="single"/>
          <w:lang w:val="en-US" w:eastAsia="zh-CN"/>
        </w:rPr>
        <w:t>（</w:t>
      </w:r>
      <w:r>
        <w:rPr>
          <w:rFonts w:hint="eastAsia" w:ascii="宋体" w:hAnsi="宋体" w:cs="宋体"/>
          <w:color w:val="auto"/>
          <w:kern w:val="0"/>
          <w:szCs w:val="21"/>
          <w:highlight w:val="none"/>
          <w:u w:val="single"/>
          <w:lang w:val="en-US" w:eastAsia="zh-CN"/>
        </w:rPr>
        <w:t>5</w:t>
      </w:r>
      <w:r>
        <w:rPr>
          <w:rFonts w:hint="eastAsia" w:ascii="宋体" w:hAnsi="宋体" w:eastAsia="宋体" w:cs="宋体"/>
          <w:color w:val="auto"/>
          <w:kern w:val="0"/>
          <w:szCs w:val="21"/>
          <w:highlight w:val="none"/>
          <w:u w:val="single"/>
          <w:lang w:val="en-US" w:eastAsia="zh-CN"/>
        </w:rPr>
        <w:t>）如果承包人认为除以上保险外仍需其他保险请自行投保,其保险金计入投标报价。</w:t>
      </w:r>
    </w:p>
    <w:p w14:paraId="01F6DA2B">
      <w:pPr>
        <w:adjustRightInd w:val="0"/>
        <w:snapToGrid w:val="0"/>
        <w:spacing w:line="384" w:lineRule="auto"/>
        <w:ind w:firstLine="420" w:firstLineChars="200"/>
        <w:rPr>
          <w:rFonts w:hint="eastAsia" w:ascii="宋体" w:hAnsi="宋体" w:eastAsia="宋体" w:cs="宋体"/>
          <w:color w:val="auto"/>
          <w:kern w:val="0"/>
          <w:szCs w:val="21"/>
          <w:highlight w:val="none"/>
          <w:u w:val="single"/>
          <w:lang w:val="en-US" w:eastAsia="zh-CN"/>
        </w:rPr>
      </w:pPr>
      <w:r>
        <w:rPr>
          <w:rFonts w:hint="eastAsia" w:ascii="宋体" w:hAnsi="宋体" w:eastAsia="宋体" w:cs="宋体"/>
          <w:color w:val="auto"/>
          <w:kern w:val="0"/>
          <w:szCs w:val="21"/>
          <w:highlight w:val="none"/>
          <w:u w:val="single"/>
          <w:lang w:val="en-US" w:eastAsia="zh-CN"/>
        </w:rPr>
        <w:t>发包人对承包人均不承担由于任何保险范围不足而引起的任何损失、伤害或损害，承包人如果认为发包人所投保的工程一切险有不足够之处，应该自行增加保险范围。</w:t>
      </w:r>
    </w:p>
    <w:p w14:paraId="46C3DA55">
      <w:pPr>
        <w:adjustRightInd w:val="0"/>
        <w:snapToGrid w:val="0"/>
        <w:spacing w:line="384" w:lineRule="auto"/>
        <w:ind w:firstLine="420" w:firstLineChars="200"/>
        <w:rPr>
          <w:rFonts w:hint="eastAsia" w:ascii="宋体" w:hAnsi="宋体" w:eastAsia="宋体" w:cs="宋体"/>
          <w:color w:val="auto"/>
          <w:kern w:val="0"/>
          <w:szCs w:val="21"/>
          <w:highlight w:val="none"/>
          <w:u w:val="single"/>
          <w:lang w:val="en-US" w:eastAsia="zh-CN"/>
        </w:rPr>
      </w:pPr>
      <w:r>
        <w:rPr>
          <w:rFonts w:hint="eastAsia" w:ascii="宋体" w:hAnsi="宋体" w:eastAsia="宋体" w:cs="宋体"/>
          <w:color w:val="auto"/>
          <w:kern w:val="0"/>
          <w:szCs w:val="21"/>
          <w:highlight w:val="none"/>
          <w:u w:val="single"/>
          <w:lang w:val="en-US" w:eastAsia="zh-CN"/>
        </w:rPr>
        <w:t>所有保险发票须在第一次工程进度款支付之前递交发包人核对，保险发票须写明本工程的项目名称，否则不予认可。</w:t>
      </w:r>
    </w:p>
    <w:p w14:paraId="4D4ABE93">
      <w:pPr>
        <w:adjustRightInd w:val="0"/>
        <w:snapToGrid w:val="0"/>
        <w:spacing w:line="384" w:lineRule="auto"/>
        <w:ind w:firstLine="420" w:firstLineChars="200"/>
        <w:rPr>
          <w:rFonts w:hint="eastAsia" w:ascii="宋体" w:hAnsi="宋体" w:eastAsia="宋体" w:cs="宋体"/>
          <w:color w:val="auto"/>
          <w:kern w:val="0"/>
          <w:szCs w:val="21"/>
          <w:highlight w:val="none"/>
          <w:u w:val="single"/>
          <w:lang w:val="en-US" w:eastAsia="zh-CN"/>
        </w:rPr>
      </w:pPr>
      <w:r>
        <w:rPr>
          <w:rFonts w:hint="eastAsia" w:ascii="宋体" w:hAnsi="宋体" w:eastAsia="宋体" w:cs="宋体"/>
          <w:color w:val="auto"/>
          <w:kern w:val="0"/>
          <w:szCs w:val="21"/>
          <w:highlight w:val="none"/>
          <w:u w:val="single"/>
          <w:lang w:val="en-US" w:eastAsia="zh-CN"/>
        </w:rPr>
        <w:t>承包人应为施工人员购买国家、省、市规定的各类保险，该购买的保险费用已含在总价内，不另行计取，任何事故（包括第三方人员在内）所发生的依法应该支付的损失、赔偿费、补偿费用等责任均由承包人承担。</w:t>
      </w:r>
    </w:p>
    <w:p w14:paraId="37E79735">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18.3 其他保险</w:t>
      </w:r>
    </w:p>
    <w:p w14:paraId="4A9AF939">
      <w:pPr>
        <w:adjustRightInd w:val="0"/>
        <w:snapToGrid w:val="0"/>
        <w:spacing w:line="384" w:lineRule="auto"/>
        <w:ind w:firstLine="420" w:firstLineChars="200"/>
        <w:rPr>
          <w:rFonts w:hint="eastAsia" w:ascii="宋体" w:hAnsi="宋体" w:eastAsia="宋体" w:cs="宋体"/>
          <w:color w:val="auto"/>
          <w:kern w:val="0"/>
          <w:highlight w:val="none"/>
          <w:lang w:val="en-US" w:eastAsia="zh-CN"/>
        </w:rPr>
      </w:pPr>
      <w:r>
        <w:rPr>
          <w:rFonts w:hint="eastAsia" w:ascii="宋体" w:hAnsi="宋体" w:cs="宋体"/>
          <w:color w:val="auto"/>
          <w:highlight w:val="none"/>
        </w:rPr>
        <w:t>关于其他保险的约定：</w:t>
      </w:r>
      <w:r>
        <w:rPr>
          <w:rFonts w:hint="eastAsia" w:ascii="宋体" w:hAnsi="宋体" w:eastAsia="宋体" w:cs="宋体"/>
          <w:color w:val="auto"/>
          <w:kern w:val="0"/>
          <w:szCs w:val="21"/>
          <w:highlight w:val="none"/>
          <w:u w:val="single"/>
          <w:lang w:val="en-US" w:eastAsia="zh-CN"/>
        </w:rPr>
        <w:t xml:space="preserve">1）承包人应为其施工设备等办理财产保险并支付保险费；2）承包人应为本工程自费购买其认为所需的但不包含在发包人保险范围内的其他保险，承包人不得以任何借口对其未保险事项或不能向其保险公司收回的金额向发包人提出索赔 </w:t>
      </w:r>
      <w:r>
        <w:rPr>
          <w:rFonts w:hint="eastAsia" w:ascii="宋体" w:hAnsi="宋体" w:cs="宋体"/>
          <w:color w:val="auto"/>
          <w:kern w:val="0"/>
          <w:highlight w:val="none"/>
        </w:rPr>
        <w:t>。</w:t>
      </w:r>
    </w:p>
    <w:p w14:paraId="54C14455">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承包人是否应为其施工设备等办理财产保险：</w:t>
      </w:r>
      <w:r>
        <w:rPr>
          <w:rFonts w:hint="eastAsia" w:ascii="宋体" w:hAnsi="宋体" w:cs="宋体"/>
          <w:color w:val="auto"/>
          <w:szCs w:val="21"/>
          <w:highlight w:val="none"/>
          <w:u w:val="single"/>
        </w:rPr>
        <w:t>执行通用条款</w:t>
      </w:r>
      <w:r>
        <w:rPr>
          <w:rFonts w:hint="eastAsia" w:ascii="宋体" w:hAnsi="宋体" w:cs="宋体"/>
          <w:color w:val="auto"/>
          <w:highlight w:val="none"/>
        </w:rPr>
        <w:t>。</w:t>
      </w:r>
    </w:p>
    <w:p w14:paraId="3EB6F8C0">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18.7 通知义务</w:t>
      </w:r>
    </w:p>
    <w:p w14:paraId="777A8F05">
      <w:pPr>
        <w:adjustRightInd w:val="0"/>
        <w:snapToGrid w:val="0"/>
        <w:spacing w:line="384" w:lineRule="auto"/>
        <w:ind w:firstLine="420" w:firstLineChars="200"/>
        <w:rPr>
          <w:rFonts w:hint="eastAsia" w:ascii="宋体" w:hAnsi="宋体" w:cs="宋体"/>
          <w:b/>
          <w:color w:val="auto"/>
          <w:highlight w:val="none"/>
          <w:u w:val="single"/>
        </w:rPr>
      </w:pPr>
      <w:r>
        <w:rPr>
          <w:rFonts w:hint="eastAsia" w:ascii="宋体" w:hAnsi="宋体" w:cs="宋体"/>
          <w:color w:val="auto"/>
          <w:kern w:val="0"/>
          <w:highlight w:val="none"/>
        </w:rPr>
        <w:t>关于变更保险合同时的通知义务的约定：</w:t>
      </w:r>
      <w:r>
        <w:rPr>
          <w:rFonts w:hint="eastAsia" w:ascii="宋体" w:hAnsi="宋体" w:cs="宋体"/>
          <w:color w:val="auto"/>
          <w:szCs w:val="21"/>
          <w:highlight w:val="none"/>
          <w:u w:val="single"/>
        </w:rPr>
        <w:t>执行通用条款</w:t>
      </w:r>
      <w:r>
        <w:rPr>
          <w:rFonts w:hint="eastAsia" w:ascii="宋体" w:hAnsi="宋体" w:cs="宋体"/>
          <w:color w:val="auto"/>
          <w:szCs w:val="21"/>
          <w:highlight w:val="none"/>
        </w:rPr>
        <w:t>。</w:t>
      </w:r>
    </w:p>
    <w:bookmarkEnd w:id="1243"/>
    <w:bookmarkEnd w:id="1244"/>
    <w:bookmarkEnd w:id="1245"/>
    <w:bookmarkEnd w:id="1246"/>
    <w:bookmarkEnd w:id="1247"/>
    <w:bookmarkEnd w:id="1248"/>
    <w:bookmarkEnd w:id="1249"/>
    <w:bookmarkEnd w:id="1250"/>
    <w:bookmarkEnd w:id="1251"/>
    <w:bookmarkEnd w:id="1252"/>
    <w:bookmarkEnd w:id="1253"/>
    <w:bookmarkEnd w:id="1254"/>
    <w:p w14:paraId="5035A60F">
      <w:pPr>
        <w:keepNext/>
        <w:keepLines/>
        <w:adjustRightInd w:val="0"/>
        <w:snapToGrid w:val="0"/>
        <w:spacing w:line="384" w:lineRule="auto"/>
        <w:jc w:val="left"/>
        <w:outlineLvl w:val="2"/>
        <w:rPr>
          <w:rFonts w:hint="eastAsia" w:ascii="宋体" w:hAnsi="宋体" w:cs="宋体"/>
          <w:bCs/>
          <w:color w:val="auto"/>
          <w:sz w:val="24"/>
          <w:highlight w:val="none"/>
        </w:rPr>
      </w:pPr>
      <w:bookmarkStart w:id="1275" w:name="_Toc95223484"/>
      <w:bookmarkStart w:id="1276" w:name="_Toc351203651"/>
      <w:r>
        <w:rPr>
          <w:rFonts w:hint="eastAsia" w:ascii="宋体" w:hAnsi="宋体" w:cs="宋体"/>
          <w:bCs/>
          <w:color w:val="auto"/>
          <w:sz w:val="24"/>
          <w:highlight w:val="none"/>
        </w:rPr>
        <w:t>20. 争议解决</w:t>
      </w:r>
      <w:bookmarkEnd w:id="1275"/>
      <w:bookmarkEnd w:id="1276"/>
    </w:p>
    <w:bookmarkEnd w:id="1255"/>
    <w:bookmarkEnd w:id="1256"/>
    <w:p w14:paraId="0A7B6744">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20.3 争</w:t>
      </w:r>
      <w:bookmarkEnd w:id="1257"/>
      <w:r>
        <w:rPr>
          <w:rFonts w:hint="eastAsia" w:ascii="宋体" w:hAnsi="宋体" w:cs="宋体"/>
          <w:bCs/>
          <w:color w:val="auto"/>
          <w:szCs w:val="28"/>
          <w:highlight w:val="none"/>
        </w:rPr>
        <w:t>议评审</w:t>
      </w:r>
    </w:p>
    <w:p w14:paraId="0E6EC486">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合同当事人是否同意将工程争议提交争议评审小组决定：</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不采用</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57D9BAE2">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20.3.1 争议评审小组的确定</w:t>
      </w:r>
    </w:p>
    <w:p w14:paraId="4625FA4D">
      <w:pPr>
        <w:adjustRightInd w:val="0"/>
        <w:snapToGrid w:val="0"/>
        <w:spacing w:line="384"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争议评审小组成员的确定：</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D6AD6CD">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选定争议评审员的期限：</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C108001">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争议评审小组成员的报酬承担方式：</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22643C8">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其他事项的约定：</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97223A4">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20.3.2 争议评审小组的决定</w:t>
      </w:r>
    </w:p>
    <w:p w14:paraId="2BD455BD">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合同当事人关于本项的约定：</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6CEA651">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20.4 仲裁或诉讼</w:t>
      </w:r>
      <w:bookmarkEnd w:id="1258"/>
    </w:p>
    <w:p w14:paraId="11C6BD86">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因合同及合同有关事项发生的争议，按下列第</w:t>
      </w:r>
      <w:r>
        <w:rPr>
          <w:rFonts w:hint="eastAsia" w:ascii="宋体" w:hAnsi="宋体" w:cs="宋体"/>
          <w:b/>
          <w:color w:val="auto"/>
          <w:highlight w:val="none"/>
          <w:u w:val="single"/>
        </w:rPr>
        <w:t xml:space="preserve">  </w:t>
      </w:r>
      <w:r>
        <w:rPr>
          <w:rFonts w:hint="eastAsia" w:ascii="宋体" w:hAnsi="宋体" w:cs="宋体"/>
          <w:b/>
          <w:color w:val="auto"/>
          <w:highlight w:val="none"/>
          <w:u w:val="single"/>
          <w:lang w:eastAsia="zh-CN"/>
        </w:rPr>
        <w:t>（</w:t>
      </w:r>
      <w:r>
        <w:rPr>
          <w:rFonts w:hint="eastAsia" w:ascii="宋体" w:hAnsi="宋体" w:cs="宋体"/>
          <w:b/>
          <w:color w:val="auto"/>
          <w:highlight w:val="none"/>
          <w:u w:val="single"/>
          <w:lang w:val="en-US" w:eastAsia="zh-CN"/>
        </w:rPr>
        <w:t>2）</w:t>
      </w:r>
      <w:r>
        <w:rPr>
          <w:rFonts w:hint="eastAsia" w:ascii="宋体" w:hAnsi="宋体" w:cs="宋体"/>
          <w:b/>
          <w:color w:val="auto"/>
          <w:highlight w:val="none"/>
          <w:u w:val="single"/>
        </w:rPr>
        <w:t xml:space="preserve">  </w:t>
      </w:r>
      <w:r>
        <w:rPr>
          <w:rFonts w:hint="eastAsia" w:ascii="宋体" w:hAnsi="宋体" w:cs="宋体"/>
          <w:color w:val="auto"/>
          <w:highlight w:val="none"/>
        </w:rPr>
        <w:t>种方式解决：</w:t>
      </w:r>
    </w:p>
    <w:p w14:paraId="340D4F3C">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（1）向</w:t>
      </w:r>
      <w:r>
        <w:rPr>
          <w:rFonts w:hint="eastAsia" w:ascii="宋体" w:hAnsi="宋体" w:cs="宋体"/>
          <w:color w:val="auto"/>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滁州市</w:t>
      </w:r>
      <w:r>
        <w:rPr>
          <w:rFonts w:hint="eastAsia" w:ascii="宋体" w:hAnsi="宋体" w:cs="宋体"/>
          <w:color w:val="auto"/>
          <w:szCs w:val="21"/>
          <w:highlight w:val="none"/>
          <w:u w:val="single"/>
        </w:rPr>
        <w:t xml:space="preserve">  </w:t>
      </w:r>
      <w:r>
        <w:rPr>
          <w:rFonts w:hint="eastAsia" w:ascii="宋体" w:hAnsi="宋体" w:cs="宋体"/>
          <w:color w:val="auto"/>
          <w:highlight w:val="none"/>
        </w:rPr>
        <w:t>仲裁委员会申请仲裁；</w:t>
      </w:r>
    </w:p>
    <w:p w14:paraId="1A1710FA">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（2）向</w:t>
      </w:r>
      <w:r>
        <w:rPr>
          <w:rFonts w:hint="eastAsia" w:ascii="宋体" w:hAnsi="宋体" w:cs="宋体"/>
          <w:color w:val="auto"/>
          <w:szCs w:val="21"/>
          <w:highlight w:val="none"/>
          <w:u w:val="single"/>
          <w:lang w:val="en-US" w:eastAsia="zh-CN"/>
        </w:rPr>
        <w:t xml:space="preserve"> 项目所在地南谯区  </w:t>
      </w:r>
      <w:r>
        <w:rPr>
          <w:rFonts w:hint="eastAsia" w:ascii="宋体" w:hAnsi="宋体" w:cs="宋体"/>
          <w:color w:val="auto"/>
          <w:highlight w:val="none"/>
        </w:rPr>
        <w:t>人民法院起诉。</w:t>
      </w:r>
      <w:bookmarkEnd w:id="1259"/>
      <w:bookmarkEnd w:id="1260"/>
      <w:bookmarkEnd w:id="1261"/>
      <w:bookmarkEnd w:id="1262"/>
      <w:bookmarkEnd w:id="1263"/>
      <w:bookmarkEnd w:id="1264"/>
    </w:p>
    <w:p w14:paraId="06F4FE64">
      <w:pPr>
        <w:keepNext/>
        <w:keepLines/>
        <w:adjustRightInd w:val="0"/>
        <w:snapToGrid w:val="0"/>
        <w:spacing w:line="384" w:lineRule="auto"/>
        <w:jc w:val="left"/>
        <w:outlineLvl w:val="2"/>
        <w:rPr>
          <w:rFonts w:hint="eastAsia" w:ascii="宋体" w:hAnsi="宋体" w:cs="宋体"/>
          <w:color w:val="auto"/>
          <w:highlight w:val="none"/>
        </w:rPr>
      </w:pPr>
      <w:bookmarkStart w:id="1277" w:name="_Toc95223485"/>
      <w:r>
        <w:rPr>
          <w:rFonts w:hint="eastAsia" w:ascii="宋体" w:hAnsi="宋体" w:cs="宋体"/>
          <w:color w:val="auto"/>
          <w:highlight w:val="none"/>
        </w:rPr>
        <w:t>21. 补充条款</w:t>
      </w:r>
      <w:bookmarkEnd w:id="1277"/>
      <w:r>
        <w:rPr>
          <w:rFonts w:hint="eastAsia" w:ascii="宋体" w:hAnsi="宋体" w:cs="宋体"/>
          <w:color w:val="auto"/>
          <w:highlight w:val="none"/>
        </w:rPr>
        <w:t xml:space="preserve"> </w:t>
      </w:r>
    </w:p>
    <w:p w14:paraId="29423A82">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本补充条款是专用条款的一部分，其解释顺序优先于专用条款内的其他条款。</w:t>
      </w:r>
    </w:p>
    <w:p w14:paraId="7E8A41FA">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21.1 人员及职责</w:t>
      </w:r>
    </w:p>
    <w:p w14:paraId="73578BCB">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21.1.1 发包人委派的发包人代表或监理工程师（以下简称“工程师”）无权更改合同，也无权解除发包人和承包人的义务和责任。</w:t>
      </w:r>
    </w:p>
    <w:p w14:paraId="6EDA0FCE">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21.1.2 发包人代表的任何批准、检查、证书、同意、通知、建议、检验、指令和要求等不解除承包人在合同中的责任。</w:t>
      </w:r>
    </w:p>
    <w:p w14:paraId="1AE7530D">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21.1.3 承包人只能从发包人代表或其授权代表处接受指令。</w:t>
      </w:r>
    </w:p>
    <w:p w14:paraId="185ACD06">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21.1.4 发包人如需更换发包人代表须提前7天通知承包人。</w:t>
      </w:r>
    </w:p>
    <w:p w14:paraId="61FC7A3D">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21.1.5 投标人委任的项目经理、项目技术负责人、各专业负责人（其他主要管理人员和技术人员）及施工机械等在整个项目施工期内必须在位。</w:t>
      </w:r>
    </w:p>
    <w:p w14:paraId="4E538C24">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承包人的项目经理离开现场的，须经发包人代表同意，并书面指定临时代表，代为行使项目经理的权力；该临时代表的一切行为，甲方均认为是项目经理的行为。</w:t>
      </w:r>
    </w:p>
    <w:p w14:paraId="627BD3E4">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21.1.6 承包人提交发包人的任何文件，发包人都认为该文件已经承包人内部程序批准；承包人提交的文件发生修改的，应及时将最新版本提交发包人代表。</w:t>
      </w:r>
    </w:p>
    <w:p w14:paraId="642C4BDC">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21.1.7 承包人应始终采取一切合理防范措施来避免在项目人员内部发生违法、动乱或妨碍治安的行为，保持项目的安定；并保护好现场和周围的人员和财产安全。</w:t>
      </w:r>
    </w:p>
    <w:p w14:paraId="6E1A1FA9">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21.1.8 承包人雇佣职员或工人应遵守相关法律法规的规定。</w:t>
      </w:r>
    </w:p>
    <w:p w14:paraId="427C9D6B">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21.1.9 参与本项目的承包人代表或其雇员不遵守合同规定或一贯行为不轨或或不能胜任工作或危害安全，发包人代表有权要求更换；原人选未经发包人许可不得再进入本项目（包括项目经理在内）。</w:t>
      </w:r>
    </w:p>
    <w:p w14:paraId="56AD7AA4">
      <w:pPr>
        <w:adjustRightInd w:val="0"/>
        <w:snapToGrid w:val="0"/>
        <w:spacing w:line="384" w:lineRule="auto"/>
        <w:ind w:firstLine="420" w:firstLineChars="200"/>
        <w:rPr>
          <w:rFonts w:hint="eastAsia" w:ascii="宋体" w:hAnsi="宋体" w:cs="宋体"/>
          <w:color w:val="auto"/>
          <w:highlight w:val="none"/>
        </w:rPr>
      </w:pPr>
      <w:r>
        <w:rPr>
          <w:rFonts w:hint="eastAsia" w:ascii="宋体" w:hAnsi="宋体" w:cs="宋体"/>
          <w:color w:val="auto"/>
          <w:highlight w:val="none"/>
        </w:rPr>
        <w:t>21.1.10 承包人更换项目经理的，须提前14天通知发包人，并征得发包人同意；该行为视为违约，承包人须支付发包人</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30</w:t>
      </w:r>
      <w:r>
        <w:rPr>
          <w:rFonts w:hint="eastAsia" w:ascii="宋体" w:hAnsi="宋体" w:cs="宋体"/>
          <w:color w:val="auto"/>
          <w:highlight w:val="none"/>
          <w:u w:val="single"/>
        </w:rPr>
        <w:t xml:space="preserve"> </w:t>
      </w:r>
      <w:r>
        <w:rPr>
          <w:rFonts w:hint="eastAsia" w:ascii="宋体" w:hAnsi="宋体" w:cs="宋体"/>
          <w:color w:val="auto"/>
          <w:highlight w:val="none"/>
        </w:rPr>
        <w:t>万元违约金。更换后的项目经理资历、水平不得降低。</w:t>
      </w:r>
    </w:p>
    <w:p w14:paraId="72AEE4BA">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21.2 变更与调整</w:t>
      </w:r>
    </w:p>
    <w:p w14:paraId="1944F2AB">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21.2.1 在工程移交前，发包人代表有权签发变更指令，承包人应按照指令来实施变更，并进行工期和费用的估算，提交发包人代表。</w:t>
      </w:r>
    </w:p>
    <w:p w14:paraId="1D87A5D8">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21.2.2 发包人代表收到承包人的估算后，可以决定撤销、修改或确认实施该项变更。</w:t>
      </w:r>
    </w:p>
    <w:p w14:paraId="5215816E">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21.2.3 如果承包人认为自己的建议能缩短工期、降低工程实施或运营成本，或对业主产生其他利益，可以向发包人代表提交建议书；建议书的编制费用自理。</w:t>
      </w:r>
    </w:p>
    <w:p w14:paraId="0B5FB14F">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21.2.4 如果发包人采纳承包人的建议节省了工程费用，将给予承包人节约费用适当比例的奖励。</w:t>
      </w:r>
    </w:p>
    <w:p w14:paraId="318B5D26">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21.2.5 上一款中节省费用的计算方法为：降低的合同额度减去因变更而引起在工程质量、寿命、以及运营效率等方面为发包人带来的潜在损失。</w:t>
      </w:r>
    </w:p>
    <w:p w14:paraId="6CED2F06">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21.2.6 任何变更指令都应由发包人代表签发给承包人，承包人收到后应回函说明；涉及到费用调整的，按照相关条款执行。</w:t>
      </w:r>
    </w:p>
    <w:p w14:paraId="2EB1B78C">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21.2.7 设计文件示意内容的尺寸做法、要求等标注有错误、有遗漏，或理解不一致，发包人或其委托的勘查设计单位根据工程施工需要而对其进行更正和补充的，称为技术核定；技术核定不调整合同价款，也不调整工期。</w:t>
      </w:r>
    </w:p>
    <w:p w14:paraId="7CC4645A">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21.2.8 未经发包人代表批准，承包人不得对工程进行任何变更。</w:t>
      </w:r>
    </w:p>
    <w:p w14:paraId="378795C1">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21.3 分包与配合</w:t>
      </w:r>
    </w:p>
    <w:p w14:paraId="54B74ACF">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21.3.1 承包人进行工程分包的，应遵守通用条款相关规定，发包人视其为承包人自行施工的工程；发包人代表对分包的同意或批准并不解除承包人的任何责任，也不代表发包人对此承担任何责任。</w:t>
      </w:r>
    </w:p>
    <w:p w14:paraId="76837FB7">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 xml:space="preserve">21.3.2 发包人分包的专业工程范围如下： </w:t>
      </w:r>
    </w:p>
    <w:p w14:paraId="5A15D858">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p>
    <w:p w14:paraId="6437CD9B">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p>
    <w:p w14:paraId="30F847CF">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21.3.3 发包人通过招标方式选择专业工程分包施工单位，承包人参与分包工程的招标，认可招标结果，并作为总包单位与分包工程的中标人（以下简称“分包人”）签订工程分包施工合同。</w:t>
      </w:r>
    </w:p>
    <w:p w14:paraId="2E290022">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21.3.4 发包人支付给承包人专业分包工程合同价款（不含设备价格）的</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u w:val="single"/>
          <w:lang w:val="en-US" w:eastAsia="zh-CN"/>
        </w:rPr>
        <w:t xml:space="preserve">0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%作为总承包服务配合费用，承包人不得向分包人收取其他费用；该项费用包括但不限于以下内容：</w:t>
      </w:r>
    </w:p>
    <w:p w14:paraId="33E1C448">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（1）乙方承担总包责任所发生的费用。</w:t>
      </w:r>
    </w:p>
    <w:p w14:paraId="3F9334B4">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（2）“分包工程”施工完毕、土建工程的收尾和修复以及使用承包人的施工所用水电管线等费用（水电费用装表计量，按照实际用量结算）。</w:t>
      </w:r>
    </w:p>
    <w:p w14:paraId="55BCD81C">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（3）分包人使用承包人现场临时工程及在用的脚手架、塔吊、施工电梯等费用。</w:t>
      </w:r>
    </w:p>
    <w:p w14:paraId="4D35FC75">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（4）分包人使用工程的施工道路，到总包单位搭伙，使用总包单位的卫生间等。</w:t>
      </w:r>
    </w:p>
    <w:p w14:paraId="0AE79366">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（5）门窗洞口、安装工程管道口、楼地面墙面凿洞、槽等的后塞及修补等，以及整个工程的安全保卫等。</w:t>
      </w:r>
    </w:p>
    <w:p w14:paraId="194C9D08">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（6）为分包人提供标高、轴线、定位，隐蔽工程指引等。</w:t>
      </w:r>
    </w:p>
    <w:p w14:paraId="18D080D7">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（7）分包人的工程资料收集整理和移交；工程质量的检验和验收。</w:t>
      </w:r>
    </w:p>
    <w:p w14:paraId="42DE2FC1">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（8）保证分包工程在施工期间有足够的工作面，保证其按时开工和连续施工，并承担因乙方原因使分包工程不能按时开工和配合不及时造成的工期延误责任。</w:t>
      </w:r>
    </w:p>
    <w:p w14:paraId="652B8BC6">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21.3.5 配合工程：是指某一位于施工现场内或现场外的工程，并非由承包人施工或总包，但与承包人的工程有一定联系，需要承包人配合的工程；配合工程如下：</w:t>
      </w:r>
    </w:p>
    <w:p w14:paraId="0F5E7C39">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w:t>
      </w:r>
      <w:r>
        <w:rPr>
          <w:rFonts w:hint="eastAsia" w:ascii="宋体" w:hAnsi="宋体" w:cs="宋体"/>
          <w:color w:val="auto"/>
          <w:kern w:val="0"/>
          <w:highlight w:val="none"/>
          <w:u w:val="single"/>
        </w:rPr>
        <w:t xml:space="preserve">                                     </w:t>
      </w:r>
    </w:p>
    <w:p w14:paraId="4C03888D">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w:t>
      </w:r>
      <w:r>
        <w:rPr>
          <w:rFonts w:hint="eastAsia" w:ascii="宋体" w:hAnsi="宋体" w:cs="宋体"/>
          <w:color w:val="auto"/>
          <w:kern w:val="0"/>
          <w:highlight w:val="none"/>
          <w:u w:val="single"/>
        </w:rPr>
        <w:t xml:space="preserve">                                     </w:t>
      </w:r>
    </w:p>
    <w:p w14:paraId="15718E70">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21.3.6 对于配合工程，承包人除不需要承办总包责任外，其他责任和义务同分包工程；发包人给予承包人</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万元作为承包人承担配合工作的配合费用。</w:t>
      </w:r>
    </w:p>
    <w:p w14:paraId="44EF443C">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21.3.7 凡在与已交工工程有关联的部位施工时，必须提前向甲方提出书面联系单，经甲方同意，并签字后方可施工。</w:t>
      </w:r>
    </w:p>
    <w:p w14:paraId="60DF327A">
      <w:pPr>
        <w:keepNext/>
        <w:keepLines/>
        <w:adjustRightInd w:val="0"/>
        <w:snapToGrid w:val="0"/>
        <w:spacing w:line="384" w:lineRule="auto"/>
        <w:ind w:firstLine="420" w:firstLineChars="200"/>
        <w:outlineLvl w:val="3"/>
        <w:rPr>
          <w:rFonts w:hint="eastAsia" w:ascii="宋体" w:hAnsi="宋体" w:cs="宋体"/>
          <w:bCs/>
          <w:color w:val="auto"/>
          <w:szCs w:val="28"/>
          <w:highlight w:val="none"/>
        </w:rPr>
      </w:pPr>
      <w:r>
        <w:rPr>
          <w:rFonts w:hint="eastAsia" w:ascii="宋体" w:hAnsi="宋体" w:cs="宋体"/>
          <w:bCs/>
          <w:color w:val="auto"/>
          <w:szCs w:val="28"/>
          <w:highlight w:val="none"/>
        </w:rPr>
        <w:t>21.4 结算</w:t>
      </w:r>
    </w:p>
    <w:p w14:paraId="7FBD3C1E">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21.4.1 承包人的投标报价（合同价款）是承包人基于业主提供的资料和现场数据及承包人的解释和现场考察计算出来的，覆盖了完成合同义务所包括的一切工作，不得以漏项或考虑不周提出索赔。</w:t>
      </w:r>
    </w:p>
    <w:p w14:paraId="58E2126D">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21.4.2 水电费的结算：</w:t>
      </w:r>
    </w:p>
    <w:p w14:paraId="325D755A">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（1）发包人在现场安装计量装置，承包人负责施工期间的保护，并在工程移交的同时完好地移交给发包人。</w:t>
      </w:r>
    </w:p>
    <w:p w14:paraId="5F873D45">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（2）承包人投标报价已经包含水电费用，工程结算时按照发包人实际缴纳的水电费在结算价（税前）中扣除。</w:t>
      </w:r>
    </w:p>
    <w:p w14:paraId="10B248C2">
      <w:pPr>
        <w:adjustRightInd w:val="0"/>
        <w:snapToGrid w:val="0"/>
        <w:spacing w:line="384"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（3）因承包人保护不善造成计量装置损坏，承包人负责修复，并承担由此造成的增加费用（包括修复费用和水电损失费用以及可能发生的罚款或其他费用）。</w:t>
      </w:r>
    </w:p>
    <w:p w14:paraId="3DB6C00F">
      <w:pPr>
        <w:adjustRightInd w:val="0"/>
        <w:snapToGrid w:val="0"/>
        <w:spacing w:line="384" w:lineRule="auto"/>
        <w:ind w:firstLine="420" w:firstLineChars="200"/>
        <w:rPr>
          <w:rFonts w:hint="eastAsia" w:ascii="宋体" w:hAnsi="宋体" w:cs="宋体"/>
          <w:color w:val="auto"/>
          <w:kern w:val="0"/>
          <w:highlight w:val="none"/>
          <w:u w:val="single" w:color="FFFFFF"/>
        </w:rPr>
      </w:pPr>
      <w:r>
        <w:rPr>
          <w:rFonts w:hint="eastAsia" w:ascii="宋体" w:hAnsi="宋体" w:cs="宋体"/>
          <w:color w:val="auto"/>
          <w:kern w:val="0"/>
          <w:highlight w:val="none"/>
          <w:u w:val="single" w:color="FFFFFF"/>
        </w:rPr>
        <w:t>21.4.3 发包人供应材料设备的结算：材料按照总价的</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u w:val="single"/>
          <w:lang w:val="en-US" w:eastAsia="zh-CN"/>
        </w:rPr>
        <w:t>/</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u w:val="single" w:color="FFFFFF"/>
        </w:rPr>
        <w:t xml:space="preserve"> %计取保管费（材料数量最多不超过设计文件的用量（可以计算定额损耗））；设备按照总价的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u w:val="single"/>
          <w:lang w:val="en-US" w:eastAsia="zh-CN"/>
        </w:rPr>
        <w:t>/</w:t>
      </w:r>
      <w:r>
        <w:rPr>
          <w:rFonts w:hint="eastAsia" w:ascii="宋体" w:hAnsi="宋体" w:cs="宋体"/>
          <w:color w:val="auto"/>
          <w:kern w:val="0"/>
          <w:highlight w:val="none"/>
          <w:u w:val="single" w:color="FFFFFF"/>
        </w:rPr>
        <w:t xml:space="preserve"> %计取保管费；此费用仅计取税金。</w:t>
      </w:r>
    </w:p>
    <w:p w14:paraId="48F0E9E1">
      <w:pPr>
        <w:adjustRightInd w:val="0"/>
        <w:snapToGrid w:val="0"/>
        <w:spacing w:line="384" w:lineRule="auto"/>
        <w:ind w:firstLine="422" w:firstLineChars="200"/>
        <w:rPr>
          <w:rFonts w:hint="eastAsia" w:ascii="宋体" w:hAnsi="宋体" w:cs="宋体"/>
          <w:b/>
          <w:bCs/>
          <w:color w:val="auto"/>
          <w:kern w:val="0"/>
          <w:highlight w:val="none"/>
        </w:rPr>
      </w:pPr>
      <w:r>
        <w:rPr>
          <w:rFonts w:hint="eastAsia" w:ascii="宋体" w:hAnsi="宋体" w:cs="宋体"/>
          <w:b/>
          <w:bCs/>
          <w:color w:val="auto"/>
          <w:kern w:val="0"/>
          <w:highlight w:val="none"/>
        </w:rPr>
        <w:t>21.4.4 分包工程的总承包配合费和配合工程的配合费：分包工程的总承包配合费按照分包工程价格确定，一次包死，不随分包工程结算价款的调整而调整；配合工程的配合费也一次包死；该两项费用仅计取税金</w:t>
      </w:r>
      <w:r>
        <w:rPr>
          <w:rFonts w:hint="eastAsia" w:ascii="宋体" w:hAnsi="宋体" w:cs="宋体"/>
          <w:b/>
          <w:bCs/>
          <w:color w:val="auto"/>
          <w:kern w:val="0"/>
          <w:highlight w:val="none"/>
          <w:lang w:eastAsia="zh-CN"/>
        </w:rPr>
        <w:t>。（</w:t>
      </w:r>
      <w:r>
        <w:rPr>
          <w:rFonts w:hint="eastAsia" w:ascii="宋体" w:hAnsi="宋体" w:cs="宋体"/>
          <w:b/>
          <w:bCs/>
          <w:color w:val="auto"/>
          <w:kern w:val="0"/>
          <w:highlight w:val="none"/>
          <w:lang w:val="en-US" w:eastAsia="zh-CN"/>
        </w:rPr>
        <w:t>本项目无）</w:t>
      </w:r>
    </w:p>
    <w:p w14:paraId="196440F7">
      <w:pPr>
        <w:adjustRightInd w:val="0"/>
        <w:snapToGrid w:val="0"/>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21.4.5对于发包人提供的工程量清单中的单项子目，承包人没有报价的，发包人认为视同该项价格已经包括在其他项目中。</w:t>
      </w:r>
    </w:p>
    <w:p w14:paraId="30144915">
      <w:pPr>
        <w:adjustRightInd w:val="0"/>
        <w:snapToGrid w:val="0"/>
        <w:spacing w:line="360" w:lineRule="auto"/>
        <w:rPr>
          <w:rFonts w:hint="eastAsia" w:ascii="宋体" w:hAnsi="宋体" w:cs="宋体"/>
          <w:b/>
          <w:color w:val="auto"/>
          <w:highlight w:val="none"/>
        </w:rPr>
      </w:pPr>
    </w:p>
    <w:p w14:paraId="4F3804CC">
      <w:pPr>
        <w:adjustRightInd w:val="0"/>
        <w:snapToGrid w:val="0"/>
        <w:spacing w:line="360" w:lineRule="auto"/>
        <w:rPr>
          <w:rFonts w:hint="eastAsia" w:ascii="宋体" w:hAnsi="宋体" w:cs="宋体"/>
          <w:color w:val="auto"/>
          <w:highlight w:val="none"/>
        </w:rPr>
      </w:pPr>
      <w:r>
        <w:rPr>
          <w:rFonts w:hint="eastAsia" w:ascii="宋体" w:hAnsi="宋体" w:cs="宋体"/>
          <w:color w:val="auto"/>
          <w:highlight w:val="none"/>
        </w:rPr>
        <w:t>发包人：  (公章)                           承包人：  (公章)</w:t>
      </w:r>
    </w:p>
    <w:p w14:paraId="66F09F93">
      <w:pPr>
        <w:adjustRightInd w:val="0"/>
        <w:snapToGrid w:val="0"/>
        <w:spacing w:line="360" w:lineRule="auto"/>
        <w:rPr>
          <w:rFonts w:hint="eastAsia" w:ascii="宋体" w:hAnsi="宋体" w:cs="宋体"/>
          <w:color w:val="auto"/>
          <w:highlight w:val="none"/>
        </w:rPr>
      </w:pPr>
      <w:r>
        <w:rPr>
          <w:rFonts w:hint="eastAsia" w:ascii="宋体" w:hAnsi="宋体" w:cs="宋体"/>
          <w:color w:val="auto"/>
          <w:highlight w:val="none"/>
        </w:rPr>
        <w:t>法定代表人或其委托代理人：                 法定代表人或其委托代理人：</w:t>
      </w:r>
    </w:p>
    <w:p w14:paraId="307594FC">
      <w:pPr>
        <w:adjustRightInd w:val="0"/>
        <w:snapToGrid w:val="0"/>
        <w:spacing w:line="360" w:lineRule="auto"/>
        <w:rPr>
          <w:rFonts w:hint="eastAsia" w:ascii="宋体" w:hAnsi="宋体" w:cs="宋体"/>
          <w:color w:val="auto"/>
          <w:highlight w:val="none"/>
        </w:rPr>
      </w:pPr>
      <w:r>
        <w:rPr>
          <w:rFonts w:hint="eastAsia" w:ascii="宋体" w:hAnsi="宋体" w:cs="宋体"/>
          <w:color w:val="auto"/>
          <w:highlight w:val="none"/>
        </w:rPr>
        <w:t>（签字）                                  （签字）</w:t>
      </w:r>
    </w:p>
    <w:p w14:paraId="6832CF98">
      <w:pPr>
        <w:adjustRightInd w:val="0"/>
        <w:snapToGrid w:val="0"/>
        <w:spacing w:line="360" w:lineRule="auto"/>
        <w:rPr>
          <w:rFonts w:hint="eastAsia" w:ascii="宋体" w:hAnsi="宋体" w:cs="宋体"/>
          <w:color w:val="auto"/>
          <w:highlight w:val="none"/>
          <w:u w:val="single"/>
        </w:rPr>
      </w:pPr>
      <w:r>
        <w:rPr>
          <w:rFonts w:hint="eastAsia" w:ascii="宋体" w:hAnsi="宋体" w:cs="宋体"/>
          <w:color w:val="auto"/>
          <w:highlight w:val="none"/>
        </w:rPr>
        <w:t>组织机构代码：</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组织机构代码：</w:t>
      </w:r>
      <w:r>
        <w:rPr>
          <w:rFonts w:hint="eastAsia" w:ascii="宋体" w:hAnsi="宋体" w:cs="宋体"/>
          <w:color w:val="auto"/>
          <w:highlight w:val="none"/>
          <w:u w:val="single"/>
        </w:rPr>
        <w:t xml:space="preserve">          </w:t>
      </w:r>
    </w:p>
    <w:p w14:paraId="4069DA80">
      <w:pPr>
        <w:adjustRightInd w:val="0"/>
        <w:snapToGrid w:val="0"/>
        <w:spacing w:line="360" w:lineRule="auto"/>
        <w:rPr>
          <w:rFonts w:hint="eastAsia" w:ascii="宋体" w:hAnsi="宋体" w:cs="宋体"/>
          <w:color w:val="auto"/>
          <w:highlight w:val="none"/>
        </w:rPr>
      </w:pPr>
      <w:r>
        <w:rPr>
          <w:rFonts w:hint="eastAsia" w:ascii="宋体" w:hAnsi="宋体" w:cs="宋体"/>
          <w:color w:val="auto"/>
          <w:highlight w:val="none"/>
        </w:rPr>
        <w:t>地  址：</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地  址：</w:t>
      </w:r>
      <w:r>
        <w:rPr>
          <w:rFonts w:hint="eastAsia" w:ascii="宋体" w:hAnsi="宋体" w:cs="宋体"/>
          <w:color w:val="auto"/>
          <w:highlight w:val="none"/>
          <w:u w:val="single"/>
        </w:rPr>
        <w:t xml:space="preserve">                  </w:t>
      </w:r>
    </w:p>
    <w:p w14:paraId="418AEB41">
      <w:pPr>
        <w:adjustRightInd w:val="0"/>
        <w:snapToGrid w:val="0"/>
        <w:spacing w:line="360" w:lineRule="auto"/>
        <w:rPr>
          <w:rFonts w:hint="eastAsia" w:ascii="宋体" w:hAnsi="宋体" w:cs="宋体"/>
          <w:color w:val="auto"/>
          <w:highlight w:val="none"/>
        </w:rPr>
      </w:pPr>
      <w:r>
        <w:rPr>
          <w:rFonts w:hint="eastAsia" w:ascii="宋体" w:hAnsi="宋体" w:cs="宋体"/>
          <w:color w:val="auto"/>
          <w:highlight w:val="none"/>
        </w:rPr>
        <w:t>邮政编码：</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邮政编码：</w:t>
      </w:r>
      <w:r>
        <w:rPr>
          <w:rFonts w:hint="eastAsia" w:ascii="宋体" w:hAnsi="宋体" w:cs="宋体"/>
          <w:color w:val="auto"/>
          <w:highlight w:val="none"/>
          <w:u w:val="single"/>
        </w:rPr>
        <w:t xml:space="preserve">                   </w:t>
      </w:r>
    </w:p>
    <w:p w14:paraId="188C8E75">
      <w:pPr>
        <w:adjustRightInd w:val="0"/>
        <w:snapToGrid w:val="0"/>
        <w:spacing w:line="360" w:lineRule="auto"/>
        <w:rPr>
          <w:rFonts w:hint="eastAsia" w:ascii="宋体" w:hAnsi="宋体" w:cs="宋体"/>
          <w:color w:val="auto"/>
          <w:highlight w:val="none"/>
        </w:rPr>
      </w:pPr>
      <w:r>
        <w:rPr>
          <w:rFonts w:hint="eastAsia" w:ascii="宋体" w:hAnsi="宋体" w:cs="宋体"/>
          <w:color w:val="auto"/>
          <w:highlight w:val="none"/>
        </w:rPr>
        <w:t>法定代表人：</w:t>
      </w:r>
      <w:r>
        <w:rPr>
          <w:rFonts w:hint="eastAsia" w:ascii="宋体" w:hAnsi="宋体" w:cs="宋体"/>
          <w:color w:val="auto"/>
          <w:highlight w:val="none"/>
          <w:u w:val="single"/>
        </w:rPr>
        <w:t xml:space="preserve">            </w:t>
      </w:r>
      <w:r>
        <w:rPr>
          <w:rFonts w:hint="eastAsia" w:ascii="宋体" w:hAnsi="宋体" w:cs="宋体"/>
          <w:color w:val="auto"/>
          <w:highlight w:val="none"/>
        </w:rPr>
        <w:t xml:space="preserve">                法定代表人：</w:t>
      </w:r>
      <w:r>
        <w:rPr>
          <w:rFonts w:hint="eastAsia" w:ascii="宋体" w:hAnsi="宋体" w:cs="宋体"/>
          <w:color w:val="auto"/>
          <w:highlight w:val="none"/>
          <w:u w:val="single"/>
        </w:rPr>
        <w:t xml:space="preserve">            </w:t>
      </w:r>
    </w:p>
    <w:p w14:paraId="5EA6B655">
      <w:pPr>
        <w:adjustRightInd w:val="0"/>
        <w:snapToGrid w:val="0"/>
        <w:spacing w:line="360" w:lineRule="auto"/>
        <w:rPr>
          <w:rFonts w:hint="eastAsia" w:ascii="宋体" w:hAnsi="宋体" w:cs="宋体"/>
          <w:color w:val="auto"/>
          <w:highlight w:val="none"/>
        </w:rPr>
      </w:pPr>
      <w:r>
        <w:rPr>
          <w:rFonts w:hint="eastAsia" w:ascii="宋体" w:hAnsi="宋体" w:cs="宋体"/>
          <w:color w:val="auto"/>
          <w:highlight w:val="none"/>
        </w:rPr>
        <w:t>委托代理人：</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委托代理人：</w:t>
      </w:r>
      <w:r>
        <w:rPr>
          <w:rFonts w:hint="eastAsia" w:ascii="宋体" w:hAnsi="宋体" w:cs="宋体"/>
          <w:color w:val="auto"/>
          <w:highlight w:val="none"/>
          <w:u w:val="single"/>
        </w:rPr>
        <w:t xml:space="preserve">                </w:t>
      </w:r>
    </w:p>
    <w:p w14:paraId="61B450E0">
      <w:pPr>
        <w:adjustRightInd w:val="0"/>
        <w:snapToGrid w:val="0"/>
        <w:spacing w:line="360" w:lineRule="auto"/>
        <w:rPr>
          <w:rFonts w:hint="eastAsia" w:ascii="宋体" w:hAnsi="宋体" w:cs="宋体"/>
          <w:color w:val="auto"/>
          <w:highlight w:val="none"/>
        </w:rPr>
      </w:pPr>
      <w:r>
        <w:rPr>
          <w:rFonts w:hint="eastAsia" w:ascii="宋体" w:hAnsi="宋体" w:cs="宋体"/>
          <w:color w:val="auto"/>
          <w:highlight w:val="none"/>
        </w:rPr>
        <w:t>电  话：</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电  话：</w:t>
      </w:r>
      <w:r>
        <w:rPr>
          <w:rFonts w:hint="eastAsia" w:ascii="宋体" w:hAnsi="宋体" w:cs="宋体"/>
          <w:color w:val="auto"/>
          <w:highlight w:val="none"/>
          <w:u w:val="single"/>
        </w:rPr>
        <w:t xml:space="preserve">                     </w:t>
      </w:r>
    </w:p>
    <w:p w14:paraId="0632FDCC">
      <w:pPr>
        <w:adjustRightInd w:val="0"/>
        <w:snapToGrid w:val="0"/>
        <w:spacing w:line="360" w:lineRule="auto"/>
        <w:rPr>
          <w:rFonts w:hint="eastAsia" w:ascii="宋体" w:hAnsi="宋体" w:cs="宋体"/>
          <w:color w:val="auto"/>
          <w:highlight w:val="none"/>
        </w:rPr>
      </w:pPr>
      <w:r>
        <w:rPr>
          <w:rFonts w:hint="eastAsia" w:ascii="宋体" w:hAnsi="宋体" w:cs="宋体"/>
          <w:color w:val="auto"/>
          <w:highlight w:val="none"/>
        </w:rPr>
        <w:t>传  真：</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传  真：</w:t>
      </w:r>
      <w:r>
        <w:rPr>
          <w:rFonts w:hint="eastAsia" w:ascii="宋体" w:hAnsi="宋体" w:cs="宋体"/>
          <w:color w:val="auto"/>
          <w:highlight w:val="none"/>
          <w:u w:val="single"/>
        </w:rPr>
        <w:t xml:space="preserve">                   </w:t>
      </w:r>
    </w:p>
    <w:p w14:paraId="4A3B2E5C">
      <w:pPr>
        <w:adjustRightInd w:val="0"/>
        <w:snapToGrid w:val="0"/>
        <w:spacing w:line="360" w:lineRule="auto"/>
        <w:rPr>
          <w:rFonts w:hint="eastAsia"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电子信箱：</w:t>
      </w:r>
      <w:r>
        <w:rPr>
          <w:rFonts w:hint="eastAsia" w:ascii="宋体" w:hAnsi="宋体" w:cs="宋体"/>
          <w:color w:val="auto"/>
          <w:highlight w:val="none"/>
          <w:u w:val="single"/>
        </w:rPr>
        <w:t xml:space="preserve">                   </w:t>
      </w:r>
    </w:p>
    <w:p w14:paraId="2CD304EF">
      <w:pPr>
        <w:adjustRightInd w:val="0"/>
        <w:snapToGrid w:val="0"/>
        <w:spacing w:line="360" w:lineRule="auto"/>
        <w:rPr>
          <w:rFonts w:hint="eastAsia" w:ascii="宋体" w:hAnsi="宋体" w:cs="宋体"/>
          <w:color w:val="auto"/>
          <w:highlight w:val="none"/>
        </w:rPr>
      </w:pPr>
      <w:r>
        <w:rPr>
          <w:rFonts w:hint="eastAsia" w:ascii="宋体" w:hAnsi="宋体" w:cs="宋体"/>
          <w:color w:val="auto"/>
          <w:highlight w:val="none"/>
        </w:rPr>
        <w:t>开户银行：</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开户银行：</w:t>
      </w:r>
      <w:r>
        <w:rPr>
          <w:rFonts w:hint="eastAsia" w:ascii="宋体" w:hAnsi="宋体" w:cs="宋体"/>
          <w:color w:val="auto"/>
          <w:highlight w:val="none"/>
          <w:u w:val="single"/>
        </w:rPr>
        <w:t xml:space="preserve">                   </w:t>
      </w:r>
    </w:p>
    <w:p w14:paraId="065B8D49">
      <w:pPr>
        <w:adjustRightInd w:val="0"/>
        <w:snapToGrid w:val="0"/>
        <w:spacing w:line="360" w:lineRule="auto"/>
        <w:rPr>
          <w:rFonts w:hint="eastAsia" w:ascii="宋体" w:hAnsi="宋体" w:cs="宋体"/>
          <w:b/>
          <w:color w:val="auto"/>
          <w:highlight w:val="none"/>
        </w:rPr>
      </w:pPr>
      <w:r>
        <w:rPr>
          <w:rFonts w:hint="eastAsia" w:ascii="宋体" w:hAnsi="宋体" w:cs="宋体"/>
          <w:color w:val="auto"/>
          <w:highlight w:val="none"/>
        </w:rPr>
        <w:t>账  号：</w:t>
      </w:r>
      <w:r>
        <w:rPr>
          <w:rFonts w:hint="eastAsia" w:ascii="宋体" w:hAnsi="宋体" w:cs="宋体"/>
          <w:color w:val="auto"/>
          <w:highlight w:val="none"/>
          <w:u w:val="single"/>
        </w:rPr>
        <w:t xml:space="preserve">                 </w:t>
      </w:r>
      <w:r>
        <w:rPr>
          <w:rFonts w:hint="eastAsia" w:ascii="宋体" w:hAnsi="宋体" w:cs="宋体"/>
          <w:color w:val="auto"/>
          <w:highlight w:val="none"/>
        </w:rPr>
        <w:t xml:space="preserve">                账  号：</w:t>
      </w:r>
      <w:r>
        <w:rPr>
          <w:rFonts w:hint="eastAsia" w:ascii="宋体" w:hAnsi="宋体" w:cs="宋体"/>
          <w:color w:val="auto"/>
          <w:highlight w:val="none"/>
          <w:u w:val="single"/>
        </w:rPr>
        <w:t xml:space="preserve">                     </w:t>
      </w:r>
    </w:p>
    <w:p w14:paraId="57B57BAD">
      <w:pPr>
        <w:spacing w:line="360" w:lineRule="auto"/>
        <w:outlineLvl w:val="1"/>
        <w:rPr>
          <w:rFonts w:ascii="宋体" w:hAnsi="宋体" w:cs="宋体"/>
          <w:b/>
          <w:color w:val="auto"/>
          <w:highlight w:val="none"/>
        </w:rPr>
        <w:sectPr>
          <w:footnotePr>
            <w:numFmt w:val="decimalEnclosedCircleChinese"/>
            <w:numRestart w:val="eachPage"/>
          </w:footnotePr>
          <w:pgSz w:w="11907" w:h="16840"/>
          <w:pgMar w:top="1474" w:right="1474" w:bottom="1474" w:left="1474" w:header="799" w:footer="907" w:gutter="0"/>
          <w:pgNumType w:fmt="numberInDash"/>
          <w:cols w:space="720" w:num="1"/>
          <w:docGrid w:linePitch="271" w:charSpace="0"/>
        </w:sectPr>
      </w:pPr>
    </w:p>
    <w:p w14:paraId="5482BF16">
      <w:pPr>
        <w:spacing w:line="360" w:lineRule="auto"/>
        <w:outlineLvl w:val="1"/>
        <w:rPr>
          <w:rFonts w:hint="eastAsia" w:ascii="宋体" w:hAnsi="宋体" w:cs="宋体"/>
          <w:b/>
          <w:color w:val="auto"/>
          <w:highlight w:val="none"/>
        </w:rPr>
      </w:pPr>
      <w:r>
        <w:rPr>
          <w:rFonts w:hint="eastAsia" w:ascii="宋体" w:hAnsi="宋体" w:cs="宋体"/>
          <w:b/>
          <w:color w:val="auto"/>
          <w:highlight w:val="none"/>
        </w:rPr>
        <w:t>附件</w:t>
      </w:r>
    </w:p>
    <w:p w14:paraId="21EDE6BA">
      <w:pPr>
        <w:spacing w:line="360" w:lineRule="auto"/>
        <w:rPr>
          <w:rFonts w:hint="eastAsia" w:ascii="宋体" w:hAnsi="宋体" w:cs="宋体"/>
          <w:color w:val="auto"/>
          <w:highlight w:val="none"/>
        </w:rPr>
      </w:pPr>
      <w:r>
        <w:rPr>
          <w:rFonts w:hint="eastAsia" w:ascii="宋体" w:hAnsi="宋体" w:cs="宋体"/>
          <w:color w:val="auto"/>
          <w:highlight w:val="none"/>
        </w:rPr>
        <w:t>协议书附件：</w:t>
      </w:r>
    </w:p>
    <w:p w14:paraId="2E8AA3E5">
      <w:pPr>
        <w:spacing w:line="360" w:lineRule="auto"/>
        <w:rPr>
          <w:rFonts w:hint="eastAsia" w:ascii="宋体" w:hAnsi="宋体" w:cs="宋体"/>
          <w:color w:val="auto"/>
          <w:highlight w:val="none"/>
        </w:rPr>
      </w:pPr>
      <w:r>
        <w:rPr>
          <w:rFonts w:hint="eastAsia" w:ascii="宋体" w:hAnsi="宋体" w:cs="宋体"/>
          <w:color w:val="auto"/>
          <w:highlight w:val="none"/>
        </w:rPr>
        <w:t>附件1：承包人承揽工程项目一览表</w:t>
      </w:r>
    </w:p>
    <w:p w14:paraId="7EF4CB0F">
      <w:pPr>
        <w:spacing w:line="360" w:lineRule="auto"/>
        <w:rPr>
          <w:rFonts w:hint="eastAsia" w:ascii="宋体" w:hAnsi="宋体" w:cs="宋体"/>
          <w:color w:val="auto"/>
          <w:highlight w:val="none"/>
        </w:rPr>
      </w:pPr>
      <w:r>
        <w:rPr>
          <w:rFonts w:hint="eastAsia" w:ascii="宋体" w:hAnsi="宋体" w:cs="宋体"/>
          <w:color w:val="auto"/>
          <w:highlight w:val="none"/>
        </w:rPr>
        <w:t>专用合同条款附件：</w:t>
      </w:r>
    </w:p>
    <w:p w14:paraId="4B0790C9">
      <w:pPr>
        <w:spacing w:line="360" w:lineRule="auto"/>
        <w:rPr>
          <w:rFonts w:hint="eastAsia" w:ascii="宋体" w:hAnsi="宋体" w:cs="宋体"/>
          <w:color w:val="auto"/>
          <w:highlight w:val="none"/>
        </w:rPr>
      </w:pPr>
      <w:r>
        <w:rPr>
          <w:rFonts w:hint="eastAsia" w:ascii="宋体" w:hAnsi="宋体" w:cs="宋体"/>
          <w:color w:val="auto"/>
          <w:highlight w:val="none"/>
        </w:rPr>
        <w:t>附件2：发包人供应材料设备一览表</w:t>
      </w:r>
    </w:p>
    <w:p w14:paraId="611430B1">
      <w:pPr>
        <w:spacing w:line="360" w:lineRule="auto"/>
        <w:rPr>
          <w:rFonts w:hint="eastAsia" w:ascii="宋体" w:hAnsi="宋体" w:cs="宋体"/>
          <w:color w:val="auto"/>
          <w:highlight w:val="none"/>
        </w:rPr>
      </w:pPr>
      <w:r>
        <w:rPr>
          <w:rFonts w:hint="eastAsia" w:ascii="宋体" w:hAnsi="宋体" w:cs="宋体"/>
          <w:color w:val="auto"/>
          <w:highlight w:val="none"/>
        </w:rPr>
        <w:t>附件3：工程质量保修书</w:t>
      </w:r>
    </w:p>
    <w:p w14:paraId="1C7DE6CB">
      <w:pPr>
        <w:spacing w:line="360" w:lineRule="auto"/>
        <w:rPr>
          <w:rFonts w:hint="eastAsia" w:ascii="宋体" w:hAnsi="宋体" w:cs="宋体"/>
          <w:color w:val="auto"/>
          <w:highlight w:val="none"/>
        </w:rPr>
      </w:pPr>
      <w:r>
        <w:rPr>
          <w:rFonts w:hint="eastAsia" w:ascii="宋体" w:hAnsi="宋体" w:cs="宋体"/>
          <w:color w:val="auto"/>
          <w:highlight w:val="none"/>
        </w:rPr>
        <w:t>附件4：主要建设工程文件目录</w:t>
      </w:r>
    </w:p>
    <w:p w14:paraId="272E6138">
      <w:pPr>
        <w:spacing w:line="360" w:lineRule="auto"/>
        <w:rPr>
          <w:rFonts w:hint="eastAsia" w:ascii="宋体" w:hAnsi="宋体" w:cs="宋体"/>
          <w:color w:val="auto"/>
          <w:highlight w:val="none"/>
        </w:rPr>
      </w:pPr>
      <w:r>
        <w:rPr>
          <w:rFonts w:hint="eastAsia" w:ascii="宋体" w:hAnsi="宋体" w:cs="宋体"/>
          <w:color w:val="auto"/>
          <w:highlight w:val="none"/>
        </w:rPr>
        <w:t>附件5：承包人用于本工程施工的机械设备表</w:t>
      </w:r>
    </w:p>
    <w:p w14:paraId="1F947958">
      <w:pPr>
        <w:spacing w:line="360" w:lineRule="auto"/>
        <w:rPr>
          <w:rFonts w:hint="eastAsia" w:ascii="宋体" w:hAnsi="宋体" w:cs="宋体"/>
          <w:color w:val="auto"/>
          <w:highlight w:val="none"/>
        </w:rPr>
      </w:pPr>
      <w:r>
        <w:rPr>
          <w:rFonts w:hint="eastAsia" w:ascii="宋体" w:hAnsi="宋体" w:cs="宋体"/>
          <w:color w:val="auto"/>
          <w:highlight w:val="none"/>
        </w:rPr>
        <w:t>附件6：承包人主要施工管理人员表</w:t>
      </w:r>
    </w:p>
    <w:p w14:paraId="15E5B8A7">
      <w:pPr>
        <w:spacing w:line="360" w:lineRule="auto"/>
        <w:rPr>
          <w:rFonts w:hint="eastAsia" w:ascii="宋体" w:hAnsi="宋体" w:cs="宋体"/>
          <w:color w:val="auto"/>
          <w:highlight w:val="none"/>
        </w:rPr>
      </w:pPr>
      <w:r>
        <w:rPr>
          <w:rFonts w:hint="eastAsia" w:ascii="宋体" w:hAnsi="宋体" w:cs="宋体"/>
          <w:color w:val="auto"/>
          <w:highlight w:val="none"/>
        </w:rPr>
        <w:t>附件7：分包人主要施工管理人员表</w:t>
      </w:r>
    </w:p>
    <w:p w14:paraId="10C59272">
      <w:pPr>
        <w:spacing w:line="360" w:lineRule="auto"/>
        <w:rPr>
          <w:rFonts w:hint="eastAsia" w:ascii="宋体" w:hAnsi="宋体" w:cs="宋体"/>
          <w:color w:val="auto"/>
          <w:highlight w:val="none"/>
        </w:rPr>
      </w:pPr>
      <w:r>
        <w:rPr>
          <w:rFonts w:hint="eastAsia" w:ascii="宋体" w:hAnsi="宋体" w:cs="宋体"/>
          <w:color w:val="auto"/>
          <w:highlight w:val="none"/>
        </w:rPr>
        <w:t>附件8：廉政协议</w:t>
      </w:r>
    </w:p>
    <w:p w14:paraId="4307B9FA">
      <w:pPr>
        <w:spacing w:line="360" w:lineRule="auto"/>
        <w:rPr>
          <w:rFonts w:hint="eastAsia" w:ascii="宋体" w:hAnsi="宋体" w:cs="宋体"/>
          <w:color w:val="auto"/>
          <w:highlight w:val="none"/>
        </w:rPr>
      </w:pPr>
      <w:r>
        <w:rPr>
          <w:rFonts w:hint="eastAsia" w:ascii="宋体" w:hAnsi="宋体" w:cs="宋体"/>
          <w:color w:val="auto"/>
          <w:highlight w:val="none"/>
        </w:rPr>
        <w:t>附件9：履约保证金格式</w:t>
      </w:r>
    </w:p>
    <w:p w14:paraId="29E54BC6">
      <w:pPr>
        <w:spacing w:line="360" w:lineRule="auto"/>
        <w:rPr>
          <w:rFonts w:hint="eastAsia" w:ascii="宋体" w:hAnsi="宋体" w:cs="宋体"/>
          <w:color w:val="auto"/>
          <w:highlight w:val="none"/>
        </w:rPr>
      </w:pPr>
      <w:r>
        <w:rPr>
          <w:rFonts w:hint="eastAsia" w:ascii="宋体" w:hAnsi="宋体" w:cs="宋体"/>
          <w:color w:val="auto"/>
          <w:highlight w:val="none"/>
        </w:rPr>
        <w:t>附件10：支付担保格式</w:t>
      </w:r>
    </w:p>
    <w:p w14:paraId="1C0E5B8B">
      <w:pPr>
        <w:spacing w:line="360" w:lineRule="auto"/>
        <w:rPr>
          <w:rFonts w:hint="eastAsia" w:ascii="宋体" w:hAnsi="宋体" w:cs="宋体"/>
          <w:color w:val="auto"/>
          <w:highlight w:val="none"/>
        </w:rPr>
      </w:pPr>
      <w:r>
        <w:rPr>
          <w:rFonts w:hint="eastAsia" w:ascii="宋体" w:hAnsi="宋体" w:cs="宋体"/>
          <w:color w:val="auto"/>
          <w:highlight w:val="none"/>
        </w:rPr>
        <w:t>附件11：暂估价一览表</w:t>
      </w:r>
    </w:p>
    <w:p w14:paraId="19D9BA78">
      <w:pPr>
        <w:spacing w:line="360" w:lineRule="auto"/>
        <w:rPr>
          <w:rFonts w:hint="eastAsia" w:ascii="宋体" w:hAnsi="宋体" w:cs="宋体"/>
          <w:color w:val="auto"/>
          <w:highlight w:val="none"/>
        </w:rPr>
      </w:pPr>
      <w:r>
        <w:rPr>
          <w:rFonts w:hint="eastAsia" w:ascii="宋体" w:hAnsi="宋体" w:cs="宋体"/>
          <w:color w:val="auto"/>
          <w:highlight w:val="none"/>
        </w:rPr>
        <w:t>附件12：安全生产合同</w:t>
      </w:r>
    </w:p>
    <w:p w14:paraId="54746E01">
      <w:pPr>
        <w:spacing w:line="360" w:lineRule="auto"/>
        <w:rPr>
          <w:rFonts w:hint="eastAsia" w:ascii="宋体" w:hAnsi="宋体" w:cs="宋体"/>
          <w:color w:val="auto"/>
          <w:highlight w:val="none"/>
        </w:rPr>
      </w:pPr>
      <w:r>
        <w:rPr>
          <w:rFonts w:hint="eastAsia" w:ascii="宋体" w:hAnsi="宋体" w:cs="宋体"/>
          <w:color w:val="auto"/>
          <w:highlight w:val="none"/>
        </w:rPr>
        <w:t>附件13：项目经理质量终身责任制承诺</w:t>
      </w:r>
    </w:p>
    <w:p w14:paraId="31021736">
      <w:pPr>
        <w:pStyle w:val="19"/>
        <w:ind w:left="0" w:leftChars="0" w:firstLine="0" w:firstLineChars="0"/>
        <w:rPr>
          <w:rFonts w:hint="eastAsia"/>
          <w:color w:val="auto"/>
          <w:highlight w:val="none"/>
        </w:rPr>
      </w:pPr>
      <w:r>
        <w:rPr>
          <w:rFonts w:hint="eastAsia"/>
          <w:color w:val="auto"/>
          <w:highlight w:val="none"/>
        </w:rPr>
        <w:t>附件14：联合体协议书（如有）</w:t>
      </w:r>
    </w:p>
    <w:p w14:paraId="77C6FEB5">
      <w:pPr>
        <w:rPr>
          <w:rFonts w:hint="eastAsia"/>
          <w:color w:val="auto"/>
          <w:highlight w:val="none"/>
          <w:lang w:val="en-US" w:eastAsia="zh-CN"/>
        </w:rPr>
      </w:pPr>
      <w:r>
        <w:rPr>
          <w:rFonts w:hint="eastAsia"/>
          <w:color w:val="auto"/>
          <w:highlight w:val="none"/>
          <w:lang w:val="en-US" w:eastAsia="zh-CN"/>
        </w:rPr>
        <w:t xml:space="preserve">   </w:t>
      </w:r>
    </w:p>
    <w:p w14:paraId="62C79D8F">
      <w:pPr>
        <w:pStyle w:val="5"/>
        <w:spacing w:before="0" w:after="0" w:line="440" w:lineRule="exact"/>
        <w:ind w:firstLine="420" w:firstLineChars="200"/>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 w:val="0"/>
          <w:color w:val="auto"/>
          <w:sz w:val="21"/>
          <w:szCs w:val="21"/>
          <w:highlight w:val="none"/>
          <w:lang w:val="en-US" w:eastAsia="zh-CN"/>
        </w:rPr>
        <w:br w:type="page"/>
      </w:r>
      <w:r>
        <w:rPr>
          <w:rFonts w:hint="eastAsia" w:ascii="宋体" w:hAnsi="宋体" w:eastAsia="宋体" w:cs="宋体"/>
          <w:b w:val="0"/>
          <w:color w:val="auto"/>
          <w:sz w:val="21"/>
          <w:szCs w:val="21"/>
          <w:highlight w:val="none"/>
          <w:lang w:val="en-US" w:eastAsia="zh-CN"/>
        </w:rPr>
        <w:t>补充条款</w:t>
      </w:r>
    </w:p>
    <w:p w14:paraId="4A928D68">
      <w:pPr>
        <w:pStyle w:val="19"/>
        <w:keepNext w:val="0"/>
        <w:keepLines w:val="0"/>
        <w:pageBreakBefore w:val="0"/>
        <w:widowControl w:val="0"/>
        <w:kinsoku/>
        <w:wordWrap/>
        <w:overflowPunct/>
        <w:topLinePunct w:val="0"/>
        <w:bidi w:val="0"/>
        <w:snapToGrid/>
        <w:spacing w:after="0" w:afterLines="0" w:line="440" w:lineRule="exact"/>
        <w:ind w:left="0" w:leftChars="0" w:firstLine="422" w:firstLineChars="200"/>
        <w:jc w:val="left"/>
        <w:textAlignment w:val="auto"/>
        <w:rPr>
          <w:rFonts w:hint="default"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1.工期</w:t>
      </w:r>
    </w:p>
    <w:p w14:paraId="4EBA2517">
      <w:pPr>
        <w:pStyle w:val="19"/>
        <w:keepNext w:val="0"/>
        <w:keepLines w:val="0"/>
        <w:pageBreakBefore w:val="0"/>
        <w:widowControl w:val="0"/>
        <w:kinsoku/>
        <w:wordWrap/>
        <w:overflowPunct/>
        <w:topLinePunct w:val="0"/>
        <w:bidi w:val="0"/>
        <w:snapToGrid/>
        <w:spacing w:after="0" w:afterLines="0" w:line="440" w:lineRule="exact"/>
        <w:ind w:left="0" w:leftChars="0" w:firstLine="422" w:firstLineChars="200"/>
        <w:jc w:val="left"/>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1.1计划开竣工时间</w:t>
      </w:r>
    </w:p>
    <w:p w14:paraId="5000019E">
      <w:pPr>
        <w:pStyle w:val="19"/>
        <w:keepNext w:val="0"/>
        <w:keepLines w:val="0"/>
        <w:pageBreakBefore w:val="0"/>
        <w:widowControl w:val="0"/>
        <w:kinsoku/>
        <w:wordWrap/>
        <w:overflowPunct/>
        <w:topLinePunct w:val="0"/>
        <w:bidi w:val="0"/>
        <w:snapToGrid/>
        <w:spacing w:after="0" w:afterLines="0" w:line="440" w:lineRule="exact"/>
        <w:ind w:left="0" w:leftChars="0" w:firstLine="420" w:firstLineChars="200"/>
        <w:jc w:val="left"/>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具体开工日期以开工通知为准</w:t>
      </w:r>
      <w:r>
        <w:rPr>
          <w:rFonts w:hint="eastAsia" w:ascii="宋体" w:hAnsi="宋体" w:cs="宋体"/>
          <w:bCs/>
          <w:color w:val="auto"/>
          <w:kern w:val="2"/>
          <w:sz w:val="21"/>
          <w:szCs w:val="21"/>
          <w:highlight w:val="none"/>
          <w:lang w:val="en-US" w:eastAsia="zh-CN" w:bidi="ar-SA"/>
        </w:rPr>
        <w:t>。</w:t>
      </w:r>
    </w:p>
    <w:p w14:paraId="04F03D67">
      <w:pPr>
        <w:pStyle w:val="19"/>
        <w:keepNext w:val="0"/>
        <w:keepLines w:val="0"/>
        <w:pageBreakBefore w:val="0"/>
        <w:widowControl w:val="0"/>
        <w:kinsoku/>
        <w:wordWrap/>
        <w:overflowPunct/>
        <w:topLinePunct w:val="0"/>
        <w:bidi w:val="0"/>
        <w:snapToGrid/>
        <w:spacing w:after="0" w:afterLines="0" w:line="440" w:lineRule="exact"/>
        <w:ind w:left="0" w:leftChars="0" w:firstLine="422" w:firstLineChars="200"/>
        <w:jc w:val="left"/>
        <w:textAlignment w:val="auto"/>
        <w:rPr>
          <w:rFonts w:hint="default"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1.2详细工期说明</w:t>
      </w:r>
    </w:p>
    <w:p w14:paraId="246696D4">
      <w:pPr>
        <w:pStyle w:val="39"/>
        <w:spacing w:line="440" w:lineRule="exact"/>
        <w:ind w:firstLine="420" w:firstLineChars="20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①承包人实际施工节点工期延迟超过经发包人确认的施工进度总计划对应节点达30天的，发包人有权与承包人解除合同，承包人承担由此给发包人造成的一切相关损失（包括但不限于需向银行等支付的开发贷款的利息、向购房人承担的赔偿金）。合同解除后，发包人可派员进驻施工场地，另行组织人员或委托其他承包人施工。发包人因继续完成该工程的需要，有权扣留使用承包人在现场的材料、设备和临时设施。</w:t>
      </w:r>
    </w:p>
    <w:p w14:paraId="119158DA">
      <w:pPr>
        <w:pStyle w:val="39"/>
        <w:spacing w:line="440" w:lineRule="exact"/>
        <w:ind w:firstLine="420" w:firstLineChars="20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②承包人根据上述要求在合同签订10个日历天内正式提报施工进度总计划、施工组织设计和材料（设备）进场计划表等资料，其中应包含甲指乙供材料进场时间节点及相关工作计划。</w:t>
      </w:r>
    </w:p>
    <w:p w14:paraId="748FB6A5">
      <w:pPr>
        <w:pStyle w:val="39"/>
        <w:spacing w:line="440" w:lineRule="exact"/>
        <w:ind w:firstLine="420" w:firstLineChars="20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③承包人根据总进度计划每月编制并向发包人上报月进度计划，月进度计划、周进度计划与工程款支付挂钩。若当月未能完成月进度计划的90%或获得发包人认可的进度计划，发包人有权核减当月工程款并要求承包人采取补救措施（如加班、增加人员机械等方式）并酌情处以</w:t>
      </w:r>
      <w:r>
        <w:rPr>
          <w:rFonts w:hint="eastAsia" w:ascii="宋体" w:hAnsi="宋体" w:cs="宋体"/>
          <w:bCs/>
          <w:color w:val="auto"/>
          <w:kern w:val="2"/>
          <w:sz w:val="21"/>
          <w:szCs w:val="21"/>
          <w:highlight w:val="none"/>
          <w:lang w:val="en-US" w:eastAsia="zh-CN" w:bidi="ar-SA"/>
        </w:rPr>
        <w:t>2000</w:t>
      </w:r>
      <w:r>
        <w:rPr>
          <w:rFonts w:hint="eastAsia" w:ascii="宋体" w:hAnsi="宋体" w:eastAsia="宋体" w:cs="宋体"/>
          <w:bCs/>
          <w:color w:val="auto"/>
          <w:kern w:val="2"/>
          <w:sz w:val="21"/>
          <w:szCs w:val="21"/>
          <w:highlight w:val="none"/>
          <w:lang w:val="en-US" w:eastAsia="zh-CN" w:bidi="ar-SA"/>
        </w:rPr>
        <w:t>—</w:t>
      </w:r>
      <w:r>
        <w:rPr>
          <w:rFonts w:hint="eastAsia" w:ascii="宋体" w:hAnsi="宋体" w:cs="宋体"/>
          <w:bCs/>
          <w:color w:val="auto"/>
          <w:kern w:val="2"/>
          <w:sz w:val="21"/>
          <w:szCs w:val="21"/>
          <w:highlight w:val="none"/>
          <w:lang w:val="en-US" w:eastAsia="zh-CN" w:bidi="ar-SA"/>
        </w:rPr>
        <w:t>20000违约金</w:t>
      </w:r>
      <w:r>
        <w:rPr>
          <w:rFonts w:hint="eastAsia" w:ascii="宋体" w:hAnsi="宋体" w:eastAsia="宋体" w:cs="宋体"/>
          <w:bCs/>
          <w:color w:val="auto"/>
          <w:kern w:val="2"/>
          <w:sz w:val="21"/>
          <w:szCs w:val="21"/>
          <w:highlight w:val="none"/>
          <w:lang w:val="en-US" w:eastAsia="zh-CN" w:bidi="ar-SA"/>
        </w:rPr>
        <w:t>。</w:t>
      </w:r>
    </w:p>
    <w:p w14:paraId="59CC05B2">
      <w:pPr>
        <w:pStyle w:val="39"/>
        <w:spacing w:line="440" w:lineRule="exact"/>
        <w:ind w:firstLine="420" w:firstLineChars="20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④承包人应当充分了解，发包人已或将就本工程竣工交付与有关第三方达成了相关协议，因此本工程的误期竣工将会给发包人带来非常严重的违约责任和经济损失。如果因承包人原因导致本工程不能按期竣工，并且承包人支付给发包人的误期违约金总额不足以弥补因承包人误期竣工给发包人造成的损失，承包人应另行向发包人支付赔偿金，发包人可以从应付或将要付给承包人的款项中扣除此项赔偿金。</w:t>
      </w:r>
    </w:p>
    <w:p w14:paraId="082AEF5D">
      <w:pPr>
        <w:pStyle w:val="39"/>
        <w:spacing w:line="440" w:lineRule="exact"/>
        <w:ind w:firstLine="420" w:firstLineChars="200"/>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⑤最终完工延迟承担违约责任的，并不免除各关键节点迟延应当承担违约责任，各关键节点的迟延责任也互不替代。也不应解除或减少承包人对完成该项工程的义务或合同规定的承包人的其他义务和责任。</w:t>
      </w:r>
    </w:p>
    <w:p w14:paraId="21806452">
      <w:pPr>
        <w:pStyle w:val="19"/>
        <w:keepNext w:val="0"/>
        <w:keepLines w:val="0"/>
        <w:pageBreakBefore w:val="0"/>
        <w:widowControl w:val="0"/>
        <w:kinsoku/>
        <w:wordWrap/>
        <w:overflowPunct/>
        <w:topLinePunct w:val="0"/>
        <w:bidi w:val="0"/>
        <w:snapToGrid/>
        <w:spacing w:after="0" w:afterLines="0" w:line="440" w:lineRule="exact"/>
        <w:ind w:left="0" w:leftChars="0" w:firstLine="422" w:firstLineChars="200"/>
        <w:jc w:val="left"/>
        <w:textAlignment w:val="auto"/>
        <w:rPr>
          <w:rFonts w:hint="default"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2.安全、安全文明施工要求</w:t>
      </w:r>
    </w:p>
    <w:p w14:paraId="76CD3A0D">
      <w:pPr>
        <w:pStyle w:val="19"/>
        <w:keepNext w:val="0"/>
        <w:keepLines w:val="0"/>
        <w:pageBreakBefore w:val="0"/>
        <w:widowControl w:val="0"/>
        <w:kinsoku/>
        <w:wordWrap/>
        <w:overflowPunct/>
        <w:topLinePunct w:val="0"/>
        <w:bidi w:val="0"/>
        <w:snapToGrid/>
        <w:spacing w:after="0" w:afterLines="0" w:line="440" w:lineRule="exact"/>
        <w:ind w:left="0" w:leftChars="0" w:firstLine="420" w:firstLineChars="200"/>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2.1承包人在工程施工期间，严格执行《滁州市建设工程文明施工管理规定》、《建设工程安全生产管理条例》、《滁州市扬尘污染防治管理办法》、《安徽省工程建设标准建筑工地扬尘防治标准 》及关于印发《滁州市建设工地施工扬尘控制若干规定》的通知等有关规定，规范各项质量管理、安全管理、文明施工管理措施，确保优质、安全、文明完成本工程的建设。中标承包人由于管理不善，引起政府有关部门罚款、停工整改等处罚，其发生的损失由承包人自行承担，且发包人保留缓付工程款的权利。承包人应按国家和地方有关规定和合同约定制定严格的安全防护措施，施工现场按省级文明工期标准管理，相关费用已包含在安全文明施工措施费内，由承包人包干使用，如发生安全事故、责任事故，承包人承担全部责任及费用。</w:t>
      </w:r>
    </w:p>
    <w:p w14:paraId="0E6B21FC">
      <w:pPr>
        <w:spacing w:line="440" w:lineRule="exact"/>
        <w:ind w:firstLine="420" w:firstLineChars="20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2.2承包人应遵守工程建设安全生产有关管理规定，严格按安全标准组织施工，并随时接受行业安全检查人员依法实施的监督检查，采取必要的安全防护措施，消除事故隐患。由于承包人安全措施不力造成事故的责任和因此发生的费用，由承包人承担。</w:t>
      </w:r>
    </w:p>
    <w:p w14:paraId="3150F9D4">
      <w:pPr>
        <w:spacing w:line="440" w:lineRule="exact"/>
        <w:ind w:firstLine="420" w:firstLineChars="20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2.3承包人应对其在施工场地的工作人员进行安全教育，并对他们的安全负责。发包人不得要求承包人违反安全管理的规定进行施工。因发包人原因导致的安全事故，由发包人承担相应责任及发生的费用。</w:t>
      </w:r>
    </w:p>
    <w:p w14:paraId="08A08303">
      <w:pPr>
        <w:spacing w:line="440" w:lineRule="exact"/>
        <w:ind w:firstLine="420" w:firstLineChars="20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2.4承包人必须确保安全文明施工，严格执行国家、安徽省、滁州市的相关规定，同时遵守发包人对安全文明施工的相关要求。经检查，达不到相关规定和要求的，由项目组及时下发整改通知书，拒不整改或限期整改不到位的，处承包人2000元/项/次的违约金。施工现场卫生保洁自开工之日起至工程竣工移交结束，切实做好项目管理人员和工人宿舍安全、卫生工作。</w:t>
      </w:r>
    </w:p>
    <w:p w14:paraId="36F06D49">
      <w:pPr>
        <w:spacing w:line="440" w:lineRule="exact"/>
        <w:ind w:firstLine="420" w:firstLineChars="20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2.5严格执行《安徽省建筑工程施工扬尘污染防治规定》、《滁州市城市扬尘管理办法》和《滁州市建筑工程施工扬尘污染防治实施细则》等相关规定。须按《滁州市大气污染防治行动计划实施方案》要求做好工地现场扬尘治理，施工企业要在开工前制定建筑施工现场扬尘控制措施，对施工现场实施封闭围挡、道路硬化、材料堆放遮盖、裸土覆盖、进出车辆冲洗、工程立面围护、建筑垃圾清运等措施。推进渣土运输企业化管理，安装渣土运输车辆GPS定位系统，严格实施密闭运输，落实冲洗保洁措施。相关费用由承包人在报价中综合考虑，后期不得因此增加任何费用及工期索赔。</w:t>
      </w:r>
    </w:p>
    <w:p w14:paraId="0A771A4F">
      <w:pPr>
        <w:spacing w:line="440" w:lineRule="exact"/>
        <w:ind w:firstLine="420" w:firstLineChars="20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2.6承包人在动力设备、输电线路、地下管道、密封防震车间、易燃易爆地段以及临街交通要道附近施工时，施工开始前应向工程师提出安全防护措施，经工程师认可后实施，防护措施费用由发包人承担。</w:t>
      </w:r>
    </w:p>
    <w:p w14:paraId="7C15F708">
      <w:pPr>
        <w:spacing w:line="440" w:lineRule="exact"/>
        <w:ind w:firstLine="420" w:firstLineChars="20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2.7实施爆破作业，在放射、毒害性环境中施工（含储存、运输、使用）及使用毒害性、腐蚀性物品施工时，承包人应在施工前14天以书面形式通知工程师，并提出相应的安全防护措施，经工程师认可后实施，由发包人承担安全防护措施费用。</w:t>
      </w:r>
    </w:p>
    <w:p w14:paraId="6B08212F">
      <w:pPr>
        <w:spacing w:line="440" w:lineRule="exact"/>
        <w:ind w:firstLine="420" w:firstLineChars="200"/>
        <w:rPr>
          <w:rFonts w:hint="eastAsia"/>
          <w:color w:val="auto"/>
          <w:highlight w:val="none"/>
          <w:lang w:val="en-US" w:eastAsia="zh-CN"/>
        </w:rPr>
      </w:pPr>
      <w:r>
        <w:rPr>
          <w:rFonts w:hint="eastAsia" w:ascii="宋体" w:hAnsi="宋体" w:eastAsia="宋体" w:cs="宋体"/>
          <w:bCs/>
          <w:color w:val="auto"/>
          <w:kern w:val="2"/>
          <w:sz w:val="21"/>
          <w:szCs w:val="21"/>
          <w:highlight w:val="none"/>
          <w:lang w:val="en-US" w:eastAsia="zh-CN" w:bidi="ar-SA"/>
        </w:rPr>
        <w:t>2.8发生重大伤亡及其他安全事故，承包人应按有关规定立即上报有关部门并通知工程师，同时按政府有关部门要求处理，由事故责任方承担发生的费用。</w:t>
      </w:r>
    </w:p>
    <w:p w14:paraId="514F1C69">
      <w:pPr>
        <w:pStyle w:val="19"/>
        <w:keepNext w:val="0"/>
        <w:keepLines w:val="0"/>
        <w:pageBreakBefore w:val="0"/>
        <w:widowControl w:val="0"/>
        <w:kinsoku/>
        <w:wordWrap/>
        <w:overflowPunct/>
        <w:topLinePunct w:val="0"/>
        <w:bidi w:val="0"/>
        <w:snapToGrid/>
        <w:spacing w:after="0" w:afterLines="0" w:line="440" w:lineRule="exact"/>
        <w:ind w:left="0" w:leftChars="0" w:firstLine="422" w:firstLineChars="200"/>
        <w:jc w:val="left"/>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3.日常管理及进度控制</w:t>
      </w:r>
    </w:p>
    <w:p w14:paraId="61842828">
      <w:pPr>
        <w:pStyle w:val="40"/>
        <w:keepNext w:val="0"/>
        <w:keepLines w:val="0"/>
        <w:pageBreakBefore w:val="0"/>
        <w:widowControl w:val="0"/>
        <w:kinsoku/>
        <w:wordWrap/>
        <w:overflowPunct/>
        <w:topLinePunct w:val="0"/>
        <w:bidi w:val="0"/>
        <w:snapToGrid/>
        <w:spacing w:line="440" w:lineRule="exact"/>
        <w:ind w:firstLine="420" w:firstLineChars="200"/>
        <w:jc w:val="left"/>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3.1</w:t>
      </w:r>
      <w:r>
        <w:rPr>
          <w:rFonts w:hint="eastAsia" w:ascii="宋体" w:hAnsi="宋体" w:eastAsia="宋体" w:cs="宋体"/>
          <w:color w:val="auto"/>
          <w:sz w:val="21"/>
          <w:szCs w:val="21"/>
          <w:highlight w:val="none"/>
        </w:rPr>
        <w:t>项目经理、技术负责人、专职安全员不在岗罚款</w:t>
      </w:r>
      <w:r>
        <w:rPr>
          <w:rFonts w:hint="eastAsia" w:ascii="宋体" w:hAnsi="宋体" w:eastAsia="宋体"/>
          <w:color w:val="auto"/>
          <w:sz w:val="21"/>
          <w:szCs w:val="21"/>
          <w:highlight w:val="none"/>
        </w:rPr>
        <w:t>见合同专用条款</w:t>
      </w:r>
      <w:r>
        <w:rPr>
          <w:rFonts w:hint="eastAsia" w:ascii="宋体" w:hAnsi="宋体" w:eastAsia="宋体" w:cs="宋体"/>
          <w:color w:val="auto"/>
          <w:sz w:val="21"/>
          <w:szCs w:val="21"/>
          <w:highlight w:val="none"/>
        </w:rPr>
        <w:t>。</w:t>
      </w:r>
    </w:p>
    <w:p w14:paraId="29A8856E">
      <w:pPr>
        <w:pStyle w:val="40"/>
        <w:keepNext w:val="0"/>
        <w:keepLines w:val="0"/>
        <w:pageBreakBefore w:val="0"/>
        <w:widowControl w:val="0"/>
        <w:kinsoku/>
        <w:wordWrap/>
        <w:overflowPunct/>
        <w:topLinePunct w:val="0"/>
        <w:bidi w:val="0"/>
        <w:snapToGrid/>
        <w:spacing w:line="440" w:lineRule="exact"/>
        <w:ind w:firstLine="420" w:firstLineChars="200"/>
        <w:jc w:val="left"/>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3.2</w:t>
      </w:r>
      <w:r>
        <w:rPr>
          <w:rFonts w:hint="eastAsia" w:ascii="宋体" w:hAnsi="宋体" w:eastAsia="宋体" w:cs="宋体"/>
          <w:color w:val="auto"/>
          <w:sz w:val="21"/>
          <w:szCs w:val="21"/>
          <w:highlight w:val="none"/>
        </w:rPr>
        <w:t>每月</w:t>
      </w:r>
      <w:r>
        <w:rPr>
          <w:rFonts w:hint="eastAsia" w:ascii="宋体" w:hAnsi="宋体" w:eastAsia="宋体"/>
          <w:color w:val="auto"/>
          <w:sz w:val="21"/>
          <w:szCs w:val="21"/>
          <w:highlight w:val="none"/>
        </w:rPr>
        <w:t>规定日期</w:t>
      </w:r>
      <w:r>
        <w:rPr>
          <w:rFonts w:hint="eastAsia" w:ascii="宋体" w:hAnsi="宋体" w:eastAsia="宋体" w:cs="宋体"/>
          <w:color w:val="auto"/>
          <w:sz w:val="21"/>
          <w:szCs w:val="21"/>
          <w:highlight w:val="none"/>
        </w:rPr>
        <w:t>不提供月报罚款</w:t>
      </w:r>
      <w:r>
        <w:rPr>
          <w:rFonts w:ascii="宋体" w:hAnsi="宋体" w:eastAsia="宋体"/>
          <w:color w:val="auto"/>
          <w:sz w:val="21"/>
          <w:szCs w:val="21"/>
          <w:highlight w:val="none"/>
          <w:u w:val="single"/>
        </w:rPr>
        <w:t>2000</w:t>
      </w:r>
      <w:r>
        <w:rPr>
          <w:rFonts w:hint="eastAsia" w:ascii="宋体" w:hAnsi="宋体" w:eastAsia="宋体" w:cs="宋体"/>
          <w:color w:val="auto"/>
          <w:sz w:val="21"/>
          <w:szCs w:val="21"/>
          <w:highlight w:val="none"/>
        </w:rPr>
        <w:t>元</w:t>
      </w:r>
      <w:r>
        <w:rPr>
          <w:rFonts w:ascii="宋体" w:hAnsi="宋体" w:eastAsia="宋体"/>
          <w:color w:val="auto"/>
          <w:sz w:val="21"/>
          <w:szCs w:val="21"/>
          <w:highlight w:val="none"/>
        </w:rPr>
        <w:t>/</w:t>
      </w:r>
      <w:r>
        <w:rPr>
          <w:rFonts w:hint="eastAsia" w:ascii="宋体" w:hAnsi="宋体" w:eastAsia="宋体" w:cs="宋体"/>
          <w:color w:val="auto"/>
          <w:sz w:val="21"/>
          <w:szCs w:val="21"/>
          <w:highlight w:val="none"/>
        </w:rPr>
        <w:t>次，每周四不提供周报罚款</w:t>
      </w:r>
      <w:r>
        <w:rPr>
          <w:rFonts w:ascii="宋体" w:hAnsi="宋体" w:eastAsia="宋体"/>
          <w:color w:val="auto"/>
          <w:sz w:val="21"/>
          <w:szCs w:val="21"/>
          <w:highlight w:val="none"/>
          <w:u w:val="single"/>
        </w:rPr>
        <w:t>800</w:t>
      </w:r>
      <w:r>
        <w:rPr>
          <w:rFonts w:hint="eastAsia" w:ascii="宋体" w:hAnsi="宋体" w:eastAsia="宋体" w:cs="宋体"/>
          <w:color w:val="auto"/>
          <w:sz w:val="21"/>
          <w:szCs w:val="21"/>
          <w:highlight w:val="none"/>
        </w:rPr>
        <w:t>元</w:t>
      </w:r>
      <w:r>
        <w:rPr>
          <w:rFonts w:ascii="宋体" w:hAnsi="宋体" w:eastAsia="宋体"/>
          <w:color w:val="auto"/>
          <w:sz w:val="21"/>
          <w:szCs w:val="21"/>
          <w:highlight w:val="none"/>
        </w:rPr>
        <w:t>/</w:t>
      </w:r>
      <w:r>
        <w:rPr>
          <w:rFonts w:hint="eastAsia" w:ascii="宋体" w:hAnsi="宋体" w:eastAsia="宋体" w:cs="宋体"/>
          <w:color w:val="auto"/>
          <w:sz w:val="21"/>
          <w:szCs w:val="21"/>
          <w:highlight w:val="none"/>
        </w:rPr>
        <w:t>次。</w:t>
      </w:r>
    </w:p>
    <w:p w14:paraId="59441C48">
      <w:pPr>
        <w:pStyle w:val="40"/>
        <w:keepNext w:val="0"/>
        <w:keepLines w:val="0"/>
        <w:pageBreakBefore w:val="0"/>
        <w:widowControl w:val="0"/>
        <w:kinsoku/>
        <w:wordWrap/>
        <w:overflowPunct/>
        <w:topLinePunct w:val="0"/>
        <w:bidi w:val="0"/>
        <w:snapToGrid/>
        <w:spacing w:line="440" w:lineRule="exact"/>
        <w:ind w:firstLine="420" w:firstLineChars="200"/>
        <w:jc w:val="left"/>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3.3</w:t>
      </w:r>
      <w:r>
        <w:rPr>
          <w:rFonts w:hint="eastAsia" w:ascii="宋体" w:hAnsi="宋体" w:eastAsia="宋体"/>
          <w:color w:val="auto"/>
          <w:sz w:val="21"/>
          <w:szCs w:val="21"/>
          <w:highlight w:val="none"/>
        </w:rPr>
        <w:t>项目经理及其主要管理人员无故不参加工程例会，缺席罚款</w:t>
      </w:r>
      <w:r>
        <w:rPr>
          <w:rFonts w:ascii="宋体" w:hAnsi="宋体" w:eastAsia="宋体"/>
          <w:color w:val="auto"/>
          <w:sz w:val="21"/>
          <w:szCs w:val="21"/>
          <w:highlight w:val="none"/>
        </w:rPr>
        <w:t>800</w:t>
      </w:r>
      <w:r>
        <w:rPr>
          <w:rFonts w:hint="eastAsia" w:ascii="宋体" w:hAnsi="宋体" w:eastAsia="宋体"/>
          <w:color w:val="auto"/>
          <w:sz w:val="21"/>
          <w:szCs w:val="21"/>
          <w:highlight w:val="none"/>
        </w:rPr>
        <w:t>元</w:t>
      </w:r>
      <w:r>
        <w:rPr>
          <w:rFonts w:ascii="宋体" w:hAnsi="宋体" w:eastAsia="宋体"/>
          <w:color w:val="auto"/>
          <w:sz w:val="21"/>
          <w:szCs w:val="21"/>
          <w:highlight w:val="none"/>
        </w:rPr>
        <w:t>/</w:t>
      </w:r>
      <w:r>
        <w:rPr>
          <w:rFonts w:hint="eastAsia" w:ascii="宋体" w:hAnsi="宋体" w:eastAsia="宋体"/>
          <w:color w:val="auto"/>
          <w:sz w:val="21"/>
          <w:szCs w:val="21"/>
          <w:highlight w:val="none"/>
        </w:rPr>
        <w:t>次，迟到罚款</w:t>
      </w:r>
      <w:r>
        <w:rPr>
          <w:rFonts w:ascii="宋体" w:hAnsi="宋体" w:eastAsia="宋体"/>
          <w:color w:val="auto"/>
          <w:sz w:val="21"/>
          <w:szCs w:val="21"/>
          <w:highlight w:val="none"/>
        </w:rPr>
        <w:t>200</w:t>
      </w:r>
      <w:r>
        <w:rPr>
          <w:rFonts w:hint="eastAsia" w:ascii="宋体" w:hAnsi="宋体" w:eastAsia="宋体"/>
          <w:color w:val="auto"/>
          <w:sz w:val="21"/>
          <w:szCs w:val="21"/>
          <w:highlight w:val="none"/>
        </w:rPr>
        <w:t>元</w:t>
      </w:r>
      <w:r>
        <w:rPr>
          <w:rFonts w:ascii="宋体" w:hAnsi="宋体" w:eastAsia="宋体"/>
          <w:color w:val="auto"/>
          <w:sz w:val="21"/>
          <w:szCs w:val="21"/>
          <w:highlight w:val="none"/>
        </w:rPr>
        <w:t>/</w:t>
      </w:r>
      <w:r>
        <w:rPr>
          <w:rFonts w:hint="eastAsia" w:ascii="宋体" w:hAnsi="宋体" w:eastAsia="宋体"/>
          <w:color w:val="auto"/>
          <w:sz w:val="21"/>
          <w:szCs w:val="21"/>
          <w:highlight w:val="none"/>
        </w:rPr>
        <w:t>次。</w:t>
      </w:r>
    </w:p>
    <w:p w14:paraId="2A15C16A">
      <w:pPr>
        <w:pStyle w:val="40"/>
        <w:keepNext w:val="0"/>
        <w:keepLines w:val="0"/>
        <w:pageBreakBefore w:val="0"/>
        <w:widowControl w:val="0"/>
        <w:kinsoku/>
        <w:wordWrap/>
        <w:overflowPunct/>
        <w:topLinePunct w:val="0"/>
        <w:bidi w:val="0"/>
        <w:snapToGrid/>
        <w:spacing w:line="44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olor w:val="auto"/>
          <w:sz w:val="21"/>
          <w:szCs w:val="21"/>
          <w:highlight w:val="none"/>
          <w:lang w:val="en-US" w:eastAsia="zh-CN"/>
        </w:rPr>
        <w:t>3.4</w:t>
      </w:r>
      <w:r>
        <w:rPr>
          <w:rFonts w:hint="eastAsia" w:ascii="宋体" w:hAnsi="宋体" w:eastAsia="宋体" w:cs="宋体"/>
          <w:color w:val="auto"/>
          <w:sz w:val="21"/>
          <w:szCs w:val="21"/>
          <w:highlight w:val="none"/>
        </w:rPr>
        <w:t>未经监理或代建、业主同意，安全专职人员及生产副经理不参加监理组织的安全检查的，处罚</w:t>
      </w:r>
      <w:r>
        <w:rPr>
          <w:rFonts w:ascii="宋体" w:hAnsi="宋体" w:eastAsia="宋体"/>
          <w:color w:val="auto"/>
          <w:sz w:val="21"/>
          <w:szCs w:val="21"/>
          <w:highlight w:val="none"/>
          <w:u w:val="single"/>
        </w:rPr>
        <w:t>800</w:t>
      </w:r>
      <w:r>
        <w:rPr>
          <w:rFonts w:hint="eastAsia" w:ascii="宋体" w:hAnsi="宋体" w:eastAsia="宋体" w:cs="宋体"/>
          <w:color w:val="auto"/>
          <w:sz w:val="21"/>
          <w:szCs w:val="21"/>
          <w:highlight w:val="none"/>
        </w:rPr>
        <w:t>元</w:t>
      </w:r>
      <w:r>
        <w:rPr>
          <w:rFonts w:ascii="宋体" w:hAnsi="宋体" w:eastAsia="宋体"/>
          <w:color w:val="auto"/>
          <w:sz w:val="21"/>
          <w:szCs w:val="21"/>
          <w:highlight w:val="none"/>
        </w:rPr>
        <w:t>/</w:t>
      </w:r>
      <w:r>
        <w:rPr>
          <w:rFonts w:hint="eastAsia" w:ascii="宋体" w:hAnsi="宋体" w:eastAsia="宋体" w:cs="宋体"/>
          <w:color w:val="auto"/>
          <w:sz w:val="21"/>
          <w:szCs w:val="21"/>
          <w:highlight w:val="none"/>
        </w:rPr>
        <w:t>人</w:t>
      </w:r>
      <w:r>
        <w:rPr>
          <w:rFonts w:ascii="宋体" w:hAnsi="宋体" w:eastAsia="宋体"/>
          <w:color w:val="auto"/>
          <w:sz w:val="21"/>
          <w:szCs w:val="21"/>
          <w:highlight w:val="none"/>
        </w:rPr>
        <w:t>.</w:t>
      </w:r>
      <w:r>
        <w:rPr>
          <w:rFonts w:hint="eastAsia" w:ascii="宋体" w:hAnsi="宋体" w:eastAsia="宋体" w:cs="宋体"/>
          <w:color w:val="auto"/>
          <w:sz w:val="21"/>
          <w:szCs w:val="21"/>
          <w:highlight w:val="none"/>
        </w:rPr>
        <w:t>次。</w:t>
      </w:r>
    </w:p>
    <w:p w14:paraId="680EB579">
      <w:pPr>
        <w:pStyle w:val="40"/>
        <w:keepNext w:val="0"/>
        <w:keepLines w:val="0"/>
        <w:pageBreakBefore w:val="0"/>
        <w:widowControl w:val="0"/>
        <w:kinsoku/>
        <w:wordWrap/>
        <w:overflowPunct/>
        <w:topLinePunct w:val="0"/>
        <w:bidi w:val="0"/>
        <w:snapToGrid/>
        <w:spacing w:line="44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olor w:val="auto"/>
          <w:sz w:val="21"/>
          <w:szCs w:val="21"/>
          <w:highlight w:val="none"/>
          <w:lang w:val="en-US" w:eastAsia="zh-CN"/>
        </w:rPr>
        <w:t>3.5</w:t>
      </w:r>
      <w:r>
        <w:rPr>
          <w:rFonts w:hint="eastAsia" w:ascii="宋体" w:hAnsi="宋体" w:eastAsia="宋体" w:cs="宋体"/>
          <w:color w:val="auto"/>
          <w:sz w:val="21"/>
          <w:szCs w:val="21"/>
          <w:highlight w:val="none"/>
        </w:rPr>
        <w:t>承包方工程资料及安全内业资料须分别配备专人负责编制，不能及时、完整提供和报审，视情节罚款</w:t>
      </w:r>
      <w:r>
        <w:rPr>
          <w:rFonts w:ascii="宋体" w:hAnsi="宋体" w:eastAsia="宋体"/>
          <w:color w:val="auto"/>
          <w:sz w:val="21"/>
          <w:szCs w:val="21"/>
          <w:highlight w:val="none"/>
          <w:u w:val="single"/>
        </w:rPr>
        <w:t>500</w:t>
      </w:r>
      <w:r>
        <w:rPr>
          <w:rFonts w:hint="eastAsia" w:ascii="宋体" w:hAnsi="宋体" w:eastAsia="宋体" w:cs="宋体"/>
          <w:color w:val="auto"/>
          <w:sz w:val="21"/>
          <w:szCs w:val="21"/>
          <w:highlight w:val="none"/>
        </w:rPr>
        <w:t>元</w:t>
      </w:r>
      <w:r>
        <w:rPr>
          <w:rFonts w:ascii="宋体" w:hAnsi="宋体" w:eastAsia="宋体"/>
          <w:color w:val="auto"/>
          <w:sz w:val="21"/>
          <w:szCs w:val="21"/>
          <w:highlight w:val="none"/>
        </w:rPr>
        <w:t>/</w:t>
      </w:r>
      <w:r>
        <w:rPr>
          <w:rFonts w:hint="eastAsia" w:ascii="宋体" w:hAnsi="宋体" w:eastAsia="宋体" w:cs="宋体"/>
          <w:color w:val="auto"/>
          <w:sz w:val="21"/>
          <w:szCs w:val="21"/>
          <w:highlight w:val="none"/>
        </w:rPr>
        <w:t>次。</w:t>
      </w:r>
    </w:p>
    <w:p w14:paraId="4D270C85">
      <w:pPr>
        <w:pStyle w:val="40"/>
        <w:keepNext w:val="0"/>
        <w:keepLines w:val="0"/>
        <w:pageBreakBefore w:val="0"/>
        <w:widowControl w:val="0"/>
        <w:kinsoku/>
        <w:wordWrap/>
        <w:overflowPunct/>
        <w:topLinePunct w:val="0"/>
        <w:bidi w:val="0"/>
        <w:snapToGrid/>
        <w:spacing w:line="44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olor w:val="auto"/>
          <w:sz w:val="21"/>
          <w:szCs w:val="21"/>
          <w:highlight w:val="none"/>
          <w:lang w:val="en-US" w:eastAsia="zh-CN"/>
        </w:rPr>
        <w:t>3.6</w:t>
      </w:r>
      <w:r>
        <w:rPr>
          <w:rFonts w:hint="eastAsia" w:ascii="宋体" w:hAnsi="宋体" w:eastAsia="宋体" w:cs="宋体"/>
          <w:color w:val="auto"/>
          <w:sz w:val="21"/>
          <w:szCs w:val="21"/>
          <w:highlight w:val="none"/>
        </w:rPr>
        <w:t>承包方拒收发包（监理）方通知、联系函、纪要等，罚款</w:t>
      </w:r>
      <w:r>
        <w:rPr>
          <w:rFonts w:hint="eastAsia" w:ascii="宋体" w:hAnsi="宋体" w:eastAsia="宋体"/>
          <w:color w:val="auto"/>
          <w:sz w:val="21"/>
          <w:szCs w:val="21"/>
          <w:highlight w:val="none"/>
          <w:u w:val="single"/>
        </w:rPr>
        <w:t>10</w:t>
      </w:r>
      <w:r>
        <w:rPr>
          <w:rFonts w:ascii="宋体" w:hAnsi="宋体" w:eastAsia="宋体"/>
          <w:color w:val="auto"/>
          <w:sz w:val="21"/>
          <w:szCs w:val="21"/>
          <w:highlight w:val="none"/>
          <w:u w:val="single"/>
        </w:rPr>
        <w:t>00</w:t>
      </w:r>
      <w:r>
        <w:rPr>
          <w:rFonts w:hint="eastAsia" w:ascii="宋体" w:hAnsi="宋体" w:eastAsia="宋体" w:cs="宋体"/>
          <w:color w:val="auto"/>
          <w:sz w:val="21"/>
          <w:szCs w:val="21"/>
          <w:highlight w:val="none"/>
        </w:rPr>
        <w:t>元</w:t>
      </w:r>
      <w:r>
        <w:rPr>
          <w:rFonts w:ascii="宋体" w:hAnsi="宋体" w:eastAsia="宋体"/>
          <w:color w:val="auto"/>
          <w:sz w:val="21"/>
          <w:szCs w:val="21"/>
          <w:highlight w:val="none"/>
        </w:rPr>
        <w:t>/</w:t>
      </w:r>
      <w:r>
        <w:rPr>
          <w:rFonts w:hint="eastAsia" w:ascii="宋体" w:hAnsi="宋体" w:eastAsia="宋体" w:cs="宋体"/>
          <w:color w:val="auto"/>
          <w:sz w:val="21"/>
          <w:szCs w:val="21"/>
          <w:highlight w:val="none"/>
        </w:rPr>
        <w:t>次。</w:t>
      </w:r>
    </w:p>
    <w:p w14:paraId="2B40F9BD">
      <w:pPr>
        <w:pStyle w:val="40"/>
        <w:keepNext w:val="0"/>
        <w:keepLines w:val="0"/>
        <w:pageBreakBefore w:val="0"/>
        <w:widowControl w:val="0"/>
        <w:kinsoku/>
        <w:wordWrap/>
        <w:overflowPunct/>
        <w:topLinePunct w:val="0"/>
        <w:bidi w:val="0"/>
        <w:snapToGrid/>
        <w:spacing w:line="440" w:lineRule="exact"/>
        <w:ind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eastAsia="宋体"/>
          <w:color w:val="auto"/>
          <w:sz w:val="21"/>
          <w:szCs w:val="21"/>
          <w:highlight w:val="none"/>
          <w:lang w:val="en-US" w:eastAsia="zh-CN"/>
        </w:rPr>
        <w:t>3.7</w:t>
      </w:r>
      <w:r>
        <w:rPr>
          <w:rFonts w:hint="eastAsia" w:ascii="宋体" w:hAnsi="宋体" w:eastAsia="宋体"/>
          <w:color w:val="auto"/>
          <w:sz w:val="21"/>
          <w:szCs w:val="21"/>
          <w:highlight w:val="none"/>
          <w:lang w:val="zh-CN"/>
        </w:rPr>
        <w:t>施工过程中，如因承包人原因造成关键节点工程延期，发包人有权将向承包人收取违约金</w:t>
      </w:r>
      <w:r>
        <w:rPr>
          <w:rFonts w:hint="eastAsia" w:ascii="宋体" w:hAnsi="宋体" w:eastAsia="宋体"/>
          <w:color w:val="auto"/>
          <w:sz w:val="21"/>
          <w:szCs w:val="21"/>
          <w:highlight w:val="none"/>
          <w:lang w:val="en-US" w:eastAsia="zh-CN"/>
        </w:rPr>
        <w:t>10000</w:t>
      </w:r>
      <w:r>
        <w:rPr>
          <w:rFonts w:hint="eastAsia" w:ascii="宋体" w:hAnsi="宋体" w:eastAsia="宋体"/>
          <w:color w:val="auto"/>
          <w:sz w:val="21"/>
          <w:szCs w:val="21"/>
          <w:highlight w:val="none"/>
          <w:lang w:val="zh-CN"/>
        </w:rPr>
        <w:t>元/天</w:t>
      </w:r>
      <w:r>
        <w:rPr>
          <w:rFonts w:hint="eastAsia" w:ascii="宋体" w:hAnsi="宋体" w:eastAsia="宋体" w:cs="宋体"/>
          <w:color w:val="auto"/>
          <w:sz w:val="21"/>
          <w:szCs w:val="21"/>
          <w:highlight w:val="none"/>
          <w:lang w:val="zh-CN"/>
        </w:rPr>
        <w:t xml:space="preserve">。且在发包人书面催告的期限内仍未整改至满足计划进度工期要求，发包人有权认为承包人无能力按期履行合同并解除合同。  </w:t>
      </w:r>
    </w:p>
    <w:p w14:paraId="0C17C182">
      <w:pPr>
        <w:spacing w:line="360" w:lineRule="auto"/>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4.现场布置和道路</w:t>
      </w:r>
    </w:p>
    <w:p w14:paraId="4ADBD476">
      <w:pPr>
        <w:spacing w:line="440" w:lineRule="exact"/>
        <w:ind w:firstLine="420" w:firstLineChars="20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4.1承包人必须在开工后按发包人对现场总平面图的要求布置全部现场办公室、工棚、储料场等所有临时设施，并在承包人上报的临时设施总平面布置图批准后才可搭建，现场办公室至少使用彩钢板搭建、工人宿舍等其他生活设施至少应使用活动板房。</w:t>
      </w:r>
    </w:p>
    <w:p w14:paraId="1574C698">
      <w:pPr>
        <w:spacing w:line="440" w:lineRule="exact"/>
        <w:ind w:firstLine="420" w:firstLineChars="200"/>
        <w:rPr>
          <w:rFonts w:hint="default"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4.2为便于工程管理，中标人须在领取中标通知书三个月内在</w:t>
      </w:r>
      <w:r>
        <w:rPr>
          <w:rFonts w:hint="eastAsia" w:ascii="宋体" w:hAnsi="宋体" w:cs="宋体"/>
          <w:bCs/>
          <w:color w:val="auto"/>
          <w:sz w:val="21"/>
          <w:szCs w:val="21"/>
          <w:highlight w:val="none"/>
          <w:lang w:val="en-US" w:eastAsia="zh-CN"/>
        </w:rPr>
        <w:t>中新苏滁高新</w:t>
      </w:r>
      <w:r>
        <w:rPr>
          <w:rFonts w:hint="eastAsia" w:ascii="宋体" w:hAnsi="宋体" w:eastAsia="宋体" w:cs="宋体"/>
          <w:bCs/>
          <w:color w:val="auto"/>
          <w:sz w:val="21"/>
          <w:szCs w:val="21"/>
          <w:highlight w:val="none"/>
        </w:rPr>
        <w:t>区范围</w:t>
      </w:r>
      <w:r>
        <w:rPr>
          <w:rFonts w:hint="eastAsia" w:ascii="宋体" w:hAnsi="宋体" w:eastAsia="宋体" w:cs="宋体"/>
          <w:bCs/>
          <w:color w:val="auto"/>
          <w:sz w:val="21"/>
          <w:szCs w:val="21"/>
          <w:highlight w:val="none"/>
          <w:lang w:val="en-US" w:eastAsia="zh-CN"/>
        </w:rPr>
        <w:t>内</w:t>
      </w:r>
      <w:r>
        <w:rPr>
          <w:rFonts w:hint="eastAsia" w:ascii="宋体" w:hAnsi="宋体" w:eastAsia="宋体" w:cs="宋体"/>
          <w:bCs/>
          <w:color w:val="auto"/>
          <w:kern w:val="2"/>
          <w:sz w:val="21"/>
          <w:szCs w:val="21"/>
          <w:highlight w:val="none"/>
          <w:lang w:val="en-US" w:eastAsia="zh-CN" w:bidi="ar-SA"/>
        </w:rPr>
        <w:t>租赁不低于</w:t>
      </w:r>
      <w:r>
        <w:rPr>
          <w:rFonts w:hint="eastAsia" w:ascii="宋体" w:hAnsi="宋体" w:cs="宋体"/>
          <w:bCs/>
          <w:color w:val="auto"/>
          <w:kern w:val="2"/>
          <w:sz w:val="21"/>
          <w:szCs w:val="21"/>
          <w:highlight w:val="none"/>
          <w:lang w:val="en-US" w:eastAsia="zh-CN" w:bidi="ar-SA"/>
        </w:rPr>
        <w:t>200</w:t>
      </w:r>
      <w:r>
        <w:rPr>
          <w:rFonts w:hint="eastAsia" w:ascii="宋体" w:hAnsi="宋体" w:eastAsia="宋体" w:cs="宋体"/>
          <w:bCs/>
          <w:color w:val="auto"/>
          <w:kern w:val="2"/>
          <w:sz w:val="21"/>
          <w:szCs w:val="21"/>
          <w:highlight w:val="none"/>
          <w:lang w:val="en-US" w:eastAsia="zh-CN" w:bidi="ar-SA"/>
        </w:rPr>
        <w:t>平方米办公场所用于成立项目建设指挥部，否则招标人将处以30万元违约金的处罚。</w:t>
      </w:r>
    </w:p>
    <w:p w14:paraId="5A28FFA3">
      <w:pPr>
        <w:spacing w:line="440" w:lineRule="exact"/>
        <w:ind w:firstLine="420" w:firstLineChars="20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4.3所有材料及工棚必须与拟建的道路、停车场以及工作路线保持足够的距离。</w:t>
      </w:r>
    </w:p>
    <w:p w14:paraId="15D932A3">
      <w:pPr>
        <w:spacing w:line="440" w:lineRule="exact"/>
        <w:ind w:firstLine="420" w:firstLineChars="20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4.4如果未经批准搭建了任何建筑物，承包人必须在收到工程师的指令后7日内予以拆除并在批准的位置上重建，一切费用由承包人自理。</w:t>
      </w:r>
    </w:p>
    <w:p w14:paraId="3095923D">
      <w:pPr>
        <w:spacing w:line="440" w:lineRule="exact"/>
        <w:ind w:firstLine="420" w:firstLineChars="20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4.5整个工作场地以及现场办公室必须仅用于与工作直接有关的生产和材料储存、不遵守这一点必须按违约行为约定处理。</w:t>
      </w:r>
    </w:p>
    <w:p w14:paraId="5F8D81E6">
      <w:pPr>
        <w:spacing w:line="440" w:lineRule="exact"/>
        <w:ind w:firstLine="420" w:firstLineChars="20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4.6承包人必须提供用于钢材、水泥及其它材料的临时储场，使其免受天气的影响。除非合同要求外，其他非用于本合同的材料不得带入或储存在现场。</w:t>
      </w:r>
    </w:p>
    <w:p w14:paraId="40F3E0F8">
      <w:pPr>
        <w:spacing w:line="440" w:lineRule="exact"/>
        <w:ind w:firstLine="420" w:firstLineChars="200"/>
        <w:rPr>
          <w:rFonts w:hint="eastAsia" w:ascii="宋体" w:hAnsi="宋体"/>
          <w:color w:val="auto"/>
          <w:szCs w:val="21"/>
          <w:highlight w:val="none"/>
        </w:rPr>
      </w:pPr>
      <w:r>
        <w:rPr>
          <w:rFonts w:hint="eastAsia" w:ascii="宋体" w:hAnsi="宋体" w:eastAsia="宋体" w:cs="宋体"/>
          <w:bCs/>
          <w:color w:val="auto"/>
          <w:kern w:val="2"/>
          <w:sz w:val="21"/>
          <w:szCs w:val="21"/>
          <w:highlight w:val="none"/>
          <w:lang w:val="en-US" w:eastAsia="zh-CN" w:bidi="ar-SA"/>
        </w:rPr>
        <w:t>4.7承包人必须将其一切施工活动限制在现场和合同边界范围内，不得侵占现有预留的道路、排水管以及任何其它空地。如果承包人出于工程的需要不得不临时占用或开挖施工现场和合同边界范围外的土地或道路，承包人应自行办理全部手续并承担由此发生全部费用，发包人方对此没有提供任何协助和/或承担任何费用的义务，承包人也不应对此向发包人提出任何要求，与不应以与占用施工现场和合同边界范围外的土地有关的情况作为延长合同工期或/和增加费用的理由</w:t>
      </w:r>
      <w:r>
        <w:rPr>
          <w:rFonts w:hint="eastAsia" w:ascii="宋体" w:hAnsi="宋体"/>
          <w:color w:val="auto"/>
          <w:szCs w:val="21"/>
          <w:highlight w:val="none"/>
        </w:rPr>
        <w:t>。</w:t>
      </w:r>
    </w:p>
    <w:p w14:paraId="711CC308">
      <w:pPr>
        <w:pStyle w:val="40"/>
        <w:keepNext w:val="0"/>
        <w:keepLines w:val="0"/>
        <w:pageBreakBefore w:val="0"/>
        <w:widowControl w:val="0"/>
        <w:kinsoku/>
        <w:wordWrap/>
        <w:overflowPunct/>
        <w:topLinePunct w:val="0"/>
        <w:bidi w:val="0"/>
        <w:snapToGrid/>
        <w:spacing w:line="440" w:lineRule="exact"/>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r>
        <w:rPr>
          <w:rFonts w:hint="default" w:ascii="宋体" w:hAnsi="宋体" w:eastAsia="宋体" w:cs="宋体"/>
          <w:color w:val="auto"/>
          <w:sz w:val="21"/>
          <w:szCs w:val="21"/>
          <w:highlight w:val="none"/>
          <w:lang w:val="en-US" w:eastAsia="zh-CN"/>
        </w:rPr>
        <w:t>施工单位搭设临时设施必须服从中新苏滁高新区临时设施管理办法及临时设施建设标准，项目选址。方案上报</w:t>
      </w:r>
      <w:r>
        <w:rPr>
          <w:rFonts w:hint="eastAsia" w:hAnsi="宋体" w:cs="宋体"/>
          <w:color w:val="auto"/>
          <w:sz w:val="21"/>
          <w:szCs w:val="21"/>
          <w:highlight w:val="none"/>
          <w:lang w:val="en-US" w:eastAsia="zh-CN"/>
        </w:rPr>
        <w:t>招标人</w:t>
      </w:r>
      <w:r>
        <w:rPr>
          <w:rFonts w:hint="default" w:ascii="宋体" w:hAnsi="宋体" w:eastAsia="宋体" w:cs="宋体"/>
          <w:color w:val="auto"/>
          <w:sz w:val="21"/>
          <w:szCs w:val="21"/>
          <w:highlight w:val="none"/>
          <w:lang w:val="en-US" w:eastAsia="zh-CN"/>
        </w:rPr>
        <w:t>审批后方可实施。</w:t>
      </w:r>
    </w:p>
    <w:p w14:paraId="718AC711">
      <w:pPr>
        <w:pStyle w:val="40"/>
        <w:keepNext w:val="0"/>
        <w:keepLines w:val="0"/>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5.临时交通标志</w:t>
      </w:r>
    </w:p>
    <w:p w14:paraId="5FADEEF7">
      <w:pPr>
        <w:pStyle w:val="40"/>
        <w:keepNext w:val="0"/>
        <w:keepLines w:val="0"/>
        <w:pageBreakBefore w:val="0"/>
        <w:widowControl w:val="0"/>
        <w:kinsoku/>
        <w:wordWrap/>
        <w:overflowPunct/>
        <w:topLinePunct w:val="0"/>
        <w:bidi w:val="0"/>
        <w:snapToGrid/>
        <w:spacing w:line="440" w:lineRule="exact"/>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为保证工程施工期间的交通安全，须在道路端头/交叉口/施工进出口等处放置醒目的标准交通警示标志，承包商须委托专业单位制作安装并及时更换施工过程中损坏的标志。</w:t>
      </w:r>
    </w:p>
    <w:p w14:paraId="558B04EE">
      <w:pPr>
        <w:pStyle w:val="40"/>
        <w:keepNext w:val="0"/>
        <w:keepLines w:val="0"/>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6.道路保洁</w:t>
      </w:r>
    </w:p>
    <w:p w14:paraId="4D687029">
      <w:pPr>
        <w:pStyle w:val="40"/>
        <w:keepNext w:val="0"/>
        <w:keepLines w:val="0"/>
        <w:pageBreakBefore w:val="0"/>
        <w:widowControl w:val="0"/>
        <w:kinsoku/>
        <w:wordWrap/>
        <w:overflowPunct/>
        <w:topLinePunct w:val="0"/>
        <w:bidi w:val="0"/>
        <w:snapToGrid/>
        <w:spacing w:line="440" w:lineRule="exact"/>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工程施工期间，承包商必须保持已建邻近道路的畅通，不得擅自中断交通，并设专人指挥交通。承包商须负责施工期间的道路保洁工作。不得在沥青路面上拌砂浆、混凝土等，进出工地的材料运输车辆不得发生抛、洒、滴、漏等现象。</w:t>
      </w:r>
    </w:p>
    <w:p w14:paraId="54EAE660">
      <w:pPr>
        <w:pStyle w:val="40"/>
        <w:keepNext w:val="0"/>
        <w:keepLines w:val="0"/>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7.苗木及其他要求</w:t>
      </w:r>
    </w:p>
    <w:p w14:paraId="064F8EEB">
      <w:pPr>
        <w:spacing w:line="440" w:lineRule="exact"/>
        <w:ind w:firstLine="420" w:firstLineChars="200"/>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bCs/>
          <w:color w:val="auto"/>
          <w:kern w:val="2"/>
          <w:sz w:val="21"/>
          <w:szCs w:val="21"/>
          <w:highlight w:val="none"/>
          <w:lang w:val="en-US" w:eastAsia="zh-CN" w:bidi="ar-SA"/>
        </w:rPr>
        <w:t>7.1</w:t>
      </w:r>
      <w:r>
        <w:rPr>
          <w:rFonts w:hint="eastAsia" w:ascii="宋体" w:hAnsi="宋体" w:eastAsia="宋体" w:cs="宋体"/>
          <w:bCs/>
          <w:color w:val="auto"/>
          <w:kern w:val="2"/>
          <w:sz w:val="21"/>
          <w:szCs w:val="21"/>
          <w:highlight w:val="none"/>
          <w:lang w:val="zh-CN" w:eastAsia="zh-CN" w:bidi="ar-SA"/>
        </w:rPr>
        <w:t>工程所涉及苗木（乔木、灌木、地被植物）均为精品苗木，苗木符合设计和规范要求且树形优美；地被苗木如当季市场无图纸中所设计的规格，则承包人需无条件加密地被，以达到不露土；请承包人充分考虑上述要求报价，此后不再有任何变动和追加。</w:t>
      </w:r>
    </w:p>
    <w:p w14:paraId="3B63012C">
      <w:pPr>
        <w:spacing w:line="440" w:lineRule="exact"/>
        <w:ind w:firstLine="420" w:firstLineChars="200"/>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bCs/>
          <w:color w:val="auto"/>
          <w:kern w:val="2"/>
          <w:sz w:val="21"/>
          <w:szCs w:val="21"/>
          <w:highlight w:val="none"/>
          <w:lang w:val="en-US" w:eastAsia="zh-CN" w:bidi="ar-SA"/>
        </w:rPr>
        <w:t>7.2</w:t>
      </w:r>
      <w:r>
        <w:rPr>
          <w:rFonts w:hint="eastAsia" w:ascii="宋体" w:hAnsi="宋体" w:eastAsia="宋体" w:cs="宋体"/>
          <w:bCs/>
          <w:color w:val="auto"/>
          <w:kern w:val="2"/>
          <w:sz w:val="21"/>
          <w:szCs w:val="21"/>
          <w:highlight w:val="none"/>
          <w:lang w:val="zh-CN" w:eastAsia="zh-CN" w:bidi="ar-SA"/>
        </w:rPr>
        <w:t>本工程中</w:t>
      </w:r>
      <w:r>
        <w:rPr>
          <w:rFonts w:hint="eastAsia" w:ascii="宋体" w:hAnsi="宋体" w:eastAsia="宋体" w:cs="宋体"/>
          <w:bCs/>
          <w:color w:val="auto"/>
          <w:kern w:val="2"/>
          <w:sz w:val="21"/>
          <w:szCs w:val="21"/>
          <w:highlight w:val="none"/>
          <w:lang w:val="en-US" w:eastAsia="zh-CN" w:bidi="ar-SA"/>
        </w:rPr>
        <w:t>改良土</w:t>
      </w:r>
      <w:r>
        <w:rPr>
          <w:rFonts w:hint="eastAsia" w:ascii="宋体" w:hAnsi="宋体" w:eastAsia="宋体" w:cs="宋体"/>
          <w:bCs/>
          <w:color w:val="auto"/>
          <w:kern w:val="2"/>
          <w:sz w:val="21"/>
          <w:szCs w:val="21"/>
          <w:highlight w:val="none"/>
          <w:lang w:val="zh-CN" w:eastAsia="zh-CN" w:bidi="ar-SA"/>
        </w:rPr>
        <w:t>，须由承包商委托专业公司针对区域内土壤提出针对性的改良方案，方案经设计、监理、业主审核确认后实施。实施过程须留下全过程影像记录。请承包人充分考虑上述要求报价，此后不再有任何变动和追加。承包人如未按以上要求执行，除按要求进行返工外，业主有权视情况向承包人收取违约金</w:t>
      </w:r>
      <w:r>
        <w:rPr>
          <w:rFonts w:hint="eastAsia" w:ascii="宋体" w:hAnsi="宋体" w:eastAsia="宋体" w:cs="宋体"/>
          <w:bCs/>
          <w:color w:val="auto"/>
          <w:kern w:val="2"/>
          <w:sz w:val="21"/>
          <w:szCs w:val="21"/>
          <w:highlight w:val="none"/>
          <w:lang w:val="en-US" w:eastAsia="zh-CN" w:bidi="ar-SA"/>
        </w:rPr>
        <w:t>1</w:t>
      </w:r>
      <w:r>
        <w:rPr>
          <w:rFonts w:hint="eastAsia" w:ascii="宋体" w:hAnsi="宋体" w:eastAsia="宋体" w:cs="宋体"/>
          <w:bCs/>
          <w:color w:val="auto"/>
          <w:kern w:val="2"/>
          <w:sz w:val="21"/>
          <w:szCs w:val="21"/>
          <w:highlight w:val="none"/>
          <w:lang w:val="zh-CN" w:eastAsia="zh-CN" w:bidi="ar-SA"/>
        </w:rPr>
        <w:t>000-10000元/</w:t>
      </w:r>
      <w:r>
        <w:rPr>
          <w:rFonts w:hint="eastAsia" w:ascii="宋体" w:hAnsi="宋体" w:eastAsia="宋体" w:cs="宋体"/>
          <w:bCs/>
          <w:color w:val="auto"/>
          <w:kern w:val="2"/>
          <w:sz w:val="21"/>
          <w:szCs w:val="21"/>
          <w:highlight w:val="none"/>
          <w:lang w:val="en-US" w:eastAsia="zh-CN" w:bidi="ar-SA"/>
        </w:rPr>
        <w:t>次</w:t>
      </w:r>
      <w:r>
        <w:rPr>
          <w:rFonts w:hint="eastAsia" w:ascii="宋体" w:hAnsi="宋体" w:eastAsia="宋体" w:cs="宋体"/>
          <w:bCs/>
          <w:color w:val="auto"/>
          <w:kern w:val="2"/>
          <w:sz w:val="21"/>
          <w:szCs w:val="21"/>
          <w:highlight w:val="none"/>
          <w:lang w:val="zh-CN" w:eastAsia="zh-CN" w:bidi="ar-SA"/>
        </w:rPr>
        <w:t>。</w:t>
      </w:r>
    </w:p>
    <w:p w14:paraId="1796FD64">
      <w:pPr>
        <w:pStyle w:val="40"/>
        <w:keepNext w:val="0"/>
        <w:keepLines w:val="0"/>
        <w:pageBreakBefore w:val="0"/>
        <w:widowControl w:val="0"/>
        <w:numPr>
          <w:ilvl w:val="0"/>
          <w:numId w:val="0"/>
        </w:numPr>
        <w:kinsoku/>
        <w:wordWrap/>
        <w:overflowPunct/>
        <w:topLinePunct w:val="0"/>
        <w:bidi w:val="0"/>
        <w:snapToGrid/>
        <w:spacing w:line="440" w:lineRule="exact"/>
        <w:ind w:firstLine="422" w:firstLineChars="200"/>
        <w:jc w:val="left"/>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8.工程材料、设备的质量要求及拟用品牌、规格</w:t>
      </w:r>
    </w:p>
    <w:p w14:paraId="224E7AC7">
      <w:pPr>
        <w:pStyle w:val="40"/>
        <w:keepNext w:val="0"/>
        <w:keepLines w:val="0"/>
        <w:pageBreakBefore w:val="0"/>
        <w:widowControl w:val="0"/>
        <w:numPr>
          <w:ilvl w:val="0"/>
          <w:numId w:val="0"/>
        </w:numPr>
        <w:kinsoku/>
        <w:wordWrap/>
        <w:overflowPunct/>
        <w:topLinePunct w:val="0"/>
        <w:bidi w:val="0"/>
        <w:snapToGrid/>
        <w:spacing w:line="440" w:lineRule="exact"/>
        <w:ind w:firstLine="420" w:firstLineChars="200"/>
        <w:jc w:val="left"/>
        <w:textAlignment w:val="auto"/>
        <w:rPr>
          <w:rFonts w:hint="eastAsia" w:ascii="宋体" w:hAnsi="宋体" w:eastAsia="宋体" w:cs="宋体"/>
          <w:bCs w:val="0"/>
          <w:color w:val="auto"/>
          <w:kern w:val="0"/>
          <w:sz w:val="21"/>
          <w:szCs w:val="21"/>
          <w:highlight w:val="none"/>
          <w:lang w:val="zh-CN" w:eastAsia="zh-CN" w:bidi="ar-SA"/>
        </w:rPr>
      </w:pPr>
      <w:r>
        <w:rPr>
          <w:rFonts w:hint="eastAsia" w:ascii="宋体" w:hAnsi="宋体" w:eastAsia="宋体" w:cs="宋体"/>
          <w:bCs w:val="0"/>
          <w:color w:val="auto"/>
          <w:kern w:val="0"/>
          <w:sz w:val="21"/>
          <w:szCs w:val="21"/>
          <w:highlight w:val="none"/>
          <w:lang w:val="en-US" w:eastAsia="zh-CN" w:bidi="ar-SA"/>
        </w:rPr>
        <w:t>8.1</w:t>
      </w:r>
      <w:r>
        <w:rPr>
          <w:rFonts w:hint="eastAsia" w:ascii="宋体" w:hAnsi="宋体" w:eastAsia="宋体" w:cs="宋体"/>
          <w:bCs w:val="0"/>
          <w:color w:val="auto"/>
          <w:kern w:val="0"/>
          <w:sz w:val="21"/>
          <w:szCs w:val="21"/>
          <w:highlight w:val="none"/>
          <w:lang w:val="zh-CN" w:eastAsia="zh-CN" w:bidi="ar-SA"/>
        </w:rPr>
        <w:t>本工程施工过程中，承包商应选用表中的产品或同等质量产品，景观绿化施工前要在现场施工样板段（需在进场后15个工作日内确定样板段施工方案及完成时间并提交业主备案），样板段实施完成后经过业主、设计师确认签字后方可大面铺开，该部分费用考虑在投标报价内（样板段因未能达到设计要求而进行的二次修改、重做等费用亦应包含在此报价内）。除图纸及技术要求特别说明外，其余材料未注明品牌及技术参数的，则选用由发包人、监理会同有关部门确定并认可的产品，报价必须考虑在里面。</w:t>
      </w:r>
    </w:p>
    <w:p w14:paraId="729A32B8">
      <w:pPr>
        <w:pStyle w:val="40"/>
        <w:keepNext w:val="0"/>
        <w:keepLines w:val="0"/>
        <w:pageBreakBefore w:val="0"/>
        <w:widowControl w:val="0"/>
        <w:numPr>
          <w:ilvl w:val="0"/>
          <w:numId w:val="0"/>
        </w:numPr>
        <w:kinsoku/>
        <w:wordWrap/>
        <w:overflowPunct/>
        <w:topLinePunct w:val="0"/>
        <w:bidi w:val="0"/>
        <w:snapToGrid/>
        <w:spacing w:line="440" w:lineRule="exact"/>
        <w:ind w:firstLine="420" w:firstLineChars="200"/>
        <w:jc w:val="left"/>
        <w:textAlignment w:val="auto"/>
        <w:rPr>
          <w:rFonts w:hint="eastAsia" w:ascii="宋体" w:hAnsi="宋体" w:eastAsia="宋体" w:cs="宋体"/>
          <w:bCs w:val="0"/>
          <w:color w:val="auto"/>
          <w:kern w:val="0"/>
          <w:sz w:val="21"/>
          <w:szCs w:val="21"/>
          <w:highlight w:val="none"/>
          <w:lang w:val="zh-CN" w:eastAsia="zh-CN" w:bidi="ar-SA"/>
        </w:rPr>
      </w:pPr>
      <w:r>
        <w:rPr>
          <w:rFonts w:hint="eastAsia" w:ascii="宋体" w:hAnsi="宋体" w:eastAsia="宋体" w:cs="宋体"/>
          <w:bCs w:val="0"/>
          <w:color w:val="auto"/>
          <w:kern w:val="0"/>
          <w:sz w:val="21"/>
          <w:szCs w:val="21"/>
          <w:highlight w:val="none"/>
          <w:lang w:val="en-US" w:eastAsia="zh-CN" w:bidi="ar-SA"/>
        </w:rPr>
        <w:t>8.2</w:t>
      </w:r>
      <w:r>
        <w:rPr>
          <w:rFonts w:hint="eastAsia" w:ascii="宋体" w:hAnsi="宋体" w:eastAsia="宋体" w:cs="宋体"/>
          <w:bCs w:val="0"/>
          <w:color w:val="auto"/>
          <w:kern w:val="0"/>
          <w:sz w:val="21"/>
          <w:szCs w:val="21"/>
          <w:highlight w:val="none"/>
          <w:lang w:val="zh-CN" w:eastAsia="zh-CN" w:bidi="ar-SA"/>
        </w:rPr>
        <w:t>工程材料进场前必须以书面形式申报监理工程师并提供样品,经设计、监理、业主认可确认且现场封样后，方可实施。</w:t>
      </w:r>
    </w:p>
    <w:p w14:paraId="05F2EE8D">
      <w:pPr>
        <w:pStyle w:val="40"/>
        <w:keepNext w:val="0"/>
        <w:keepLines w:val="0"/>
        <w:pageBreakBefore w:val="0"/>
        <w:widowControl w:val="0"/>
        <w:numPr>
          <w:ilvl w:val="0"/>
          <w:numId w:val="0"/>
        </w:numPr>
        <w:kinsoku/>
        <w:wordWrap/>
        <w:overflowPunct/>
        <w:topLinePunct w:val="0"/>
        <w:bidi w:val="0"/>
        <w:snapToGrid/>
        <w:spacing w:line="440" w:lineRule="exact"/>
        <w:ind w:firstLine="420" w:firstLineChars="200"/>
        <w:jc w:val="left"/>
        <w:textAlignment w:val="auto"/>
        <w:rPr>
          <w:rFonts w:hint="eastAsia" w:ascii="宋体" w:hAnsi="宋体" w:eastAsia="宋体" w:cs="宋体"/>
          <w:bCs w:val="0"/>
          <w:color w:val="auto"/>
          <w:kern w:val="0"/>
          <w:sz w:val="21"/>
          <w:szCs w:val="21"/>
          <w:highlight w:val="none"/>
          <w:lang w:val="zh-CN" w:eastAsia="zh-CN" w:bidi="ar-SA"/>
        </w:rPr>
      </w:pPr>
      <w:r>
        <w:rPr>
          <w:rFonts w:hint="eastAsia" w:ascii="宋体" w:hAnsi="宋体" w:eastAsia="宋体" w:cs="宋体"/>
          <w:bCs w:val="0"/>
          <w:color w:val="auto"/>
          <w:kern w:val="0"/>
          <w:sz w:val="21"/>
          <w:szCs w:val="21"/>
          <w:highlight w:val="none"/>
          <w:lang w:val="en-US" w:eastAsia="zh-CN" w:bidi="ar-SA"/>
        </w:rPr>
        <w:t>8.3</w:t>
      </w:r>
      <w:r>
        <w:rPr>
          <w:rFonts w:hint="eastAsia" w:ascii="宋体" w:hAnsi="宋体" w:eastAsia="宋体" w:cs="宋体"/>
          <w:bCs w:val="0"/>
          <w:color w:val="auto"/>
          <w:kern w:val="0"/>
          <w:sz w:val="21"/>
          <w:szCs w:val="21"/>
          <w:highlight w:val="none"/>
          <w:lang w:val="zh-CN" w:eastAsia="zh-CN" w:bidi="ar-SA"/>
        </w:rPr>
        <w:t>各种使用材料、设备等，应在投标文件中对品牌、产地、厂家、规格、等级等进行详细的说明。图纸无特别说明的，按中高档次品牌选用。</w:t>
      </w:r>
    </w:p>
    <w:p w14:paraId="53D08A65">
      <w:pPr>
        <w:pStyle w:val="40"/>
        <w:keepNext w:val="0"/>
        <w:keepLines w:val="0"/>
        <w:pageBreakBefore w:val="0"/>
        <w:widowControl w:val="0"/>
        <w:numPr>
          <w:ilvl w:val="0"/>
          <w:numId w:val="0"/>
        </w:numPr>
        <w:kinsoku/>
        <w:wordWrap/>
        <w:overflowPunct/>
        <w:topLinePunct w:val="0"/>
        <w:bidi w:val="0"/>
        <w:snapToGrid/>
        <w:spacing w:line="440" w:lineRule="exact"/>
        <w:ind w:firstLine="420" w:firstLineChars="200"/>
        <w:jc w:val="left"/>
        <w:textAlignment w:val="auto"/>
        <w:rPr>
          <w:rFonts w:hint="eastAsia" w:ascii="宋体" w:hAnsi="宋体" w:eastAsia="宋体" w:cs="宋体"/>
          <w:bCs w:val="0"/>
          <w:color w:val="auto"/>
          <w:kern w:val="0"/>
          <w:sz w:val="21"/>
          <w:szCs w:val="21"/>
          <w:highlight w:val="none"/>
          <w:lang w:val="en-US" w:eastAsia="zh-CN" w:bidi="ar-SA"/>
        </w:rPr>
      </w:pPr>
      <w:r>
        <w:rPr>
          <w:rFonts w:hint="eastAsia" w:ascii="宋体" w:hAnsi="宋体" w:eastAsia="宋体" w:cs="宋体"/>
          <w:bCs w:val="0"/>
          <w:color w:val="auto"/>
          <w:kern w:val="0"/>
          <w:sz w:val="21"/>
          <w:szCs w:val="21"/>
          <w:highlight w:val="none"/>
          <w:lang w:val="en-US" w:eastAsia="zh-CN" w:bidi="ar-SA"/>
        </w:rPr>
        <w:t>8.4</w:t>
      </w:r>
      <w:r>
        <w:rPr>
          <w:rFonts w:hint="eastAsia" w:ascii="宋体" w:hAnsi="宋体" w:eastAsia="宋体" w:cs="宋体"/>
          <w:bCs w:val="0"/>
          <w:color w:val="auto"/>
          <w:kern w:val="0"/>
          <w:sz w:val="21"/>
          <w:szCs w:val="21"/>
          <w:highlight w:val="none"/>
          <w:lang w:val="zh-CN" w:eastAsia="zh-CN" w:bidi="ar-SA"/>
        </w:rPr>
        <w:t>所有石材、透水砖、苗木等景观所用材料，在进场前30天内提供样品供设计、监理、业主选择确认，并使用彩色照片打印编撰成样品册，供设计师、监理、业主签字确认后方可订货进场。进场后经监理、业主验收合格后方可使用。</w:t>
      </w:r>
    </w:p>
    <w:p w14:paraId="127788E5">
      <w:pPr>
        <w:pStyle w:val="40"/>
        <w:keepNext w:val="0"/>
        <w:keepLines w:val="0"/>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9.工程施工工艺要求</w:t>
      </w:r>
    </w:p>
    <w:p w14:paraId="3F328910">
      <w:pPr>
        <w:pageBreakBefore w:val="0"/>
        <w:widowControl w:val="0"/>
        <w:kinsoku/>
        <w:wordWrap/>
        <w:overflowPunct/>
        <w:topLinePunct w:val="0"/>
        <w:autoSpaceDE/>
        <w:autoSpaceDN/>
        <w:bidi w:val="0"/>
        <w:spacing w:line="440" w:lineRule="exact"/>
        <w:ind w:firstLine="422" w:firstLineChars="20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9.1硬质铺地景观工程工艺要求</w:t>
      </w:r>
    </w:p>
    <w:p w14:paraId="2EB50080">
      <w:pPr>
        <w:pageBreakBefore w:val="0"/>
        <w:widowControl w:val="0"/>
        <w:kinsoku/>
        <w:wordWrap/>
        <w:overflowPunct/>
        <w:topLinePunct w:val="0"/>
        <w:autoSpaceDE/>
        <w:autoSpaceDN/>
        <w:bidi w:val="0"/>
        <w:spacing w:line="440" w:lineRule="exact"/>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花岗岩石材的品种、规格应符合设计要求，技术等级、光泽度、外观质量要求，应符合国家标准《天然花岗石建筑板材国家标准》(GB/T18601-2009)对一等石材的有关规定。花岗岩材料强度应达到：抗压强度大于60Mpa，抗折强度大于8Mpa，吸水率小于0.60%。</w:t>
      </w:r>
    </w:p>
    <w:p w14:paraId="53144A8E">
      <w:pPr>
        <w:pageBreakBefore w:val="0"/>
        <w:widowControl w:val="0"/>
        <w:kinsoku/>
        <w:wordWrap/>
        <w:overflowPunct/>
        <w:topLinePunct w:val="0"/>
        <w:autoSpaceDE/>
        <w:autoSpaceDN/>
        <w:bidi w:val="0"/>
        <w:spacing w:line="440" w:lineRule="exact"/>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板块面层铺装要求板块挤靠严密，无缝隙，接缝通直无错缝，表面平整洁净，图案清晰无磨划痕，周边顺直方正。碎拼面层铺装要求尺寸正确，拼接严密，相邻处不混色，分色线顺直，边角齐整光滑、清晰美观。</w:t>
      </w:r>
    </w:p>
    <w:p w14:paraId="5FEB8DCA">
      <w:pPr>
        <w:pageBreakBefore w:val="0"/>
        <w:widowControl w:val="0"/>
        <w:kinsoku/>
        <w:wordWrap/>
        <w:overflowPunct/>
        <w:topLinePunct w:val="0"/>
        <w:autoSpaceDE/>
        <w:autoSpaceDN/>
        <w:bidi w:val="0"/>
        <w:spacing w:line="440" w:lineRule="exact"/>
        <w:ind w:firstLine="420" w:firstLineChars="200"/>
        <w:jc w:val="left"/>
        <w:textAlignment w:val="auto"/>
        <w:rPr>
          <w:rFonts w:hint="eastAsia"/>
          <w:color w:val="auto"/>
          <w:highlight w:val="none"/>
          <w:lang w:val="en-US" w:eastAsia="zh-CN"/>
        </w:rPr>
      </w:pPr>
      <w:r>
        <w:rPr>
          <w:rFonts w:hint="eastAsia" w:ascii="宋体" w:hAnsi="宋体" w:eastAsia="宋体" w:cs="宋体"/>
          <w:color w:val="auto"/>
          <w:sz w:val="21"/>
          <w:szCs w:val="21"/>
          <w:highlight w:val="none"/>
          <w:lang w:val="en-US" w:eastAsia="zh-CN"/>
        </w:rPr>
        <w:t>3）石材成品地面允许偏差：表面平整度1.0mm, 缝格平直度2.0mm, 接缝</w:t>
      </w:r>
      <w:r>
        <w:rPr>
          <w:rFonts w:hint="eastAsia"/>
          <w:color w:val="auto"/>
          <w:highlight w:val="none"/>
          <w:lang w:val="en-US" w:eastAsia="zh-CN"/>
        </w:rPr>
        <w:t>高低差0.5mm, 板块间隙宽度不大于1.0mm。贴面石材不容许出现面层裂缝、缺棱（角）、色斑（线）、坑窝等外观缺陷。同部位铺面材料色调花纹应一致。采用国产优质花岗岩（一级产品、色泽均匀、细花），具体纹理、颜色等式样需得到业主/设计/监理认可后方可大面积施工，相关费用含在报价中。</w:t>
      </w:r>
    </w:p>
    <w:p w14:paraId="775B960E">
      <w:pPr>
        <w:pageBreakBefore w:val="0"/>
        <w:kinsoku/>
        <w:overflowPunct/>
        <w:autoSpaceDE/>
        <w:autoSpaceDN/>
        <w:bidi w:val="0"/>
        <w:spacing w:line="440" w:lineRule="exact"/>
        <w:jc w:val="left"/>
        <w:textAlignment w:val="auto"/>
        <w:rPr>
          <w:rFonts w:hint="eastAsia"/>
          <w:color w:val="auto"/>
          <w:highlight w:val="none"/>
          <w:lang w:val="en-US" w:eastAsia="zh-CN"/>
        </w:rPr>
      </w:pPr>
      <w:r>
        <w:rPr>
          <w:rFonts w:hint="eastAsia"/>
          <w:color w:val="auto"/>
          <w:highlight w:val="none"/>
          <w:lang w:val="en-US" w:eastAsia="zh-CN"/>
        </w:rPr>
        <w:t>石材保护剂的使用：为确保石材在今后的使用过程中表面不出现污渍、锈斑、白华等现象，本工程所用饰面石材应采用优质石材保护剂进行六面处理，费用含在投标总价中。</w:t>
      </w:r>
    </w:p>
    <w:p w14:paraId="44CB51F3">
      <w:pPr>
        <w:pageBreakBefore w:val="0"/>
        <w:kinsoku/>
        <w:overflowPunct/>
        <w:autoSpaceDE/>
        <w:autoSpaceDN/>
        <w:bidi w:val="0"/>
        <w:spacing w:line="440" w:lineRule="exact"/>
        <w:ind w:firstLine="420" w:firstLineChars="200"/>
        <w:jc w:val="left"/>
        <w:textAlignment w:val="auto"/>
        <w:rPr>
          <w:rFonts w:hint="eastAsia"/>
          <w:color w:val="auto"/>
          <w:highlight w:val="none"/>
          <w:lang w:val="en-US" w:eastAsia="zh-CN"/>
        </w:rPr>
      </w:pPr>
      <w:r>
        <w:rPr>
          <w:rFonts w:hint="eastAsia"/>
          <w:color w:val="auto"/>
          <w:highlight w:val="none"/>
          <w:lang w:val="en-US" w:eastAsia="zh-CN"/>
        </w:rPr>
        <w:t>4）石材在大面积施工前需试铺标准段小样，并做勾缝处理，确认施工标准。石材在施工前进行排版放样，水平相临石材直角边进行45度斜切拼角处理。垂直相临石材直角边进行45度海棠角处理。转弯道路地面的道牙和铺装石材等均需特制加工成弧线形。禁止出现直角转弯。异形板必须是在厂家加工成品后现场铺装。</w:t>
      </w:r>
    </w:p>
    <w:p w14:paraId="598ACBDC">
      <w:pPr>
        <w:pageBreakBefore w:val="0"/>
        <w:kinsoku/>
        <w:overflowPunct/>
        <w:autoSpaceDE/>
        <w:autoSpaceDN/>
        <w:bidi w:val="0"/>
        <w:spacing w:line="440" w:lineRule="exact"/>
        <w:ind w:firstLine="420" w:firstLineChars="200"/>
        <w:jc w:val="left"/>
        <w:textAlignment w:val="auto"/>
        <w:rPr>
          <w:rFonts w:hint="eastAsia"/>
          <w:color w:val="auto"/>
          <w:highlight w:val="none"/>
          <w:lang w:val="en-US" w:eastAsia="zh-CN"/>
        </w:rPr>
      </w:pPr>
      <w:r>
        <w:rPr>
          <w:rFonts w:hint="eastAsia"/>
          <w:color w:val="auto"/>
          <w:highlight w:val="none"/>
          <w:lang w:val="en-US" w:eastAsia="zh-CN"/>
        </w:rPr>
        <w:t>5）花岗岩表面采用烧面、荔枝面、斧剁面、菠萝面等处理工艺时，表面质感须均匀一致，不允许出现处理不均匀及边缘处理不到位现象。火烧面需火烧完全、均匀；荔枝面要求点密，可带均匀少量原面质，凿点深度一般在0.5-1.2mm之间；拉丝面要求槽间距离、槽深均匀统一。花岗岩色差需控制在一定范围，不宜反差过大，石材不得带有石根。使用前需验收。铺装前需适当洒水湿润。</w:t>
      </w:r>
    </w:p>
    <w:p w14:paraId="6DC6550D">
      <w:pPr>
        <w:pageBreakBefore w:val="0"/>
        <w:kinsoku/>
        <w:overflowPunct/>
        <w:autoSpaceDE/>
        <w:autoSpaceDN/>
        <w:bidi w:val="0"/>
        <w:spacing w:line="440" w:lineRule="exact"/>
        <w:ind w:firstLine="420" w:firstLineChars="200"/>
        <w:jc w:val="left"/>
        <w:textAlignment w:val="auto"/>
        <w:rPr>
          <w:rFonts w:hint="eastAsia"/>
          <w:color w:val="auto"/>
          <w:highlight w:val="none"/>
          <w:lang w:val="en-US" w:eastAsia="zh-CN"/>
        </w:rPr>
      </w:pPr>
      <w:r>
        <w:rPr>
          <w:rFonts w:hint="eastAsia"/>
          <w:color w:val="auto"/>
          <w:highlight w:val="none"/>
          <w:lang w:val="en-US" w:eastAsia="zh-CN"/>
        </w:rPr>
        <w:t>6）装须排版对缝，遇花池、水景、景墙、台阶、侧石、基座等须与立面饰面对缝。水景饰面粘合剂及饰面须做特殊处理，避免泛碱现象。</w:t>
      </w:r>
    </w:p>
    <w:p w14:paraId="7A0A7CD2">
      <w:pPr>
        <w:pageBreakBefore w:val="0"/>
        <w:kinsoku/>
        <w:overflowPunct/>
        <w:autoSpaceDE/>
        <w:autoSpaceDN/>
        <w:bidi w:val="0"/>
        <w:spacing w:line="440" w:lineRule="exact"/>
        <w:ind w:firstLine="420" w:firstLineChars="200"/>
        <w:jc w:val="left"/>
        <w:textAlignment w:val="auto"/>
        <w:rPr>
          <w:rFonts w:hint="eastAsia"/>
          <w:color w:val="auto"/>
          <w:highlight w:val="none"/>
          <w:lang w:val="en-US" w:eastAsia="zh-CN"/>
        </w:rPr>
      </w:pPr>
      <w:r>
        <w:rPr>
          <w:rFonts w:hint="eastAsia"/>
          <w:color w:val="auto"/>
          <w:highlight w:val="none"/>
          <w:lang w:val="en-US" w:eastAsia="zh-CN"/>
        </w:rPr>
        <w:t>7）汀步接头及收尾须与对接面平行，弧线走向汀步须特殊加工成弧形板；水中汀步的基础面要小于踏步面。</w:t>
      </w:r>
    </w:p>
    <w:p w14:paraId="52D34D49">
      <w:pPr>
        <w:pageBreakBefore w:val="0"/>
        <w:kinsoku/>
        <w:overflowPunct/>
        <w:autoSpaceDE/>
        <w:autoSpaceDN/>
        <w:bidi w:val="0"/>
        <w:spacing w:line="440" w:lineRule="exact"/>
        <w:ind w:firstLine="420" w:firstLineChars="200"/>
        <w:jc w:val="left"/>
        <w:textAlignment w:val="auto"/>
        <w:rPr>
          <w:rFonts w:hint="eastAsia"/>
          <w:color w:val="auto"/>
          <w:highlight w:val="none"/>
          <w:lang w:val="en-US" w:eastAsia="zh-CN"/>
        </w:rPr>
      </w:pPr>
      <w:r>
        <w:rPr>
          <w:rFonts w:hint="eastAsia"/>
          <w:color w:val="auto"/>
          <w:highlight w:val="none"/>
          <w:lang w:val="en-US" w:eastAsia="zh-CN"/>
        </w:rPr>
        <w:t>8）铺装、园路弧线须做到线条流畅，园路拐角须做倒角处理，平缓对接。</w:t>
      </w:r>
    </w:p>
    <w:p w14:paraId="335058A3">
      <w:pPr>
        <w:pageBreakBefore w:val="0"/>
        <w:kinsoku/>
        <w:overflowPunct/>
        <w:autoSpaceDE/>
        <w:autoSpaceDN/>
        <w:bidi w:val="0"/>
        <w:spacing w:line="440" w:lineRule="exact"/>
        <w:ind w:firstLine="420" w:firstLineChars="200"/>
        <w:jc w:val="left"/>
        <w:textAlignment w:val="auto"/>
        <w:rPr>
          <w:rFonts w:hint="eastAsia"/>
          <w:color w:val="auto"/>
          <w:highlight w:val="none"/>
          <w:lang w:val="en-US" w:eastAsia="zh-CN"/>
        </w:rPr>
      </w:pPr>
      <w:r>
        <w:rPr>
          <w:rFonts w:hint="eastAsia"/>
          <w:color w:val="auto"/>
          <w:highlight w:val="none"/>
          <w:lang w:val="en-US" w:eastAsia="zh-CN"/>
        </w:rPr>
        <w:t>9）台阶：当设计无明确要求时，台阶压顶的石材厚度须大于30mm，挑出长度18-30mm；台阶踏步板表面需做防滑处理；台阶饰面完成后踏面宽度大于等于300mm；当台阶为园路或平台整体中的一部分时，不管波打线与台阶饰面是否为一种材料，台阶两侧必须以波打线形式出现，其材质、宽度与波打线一致，厚度与台阶一致，以构成园路、平台的整体性；台阶与景墙等竖向小品相交时，需在衔接处打胶（耐候硅酮胶）或水泥勾缝。</w:t>
      </w:r>
    </w:p>
    <w:p w14:paraId="43E92CC2">
      <w:pPr>
        <w:pageBreakBefore w:val="0"/>
        <w:kinsoku/>
        <w:overflowPunct/>
        <w:autoSpaceDE/>
        <w:autoSpaceDN/>
        <w:bidi w:val="0"/>
        <w:spacing w:line="440" w:lineRule="exact"/>
        <w:ind w:firstLine="420" w:firstLineChars="200"/>
        <w:jc w:val="left"/>
        <w:textAlignment w:val="auto"/>
        <w:rPr>
          <w:rFonts w:hint="eastAsia"/>
          <w:color w:val="auto"/>
          <w:highlight w:val="none"/>
          <w:lang w:val="en-US" w:eastAsia="zh-CN"/>
        </w:rPr>
      </w:pPr>
      <w:r>
        <w:rPr>
          <w:rFonts w:hint="eastAsia"/>
          <w:color w:val="auto"/>
          <w:highlight w:val="none"/>
          <w:lang w:val="en-US" w:eastAsia="zh-CN"/>
        </w:rPr>
        <w:t>10）压顶：石材压顶须与立面饰面对缝处理，压顶可见面均须做表面处理；压顶下口，板与板间要平齐；墙体为弧形时，压顶须加工成弧形板。压顶长度须不小于450mm，每块长度必须基本等分，不允许出现小块驳接。根据立面高度和压顶厚度比例关系确定压顶厚度，最小必须不小于30mm，厚度允许误差1mm。压顶接缝口不大于1.5mm，缝口填充密实、不透水。</w:t>
      </w:r>
    </w:p>
    <w:p w14:paraId="00896A7C">
      <w:pPr>
        <w:pageBreakBefore w:val="0"/>
        <w:kinsoku/>
        <w:overflowPunct/>
        <w:autoSpaceDE/>
        <w:autoSpaceDN/>
        <w:bidi w:val="0"/>
        <w:spacing w:line="440" w:lineRule="exact"/>
        <w:ind w:firstLine="420" w:firstLineChars="200"/>
        <w:jc w:val="left"/>
        <w:textAlignment w:val="auto"/>
        <w:rPr>
          <w:rFonts w:hint="eastAsia"/>
          <w:color w:val="auto"/>
          <w:highlight w:val="none"/>
          <w:lang w:val="en-US" w:eastAsia="zh-CN"/>
        </w:rPr>
      </w:pPr>
      <w:r>
        <w:rPr>
          <w:rFonts w:hint="eastAsia"/>
          <w:color w:val="auto"/>
          <w:highlight w:val="none"/>
          <w:lang w:val="en-US" w:eastAsia="zh-CN"/>
        </w:rPr>
        <w:t>11）密缝铺装：当设计无明确要求时，缝格平直，接缝高低不超过0.5mm，表面平整、洁净。缝宽不超过1.5mm，石材采用红外切割，误差控制在1mm。留缝铺装：缝宽应保持基本缝宽一致，误差±1mm，缝宽无特殊要求一般为5-8mm，不超过10mm（留缝草坪时除外）。结合层达到人行强度（抗压强度1.2MPa）后方可进行勾缝，勾缝材料选用同等级强度水泥砂浆、水泥膏或者专业勾缝剂；勾缝必须充实、饱满、清晰、顺直、平整、深浅一致，若无设计要求，缝色与石材颜色一致。</w:t>
      </w:r>
    </w:p>
    <w:p w14:paraId="7251ECA9">
      <w:pPr>
        <w:pageBreakBefore w:val="0"/>
        <w:kinsoku/>
        <w:overflowPunct/>
        <w:autoSpaceDE/>
        <w:autoSpaceDN/>
        <w:bidi w:val="0"/>
        <w:spacing w:line="440" w:lineRule="exact"/>
        <w:ind w:firstLine="420" w:firstLineChars="200"/>
        <w:jc w:val="left"/>
        <w:textAlignment w:val="auto"/>
        <w:rPr>
          <w:rFonts w:hint="eastAsia"/>
          <w:color w:val="auto"/>
          <w:highlight w:val="none"/>
          <w:lang w:val="en-US" w:eastAsia="zh-CN"/>
        </w:rPr>
      </w:pPr>
      <w:r>
        <w:rPr>
          <w:rFonts w:hint="eastAsia"/>
          <w:color w:val="auto"/>
          <w:highlight w:val="none"/>
          <w:lang w:val="en-US" w:eastAsia="zh-CN"/>
        </w:rPr>
        <w:t>12）立面装饰：立面板与压顶、线条有对应关系时，其接缝必须对齐，接缝数量必须一致或是压顶缝数量的倍数，不允许无关联错缝。当立面弧形半径R≤6000mm，板宽≥300mm或者弧形半径R≤2000mm，板宽B≥180mm时，必须采用弧形板粘贴，不允许出现小条折线粘贴。平板海棠角必须满足石材拼角每边不大于3mm，自然面海棠角不大于5mm。水景立面必须采用合格防碱材料粘贴。</w:t>
      </w:r>
    </w:p>
    <w:p w14:paraId="3D0A40BB">
      <w:pPr>
        <w:pageBreakBefore w:val="0"/>
        <w:kinsoku/>
        <w:overflowPunct/>
        <w:autoSpaceDE/>
        <w:autoSpaceDN/>
        <w:bidi w:val="0"/>
        <w:spacing w:line="440" w:lineRule="exact"/>
        <w:ind w:firstLine="420" w:firstLineChars="200"/>
        <w:jc w:val="left"/>
        <w:textAlignment w:val="auto"/>
        <w:rPr>
          <w:rFonts w:hint="eastAsia"/>
          <w:color w:val="auto"/>
          <w:highlight w:val="none"/>
          <w:lang w:val="en-US" w:eastAsia="zh-CN"/>
        </w:rPr>
      </w:pPr>
      <w:r>
        <w:rPr>
          <w:rFonts w:hint="eastAsia"/>
          <w:color w:val="auto"/>
          <w:highlight w:val="none"/>
          <w:lang w:val="en-US" w:eastAsia="zh-CN"/>
        </w:rPr>
        <w:t>13）防护、清理及成品保护：现场材料，特别是饰面材料应整洁、有序、分类、分规格摆放；对已完成铺贴的饰面，应及时进行勾缝、清理和保护；对完工后的成品应用相关有效的保护材料（如彩布条、土工布、砂等）进行及时遮盖；严禁在完工饰面、已作成品保护的饰面上直接搅拌混凝土或水泥砂浆等不易清理材料；所有铺设完成的饰面，特别是地面，在没达到上人强度之前，严禁在饰面上行走。</w:t>
      </w:r>
    </w:p>
    <w:p w14:paraId="5AA4F87E">
      <w:pPr>
        <w:pStyle w:val="19"/>
        <w:keepNext w:val="0"/>
        <w:keepLines w:val="0"/>
        <w:pageBreakBefore w:val="0"/>
        <w:widowControl w:val="0"/>
        <w:kinsoku/>
        <w:wordWrap/>
        <w:overflowPunct/>
        <w:topLinePunct w:val="0"/>
        <w:autoSpaceDE/>
        <w:autoSpaceDN/>
        <w:bidi w:val="0"/>
        <w:adjustRightInd/>
        <w:snapToGrid/>
        <w:spacing w:after="0" w:line="384" w:lineRule="auto"/>
        <w:ind w:left="0" w:leftChars="0" w:firstLine="0" w:firstLineChars="0"/>
        <w:textAlignment w:val="auto"/>
        <w:rPr>
          <w:rFonts w:hint="eastAsia"/>
          <w:b/>
          <w:bCs/>
          <w:color w:val="auto"/>
          <w:highlight w:val="none"/>
          <w:lang w:val="en-US" w:eastAsia="zh-CN"/>
        </w:rPr>
      </w:pPr>
      <w:r>
        <w:rPr>
          <w:rFonts w:hint="eastAsia" w:ascii="宋体" w:hAnsi="宋体" w:eastAsia="宋体" w:cs="宋体"/>
          <w:b/>
          <w:bCs/>
          <w:color w:val="auto"/>
          <w:sz w:val="21"/>
          <w:szCs w:val="21"/>
          <w:highlight w:val="none"/>
          <w:lang w:val="en-US" w:eastAsia="zh-CN"/>
        </w:rPr>
        <w:t>9.2</w:t>
      </w:r>
      <w:r>
        <w:rPr>
          <w:rFonts w:hint="eastAsia"/>
          <w:b/>
          <w:bCs/>
          <w:color w:val="auto"/>
          <w:highlight w:val="none"/>
          <w:lang w:val="en-US" w:eastAsia="zh-CN"/>
        </w:rPr>
        <w:t>绿化施工工艺</w:t>
      </w:r>
    </w:p>
    <w:p w14:paraId="59B4EC87">
      <w:pPr>
        <w:pStyle w:val="7"/>
        <w:keepNext w:val="0"/>
        <w:keepLines w:val="0"/>
        <w:pageBreakBefore w:val="0"/>
        <w:widowControl w:val="0"/>
        <w:tabs>
          <w:tab w:val="left" w:pos="-3880"/>
          <w:tab w:val="left" w:pos="680"/>
          <w:tab w:val="left" w:pos="1106"/>
        </w:tabs>
        <w:kinsoku/>
        <w:wordWrap/>
        <w:overflowPunct/>
        <w:topLinePunct w:val="0"/>
        <w:autoSpaceDE/>
        <w:autoSpaceDN/>
        <w:bidi w:val="0"/>
        <w:adjustRightInd/>
        <w:snapToGrid/>
        <w:spacing w:before="0" w:beforeLines="0" w:after="0" w:line="384" w:lineRule="auto"/>
        <w:ind w:left="0" w:firstLine="0"/>
        <w:jc w:val="left"/>
        <w:textAlignment w:val="auto"/>
        <w:rPr>
          <w:rFonts w:hint="eastAsia" w:ascii="Times New Roman" w:hAnsi="Times New Roman" w:eastAsia="宋体" w:cs="Times New Roman"/>
          <w:b w:val="0"/>
          <w:bCs w:val="0"/>
          <w:color w:val="auto"/>
          <w:kern w:val="2"/>
          <w:sz w:val="21"/>
          <w:szCs w:val="24"/>
          <w:highlight w:val="none"/>
          <w:lang w:val="zh-CN" w:eastAsia="zh-CN" w:bidi="ar-SA"/>
        </w:rPr>
      </w:pPr>
      <w:r>
        <w:rPr>
          <w:rFonts w:hint="eastAsia" w:ascii="Times New Roman" w:hAnsi="Times New Roman" w:eastAsia="宋体" w:cs="Times New Roman"/>
          <w:b w:val="0"/>
          <w:bCs w:val="0"/>
          <w:color w:val="auto"/>
          <w:kern w:val="2"/>
          <w:sz w:val="21"/>
          <w:szCs w:val="24"/>
          <w:highlight w:val="none"/>
          <w:lang w:val="zh-CN" w:eastAsia="zh-CN" w:bidi="ar-SA"/>
        </w:rPr>
        <w:t>（</w:t>
      </w:r>
      <w:r>
        <w:rPr>
          <w:rFonts w:hint="eastAsia" w:ascii="Times New Roman" w:hAnsi="Times New Roman" w:eastAsia="宋体" w:cs="Times New Roman"/>
          <w:b w:val="0"/>
          <w:bCs w:val="0"/>
          <w:color w:val="auto"/>
          <w:kern w:val="2"/>
          <w:sz w:val="21"/>
          <w:szCs w:val="24"/>
          <w:highlight w:val="none"/>
          <w:lang w:val="en-US" w:eastAsia="zh-CN" w:bidi="ar-SA"/>
        </w:rPr>
        <w:t>1）</w:t>
      </w:r>
      <w:r>
        <w:rPr>
          <w:rFonts w:hint="eastAsia" w:ascii="Times New Roman" w:hAnsi="Times New Roman" w:eastAsia="宋体" w:cs="Times New Roman"/>
          <w:b w:val="0"/>
          <w:bCs w:val="0"/>
          <w:color w:val="auto"/>
          <w:kern w:val="2"/>
          <w:sz w:val="21"/>
          <w:szCs w:val="24"/>
          <w:highlight w:val="none"/>
          <w:lang w:val="zh-CN" w:eastAsia="zh-CN" w:bidi="ar-SA"/>
        </w:rPr>
        <w:t>参照CJJ 82-2012 园林绿化工程施工及验收规范实施。</w:t>
      </w:r>
    </w:p>
    <w:p w14:paraId="4734851D">
      <w:pPr>
        <w:pStyle w:val="7"/>
        <w:keepNext w:val="0"/>
        <w:keepLines w:val="0"/>
        <w:pageBreakBefore w:val="0"/>
        <w:widowControl w:val="0"/>
        <w:tabs>
          <w:tab w:val="left" w:pos="-3880"/>
          <w:tab w:val="left" w:pos="680"/>
          <w:tab w:val="left" w:pos="1106"/>
        </w:tabs>
        <w:kinsoku/>
        <w:wordWrap/>
        <w:overflowPunct/>
        <w:topLinePunct w:val="0"/>
        <w:autoSpaceDE/>
        <w:autoSpaceDN/>
        <w:bidi w:val="0"/>
        <w:adjustRightInd/>
        <w:snapToGrid/>
        <w:spacing w:before="0" w:beforeLines="0" w:after="0" w:line="384" w:lineRule="auto"/>
        <w:ind w:left="0" w:firstLine="0"/>
        <w:jc w:val="left"/>
        <w:textAlignment w:val="auto"/>
        <w:rPr>
          <w:rFonts w:hint="eastAsia" w:ascii="Times New Roman" w:hAnsi="Times New Roman" w:eastAsia="宋体" w:cs="Times New Roman"/>
          <w:b w:val="0"/>
          <w:bCs w:val="0"/>
          <w:color w:val="auto"/>
          <w:kern w:val="2"/>
          <w:sz w:val="21"/>
          <w:szCs w:val="24"/>
          <w:highlight w:val="none"/>
          <w:lang w:val="zh-CN" w:eastAsia="zh-CN" w:bidi="ar-SA"/>
        </w:rPr>
      </w:pPr>
      <w:r>
        <w:rPr>
          <w:rFonts w:hint="eastAsia" w:ascii="Times New Roman" w:hAnsi="Times New Roman" w:eastAsia="宋体" w:cs="Times New Roman"/>
          <w:b w:val="0"/>
          <w:bCs w:val="0"/>
          <w:color w:val="auto"/>
          <w:kern w:val="2"/>
          <w:sz w:val="21"/>
          <w:szCs w:val="24"/>
          <w:highlight w:val="none"/>
          <w:lang w:val="zh-CN" w:eastAsia="zh-CN" w:bidi="ar-SA"/>
        </w:rPr>
        <w:t>（</w:t>
      </w:r>
      <w:r>
        <w:rPr>
          <w:rFonts w:hint="eastAsia" w:ascii="Times New Roman" w:hAnsi="Times New Roman" w:eastAsia="宋体" w:cs="Times New Roman"/>
          <w:b w:val="0"/>
          <w:bCs w:val="0"/>
          <w:color w:val="auto"/>
          <w:kern w:val="2"/>
          <w:sz w:val="21"/>
          <w:szCs w:val="24"/>
          <w:highlight w:val="none"/>
          <w:lang w:val="en-US" w:eastAsia="zh-CN" w:bidi="ar-SA"/>
        </w:rPr>
        <w:t>2）</w:t>
      </w:r>
      <w:r>
        <w:rPr>
          <w:rFonts w:hint="eastAsia" w:ascii="Times New Roman" w:hAnsi="Times New Roman" w:eastAsia="宋体" w:cs="Times New Roman"/>
          <w:b w:val="0"/>
          <w:bCs w:val="0"/>
          <w:color w:val="auto"/>
          <w:kern w:val="2"/>
          <w:sz w:val="21"/>
          <w:szCs w:val="24"/>
          <w:highlight w:val="none"/>
          <w:lang w:val="zh-CN" w:eastAsia="zh-CN" w:bidi="ar-SA"/>
        </w:rPr>
        <w:t>种植土要求：承包人须按设计要求保证回填土的高度。</w:t>
      </w:r>
    </w:p>
    <w:p w14:paraId="78F1F2EE">
      <w:pPr>
        <w:pStyle w:val="7"/>
        <w:keepNext w:val="0"/>
        <w:keepLines w:val="0"/>
        <w:pageBreakBefore w:val="0"/>
        <w:widowControl w:val="0"/>
        <w:tabs>
          <w:tab w:val="left" w:pos="-3880"/>
          <w:tab w:val="left" w:pos="680"/>
          <w:tab w:val="left" w:pos="1106"/>
        </w:tabs>
        <w:kinsoku/>
        <w:wordWrap/>
        <w:overflowPunct/>
        <w:topLinePunct w:val="0"/>
        <w:autoSpaceDE/>
        <w:autoSpaceDN/>
        <w:bidi w:val="0"/>
        <w:adjustRightInd/>
        <w:snapToGrid/>
        <w:spacing w:before="0" w:beforeLines="0" w:after="0" w:line="384" w:lineRule="auto"/>
        <w:ind w:left="0" w:firstLine="0"/>
        <w:jc w:val="left"/>
        <w:textAlignment w:val="auto"/>
        <w:rPr>
          <w:rFonts w:hint="eastAsia" w:ascii="Times New Roman" w:hAnsi="Times New Roman" w:eastAsia="宋体" w:cs="Times New Roman"/>
          <w:b w:val="0"/>
          <w:bCs w:val="0"/>
          <w:color w:val="auto"/>
          <w:kern w:val="2"/>
          <w:sz w:val="21"/>
          <w:szCs w:val="24"/>
          <w:highlight w:val="none"/>
          <w:lang w:val="zh-CN" w:eastAsia="zh-CN" w:bidi="ar-SA"/>
        </w:rPr>
      </w:pPr>
      <w:r>
        <w:rPr>
          <w:rFonts w:hint="eastAsia" w:ascii="Times New Roman" w:hAnsi="Times New Roman" w:eastAsia="宋体" w:cs="Times New Roman"/>
          <w:b w:val="0"/>
          <w:bCs w:val="0"/>
          <w:color w:val="auto"/>
          <w:kern w:val="2"/>
          <w:sz w:val="21"/>
          <w:szCs w:val="24"/>
          <w:highlight w:val="none"/>
          <w:lang w:val="zh-CN" w:eastAsia="zh-CN" w:bidi="ar-SA"/>
        </w:rPr>
        <w:t>（</w:t>
      </w:r>
      <w:r>
        <w:rPr>
          <w:rFonts w:hint="eastAsia" w:ascii="Times New Roman" w:hAnsi="Times New Roman" w:eastAsia="宋体" w:cs="Times New Roman"/>
          <w:b w:val="0"/>
          <w:bCs w:val="0"/>
          <w:color w:val="auto"/>
          <w:kern w:val="2"/>
          <w:sz w:val="21"/>
          <w:szCs w:val="24"/>
          <w:highlight w:val="none"/>
          <w:lang w:val="en-US" w:eastAsia="zh-CN" w:bidi="ar-SA"/>
        </w:rPr>
        <w:t>3）</w:t>
      </w:r>
      <w:r>
        <w:rPr>
          <w:rFonts w:hint="eastAsia" w:ascii="Times New Roman" w:hAnsi="Times New Roman" w:eastAsia="宋体" w:cs="Times New Roman"/>
          <w:b w:val="0"/>
          <w:bCs w:val="0"/>
          <w:color w:val="auto"/>
          <w:kern w:val="2"/>
          <w:sz w:val="21"/>
          <w:szCs w:val="24"/>
          <w:highlight w:val="none"/>
          <w:lang w:val="zh-CN" w:eastAsia="zh-CN" w:bidi="ar-SA"/>
        </w:rPr>
        <w:t>植物品种要求：按图纸要求。</w:t>
      </w:r>
    </w:p>
    <w:p w14:paraId="31A2C9C2">
      <w:pPr>
        <w:pStyle w:val="7"/>
        <w:keepNext w:val="0"/>
        <w:keepLines w:val="0"/>
        <w:pageBreakBefore w:val="0"/>
        <w:widowControl w:val="0"/>
        <w:tabs>
          <w:tab w:val="left" w:pos="-3880"/>
          <w:tab w:val="left" w:pos="680"/>
          <w:tab w:val="left" w:pos="1106"/>
        </w:tabs>
        <w:kinsoku/>
        <w:wordWrap/>
        <w:overflowPunct/>
        <w:topLinePunct w:val="0"/>
        <w:autoSpaceDE/>
        <w:autoSpaceDN/>
        <w:bidi w:val="0"/>
        <w:adjustRightInd/>
        <w:snapToGrid/>
        <w:spacing w:before="0" w:beforeLines="0" w:after="0" w:line="384" w:lineRule="auto"/>
        <w:ind w:left="0" w:firstLine="0"/>
        <w:jc w:val="left"/>
        <w:textAlignment w:val="auto"/>
        <w:rPr>
          <w:rFonts w:hint="eastAsia" w:ascii="Times New Roman" w:hAnsi="Times New Roman" w:eastAsia="宋体" w:cs="Times New Roman"/>
          <w:b w:val="0"/>
          <w:bCs w:val="0"/>
          <w:color w:val="auto"/>
          <w:kern w:val="2"/>
          <w:sz w:val="21"/>
          <w:szCs w:val="24"/>
          <w:highlight w:val="none"/>
          <w:lang w:val="zh-CN" w:eastAsia="zh-CN" w:bidi="ar-SA"/>
        </w:rPr>
      </w:pPr>
      <w:r>
        <w:rPr>
          <w:rFonts w:hint="eastAsia" w:ascii="Times New Roman" w:hAnsi="Times New Roman" w:eastAsia="宋体" w:cs="Times New Roman"/>
          <w:b w:val="0"/>
          <w:bCs w:val="0"/>
          <w:color w:val="auto"/>
          <w:kern w:val="2"/>
          <w:sz w:val="21"/>
          <w:szCs w:val="24"/>
          <w:highlight w:val="none"/>
          <w:lang w:val="zh-CN" w:eastAsia="zh-CN" w:bidi="ar-SA"/>
        </w:rPr>
        <w:t>（</w:t>
      </w:r>
      <w:r>
        <w:rPr>
          <w:rFonts w:hint="eastAsia" w:ascii="Times New Roman" w:hAnsi="Times New Roman" w:eastAsia="宋体" w:cs="Times New Roman"/>
          <w:b w:val="0"/>
          <w:bCs w:val="0"/>
          <w:color w:val="auto"/>
          <w:kern w:val="2"/>
          <w:sz w:val="21"/>
          <w:szCs w:val="24"/>
          <w:highlight w:val="none"/>
          <w:lang w:val="en-US" w:eastAsia="zh-CN" w:bidi="ar-SA"/>
        </w:rPr>
        <w:t>4）</w:t>
      </w:r>
      <w:r>
        <w:rPr>
          <w:rFonts w:hint="eastAsia" w:ascii="Times New Roman" w:hAnsi="Times New Roman" w:eastAsia="宋体" w:cs="Times New Roman"/>
          <w:b w:val="0"/>
          <w:bCs w:val="0"/>
          <w:color w:val="auto"/>
          <w:kern w:val="2"/>
          <w:sz w:val="21"/>
          <w:szCs w:val="24"/>
          <w:highlight w:val="none"/>
          <w:lang w:val="zh-CN" w:eastAsia="zh-CN" w:bidi="ar-SA"/>
        </w:rPr>
        <w:t>树木形态要求：主景树要求形态优美,同种乔木分枝点一致；球类要求丰满不偏冠；花灌木要求内膛多枝，枝条保满，无徒长枝，枝形整齐，进场植物不经发包人同意不能剪枝和栽植。</w:t>
      </w:r>
    </w:p>
    <w:p w14:paraId="38B0302B">
      <w:pPr>
        <w:pStyle w:val="7"/>
        <w:keepNext w:val="0"/>
        <w:keepLines w:val="0"/>
        <w:pageBreakBefore w:val="0"/>
        <w:widowControl w:val="0"/>
        <w:tabs>
          <w:tab w:val="left" w:pos="-3880"/>
          <w:tab w:val="left" w:pos="680"/>
          <w:tab w:val="left" w:pos="1106"/>
        </w:tabs>
        <w:kinsoku/>
        <w:wordWrap/>
        <w:overflowPunct/>
        <w:topLinePunct w:val="0"/>
        <w:autoSpaceDE/>
        <w:autoSpaceDN/>
        <w:bidi w:val="0"/>
        <w:adjustRightInd/>
        <w:snapToGrid/>
        <w:spacing w:before="0" w:after="0" w:line="440" w:lineRule="exact"/>
        <w:ind w:left="0" w:firstLine="0"/>
        <w:jc w:val="left"/>
        <w:textAlignment w:val="auto"/>
        <w:rPr>
          <w:rFonts w:hint="eastAsia" w:ascii="Times New Roman" w:hAnsi="Times New Roman" w:eastAsia="宋体" w:cs="Times New Roman"/>
          <w:b w:val="0"/>
          <w:bCs w:val="0"/>
          <w:color w:val="auto"/>
          <w:kern w:val="2"/>
          <w:sz w:val="21"/>
          <w:szCs w:val="24"/>
          <w:highlight w:val="none"/>
          <w:lang w:val="zh-CN" w:eastAsia="zh-CN" w:bidi="ar-SA"/>
        </w:rPr>
      </w:pPr>
      <w:r>
        <w:rPr>
          <w:rFonts w:hint="eastAsia" w:ascii="Times New Roman" w:hAnsi="Times New Roman" w:eastAsia="宋体" w:cs="Times New Roman"/>
          <w:b w:val="0"/>
          <w:bCs w:val="0"/>
          <w:color w:val="auto"/>
          <w:kern w:val="2"/>
          <w:sz w:val="21"/>
          <w:szCs w:val="24"/>
          <w:highlight w:val="none"/>
          <w:lang w:val="zh-CN" w:eastAsia="zh-CN" w:bidi="ar-SA"/>
        </w:rPr>
        <w:t>（</w:t>
      </w:r>
      <w:r>
        <w:rPr>
          <w:rFonts w:hint="eastAsia" w:ascii="Times New Roman" w:hAnsi="Times New Roman" w:eastAsia="宋体" w:cs="Times New Roman"/>
          <w:b w:val="0"/>
          <w:bCs w:val="0"/>
          <w:color w:val="auto"/>
          <w:kern w:val="2"/>
          <w:sz w:val="21"/>
          <w:szCs w:val="24"/>
          <w:highlight w:val="none"/>
          <w:lang w:val="en-US" w:eastAsia="zh-CN" w:bidi="ar-SA"/>
        </w:rPr>
        <w:t>5）</w:t>
      </w:r>
      <w:r>
        <w:rPr>
          <w:rFonts w:hint="eastAsia" w:ascii="Times New Roman" w:hAnsi="Times New Roman" w:eastAsia="宋体" w:cs="Times New Roman"/>
          <w:b w:val="0"/>
          <w:bCs w:val="0"/>
          <w:color w:val="auto"/>
          <w:kern w:val="2"/>
          <w:sz w:val="21"/>
          <w:szCs w:val="24"/>
          <w:highlight w:val="none"/>
          <w:lang w:val="zh-CN" w:eastAsia="zh-CN" w:bidi="ar-SA"/>
        </w:rPr>
        <w:t>骨干绿化树种，丛生乔木、造型树必须经发包人委派的相关管理人员实地考察，并经业主认可后方可组织进入现场，（考察并不代替现场验收）。</w:t>
      </w:r>
    </w:p>
    <w:p w14:paraId="04821797">
      <w:pPr>
        <w:pStyle w:val="7"/>
        <w:keepNext w:val="0"/>
        <w:keepLines w:val="0"/>
        <w:pageBreakBefore w:val="0"/>
        <w:widowControl w:val="0"/>
        <w:tabs>
          <w:tab w:val="left" w:pos="-3880"/>
          <w:tab w:val="left" w:pos="680"/>
          <w:tab w:val="left" w:pos="1106"/>
        </w:tabs>
        <w:kinsoku/>
        <w:wordWrap/>
        <w:overflowPunct/>
        <w:topLinePunct w:val="0"/>
        <w:autoSpaceDE/>
        <w:autoSpaceDN/>
        <w:bidi w:val="0"/>
        <w:adjustRightInd/>
        <w:snapToGrid/>
        <w:spacing w:before="0" w:after="0" w:line="440" w:lineRule="exact"/>
        <w:ind w:left="0" w:firstLine="0"/>
        <w:jc w:val="left"/>
        <w:textAlignment w:val="auto"/>
        <w:rPr>
          <w:rFonts w:hint="eastAsia" w:ascii="Times New Roman" w:hAnsi="Times New Roman" w:eastAsia="宋体" w:cs="Times New Roman"/>
          <w:b w:val="0"/>
          <w:bCs w:val="0"/>
          <w:color w:val="auto"/>
          <w:kern w:val="2"/>
          <w:sz w:val="21"/>
          <w:szCs w:val="24"/>
          <w:highlight w:val="none"/>
          <w:lang w:val="zh-CN" w:eastAsia="zh-CN" w:bidi="ar-SA"/>
        </w:rPr>
      </w:pPr>
      <w:r>
        <w:rPr>
          <w:rFonts w:hint="eastAsia" w:ascii="Times New Roman" w:hAnsi="Times New Roman" w:eastAsia="宋体" w:cs="Times New Roman"/>
          <w:b w:val="0"/>
          <w:bCs w:val="0"/>
          <w:color w:val="auto"/>
          <w:kern w:val="2"/>
          <w:sz w:val="21"/>
          <w:szCs w:val="24"/>
          <w:highlight w:val="none"/>
          <w:lang w:val="zh-CN" w:eastAsia="zh-CN" w:bidi="ar-SA"/>
        </w:rPr>
        <w:t>（</w:t>
      </w:r>
      <w:r>
        <w:rPr>
          <w:rFonts w:hint="eastAsia" w:ascii="Times New Roman" w:hAnsi="Times New Roman" w:eastAsia="宋体" w:cs="Times New Roman"/>
          <w:b w:val="0"/>
          <w:bCs w:val="0"/>
          <w:color w:val="auto"/>
          <w:kern w:val="2"/>
          <w:sz w:val="21"/>
          <w:szCs w:val="24"/>
          <w:highlight w:val="none"/>
          <w:lang w:val="en-US" w:eastAsia="zh-CN" w:bidi="ar-SA"/>
        </w:rPr>
        <w:t>6）</w:t>
      </w:r>
      <w:r>
        <w:rPr>
          <w:rFonts w:hint="eastAsia" w:ascii="Times New Roman" w:hAnsi="Times New Roman" w:eastAsia="宋体" w:cs="Times New Roman"/>
          <w:b w:val="0"/>
          <w:bCs w:val="0"/>
          <w:color w:val="auto"/>
          <w:kern w:val="2"/>
          <w:sz w:val="21"/>
          <w:szCs w:val="24"/>
          <w:highlight w:val="none"/>
          <w:lang w:val="zh-CN" w:eastAsia="zh-CN" w:bidi="ar-SA"/>
        </w:rPr>
        <w:t>严禁私自调换种植品种，若确须调整，需提供详细的变更意见经发包人书面认可后方可进行。图纸中胸径为地面以上1.3米处尺寸；干径为地面以上0.3米处尺寸；地径为地面以上0.1米处；冠径为树冠最大处尺寸；除特殊说明外，高度和冠径均为修剪后尺寸。</w:t>
      </w:r>
    </w:p>
    <w:p w14:paraId="18923B03">
      <w:pPr>
        <w:pStyle w:val="7"/>
        <w:keepNext w:val="0"/>
        <w:keepLines w:val="0"/>
        <w:pageBreakBefore w:val="0"/>
        <w:widowControl w:val="0"/>
        <w:tabs>
          <w:tab w:val="left" w:pos="-3880"/>
          <w:tab w:val="left" w:pos="680"/>
          <w:tab w:val="left" w:pos="1106"/>
        </w:tabs>
        <w:kinsoku/>
        <w:wordWrap/>
        <w:overflowPunct/>
        <w:topLinePunct w:val="0"/>
        <w:autoSpaceDE/>
        <w:autoSpaceDN/>
        <w:bidi w:val="0"/>
        <w:adjustRightInd/>
        <w:snapToGrid/>
        <w:spacing w:before="0" w:after="0" w:line="440" w:lineRule="exact"/>
        <w:ind w:left="0" w:firstLine="0"/>
        <w:jc w:val="left"/>
        <w:textAlignment w:val="auto"/>
        <w:rPr>
          <w:rFonts w:hint="eastAsia" w:ascii="Times New Roman" w:hAnsi="Times New Roman" w:eastAsia="宋体" w:cs="Times New Roman"/>
          <w:b w:val="0"/>
          <w:bCs w:val="0"/>
          <w:color w:val="auto"/>
          <w:kern w:val="2"/>
          <w:sz w:val="21"/>
          <w:szCs w:val="24"/>
          <w:highlight w:val="none"/>
          <w:lang w:val="zh-CN" w:eastAsia="zh-CN" w:bidi="ar-SA"/>
        </w:rPr>
      </w:pPr>
      <w:r>
        <w:rPr>
          <w:rFonts w:hint="eastAsia" w:ascii="Times New Roman" w:hAnsi="Times New Roman" w:eastAsia="宋体" w:cs="Times New Roman"/>
          <w:b w:val="0"/>
          <w:bCs w:val="0"/>
          <w:color w:val="auto"/>
          <w:kern w:val="2"/>
          <w:sz w:val="21"/>
          <w:szCs w:val="24"/>
          <w:highlight w:val="none"/>
          <w:lang w:val="zh-CN" w:eastAsia="zh-CN" w:bidi="ar-SA"/>
        </w:rPr>
        <w:t>（</w:t>
      </w:r>
      <w:r>
        <w:rPr>
          <w:rFonts w:hint="eastAsia" w:ascii="Times New Roman" w:hAnsi="Times New Roman" w:eastAsia="宋体" w:cs="Times New Roman"/>
          <w:b w:val="0"/>
          <w:bCs w:val="0"/>
          <w:color w:val="auto"/>
          <w:kern w:val="2"/>
          <w:sz w:val="21"/>
          <w:szCs w:val="24"/>
          <w:highlight w:val="none"/>
          <w:lang w:val="en-US" w:eastAsia="zh-CN" w:bidi="ar-SA"/>
        </w:rPr>
        <w:t>7）</w:t>
      </w:r>
      <w:r>
        <w:rPr>
          <w:rFonts w:hint="eastAsia" w:ascii="Times New Roman" w:hAnsi="Times New Roman" w:eastAsia="宋体" w:cs="Times New Roman"/>
          <w:b w:val="0"/>
          <w:bCs w:val="0"/>
          <w:color w:val="auto"/>
          <w:kern w:val="2"/>
          <w:sz w:val="21"/>
          <w:szCs w:val="24"/>
          <w:highlight w:val="none"/>
          <w:lang w:val="zh-CN" w:eastAsia="zh-CN" w:bidi="ar-SA"/>
        </w:rPr>
        <w:t>树穴回填土及地被、草皮、色块植物表层必须采用营养土，所用营养土数量及质量必须符合下列要求：</w:t>
      </w:r>
    </w:p>
    <w:p w14:paraId="1D4C1FEF">
      <w:pPr>
        <w:keepNext w:val="0"/>
        <w:keepLines w:val="0"/>
        <w:pageBreakBefore w:val="0"/>
        <w:widowControl w:val="0"/>
        <w:numPr>
          <w:ilvl w:val="0"/>
          <w:numId w:val="4"/>
        </w:numPr>
        <w:kinsoku/>
        <w:wordWrap/>
        <w:overflowPunct/>
        <w:topLinePunct w:val="0"/>
        <w:bidi w:val="0"/>
        <w:spacing w:line="440" w:lineRule="exact"/>
        <w:ind w:left="840" w:leftChars="200" w:hanging="420" w:hangingChars="200"/>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胸径大于等于20cm的树木在树穴内掺入0.3m³ 营养土；</w:t>
      </w:r>
    </w:p>
    <w:p w14:paraId="16E5BC3F">
      <w:pPr>
        <w:keepNext w:val="0"/>
        <w:keepLines w:val="0"/>
        <w:pageBreakBefore w:val="0"/>
        <w:widowControl w:val="0"/>
        <w:numPr>
          <w:ilvl w:val="0"/>
          <w:numId w:val="4"/>
        </w:numPr>
        <w:kinsoku/>
        <w:wordWrap/>
        <w:overflowPunct/>
        <w:topLinePunct w:val="0"/>
        <w:bidi w:val="0"/>
        <w:spacing w:line="440" w:lineRule="exact"/>
        <w:ind w:left="840" w:leftChars="200" w:hanging="420" w:hangingChars="200"/>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胸径大于等于10cm的树木在树穴内掺入0.2 m³ 营养土；</w:t>
      </w:r>
    </w:p>
    <w:p w14:paraId="43EC4287">
      <w:pPr>
        <w:keepNext w:val="0"/>
        <w:keepLines w:val="0"/>
        <w:pageBreakBefore w:val="0"/>
        <w:widowControl w:val="0"/>
        <w:numPr>
          <w:ilvl w:val="0"/>
          <w:numId w:val="4"/>
        </w:numPr>
        <w:kinsoku/>
        <w:wordWrap/>
        <w:overflowPunct/>
        <w:topLinePunct w:val="0"/>
        <w:bidi w:val="0"/>
        <w:spacing w:line="440" w:lineRule="exact"/>
        <w:ind w:left="840" w:leftChars="200" w:hanging="420" w:hangingChars="200"/>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胸径小于10cm的树木在树穴内掺入0.1 m³营养土、花灌木参照其标准；</w:t>
      </w:r>
    </w:p>
    <w:p w14:paraId="6BA84A3D">
      <w:pPr>
        <w:keepNext w:val="0"/>
        <w:keepLines w:val="0"/>
        <w:pageBreakBefore w:val="0"/>
        <w:widowControl w:val="0"/>
        <w:numPr>
          <w:ilvl w:val="0"/>
          <w:numId w:val="4"/>
        </w:numPr>
        <w:kinsoku/>
        <w:wordWrap/>
        <w:overflowPunct/>
        <w:topLinePunct w:val="0"/>
        <w:bidi w:val="0"/>
        <w:spacing w:line="440" w:lineRule="exact"/>
        <w:ind w:left="840" w:leftChars="200" w:hanging="420" w:hangingChars="200"/>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地被、草皮、色块植物应加入5cm厚的营养土,用3cm厚细砂找平，找坡之后方可种植灌木及铺设草坪。</w:t>
      </w:r>
    </w:p>
    <w:p w14:paraId="032C22C1">
      <w:pPr>
        <w:keepNext w:val="0"/>
        <w:keepLines w:val="0"/>
        <w:pageBreakBefore w:val="0"/>
        <w:widowControl w:val="0"/>
        <w:numPr>
          <w:ilvl w:val="0"/>
          <w:numId w:val="4"/>
        </w:numPr>
        <w:kinsoku/>
        <w:wordWrap/>
        <w:overflowPunct/>
        <w:topLinePunct w:val="0"/>
        <w:bidi w:val="0"/>
        <w:spacing w:line="440" w:lineRule="exact"/>
        <w:ind w:left="840" w:leftChars="200" w:hanging="420" w:hangingChars="200"/>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营养土为东北泥炭土。</w:t>
      </w:r>
    </w:p>
    <w:p w14:paraId="45BB86FA">
      <w:pPr>
        <w:keepNext w:val="0"/>
        <w:keepLines w:val="0"/>
        <w:pageBreakBefore w:val="0"/>
        <w:widowControl w:val="0"/>
        <w:numPr>
          <w:ilvl w:val="0"/>
          <w:numId w:val="4"/>
        </w:numPr>
        <w:kinsoku/>
        <w:wordWrap/>
        <w:overflowPunct/>
        <w:topLinePunct w:val="0"/>
        <w:bidi w:val="0"/>
        <w:spacing w:line="440" w:lineRule="exact"/>
        <w:ind w:left="840" w:leftChars="200" w:hanging="420" w:hangingChars="200"/>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土壤改良后保证透水、透气性。</w:t>
      </w:r>
    </w:p>
    <w:p w14:paraId="55012F78">
      <w:pPr>
        <w:pStyle w:val="7"/>
        <w:keepNext w:val="0"/>
        <w:keepLines w:val="0"/>
        <w:pageBreakBefore w:val="0"/>
        <w:widowControl w:val="0"/>
        <w:tabs>
          <w:tab w:val="left" w:pos="-3880"/>
          <w:tab w:val="left" w:pos="680"/>
          <w:tab w:val="left" w:pos="1106"/>
        </w:tabs>
        <w:kinsoku/>
        <w:wordWrap/>
        <w:overflowPunct/>
        <w:topLinePunct w:val="0"/>
        <w:autoSpaceDE/>
        <w:autoSpaceDN/>
        <w:bidi w:val="0"/>
        <w:adjustRightInd/>
        <w:snapToGrid/>
        <w:spacing w:before="0" w:after="0" w:line="440" w:lineRule="exact"/>
        <w:ind w:left="0" w:firstLine="0"/>
        <w:jc w:val="left"/>
        <w:textAlignment w:val="auto"/>
        <w:rPr>
          <w:rFonts w:hint="eastAsia" w:ascii="Times New Roman" w:hAnsi="Times New Roman" w:eastAsia="宋体" w:cs="Times New Roman"/>
          <w:b w:val="0"/>
          <w:bCs w:val="0"/>
          <w:color w:val="auto"/>
          <w:kern w:val="2"/>
          <w:sz w:val="21"/>
          <w:szCs w:val="24"/>
          <w:highlight w:val="none"/>
          <w:lang w:val="zh-CN" w:eastAsia="zh-CN" w:bidi="ar-SA"/>
        </w:rPr>
      </w:pPr>
      <w:r>
        <w:rPr>
          <w:rFonts w:hint="eastAsia" w:ascii="Times New Roman" w:hAnsi="Times New Roman" w:eastAsia="宋体" w:cs="Times New Roman"/>
          <w:b w:val="0"/>
          <w:bCs w:val="0"/>
          <w:color w:val="auto"/>
          <w:kern w:val="2"/>
          <w:sz w:val="21"/>
          <w:szCs w:val="24"/>
          <w:highlight w:val="none"/>
          <w:lang w:val="zh-CN" w:eastAsia="zh-CN" w:bidi="ar-SA"/>
        </w:rPr>
        <w:t>（</w:t>
      </w:r>
      <w:r>
        <w:rPr>
          <w:rFonts w:hint="eastAsia" w:ascii="Times New Roman" w:hAnsi="Times New Roman" w:eastAsia="宋体" w:cs="Times New Roman"/>
          <w:b w:val="0"/>
          <w:bCs w:val="0"/>
          <w:color w:val="auto"/>
          <w:kern w:val="2"/>
          <w:sz w:val="21"/>
          <w:szCs w:val="24"/>
          <w:highlight w:val="none"/>
          <w:lang w:val="en-US" w:eastAsia="zh-CN" w:bidi="ar-SA"/>
        </w:rPr>
        <w:t>8）</w:t>
      </w:r>
      <w:r>
        <w:rPr>
          <w:rFonts w:hint="eastAsia" w:ascii="Times New Roman" w:hAnsi="Times New Roman" w:eastAsia="宋体" w:cs="Times New Roman"/>
          <w:b w:val="0"/>
          <w:bCs w:val="0"/>
          <w:color w:val="auto"/>
          <w:kern w:val="2"/>
          <w:sz w:val="21"/>
          <w:szCs w:val="24"/>
          <w:highlight w:val="none"/>
          <w:lang w:val="zh-CN" w:eastAsia="zh-CN" w:bidi="ar-SA"/>
        </w:rPr>
        <w:t>花灌木、常绿乔木、落叶乔木、竹类、绿篱分为五类，具体规格为：常绿乔木类种植穴规格（cm）</w:t>
      </w:r>
    </w:p>
    <w:tbl>
      <w:tblPr>
        <w:tblStyle w:val="20"/>
        <w:tblW w:w="7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2"/>
        <w:gridCol w:w="1826"/>
        <w:gridCol w:w="1826"/>
        <w:gridCol w:w="1834"/>
      </w:tblGrid>
      <w:tr w14:paraId="6CE6E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832" w:type="dxa"/>
            <w:noWrap w:val="0"/>
            <w:vAlign w:val="top"/>
          </w:tcPr>
          <w:p w14:paraId="1353818B">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树高</w:t>
            </w:r>
          </w:p>
        </w:tc>
        <w:tc>
          <w:tcPr>
            <w:tcW w:w="1826" w:type="dxa"/>
            <w:noWrap w:val="0"/>
            <w:vAlign w:val="top"/>
          </w:tcPr>
          <w:p w14:paraId="349176F5">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土球直径</w:t>
            </w:r>
          </w:p>
        </w:tc>
        <w:tc>
          <w:tcPr>
            <w:tcW w:w="1826" w:type="dxa"/>
            <w:noWrap w:val="0"/>
            <w:vAlign w:val="top"/>
          </w:tcPr>
          <w:p w14:paraId="42A4C8C5">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种植穴深度</w:t>
            </w:r>
          </w:p>
        </w:tc>
        <w:tc>
          <w:tcPr>
            <w:tcW w:w="1834" w:type="dxa"/>
            <w:noWrap w:val="0"/>
            <w:vAlign w:val="top"/>
          </w:tcPr>
          <w:p w14:paraId="731CA6D4">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种植穴直径</w:t>
            </w:r>
          </w:p>
        </w:tc>
      </w:tr>
      <w:tr w14:paraId="3CEF3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32" w:type="dxa"/>
            <w:noWrap w:val="0"/>
            <w:vAlign w:val="top"/>
          </w:tcPr>
          <w:p w14:paraId="43155848">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150</w:t>
            </w:r>
          </w:p>
        </w:tc>
        <w:tc>
          <w:tcPr>
            <w:tcW w:w="1826" w:type="dxa"/>
            <w:noWrap w:val="0"/>
            <w:vAlign w:val="top"/>
          </w:tcPr>
          <w:p w14:paraId="78C304E5">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40~50</w:t>
            </w:r>
          </w:p>
        </w:tc>
        <w:tc>
          <w:tcPr>
            <w:tcW w:w="1826" w:type="dxa"/>
            <w:noWrap w:val="0"/>
            <w:vAlign w:val="top"/>
          </w:tcPr>
          <w:p w14:paraId="20E553C4">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50~60</w:t>
            </w:r>
          </w:p>
        </w:tc>
        <w:tc>
          <w:tcPr>
            <w:tcW w:w="1834" w:type="dxa"/>
            <w:noWrap w:val="0"/>
            <w:vAlign w:val="top"/>
          </w:tcPr>
          <w:p w14:paraId="5EDDA16A">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80~90</w:t>
            </w:r>
          </w:p>
        </w:tc>
      </w:tr>
      <w:tr w14:paraId="430EE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32" w:type="dxa"/>
            <w:noWrap w:val="0"/>
            <w:vAlign w:val="top"/>
          </w:tcPr>
          <w:p w14:paraId="184C7E26">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150~250</w:t>
            </w:r>
          </w:p>
        </w:tc>
        <w:tc>
          <w:tcPr>
            <w:tcW w:w="1826" w:type="dxa"/>
            <w:noWrap w:val="0"/>
            <w:vAlign w:val="top"/>
          </w:tcPr>
          <w:p w14:paraId="0D9DEEDB">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70~80</w:t>
            </w:r>
          </w:p>
        </w:tc>
        <w:tc>
          <w:tcPr>
            <w:tcW w:w="1826" w:type="dxa"/>
            <w:noWrap w:val="0"/>
            <w:vAlign w:val="top"/>
          </w:tcPr>
          <w:p w14:paraId="4C3504D1">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80~90</w:t>
            </w:r>
          </w:p>
        </w:tc>
        <w:tc>
          <w:tcPr>
            <w:tcW w:w="1834" w:type="dxa"/>
            <w:noWrap w:val="0"/>
            <w:vAlign w:val="top"/>
          </w:tcPr>
          <w:p w14:paraId="5429024E">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100~110</w:t>
            </w:r>
          </w:p>
        </w:tc>
      </w:tr>
      <w:tr w14:paraId="06990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832" w:type="dxa"/>
            <w:noWrap w:val="0"/>
            <w:vAlign w:val="top"/>
          </w:tcPr>
          <w:p w14:paraId="6EDA9B28">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250~400</w:t>
            </w:r>
          </w:p>
        </w:tc>
        <w:tc>
          <w:tcPr>
            <w:tcW w:w="1826" w:type="dxa"/>
            <w:noWrap w:val="0"/>
            <w:vAlign w:val="top"/>
          </w:tcPr>
          <w:p w14:paraId="714AC0B4">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80~100</w:t>
            </w:r>
          </w:p>
        </w:tc>
        <w:tc>
          <w:tcPr>
            <w:tcW w:w="1826" w:type="dxa"/>
            <w:noWrap w:val="0"/>
            <w:vAlign w:val="top"/>
          </w:tcPr>
          <w:p w14:paraId="58A960E7">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90~110</w:t>
            </w:r>
          </w:p>
        </w:tc>
        <w:tc>
          <w:tcPr>
            <w:tcW w:w="1834" w:type="dxa"/>
            <w:noWrap w:val="0"/>
            <w:vAlign w:val="top"/>
          </w:tcPr>
          <w:p w14:paraId="0C111708">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120~130</w:t>
            </w:r>
          </w:p>
        </w:tc>
      </w:tr>
      <w:tr w14:paraId="28C5A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832" w:type="dxa"/>
            <w:noWrap w:val="0"/>
            <w:vAlign w:val="top"/>
          </w:tcPr>
          <w:p w14:paraId="759E7103">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400以上</w:t>
            </w:r>
          </w:p>
        </w:tc>
        <w:tc>
          <w:tcPr>
            <w:tcW w:w="1826" w:type="dxa"/>
            <w:noWrap w:val="0"/>
            <w:vAlign w:val="top"/>
          </w:tcPr>
          <w:p w14:paraId="4A4066D7">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140以上</w:t>
            </w:r>
          </w:p>
        </w:tc>
        <w:tc>
          <w:tcPr>
            <w:tcW w:w="1826" w:type="dxa"/>
            <w:noWrap w:val="0"/>
            <w:vAlign w:val="top"/>
          </w:tcPr>
          <w:p w14:paraId="51DFDEB6">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120以上</w:t>
            </w:r>
          </w:p>
        </w:tc>
        <w:tc>
          <w:tcPr>
            <w:tcW w:w="1834" w:type="dxa"/>
            <w:noWrap w:val="0"/>
            <w:vAlign w:val="top"/>
          </w:tcPr>
          <w:p w14:paraId="30F7A529">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180以上</w:t>
            </w:r>
          </w:p>
        </w:tc>
      </w:tr>
    </w:tbl>
    <w:p w14:paraId="631BB97B">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落叶乔木类种植穴规格（cm）</w:t>
      </w:r>
    </w:p>
    <w:tbl>
      <w:tblPr>
        <w:tblStyle w:val="20"/>
        <w:tblW w:w="7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9"/>
        <w:gridCol w:w="2440"/>
        <w:gridCol w:w="2440"/>
      </w:tblGrid>
      <w:tr w14:paraId="15DB1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2439" w:type="dxa"/>
            <w:noWrap w:val="0"/>
            <w:vAlign w:val="top"/>
          </w:tcPr>
          <w:p w14:paraId="1B1E36D0">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胸径</w:t>
            </w:r>
          </w:p>
        </w:tc>
        <w:tc>
          <w:tcPr>
            <w:tcW w:w="2440" w:type="dxa"/>
            <w:noWrap w:val="0"/>
            <w:vAlign w:val="top"/>
          </w:tcPr>
          <w:p w14:paraId="109D8615">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种植穴深度</w:t>
            </w:r>
          </w:p>
        </w:tc>
        <w:tc>
          <w:tcPr>
            <w:tcW w:w="2440" w:type="dxa"/>
            <w:noWrap w:val="0"/>
            <w:vAlign w:val="top"/>
          </w:tcPr>
          <w:p w14:paraId="547C7112">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种植穴直径</w:t>
            </w:r>
          </w:p>
        </w:tc>
      </w:tr>
      <w:tr w14:paraId="70ACE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439" w:type="dxa"/>
            <w:noWrap w:val="0"/>
            <w:vAlign w:val="top"/>
          </w:tcPr>
          <w:p w14:paraId="15B1331C">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5~6</w:t>
            </w:r>
          </w:p>
        </w:tc>
        <w:tc>
          <w:tcPr>
            <w:tcW w:w="2440" w:type="dxa"/>
            <w:noWrap w:val="0"/>
            <w:vAlign w:val="top"/>
          </w:tcPr>
          <w:p w14:paraId="6568CAD0">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60~70</w:t>
            </w:r>
          </w:p>
        </w:tc>
        <w:tc>
          <w:tcPr>
            <w:tcW w:w="2440" w:type="dxa"/>
            <w:noWrap w:val="0"/>
            <w:vAlign w:val="top"/>
          </w:tcPr>
          <w:p w14:paraId="71ADDFE5">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80~90</w:t>
            </w:r>
          </w:p>
        </w:tc>
      </w:tr>
      <w:tr w14:paraId="1F004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439" w:type="dxa"/>
            <w:noWrap w:val="0"/>
            <w:vAlign w:val="top"/>
          </w:tcPr>
          <w:p w14:paraId="5AA80BA4">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6~8</w:t>
            </w:r>
          </w:p>
        </w:tc>
        <w:tc>
          <w:tcPr>
            <w:tcW w:w="2440" w:type="dxa"/>
            <w:noWrap w:val="0"/>
            <w:vAlign w:val="top"/>
          </w:tcPr>
          <w:p w14:paraId="1C74FF67">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70~80</w:t>
            </w:r>
          </w:p>
        </w:tc>
        <w:tc>
          <w:tcPr>
            <w:tcW w:w="2440" w:type="dxa"/>
            <w:noWrap w:val="0"/>
            <w:vAlign w:val="top"/>
          </w:tcPr>
          <w:p w14:paraId="6C633E98">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90~100</w:t>
            </w:r>
          </w:p>
        </w:tc>
      </w:tr>
      <w:tr w14:paraId="0E992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439" w:type="dxa"/>
            <w:noWrap w:val="0"/>
            <w:vAlign w:val="top"/>
          </w:tcPr>
          <w:p w14:paraId="69AFB423">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8~10</w:t>
            </w:r>
          </w:p>
        </w:tc>
        <w:tc>
          <w:tcPr>
            <w:tcW w:w="2440" w:type="dxa"/>
            <w:noWrap w:val="0"/>
            <w:vAlign w:val="top"/>
          </w:tcPr>
          <w:p w14:paraId="7716AE02">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80~90</w:t>
            </w:r>
          </w:p>
        </w:tc>
        <w:tc>
          <w:tcPr>
            <w:tcW w:w="2440" w:type="dxa"/>
            <w:noWrap w:val="0"/>
            <w:vAlign w:val="top"/>
          </w:tcPr>
          <w:p w14:paraId="54CD0CA5">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100~110</w:t>
            </w:r>
          </w:p>
        </w:tc>
      </w:tr>
      <w:tr w14:paraId="35CB3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39" w:type="dxa"/>
            <w:noWrap w:val="0"/>
            <w:vAlign w:val="top"/>
          </w:tcPr>
          <w:p w14:paraId="72E80E19">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10以上</w:t>
            </w:r>
          </w:p>
        </w:tc>
        <w:tc>
          <w:tcPr>
            <w:tcW w:w="2440" w:type="dxa"/>
            <w:noWrap w:val="0"/>
            <w:vAlign w:val="top"/>
          </w:tcPr>
          <w:p w14:paraId="0BBBD166">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100~110</w:t>
            </w:r>
          </w:p>
        </w:tc>
        <w:tc>
          <w:tcPr>
            <w:tcW w:w="2440" w:type="dxa"/>
            <w:noWrap w:val="0"/>
            <w:vAlign w:val="top"/>
          </w:tcPr>
          <w:p w14:paraId="12DA47F0">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110~150</w:t>
            </w:r>
          </w:p>
        </w:tc>
      </w:tr>
    </w:tbl>
    <w:p w14:paraId="5B9AD7F7">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花灌木类种植穴规格（cm）</w:t>
      </w:r>
    </w:p>
    <w:tbl>
      <w:tblPr>
        <w:tblStyle w:val="20"/>
        <w:tblW w:w="7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9"/>
        <w:gridCol w:w="2440"/>
        <w:gridCol w:w="2440"/>
      </w:tblGrid>
      <w:tr w14:paraId="5E98B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439" w:type="dxa"/>
            <w:noWrap w:val="0"/>
            <w:vAlign w:val="top"/>
          </w:tcPr>
          <w:p w14:paraId="4473A3B6">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冠径</w:t>
            </w:r>
          </w:p>
        </w:tc>
        <w:tc>
          <w:tcPr>
            <w:tcW w:w="2440" w:type="dxa"/>
            <w:noWrap w:val="0"/>
            <w:vAlign w:val="top"/>
          </w:tcPr>
          <w:p w14:paraId="6C572D3E">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种植穴深度</w:t>
            </w:r>
          </w:p>
        </w:tc>
        <w:tc>
          <w:tcPr>
            <w:tcW w:w="2440" w:type="dxa"/>
            <w:noWrap w:val="0"/>
            <w:vAlign w:val="top"/>
          </w:tcPr>
          <w:p w14:paraId="155A6015">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种植穴直径</w:t>
            </w:r>
          </w:p>
        </w:tc>
      </w:tr>
      <w:tr w14:paraId="362FF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439" w:type="dxa"/>
            <w:noWrap w:val="0"/>
            <w:vAlign w:val="top"/>
          </w:tcPr>
          <w:p w14:paraId="0BF5C07C">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w:t>
            </w:r>
          </w:p>
        </w:tc>
        <w:tc>
          <w:tcPr>
            <w:tcW w:w="2440" w:type="dxa"/>
            <w:noWrap w:val="0"/>
            <w:vAlign w:val="top"/>
          </w:tcPr>
          <w:p w14:paraId="408809C6">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60~70</w:t>
            </w:r>
          </w:p>
        </w:tc>
        <w:tc>
          <w:tcPr>
            <w:tcW w:w="2440" w:type="dxa"/>
            <w:noWrap w:val="0"/>
            <w:vAlign w:val="top"/>
          </w:tcPr>
          <w:p w14:paraId="2A2AB135">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70~90</w:t>
            </w:r>
          </w:p>
        </w:tc>
      </w:tr>
      <w:tr w14:paraId="01E80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439" w:type="dxa"/>
            <w:noWrap w:val="0"/>
            <w:vAlign w:val="top"/>
          </w:tcPr>
          <w:p w14:paraId="08E1821C">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200</w:t>
            </w:r>
          </w:p>
        </w:tc>
        <w:tc>
          <w:tcPr>
            <w:tcW w:w="2440" w:type="dxa"/>
            <w:noWrap w:val="0"/>
            <w:vAlign w:val="top"/>
          </w:tcPr>
          <w:p w14:paraId="2DE21B1A">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70~90</w:t>
            </w:r>
          </w:p>
        </w:tc>
        <w:tc>
          <w:tcPr>
            <w:tcW w:w="2440" w:type="dxa"/>
            <w:noWrap w:val="0"/>
            <w:vAlign w:val="top"/>
          </w:tcPr>
          <w:p w14:paraId="64C86946">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90~110</w:t>
            </w:r>
          </w:p>
        </w:tc>
      </w:tr>
    </w:tbl>
    <w:p w14:paraId="626D6309">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竹类种植穴规格（cm）</w:t>
      </w:r>
    </w:p>
    <w:tbl>
      <w:tblPr>
        <w:tblStyle w:val="20"/>
        <w:tblW w:w="7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9"/>
        <w:gridCol w:w="3659"/>
      </w:tblGrid>
      <w:tr w14:paraId="6A294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3659" w:type="dxa"/>
            <w:noWrap w:val="0"/>
            <w:vAlign w:val="top"/>
          </w:tcPr>
          <w:p w14:paraId="5C832A32">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种植穴深度</w:t>
            </w:r>
          </w:p>
        </w:tc>
        <w:tc>
          <w:tcPr>
            <w:tcW w:w="3659" w:type="dxa"/>
            <w:noWrap w:val="0"/>
            <w:vAlign w:val="top"/>
          </w:tcPr>
          <w:p w14:paraId="05A6FB9F">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种植穴直径</w:t>
            </w:r>
          </w:p>
        </w:tc>
      </w:tr>
      <w:tr w14:paraId="457E4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3659" w:type="dxa"/>
            <w:noWrap w:val="0"/>
            <w:vAlign w:val="top"/>
          </w:tcPr>
          <w:p w14:paraId="642DE7A8">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盘根或土球深</w:t>
            </w:r>
          </w:p>
        </w:tc>
        <w:tc>
          <w:tcPr>
            <w:tcW w:w="3659" w:type="dxa"/>
            <w:noWrap w:val="0"/>
            <w:vAlign w:val="top"/>
          </w:tcPr>
          <w:p w14:paraId="5BEEF242">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比盘根或土球大</w:t>
            </w:r>
          </w:p>
        </w:tc>
      </w:tr>
    </w:tbl>
    <w:p w14:paraId="5DC62979">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绿篱类种植穴规格（cm）</w:t>
      </w:r>
    </w:p>
    <w:tbl>
      <w:tblPr>
        <w:tblStyle w:val="20"/>
        <w:tblW w:w="7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9"/>
        <w:gridCol w:w="2440"/>
        <w:gridCol w:w="2440"/>
      </w:tblGrid>
      <w:tr w14:paraId="4D5C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439" w:type="dxa"/>
            <w:noWrap w:val="0"/>
            <w:vAlign w:val="top"/>
          </w:tcPr>
          <w:p w14:paraId="2FFFE078">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苗高</w:t>
            </w:r>
          </w:p>
        </w:tc>
        <w:tc>
          <w:tcPr>
            <w:tcW w:w="2440" w:type="dxa"/>
            <w:noWrap w:val="0"/>
            <w:vAlign w:val="top"/>
          </w:tcPr>
          <w:p w14:paraId="773EB6DC">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深×宽（单行）</w:t>
            </w:r>
          </w:p>
        </w:tc>
        <w:tc>
          <w:tcPr>
            <w:tcW w:w="2440" w:type="dxa"/>
            <w:noWrap w:val="0"/>
            <w:vAlign w:val="top"/>
          </w:tcPr>
          <w:p w14:paraId="0062CD62">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深×宽（双行）</w:t>
            </w:r>
          </w:p>
        </w:tc>
      </w:tr>
      <w:tr w14:paraId="00635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439" w:type="dxa"/>
            <w:noWrap w:val="0"/>
            <w:vAlign w:val="top"/>
          </w:tcPr>
          <w:p w14:paraId="73AF3659">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50~80</w:t>
            </w:r>
          </w:p>
        </w:tc>
        <w:tc>
          <w:tcPr>
            <w:tcW w:w="2440" w:type="dxa"/>
            <w:noWrap w:val="0"/>
            <w:vAlign w:val="top"/>
          </w:tcPr>
          <w:p w14:paraId="48E49D4E">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40×40</w:t>
            </w:r>
          </w:p>
        </w:tc>
        <w:tc>
          <w:tcPr>
            <w:tcW w:w="2440" w:type="dxa"/>
            <w:noWrap w:val="0"/>
            <w:vAlign w:val="top"/>
          </w:tcPr>
          <w:p w14:paraId="58179C25">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40×60</w:t>
            </w:r>
          </w:p>
        </w:tc>
      </w:tr>
      <w:tr w14:paraId="754C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439" w:type="dxa"/>
            <w:noWrap w:val="0"/>
            <w:vAlign w:val="top"/>
          </w:tcPr>
          <w:p w14:paraId="42438F96">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100~120</w:t>
            </w:r>
          </w:p>
        </w:tc>
        <w:tc>
          <w:tcPr>
            <w:tcW w:w="2440" w:type="dxa"/>
            <w:noWrap w:val="0"/>
            <w:vAlign w:val="top"/>
          </w:tcPr>
          <w:p w14:paraId="493CE630">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50×50</w:t>
            </w:r>
          </w:p>
        </w:tc>
        <w:tc>
          <w:tcPr>
            <w:tcW w:w="2440" w:type="dxa"/>
            <w:noWrap w:val="0"/>
            <w:vAlign w:val="top"/>
          </w:tcPr>
          <w:p w14:paraId="71E45643">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50×70</w:t>
            </w:r>
          </w:p>
        </w:tc>
      </w:tr>
    </w:tbl>
    <w:p w14:paraId="20C58DD2">
      <w:pPr>
        <w:pStyle w:val="7"/>
        <w:keepNext w:val="0"/>
        <w:keepLines w:val="0"/>
        <w:pageBreakBefore w:val="0"/>
        <w:widowControl w:val="0"/>
        <w:tabs>
          <w:tab w:val="left" w:pos="-3880"/>
          <w:tab w:val="left" w:pos="567"/>
          <w:tab w:val="left" w:pos="680"/>
        </w:tabs>
        <w:kinsoku/>
        <w:wordWrap/>
        <w:overflowPunct/>
        <w:topLinePunct w:val="0"/>
        <w:autoSpaceDE/>
        <w:autoSpaceDN/>
        <w:bidi w:val="0"/>
        <w:adjustRightInd/>
        <w:snapToGrid/>
        <w:spacing w:before="0" w:after="0" w:line="440" w:lineRule="exact"/>
        <w:ind w:left="0" w:firstLine="0"/>
        <w:jc w:val="left"/>
        <w:textAlignment w:val="auto"/>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lang w:val="zh-CN"/>
        </w:rPr>
        <w:t>（</w:t>
      </w:r>
      <w:r>
        <w:rPr>
          <w:rFonts w:hint="eastAsia" w:ascii="宋体" w:hAnsi="宋体" w:eastAsia="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lang w:val="zh-CN"/>
        </w:rPr>
        <w:t>树木栽植点必须与设计相符。乔灌木的栽植应注意前景与后景的关系，认真领会设计意图，充分展现植物的群体美与个体美。</w:t>
      </w:r>
    </w:p>
    <w:p w14:paraId="6715F1BC">
      <w:pPr>
        <w:pStyle w:val="7"/>
        <w:keepNext w:val="0"/>
        <w:keepLines w:val="0"/>
        <w:pageBreakBefore w:val="0"/>
        <w:widowControl w:val="0"/>
        <w:tabs>
          <w:tab w:val="left" w:pos="-3880"/>
          <w:tab w:val="left" w:pos="567"/>
          <w:tab w:val="left" w:pos="680"/>
        </w:tabs>
        <w:kinsoku/>
        <w:wordWrap/>
        <w:overflowPunct/>
        <w:topLinePunct w:val="0"/>
        <w:autoSpaceDE/>
        <w:autoSpaceDN/>
        <w:bidi w:val="0"/>
        <w:adjustRightInd/>
        <w:snapToGrid/>
        <w:spacing w:before="0" w:after="0" w:line="440" w:lineRule="exact"/>
        <w:ind w:left="0" w:firstLine="0"/>
        <w:jc w:val="left"/>
        <w:textAlignment w:val="auto"/>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lang w:val="zh-CN"/>
        </w:rPr>
        <w:t>（</w:t>
      </w:r>
      <w:r>
        <w:rPr>
          <w:rFonts w:hint="eastAsia" w:ascii="宋体" w:hAnsi="宋体" w:eastAsia="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lang w:val="zh-CN"/>
        </w:rPr>
        <w:t>地被植物、花卉成片栽植以整体覆盖地面为原则，要求枝条互相搭接，修剪整齐、密度合理、边缘3-5排地被需斜栽并缓慢抬升角度至垂直状态栽植，边缘曲线平滑并有明显分界，景观效果好。</w:t>
      </w:r>
    </w:p>
    <w:p w14:paraId="158CE640">
      <w:pPr>
        <w:pStyle w:val="7"/>
        <w:keepNext w:val="0"/>
        <w:keepLines w:val="0"/>
        <w:pageBreakBefore w:val="0"/>
        <w:widowControl w:val="0"/>
        <w:tabs>
          <w:tab w:val="left" w:pos="-3880"/>
          <w:tab w:val="left" w:pos="567"/>
          <w:tab w:val="left" w:pos="680"/>
        </w:tabs>
        <w:kinsoku/>
        <w:wordWrap/>
        <w:overflowPunct/>
        <w:topLinePunct w:val="0"/>
        <w:autoSpaceDE/>
        <w:autoSpaceDN/>
        <w:bidi w:val="0"/>
        <w:adjustRightInd/>
        <w:snapToGrid/>
        <w:spacing w:before="0" w:after="0" w:line="440" w:lineRule="exact"/>
        <w:ind w:left="0" w:firstLine="0"/>
        <w:jc w:val="left"/>
        <w:textAlignment w:val="auto"/>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lang w:val="zh-CN"/>
        </w:rPr>
        <w:t>（</w:t>
      </w:r>
      <w:r>
        <w:rPr>
          <w:rFonts w:hint="eastAsia" w:ascii="宋体" w:hAnsi="宋体" w:eastAsia="宋体" w:cs="宋体"/>
          <w:b w:val="0"/>
          <w:bCs w:val="0"/>
          <w:color w:val="auto"/>
          <w:sz w:val="21"/>
          <w:szCs w:val="21"/>
          <w:highlight w:val="none"/>
          <w:lang w:val="en-US" w:eastAsia="zh-CN"/>
        </w:rPr>
        <w:t>11）</w:t>
      </w:r>
      <w:r>
        <w:rPr>
          <w:rFonts w:hint="eastAsia" w:ascii="宋体" w:hAnsi="宋体" w:eastAsia="宋体" w:cs="宋体"/>
          <w:b w:val="0"/>
          <w:bCs w:val="0"/>
          <w:color w:val="auto"/>
          <w:sz w:val="21"/>
          <w:szCs w:val="21"/>
          <w:highlight w:val="none"/>
          <w:lang w:val="zh-CN"/>
        </w:rPr>
        <w:t>草坪铺草监理旁站并做影像资料：</w:t>
      </w:r>
    </w:p>
    <w:p w14:paraId="0BB03A99">
      <w:pPr>
        <w:keepNext w:val="0"/>
        <w:keepLines w:val="0"/>
        <w:pageBreakBefore w:val="0"/>
        <w:widowControl w:val="0"/>
        <w:numPr>
          <w:ilvl w:val="0"/>
          <w:numId w:val="5"/>
        </w:numPr>
        <w:kinsoku/>
        <w:wordWrap/>
        <w:overflowPunct/>
        <w:topLinePunct w:val="0"/>
        <w:autoSpaceDE w:val="0"/>
        <w:autoSpaceDN w:val="0"/>
        <w:bidi w:val="0"/>
        <w:adjustRightInd w:val="0"/>
        <w:spacing w:line="440" w:lineRule="exact"/>
        <w:ind w:left="840" w:leftChars="200" w:hanging="420" w:hangingChars="200"/>
        <w:jc w:val="left"/>
        <w:rPr>
          <w:rFonts w:hint="eastAsia" w:ascii="宋体" w:hAnsi="宋体" w:eastAsia="宋体" w:cs="宋体"/>
          <w:bCs/>
          <w:color w:val="auto"/>
          <w:kern w:val="24"/>
          <w:sz w:val="21"/>
          <w:szCs w:val="21"/>
          <w:highlight w:val="none"/>
        </w:rPr>
      </w:pPr>
      <w:r>
        <w:rPr>
          <w:rFonts w:hint="eastAsia" w:ascii="宋体" w:hAnsi="宋体" w:eastAsia="宋体" w:cs="宋体"/>
          <w:bCs/>
          <w:color w:val="auto"/>
          <w:kern w:val="24"/>
          <w:sz w:val="21"/>
          <w:szCs w:val="21"/>
          <w:highlight w:val="none"/>
        </w:rPr>
        <w:t>地形塑造须按设计要求，整体饱满柔顺。地形初整完成后须经设计、监理及业主认可。</w:t>
      </w:r>
    </w:p>
    <w:p w14:paraId="64F1CD7C">
      <w:pPr>
        <w:keepNext w:val="0"/>
        <w:keepLines w:val="0"/>
        <w:pageBreakBefore w:val="0"/>
        <w:widowControl w:val="0"/>
        <w:numPr>
          <w:ilvl w:val="0"/>
          <w:numId w:val="5"/>
        </w:numPr>
        <w:kinsoku/>
        <w:wordWrap/>
        <w:overflowPunct/>
        <w:topLinePunct w:val="0"/>
        <w:autoSpaceDE w:val="0"/>
        <w:autoSpaceDN w:val="0"/>
        <w:bidi w:val="0"/>
        <w:adjustRightInd w:val="0"/>
        <w:spacing w:line="440" w:lineRule="exact"/>
        <w:ind w:left="840" w:leftChars="200" w:hanging="420" w:hangingChars="200"/>
        <w:jc w:val="left"/>
        <w:rPr>
          <w:rFonts w:hint="eastAsia" w:ascii="宋体" w:hAnsi="宋体" w:eastAsia="宋体" w:cs="宋体"/>
          <w:color w:val="auto"/>
          <w:kern w:val="24"/>
          <w:sz w:val="21"/>
          <w:szCs w:val="21"/>
          <w:highlight w:val="none"/>
        </w:rPr>
      </w:pPr>
      <w:r>
        <w:rPr>
          <w:rFonts w:hint="eastAsia" w:ascii="宋体" w:hAnsi="宋体" w:eastAsia="宋体" w:cs="宋体"/>
          <w:color w:val="auto"/>
          <w:kern w:val="24"/>
          <w:sz w:val="21"/>
          <w:szCs w:val="21"/>
          <w:highlight w:val="none"/>
        </w:rPr>
        <w:t>场地碾压：草坪铺植前，须用机械或碾子将场地碾压2遍并找平，待草坪铺完后用碾子再碾压一遍，不得出现2cm以上的坑。</w:t>
      </w:r>
    </w:p>
    <w:p w14:paraId="54864087">
      <w:pPr>
        <w:keepNext w:val="0"/>
        <w:keepLines w:val="0"/>
        <w:pageBreakBefore w:val="0"/>
        <w:widowControl w:val="0"/>
        <w:numPr>
          <w:ilvl w:val="0"/>
          <w:numId w:val="5"/>
        </w:numPr>
        <w:kinsoku/>
        <w:wordWrap/>
        <w:overflowPunct/>
        <w:topLinePunct w:val="0"/>
        <w:autoSpaceDE w:val="0"/>
        <w:autoSpaceDN w:val="0"/>
        <w:bidi w:val="0"/>
        <w:adjustRightInd w:val="0"/>
        <w:spacing w:line="440" w:lineRule="exact"/>
        <w:ind w:left="840" w:leftChars="200" w:hanging="420" w:hangingChars="200"/>
        <w:jc w:val="left"/>
        <w:rPr>
          <w:rFonts w:hint="eastAsia" w:ascii="宋体" w:hAnsi="宋体" w:eastAsia="宋体" w:cs="宋体"/>
          <w:color w:val="auto"/>
          <w:kern w:val="24"/>
          <w:sz w:val="21"/>
          <w:szCs w:val="21"/>
          <w:highlight w:val="none"/>
        </w:rPr>
      </w:pPr>
      <w:r>
        <w:rPr>
          <w:rFonts w:hint="eastAsia" w:ascii="宋体" w:hAnsi="宋体" w:eastAsia="宋体" w:cs="宋体"/>
          <w:color w:val="auto"/>
          <w:kern w:val="24"/>
          <w:sz w:val="21"/>
          <w:szCs w:val="21"/>
          <w:highlight w:val="none"/>
        </w:rPr>
        <w:t>沁地：在栽植前，浇灌一遍水，翌日，对出现低洼处，再次整平。要求平整，防止有低洼之处。</w:t>
      </w:r>
    </w:p>
    <w:p w14:paraId="646D3B73">
      <w:pPr>
        <w:keepNext w:val="0"/>
        <w:keepLines w:val="0"/>
        <w:pageBreakBefore w:val="0"/>
        <w:widowControl w:val="0"/>
        <w:numPr>
          <w:ilvl w:val="0"/>
          <w:numId w:val="5"/>
        </w:numPr>
        <w:kinsoku/>
        <w:wordWrap/>
        <w:overflowPunct/>
        <w:topLinePunct w:val="0"/>
        <w:autoSpaceDE w:val="0"/>
        <w:autoSpaceDN w:val="0"/>
        <w:bidi w:val="0"/>
        <w:adjustRightInd w:val="0"/>
        <w:spacing w:line="440" w:lineRule="exact"/>
        <w:ind w:left="840" w:leftChars="200" w:hanging="420" w:hangingChars="200"/>
        <w:jc w:val="left"/>
        <w:rPr>
          <w:rFonts w:hint="eastAsia" w:ascii="宋体" w:hAnsi="宋体" w:eastAsia="宋体" w:cs="宋体"/>
          <w:color w:val="auto"/>
          <w:kern w:val="24"/>
          <w:sz w:val="21"/>
          <w:szCs w:val="21"/>
          <w:highlight w:val="none"/>
        </w:rPr>
      </w:pPr>
      <w:r>
        <w:rPr>
          <w:rFonts w:hint="eastAsia" w:ascii="宋体" w:hAnsi="宋体" w:eastAsia="宋体" w:cs="宋体"/>
          <w:color w:val="auto"/>
          <w:kern w:val="24"/>
          <w:sz w:val="21"/>
          <w:szCs w:val="21"/>
          <w:highlight w:val="none"/>
        </w:rPr>
        <w:t>铺沙：滚压同时加2～3cm厚细沙，扫平。</w:t>
      </w:r>
    </w:p>
    <w:p w14:paraId="2E8DC8A8">
      <w:pPr>
        <w:keepNext w:val="0"/>
        <w:keepLines w:val="0"/>
        <w:pageBreakBefore w:val="0"/>
        <w:widowControl w:val="0"/>
        <w:numPr>
          <w:ilvl w:val="0"/>
          <w:numId w:val="5"/>
        </w:numPr>
        <w:kinsoku/>
        <w:wordWrap/>
        <w:overflowPunct/>
        <w:topLinePunct w:val="0"/>
        <w:autoSpaceDE w:val="0"/>
        <w:autoSpaceDN w:val="0"/>
        <w:bidi w:val="0"/>
        <w:adjustRightInd w:val="0"/>
        <w:spacing w:line="440" w:lineRule="exact"/>
        <w:ind w:left="840" w:leftChars="200" w:hanging="420" w:hangingChars="200"/>
        <w:jc w:val="left"/>
        <w:rPr>
          <w:rFonts w:hint="eastAsia" w:ascii="宋体" w:hAnsi="宋体" w:eastAsia="宋体" w:cs="宋体"/>
          <w:bCs/>
          <w:color w:val="auto"/>
          <w:kern w:val="24"/>
          <w:sz w:val="21"/>
          <w:szCs w:val="21"/>
          <w:highlight w:val="none"/>
        </w:rPr>
      </w:pPr>
      <w:r>
        <w:rPr>
          <w:rFonts w:hint="eastAsia" w:ascii="宋体" w:hAnsi="宋体" w:eastAsia="宋体" w:cs="宋体"/>
          <w:bCs/>
          <w:color w:val="auto"/>
          <w:kern w:val="24"/>
          <w:sz w:val="21"/>
          <w:szCs w:val="21"/>
          <w:highlight w:val="none"/>
        </w:rPr>
        <w:t>选苗：</w:t>
      </w:r>
      <w:r>
        <w:rPr>
          <w:rFonts w:hint="eastAsia" w:ascii="宋体" w:hAnsi="宋体" w:eastAsia="宋体" w:cs="宋体"/>
          <w:bCs/>
          <w:color w:val="auto"/>
          <w:sz w:val="21"/>
          <w:szCs w:val="21"/>
          <w:highlight w:val="none"/>
          <w:lang w:val="zh-CN"/>
        </w:rPr>
        <w:t>草坪需采用草卷铺设，不得使用草块。</w:t>
      </w:r>
    </w:p>
    <w:p w14:paraId="663A29D4">
      <w:pPr>
        <w:keepNext w:val="0"/>
        <w:keepLines w:val="0"/>
        <w:pageBreakBefore w:val="0"/>
        <w:widowControl w:val="0"/>
        <w:numPr>
          <w:ilvl w:val="0"/>
          <w:numId w:val="5"/>
        </w:numPr>
        <w:kinsoku/>
        <w:wordWrap/>
        <w:overflowPunct/>
        <w:topLinePunct w:val="0"/>
        <w:autoSpaceDE w:val="0"/>
        <w:autoSpaceDN w:val="0"/>
        <w:bidi w:val="0"/>
        <w:adjustRightInd w:val="0"/>
        <w:spacing w:line="440" w:lineRule="exact"/>
        <w:ind w:left="840" w:leftChars="200" w:hanging="420" w:hangingChars="200"/>
        <w:jc w:val="left"/>
        <w:rPr>
          <w:rFonts w:hint="eastAsia" w:ascii="宋体" w:hAnsi="宋体" w:eastAsia="宋体" w:cs="宋体"/>
          <w:color w:val="auto"/>
          <w:kern w:val="24"/>
          <w:sz w:val="21"/>
          <w:szCs w:val="21"/>
          <w:highlight w:val="none"/>
        </w:rPr>
      </w:pPr>
      <w:r>
        <w:rPr>
          <w:rFonts w:hint="eastAsia" w:ascii="宋体" w:hAnsi="宋体" w:eastAsia="宋体" w:cs="宋体"/>
          <w:color w:val="auto"/>
          <w:kern w:val="24"/>
          <w:sz w:val="21"/>
          <w:szCs w:val="21"/>
          <w:highlight w:val="none"/>
        </w:rPr>
        <w:t>铺种：草皮铺种时应平整，衔接整齐，不留缝隙，铺种方向应与坡向横切，边缘铺种应使用整块草皮，应在3小时内铺装完毕；做到随运随栽。草皮铺设必须按由里向外工序进行；草皮边缘线条平顺自然、干净，草皮与树木、花卉、地被植物的边缘设置边梗的，边梗大小高矮基本一致，不管是否有边梗，均不得露土。草皮与硬质景观收口线条整洁、顺畅、顺滑，不露土，草皮应低于硬质景观边缘，不得高于硬质景观边缘。</w:t>
      </w:r>
    </w:p>
    <w:p w14:paraId="3013EB73">
      <w:pPr>
        <w:keepNext w:val="0"/>
        <w:keepLines w:val="0"/>
        <w:pageBreakBefore w:val="0"/>
        <w:widowControl w:val="0"/>
        <w:numPr>
          <w:ilvl w:val="0"/>
          <w:numId w:val="5"/>
        </w:numPr>
        <w:kinsoku/>
        <w:wordWrap/>
        <w:overflowPunct/>
        <w:topLinePunct w:val="0"/>
        <w:autoSpaceDE w:val="0"/>
        <w:autoSpaceDN w:val="0"/>
        <w:bidi w:val="0"/>
        <w:adjustRightInd w:val="0"/>
        <w:spacing w:line="440" w:lineRule="exact"/>
        <w:ind w:left="840" w:leftChars="200" w:hanging="420" w:hangingChars="200"/>
        <w:jc w:val="left"/>
        <w:rPr>
          <w:rFonts w:hint="eastAsia" w:ascii="宋体" w:hAnsi="宋体" w:eastAsia="宋体" w:cs="宋体"/>
          <w:color w:val="auto"/>
          <w:kern w:val="24"/>
          <w:sz w:val="21"/>
          <w:szCs w:val="21"/>
          <w:highlight w:val="none"/>
        </w:rPr>
      </w:pPr>
      <w:r>
        <w:rPr>
          <w:rFonts w:hint="eastAsia" w:ascii="宋体" w:hAnsi="宋体" w:eastAsia="宋体" w:cs="宋体"/>
          <w:color w:val="auto"/>
          <w:kern w:val="24"/>
          <w:sz w:val="21"/>
          <w:szCs w:val="21"/>
          <w:highlight w:val="none"/>
        </w:rPr>
        <w:t>浇水：铺完之后，立即浇定植水，浇足浇透，用滚筒压紧，及时覆土压实被水冲出的草根。</w:t>
      </w:r>
    </w:p>
    <w:p w14:paraId="753E9377">
      <w:pPr>
        <w:keepNext w:val="0"/>
        <w:keepLines w:val="0"/>
        <w:pageBreakBefore w:val="0"/>
        <w:widowControl w:val="0"/>
        <w:numPr>
          <w:ilvl w:val="0"/>
          <w:numId w:val="5"/>
        </w:numPr>
        <w:kinsoku/>
        <w:wordWrap/>
        <w:overflowPunct/>
        <w:topLinePunct w:val="0"/>
        <w:autoSpaceDE w:val="0"/>
        <w:autoSpaceDN w:val="0"/>
        <w:bidi w:val="0"/>
        <w:adjustRightInd w:val="0"/>
        <w:spacing w:line="440" w:lineRule="exact"/>
        <w:ind w:left="840" w:leftChars="200" w:hanging="420" w:hangingChars="200"/>
        <w:jc w:val="left"/>
        <w:rPr>
          <w:rFonts w:hint="eastAsia" w:ascii="宋体" w:hAnsi="宋体" w:eastAsia="宋体" w:cs="宋体"/>
          <w:bCs/>
          <w:color w:val="auto"/>
          <w:kern w:val="24"/>
          <w:sz w:val="21"/>
          <w:szCs w:val="21"/>
          <w:highlight w:val="none"/>
        </w:rPr>
      </w:pPr>
      <w:r>
        <w:rPr>
          <w:rFonts w:hint="eastAsia" w:ascii="宋体" w:hAnsi="宋体" w:eastAsia="宋体" w:cs="宋体"/>
          <w:bCs/>
          <w:color w:val="auto"/>
          <w:kern w:val="24"/>
          <w:sz w:val="21"/>
          <w:szCs w:val="21"/>
          <w:highlight w:val="none"/>
        </w:rPr>
        <w:t>标准：草坪完成后须保证平坦，线条流畅，色泽均匀，没有斑秃杂草，结实（站立无下沉），没有积水坑。</w:t>
      </w:r>
    </w:p>
    <w:p w14:paraId="0CDAED4C">
      <w:pPr>
        <w:pStyle w:val="7"/>
        <w:keepNext w:val="0"/>
        <w:keepLines w:val="0"/>
        <w:pageBreakBefore w:val="0"/>
        <w:widowControl w:val="0"/>
        <w:tabs>
          <w:tab w:val="left" w:pos="-3880"/>
          <w:tab w:val="left" w:pos="680"/>
        </w:tabs>
        <w:kinsoku/>
        <w:wordWrap/>
        <w:overflowPunct/>
        <w:topLinePunct w:val="0"/>
        <w:bidi w:val="0"/>
        <w:snapToGrid/>
        <w:spacing w:before="0" w:beforeLines="0" w:after="0" w:afterLines="0" w:line="440" w:lineRule="exact"/>
        <w:ind w:left="0" w:firstLine="0"/>
        <w:jc w:val="left"/>
        <w:textAlignment w:val="auto"/>
        <w:rPr>
          <w:rFonts w:hint="eastAsia" w:ascii="宋体" w:hAnsi="宋体" w:eastAsia="宋体" w:cs="宋体"/>
          <w:b w:val="0"/>
          <w:bCs w:val="0"/>
          <w:color w:val="auto"/>
          <w:kern w:val="0"/>
          <w:sz w:val="21"/>
          <w:szCs w:val="21"/>
          <w:highlight w:val="none"/>
          <w:lang w:val="zh-CN" w:eastAsia="zh-CN" w:bidi="ar-SA"/>
        </w:rPr>
      </w:pPr>
      <w:r>
        <w:rPr>
          <w:rFonts w:hint="eastAsia" w:ascii="宋体" w:hAnsi="宋体" w:eastAsia="宋体" w:cs="宋体"/>
          <w:b w:val="0"/>
          <w:bCs w:val="0"/>
          <w:color w:val="auto"/>
          <w:kern w:val="0"/>
          <w:sz w:val="21"/>
          <w:szCs w:val="21"/>
          <w:highlight w:val="none"/>
          <w:lang w:val="zh-CN" w:eastAsia="zh-CN" w:bidi="ar-SA"/>
        </w:rPr>
        <w:t>（</w:t>
      </w:r>
      <w:r>
        <w:rPr>
          <w:rFonts w:hint="eastAsia" w:ascii="宋体" w:hAnsi="宋体" w:eastAsia="宋体" w:cs="宋体"/>
          <w:b w:val="0"/>
          <w:bCs w:val="0"/>
          <w:color w:val="auto"/>
          <w:kern w:val="0"/>
          <w:sz w:val="21"/>
          <w:szCs w:val="21"/>
          <w:highlight w:val="none"/>
          <w:lang w:val="en-US" w:eastAsia="zh-CN" w:bidi="ar-SA"/>
        </w:rPr>
        <w:t>12）</w:t>
      </w:r>
      <w:r>
        <w:rPr>
          <w:rFonts w:hint="eastAsia" w:ascii="宋体" w:hAnsi="宋体" w:eastAsia="宋体" w:cs="宋体"/>
          <w:b w:val="0"/>
          <w:bCs w:val="0"/>
          <w:color w:val="auto"/>
          <w:kern w:val="0"/>
          <w:sz w:val="21"/>
          <w:szCs w:val="21"/>
          <w:highlight w:val="none"/>
          <w:lang w:val="zh-CN" w:eastAsia="zh-CN" w:bidi="ar-SA"/>
        </w:rPr>
        <w:t>乔木不允许过分打枝，采用全冠苗；灌木应适当增加种植的密度。整条道路的绿化种植完成后应立即形成效果。树木基部的通气管应根据周边的地形进行标高调整，不得高于周边的地形，外露管口应平整。通气管应及时进行抽水。</w:t>
      </w:r>
    </w:p>
    <w:p w14:paraId="4982844F">
      <w:pPr>
        <w:pStyle w:val="7"/>
        <w:keepNext w:val="0"/>
        <w:keepLines w:val="0"/>
        <w:pageBreakBefore w:val="0"/>
        <w:widowControl w:val="0"/>
        <w:tabs>
          <w:tab w:val="left" w:pos="-3880"/>
          <w:tab w:val="left" w:pos="680"/>
        </w:tabs>
        <w:kinsoku/>
        <w:wordWrap/>
        <w:overflowPunct/>
        <w:topLinePunct w:val="0"/>
        <w:bidi w:val="0"/>
        <w:snapToGrid/>
        <w:spacing w:before="0" w:beforeLines="0" w:after="0" w:afterLines="0" w:line="440" w:lineRule="exact"/>
        <w:ind w:left="0" w:firstLine="0"/>
        <w:jc w:val="left"/>
        <w:textAlignment w:val="auto"/>
        <w:rPr>
          <w:rFonts w:hint="eastAsia" w:ascii="宋体" w:hAnsi="宋体" w:eastAsia="宋体" w:cs="宋体"/>
          <w:b w:val="0"/>
          <w:bCs w:val="0"/>
          <w:color w:val="auto"/>
          <w:kern w:val="0"/>
          <w:sz w:val="21"/>
          <w:szCs w:val="21"/>
          <w:highlight w:val="none"/>
          <w:lang w:val="zh-CN" w:eastAsia="zh-CN" w:bidi="ar-SA"/>
        </w:rPr>
      </w:pPr>
      <w:r>
        <w:rPr>
          <w:rFonts w:hint="eastAsia" w:ascii="宋体" w:hAnsi="宋体" w:eastAsia="宋体" w:cs="宋体"/>
          <w:b w:val="0"/>
          <w:bCs w:val="0"/>
          <w:color w:val="auto"/>
          <w:kern w:val="0"/>
          <w:sz w:val="21"/>
          <w:szCs w:val="21"/>
          <w:highlight w:val="none"/>
          <w:lang w:val="zh-CN" w:eastAsia="zh-CN" w:bidi="ar-SA"/>
        </w:rPr>
        <w:t>（</w:t>
      </w:r>
      <w:r>
        <w:rPr>
          <w:rFonts w:hint="eastAsia" w:ascii="宋体" w:hAnsi="宋体" w:eastAsia="宋体" w:cs="宋体"/>
          <w:b w:val="0"/>
          <w:bCs w:val="0"/>
          <w:color w:val="auto"/>
          <w:kern w:val="0"/>
          <w:sz w:val="21"/>
          <w:szCs w:val="21"/>
          <w:highlight w:val="none"/>
          <w:lang w:val="en-US" w:eastAsia="zh-CN" w:bidi="ar-SA"/>
        </w:rPr>
        <w:t>13）</w:t>
      </w:r>
      <w:r>
        <w:rPr>
          <w:rFonts w:hint="eastAsia" w:ascii="宋体" w:hAnsi="宋体" w:eastAsia="宋体" w:cs="宋体"/>
          <w:b w:val="0"/>
          <w:bCs w:val="0"/>
          <w:color w:val="auto"/>
          <w:kern w:val="0"/>
          <w:sz w:val="21"/>
          <w:szCs w:val="21"/>
          <w:highlight w:val="none"/>
          <w:lang w:val="zh-CN" w:eastAsia="zh-CN" w:bidi="ar-SA"/>
        </w:rPr>
        <w:t>承包商须严格按照设计要求选择乔木、灌木及草坪的规格、品种、形状、密度等。所选乔木须为二次以上移植苗，需有明显再生毛细根。。</w:t>
      </w:r>
    </w:p>
    <w:p w14:paraId="7606B237">
      <w:pPr>
        <w:pStyle w:val="7"/>
        <w:keepNext w:val="0"/>
        <w:keepLines w:val="0"/>
        <w:pageBreakBefore w:val="0"/>
        <w:widowControl w:val="0"/>
        <w:tabs>
          <w:tab w:val="left" w:pos="-3880"/>
          <w:tab w:val="left" w:pos="680"/>
        </w:tabs>
        <w:kinsoku/>
        <w:wordWrap/>
        <w:overflowPunct/>
        <w:topLinePunct w:val="0"/>
        <w:bidi w:val="0"/>
        <w:snapToGrid/>
        <w:spacing w:before="0" w:beforeLines="0" w:after="0" w:afterLines="0" w:line="440" w:lineRule="exact"/>
        <w:ind w:left="0" w:firstLine="0"/>
        <w:jc w:val="left"/>
        <w:textAlignment w:val="auto"/>
        <w:rPr>
          <w:rFonts w:hint="eastAsia" w:ascii="宋体" w:hAnsi="宋体" w:eastAsia="宋体" w:cs="宋体"/>
          <w:b w:val="0"/>
          <w:bCs w:val="0"/>
          <w:color w:val="auto"/>
          <w:kern w:val="0"/>
          <w:sz w:val="21"/>
          <w:szCs w:val="21"/>
          <w:highlight w:val="none"/>
          <w:lang w:val="zh-CN" w:eastAsia="zh-CN" w:bidi="ar-SA"/>
        </w:rPr>
      </w:pPr>
      <w:r>
        <w:rPr>
          <w:rFonts w:hint="eastAsia" w:ascii="宋体" w:hAnsi="宋体" w:eastAsia="宋体" w:cs="宋体"/>
          <w:b w:val="0"/>
          <w:bCs w:val="0"/>
          <w:color w:val="auto"/>
          <w:kern w:val="0"/>
          <w:sz w:val="21"/>
          <w:szCs w:val="21"/>
          <w:highlight w:val="none"/>
          <w:lang w:val="zh-CN" w:eastAsia="zh-CN" w:bidi="ar-SA"/>
        </w:rPr>
        <w:t>（</w:t>
      </w:r>
      <w:r>
        <w:rPr>
          <w:rFonts w:hint="eastAsia" w:ascii="宋体" w:hAnsi="宋体" w:eastAsia="宋体" w:cs="宋体"/>
          <w:b w:val="0"/>
          <w:bCs w:val="0"/>
          <w:color w:val="auto"/>
          <w:kern w:val="0"/>
          <w:sz w:val="21"/>
          <w:szCs w:val="21"/>
          <w:highlight w:val="none"/>
          <w:lang w:val="en-US" w:eastAsia="zh-CN" w:bidi="ar-SA"/>
        </w:rPr>
        <w:t>14）</w:t>
      </w:r>
      <w:r>
        <w:rPr>
          <w:rFonts w:hint="eastAsia" w:ascii="宋体" w:hAnsi="宋体" w:eastAsia="宋体" w:cs="宋体"/>
          <w:b w:val="0"/>
          <w:bCs w:val="0"/>
          <w:color w:val="auto"/>
          <w:kern w:val="0"/>
          <w:sz w:val="21"/>
          <w:szCs w:val="21"/>
          <w:highlight w:val="none"/>
          <w:lang w:val="zh-CN" w:eastAsia="zh-CN" w:bidi="ar-SA"/>
        </w:rPr>
        <w:t>常绿乔木带泥球大小按CJJ 82-2012要求，种植穴半径应大于泥球半径0.4米以上，落叶乔木种植穴半径应比CJJ 82-2012相应要求大0.1米。乔木种植时需结合施用基肥，基肥应以腐熟有机肥为主，施于穴底，施后履土，不得与根系接触。根据规范及总监的需要，乔木根部设置通气装置。</w:t>
      </w:r>
    </w:p>
    <w:p w14:paraId="53857AC1">
      <w:pPr>
        <w:pStyle w:val="7"/>
        <w:keepNext w:val="0"/>
        <w:keepLines w:val="0"/>
        <w:pageBreakBefore w:val="0"/>
        <w:widowControl w:val="0"/>
        <w:tabs>
          <w:tab w:val="left" w:pos="-3880"/>
          <w:tab w:val="left" w:pos="680"/>
        </w:tabs>
        <w:kinsoku/>
        <w:wordWrap/>
        <w:overflowPunct/>
        <w:topLinePunct w:val="0"/>
        <w:bidi w:val="0"/>
        <w:snapToGrid/>
        <w:spacing w:before="0" w:beforeLines="0" w:after="0" w:afterLines="0" w:line="440" w:lineRule="exact"/>
        <w:ind w:left="0" w:firstLine="0"/>
        <w:jc w:val="left"/>
        <w:textAlignment w:val="auto"/>
        <w:rPr>
          <w:rFonts w:hint="eastAsia" w:ascii="宋体" w:hAnsi="宋体" w:eastAsia="宋体" w:cs="宋体"/>
          <w:b w:val="0"/>
          <w:bCs w:val="0"/>
          <w:color w:val="auto"/>
          <w:kern w:val="0"/>
          <w:sz w:val="21"/>
          <w:szCs w:val="21"/>
          <w:highlight w:val="none"/>
          <w:lang w:val="zh-CN" w:eastAsia="zh-CN" w:bidi="ar-SA"/>
        </w:rPr>
      </w:pPr>
      <w:r>
        <w:rPr>
          <w:rFonts w:hint="eastAsia" w:ascii="宋体" w:hAnsi="宋体" w:eastAsia="宋体" w:cs="宋体"/>
          <w:b w:val="0"/>
          <w:bCs w:val="0"/>
          <w:color w:val="auto"/>
          <w:kern w:val="0"/>
          <w:sz w:val="21"/>
          <w:szCs w:val="21"/>
          <w:highlight w:val="none"/>
          <w:lang w:val="zh-CN" w:eastAsia="zh-CN" w:bidi="ar-SA"/>
        </w:rPr>
        <w:t>（</w:t>
      </w:r>
      <w:r>
        <w:rPr>
          <w:rFonts w:hint="eastAsia" w:ascii="宋体" w:hAnsi="宋体" w:eastAsia="宋体" w:cs="宋体"/>
          <w:b w:val="0"/>
          <w:bCs w:val="0"/>
          <w:color w:val="auto"/>
          <w:kern w:val="0"/>
          <w:sz w:val="21"/>
          <w:szCs w:val="21"/>
          <w:highlight w:val="none"/>
          <w:lang w:val="en-US" w:eastAsia="zh-CN" w:bidi="ar-SA"/>
        </w:rPr>
        <w:t>15）</w:t>
      </w:r>
      <w:r>
        <w:rPr>
          <w:rFonts w:hint="eastAsia" w:ascii="宋体" w:hAnsi="宋体" w:eastAsia="宋体" w:cs="宋体"/>
          <w:b w:val="0"/>
          <w:bCs w:val="0"/>
          <w:color w:val="auto"/>
          <w:kern w:val="0"/>
          <w:sz w:val="21"/>
          <w:szCs w:val="21"/>
          <w:highlight w:val="none"/>
          <w:lang w:val="zh-CN" w:eastAsia="zh-CN" w:bidi="ar-SA"/>
        </w:rPr>
        <w:t>乔木胸径在</w:t>
      </w:r>
      <w:r>
        <w:rPr>
          <w:rFonts w:hint="eastAsia" w:ascii="宋体" w:hAnsi="宋体" w:eastAsia="宋体" w:cs="宋体"/>
          <w:b w:val="0"/>
          <w:bCs w:val="0"/>
          <w:color w:val="auto"/>
          <w:kern w:val="0"/>
          <w:sz w:val="21"/>
          <w:szCs w:val="21"/>
          <w:highlight w:val="none"/>
          <w:lang w:val="en-US" w:eastAsia="zh-CN" w:bidi="ar-SA"/>
        </w:rPr>
        <w:t>21~25cm范围内允许偏差为-1.5cm；乔木胸径在26~30cm允许偏差为-2cm，乔木胸径在31~35cm，允许偏差为-2.5cm；乔木胸径在36~40cm允许偏差为-3cm。花灌木冠幅在200~300cm范围内，允许偏差为-30cm；花灌木冠幅在300~400cm范围内，允许偏差为-40cm，花灌木冠幅在400~500cm范围内，允许偏差为-50cm。图纸设计的地被苗木如当季市场采购不到相应规格，则须经监理单位、业主单位审核同意后，可降规格使用，并加密种植至不露土。</w:t>
      </w:r>
      <w:r>
        <w:rPr>
          <w:rFonts w:hint="eastAsia" w:ascii="宋体" w:hAnsi="宋体" w:eastAsia="宋体" w:cs="宋体"/>
          <w:b w:val="0"/>
          <w:bCs w:val="0"/>
          <w:color w:val="auto"/>
          <w:kern w:val="0"/>
          <w:sz w:val="21"/>
          <w:szCs w:val="21"/>
          <w:highlight w:val="none"/>
          <w:lang w:val="zh-CN" w:eastAsia="zh-CN" w:bidi="ar-SA"/>
        </w:rPr>
        <w:t>其余未明确规格范围的苗木，其偏差执行CJJ 82-2012要求。</w:t>
      </w:r>
    </w:p>
    <w:p w14:paraId="35F2A705">
      <w:pPr>
        <w:pStyle w:val="7"/>
        <w:keepNext w:val="0"/>
        <w:keepLines w:val="0"/>
        <w:pageBreakBefore w:val="0"/>
        <w:widowControl w:val="0"/>
        <w:tabs>
          <w:tab w:val="left" w:pos="-3880"/>
          <w:tab w:val="left" w:pos="680"/>
        </w:tabs>
        <w:kinsoku/>
        <w:wordWrap/>
        <w:overflowPunct/>
        <w:topLinePunct w:val="0"/>
        <w:bidi w:val="0"/>
        <w:snapToGrid/>
        <w:spacing w:before="0" w:beforeLines="0" w:after="0" w:afterLines="0" w:line="440" w:lineRule="exact"/>
        <w:ind w:left="0" w:firstLine="0"/>
        <w:jc w:val="left"/>
        <w:textAlignment w:val="auto"/>
        <w:rPr>
          <w:rFonts w:hint="eastAsia" w:ascii="宋体" w:hAnsi="宋体" w:eastAsia="宋体" w:cs="宋体"/>
          <w:b w:val="0"/>
          <w:bCs w:val="0"/>
          <w:color w:val="auto"/>
          <w:kern w:val="0"/>
          <w:sz w:val="21"/>
          <w:szCs w:val="21"/>
          <w:highlight w:val="none"/>
          <w:lang w:val="zh-CN" w:eastAsia="zh-CN" w:bidi="ar-SA"/>
        </w:rPr>
      </w:pPr>
      <w:r>
        <w:rPr>
          <w:rFonts w:hint="eastAsia" w:ascii="宋体" w:hAnsi="宋体" w:eastAsia="宋体" w:cs="宋体"/>
          <w:b w:val="0"/>
          <w:bCs w:val="0"/>
          <w:color w:val="auto"/>
          <w:kern w:val="0"/>
          <w:sz w:val="21"/>
          <w:szCs w:val="21"/>
          <w:highlight w:val="none"/>
          <w:lang w:val="zh-CN" w:eastAsia="zh-CN" w:bidi="ar-SA"/>
        </w:rPr>
        <w:t>（</w:t>
      </w:r>
      <w:r>
        <w:rPr>
          <w:rFonts w:hint="eastAsia" w:ascii="宋体" w:hAnsi="宋体" w:eastAsia="宋体" w:cs="宋体"/>
          <w:b w:val="0"/>
          <w:bCs w:val="0"/>
          <w:color w:val="auto"/>
          <w:kern w:val="0"/>
          <w:sz w:val="21"/>
          <w:szCs w:val="21"/>
          <w:highlight w:val="none"/>
          <w:lang w:val="en-US" w:eastAsia="zh-CN" w:bidi="ar-SA"/>
        </w:rPr>
        <w:t>16）</w:t>
      </w:r>
      <w:r>
        <w:rPr>
          <w:rFonts w:hint="eastAsia" w:ascii="宋体" w:hAnsi="宋体" w:eastAsia="宋体" w:cs="宋体"/>
          <w:b w:val="0"/>
          <w:bCs w:val="0"/>
          <w:color w:val="auto"/>
          <w:kern w:val="0"/>
          <w:sz w:val="21"/>
          <w:szCs w:val="21"/>
          <w:highlight w:val="none"/>
          <w:lang w:val="zh-CN" w:eastAsia="zh-CN" w:bidi="ar-SA"/>
        </w:rPr>
        <w:t>自然种植乔木需树形优美，除特选造型树外，不得出现偏冠。阵列式种植乔木须冠形统一、分支点统一。</w:t>
      </w:r>
    </w:p>
    <w:p w14:paraId="091E8227">
      <w:pPr>
        <w:pStyle w:val="7"/>
        <w:keepNext w:val="0"/>
        <w:keepLines w:val="0"/>
        <w:pageBreakBefore w:val="0"/>
        <w:widowControl w:val="0"/>
        <w:tabs>
          <w:tab w:val="left" w:pos="-3880"/>
          <w:tab w:val="left" w:pos="680"/>
        </w:tabs>
        <w:kinsoku/>
        <w:wordWrap/>
        <w:overflowPunct/>
        <w:topLinePunct w:val="0"/>
        <w:bidi w:val="0"/>
        <w:snapToGrid/>
        <w:spacing w:before="0" w:beforeLines="0" w:after="0" w:afterLines="0" w:line="440" w:lineRule="exact"/>
        <w:ind w:left="0" w:firstLine="0"/>
        <w:jc w:val="left"/>
        <w:textAlignment w:val="auto"/>
        <w:rPr>
          <w:rFonts w:hint="eastAsia" w:ascii="宋体" w:hAnsi="宋体" w:eastAsia="宋体" w:cs="宋体"/>
          <w:b w:val="0"/>
          <w:bCs w:val="0"/>
          <w:color w:val="auto"/>
          <w:kern w:val="0"/>
          <w:sz w:val="21"/>
          <w:szCs w:val="21"/>
          <w:highlight w:val="none"/>
          <w:lang w:val="zh-CN" w:eastAsia="zh-CN" w:bidi="ar-SA"/>
        </w:rPr>
      </w:pPr>
      <w:r>
        <w:rPr>
          <w:rFonts w:hint="eastAsia" w:ascii="宋体" w:hAnsi="宋体" w:eastAsia="宋体" w:cs="宋体"/>
          <w:b w:val="0"/>
          <w:bCs w:val="0"/>
          <w:color w:val="auto"/>
          <w:kern w:val="0"/>
          <w:sz w:val="21"/>
          <w:szCs w:val="21"/>
          <w:highlight w:val="none"/>
          <w:lang w:val="zh-CN" w:eastAsia="zh-CN" w:bidi="ar-SA"/>
        </w:rPr>
        <w:t>（</w:t>
      </w:r>
      <w:r>
        <w:rPr>
          <w:rFonts w:hint="eastAsia" w:ascii="宋体" w:hAnsi="宋体" w:eastAsia="宋体" w:cs="宋体"/>
          <w:b w:val="0"/>
          <w:bCs w:val="0"/>
          <w:color w:val="auto"/>
          <w:kern w:val="0"/>
          <w:sz w:val="21"/>
          <w:szCs w:val="21"/>
          <w:highlight w:val="none"/>
          <w:lang w:val="en-US" w:eastAsia="zh-CN" w:bidi="ar-SA"/>
        </w:rPr>
        <w:t>17）</w:t>
      </w:r>
      <w:r>
        <w:rPr>
          <w:rFonts w:hint="eastAsia" w:ascii="宋体" w:hAnsi="宋体" w:eastAsia="宋体" w:cs="宋体"/>
          <w:b w:val="0"/>
          <w:bCs w:val="0"/>
          <w:color w:val="auto"/>
          <w:kern w:val="0"/>
          <w:sz w:val="21"/>
          <w:szCs w:val="21"/>
          <w:highlight w:val="none"/>
          <w:lang w:val="zh-CN" w:eastAsia="zh-CN" w:bidi="ar-SA"/>
        </w:rPr>
        <w:t>大灌木须树冠完整，冠形统一，并根据品种选择分枝点较低苗木。小灌木须球形统一，种植后不得存在脱脚现象。</w:t>
      </w:r>
    </w:p>
    <w:p w14:paraId="25300948">
      <w:pPr>
        <w:pStyle w:val="7"/>
        <w:keepNext w:val="0"/>
        <w:keepLines w:val="0"/>
        <w:pageBreakBefore w:val="0"/>
        <w:widowControl w:val="0"/>
        <w:tabs>
          <w:tab w:val="left" w:pos="-3880"/>
          <w:tab w:val="left" w:pos="680"/>
        </w:tabs>
        <w:kinsoku/>
        <w:wordWrap/>
        <w:overflowPunct/>
        <w:topLinePunct w:val="0"/>
        <w:bidi w:val="0"/>
        <w:snapToGrid/>
        <w:spacing w:before="0" w:beforeLines="0" w:after="0" w:afterLines="0" w:line="440" w:lineRule="exact"/>
        <w:ind w:left="0" w:firstLine="0"/>
        <w:jc w:val="left"/>
        <w:textAlignment w:val="auto"/>
        <w:rPr>
          <w:rFonts w:hint="eastAsia" w:ascii="宋体" w:hAnsi="宋体" w:eastAsia="宋体" w:cs="宋体"/>
          <w:b w:val="0"/>
          <w:bCs w:val="0"/>
          <w:color w:val="auto"/>
          <w:kern w:val="0"/>
          <w:sz w:val="21"/>
          <w:szCs w:val="21"/>
          <w:highlight w:val="none"/>
          <w:lang w:val="zh-CN" w:eastAsia="zh-CN" w:bidi="ar-SA"/>
        </w:rPr>
      </w:pPr>
      <w:r>
        <w:rPr>
          <w:rFonts w:hint="eastAsia" w:ascii="宋体" w:hAnsi="宋体" w:eastAsia="宋体" w:cs="宋体"/>
          <w:b w:val="0"/>
          <w:bCs w:val="0"/>
          <w:color w:val="auto"/>
          <w:kern w:val="0"/>
          <w:sz w:val="21"/>
          <w:szCs w:val="21"/>
          <w:highlight w:val="none"/>
          <w:lang w:val="zh-CN" w:eastAsia="zh-CN" w:bidi="ar-SA"/>
        </w:rPr>
        <w:t>（</w:t>
      </w:r>
      <w:r>
        <w:rPr>
          <w:rFonts w:hint="eastAsia" w:ascii="宋体" w:hAnsi="宋体" w:eastAsia="宋体" w:cs="宋体"/>
          <w:b w:val="0"/>
          <w:bCs w:val="0"/>
          <w:color w:val="auto"/>
          <w:kern w:val="0"/>
          <w:sz w:val="21"/>
          <w:szCs w:val="21"/>
          <w:highlight w:val="none"/>
          <w:lang w:val="en-US" w:eastAsia="zh-CN" w:bidi="ar-SA"/>
        </w:rPr>
        <w:t>18）</w:t>
      </w:r>
      <w:r>
        <w:rPr>
          <w:rFonts w:hint="eastAsia" w:ascii="宋体" w:hAnsi="宋体" w:eastAsia="宋体" w:cs="宋体"/>
          <w:b w:val="0"/>
          <w:bCs w:val="0"/>
          <w:color w:val="auto"/>
          <w:kern w:val="0"/>
          <w:sz w:val="21"/>
          <w:szCs w:val="21"/>
          <w:highlight w:val="none"/>
          <w:lang w:val="zh-CN" w:eastAsia="zh-CN" w:bidi="ar-SA"/>
        </w:rPr>
        <w:t>乔木种植时，须严格把控种植后土球高度，乔木经过沉降后土球与周边草地地坪高差须一致，误差不得大于</w:t>
      </w:r>
      <w:r>
        <w:rPr>
          <w:rFonts w:hint="eastAsia" w:ascii="宋体" w:hAnsi="宋体" w:eastAsia="宋体" w:cs="宋体"/>
          <w:b w:val="0"/>
          <w:bCs w:val="0"/>
          <w:color w:val="auto"/>
          <w:kern w:val="0"/>
          <w:sz w:val="21"/>
          <w:szCs w:val="21"/>
          <w:highlight w:val="none"/>
          <w:lang w:val="en-US" w:eastAsia="zh-CN" w:bidi="ar-SA"/>
        </w:rPr>
        <w:t>5cm。</w:t>
      </w:r>
    </w:p>
    <w:p w14:paraId="149D75F8">
      <w:pPr>
        <w:pStyle w:val="7"/>
        <w:keepNext w:val="0"/>
        <w:keepLines w:val="0"/>
        <w:pageBreakBefore w:val="0"/>
        <w:widowControl w:val="0"/>
        <w:tabs>
          <w:tab w:val="left" w:pos="-3880"/>
          <w:tab w:val="left" w:pos="680"/>
        </w:tabs>
        <w:kinsoku/>
        <w:wordWrap/>
        <w:overflowPunct/>
        <w:topLinePunct w:val="0"/>
        <w:bidi w:val="0"/>
        <w:snapToGrid/>
        <w:spacing w:before="0" w:beforeLines="0" w:after="0" w:afterLines="0" w:line="440" w:lineRule="exact"/>
        <w:ind w:left="0" w:firstLine="0"/>
        <w:jc w:val="left"/>
        <w:textAlignment w:val="auto"/>
        <w:rPr>
          <w:rFonts w:hint="eastAsia" w:ascii="宋体" w:hAnsi="宋体" w:eastAsia="宋体" w:cs="宋体"/>
          <w:b w:val="0"/>
          <w:bCs w:val="0"/>
          <w:color w:val="auto"/>
          <w:kern w:val="0"/>
          <w:sz w:val="21"/>
          <w:szCs w:val="21"/>
          <w:highlight w:val="none"/>
          <w:lang w:val="zh-CN" w:eastAsia="zh-CN" w:bidi="ar-SA"/>
        </w:rPr>
      </w:pPr>
      <w:r>
        <w:rPr>
          <w:rFonts w:hint="eastAsia" w:ascii="宋体" w:hAnsi="宋体" w:eastAsia="宋体" w:cs="宋体"/>
          <w:b w:val="0"/>
          <w:bCs w:val="0"/>
          <w:color w:val="auto"/>
          <w:kern w:val="0"/>
          <w:sz w:val="21"/>
          <w:szCs w:val="21"/>
          <w:highlight w:val="none"/>
          <w:lang w:val="zh-CN" w:eastAsia="zh-CN" w:bidi="ar-SA"/>
        </w:rPr>
        <w:t>（</w:t>
      </w:r>
      <w:r>
        <w:rPr>
          <w:rFonts w:hint="eastAsia" w:ascii="宋体" w:hAnsi="宋体" w:eastAsia="宋体" w:cs="宋体"/>
          <w:b w:val="0"/>
          <w:bCs w:val="0"/>
          <w:color w:val="auto"/>
          <w:kern w:val="0"/>
          <w:sz w:val="21"/>
          <w:szCs w:val="21"/>
          <w:highlight w:val="none"/>
          <w:lang w:val="en-US" w:eastAsia="zh-CN" w:bidi="ar-SA"/>
        </w:rPr>
        <w:t>19）</w:t>
      </w:r>
      <w:r>
        <w:rPr>
          <w:rFonts w:hint="eastAsia" w:ascii="宋体" w:hAnsi="宋体" w:eastAsia="宋体" w:cs="宋体"/>
          <w:b w:val="0"/>
          <w:bCs w:val="0"/>
          <w:color w:val="auto"/>
          <w:kern w:val="0"/>
          <w:sz w:val="21"/>
          <w:szCs w:val="21"/>
          <w:highlight w:val="none"/>
          <w:lang w:val="zh-CN" w:eastAsia="zh-CN" w:bidi="ar-SA"/>
        </w:rPr>
        <w:t>球类或其他造型灌木应枝条分布均匀、丰满，冠面造型修剪后成几何图形。</w:t>
      </w:r>
    </w:p>
    <w:p w14:paraId="796AAEB0">
      <w:pPr>
        <w:pStyle w:val="7"/>
        <w:keepNext w:val="0"/>
        <w:keepLines w:val="0"/>
        <w:pageBreakBefore w:val="0"/>
        <w:widowControl w:val="0"/>
        <w:tabs>
          <w:tab w:val="left" w:pos="-3880"/>
          <w:tab w:val="left" w:pos="680"/>
        </w:tabs>
        <w:kinsoku/>
        <w:wordWrap/>
        <w:overflowPunct/>
        <w:topLinePunct w:val="0"/>
        <w:bidi w:val="0"/>
        <w:snapToGrid/>
        <w:spacing w:before="0" w:beforeLines="0" w:after="0" w:afterLines="0" w:line="440" w:lineRule="exact"/>
        <w:ind w:left="0" w:firstLine="0"/>
        <w:jc w:val="left"/>
        <w:textAlignment w:val="auto"/>
        <w:rPr>
          <w:rFonts w:hint="eastAsia" w:ascii="宋体" w:hAnsi="宋体" w:eastAsia="宋体" w:cs="宋体"/>
          <w:b w:val="0"/>
          <w:bCs w:val="0"/>
          <w:color w:val="auto"/>
          <w:kern w:val="0"/>
          <w:sz w:val="21"/>
          <w:szCs w:val="21"/>
          <w:highlight w:val="none"/>
          <w:lang w:val="zh-CN" w:eastAsia="zh-CN" w:bidi="ar-SA"/>
        </w:rPr>
      </w:pPr>
      <w:r>
        <w:rPr>
          <w:rFonts w:hint="eastAsia" w:ascii="宋体" w:hAnsi="宋体" w:eastAsia="宋体" w:cs="宋体"/>
          <w:b w:val="0"/>
          <w:bCs w:val="0"/>
          <w:color w:val="auto"/>
          <w:kern w:val="0"/>
          <w:sz w:val="21"/>
          <w:szCs w:val="21"/>
          <w:highlight w:val="none"/>
          <w:lang w:val="zh-CN" w:eastAsia="zh-CN" w:bidi="ar-SA"/>
        </w:rPr>
        <w:t>（</w:t>
      </w:r>
      <w:r>
        <w:rPr>
          <w:rFonts w:hint="eastAsia" w:ascii="宋体" w:hAnsi="宋体" w:eastAsia="宋体" w:cs="宋体"/>
          <w:b w:val="0"/>
          <w:bCs w:val="0"/>
          <w:color w:val="auto"/>
          <w:kern w:val="0"/>
          <w:sz w:val="21"/>
          <w:szCs w:val="21"/>
          <w:highlight w:val="none"/>
          <w:lang w:val="en-US" w:eastAsia="zh-CN" w:bidi="ar-SA"/>
        </w:rPr>
        <w:t>20）</w:t>
      </w:r>
      <w:r>
        <w:rPr>
          <w:rFonts w:hint="eastAsia" w:ascii="宋体" w:hAnsi="宋体" w:eastAsia="宋体" w:cs="宋体"/>
          <w:b w:val="0"/>
          <w:bCs w:val="0"/>
          <w:color w:val="auto"/>
          <w:kern w:val="0"/>
          <w:sz w:val="21"/>
          <w:szCs w:val="21"/>
          <w:highlight w:val="none"/>
          <w:lang w:val="zh-CN" w:eastAsia="zh-CN" w:bidi="ar-SA"/>
        </w:rPr>
        <w:t>地被类：地被植株同一品种时，规格大小应无明显差异，冠径应为</w:t>
      </w:r>
      <w:r>
        <w:rPr>
          <w:rFonts w:hint="eastAsia" w:ascii="宋体" w:hAnsi="宋体" w:eastAsia="宋体" w:cs="宋体"/>
          <w:b w:val="0"/>
          <w:bCs w:val="0"/>
          <w:color w:val="auto"/>
          <w:kern w:val="0"/>
          <w:sz w:val="21"/>
          <w:szCs w:val="21"/>
          <w:highlight w:val="none"/>
          <w:lang w:val="en-US" w:eastAsia="zh-CN" w:bidi="ar-SA"/>
        </w:rPr>
        <w:t>15~35cm。分枝不应少于3~6个，植株健壮，色泽明亮。植株根系完好，生长旺盛，无明显病虫害和较严重的机械损伤。</w:t>
      </w:r>
    </w:p>
    <w:p w14:paraId="3173FDC0">
      <w:pPr>
        <w:pStyle w:val="7"/>
        <w:keepNext w:val="0"/>
        <w:keepLines w:val="0"/>
        <w:pageBreakBefore w:val="0"/>
        <w:widowControl w:val="0"/>
        <w:tabs>
          <w:tab w:val="left" w:pos="-3880"/>
          <w:tab w:val="left" w:pos="680"/>
        </w:tabs>
        <w:kinsoku/>
        <w:wordWrap/>
        <w:overflowPunct/>
        <w:topLinePunct w:val="0"/>
        <w:bidi w:val="0"/>
        <w:snapToGrid/>
        <w:spacing w:before="0" w:beforeLines="0" w:after="0" w:afterLines="0" w:line="440" w:lineRule="exact"/>
        <w:ind w:left="0" w:firstLine="0"/>
        <w:jc w:val="left"/>
        <w:textAlignment w:val="auto"/>
        <w:rPr>
          <w:rFonts w:hint="eastAsia" w:ascii="宋体" w:hAnsi="宋体" w:eastAsia="宋体" w:cs="宋体"/>
          <w:b w:val="0"/>
          <w:bCs w:val="0"/>
          <w:color w:val="auto"/>
          <w:kern w:val="0"/>
          <w:sz w:val="21"/>
          <w:szCs w:val="21"/>
          <w:highlight w:val="none"/>
          <w:lang w:val="zh-CN" w:eastAsia="zh-CN" w:bidi="ar-SA"/>
        </w:rPr>
      </w:pPr>
      <w:r>
        <w:rPr>
          <w:rFonts w:hint="eastAsia" w:ascii="宋体" w:hAnsi="宋体" w:eastAsia="宋体" w:cs="宋体"/>
          <w:b w:val="0"/>
          <w:bCs w:val="0"/>
          <w:color w:val="auto"/>
          <w:kern w:val="0"/>
          <w:sz w:val="21"/>
          <w:szCs w:val="21"/>
          <w:highlight w:val="none"/>
          <w:lang w:val="zh-CN" w:eastAsia="zh-CN" w:bidi="ar-SA"/>
        </w:rPr>
        <w:t>（</w:t>
      </w:r>
      <w:r>
        <w:rPr>
          <w:rFonts w:hint="eastAsia" w:ascii="宋体" w:hAnsi="宋体" w:eastAsia="宋体" w:cs="宋体"/>
          <w:b w:val="0"/>
          <w:bCs w:val="0"/>
          <w:color w:val="auto"/>
          <w:kern w:val="0"/>
          <w:sz w:val="21"/>
          <w:szCs w:val="21"/>
          <w:highlight w:val="none"/>
          <w:lang w:val="en-US" w:eastAsia="zh-CN" w:bidi="ar-SA"/>
        </w:rPr>
        <w:t>21）</w:t>
      </w:r>
      <w:r>
        <w:rPr>
          <w:rFonts w:hint="eastAsia" w:ascii="宋体" w:hAnsi="宋体" w:eastAsia="宋体" w:cs="宋体"/>
          <w:b w:val="0"/>
          <w:bCs w:val="0"/>
          <w:color w:val="auto"/>
          <w:kern w:val="0"/>
          <w:sz w:val="21"/>
          <w:szCs w:val="21"/>
          <w:highlight w:val="none"/>
          <w:lang w:val="zh-CN" w:eastAsia="zh-CN" w:bidi="ar-SA"/>
        </w:rPr>
        <w:t>所有栽植苗木必须是达到招标文件要求的合格苗木。苗木到场后不经监理及业主验收不得自行栽植，若承包商擅自栽植且苗木质量达不到设计要求，施工单位必须在限定时间内，清退不合格苗木，同时业主有权视情况给予相应处罚。</w:t>
      </w:r>
    </w:p>
    <w:p w14:paraId="370860A3">
      <w:pPr>
        <w:pStyle w:val="7"/>
        <w:keepNext w:val="0"/>
        <w:keepLines w:val="0"/>
        <w:pageBreakBefore w:val="0"/>
        <w:widowControl w:val="0"/>
        <w:tabs>
          <w:tab w:val="left" w:pos="-3880"/>
          <w:tab w:val="left" w:pos="680"/>
        </w:tabs>
        <w:kinsoku/>
        <w:wordWrap/>
        <w:overflowPunct/>
        <w:topLinePunct w:val="0"/>
        <w:bidi w:val="0"/>
        <w:snapToGrid/>
        <w:spacing w:before="0" w:beforeLines="0" w:after="0" w:afterLines="0" w:line="440" w:lineRule="exact"/>
        <w:ind w:left="0" w:firstLine="0"/>
        <w:jc w:val="left"/>
        <w:textAlignment w:val="auto"/>
        <w:rPr>
          <w:rFonts w:hint="eastAsia" w:ascii="宋体" w:hAnsi="宋体" w:eastAsia="宋体" w:cs="宋体"/>
          <w:b w:val="0"/>
          <w:bCs w:val="0"/>
          <w:color w:val="auto"/>
          <w:kern w:val="0"/>
          <w:sz w:val="21"/>
          <w:szCs w:val="21"/>
          <w:highlight w:val="none"/>
          <w:lang w:val="zh-CN" w:eastAsia="zh-CN" w:bidi="ar-SA"/>
        </w:rPr>
      </w:pPr>
      <w:r>
        <w:rPr>
          <w:rFonts w:hint="eastAsia" w:ascii="宋体" w:hAnsi="宋体" w:eastAsia="宋体" w:cs="宋体"/>
          <w:b w:val="0"/>
          <w:bCs w:val="0"/>
          <w:color w:val="auto"/>
          <w:kern w:val="0"/>
          <w:sz w:val="21"/>
          <w:szCs w:val="21"/>
          <w:highlight w:val="none"/>
          <w:lang w:val="zh-CN" w:eastAsia="zh-CN" w:bidi="ar-SA"/>
        </w:rPr>
        <w:t>（</w:t>
      </w:r>
      <w:r>
        <w:rPr>
          <w:rFonts w:hint="eastAsia" w:ascii="宋体" w:hAnsi="宋体" w:eastAsia="宋体" w:cs="宋体"/>
          <w:b w:val="0"/>
          <w:bCs w:val="0"/>
          <w:color w:val="auto"/>
          <w:kern w:val="0"/>
          <w:sz w:val="21"/>
          <w:szCs w:val="21"/>
          <w:highlight w:val="none"/>
          <w:lang w:val="en-US" w:eastAsia="zh-CN" w:bidi="ar-SA"/>
        </w:rPr>
        <w:t>22）</w:t>
      </w:r>
      <w:r>
        <w:rPr>
          <w:rFonts w:hint="eastAsia" w:ascii="宋体" w:hAnsi="宋体" w:eastAsia="宋体" w:cs="宋体"/>
          <w:b w:val="0"/>
          <w:bCs w:val="0"/>
          <w:color w:val="auto"/>
          <w:kern w:val="0"/>
          <w:sz w:val="21"/>
          <w:szCs w:val="21"/>
          <w:highlight w:val="none"/>
          <w:lang w:val="zh-CN" w:eastAsia="zh-CN" w:bidi="ar-SA"/>
        </w:rPr>
        <w:t>色块灌木栽植不能见土，按要求的密度栽植，并按要求修剪整形，对易黄花的地被植物，如毛鹃等需及时采取养护措施，保证叶片自然色。</w:t>
      </w:r>
    </w:p>
    <w:p w14:paraId="26775131">
      <w:pPr>
        <w:pStyle w:val="7"/>
        <w:keepNext w:val="0"/>
        <w:keepLines w:val="0"/>
        <w:pageBreakBefore w:val="0"/>
        <w:widowControl w:val="0"/>
        <w:tabs>
          <w:tab w:val="left" w:pos="-3880"/>
          <w:tab w:val="left" w:pos="680"/>
        </w:tabs>
        <w:kinsoku/>
        <w:wordWrap/>
        <w:overflowPunct/>
        <w:topLinePunct w:val="0"/>
        <w:bidi w:val="0"/>
        <w:snapToGrid/>
        <w:spacing w:before="0" w:beforeLines="0" w:after="0" w:afterLines="0" w:line="440" w:lineRule="exact"/>
        <w:ind w:left="0" w:firstLine="0"/>
        <w:jc w:val="left"/>
        <w:textAlignment w:val="auto"/>
        <w:rPr>
          <w:rFonts w:hint="eastAsia" w:ascii="宋体" w:hAnsi="宋体" w:eastAsia="宋体" w:cs="宋体"/>
          <w:b w:val="0"/>
          <w:bCs w:val="0"/>
          <w:color w:val="auto"/>
          <w:kern w:val="0"/>
          <w:sz w:val="21"/>
          <w:szCs w:val="21"/>
          <w:highlight w:val="none"/>
          <w:lang w:val="zh-CN" w:eastAsia="zh-CN" w:bidi="ar-SA"/>
        </w:rPr>
      </w:pPr>
      <w:r>
        <w:rPr>
          <w:rFonts w:hint="eastAsia" w:ascii="宋体" w:hAnsi="宋体" w:eastAsia="宋体" w:cs="宋体"/>
          <w:b w:val="0"/>
          <w:bCs w:val="0"/>
          <w:color w:val="auto"/>
          <w:kern w:val="0"/>
          <w:sz w:val="21"/>
          <w:szCs w:val="21"/>
          <w:highlight w:val="none"/>
          <w:lang w:val="en-US" w:eastAsia="zh-CN" w:bidi="ar-SA"/>
        </w:rPr>
        <w:t>（23）地被与草坪交界处需进行切沟处理，切沟需线型流畅美观，深度达5cm，剖面需坚挺。</w:t>
      </w:r>
    </w:p>
    <w:p w14:paraId="6225B27C">
      <w:pPr>
        <w:pStyle w:val="7"/>
        <w:keepNext w:val="0"/>
        <w:keepLines w:val="0"/>
        <w:pageBreakBefore w:val="0"/>
        <w:widowControl w:val="0"/>
        <w:tabs>
          <w:tab w:val="left" w:pos="-3880"/>
          <w:tab w:val="left" w:pos="680"/>
        </w:tabs>
        <w:kinsoku/>
        <w:wordWrap/>
        <w:overflowPunct/>
        <w:topLinePunct w:val="0"/>
        <w:bidi w:val="0"/>
        <w:snapToGrid/>
        <w:spacing w:before="0" w:beforeLines="0" w:after="0" w:afterLines="0" w:line="440" w:lineRule="exact"/>
        <w:ind w:left="0" w:firstLine="0"/>
        <w:jc w:val="left"/>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（24）乔灌木种植时放置PVC管进行苗木透气处理。PVC管的长度按种植穴要求，栽植于草坪上的乔灌木树穴需切圆并铺设树皮处理。</w:t>
      </w:r>
    </w:p>
    <w:p w14:paraId="229E9A2D">
      <w:pPr>
        <w:pStyle w:val="7"/>
        <w:keepNext w:val="0"/>
        <w:keepLines w:val="0"/>
        <w:pageBreakBefore w:val="0"/>
        <w:widowControl w:val="0"/>
        <w:tabs>
          <w:tab w:val="left" w:pos="-3880"/>
          <w:tab w:val="left" w:pos="680"/>
        </w:tabs>
        <w:kinsoku/>
        <w:wordWrap/>
        <w:overflowPunct/>
        <w:topLinePunct w:val="0"/>
        <w:bidi w:val="0"/>
        <w:snapToGrid/>
        <w:spacing w:before="0" w:beforeLines="0" w:after="0" w:afterLines="0" w:line="440" w:lineRule="exact"/>
        <w:ind w:left="0" w:firstLine="0"/>
        <w:jc w:val="left"/>
        <w:textAlignment w:val="auto"/>
        <w:rPr>
          <w:rFonts w:hint="eastAsia" w:ascii="宋体" w:hAnsi="宋体" w:eastAsia="宋体" w:cs="宋体"/>
          <w:b w:val="0"/>
          <w:bCs w:val="0"/>
          <w:color w:val="auto"/>
          <w:kern w:val="0"/>
          <w:sz w:val="21"/>
          <w:szCs w:val="21"/>
          <w:highlight w:val="none"/>
          <w:lang w:val="zh-CN" w:eastAsia="zh-CN" w:bidi="ar-SA"/>
        </w:rPr>
      </w:pPr>
      <w:r>
        <w:rPr>
          <w:rFonts w:hint="eastAsia" w:ascii="宋体" w:hAnsi="宋体" w:eastAsia="宋体" w:cs="宋体"/>
          <w:b w:val="0"/>
          <w:bCs w:val="0"/>
          <w:color w:val="auto"/>
          <w:kern w:val="0"/>
          <w:sz w:val="21"/>
          <w:szCs w:val="21"/>
          <w:highlight w:val="none"/>
          <w:lang w:val="zh-CN" w:eastAsia="zh-CN" w:bidi="ar-SA"/>
        </w:rPr>
        <w:t>（</w:t>
      </w:r>
      <w:r>
        <w:rPr>
          <w:rFonts w:hint="eastAsia" w:ascii="宋体" w:hAnsi="宋体" w:eastAsia="宋体" w:cs="宋体"/>
          <w:b w:val="0"/>
          <w:bCs w:val="0"/>
          <w:color w:val="auto"/>
          <w:kern w:val="0"/>
          <w:sz w:val="21"/>
          <w:szCs w:val="21"/>
          <w:highlight w:val="none"/>
          <w:lang w:val="en-US" w:eastAsia="zh-CN" w:bidi="ar-SA"/>
        </w:rPr>
        <w:t>25）</w:t>
      </w:r>
      <w:r>
        <w:rPr>
          <w:rFonts w:hint="eastAsia" w:ascii="宋体" w:hAnsi="宋体" w:eastAsia="宋体" w:cs="宋体"/>
          <w:b w:val="0"/>
          <w:bCs w:val="0"/>
          <w:color w:val="auto"/>
          <w:kern w:val="0"/>
          <w:sz w:val="21"/>
          <w:szCs w:val="21"/>
          <w:highlight w:val="none"/>
          <w:lang w:val="zh-CN" w:eastAsia="zh-CN" w:bidi="ar-SA"/>
        </w:rPr>
        <w:t>树木扶架：所有乔木应按技术规范要求扶架，其中胸径20CM以上乔木要求打四脚桩，20CM以下打三脚桩，小乔木打一字桩。扶架布置方向一致，整齐美观，使用成品支撑器。竹类棕线网格线绑扎，绑扎树木处应垫夹垫物，绑扎后的树干应保持直立。 (详细依据施工图纸)</w:t>
      </w:r>
    </w:p>
    <w:p w14:paraId="2BA62856">
      <w:pPr>
        <w:pStyle w:val="7"/>
        <w:keepNext w:val="0"/>
        <w:keepLines w:val="0"/>
        <w:pageBreakBefore w:val="0"/>
        <w:widowControl w:val="0"/>
        <w:tabs>
          <w:tab w:val="left" w:pos="-3880"/>
          <w:tab w:val="left" w:pos="680"/>
        </w:tabs>
        <w:kinsoku/>
        <w:wordWrap/>
        <w:overflowPunct/>
        <w:topLinePunct w:val="0"/>
        <w:bidi w:val="0"/>
        <w:snapToGrid/>
        <w:spacing w:before="0" w:beforeLines="0" w:after="0" w:afterLines="0" w:line="440" w:lineRule="exact"/>
        <w:ind w:left="0" w:firstLine="0"/>
        <w:jc w:val="left"/>
        <w:textAlignment w:val="auto"/>
        <w:rPr>
          <w:rFonts w:hint="eastAsia" w:ascii="宋体" w:hAnsi="宋体" w:eastAsia="宋体" w:cs="宋体"/>
          <w:b w:val="0"/>
          <w:bCs w:val="0"/>
          <w:color w:val="auto"/>
          <w:kern w:val="0"/>
          <w:sz w:val="21"/>
          <w:szCs w:val="21"/>
          <w:highlight w:val="none"/>
          <w:lang w:val="zh-CN" w:eastAsia="zh-CN" w:bidi="ar-SA"/>
        </w:rPr>
      </w:pPr>
      <w:r>
        <w:rPr>
          <w:rFonts w:hint="eastAsia" w:ascii="宋体" w:hAnsi="宋体" w:eastAsia="宋体" w:cs="宋体"/>
          <w:b w:val="0"/>
          <w:bCs w:val="0"/>
          <w:color w:val="auto"/>
          <w:kern w:val="0"/>
          <w:sz w:val="21"/>
          <w:szCs w:val="21"/>
          <w:highlight w:val="none"/>
          <w:lang w:val="zh-CN" w:eastAsia="zh-CN" w:bidi="ar-SA"/>
        </w:rPr>
        <w:t>（</w:t>
      </w:r>
      <w:r>
        <w:rPr>
          <w:rFonts w:hint="eastAsia" w:ascii="宋体" w:hAnsi="宋体" w:eastAsia="宋体" w:cs="宋体"/>
          <w:b w:val="0"/>
          <w:bCs w:val="0"/>
          <w:color w:val="auto"/>
          <w:kern w:val="0"/>
          <w:sz w:val="21"/>
          <w:szCs w:val="21"/>
          <w:highlight w:val="none"/>
          <w:lang w:val="en-US" w:eastAsia="zh-CN" w:bidi="ar-SA"/>
        </w:rPr>
        <w:t>26）</w:t>
      </w:r>
      <w:r>
        <w:rPr>
          <w:rFonts w:hint="eastAsia" w:ascii="宋体" w:hAnsi="宋体" w:eastAsia="宋体" w:cs="宋体"/>
          <w:b w:val="0"/>
          <w:bCs w:val="0"/>
          <w:color w:val="auto"/>
          <w:kern w:val="0"/>
          <w:sz w:val="21"/>
          <w:szCs w:val="21"/>
          <w:highlight w:val="none"/>
          <w:lang w:val="zh-CN" w:eastAsia="zh-CN" w:bidi="ar-SA"/>
        </w:rPr>
        <w:t>土方工程：承包商须按图纸标高要求进行平整回填，图纸标高为土方沉降后标高。承包商必须按照图纸和种植要求，进行所有堆坡及表层种植土(及树穴等)的换土或增加，种植土厚度须满足规范要求。</w:t>
      </w:r>
    </w:p>
    <w:p w14:paraId="7F6600B5">
      <w:pPr>
        <w:pStyle w:val="7"/>
        <w:keepNext w:val="0"/>
        <w:keepLines w:val="0"/>
        <w:pageBreakBefore w:val="0"/>
        <w:widowControl w:val="0"/>
        <w:tabs>
          <w:tab w:val="left" w:pos="-3880"/>
          <w:tab w:val="left" w:pos="680"/>
        </w:tabs>
        <w:kinsoku/>
        <w:wordWrap/>
        <w:overflowPunct/>
        <w:topLinePunct w:val="0"/>
        <w:bidi w:val="0"/>
        <w:snapToGrid/>
        <w:spacing w:before="0" w:beforeLines="0" w:after="0" w:afterLines="0" w:line="440" w:lineRule="exact"/>
        <w:ind w:left="0" w:firstLine="0"/>
        <w:jc w:val="left"/>
        <w:textAlignment w:val="auto"/>
        <w:rPr>
          <w:rFonts w:hint="eastAsia" w:ascii="宋体" w:hAnsi="宋体" w:eastAsia="宋体" w:cs="宋体"/>
          <w:b w:val="0"/>
          <w:bCs w:val="0"/>
          <w:color w:val="auto"/>
          <w:kern w:val="0"/>
          <w:sz w:val="21"/>
          <w:szCs w:val="21"/>
          <w:highlight w:val="none"/>
          <w:lang w:val="zh-CN" w:eastAsia="zh-CN" w:bidi="ar-SA"/>
        </w:rPr>
      </w:pPr>
      <w:r>
        <w:rPr>
          <w:rFonts w:hint="eastAsia" w:ascii="宋体" w:hAnsi="宋体" w:eastAsia="宋体" w:cs="宋体"/>
          <w:b w:val="0"/>
          <w:bCs w:val="0"/>
          <w:color w:val="auto"/>
          <w:kern w:val="0"/>
          <w:sz w:val="21"/>
          <w:szCs w:val="21"/>
          <w:highlight w:val="none"/>
          <w:lang w:val="zh-CN" w:eastAsia="zh-CN" w:bidi="ar-SA"/>
        </w:rPr>
        <w:t>（</w:t>
      </w:r>
      <w:r>
        <w:rPr>
          <w:rFonts w:hint="eastAsia" w:ascii="宋体" w:hAnsi="宋体" w:eastAsia="宋体" w:cs="宋体"/>
          <w:b w:val="0"/>
          <w:bCs w:val="0"/>
          <w:color w:val="auto"/>
          <w:kern w:val="0"/>
          <w:sz w:val="21"/>
          <w:szCs w:val="21"/>
          <w:highlight w:val="none"/>
          <w:lang w:val="en-US" w:eastAsia="zh-CN" w:bidi="ar-SA"/>
        </w:rPr>
        <w:t>27）</w:t>
      </w:r>
      <w:r>
        <w:rPr>
          <w:rFonts w:hint="eastAsia" w:ascii="宋体" w:hAnsi="宋体" w:eastAsia="宋体" w:cs="宋体"/>
          <w:b w:val="0"/>
          <w:bCs w:val="0"/>
          <w:color w:val="auto"/>
          <w:kern w:val="0"/>
          <w:sz w:val="21"/>
          <w:szCs w:val="21"/>
          <w:highlight w:val="none"/>
          <w:lang w:val="zh-CN" w:eastAsia="zh-CN" w:bidi="ar-SA"/>
        </w:rPr>
        <w:t>绿化在种植前，必须将场地内的垃圾（施工垃圾、生活垃圾等）清理干净。种植土内，不得有石块、砖头、混凝土块等影响草坪平整的各种垃圾。草坪种植前，整平的种植土面必须经过监理的验收。草坪种植土应进行粉碎、翻耙。</w:t>
      </w:r>
    </w:p>
    <w:p w14:paraId="15CEABF3">
      <w:pPr>
        <w:pStyle w:val="7"/>
        <w:keepNext w:val="0"/>
        <w:keepLines w:val="0"/>
        <w:pageBreakBefore w:val="0"/>
        <w:widowControl w:val="0"/>
        <w:tabs>
          <w:tab w:val="left" w:pos="-3880"/>
          <w:tab w:val="left" w:pos="680"/>
        </w:tabs>
        <w:kinsoku/>
        <w:wordWrap/>
        <w:overflowPunct/>
        <w:topLinePunct w:val="0"/>
        <w:bidi w:val="0"/>
        <w:snapToGrid/>
        <w:spacing w:before="0" w:beforeLines="0" w:after="0" w:afterLines="0" w:line="440" w:lineRule="exact"/>
        <w:ind w:left="0" w:firstLine="0"/>
        <w:jc w:val="left"/>
        <w:textAlignment w:val="auto"/>
        <w:rPr>
          <w:rFonts w:hint="eastAsia" w:ascii="宋体" w:hAnsi="宋体" w:eastAsia="宋体" w:cs="宋体"/>
          <w:b w:val="0"/>
          <w:bCs w:val="0"/>
          <w:color w:val="auto"/>
          <w:kern w:val="0"/>
          <w:sz w:val="21"/>
          <w:szCs w:val="21"/>
          <w:highlight w:val="none"/>
          <w:lang w:val="zh-CN" w:eastAsia="zh-CN" w:bidi="ar-SA"/>
        </w:rPr>
      </w:pPr>
      <w:r>
        <w:rPr>
          <w:rFonts w:hint="eastAsia" w:ascii="宋体" w:hAnsi="宋体" w:eastAsia="宋体" w:cs="宋体"/>
          <w:b w:val="0"/>
          <w:bCs w:val="0"/>
          <w:color w:val="auto"/>
          <w:kern w:val="0"/>
          <w:sz w:val="21"/>
          <w:szCs w:val="21"/>
          <w:highlight w:val="none"/>
          <w:lang w:val="zh-CN" w:eastAsia="zh-CN" w:bidi="ar-SA"/>
        </w:rPr>
        <w:t>（</w:t>
      </w:r>
      <w:r>
        <w:rPr>
          <w:rFonts w:hint="eastAsia" w:ascii="宋体" w:hAnsi="宋体" w:eastAsia="宋体" w:cs="宋体"/>
          <w:b w:val="0"/>
          <w:bCs w:val="0"/>
          <w:color w:val="auto"/>
          <w:kern w:val="0"/>
          <w:sz w:val="21"/>
          <w:szCs w:val="21"/>
          <w:highlight w:val="none"/>
          <w:lang w:val="en-US" w:eastAsia="zh-CN" w:bidi="ar-SA"/>
        </w:rPr>
        <w:t>28）</w:t>
      </w:r>
      <w:r>
        <w:rPr>
          <w:rFonts w:hint="eastAsia" w:ascii="宋体" w:hAnsi="宋体" w:eastAsia="宋体" w:cs="宋体"/>
          <w:b w:val="0"/>
          <w:bCs w:val="0"/>
          <w:color w:val="auto"/>
          <w:kern w:val="0"/>
          <w:sz w:val="21"/>
          <w:szCs w:val="21"/>
          <w:highlight w:val="none"/>
          <w:lang w:val="zh-CN" w:eastAsia="zh-CN" w:bidi="ar-SA"/>
        </w:rPr>
        <w:t>其他承包商完成的管道、井、沟、管路、电缆等设施，不得破坏。承包商若需要接入、接出管道等与其他承包商有关事宜，均需与其他承包商协调后按规范进行。</w:t>
      </w:r>
    </w:p>
    <w:p w14:paraId="72EAC101">
      <w:pPr>
        <w:pStyle w:val="7"/>
        <w:keepNext w:val="0"/>
        <w:keepLines w:val="0"/>
        <w:pageBreakBefore w:val="0"/>
        <w:widowControl w:val="0"/>
        <w:tabs>
          <w:tab w:val="left" w:pos="-3880"/>
          <w:tab w:val="left" w:pos="680"/>
        </w:tabs>
        <w:kinsoku/>
        <w:wordWrap/>
        <w:overflowPunct/>
        <w:topLinePunct w:val="0"/>
        <w:bidi w:val="0"/>
        <w:snapToGrid/>
        <w:spacing w:before="0" w:beforeLines="0" w:after="0" w:afterLines="0" w:line="440" w:lineRule="exact"/>
        <w:ind w:left="0" w:firstLine="0"/>
        <w:jc w:val="left"/>
        <w:textAlignment w:val="auto"/>
        <w:rPr>
          <w:rFonts w:hint="eastAsia" w:ascii="宋体" w:hAnsi="宋体" w:eastAsia="宋体" w:cs="宋体"/>
          <w:b w:val="0"/>
          <w:bCs w:val="0"/>
          <w:color w:val="auto"/>
          <w:kern w:val="0"/>
          <w:sz w:val="21"/>
          <w:szCs w:val="21"/>
          <w:highlight w:val="none"/>
          <w:lang w:val="zh-CN" w:eastAsia="zh-CN" w:bidi="ar-SA"/>
        </w:rPr>
      </w:pPr>
      <w:r>
        <w:rPr>
          <w:rFonts w:hint="eastAsia" w:ascii="宋体" w:hAnsi="宋体" w:eastAsia="宋体" w:cs="宋体"/>
          <w:b w:val="0"/>
          <w:bCs w:val="0"/>
          <w:color w:val="auto"/>
          <w:kern w:val="0"/>
          <w:sz w:val="21"/>
          <w:szCs w:val="21"/>
          <w:highlight w:val="none"/>
          <w:lang w:val="zh-CN" w:eastAsia="zh-CN" w:bidi="ar-SA"/>
        </w:rPr>
        <w:t>（</w:t>
      </w:r>
      <w:r>
        <w:rPr>
          <w:rFonts w:hint="eastAsia" w:ascii="宋体" w:hAnsi="宋体" w:eastAsia="宋体" w:cs="宋体"/>
          <w:b w:val="0"/>
          <w:bCs w:val="0"/>
          <w:color w:val="auto"/>
          <w:kern w:val="0"/>
          <w:sz w:val="21"/>
          <w:szCs w:val="21"/>
          <w:highlight w:val="none"/>
          <w:lang w:val="en-US" w:eastAsia="zh-CN" w:bidi="ar-SA"/>
        </w:rPr>
        <w:t>29）</w:t>
      </w:r>
      <w:r>
        <w:rPr>
          <w:rFonts w:hint="eastAsia" w:ascii="宋体" w:hAnsi="宋体" w:eastAsia="宋体" w:cs="宋体"/>
          <w:b w:val="0"/>
          <w:bCs w:val="0"/>
          <w:color w:val="auto"/>
          <w:kern w:val="0"/>
          <w:sz w:val="21"/>
          <w:szCs w:val="21"/>
          <w:highlight w:val="none"/>
          <w:lang w:val="zh-CN" w:eastAsia="zh-CN" w:bidi="ar-SA"/>
        </w:rPr>
        <w:t>承包商应考虑到苗木运输及更换的路径和准备措施，由此造成的各种损坏（如路面下沉、破损等），承包商应负责进行及时原样修复。</w:t>
      </w:r>
    </w:p>
    <w:p w14:paraId="582AEBD2">
      <w:pPr>
        <w:pStyle w:val="7"/>
        <w:keepNext w:val="0"/>
        <w:keepLines w:val="0"/>
        <w:pageBreakBefore w:val="0"/>
        <w:widowControl w:val="0"/>
        <w:tabs>
          <w:tab w:val="left" w:pos="-3880"/>
          <w:tab w:val="left" w:pos="567"/>
          <w:tab w:val="left" w:pos="680"/>
        </w:tabs>
        <w:kinsoku/>
        <w:wordWrap/>
        <w:overflowPunct/>
        <w:topLinePunct w:val="0"/>
        <w:bidi w:val="0"/>
        <w:snapToGrid/>
        <w:spacing w:before="0" w:beforeLines="0" w:after="0" w:afterLines="0" w:line="440" w:lineRule="exact"/>
        <w:ind w:left="0" w:firstLine="0"/>
        <w:jc w:val="left"/>
        <w:textAlignment w:val="auto"/>
        <w:rPr>
          <w:rFonts w:hint="eastAsia" w:ascii="宋体" w:hAnsi="宋体" w:eastAsia="宋体" w:cs="宋体"/>
          <w:b w:val="0"/>
          <w:bCs w:val="0"/>
          <w:color w:val="auto"/>
          <w:kern w:val="0"/>
          <w:sz w:val="21"/>
          <w:szCs w:val="21"/>
          <w:highlight w:val="none"/>
          <w:lang w:val="zh-CN" w:eastAsia="zh-CN" w:bidi="ar-SA"/>
        </w:rPr>
      </w:pPr>
      <w:r>
        <w:rPr>
          <w:rFonts w:hint="eastAsia" w:ascii="宋体" w:hAnsi="宋体" w:eastAsia="宋体" w:cs="宋体"/>
          <w:b w:val="0"/>
          <w:bCs w:val="0"/>
          <w:color w:val="auto"/>
          <w:kern w:val="0"/>
          <w:sz w:val="21"/>
          <w:szCs w:val="21"/>
          <w:highlight w:val="none"/>
          <w:lang w:val="zh-CN" w:eastAsia="zh-CN" w:bidi="ar-SA"/>
        </w:rPr>
        <w:t>（</w:t>
      </w:r>
      <w:r>
        <w:rPr>
          <w:rFonts w:hint="eastAsia" w:ascii="宋体" w:hAnsi="宋体" w:eastAsia="宋体" w:cs="宋体"/>
          <w:b w:val="0"/>
          <w:bCs w:val="0"/>
          <w:color w:val="auto"/>
          <w:kern w:val="0"/>
          <w:sz w:val="21"/>
          <w:szCs w:val="21"/>
          <w:highlight w:val="none"/>
          <w:lang w:val="en-US" w:eastAsia="zh-CN" w:bidi="ar-SA"/>
        </w:rPr>
        <w:t>30）</w:t>
      </w:r>
      <w:r>
        <w:rPr>
          <w:rFonts w:hint="eastAsia" w:ascii="宋体" w:hAnsi="宋体" w:eastAsia="宋体" w:cs="宋体"/>
          <w:b w:val="0"/>
          <w:bCs w:val="0"/>
          <w:color w:val="auto"/>
          <w:kern w:val="0"/>
          <w:sz w:val="21"/>
          <w:szCs w:val="21"/>
          <w:highlight w:val="none"/>
          <w:lang w:val="zh-CN" w:eastAsia="zh-CN" w:bidi="ar-SA"/>
        </w:rPr>
        <w:t>养护浇水，不得将泥土冲带到道路、其他铺装地面、建筑物或其他地面设备上。否则，应清理干净并承担相应的费用。</w:t>
      </w:r>
    </w:p>
    <w:p w14:paraId="072B39C8">
      <w:pPr>
        <w:pStyle w:val="40"/>
        <w:keepNext w:val="0"/>
        <w:keepLines w:val="0"/>
        <w:pageBreakBefore w:val="0"/>
        <w:widowControl w:val="0"/>
        <w:kinsoku/>
        <w:wordWrap/>
        <w:overflowPunct/>
        <w:topLinePunct w:val="0"/>
        <w:bidi w:val="0"/>
        <w:snapToGrid/>
        <w:spacing w:line="440" w:lineRule="exact"/>
        <w:jc w:val="left"/>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绿化施工开始至养护期结束期间，死亡的苗木应立即清理，不得以气候、机械等借口进行拖延。</w:t>
      </w:r>
    </w:p>
    <w:p w14:paraId="06CEE5F8">
      <w:pPr>
        <w:pStyle w:val="40"/>
        <w:keepNext w:val="0"/>
        <w:keepLines w:val="0"/>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10.临时用水</w:t>
      </w:r>
    </w:p>
    <w:p w14:paraId="26F53B22">
      <w:pPr>
        <w:widowControl/>
        <w:spacing w:line="440" w:lineRule="exact"/>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由发包人负责提供临时施工用水接口，具体临时施工用水位置以现场踏勘为准，由承包人负责接至工地现场、办公区及生活区。并交纳相应的用水费用（如由承包人负责直接缴费的话，如若发包人代缴相应费用，发包人将在承包人每月工程款中扣除该部分费用并加收20%管理费）。由于总承包人措施不当、管理不力而造成停水，导致工程发生质量事故的，由此造成的一切直接和间接的经济损失将由总承包人承担。</w:t>
      </w:r>
    </w:p>
    <w:p w14:paraId="07D1A28D">
      <w:pPr>
        <w:pStyle w:val="40"/>
        <w:keepNext w:val="0"/>
        <w:keepLines w:val="0"/>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11.临时用电</w:t>
      </w:r>
    </w:p>
    <w:p w14:paraId="6F57ABC7">
      <w:pPr>
        <w:pStyle w:val="9"/>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发包人负责委托供电部门为承包人提供电容量为</w:t>
      </w:r>
      <w:r>
        <w:rPr>
          <w:rFonts w:hint="eastAsia" w:ascii="宋体" w:hAnsi="宋体" w:cs="宋体"/>
          <w:color w:val="auto"/>
          <w:kern w:val="0"/>
          <w:sz w:val="21"/>
          <w:szCs w:val="21"/>
          <w:highlight w:val="none"/>
          <w:lang w:val="en-US" w:eastAsia="zh-CN" w:bidi="ar-SA"/>
        </w:rPr>
        <w:t>630</w:t>
      </w:r>
      <w:r>
        <w:rPr>
          <w:rFonts w:hint="eastAsia" w:ascii="宋体" w:hAnsi="宋体" w:eastAsia="宋体" w:cs="宋体"/>
          <w:color w:val="auto"/>
          <w:kern w:val="0"/>
          <w:sz w:val="21"/>
          <w:szCs w:val="21"/>
          <w:highlight w:val="none"/>
          <w:lang w:val="en-US" w:eastAsia="zh-CN" w:bidi="ar-SA"/>
        </w:rPr>
        <w:t>KVA的临时供电电源。具体位置以现场踏勘为准。总承包单位进场后需对临时用电安全负责。如总承包人认为此电容量不足（如桩基础施工阶段需要多台桩机同时进行施工），须自备发电机组并将此费用一并报入总价。</w:t>
      </w:r>
    </w:p>
    <w:p w14:paraId="603EBE0F">
      <w:pPr>
        <w:pStyle w:val="40"/>
        <w:keepNext w:val="0"/>
        <w:keepLines w:val="0"/>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12.设备材料</w:t>
      </w:r>
    </w:p>
    <w:p w14:paraId="33454052">
      <w:pPr>
        <w:pStyle w:val="41"/>
        <w:tabs>
          <w:tab w:val="left" w:pos="0"/>
        </w:tabs>
        <w:spacing w:line="440" w:lineRule="exact"/>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12.1本工程的材料均由承包人提供，而所选用形成工程实体的材料必须是新的材料，所有投标设备、材料的技术参数、功能要求、效果要求等都不能低于设计要求、招标要求、有关规范等的要求。</w:t>
      </w:r>
    </w:p>
    <w:p w14:paraId="720841F2">
      <w:pPr>
        <w:pStyle w:val="41"/>
        <w:tabs>
          <w:tab w:val="left" w:pos="0"/>
        </w:tabs>
        <w:spacing w:line="440" w:lineRule="exact"/>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12.2承包人应自行对主要材料的供应商进行考察，在确认了供应商资质、生产能力、质量状况、信誉等情况下，将拟用于本工程的主要材料供应商的有关资料呈予发包人审核批准。上述审核批准将不会免除承包人应对上述材料在本工程使用中的有关质量、供货、进度等缺陷所应负的义务、职责、责任，发包人也不会接受承包人就此等问题向发包人所提出的有关工期、费用的索赔。</w:t>
      </w:r>
    </w:p>
    <w:p w14:paraId="17877462">
      <w:pPr>
        <w:pStyle w:val="41"/>
        <w:tabs>
          <w:tab w:val="left" w:pos="0"/>
        </w:tabs>
        <w:spacing w:line="440" w:lineRule="exact"/>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12.3若未能达到上述的要求，承包人须负责更换材料（包括钢筋、混凝土等）及重新施工直至达到要求为止。所有因此而引起的费用、损失及工期延迟须由承包人全面负责。</w:t>
      </w:r>
    </w:p>
    <w:p w14:paraId="399FA0B9">
      <w:pPr>
        <w:pStyle w:val="40"/>
        <w:keepNext w:val="0"/>
        <w:keepLines w:val="0"/>
        <w:pageBreakBefore w:val="0"/>
        <w:widowControl w:val="0"/>
        <w:kinsoku/>
        <w:wordWrap/>
        <w:overflowPunct/>
        <w:topLinePunct w:val="0"/>
        <w:bidi w:val="0"/>
        <w:snapToGrid/>
        <w:spacing w:line="440" w:lineRule="exact"/>
        <w:ind w:firstLine="420" w:firstLineChars="20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12.4由于承包人订购材料时间拖延而引起的工期延误，应由承包人承担全部责任，同时工期不得顺延。</w:t>
      </w:r>
    </w:p>
    <w:p w14:paraId="4352A581">
      <w:pPr>
        <w:spacing w:line="440" w:lineRule="exact"/>
        <w:ind w:firstLine="420" w:firstLineChars="200"/>
        <w:jc w:val="left"/>
        <w:rPr>
          <w:rFonts w:hint="eastAsia" w:ascii="宋体" w:hAnsi="宋体"/>
          <w:color w:val="auto"/>
          <w:szCs w:val="21"/>
          <w:highlight w:val="none"/>
        </w:rPr>
      </w:pPr>
      <w:r>
        <w:rPr>
          <w:rFonts w:hint="eastAsia" w:ascii="宋体" w:hAnsi="宋体" w:eastAsia="宋体" w:cs="宋体"/>
          <w:color w:val="auto"/>
          <w:kern w:val="0"/>
          <w:sz w:val="21"/>
          <w:szCs w:val="21"/>
          <w:highlight w:val="none"/>
          <w:lang w:val="en-US" w:eastAsia="zh-CN" w:bidi="ar-SA"/>
        </w:rPr>
        <w:t>12.5</w:t>
      </w:r>
      <w:r>
        <w:rPr>
          <w:rFonts w:hint="eastAsia" w:ascii="宋体" w:hAnsi="宋体"/>
          <w:color w:val="auto"/>
          <w:szCs w:val="21"/>
          <w:highlight w:val="none"/>
        </w:rPr>
        <w:t>发包人在招标文件中推荐的材料品牌，仅表明这些材料品牌通过发包人的初步审查，并非发包人指定的材料品牌，也不表示发包人对其质量、供货期限等承担任何保证责任。如承包人选用发包人推荐材料品牌，不免除或减轻承包人的任何责任，仍由承包人负责对其质量、供货期限等承担全部责任。承包人在投标时填报确定采用的材料品牌是承包人对发包人的承诺，对承包人有约束力，未经发包人同意，不得在实际施工中更改。</w:t>
      </w:r>
    </w:p>
    <w:p w14:paraId="2A337C64">
      <w:pPr>
        <w:spacing w:line="440" w:lineRule="exact"/>
        <w:ind w:firstLine="420" w:firstLineChars="200"/>
        <w:jc w:val="left"/>
        <w:rPr>
          <w:rFonts w:hint="eastAsia" w:ascii="宋体" w:hAnsi="宋体"/>
          <w:color w:val="auto"/>
          <w:szCs w:val="21"/>
          <w:highlight w:val="none"/>
        </w:rPr>
      </w:pPr>
      <w:r>
        <w:rPr>
          <w:rFonts w:hint="eastAsia" w:ascii="宋体" w:hAnsi="宋体" w:eastAsia="宋体" w:cs="宋体"/>
          <w:color w:val="auto"/>
          <w:kern w:val="0"/>
          <w:sz w:val="21"/>
          <w:szCs w:val="21"/>
          <w:highlight w:val="none"/>
          <w:lang w:val="en-US" w:eastAsia="zh-CN" w:bidi="ar-SA"/>
        </w:rPr>
        <w:t>12.6</w:t>
      </w:r>
      <w:r>
        <w:rPr>
          <w:rFonts w:hint="eastAsia" w:ascii="宋体" w:hAnsi="宋体"/>
          <w:color w:val="auto"/>
          <w:szCs w:val="21"/>
          <w:highlight w:val="none"/>
        </w:rPr>
        <w:t>承包人在本工程的</w:t>
      </w:r>
      <w:r>
        <w:rPr>
          <w:rFonts w:hint="eastAsia" w:ascii="宋体" w:hAnsi="宋体"/>
          <w:color w:val="auto"/>
          <w:szCs w:val="21"/>
          <w:highlight w:val="none"/>
          <w:lang w:val="en-US" w:eastAsia="zh-CN"/>
        </w:rPr>
        <w:t>合同履行过程</w:t>
      </w:r>
      <w:r>
        <w:rPr>
          <w:rFonts w:hint="eastAsia" w:ascii="宋体" w:hAnsi="宋体"/>
          <w:color w:val="auto"/>
          <w:szCs w:val="21"/>
          <w:highlight w:val="none"/>
        </w:rPr>
        <w:t>中，须</w:t>
      </w:r>
      <w:r>
        <w:rPr>
          <w:rFonts w:hint="eastAsia" w:ascii="宋体" w:hAnsi="宋体"/>
          <w:color w:val="auto"/>
          <w:szCs w:val="21"/>
          <w:highlight w:val="none"/>
          <w:lang w:val="en-US" w:eastAsia="zh-CN"/>
        </w:rPr>
        <w:t>在</w:t>
      </w:r>
      <w:r>
        <w:rPr>
          <w:rFonts w:hint="eastAsia" w:ascii="宋体" w:hAnsi="宋体" w:eastAsia="宋体" w:cs="宋体"/>
          <w:color w:val="auto"/>
          <w:sz w:val="21"/>
          <w:szCs w:val="21"/>
          <w:highlight w:val="none"/>
          <w:lang w:val="zh-CN" w:eastAsia="zh-CN"/>
        </w:rPr>
        <w:t>发包人</w:t>
      </w:r>
      <w:r>
        <w:rPr>
          <w:rFonts w:hint="eastAsia" w:ascii="宋体" w:hAnsi="宋体"/>
          <w:color w:val="auto"/>
          <w:szCs w:val="21"/>
          <w:highlight w:val="none"/>
          <w:lang w:val="en-US" w:eastAsia="zh-CN"/>
        </w:rPr>
        <w:t>推荐的材料设备品牌或投标人投标时所提供并经评审通过的材料设备品牌范围内</w:t>
      </w:r>
      <w:r>
        <w:rPr>
          <w:rFonts w:hint="eastAsia" w:ascii="宋体" w:hAnsi="宋体"/>
          <w:color w:val="auto"/>
          <w:szCs w:val="21"/>
          <w:highlight w:val="none"/>
        </w:rPr>
        <w:t>进行乙供材料设备的使用，发包人将进行定期检查和不定期的抽查。</w:t>
      </w:r>
    </w:p>
    <w:p w14:paraId="6DE3D20A">
      <w:pPr>
        <w:spacing w:line="44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如果非发包人原因，</w:t>
      </w:r>
      <w:r>
        <w:rPr>
          <w:rFonts w:hint="eastAsia" w:ascii="宋体" w:hAnsi="宋体"/>
          <w:color w:val="auto"/>
          <w:szCs w:val="21"/>
          <w:highlight w:val="none"/>
          <w:lang w:val="en-US" w:eastAsia="zh-CN"/>
        </w:rPr>
        <w:t>在合同履行过程中，</w:t>
      </w:r>
      <w:r>
        <w:rPr>
          <w:rFonts w:hint="eastAsia" w:ascii="宋体" w:hAnsi="宋体"/>
          <w:color w:val="auto"/>
          <w:szCs w:val="21"/>
          <w:highlight w:val="none"/>
        </w:rPr>
        <w:t>承包人要求对某些材料设备品牌</w:t>
      </w:r>
      <w:r>
        <w:rPr>
          <w:rFonts w:hint="eastAsia" w:ascii="宋体" w:hAnsi="宋体"/>
          <w:color w:val="auto"/>
          <w:szCs w:val="21"/>
          <w:highlight w:val="none"/>
          <w:lang w:val="en-US" w:eastAsia="zh-CN"/>
        </w:rPr>
        <w:t>等内容</w:t>
      </w:r>
      <w:r>
        <w:rPr>
          <w:rFonts w:hint="eastAsia" w:ascii="宋体" w:hAnsi="宋体"/>
          <w:color w:val="auto"/>
          <w:szCs w:val="21"/>
          <w:highlight w:val="none"/>
        </w:rPr>
        <w:t>进行改变，承包人必须将变更后该材料设备代用品的生产厂家全称/品牌、规格、型号、产地、样品、说明书手册、试验报告等提交监理人、发包人代表，以证明所建议的代用品相当于或优于在中标时所规定或接受的条件，经监理人、发包人确认后承包人才能使用。承包人还必须提交必要的费用数据，包括供应商的报价单的真实复印件等，并说明所建议的代用品的价格含义，供监理人、发包人代表核实和评价。</w:t>
      </w:r>
    </w:p>
    <w:p w14:paraId="4F0AB719">
      <w:pPr>
        <w:pageBreakBefore w:val="0"/>
        <w:widowControl w:val="0"/>
        <w:kinsoku/>
        <w:wordWrap/>
        <w:overflowPunct/>
        <w:topLinePunct w:val="0"/>
        <w:bidi w:val="0"/>
        <w:snapToGrid/>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color w:val="auto"/>
          <w:szCs w:val="21"/>
          <w:highlight w:val="none"/>
        </w:rPr>
        <w:t>对每一种材料设备的变更，当所建议的代用品比中标时发包人所规定或接受的价格高，合同该材料设备单价不予增加。但是，如果建议的代用品价格较低，结算时对合同该材料设备单价作相应调减。如果承包人持有异议，必须被要求使用中标时发包人规定或接受的材料设备规格、型号。并</w:t>
      </w:r>
      <w:r>
        <w:rPr>
          <w:rFonts w:hint="eastAsia" w:ascii="宋体" w:hAnsi="宋体" w:eastAsia="宋体" w:cs="宋体"/>
          <w:color w:val="auto"/>
          <w:sz w:val="21"/>
          <w:szCs w:val="21"/>
          <w:highlight w:val="none"/>
        </w:rPr>
        <w:t>将执行如下条款：</w:t>
      </w:r>
    </w:p>
    <w:p w14:paraId="471A650F">
      <w:pPr>
        <w:pageBreakBefore w:val="0"/>
        <w:widowControl w:val="0"/>
        <w:kinsoku/>
        <w:wordWrap/>
        <w:overflowPunct/>
        <w:topLinePunct w:val="0"/>
        <w:bidi w:val="0"/>
        <w:snapToGrid/>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a.当承包人申请在</w:t>
      </w:r>
      <w:r>
        <w:rPr>
          <w:rFonts w:hint="eastAsia" w:ascii="宋体" w:hAnsi="宋体" w:eastAsia="宋体" w:cs="宋体"/>
          <w:color w:val="auto"/>
          <w:sz w:val="21"/>
          <w:szCs w:val="21"/>
          <w:highlight w:val="none"/>
          <w:lang w:val="zh-CN" w:eastAsia="zh-CN"/>
        </w:rPr>
        <w:t>发包人</w:t>
      </w:r>
      <w:r>
        <w:rPr>
          <w:rFonts w:hint="eastAsia" w:ascii="宋体" w:hAnsi="宋体"/>
          <w:color w:val="auto"/>
          <w:szCs w:val="21"/>
          <w:highlight w:val="none"/>
          <w:lang w:val="en-US" w:eastAsia="zh-CN"/>
        </w:rPr>
        <w:t>推荐的材料设备品牌或投标人投标时所提供并经评审通过的材料设备品牌范围内</w:t>
      </w:r>
      <w:r>
        <w:rPr>
          <w:rFonts w:hint="eastAsia" w:ascii="宋体" w:hAnsi="宋体" w:eastAsia="宋体" w:cs="宋体"/>
          <w:color w:val="auto"/>
          <w:sz w:val="21"/>
          <w:szCs w:val="21"/>
          <w:highlight w:val="none"/>
        </w:rPr>
        <w:t>进行变更并经发包人同意时，ⅰ、扣除违约金为承包人该部分材料设备中标总价的1%（最低不少于1000元，超出1万元时按1万元计）。ⅱ、对变更使用的材料设备与原合同要求使用的材料设备的市场价差额进行调整，当发生的费用增加时由承包人负担，当发生的费用减少时从合同总价中扣减。扣款方式为在承包人应得的任意款项中直接扣除违约金，其余扣除违约金不足部分以及材料差价费用在竣工结算时一次性结算。</w:t>
      </w:r>
    </w:p>
    <w:p w14:paraId="37064D38">
      <w:pPr>
        <w:pageBreakBefore w:val="0"/>
        <w:widowControl w:val="0"/>
        <w:kinsoku/>
        <w:wordWrap/>
        <w:overflowPunct/>
        <w:topLinePunct w:val="0"/>
        <w:bidi w:val="0"/>
        <w:snapToGrid/>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b.如果承包人不进行申报而直接在</w:t>
      </w:r>
      <w:r>
        <w:rPr>
          <w:rFonts w:hint="eastAsia" w:ascii="宋体" w:hAnsi="宋体" w:eastAsia="宋体" w:cs="宋体"/>
          <w:color w:val="auto"/>
          <w:sz w:val="21"/>
          <w:szCs w:val="21"/>
          <w:highlight w:val="none"/>
          <w:lang w:val="zh-CN" w:eastAsia="zh-CN"/>
        </w:rPr>
        <w:t>发包人</w:t>
      </w:r>
      <w:r>
        <w:rPr>
          <w:rFonts w:hint="eastAsia" w:ascii="宋体" w:hAnsi="宋体"/>
          <w:color w:val="auto"/>
          <w:szCs w:val="21"/>
          <w:highlight w:val="none"/>
          <w:lang w:val="en-US" w:eastAsia="zh-CN"/>
        </w:rPr>
        <w:t>推荐的材料设备品牌或投标人投标时所提供并经评审通过的材料设备品牌范围内</w:t>
      </w:r>
      <w:r>
        <w:rPr>
          <w:rFonts w:hint="eastAsia" w:ascii="宋体" w:hAnsi="宋体" w:eastAsia="宋体" w:cs="宋体"/>
          <w:color w:val="auto"/>
          <w:sz w:val="21"/>
          <w:szCs w:val="21"/>
          <w:highlight w:val="none"/>
        </w:rPr>
        <w:t>进行变更，ⅰ、扣除违约金</w:t>
      </w:r>
      <w:r>
        <w:rPr>
          <w:rFonts w:hint="eastAsia" w:ascii="宋体" w:hAnsi="宋体" w:eastAsia="宋体" w:cs="宋体"/>
          <w:color w:val="auto"/>
          <w:sz w:val="21"/>
          <w:szCs w:val="21"/>
          <w:highlight w:val="none"/>
          <w:lang w:val="en-US" w:eastAsia="zh-CN"/>
        </w:rPr>
        <w:t>5万元/次</w:t>
      </w:r>
      <w:r>
        <w:rPr>
          <w:rFonts w:hint="eastAsia" w:ascii="宋体" w:hAnsi="宋体" w:eastAsia="宋体" w:cs="宋体"/>
          <w:color w:val="auto"/>
          <w:sz w:val="21"/>
          <w:szCs w:val="21"/>
          <w:highlight w:val="none"/>
        </w:rPr>
        <w:t>。ⅱ、对变更使用的材料设备与原合同要求使用的材料设备的市场价差额进行调整，当发生的费用增加时由承包人负担，当发生的费用减少时从合同总价中扣减。扣款方式为在承包人应得的任意款项中直接扣除违约金，其余扣除违约金不足部分以及材料差价费用在竣工结算时一次性结算。</w:t>
      </w:r>
    </w:p>
    <w:p w14:paraId="1817DC36">
      <w:pPr>
        <w:pageBreakBefore w:val="0"/>
        <w:widowControl w:val="0"/>
        <w:kinsoku/>
        <w:wordWrap/>
        <w:overflowPunct/>
        <w:topLinePunct w:val="0"/>
        <w:bidi w:val="0"/>
        <w:snapToGrid/>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c.当承包人申请在</w:t>
      </w:r>
      <w:r>
        <w:rPr>
          <w:rFonts w:hint="eastAsia" w:ascii="宋体" w:hAnsi="宋体" w:eastAsia="宋体" w:cs="宋体"/>
          <w:color w:val="auto"/>
          <w:sz w:val="21"/>
          <w:szCs w:val="21"/>
          <w:highlight w:val="none"/>
          <w:lang w:val="zh-CN" w:eastAsia="zh-CN"/>
        </w:rPr>
        <w:t>发包人</w:t>
      </w:r>
      <w:r>
        <w:rPr>
          <w:rFonts w:hint="eastAsia" w:ascii="宋体" w:hAnsi="宋体"/>
          <w:color w:val="auto"/>
          <w:szCs w:val="21"/>
          <w:highlight w:val="none"/>
          <w:lang w:val="en-US" w:eastAsia="zh-CN"/>
        </w:rPr>
        <w:t>推荐的材料设备品牌或投标人投标时所提供并经评审通过的材料设备品牌范围</w:t>
      </w:r>
      <w:r>
        <w:rPr>
          <w:rFonts w:hint="eastAsia" w:ascii="宋体" w:hAnsi="宋体" w:eastAsia="宋体" w:cs="宋体"/>
          <w:color w:val="auto"/>
          <w:sz w:val="21"/>
          <w:szCs w:val="21"/>
          <w:highlight w:val="none"/>
        </w:rPr>
        <w:t>外进行变更并经发包人同意时，ⅰ、扣除违约金</w:t>
      </w:r>
      <w:r>
        <w:rPr>
          <w:rFonts w:hint="eastAsia" w:ascii="宋体" w:hAnsi="宋体" w:eastAsia="宋体" w:cs="宋体"/>
          <w:color w:val="auto"/>
          <w:sz w:val="21"/>
          <w:szCs w:val="21"/>
          <w:highlight w:val="none"/>
          <w:lang w:val="en-US" w:eastAsia="zh-CN"/>
        </w:rPr>
        <w:t>5万元/次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ⅱ、对变更使用的材料设备与原合同要求使用的材料设备的市场价差额进行调整，当发生的费用增加时由承包人负担，当发生的费用减少时从合同总价中扣减。扣款方式为在承包人应得的任意款项中直接扣除违约金，其余扣除违约金不足部分以及材料差价费用在竣工结算时一次性结算。</w:t>
      </w:r>
    </w:p>
    <w:p w14:paraId="44D45538">
      <w:pPr>
        <w:pageBreakBefore w:val="0"/>
        <w:widowControl w:val="0"/>
        <w:kinsoku/>
        <w:wordWrap/>
        <w:overflowPunct/>
        <w:topLinePunct w:val="0"/>
        <w:bidi w:val="0"/>
        <w:snapToGrid/>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d.如果承包人擅自使用其它规格、型号或擅自使用其它品牌（含冒牌），发包人将有权立即对承包人处以每次</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万元的违约金，并限期整改。</w:t>
      </w:r>
    </w:p>
    <w:p w14:paraId="60B963B3">
      <w:pPr>
        <w:pageBreakBefore w:val="0"/>
        <w:widowControl w:val="0"/>
        <w:kinsoku/>
        <w:wordWrap/>
        <w:overflowPunct/>
        <w:topLinePunct w:val="0"/>
        <w:bidi w:val="0"/>
        <w:snapToGrid/>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如果无法完全整改到位，在不影响工程质量、效果与使用的前提下，经发包人同意使用的，发包人有权追加违约金：ⅰ、扣除违约金为承包人该部分材料设备中标总价的10%（最低不少于1万元，超出10万元时按10万元计），ⅱ、对变更使用的材料设备与原合同要求使用的材料设备的市场价差额进行调整，当发生的费用增加时由承包人负担，当发生的费用减少时从合同总价中扣减。扣款方式为在承包人应得的任意款项中直接扣除违约金，其余扣除违约金不足部分以及材料差价费用在竣工结算时一次性结算。</w:t>
      </w:r>
    </w:p>
    <w:p w14:paraId="7290C0D1">
      <w:pPr>
        <w:pageBreakBefore w:val="0"/>
        <w:widowControl w:val="0"/>
        <w:kinsoku/>
        <w:wordWrap/>
        <w:overflowPunct/>
        <w:topLinePunct w:val="0"/>
        <w:bidi w:val="0"/>
        <w:snapToGrid/>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b)对情节特别恶劣的，如果无法完全整改到位，在不影响工程质量、效果与使用的前提下，经发包人同意使用，但该部分工程内容将不予计量。</w:t>
      </w:r>
    </w:p>
    <w:p w14:paraId="4106271F">
      <w:pPr>
        <w:pageBreakBefore w:val="0"/>
        <w:widowControl w:val="0"/>
        <w:kinsoku/>
        <w:wordWrap/>
        <w:overflowPunct/>
        <w:topLinePunct w:val="0"/>
        <w:bidi w:val="0"/>
        <w:snapToGrid/>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c)如果发包人不能接受，承包人必须在限期内整改并承担由此而引起的一切损失和费用。如果在限期内承包人拒不整改或整改不到位，发包人将委托第三方进行整改，所有整改费用由承包人承担。</w:t>
      </w:r>
    </w:p>
    <w:p w14:paraId="09207289">
      <w:pPr>
        <w:pStyle w:val="40"/>
        <w:keepNext w:val="0"/>
        <w:keepLines w:val="0"/>
        <w:pageBreakBefore w:val="0"/>
        <w:widowControl w:val="0"/>
        <w:kinsoku/>
        <w:wordWrap/>
        <w:overflowPunct/>
        <w:topLinePunct w:val="0"/>
        <w:bidi w:val="0"/>
        <w:snapToGrid/>
        <w:spacing w:line="44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任何代用品的采用，均不得以任何方式减免承包人合同项下全部要求所必须履行的责任。承包人还必须对由于采用代用品而引起的一切附加工作以及任何延误以及自己的费用与开支承担全部责任。</w:t>
      </w:r>
    </w:p>
    <w:p w14:paraId="3B3B63D6">
      <w:pPr>
        <w:pStyle w:val="40"/>
        <w:keepNext w:val="0"/>
        <w:keepLines w:val="0"/>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13.其他</w:t>
      </w:r>
    </w:p>
    <w:p w14:paraId="2563C9DA">
      <w:pPr>
        <w:pStyle w:val="40"/>
        <w:keepNext w:val="0"/>
        <w:keepLines w:val="0"/>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13.1开挖土方工程的安全</w:t>
      </w:r>
    </w:p>
    <w:p w14:paraId="7217DD49">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必须注意开挖土方工程的安全，采取一切措施防止滑坡与塌方。若有任何滑坡或塌方发生，承包人必须立即修复至原状，包括所有表面的恢复，并承担一切费用。在大雨后开始工作前承包人必须指定一名合格人员检查全部支撑物、拉杆及其它支撑，在雨中不得施工。</w:t>
      </w:r>
    </w:p>
    <w:p w14:paraId="7E776F76">
      <w:pPr>
        <w:pStyle w:val="40"/>
        <w:keepNext w:val="0"/>
        <w:keepLines w:val="0"/>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13.2警告标志</w:t>
      </w:r>
    </w:p>
    <w:p w14:paraId="5AEF9C8A">
      <w:pPr>
        <w:pageBreakBefore w:val="0"/>
        <w:widowControl w:val="0"/>
        <w:kinsoku/>
        <w:wordWrap/>
        <w:overflowPunct/>
        <w:topLinePunct w:val="0"/>
        <w:bidi w:val="0"/>
        <w:snapToGrid/>
        <w:spacing w:line="440" w:lineRule="exact"/>
        <w:ind w:left="313" w:leftChars="149"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应在现场周围可能进入的地点以及有潜在危险的地方出示警告牌。在凹穴、坑、竖井或其他有危险的类似场地周围应安装适当而充分的护板、栅栏或挡板，以防止发生事故。为安全起见，夜间也应在这些地方设置经批准的警告灯标。</w:t>
      </w:r>
    </w:p>
    <w:p w14:paraId="49A52416">
      <w:pPr>
        <w:pageBreakBefore w:val="0"/>
        <w:widowControl w:val="0"/>
        <w:kinsoku/>
        <w:wordWrap/>
        <w:overflowPunct/>
        <w:topLinePunct w:val="0"/>
        <w:bidi w:val="0"/>
        <w:snapToGrid/>
        <w:spacing w:line="440" w:lineRule="exact"/>
        <w:ind w:left="313" w:leftChars="149"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当使用路障等使一部分道路禁止通行时，应在路上安放交通指挥锥形架，以指挥行人车辆顺利地从道路的较宽部分进入较窄部分。锥形架应为认可的橡胶或同类柔软材料制作，色彩为鲜橙色。</w:t>
      </w:r>
    </w:p>
    <w:p w14:paraId="2C4A2E70">
      <w:pPr>
        <w:pageBreakBefore w:val="0"/>
        <w:widowControl w:val="0"/>
        <w:kinsoku/>
        <w:wordWrap/>
        <w:overflowPunct/>
        <w:topLinePunct w:val="0"/>
        <w:bidi w:val="0"/>
        <w:snapToGrid/>
        <w:spacing w:line="440" w:lineRule="exact"/>
        <w:ind w:left="313" w:leftChars="149"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以上条款的执行应使总监满意。如果承包人未遵守总监的指示，则每天应交违约金</w:t>
      </w:r>
      <w:r>
        <w:rPr>
          <w:rFonts w:hint="eastAsia" w:ascii="宋体" w:hAnsi="宋体" w:eastAsia="宋体" w:cs="宋体"/>
          <w:bCs/>
          <w:color w:val="auto"/>
          <w:sz w:val="21"/>
          <w:szCs w:val="21"/>
          <w:highlight w:val="none"/>
          <w:lang w:val="en-US" w:eastAsia="zh-CN"/>
        </w:rPr>
        <w:t>人民币</w:t>
      </w:r>
      <w:r>
        <w:rPr>
          <w:rFonts w:hint="eastAsia" w:ascii="宋体" w:hAnsi="宋体" w:eastAsia="宋体" w:cs="宋体"/>
          <w:bCs/>
          <w:color w:val="auto"/>
          <w:sz w:val="21"/>
          <w:szCs w:val="21"/>
          <w:highlight w:val="none"/>
        </w:rPr>
        <w:t>10000元。</w:t>
      </w:r>
    </w:p>
    <w:p w14:paraId="13E112EB">
      <w:pPr>
        <w:pStyle w:val="40"/>
        <w:keepNext w:val="0"/>
        <w:keepLines w:val="0"/>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13.3雇佣现场保安及警卫室</w:t>
      </w:r>
    </w:p>
    <w:p w14:paraId="59B35862">
      <w:pPr>
        <w:pageBreakBefore w:val="0"/>
        <w:widowControl w:val="0"/>
        <w:kinsoku/>
        <w:wordWrap/>
        <w:overflowPunct/>
        <w:topLinePunct w:val="0"/>
        <w:bidi w:val="0"/>
        <w:snapToGrid/>
        <w:spacing w:line="440" w:lineRule="exact"/>
        <w:ind w:left="36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在整个项目施工期间内投标者的总报价须包括聘请足够的保安人员的费用，保安人员应分三班，二十四小时不间断的巡察整个工地，以保卫工程、运送至现场的材料以及现场办公室，使现场免遭盗窃和损害。在每个临时出入口处应设立一个警卫室。办公区出入口设立警卫室的，由总承包人安排保安值班，办公区的设备看护由总承包人负责，防止偷盗失窃。</w:t>
      </w:r>
    </w:p>
    <w:p w14:paraId="7219AF16">
      <w:pPr>
        <w:pStyle w:val="40"/>
        <w:keepNext w:val="0"/>
        <w:keepLines w:val="0"/>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13.4防洪与防台风</w:t>
      </w:r>
    </w:p>
    <w:p w14:paraId="7DCD10ED">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合同总价中已包括有关当局规定的防洪、防台风、防暴雨雪措施所需要的一切费用。发包人将不接受由于采取防洪、防台风、、防暴雨雪措施所向发包人提出的费用索赔。</w:t>
      </w:r>
    </w:p>
    <w:p w14:paraId="6B5445F3">
      <w:pPr>
        <w:pStyle w:val="40"/>
        <w:keepNext w:val="0"/>
        <w:keepLines w:val="0"/>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13.5清理工地</w:t>
      </w:r>
    </w:p>
    <w:p w14:paraId="53971953">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承包人必须随时并依照总监的指示清理工地,将垃圾、树篙、木头、劈材，树根以及任何障碍物清出现场和处置。承包人负责施工现场室内外所有建筑垃圾的集中清理工作。</w:t>
      </w:r>
    </w:p>
    <w:p w14:paraId="0C34AB06">
      <w:pPr>
        <w:pStyle w:val="40"/>
        <w:keepNext w:val="0"/>
        <w:keepLines w:val="0"/>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13.6清理现有雨水管道</w:t>
      </w:r>
    </w:p>
    <w:p w14:paraId="1A7FFE6D">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从承包人施工地点起的上下游各50米范围内的现有雨水管道被垃圾堵塞，必须由承包人清除。承包人未能在总监的指令下达后一个小时内清除该堵塞，发包人/总监可无须通知承包人而另雇他人清除该堵塞，所发生的全部费用包括20%的代办费在内都必须由承包人负担。</w:t>
      </w:r>
    </w:p>
    <w:p w14:paraId="4E2EBA08">
      <w:pPr>
        <w:pStyle w:val="40"/>
        <w:keepNext w:val="0"/>
        <w:keepLines w:val="0"/>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13.7公共道路的清扫与维护</w:t>
      </w:r>
    </w:p>
    <w:p w14:paraId="317295AF">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必须无条件保持他的车辆驶离工地后行驶的公共道路(包括路旁的雨水管道)的清洁，他必须负责清除他的的车辆沿途散落的污物，无论是马路上的，人行道上的或雨水管道中的污物均不得过夜。若由于未保持公共道路的清洁而受到有关主管部门罚款处分，必须由承包人独自负责支付。承包人还必须保障发包人不承担由这种问题而引起的一切责任。</w:t>
      </w:r>
    </w:p>
    <w:p w14:paraId="55A5628D">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承包人未能在总监的指令下达后一个小时内清扫道路及雨水管，发包人/总监可无须通知承包人而另雇他人清扫，所发生的全部费用包括20%的代办费在内都必须由承包人负担。</w:t>
      </w:r>
    </w:p>
    <w:p w14:paraId="143F2F6D">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公共道路的任何部分若被承包人损坏或弄乱，必须由承包人自费复原。</w:t>
      </w:r>
    </w:p>
    <w:p w14:paraId="1F97B03C">
      <w:pPr>
        <w:pStyle w:val="40"/>
        <w:keepNext w:val="0"/>
        <w:keepLines w:val="0"/>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13.8沟渠、孔道的修复</w:t>
      </w:r>
    </w:p>
    <w:p w14:paraId="1377EB4F">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一切工作用的沟渠、孔道都必须在指定的日期内回填或复原至总监满意为止，否则，发包人/总监可无须通知承包人而另雇他人对此沟渠/孔道回填，所发生的全部费用包括20%的代办费在内都必须由承包人负担。</w:t>
      </w:r>
    </w:p>
    <w:p w14:paraId="2C6982B9">
      <w:pPr>
        <w:pStyle w:val="40"/>
        <w:keepNext w:val="0"/>
        <w:keepLines w:val="0"/>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13.9临时卫生设施</w:t>
      </w:r>
    </w:p>
    <w:p w14:paraId="3FB60658">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在整个合同期间承包人应搭建、维护供本工程施工、办公使用的水冲式厕所和水泥化粪池和生活垃圾堆场等所有的临时卫生设施，并在竣工时予以拆除。</w:t>
      </w:r>
    </w:p>
    <w:p w14:paraId="02E8E007">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在合同期间承包人应每天及时将任何建筑垃圾（包括任何分包造成的）、生活垃圾清运出场，废水应排入公共污水管网。合同期间承包人如果不予以及时扫除、清运，每发生一次，总监有权从工程进度款中扣取3000--5000元罚金。</w:t>
      </w:r>
    </w:p>
    <w:p w14:paraId="206FB735">
      <w:pPr>
        <w:pStyle w:val="40"/>
        <w:keepNext w:val="0"/>
        <w:keepLines w:val="0"/>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13.10现场保洁</w:t>
      </w:r>
    </w:p>
    <w:p w14:paraId="43DA188D">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承包人必须派5名专职施工现场(包括施工出入口两百米范围之内)保洁员，工作任务由监理负责安排，如果每有1人不到位，总监有权每月从工程进度款中扣取3000元违约金。</w:t>
      </w:r>
    </w:p>
    <w:p w14:paraId="0D2AD2D2">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必须派1-2名专职发包人、监理、施工单位办公区及生活区(包括办公区出入口五十米之内)保洁员，工作任务由监理负责安排，如果不到位，总监有权每月从工程进度款中扣取3000元违约金。并须另外安排人员负责办公区花草的浇水养护。</w:t>
      </w:r>
    </w:p>
    <w:p w14:paraId="02252D5C">
      <w:pPr>
        <w:pStyle w:val="40"/>
        <w:keepNext w:val="0"/>
        <w:keepLines w:val="0"/>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13.11洗车台</w:t>
      </w:r>
    </w:p>
    <w:p w14:paraId="0733BBF2">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必须在工地入口处设置混凝土铺面的洗车台共2个（施工主次入口各一个），所有车辆从工地行驶到公共道路之前必须冲洗干净，严禁将泥土带上公共道路。如果每有1个不到位，总监有权每月从工程进度款中扣取10000元违约金。</w:t>
      </w:r>
    </w:p>
    <w:p w14:paraId="75F81FC1">
      <w:pPr>
        <w:pStyle w:val="40"/>
        <w:keepNext w:val="0"/>
        <w:keepLines w:val="0"/>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13.12防蚊、虫与白蚁防治</w:t>
      </w:r>
    </w:p>
    <w:p w14:paraId="7BDE8408">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承包人必须以适当的方法清除工地上或建筑物内的积水或死水，以防滋生蚊虫。承包人也应在现场实行白蚁防治。若由于未能有效控制蚊虫、白蚁及其它昆虫繁殖而受到主管部门罚款时，由承包人独自负责。</w:t>
      </w:r>
    </w:p>
    <w:p w14:paraId="2B6CB158">
      <w:pPr>
        <w:pStyle w:val="40"/>
        <w:keepNext w:val="0"/>
        <w:keepLines w:val="0"/>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13.13尘土公害</w:t>
      </w:r>
    </w:p>
    <w:p w14:paraId="413AC0B5">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施工方法必须不能产生尘土公害。承包人必须在工地内的路面以及沿该承包人使用的公共道路路面洒水，对于裸露土方以及整体项目内的多余土方均需要采用围网遮盖，以减低尘土公害；需要增加喷淋设备设施降低和控制场地扬尘控制（包括但不限于道路喷淋设备、雾炮机、塔吊喷淋设备、空气质量监测设备）的费用自行考虑，结算不做调整。</w:t>
      </w:r>
    </w:p>
    <w:p w14:paraId="0286C7DC">
      <w:pPr>
        <w:pStyle w:val="40"/>
        <w:keepNext w:val="0"/>
        <w:keepLines w:val="0"/>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13.14噪音与干扰</w:t>
      </w:r>
    </w:p>
    <w:p w14:paraId="000F9278">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所有施工都不得产生过量噪音和干扰。如果附近现有的工厂（或其它企业）正在运行，承包人应按照总监的指示，自费采取一切必要的措施，使其施工对于邻近产业发包人的干扰/危险性/不方便条件减至最低程度。承包人也应根据总监的指示自费增加路障,警告标志等的设置。承包人必须保障发包人不承担由于施工产生的噪音或其它干扰所造成的损坏所引起的一切索赔、诉讼、损害、费用、罚款和开支等有关的责任。</w:t>
      </w:r>
    </w:p>
    <w:p w14:paraId="7D678306">
      <w:pPr>
        <w:pStyle w:val="40"/>
        <w:keepNext w:val="0"/>
        <w:keepLines w:val="0"/>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13.15机械和设备造成的空气污染</w:t>
      </w:r>
    </w:p>
    <w:p w14:paraId="071ACB9A">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承包人必须采取一切必要的措施降低其机械设备排出过量烟雾、气味及异味气体。如果排出的此类气体超过有关政府部门的规定，则承包人应立即改用其他设备并承担全部责任。</w:t>
      </w:r>
    </w:p>
    <w:p w14:paraId="0DF67B42">
      <w:pPr>
        <w:pageBreakBefore w:val="0"/>
        <w:widowControl w:val="0"/>
        <w:numPr>
          <w:ilvl w:val="0"/>
          <w:numId w:val="0"/>
        </w:numPr>
        <w:kinsoku/>
        <w:wordWrap/>
        <w:overflowPunct/>
        <w:topLinePunct w:val="0"/>
        <w:bidi w:val="0"/>
        <w:snapToGrid/>
        <w:spacing w:line="440" w:lineRule="exact"/>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13.16现场焚烧</w:t>
      </w:r>
    </w:p>
    <w:p w14:paraId="78C825A5">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承包人不得在现场焚烧杂物、垃圾及其它废弃物，否则，除了由有关主管部门对承包人课以罚款或处置外，发包人也将对承包人禁标一年。</w:t>
      </w:r>
    </w:p>
    <w:p w14:paraId="42FF252D">
      <w:pPr>
        <w:pageBreakBefore w:val="0"/>
        <w:widowControl w:val="0"/>
        <w:numPr>
          <w:ilvl w:val="0"/>
          <w:numId w:val="0"/>
        </w:numPr>
        <w:kinsoku/>
        <w:wordWrap/>
        <w:overflowPunct/>
        <w:topLinePunct w:val="0"/>
        <w:bidi w:val="0"/>
        <w:snapToGrid/>
        <w:spacing w:line="440" w:lineRule="exact"/>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13.17使用大容积箱装碎料</w:t>
      </w:r>
    </w:p>
    <w:p w14:paraId="481C712F">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必须提供足够数量的大容积垃圾箱以存放一切无机废料，如建筑垃圾、尘土、杂物、木盒等，必须另用有盖垃圾箱存放有机废物。承包人也应负责将所有垃圾倾倒至适当的废物场地。若有违反，则承包人必须承担有关主管部门的罚款。</w:t>
      </w:r>
    </w:p>
    <w:p w14:paraId="0C50FCAC">
      <w:pPr>
        <w:pageBreakBefore w:val="0"/>
        <w:widowControl w:val="0"/>
        <w:numPr>
          <w:ilvl w:val="0"/>
          <w:numId w:val="0"/>
        </w:numPr>
        <w:kinsoku/>
        <w:wordWrap/>
        <w:overflowPunct/>
        <w:topLinePunct w:val="0"/>
        <w:bidi w:val="0"/>
        <w:snapToGrid/>
        <w:spacing w:line="440" w:lineRule="exact"/>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13.18垃圾的倾倒</w:t>
      </w:r>
    </w:p>
    <w:p w14:paraId="2BCA5ED2">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承包人必须将其一切垃圾以及淤泥等倾倒至承包人自己的堆放场，不得倾倒在</w:t>
      </w:r>
      <w:r>
        <w:rPr>
          <w:rFonts w:hint="eastAsia" w:ascii="宋体" w:hAnsi="宋体" w:eastAsia="宋体" w:cs="宋体"/>
          <w:bCs/>
          <w:color w:val="auto"/>
          <w:sz w:val="21"/>
          <w:szCs w:val="21"/>
          <w:highlight w:val="none"/>
          <w:lang w:val="en-US" w:eastAsia="zh-CN"/>
        </w:rPr>
        <w:t>中新苏滁高新区</w:t>
      </w:r>
      <w:r>
        <w:rPr>
          <w:rFonts w:hint="eastAsia" w:ascii="宋体" w:hAnsi="宋体" w:eastAsia="宋体" w:cs="宋体"/>
          <w:bCs/>
          <w:color w:val="auto"/>
          <w:sz w:val="21"/>
          <w:szCs w:val="21"/>
          <w:highlight w:val="none"/>
        </w:rPr>
        <w:t>范围内。承包人应向总监提交运至堆放场的证明备案。承包人若将其垃圾或淤泥等倾倒在</w:t>
      </w:r>
      <w:r>
        <w:rPr>
          <w:rFonts w:hint="eastAsia" w:ascii="宋体" w:hAnsi="宋体" w:cs="宋体"/>
          <w:bCs/>
          <w:color w:val="auto"/>
          <w:sz w:val="21"/>
          <w:szCs w:val="21"/>
          <w:highlight w:val="none"/>
          <w:lang w:val="en-US" w:eastAsia="zh-CN"/>
        </w:rPr>
        <w:t>中新苏滁高新</w:t>
      </w:r>
      <w:r>
        <w:rPr>
          <w:rFonts w:hint="eastAsia" w:ascii="宋体" w:hAnsi="宋体" w:eastAsia="宋体" w:cs="宋体"/>
          <w:bCs/>
          <w:color w:val="auto"/>
          <w:sz w:val="21"/>
          <w:szCs w:val="21"/>
          <w:highlight w:val="none"/>
        </w:rPr>
        <w:t>区范围内，他必须负责将这些垃圾、淤泥等运走，此外承包人还必须支付发包人人民币20,000元作为调查和管制此类倾倒垃圾时所发生的费用。有关承包人未曾倾倒全部这些垃圾或者他对他的车辆无法控制等辩解将不予接受。承包人未能在总监的指令下达后三天内运走此类倾倒在</w:t>
      </w:r>
      <w:r>
        <w:rPr>
          <w:rFonts w:hint="eastAsia" w:ascii="宋体" w:hAnsi="宋体" w:cs="宋体"/>
          <w:bCs/>
          <w:color w:val="auto"/>
          <w:sz w:val="21"/>
          <w:szCs w:val="21"/>
          <w:highlight w:val="none"/>
          <w:lang w:val="en-US" w:eastAsia="zh-CN"/>
        </w:rPr>
        <w:t>中新苏滁高新</w:t>
      </w:r>
      <w:r>
        <w:rPr>
          <w:rFonts w:hint="eastAsia" w:ascii="宋体" w:hAnsi="宋体" w:eastAsia="宋体" w:cs="宋体"/>
          <w:bCs/>
          <w:color w:val="auto"/>
          <w:sz w:val="21"/>
          <w:szCs w:val="21"/>
          <w:highlight w:val="none"/>
        </w:rPr>
        <w:t>区范围内的垃圾，发包人/总监可无须通知承包人而另雇他人运走，所发生的全部费用包括20%的代办费在内都必须由承包人负担。</w:t>
      </w:r>
    </w:p>
    <w:p w14:paraId="52B3C6D2">
      <w:pPr>
        <w:pageBreakBefore w:val="0"/>
        <w:widowControl w:val="0"/>
        <w:numPr>
          <w:ilvl w:val="0"/>
          <w:numId w:val="0"/>
        </w:numPr>
        <w:kinsoku/>
        <w:wordWrap/>
        <w:overflowPunct/>
        <w:topLinePunct w:val="0"/>
        <w:bidi w:val="0"/>
        <w:snapToGrid/>
        <w:spacing w:line="440" w:lineRule="exact"/>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13.19临时工程的拆除和损坏设施的修复</w:t>
      </w:r>
    </w:p>
    <w:p w14:paraId="0C8E959D">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一切临时工程及构筑物必须于竣工时拆除，总监另有指示者除外。承包人必须将其在施工中损坏的一切道路，便道，下水井，排水管沟和其它设施修复好，直至总监和/或其他有关主管部门满意为止。</w:t>
      </w:r>
    </w:p>
    <w:p w14:paraId="4C4D60EA">
      <w:pPr>
        <w:pageBreakBefore w:val="0"/>
        <w:widowControl w:val="0"/>
        <w:numPr>
          <w:ilvl w:val="0"/>
          <w:numId w:val="0"/>
        </w:numPr>
        <w:kinsoku/>
        <w:wordWrap/>
        <w:overflowPunct/>
        <w:topLinePunct w:val="0"/>
        <w:bidi w:val="0"/>
        <w:snapToGrid/>
        <w:spacing w:line="440" w:lineRule="exact"/>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13.20竣工清理</w:t>
      </w:r>
    </w:p>
    <w:p w14:paraId="3F985082">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工程颁发竣工证书7日前，承包人必须清除全部建筑垃圾以及一切无用的临时工程，并从工地运走，保持工地及其周围环境的清洁整齐，以便立即移交，直至总监满意为止。如果承包人在总监发出清扫指示后的规定时间内未执行清扫工作，发包人/总监保留雇用第三方从事该项工作的权利，无须与承包人商量，在此情况下，发包人将从</w:t>
      </w:r>
      <w:r>
        <w:rPr>
          <w:rFonts w:hint="eastAsia" w:ascii="宋体" w:hAnsi="宋体" w:eastAsia="宋体" w:cs="宋体"/>
          <w:bCs/>
          <w:color w:val="auto"/>
          <w:sz w:val="21"/>
          <w:szCs w:val="21"/>
          <w:highlight w:val="none"/>
          <w:lang w:val="en-US" w:eastAsia="zh-CN"/>
        </w:rPr>
        <w:t>未支付款项目</w:t>
      </w:r>
      <w:r>
        <w:rPr>
          <w:rFonts w:hint="eastAsia" w:ascii="宋体" w:hAnsi="宋体" w:eastAsia="宋体" w:cs="宋体"/>
          <w:bCs/>
          <w:color w:val="auto"/>
          <w:sz w:val="21"/>
          <w:szCs w:val="21"/>
          <w:highlight w:val="none"/>
        </w:rPr>
        <w:t>中扣除由此所发生的费用与开支。</w:t>
      </w:r>
    </w:p>
    <w:p w14:paraId="4343E50A">
      <w:pPr>
        <w:pageBreakBefore w:val="0"/>
        <w:widowControl w:val="0"/>
        <w:numPr>
          <w:ilvl w:val="0"/>
          <w:numId w:val="0"/>
        </w:numPr>
        <w:kinsoku/>
        <w:wordWrap/>
        <w:overflowPunct/>
        <w:topLinePunct w:val="0"/>
        <w:bidi w:val="0"/>
        <w:snapToGrid/>
        <w:spacing w:line="440" w:lineRule="exact"/>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13.21草皮和表土</w:t>
      </w:r>
    </w:p>
    <w:p w14:paraId="39A7F96F">
      <w:pPr>
        <w:pageBreakBefore w:val="0"/>
        <w:widowControl w:val="0"/>
        <w:kinsoku/>
        <w:wordWrap/>
        <w:overflowPunct/>
        <w:topLinePunct w:val="0"/>
        <w:bidi w:val="0"/>
        <w:snapToGrid/>
        <w:spacing w:line="440" w:lineRule="exact"/>
        <w:ind w:left="359" w:leftChars="171"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一切草皮及表土必须首先清除，并按总监的指示，存放于附近以供再次利用。一切草皮和表土属于发包人的财产，未经总监允许不得运出现场范围以外。所发生的费用包含在总包价内。</w:t>
      </w:r>
    </w:p>
    <w:p w14:paraId="2A18C190">
      <w:pPr>
        <w:pageBreakBefore w:val="0"/>
        <w:widowControl w:val="0"/>
        <w:numPr>
          <w:ilvl w:val="0"/>
          <w:numId w:val="0"/>
        </w:numPr>
        <w:kinsoku/>
        <w:wordWrap/>
        <w:overflowPunct/>
        <w:topLinePunct w:val="0"/>
        <w:bidi w:val="0"/>
        <w:snapToGrid/>
        <w:spacing w:line="440" w:lineRule="exact"/>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13.22现有的树木</w:t>
      </w:r>
    </w:p>
    <w:p w14:paraId="49F48319">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承包人必须在投标总价考虑在合同范围内影响其作业的树木的砍伐、复种和迁移。但是，未经总监书面批准，承包人不得砍伐现有的任何树木。承包人应在整个合同期间细心保护任何要保留的树木或植物。</w:t>
      </w:r>
    </w:p>
    <w:p w14:paraId="7EAD56A8">
      <w:pPr>
        <w:pageBreakBefore w:val="0"/>
        <w:widowControl w:val="0"/>
        <w:numPr>
          <w:ilvl w:val="0"/>
          <w:numId w:val="0"/>
        </w:numPr>
        <w:kinsoku/>
        <w:wordWrap/>
        <w:overflowPunct/>
        <w:topLinePunct w:val="0"/>
        <w:bidi w:val="0"/>
        <w:snapToGrid/>
        <w:spacing w:line="440" w:lineRule="exact"/>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13.23防止地下设施的损坏</w:t>
      </w:r>
    </w:p>
    <w:p w14:paraId="5C54C452">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必须采取谨慎的措施以防止地下设施（电缆和电力网、水管和煤气管、下水管、电话缆及类似物）的损坏。在工程开始之前，承包人应向各有关部门取得地下设施的位置和许可证，并按照有关部门颁布的规定采取措施以防止地下设施的损坏。</w:t>
      </w:r>
    </w:p>
    <w:p w14:paraId="3E27A633">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承包人应采用经有关主管部门批准的适当方法探测与确定地下设施的位置。所有试挖孔必须妥善恢复原来状态。</w:t>
      </w:r>
    </w:p>
    <w:p w14:paraId="7502072C">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承包人必须将施工中遇到的地下设施通知总监，同时自费采取一切措施防止这些地下设施等物受损，必要时采用临时支撑以防止邻近的构筑物、管子、电缆等由于沉降而损坏。</w:t>
      </w:r>
    </w:p>
    <w:p w14:paraId="5F86900A">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如果因施工而必须永久性改变任何电缆，管子或其它设施的走向，此项迁移费用必须由承包人支付。</w:t>
      </w:r>
    </w:p>
    <w:p w14:paraId="7FB041E0">
      <w:pPr>
        <w:pageBreakBefore w:val="0"/>
        <w:widowControl w:val="0"/>
        <w:numPr>
          <w:ilvl w:val="0"/>
          <w:numId w:val="0"/>
        </w:numPr>
        <w:kinsoku/>
        <w:wordWrap/>
        <w:overflowPunct/>
        <w:topLinePunct w:val="0"/>
        <w:bidi w:val="0"/>
        <w:snapToGrid/>
        <w:spacing w:line="440" w:lineRule="exact"/>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13.24公共/地下设施的损坏</w:t>
      </w:r>
    </w:p>
    <w:p w14:paraId="7F42220F">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若承包人损坏了任何公共/地下设施，承包人必须立即停止工作，尽快通知有关主管部门，并帮助有关主管部门修复该设施。承包人应承担所有的修复和/或主管部门认为必要的、包括改变线路走向在内的补救措施的费用，并承担由于他造成的该设施的损坏所损失的费用。同时，承包人每次损坏任何公共/地下设施，都必须赔偿发包人人民币2万元至10万元违约金作为补偿给发包人带来的不便、声誉受损、和为此而付出的调查费和其他费用。发包人有权从承包人的应收款项中扣除所有上述费用。</w:t>
      </w:r>
    </w:p>
    <w:p w14:paraId="51F22A3F">
      <w:pPr>
        <w:pageBreakBefore w:val="0"/>
        <w:widowControl w:val="0"/>
        <w:numPr>
          <w:ilvl w:val="0"/>
          <w:numId w:val="0"/>
        </w:numPr>
        <w:kinsoku/>
        <w:wordWrap/>
        <w:overflowPunct/>
        <w:topLinePunct w:val="0"/>
        <w:bidi w:val="0"/>
        <w:snapToGrid/>
        <w:spacing w:line="440" w:lineRule="exact"/>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13.25作业区周边的保护</w:t>
      </w:r>
    </w:p>
    <w:p w14:paraId="6C4D53B4">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承包人进行工作时必须保护好其作业区边上的构筑物，如公路、便道、砖墙等，并必须负责将任何一处损坏恢复至原样。施工现场周围的构筑物情况由承包人自行踏勘。</w:t>
      </w:r>
    </w:p>
    <w:p w14:paraId="25AF2CCA">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承包人必须时时提供足够的防护屏、临时围栏、支撑柱等措施，预防给附近的财产、公路、行人或车辆造成损害、不便或干扰。承包人必须在合同完成时把上述临时防护物拆除，恢复原样，直到总监满意为止。</w:t>
      </w:r>
    </w:p>
    <w:p w14:paraId="029BA0E8">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承包人必须负责限止其工人擅自进入邻近房地产。若有因其工人擅自进入邻近房地产而产生的任何损坏，必须由承包人自费恢复和修好至总监满意为止。承包人也须负责赔偿发包人因这些损坏所引起的索赔。</w:t>
      </w:r>
    </w:p>
    <w:p w14:paraId="5A66296D">
      <w:pPr>
        <w:pageBreakBefore w:val="0"/>
        <w:widowControl w:val="0"/>
        <w:numPr>
          <w:ilvl w:val="0"/>
          <w:numId w:val="0"/>
        </w:numPr>
        <w:kinsoku/>
        <w:wordWrap/>
        <w:overflowPunct/>
        <w:topLinePunct w:val="0"/>
        <w:bidi w:val="0"/>
        <w:snapToGrid/>
        <w:spacing w:line="440" w:lineRule="exact"/>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13.26打开原有的道路、管道等</w:t>
      </w:r>
    </w:p>
    <w:p w14:paraId="6008A08E">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如果承包人要打开原有的道路或其他设施，必须预先取得总监的批准。如果其施工会影响交通，承包人应努力减低对公众造成的不便，并确保交通不会中断。承包人还必须在必要的位置设立临时交通标志牌。承包人必须在最短的时间内自费恢复原有的道路或其他设施直到总监满意为止。在承包人接到总监的书面指示两周内未能完成任何一项复建工作者，发包人/总监可无须通知承包人而另雇他人完成复建工作，所发生的全部费用包括20%的违约金在内都必须由承包人负担。</w:t>
      </w:r>
    </w:p>
    <w:p w14:paraId="08EC123D">
      <w:pPr>
        <w:pageBreakBefore w:val="0"/>
        <w:widowControl w:val="0"/>
        <w:numPr>
          <w:ilvl w:val="0"/>
          <w:numId w:val="0"/>
        </w:numPr>
        <w:kinsoku/>
        <w:wordWrap/>
        <w:overflowPunct/>
        <w:topLinePunct w:val="0"/>
        <w:bidi w:val="0"/>
        <w:snapToGrid/>
        <w:spacing w:line="440" w:lineRule="exact"/>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13.27现有构筑物的移建</w:t>
      </w:r>
    </w:p>
    <w:p w14:paraId="47602008">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如果因施工而需要迁移/改位或重建现有的构筑物，如路灯电柱、电话电柱、栅栏、消防栓、轨道等，一切移建的费用都由承包人支付。</w:t>
      </w:r>
    </w:p>
    <w:p w14:paraId="1AEB8DB0">
      <w:pPr>
        <w:pageBreakBefore w:val="0"/>
        <w:widowControl w:val="0"/>
        <w:numPr>
          <w:ilvl w:val="0"/>
          <w:numId w:val="0"/>
        </w:numPr>
        <w:kinsoku/>
        <w:wordWrap/>
        <w:overflowPunct/>
        <w:topLinePunct w:val="0"/>
        <w:bidi w:val="0"/>
        <w:snapToGrid/>
        <w:spacing w:line="440" w:lineRule="exact"/>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13.28安全帽</w:t>
      </w:r>
    </w:p>
    <w:p w14:paraId="284BF621">
      <w:pPr>
        <w:pageBreakBefore w:val="0"/>
        <w:widowControl w:val="0"/>
        <w:kinsoku/>
        <w:wordWrap/>
        <w:overflowPunct/>
        <w:topLinePunct w:val="0"/>
        <w:bidi w:val="0"/>
        <w:snapToGrid/>
        <w:spacing w:line="440" w:lineRule="exact"/>
        <w:ind w:left="315" w:leftChars="150"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承包人必须提供</w:t>
      </w:r>
      <w:r>
        <w:rPr>
          <w:rFonts w:hint="eastAsia" w:ascii="宋体" w:hAnsi="宋体" w:eastAsia="宋体" w:cs="宋体"/>
          <w:bCs/>
          <w:color w:val="auto"/>
          <w:sz w:val="21"/>
          <w:szCs w:val="21"/>
          <w:highlight w:val="none"/>
          <w:lang w:val="en-US" w:eastAsia="zh-CN"/>
        </w:rPr>
        <w:t>至少</w:t>
      </w:r>
      <w:r>
        <w:rPr>
          <w:rFonts w:hint="eastAsia" w:ascii="宋体" w:hAnsi="宋体" w:eastAsia="宋体" w:cs="宋体"/>
          <w:bCs/>
          <w:color w:val="auto"/>
          <w:sz w:val="21"/>
          <w:szCs w:val="21"/>
          <w:highlight w:val="none"/>
        </w:rPr>
        <w:t>15个经批准使用的安全帽供监理及发包人使用。</w:t>
      </w:r>
    </w:p>
    <w:p w14:paraId="5EDC98A2">
      <w:pPr>
        <w:pageBreakBefore w:val="0"/>
        <w:widowControl w:val="0"/>
        <w:kinsoku/>
        <w:wordWrap/>
        <w:overflowPunct/>
        <w:topLinePunct w:val="0"/>
        <w:bidi w:val="0"/>
        <w:snapToGrid/>
        <w:spacing w:line="440" w:lineRule="exact"/>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13.29办公物品</w:t>
      </w:r>
    </w:p>
    <w:p w14:paraId="5203A9B3">
      <w:pPr>
        <w:pStyle w:val="9"/>
        <w:pageBreakBefore w:val="0"/>
        <w:widowControl w:val="0"/>
        <w:kinsoku/>
        <w:wordWrap/>
        <w:overflowPunct/>
        <w:topLinePunct w:val="0"/>
        <w:bidi w:val="0"/>
        <w:snapToGrid/>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土建承包人需在施工现场无偿提供给发包人及监理单位办公室配备一定数量的办公家具、床具被褥四套，并各配备1台空调、传真机、电话（开通长途、网络），并负责电话使用费用，提供一台复印机与监理组共用。</w:t>
      </w:r>
    </w:p>
    <w:p w14:paraId="505FB779">
      <w:pPr>
        <w:pStyle w:val="5"/>
        <w:pageBreakBefore w:val="0"/>
        <w:widowControl w:val="0"/>
        <w:kinsoku/>
        <w:wordWrap/>
        <w:overflowPunct/>
        <w:topLinePunct w:val="0"/>
        <w:bidi w:val="0"/>
        <w:adjustRightInd w:val="0"/>
        <w:snapToGrid/>
        <w:spacing w:before="0" w:after="0" w:line="440" w:lineRule="exact"/>
        <w:ind w:firstLine="422" w:firstLineChars="200"/>
        <w:jc w:val="left"/>
        <w:textAlignment w:val="baseline"/>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14.其它工作内容</w:t>
      </w:r>
    </w:p>
    <w:p w14:paraId="0BCAAD9B">
      <w:pPr>
        <w:pageBreakBefore w:val="0"/>
        <w:widowControl w:val="0"/>
        <w:tabs>
          <w:tab w:val="left" w:pos="0"/>
        </w:tabs>
        <w:kinsoku/>
        <w:wordWrap/>
        <w:overflowPunct/>
        <w:topLinePunct w:val="0"/>
        <w:bidi w:val="0"/>
        <w:snapToGrid/>
        <w:spacing w:line="44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14.1</w:t>
      </w:r>
      <w:r>
        <w:rPr>
          <w:rFonts w:hint="eastAsia" w:ascii="宋体" w:hAnsi="宋体" w:eastAsia="宋体" w:cs="宋体"/>
          <w:bCs/>
          <w:color w:val="auto"/>
          <w:sz w:val="21"/>
          <w:szCs w:val="21"/>
          <w:highlight w:val="none"/>
        </w:rPr>
        <w:t>从承包人进场后至本项目工程全部竣工止，承包人须负责发包人、监理临时办公室日常维护费用并确保正常的日常使用，日常维护费用包括但不仅限于：水、电、通讯、办公用品、物业保安及室内、外的清洁等正常物业管理，费用计入投标总价。</w:t>
      </w:r>
    </w:p>
    <w:p w14:paraId="59D133F5">
      <w:pPr>
        <w:pageBreakBefore w:val="0"/>
        <w:widowControl w:val="0"/>
        <w:tabs>
          <w:tab w:val="left" w:pos="0"/>
        </w:tabs>
        <w:kinsoku/>
        <w:wordWrap/>
        <w:overflowPunct/>
        <w:topLinePunct w:val="0"/>
        <w:bidi w:val="0"/>
        <w:snapToGrid/>
        <w:spacing w:line="44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14.2</w:t>
      </w:r>
      <w:r>
        <w:rPr>
          <w:rFonts w:hint="eastAsia" w:ascii="宋体" w:hAnsi="宋体" w:eastAsia="宋体" w:cs="宋体"/>
          <w:bCs/>
          <w:color w:val="auto"/>
          <w:sz w:val="21"/>
          <w:szCs w:val="21"/>
          <w:highlight w:val="none"/>
        </w:rPr>
        <w:t>总包应负责屋面预留孔洞、套管临时封堵，及时降水，保证工作面干燥。为了实现进度目标，总包要做好塔楼高空坠物防护（如设置防护网、双层竹笆片等），如因防护不当损坏幕墙成品，应赔偿其损失。</w:t>
      </w:r>
    </w:p>
    <w:p w14:paraId="4E183547">
      <w:pPr>
        <w:pageBreakBefore w:val="0"/>
        <w:widowControl w:val="0"/>
        <w:tabs>
          <w:tab w:val="left" w:pos="0"/>
        </w:tabs>
        <w:kinsoku/>
        <w:wordWrap/>
        <w:overflowPunct/>
        <w:topLinePunct w:val="0"/>
        <w:bidi w:val="0"/>
        <w:snapToGrid/>
        <w:spacing w:line="44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14.3</w:t>
      </w:r>
      <w:r>
        <w:rPr>
          <w:rFonts w:hint="eastAsia" w:ascii="宋体" w:hAnsi="宋体" w:eastAsia="宋体" w:cs="宋体"/>
          <w:bCs/>
          <w:color w:val="auto"/>
          <w:sz w:val="21"/>
          <w:szCs w:val="21"/>
          <w:highlight w:val="none"/>
        </w:rPr>
        <w:t>投标者的总价应包含提供满足样品陈列要求的样品柜各3套，长×厚×高分别为：120X35X150cm,200X45X150cm。</w:t>
      </w:r>
    </w:p>
    <w:p w14:paraId="0B9BDAF9">
      <w:pPr>
        <w:pageBreakBefore w:val="0"/>
        <w:widowControl w:val="0"/>
        <w:tabs>
          <w:tab w:val="left" w:pos="0"/>
          <w:tab w:val="left" w:pos="567"/>
        </w:tabs>
        <w:kinsoku/>
        <w:wordWrap/>
        <w:overflowPunct/>
        <w:topLinePunct w:val="0"/>
        <w:bidi w:val="0"/>
        <w:snapToGrid/>
        <w:spacing w:line="44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14.4</w:t>
      </w:r>
      <w:r>
        <w:rPr>
          <w:rFonts w:hint="eastAsia" w:ascii="宋体" w:hAnsi="宋体" w:eastAsia="宋体" w:cs="宋体"/>
          <w:bCs/>
          <w:color w:val="auto"/>
          <w:sz w:val="21"/>
          <w:szCs w:val="21"/>
          <w:highlight w:val="none"/>
        </w:rPr>
        <w:t>土建总承包人应在接到中标通知书后三天内，负责提供：总承包人须负责施工期间现场临时办公区电信费用，含电话和宽带。上述费用投标人应综合考虑进投标总价，结算时不再调整。提供无人机一台供监理及发包人工程管理人员工作使用；为发包人办公室提供彩色A4打印机一套以及相应的耗材及办公用品。以上设备使用时间从开工之日开始计算，至工程竣工验收后一个月内。</w:t>
      </w:r>
    </w:p>
    <w:p w14:paraId="59FBF48A">
      <w:pPr>
        <w:pageBreakBefore w:val="0"/>
        <w:widowControl w:val="0"/>
        <w:tabs>
          <w:tab w:val="left" w:pos="0"/>
          <w:tab w:val="left" w:pos="567"/>
        </w:tabs>
        <w:kinsoku/>
        <w:wordWrap/>
        <w:overflowPunct/>
        <w:topLinePunct w:val="0"/>
        <w:bidi w:val="0"/>
        <w:snapToGrid/>
        <w:spacing w:line="440" w:lineRule="exact"/>
        <w:ind w:firstLine="420" w:firstLineChars="200"/>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14.5项目实施期间，为便于项目实施，承包人须提供一辆车，供项目现场人员使用，并负责承担车辆使用过程中的所用费用。</w:t>
      </w:r>
    </w:p>
    <w:p w14:paraId="35C9B942">
      <w:pPr>
        <w:pageBreakBefore w:val="0"/>
        <w:widowControl w:val="0"/>
        <w:tabs>
          <w:tab w:val="left" w:pos="0"/>
          <w:tab w:val="left" w:pos="567"/>
        </w:tabs>
        <w:kinsoku/>
        <w:wordWrap/>
        <w:overflowPunct/>
        <w:topLinePunct w:val="0"/>
        <w:bidi w:val="0"/>
        <w:snapToGrid/>
        <w:spacing w:line="440" w:lineRule="exact"/>
        <w:ind w:firstLine="420" w:firstLineChars="200"/>
        <w:jc w:val="left"/>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14.6承包人有义务协助发包人建设的相关房屋销售工作并适时签订补充协议。</w:t>
      </w:r>
    </w:p>
    <w:p w14:paraId="3493D9B8">
      <w:pPr>
        <w:pageBreakBefore w:val="0"/>
        <w:widowControl w:val="0"/>
        <w:tabs>
          <w:tab w:val="left" w:pos="0"/>
          <w:tab w:val="left" w:pos="567"/>
        </w:tabs>
        <w:kinsoku/>
        <w:wordWrap/>
        <w:overflowPunct/>
        <w:topLinePunct w:val="0"/>
        <w:bidi w:val="0"/>
        <w:snapToGrid/>
        <w:spacing w:line="44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14.7总承包实际必须充分考虑本工程出正负零、主体封顶、竣工交付等施工节点举行</w:t>
      </w:r>
      <w:r>
        <w:rPr>
          <w:rFonts w:hint="eastAsia" w:ascii="宋体" w:hAnsi="宋体" w:eastAsia="宋体" w:cs="宋体"/>
          <w:bCs/>
          <w:color w:val="auto"/>
          <w:sz w:val="21"/>
          <w:szCs w:val="21"/>
          <w:highlight w:val="none"/>
        </w:rPr>
        <w:t>一定规模的各项仪式活动，包括但不限于聘请礼仪公司、礼台搭设拆除、鲜花购买摆放等所需要的费用。</w:t>
      </w:r>
    </w:p>
    <w:p w14:paraId="22505849">
      <w:pPr>
        <w:pageBreakBefore w:val="0"/>
        <w:widowControl w:val="0"/>
        <w:kinsoku/>
        <w:wordWrap/>
        <w:overflowPunct/>
        <w:topLinePunct w:val="0"/>
        <w:bidi w:val="0"/>
        <w:snapToGrid/>
        <w:spacing w:line="44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14.8</w:t>
      </w:r>
      <w:r>
        <w:rPr>
          <w:rFonts w:hint="eastAsia" w:ascii="宋体" w:hAnsi="宋体" w:eastAsia="宋体" w:cs="宋体"/>
          <w:bCs/>
          <w:color w:val="auto"/>
          <w:sz w:val="21"/>
          <w:szCs w:val="21"/>
          <w:highlight w:val="none"/>
        </w:rPr>
        <w:t>总承包人负责处理所有孔洞开凿、门窗周边填实、修补、室内外垃圾清理（自开工之日起至物业验收通过之日止，包括任何分包造成的任何垃圾），在项目竣工验收</w:t>
      </w:r>
      <w:r>
        <w:rPr>
          <w:rFonts w:hint="eastAsia" w:ascii="宋体" w:hAnsi="宋体" w:eastAsia="宋体" w:cs="宋体"/>
          <w:bCs/>
          <w:color w:val="auto"/>
          <w:sz w:val="21"/>
          <w:szCs w:val="21"/>
          <w:highlight w:val="none"/>
          <w:lang w:val="en-US" w:eastAsia="zh-CN"/>
        </w:rPr>
        <w:t>期</w:t>
      </w:r>
      <w:r>
        <w:rPr>
          <w:rFonts w:hint="eastAsia" w:ascii="宋体" w:hAnsi="宋体" w:eastAsia="宋体" w:cs="宋体"/>
          <w:bCs/>
          <w:color w:val="auto"/>
          <w:sz w:val="21"/>
          <w:szCs w:val="21"/>
          <w:highlight w:val="none"/>
        </w:rPr>
        <w:t>间，如在接总监、发包人保洁拓荒指令7日内不能完成保洁拓荒工作，发包人将给予2万元人民币的处罚，同时，总监和发包人有权立即安排专业保洁公司对本项目的室内外进行全面保洁，以确保顺利验收，该保洁费用将从最后一次工程进度款中一次性扣除给专业保洁公司。请总承包人务必将因上述工作而发生的任何费用一并报入总价，今后不得以任何理由向其他分包人要求分摊，发包人也将不再予以任何补贴。</w:t>
      </w:r>
    </w:p>
    <w:p w14:paraId="27CC582E">
      <w:pPr>
        <w:pageBreakBefore w:val="0"/>
        <w:widowControl w:val="0"/>
        <w:kinsoku/>
        <w:wordWrap/>
        <w:overflowPunct/>
        <w:topLinePunct w:val="0"/>
        <w:bidi w:val="0"/>
        <w:snapToGrid/>
        <w:spacing w:line="44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14.9</w:t>
      </w:r>
      <w:r>
        <w:rPr>
          <w:rFonts w:hint="eastAsia" w:ascii="宋体" w:hAnsi="宋体" w:eastAsia="宋体" w:cs="宋体"/>
          <w:bCs/>
          <w:color w:val="auto"/>
          <w:sz w:val="21"/>
          <w:szCs w:val="21"/>
          <w:highlight w:val="none"/>
        </w:rPr>
        <w:t>现场安全保卫工作：工地现场安全保卫工作由总包统一负责。本项目必须实施全程正规保安管理，门卫及内保必须聘请专业保安人员，现场门卫要负责车辆、人员等出入管理；</w:t>
      </w:r>
      <w:r>
        <w:rPr>
          <w:rFonts w:hint="eastAsia" w:ascii="宋体" w:hAnsi="宋体" w:eastAsia="宋体" w:cs="宋体"/>
          <w:color w:val="auto"/>
          <w:sz w:val="21"/>
          <w:szCs w:val="21"/>
          <w:highlight w:val="none"/>
        </w:rPr>
        <w:t>现场临时办公区安保工作由总包统一负责。如不能按要求完成保安工作，发包人将给予2万元人民币的处罚，同时，总监和发包人有权立即安排专业保安公司对本项目进行安保，以确保项目顺利进行，该费用加收20%发包人协调费，将从第一次工程进度款中一次性扣除给专业保安公司。上述全部费用，总承包人必须在报价中单项列明。</w:t>
      </w:r>
    </w:p>
    <w:p w14:paraId="2A595883">
      <w:pPr>
        <w:pStyle w:val="40"/>
        <w:keepNext w:val="0"/>
        <w:keepLines w:val="0"/>
        <w:pageBreakBefore w:val="0"/>
        <w:widowControl w:val="0"/>
        <w:kinsoku/>
        <w:wordWrap/>
        <w:overflowPunct/>
        <w:topLinePunct w:val="0"/>
        <w:bidi w:val="0"/>
        <w:snapToGrid/>
        <w:spacing w:line="440" w:lineRule="exact"/>
        <w:ind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14.10</w:t>
      </w:r>
      <w:r>
        <w:rPr>
          <w:rFonts w:hint="eastAsia" w:ascii="宋体" w:hAnsi="宋体" w:eastAsia="宋体" w:cs="宋体"/>
          <w:bCs/>
          <w:color w:val="auto"/>
          <w:sz w:val="21"/>
          <w:szCs w:val="21"/>
          <w:highlight w:val="none"/>
        </w:rPr>
        <w:t>要求本工程下列主要分部分项工程在施工前均须向总监呈报施工方案，并经过总监或其委托人认定后方可实施。同时总承包人应充分考虑施工方案可能会带来的各项费用（如施工方案需要专家论证的相关费用）并将其考虑到投标总价中。主要分部分项工程包括但不限于：基础工程、砌筑工程、模板工程、钢筋工程、混凝土工程、防水工程、抹灰工程、饰面工程、油漆工程、门窗工程、屋面工程等，且施工方案不作为结算的依据。</w:t>
      </w:r>
    </w:p>
    <w:p w14:paraId="11213761">
      <w:pPr>
        <w:pStyle w:val="40"/>
        <w:keepNext w:val="0"/>
        <w:keepLines w:val="0"/>
        <w:pageBreakBefore w:val="0"/>
        <w:widowControl w:val="0"/>
        <w:kinsoku/>
        <w:wordWrap/>
        <w:overflowPunct/>
        <w:topLinePunct w:val="0"/>
        <w:bidi w:val="0"/>
        <w:snapToGrid/>
        <w:spacing w:line="440" w:lineRule="exact"/>
        <w:ind w:firstLine="420" w:firstLineChars="200"/>
        <w:jc w:val="left"/>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14.11</w:t>
      </w:r>
      <w:r>
        <w:rPr>
          <w:rFonts w:hint="eastAsia" w:ascii="宋体" w:hAnsi="宋体" w:eastAsia="宋体" w:cs="宋体"/>
          <w:bCs/>
          <w:color w:val="auto"/>
          <w:sz w:val="21"/>
          <w:szCs w:val="21"/>
          <w:highlight w:val="none"/>
        </w:rPr>
        <w:t>由总承包人负责牵头各项验收委托及配合验收工作包括但不限于：组织防雷验收所需要的防雷检测配合；自来水、强电、燃气现场施工及验收配合；节能分部工程能效测评检测配合及验收配合、</w:t>
      </w:r>
      <w:r>
        <w:rPr>
          <w:rFonts w:hint="eastAsia" w:hAnsi="宋体" w:cs="宋体"/>
          <w:bCs/>
          <w:color w:val="auto"/>
          <w:sz w:val="21"/>
          <w:szCs w:val="21"/>
          <w:highlight w:val="none"/>
          <w:lang w:val="en-US" w:eastAsia="zh-CN"/>
        </w:rPr>
        <w:t>土方测绘及</w:t>
      </w:r>
      <w:r>
        <w:rPr>
          <w:rFonts w:hint="eastAsia" w:ascii="宋体" w:hAnsi="宋体" w:eastAsia="宋体" w:cs="宋体"/>
          <w:bCs/>
          <w:color w:val="auto"/>
          <w:sz w:val="21"/>
          <w:szCs w:val="21"/>
          <w:highlight w:val="none"/>
        </w:rPr>
        <w:t>竣工测量配合及其规划验收申请配合；消防检测的验收配合；室内环境检测配合；竣工验收各项检测验收配合；资料归档及档案验收，上述所有的配合费用包含在投标总价中。投标人应将所有涉及到的任何检测的配合费用(如材料检测、环保系统、白蚁防治、工程质量、室内环境检测、消防检测、人防检测</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幕墙检测,规划办证测量，竣工总平面测绘(含管线竣工)，管道检测，面积测量(人防)；</w:t>
      </w:r>
      <w:r>
        <w:rPr>
          <w:rFonts w:hint="eastAsia" w:ascii="宋体" w:hAnsi="宋体" w:eastAsia="宋体" w:cs="宋体"/>
          <w:bCs/>
          <w:color w:val="auto"/>
          <w:sz w:val="21"/>
          <w:szCs w:val="21"/>
          <w:highlight w:val="none"/>
        </w:rPr>
        <w:t>以及施工方案需专家论证的费用全部计入投标总价中；所有涉及本项目上面描述的检测以及其他功能性检测，如果发包人已经委托有资质的第三方进行检测，并已由发包方支付相关费用，但承包人应承担这些检测的费用，并在结算中按发包方支付的实际费用扣除。</w:t>
      </w:r>
    </w:p>
    <w:p w14:paraId="075ED355">
      <w:pPr>
        <w:pStyle w:val="40"/>
        <w:keepNext w:val="0"/>
        <w:keepLines w:val="0"/>
        <w:pageBreakBefore w:val="0"/>
        <w:widowControl w:val="0"/>
        <w:kinsoku/>
        <w:wordWrap/>
        <w:overflowPunct/>
        <w:topLinePunct w:val="0"/>
        <w:bidi w:val="0"/>
        <w:snapToGrid/>
        <w:spacing w:line="440" w:lineRule="exact"/>
        <w:ind w:firstLine="420" w:firstLineChars="200"/>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14.1</w:t>
      </w:r>
      <w:r>
        <w:rPr>
          <w:rFonts w:hint="eastAsia"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en-US" w:eastAsia="zh-CN"/>
        </w:rPr>
        <w:t>安装工程的各种结构预埋件费用包含不限于增加水电套管数量、结构的加强措施、结构的尺寸变化以及相关的专业试验费、检测费、论证费用，其费用包含在投标总价中，后期的费用不予增加。</w:t>
      </w:r>
    </w:p>
    <w:p w14:paraId="7D1F90F9">
      <w:pPr>
        <w:pStyle w:val="40"/>
        <w:keepNext w:val="0"/>
        <w:keepLines w:val="0"/>
        <w:pageBreakBefore w:val="0"/>
        <w:widowControl w:val="0"/>
        <w:kinsoku/>
        <w:wordWrap/>
        <w:overflowPunct/>
        <w:topLinePunct w:val="0"/>
        <w:bidi w:val="0"/>
        <w:snapToGrid/>
        <w:spacing w:line="440" w:lineRule="exact"/>
        <w:ind w:firstLine="420" w:firstLineChars="200"/>
        <w:jc w:val="left"/>
        <w:textAlignment w:val="auto"/>
        <w:rPr>
          <w:rFonts w:hint="default" w:ascii="宋体" w:hAnsi="宋体" w:eastAsia="宋体" w:cs="宋体"/>
          <w:bCs/>
          <w:color w:val="auto"/>
          <w:sz w:val="21"/>
          <w:szCs w:val="21"/>
          <w:highlight w:val="none"/>
          <w:lang w:val="en-US" w:eastAsia="zh-CN"/>
        </w:rPr>
      </w:pPr>
      <w:r>
        <w:rPr>
          <w:rFonts w:hint="eastAsia" w:hAnsi="宋体" w:cs="宋体"/>
          <w:bCs/>
          <w:color w:val="auto"/>
          <w:sz w:val="21"/>
          <w:szCs w:val="21"/>
          <w:highlight w:val="none"/>
          <w:lang w:val="en-US" w:eastAsia="zh-CN"/>
        </w:rPr>
        <w:t>14.13</w:t>
      </w:r>
      <w:r>
        <w:rPr>
          <w:rFonts w:hint="eastAsia" w:ascii="宋体" w:hAnsi="宋体" w:cs="宋体"/>
          <w:b w:val="0"/>
          <w:bCs w:val="0"/>
          <w:color w:val="auto"/>
          <w:kern w:val="2"/>
          <w:sz w:val="21"/>
          <w:szCs w:val="21"/>
          <w:highlight w:val="none"/>
          <w:lang w:val="en-US" w:eastAsia="zh-CN" w:bidi="ar-SA"/>
        </w:rPr>
        <w:t>项目土方外弃土运距按3KM计算不予调整，外购土运距按5KM计算不予调整，计入清单控制价，投标人自行勘察现场，中标后不再调整。</w:t>
      </w:r>
    </w:p>
    <w:p w14:paraId="6265E715">
      <w:pPr>
        <w:pStyle w:val="40"/>
        <w:keepNext w:val="0"/>
        <w:keepLines w:val="0"/>
        <w:pageBreakBefore w:val="0"/>
        <w:widowControl w:val="0"/>
        <w:kinsoku/>
        <w:wordWrap/>
        <w:overflowPunct/>
        <w:topLinePunct w:val="0"/>
        <w:bidi w:val="0"/>
        <w:snapToGrid/>
        <w:spacing w:line="440" w:lineRule="exact"/>
        <w:ind w:firstLine="420" w:firstLineChars="200"/>
        <w:jc w:val="left"/>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14.14违约金支付标准</w:t>
      </w:r>
    </w:p>
    <w:p w14:paraId="4C0C335B">
      <w:pPr>
        <w:pStyle w:val="40"/>
        <w:keepNext w:val="0"/>
        <w:keepLines w:val="0"/>
        <w:pageBreakBefore w:val="0"/>
        <w:widowControl w:val="0"/>
        <w:kinsoku/>
        <w:wordWrap/>
        <w:overflowPunct/>
        <w:topLinePunct w:val="0"/>
        <w:bidi w:val="0"/>
        <w:snapToGrid/>
        <w:spacing w:line="440" w:lineRule="exact"/>
        <w:ind w:firstLine="420" w:firstLineChars="200"/>
        <w:jc w:val="left"/>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14.14.1安全文明施工违约金支付标准</w:t>
      </w:r>
    </w:p>
    <w:tbl>
      <w:tblPr>
        <w:tblStyle w:val="43"/>
        <w:tblW w:w="10530" w:type="dxa"/>
        <w:tblInd w:w="-7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5"/>
        <w:gridCol w:w="510"/>
        <w:gridCol w:w="1350"/>
        <w:gridCol w:w="6795"/>
        <w:gridCol w:w="1230"/>
      </w:tblGrid>
      <w:tr w14:paraId="63520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645" w:type="dxa"/>
            <w:noWrap w:val="0"/>
            <w:textDirection w:val="tbRlV"/>
            <w:vAlign w:val="top"/>
          </w:tcPr>
          <w:p w14:paraId="10E7C3F1">
            <w:pPr>
              <w:pStyle w:val="42"/>
              <w:keepNext w:val="0"/>
              <w:keepLines w:val="0"/>
              <w:pageBreakBefore w:val="0"/>
              <w:widowControl w:val="0"/>
              <w:kinsoku/>
              <w:wordWrap/>
              <w:overflowPunct/>
              <w:topLinePunct w:val="0"/>
              <w:autoSpaceDE/>
              <w:autoSpaceDN/>
              <w:bidi w:val="0"/>
              <w:adjustRightInd/>
              <w:snapToGrid/>
              <w:spacing w:line="360" w:lineRule="exact"/>
              <w:ind w:left="311"/>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序</w:t>
            </w:r>
            <w:r>
              <w:rPr>
                <w:rFonts w:hint="eastAsia" w:ascii="宋体" w:hAnsi="宋体" w:eastAsia="宋体" w:cs="宋体"/>
                <w:color w:val="auto"/>
                <w:spacing w:val="20"/>
                <w:sz w:val="21"/>
                <w:szCs w:val="21"/>
                <w:highlight w:val="none"/>
              </w:rPr>
              <w:t xml:space="preserve">  </w:t>
            </w:r>
            <w:r>
              <w:rPr>
                <w:rFonts w:hint="eastAsia" w:ascii="宋体" w:hAnsi="宋体" w:eastAsia="宋体" w:cs="宋体"/>
                <w:color w:val="auto"/>
                <w:spacing w:val="-1"/>
                <w:sz w:val="21"/>
                <w:szCs w:val="21"/>
                <w:highlight w:val="none"/>
              </w:rPr>
              <w:t>号</w:t>
            </w:r>
          </w:p>
        </w:tc>
        <w:tc>
          <w:tcPr>
            <w:tcW w:w="1860" w:type="dxa"/>
            <w:gridSpan w:val="2"/>
            <w:noWrap w:val="0"/>
            <w:vAlign w:val="top"/>
          </w:tcPr>
          <w:p w14:paraId="51B0CB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7338D1A3">
            <w:pPr>
              <w:pStyle w:val="42"/>
              <w:keepNext w:val="0"/>
              <w:keepLines w:val="0"/>
              <w:pageBreakBefore w:val="0"/>
              <w:widowControl w:val="0"/>
              <w:kinsoku/>
              <w:wordWrap/>
              <w:overflowPunct/>
              <w:topLinePunct w:val="0"/>
              <w:autoSpaceDE/>
              <w:autoSpaceDN/>
              <w:bidi w:val="0"/>
              <w:adjustRightInd/>
              <w:snapToGrid/>
              <w:spacing w:line="360" w:lineRule="exact"/>
              <w:ind w:left="763"/>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检查项目</w:t>
            </w:r>
          </w:p>
        </w:tc>
        <w:tc>
          <w:tcPr>
            <w:tcW w:w="6795" w:type="dxa"/>
            <w:noWrap w:val="0"/>
            <w:vAlign w:val="top"/>
          </w:tcPr>
          <w:p w14:paraId="652DC45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58F637EC">
            <w:pPr>
              <w:pStyle w:val="42"/>
              <w:keepNext w:val="0"/>
              <w:keepLines w:val="0"/>
              <w:pageBreakBefore w:val="0"/>
              <w:widowControl w:val="0"/>
              <w:kinsoku/>
              <w:wordWrap/>
              <w:overflowPunct/>
              <w:topLinePunct w:val="0"/>
              <w:autoSpaceDE/>
              <w:autoSpaceDN/>
              <w:bidi w:val="0"/>
              <w:adjustRightInd/>
              <w:snapToGrid/>
              <w:spacing w:line="360" w:lineRule="exact"/>
              <w:ind w:left="2041"/>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检查内容</w:t>
            </w:r>
          </w:p>
        </w:tc>
        <w:tc>
          <w:tcPr>
            <w:tcW w:w="1230" w:type="dxa"/>
            <w:noWrap w:val="0"/>
            <w:vAlign w:val="top"/>
          </w:tcPr>
          <w:p w14:paraId="180E26ED">
            <w:pPr>
              <w:pStyle w:val="42"/>
              <w:keepNext w:val="0"/>
              <w:keepLines w:val="0"/>
              <w:pageBreakBefore w:val="0"/>
              <w:widowControl w:val="0"/>
              <w:kinsoku/>
              <w:wordWrap/>
              <w:overflowPunct/>
              <w:topLinePunct w:val="0"/>
              <w:autoSpaceDE/>
              <w:autoSpaceDN/>
              <w:bidi w:val="0"/>
              <w:adjustRightInd/>
              <w:snapToGrid/>
              <w:spacing w:line="360" w:lineRule="exact"/>
              <w:ind w:left="188" w:right="171" w:hanging="9"/>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违约金额</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（元/条.</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人.处）</w:t>
            </w:r>
          </w:p>
        </w:tc>
      </w:tr>
      <w:tr w14:paraId="48691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45" w:type="dxa"/>
            <w:vMerge w:val="restart"/>
            <w:tcBorders>
              <w:bottom w:val="nil"/>
            </w:tcBorders>
            <w:noWrap w:val="0"/>
            <w:vAlign w:val="top"/>
          </w:tcPr>
          <w:p w14:paraId="5A1C972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08B292D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45C6357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75233EB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05E1E16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626C957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7AA908C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4AF7C5D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4F9A1AB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7206AD0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44283E42">
            <w:pPr>
              <w:pStyle w:val="42"/>
              <w:keepNext w:val="0"/>
              <w:keepLines w:val="0"/>
              <w:pageBreakBefore w:val="0"/>
              <w:widowControl w:val="0"/>
              <w:kinsoku/>
              <w:wordWrap/>
              <w:overflowPunct/>
              <w:topLinePunct w:val="0"/>
              <w:autoSpaceDE/>
              <w:autoSpaceDN/>
              <w:bidi w:val="0"/>
              <w:adjustRightInd/>
              <w:snapToGrid/>
              <w:spacing w:line="360" w:lineRule="exact"/>
              <w:ind w:left="208"/>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10" w:type="dxa"/>
            <w:vMerge w:val="restart"/>
            <w:tcBorders>
              <w:bottom w:val="nil"/>
            </w:tcBorders>
            <w:noWrap w:val="0"/>
            <w:vAlign w:val="top"/>
          </w:tcPr>
          <w:p w14:paraId="04F7081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2350803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4FE1ECF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50537B0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459C0C7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03C19CB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182A358A">
            <w:pPr>
              <w:pStyle w:val="42"/>
              <w:keepNext w:val="0"/>
              <w:keepLines w:val="0"/>
              <w:pageBreakBefore w:val="0"/>
              <w:widowControl w:val="0"/>
              <w:kinsoku/>
              <w:wordWrap/>
              <w:overflowPunct/>
              <w:topLinePunct w:val="0"/>
              <w:autoSpaceDE/>
              <w:autoSpaceDN/>
              <w:bidi w:val="0"/>
              <w:adjustRightInd/>
              <w:snapToGrid/>
              <w:spacing w:line="360" w:lineRule="exact"/>
              <w:ind w:left="163" w:right="159" w:firstLine="1"/>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现场</w:t>
            </w:r>
            <w:r>
              <w:rPr>
                <w:rFonts w:hint="eastAsia" w:ascii="宋体" w:hAnsi="宋体" w:eastAsia="宋体" w:cs="宋体"/>
                <w:color w:val="auto"/>
                <w:spacing w:val="-4"/>
                <w:sz w:val="21"/>
                <w:szCs w:val="21"/>
                <w:highlight w:val="none"/>
              </w:rPr>
              <w:t>环境</w:t>
            </w:r>
          </w:p>
        </w:tc>
        <w:tc>
          <w:tcPr>
            <w:tcW w:w="1350" w:type="dxa"/>
            <w:noWrap w:val="0"/>
            <w:vAlign w:val="top"/>
          </w:tcPr>
          <w:p w14:paraId="0EDB53D8">
            <w:pPr>
              <w:pStyle w:val="42"/>
              <w:keepNext w:val="0"/>
              <w:keepLines w:val="0"/>
              <w:pageBreakBefore w:val="0"/>
              <w:widowControl w:val="0"/>
              <w:kinsoku/>
              <w:wordWrap/>
              <w:overflowPunct/>
              <w:topLinePunct w:val="0"/>
              <w:autoSpaceDE/>
              <w:autoSpaceDN/>
              <w:bidi w:val="0"/>
              <w:adjustRightInd/>
              <w:snapToGrid/>
              <w:spacing w:line="360" w:lineRule="exact"/>
              <w:ind w:left="422"/>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封闭施工</w:t>
            </w:r>
          </w:p>
        </w:tc>
        <w:tc>
          <w:tcPr>
            <w:tcW w:w="6795" w:type="dxa"/>
            <w:noWrap w:val="0"/>
            <w:vAlign w:val="top"/>
          </w:tcPr>
          <w:p w14:paraId="6D5D9FD8">
            <w:pPr>
              <w:pStyle w:val="42"/>
              <w:keepNext w:val="0"/>
              <w:keepLines w:val="0"/>
              <w:pageBreakBefore w:val="0"/>
              <w:widowControl w:val="0"/>
              <w:kinsoku/>
              <w:wordWrap/>
              <w:overflowPunct/>
              <w:topLinePunct w:val="0"/>
              <w:autoSpaceDE/>
              <w:autoSpaceDN/>
              <w:bidi w:val="0"/>
              <w:adjustRightInd/>
              <w:snapToGrid/>
              <w:spacing w:line="360" w:lineRule="exact"/>
              <w:ind w:left="111"/>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施工区是否按要求设置围挡，围挡高度是否满足要求</w:t>
            </w:r>
          </w:p>
        </w:tc>
        <w:tc>
          <w:tcPr>
            <w:tcW w:w="1230" w:type="dxa"/>
            <w:noWrap w:val="0"/>
            <w:vAlign w:val="top"/>
          </w:tcPr>
          <w:p w14:paraId="69A48564">
            <w:pPr>
              <w:pStyle w:val="42"/>
              <w:keepNext w:val="0"/>
              <w:keepLines w:val="0"/>
              <w:pageBreakBefore w:val="0"/>
              <w:widowControl w:val="0"/>
              <w:kinsoku/>
              <w:wordWrap/>
              <w:overflowPunct/>
              <w:topLinePunct w:val="0"/>
              <w:autoSpaceDE/>
              <w:autoSpaceDN/>
              <w:bidi w:val="0"/>
              <w:adjustRightInd/>
              <w:snapToGrid/>
              <w:spacing w:line="360" w:lineRule="exact"/>
              <w:ind w:left="361"/>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2000</w:t>
            </w:r>
          </w:p>
        </w:tc>
      </w:tr>
      <w:tr w14:paraId="1B8A5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645" w:type="dxa"/>
            <w:vMerge w:val="continue"/>
            <w:tcBorders>
              <w:top w:val="nil"/>
              <w:bottom w:val="nil"/>
            </w:tcBorders>
            <w:noWrap w:val="0"/>
            <w:vAlign w:val="top"/>
          </w:tcPr>
          <w:p w14:paraId="1BA7785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510" w:type="dxa"/>
            <w:vMerge w:val="continue"/>
            <w:tcBorders>
              <w:top w:val="nil"/>
              <w:bottom w:val="nil"/>
            </w:tcBorders>
            <w:noWrap w:val="0"/>
            <w:vAlign w:val="top"/>
          </w:tcPr>
          <w:p w14:paraId="4DAE20A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350" w:type="dxa"/>
            <w:noWrap w:val="0"/>
            <w:vAlign w:val="top"/>
          </w:tcPr>
          <w:p w14:paraId="0B28380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1C6DB7B1">
            <w:pPr>
              <w:pStyle w:val="42"/>
              <w:keepNext w:val="0"/>
              <w:keepLines w:val="0"/>
              <w:pageBreakBefore w:val="0"/>
              <w:widowControl w:val="0"/>
              <w:kinsoku/>
              <w:wordWrap/>
              <w:overflowPunct/>
              <w:topLinePunct w:val="0"/>
              <w:autoSpaceDE/>
              <w:autoSpaceDN/>
              <w:bidi w:val="0"/>
              <w:adjustRightInd/>
              <w:snapToGrid/>
              <w:spacing w:line="360" w:lineRule="exact"/>
              <w:ind w:left="423"/>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标志标牌</w:t>
            </w:r>
          </w:p>
        </w:tc>
        <w:tc>
          <w:tcPr>
            <w:tcW w:w="6795" w:type="dxa"/>
            <w:noWrap w:val="0"/>
            <w:vAlign w:val="top"/>
          </w:tcPr>
          <w:p w14:paraId="4B4AAF2B">
            <w:pPr>
              <w:pStyle w:val="42"/>
              <w:keepNext w:val="0"/>
              <w:keepLines w:val="0"/>
              <w:pageBreakBefore w:val="0"/>
              <w:widowControl w:val="0"/>
              <w:kinsoku/>
              <w:wordWrap/>
              <w:overflowPunct/>
              <w:topLinePunct w:val="0"/>
              <w:autoSpaceDE/>
              <w:autoSpaceDN/>
              <w:bidi w:val="0"/>
              <w:adjustRightInd/>
              <w:snapToGrid/>
              <w:spacing w:line="360" w:lineRule="exact"/>
              <w:ind w:left="113" w:right="105" w:hanging="2"/>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施工出入口门楼、“五牌一图</w:t>
            </w:r>
            <w:r>
              <w:rPr>
                <w:rFonts w:hint="eastAsia" w:ascii="宋体" w:hAnsi="宋体" w:eastAsia="宋体" w:cs="宋体"/>
                <w:color w:val="auto"/>
                <w:spacing w:val="-44"/>
                <w:sz w:val="21"/>
                <w:szCs w:val="21"/>
                <w:highlight w:val="none"/>
              </w:rPr>
              <w:t xml:space="preserve"> </w:t>
            </w:r>
            <w:r>
              <w:rPr>
                <w:rFonts w:hint="eastAsia" w:ascii="宋体" w:hAnsi="宋体" w:eastAsia="宋体" w:cs="宋体"/>
                <w:color w:val="auto"/>
                <w:spacing w:val="1"/>
                <w:sz w:val="21"/>
                <w:szCs w:val="21"/>
                <w:highlight w:val="none"/>
              </w:rPr>
              <w:t>”是否按规范要求设置；重</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大危险源、危险区域是否设置安全警示标志、标牌</w:t>
            </w:r>
          </w:p>
        </w:tc>
        <w:tc>
          <w:tcPr>
            <w:tcW w:w="1230" w:type="dxa"/>
            <w:noWrap w:val="0"/>
            <w:vAlign w:val="top"/>
          </w:tcPr>
          <w:p w14:paraId="19BABC96">
            <w:pPr>
              <w:pStyle w:val="42"/>
              <w:keepNext w:val="0"/>
              <w:keepLines w:val="0"/>
              <w:pageBreakBefore w:val="0"/>
              <w:widowControl w:val="0"/>
              <w:kinsoku/>
              <w:wordWrap/>
              <w:overflowPunct/>
              <w:topLinePunct w:val="0"/>
              <w:autoSpaceDE/>
              <w:autoSpaceDN/>
              <w:bidi w:val="0"/>
              <w:adjustRightInd/>
              <w:snapToGrid/>
              <w:spacing w:line="360" w:lineRule="exact"/>
              <w:ind w:left="363"/>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5000</w:t>
            </w:r>
          </w:p>
        </w:tc>
      </w:tr>
      <w:tr w14:paraId="48169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645" w:type="dxa"/>
            <w:vMerge w:val="continue"/>
            <w:tcBorders>
              <w:top w:val="nil"/>
              <w:bottom w:val="nil"/>
            </w:tcBorders>
            <w:noWrap w:val="0"/>
            <w:vAlign w:val="top"/>
          </w:tcPr>
          <w:p w14:paraId="54B33B1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510" w:type="dxa"/>
            <w:vMerge w:val="continue"/>
            <w:tcBorders>
              <w:top w:val="nil"/>
              <w:bottom w:val="nil"/>
            </w:tcBorders>
            <w:noWrap w:val="0"/>
            <w:vAlign w:val="top"/>
          </w:tcPr>
          <w:p w14:paraId="6C60FFC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350" w:type="dxa"/>
            <w:noWrap w:val="0"/>
            <w:vAlign w:val="top"/>
          </w:tcPr>
          <w:p w14:paraId="0D4D8199">
            <w:pPr>
              <w:pStyle w:val="42"/>
              <w:keepNext w:val="0"/>
              <w:keepLines w:val="0"/>
              <w:pageBreakBefore w:val="0"/>
              <w:widowControl w:val="0"/>
              <w:kinsoku/>
              <w:wordWrap/>
              <w:overflowPunct/>
              <w:topLinePunct w:val="0"/>
              <w:autoSpaceDE/>
              <w:autoSpaceDN/>
              <w:bidi w:val="0"/>
              <w:adjustRightInd/>
              <w:snapToGrid/>
              <w:spacing w:line="360" w:lineRule="exact"/>
              <w:ind w:left="422"/>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场地硬化</w:t>
            </w:r>
          </w:p>
        </w:tc>
        <w:tc>
          <w:tcPr>
            <w:tcW w:w="6795" w:type="dxa"/>
            <w:noWrap w:val="0"/>
            <w:vAlign w:val="top"/>
          </w:tcPr>
          <w:p w14:paraId="71C5E9BA">
            <w:pPr>
              <w:pStyle w:val="42"/>
              <w:keepNext w:val="0"/>
              <w:keepLines w:val="0"/>
              <w:pageBreakBefore w:val="0"/>
              <w:widowControl w:val="0"/>
              <w:kinsoku/>
              <w:wordWrap/>
              <w:overflowPunct/>
              <w:topLinePunct w:val="0"/>
              <w:autoSpaceDE/>
              <w:autoSpaceDN/>
              <w:bidi w:val="0"/>
              <w:adjustRightInd/>
              <w:snapToGrid/>
              <w:spacing w:line="360" w:lineRule="exact"/>
              <w:ind w:left="112" w:right="185" w:hanging="1"/>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施工现场主要道路、加工区地面是否按照招标文件要求硬</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2"/>
                <w:sz w:val="21"/>
                <w:szCs w:val="21"/>
                <w:highlight w:val="none"/>
              </w:rPr>
              <w:t>化处理；</w:t>
            </w:r>
          </w:p>
        </w:tc>
        <w:tc>
          <w:tcPr>
            <w:tcW w:w="1230" w:type="dxa"/>
            <w:noWrap w:val="0"/>
            <w:vAlign w:val="top"/>
          </w:tcPr>
          <w:p w14:paraId="77036FFF">
            <w:pPr>
              <w:pStyle w:val="42"/>
              <w:keepNext w:val="0"/>
              <w:keepLines w:val="0"/>
              <w:pageBreakBefore w:val="0"/>
              <w:widowControl w:val="0"/>
              <w:kinsoku/>
              <w:wordWrap/>
              <w:overflowPunct/>
              <w:topLinePunct w:val="0"/>
              <w:autoSpaceDE/>
              <w:autoSpaceDN/>
              <w:bidi w:val="0"/>
              <w:adjustRightInd/>
              <w:snapToGrid/>
              <w:spacing w:line="360" w:lineRule="exact"/>
              <w:ind w:left="361"/>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2000</w:t>
            </w:r>
          </w:p>
        </w:tc>
      </w:tr>
      <w:tr w14:paraId="4EF75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645" w:type="dxa"/>
            <w:vMerge w:val="continue"/>
            <w:tcBorders>
              <w:top w:val="nil"/>
              <w:bottom w:val="nil"/>
            </w:tcBorders>
            <w:noWrap w:val="0"/>
            <w:vAlign w:val="top"/>
          </w:tcPr>
          <w:p w14:paraId="51EE069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510" w:type="dxa"/>
            <w:vMerge w:val="continue"/>
            <w:tcBorders>
              <w:top w:val="nil"/>
              <w:bottom w:val="nil"/>
            </w:tcBorders>
            <w:noWrap w:val="0"/>
            <w:vAlign w:val="top"/>
          </w:tcPr>
          <w:p w14:paraId="415A9D2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350" w:type="dxa"/>
            <w:noWrap w:val="0"/>
            <w:vAlign w:val="top"/>
          </w:tcPr>
          <w:p w14:paraId="2DC1C93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095400E9">
            <w:pPr>
              <w:pStyle w:val="42"/>
              <w:keepNext w:val="0"/>
              <w:keepLines w:val="0"/>
              <w:pageBreakBefore w:val="0"/>
              <w:widowControl w:val="0"/>
              <w:kinsoku/>
              <w:wordWrap/>
              <w:overflowPunct/>
              <w:topLinePunct w:val="0"/>
              <w:autoSpaceDE/>
              <w:autoSpaceDN/>
              <w:bidi w:val="0"/>
              <w:adjustRightInd/>
              <w:snapToGrid/>
              <w:spacing w:line="360" w:lineRule="exact"/>
              <w:ind w:left="235"/>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“三区</w:t>
            </w:r>
            <w:r>
              <w:rPr>
                <w:rFonts w:hint="eastAsia" w:ascii="宋体" w:hAnsi="宋体" w:eastAsia="宋体" w:cs="宋体"/>
                <w:color w:val="auto"/>
                <w:spacing w:val="-67"/>
                <w:sz w:val="21"/>
                <w:szCs w:val="21"/>
                <w:highlight w:val="none"/>
              </w:rPr>
              <w:t xml:space="preserve"> </w:t>
            </w:r>
            <w:r>
              <w:rPr>
                <w:rFonts w:hint="eastAsia" w:ascii="宋体" w:hAnsi="宋体" w:eastAsia="宋体" w:cs="宋体"/>
                <w:color w:val="auto"/>
                <w:spacing w:val="-4"/>
                <w:sz w:val="21"/>
                <w:szCs w:val="21"/>
                <w:highlight w:val="none"/>
              </w:rPr>
              <w:t>”设置</w:t>
            </w:r>
          </w:p>
        </w:tc>
        <w:tc>
          <w:tcPr>
            <w:tcW w:w="6795" w:type="dxa"/>
            <w:noWrap w:val="0"/>
            <w:vAlign w:val="top"/>
          </w:tcPr>
          <w:p w14:paraId="4E1F703F">
            <w:pPr>
              <w:pStyle w:val="42"/>
              <w:keepNext w:val="0"/>
              <w:keepLines w:val="0"/>
              <w:pageBreakBefore w:val="0"/>
              <w:widowControl w:val="0"/>
              <w:kinsoku/>
              <w:wordWrap/>
              <w:overflowPunct/>
              <w:topLinePunct w:val="0"/>
              <w:autoSpaceDE/>
              <w:autoSpaceDN/>
              <w:bidi w:val="0"/>
              <w:adjustRightInd/>
              <w:snapToGrid/>
              <w:spacing w:line="360" w:lineRule="exact"/>
              <w:ind w:left="118" w:right="185" w:hanging="3"/>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办公区、生活区与作业区是否按规范设置；厨卫等后勤人</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3"/>
                <w:sz w:val="21"/>
                <w:szCs w:val="21"/>
                <w:highlight w:val="none"/>
              </w:rPr>
              <w:t>员是否持证上岗</w:t>
            </w:r>
          </w:p>
        </w:tc>
        <w:tc>
          <w:tcPr>
            <w:tcW w:w="1230" w:type="dxa"/>
            <w:noWrap w:val="0"/>
            <w:vAlign w:val="top"/>
          </w:tcPr>
          <w:p w14:paraId="6B3C1D62">
            <w:pPr>
              <w:pStyle w:val="42"/>
              <w:keepNext w:val="0"/>
              <w:keepLines w:val="0"/>
              <w:pageBreakBefore w:val="0"/>
              <w:widowControl w:val="0"/>
              <w:kinsoku/>
              <w:wordWrap/>
              <w:overflowPunct/>
              <w:topLinePunct w:val="0"/>
              <w:autoSpaceDE/>
              <w:autoSpaceDN/>
              <w:bidi w:val="0"/>
              <w:adjustRightInd/>
              <w:snapToGrid/>
              <w:spacing w:line="360" w:lineRule="exact"/>
              <w:ind w:left="361"/>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2000</w:t>
            </w:r>
          </w:p>
        </w:tc>
      </w:tr>
      <w:tr w14:paraId="3AB83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45" w:type="dxa"/>
            <w:vMerge w:val="continue"/>
            <w:tcBorders>
              <w:top w:val="nil"/>
              <w:bottom w:val="nil"/>
            </w:tcBorders>
            <w:noWrap w:val="0"/>
            <w:vAlign w:val="top"/>
          </w:tcPr>
          <w:p w14:paraId="55500FD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510" w:type="dxa"/>
            <w:vMerge w:val="continue"/>
            <w:tcBorders>
              <w:top w:val="nil"/>
              <w:bottom w:val="nil"/>
            </w:tcBorders>
            <w:noWrap w:val="0"/>
            <w:vAlign w:val="top"/>
          </w:tcPr>
          <w:p w14:paraId="0A2C6B1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350" w:type="dxa"/>
            <w:noWrap w:val="0"/>
            <w:vAlign w:val="top"/>
          </w:tcPr>
          <w:p w14:paraId="0D200AFF">
            <w:pPr>
              <w:pStyle w:val="42"/>
              <w:keepNext w:val="0"/>
              <w:keepLines w:val="0"/>
              <w:pageBreakBefore w:val="0"/>
              <w:widowControl w:val="0"/>
              <w:kinsoku/>
              <w:wordWrap/>
              <w:overflowPunct/>
              <w:topLinePunct w:val="0"/>
              <w:autoSpaceDE/>
              <w:autoSpaceDN/>
              <w:bidi w:val="0"/>
              <w:adjustRightInd/>
              <w:snapToGrid/>
              <w:spacing w:line="360" w:lineRule="exact"/>
              <w:ind w:left="424"/>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现场扬尘</w:t>
            </w:r>
          </w:p>
        </w:tc>
        <w:tc>
          <w:tcPr>
            <w:tcW w:w="6795" w:type="dxa"/>
            <w:noWrap w:val="0"/>
            <w:vAlign w:val="top"/>
          </w:tcPr>
          <w:p w14:paraId="144E9B75">
            <w:pPr>
              <w:pStyle w:val="42"/>
              <w:keepNext w:val="0"/>
              <w:keepLines w:val="0"/>
              <w:pageBreakBefore w:val="0"/>
              <w:widowControl w:val="0"/>
              <w:kinsoku/>
              <w:wordWrap/>
              <w:overflowPunct/>
              <w:topLinePunct w:val="0"/>
              <w:autoSpaceDE/>
              <w:autoSpaceDN/>
              <w:bidi w:val="0"/>
              <w:adjustRightInd/>
              <w:snapToGrid/>
              <w:spacing w:line="360" w:lineRule="exact"/>
              <w:ind w:left="114"/>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是否设置或采取冲洗等避免扬尘措施</w:t>
            </w:r>
          </w:p>
        </w:tc>
        <w:tc>
          <w:tcPr>
            <w:tcW w:w="1230" w:type="dxa"/>
            <w:noWrap w:val="0"/>
            <w:vAlign w:val="top"/>
          </w:tcPr>
          <w:p w14:paraId="604E9FE9">
            <w:pPr>
              <w:pStyle w:val="42"/>
              <w:keepNext w:val="0"/>
              <w:keepLines w:val="0"/>
              <w:pageBreakBefore w:val="0"/>
              <w:widowControl w:val="0"/>
              <w:kinsoku/>
              <w:wordWrap/>
              <w:overflowPunct/>
              <w:topLinePunct w:val="0"/>
              <w:autoSpaceDE/>
              <w:autoSpaceDN/>
              <w:bidi w:val="0"/>
              <w:adjustRightInd/>
              <w:snapToGrid/>
              <w:spacing w:line="360" w:lineRule="exact"/>
              <w:ind w:left="363"/>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5000</w:t>
            </w:r>
          </w:p>
        </w:tc>
      </w:tr>
      <w:tr w14:paraId="6C3E3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645" w:type="dxa"/>
            <w:vMerge w:val="continue"/>
            <w:tcBorders>
              <w:top w:val="nil"/>
              <w:bottom w:val="nil"/>
            </w:tcBorders>
            <w:noWrap w:val="0"/>
            <w:vAlign w:val="top"/>
          </w:tcPr>
          <w:p w14:paraId="222CF36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510" w:type="dxa"/>
            <w:vMerge w:val="continue"/>
            <w:tcBorders>
              <w:top w:val="nil"/>
              <w:bottom w:val="nil"/>
            </w:tcBorders>
            <w:noWrap w:val="0"/>
            <w:vAlign w:val="top"/>
          </w:tcPr>
          <w:p w14:paraId="0F2301F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350" w:type="dxa"/>
            <w:noWrap w:val="0"/>
            <w:vAlign w:val="top"/>
          </w:tcPr>
          <w:p w14:paraId="3BF81AC2">
            <w:pPr>
              <w:pStyle w:val="42"/>
              <w:keepNext w:val="0"/>
              <w:keepLines w:val="0"/>
              <w:pageBreakBefore w:val="0"/>
              <w:widowControl w:val="0"/>
              <w:kinsoku/>
              <w:wordWrap/>
              <w:overflowPunct/>
              <w:topLinePunct w:val="0"/>
              <w:autoSpaceDE/>
              <w:autoSpaceDN/>
              <w:bidi w:val="0"/>
              <w:adjustRightInd/>
              <w:snapToGrid/>
              <w:spacing w:line="360" w:lineRule="exact"/>
              <w:ind w:left="422"/>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材料堆放</w:t>
            </w:r>
          </w:p>
        </w:tc>
        <w:tc>
          <w:tcPr>
            <w:tcW w:w="6795" w:type="dxa"/>
            <w:noWrap w:val="0"/>
            <w:vAlign w:val="top"/>
          </w:tcPr>
          <w:p w14:paraId="2E1348DB">
            <w:pPr>
              <w:pStyle w:val="42"/>
              <w:keepNext w:val="0"/>
              <w:keepLines w:val="0"/>
              <w:pageBreakBefore w:val="0"/>
              <w:widowControl w:val="0"/>
              <w:kinsoku/>
              <w:wordWrap/>
              <w:overflowPunct/>
              <w:topLinePunct w:val="0"/>
              <w:autoSpaceDE/>
              <w:autoSpaceDN/>
              <w:bidi w:val="0"/>
              <w:adjustRightInd/>
              <w:snapToGrid/>
              <w:spacing w:line="360" w:lineRule="exact"/>
              <w:ind w:left="122" w:right="185" w:hanging="9"/>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现场材料是否码放整齐；是否标明名称、规格；是否采取</w:t>
            </w:r>
            <w:r>
              <w:rPr>
                <w:rFonts w:hint="eastAsia" w:ascii="宋体" w:hAnsi="宋体" w:eastAsia="宋体" w:cs="宋体"/>
                <w:color w:val="auto"/>
                <w:spacing w:val="15"/>
                <w:sz w:val="21"/>
                <w:szCs w:val="21"/>
                <w:highlight w:val="none"/>
              </w:rPr>
              <w:t xml:space="preserve"> </w:t>
            </w:r>
            <w:r>
              <w:rPr>
                <w:rFonts w:hint="eastAsia" w:ascii="宋体" w:hAnsi="宋体" w:eastAsia="宋体" w:cs="宋体"/>
                <w:color w:val="auto"/>
                <w:spacing w:val="-2"/>
                <w:sz w:val="21"/>
                <w:szCs w:val="21"/>
                <w:highlight w:val="none"/>
              </w:rPr>
              <w:t>防火、防锈蚀、防雨等措施</w:t>
            </w:r>
          </w:p>
        </w:tc>
        <w:tc>
          <w:tcPr>
            <w:tcW w:w="1230" w:type="dxa"/>
            <w:noWrap w:val="0"/>
            <w:vAlign w:val="top"/>
          </w:tcPr>
          <w:p w14:paraId="43C2C1B0">
            <w:pPr>
              <w:pStyle w:val="42"/>
              <w:keepNext w:val="0"/>
              <w:keepLines w:val="0"/>
              <w:pageBreakBefore w:val="0"/>
              <w:widowControl w:val="0"/>
              <w:kinsoku/>
              <w:wordWrap/>
              <w:overflowPunct/>
              <w:topLinePunct w:val="0"/>
              <w:autoSpaceDE/>
              <w:autoSpaceDN/>
              <w:bidi w:val="0"/>
              <w:adjustRightInd/>
              <w:snapToGrid/>
              <w:spacing w:line="360" w:lineRule="exact"/>
              <w:ind w:left="363"/>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5000</w:t>
            </w:r>
          </w:p>
        </w:tc>
      </w:tr>
      <w:tr w14:paraId="77C88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45" w:type="dxa"/>
            <w:vMerge w:val="continue"/>
            <w:tcBorders>
              <w:top w:val="nil"/>
              <w:bottom w:val="nil"/>
            </w:tcBorders>
            <w:noWrap w:val="0"/>
            <w:vAlign w:val="top"/>
          </w:tcPr>
          <w:p w14:paraId="07445E3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510" w:type="dxa"/>
            <w:vMerge w:val="continue"/>
            <w:tcBorders>
              <w:top w:val="nil"/>
              <w:bottom w:val="nil"/>
            </w:tcBorders>
            <w:noWrap w:val="0"/>
            <w:vAlign w:val="top"/>
          </w:tcPr>
          <w:p w14:paraId="46C62A4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350" w:type="dxa"/>
            <w:noWrap w:val="0"/>
            <w:vAlign w:val="top"/>
          </w:tcPr>
          <w:p w14:paraId="7CEFE770">
            <w:pPr>
              <w:pStyle w:val="42"/>
              <w:keepNext w:val="0"/>
              <w:keepLines w:val="0"/>
              <w:pageBreakBefore w:val="0"/>
              <w:widowControl w:val="0"/>
              <w:kinsoku/>
              <w:wordWrap/>
              <w:overflowPunct/>
              <w:topLinePunct w:val="0"/>
              <w:autoSpaceDE/>
              <w:autoSpaceDN/>
              <w:bidi w:val="0"/>
              <w:adjustRightInd/>
              <w:snapToGrid/>
              <w:spacing w:line="360" w:lineRule="exact"/>
              <w:ind w:left="434"/>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防护用品</w:t>
            </w:r>
          </w:p>
        </w:tc>
        <w:tc>
          <w:tcPr>
            <w:tcW w:w="6795" w:type="dxa"/>
            <w:noWrap w:val="0"/>
            <w:vAlign w:val="top"/>
          </w:tcPr>
          <w:p w14:paraId="6DB37E95">
            <w:pPr>
              <w:pStyle w:val="42"/>
              <w:keepNext w:val="0"/>
              <w:keepLines w:val="0"/>
              <w:pageBreakBefore w:val="0"/>
              <w:widowControl w:val="0"/>
              <w:kinsoku/>
              <w:wordWrap/>
              <w:overflowPunct/>
              <w:topLinePunct w:val="0"/>
              <w:autoSpaceDE/>
              <w:autoSpaceDN/>
              <w:bidi w:val="0"/>
              <w:adjustRightInd/>
              <w:snapToGrid/>
              <w:spacing w:line="360" w:lineRule="exact"/>
              <w:ind w:left="113" w:right="185" w:firstLine="9"/>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防护用品是否有质量保证，是否分发到作业人员并正确使</w:t>
            </w:r>
            <w:r>
              <w:rPr>
                <w:rFonts w:hint="eastAsia" w:ascii="宋体" w:hAnsi="宋体" w:eastAsia="宋体" w:cs="宋体"/>
                <w:color w:val="auto"/>
                <w:spacing w:val="5"/>
                <w:sz w:val="21"/>
                <w:szCs w:val="21"/>
                <w:highlight w:val="none"/>
              </w:rPr>
              <w:t xml:space="preserve"> </w:t>
            </w:r>
            <w:r>
              <w:rPr>
                <w:rFonts w:hint="eastAsia" w:ascii="宋体" w:hAnsi="宋体" w:eastAsia="宋体" w:cs="宋体"/>
                <w:color w:val="auto"/>
                <w:sz w:val="21"/>
                <w:szCs w:val="21"/>
                <w:highlight w:val="none"/>
              </w:rPr>
              <w:t>用</w:t>
            </w:r>
          </w:p>
        </w:tc>
        <w:tc>
          <w:tcPr>
            <w:tcW w:w="1230" w:type="dxa"/>
            <w:noWrap w:val="0"/>
            <w:vAlign w:val="top"/>
          </w:tcPr>
          <w:p w14:paraId="40883104">
            <w:pPr>
              <w:pStyle w:val="42"/>
              <w:keepNext w:val="0"/>
              <w:keepLines w:val="0"/>
              <w:pageBreakBefore w:val="0"/>
              <w:widowControl w:val="0"/>
              <w:kinsoku/>
              <w:wordWrap/>
              <w:overflowPunct/>
              <w:topLinePunct w:val="0"/>
              <w:autoSpaceDE/>
              <w:autoSpaceDN/>
              <w:bidi w:val="0"/>
              <w:adjustRightInd/>
              <w:snapToGrid/>
              <w:spacing w:line="360" w:lineRule="exact"/>
              <w:ind w:left="363"/>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5000</w:t>
            </w:r>
          </w:p>
        </w:tc>
      </w:tr>
      <w:tr w14:paraId="032AB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45" w:type="dxa"/>
            <w:vMerge w:val="continue"/>
            <w:tcBorders>
              <w:top w:val="nil"/>
            </w:tcBorders>
            <w:noWrap w:val="0"/>
            <w:vAlign w:val="top"/>
          </w:tcPr>
          <w:p w14:paraId="4E63E60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510" w:type="dxa"/>
            <w:vMerge w:val="continue"/>
            <w:tcBorders>
              <w:top w:val="nil"/>
            </w:tcBorders>
            <w:noWrap w:val="0"/>
            <w:vAlign w:val="top"/>
          </w:tcPr>
          <w:p w14:paraId="646FB7C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350" w:type="dxa"/>
            <w:noWrap w:val="0"/>
            <w:vAlign w:val="top"/>
          </w:tcPr>
          <w:p w14:paraId="57F5D394">
            <w:pPr>
              <w:pStyle w:val="42"/>
              <w:keepNext w:val="0"/>
              <w:keepLines w:val="0"/>
              <w:pageBreakBefore w:val="0"/>
              <w:widowControl w:val="0"/>
              <w:kinsoku/>
              <w:wordWrap/>
              <w:overflowPunct/>
              <w:topLinePunct w:val="0"/>
              <w:autoSpaceDE/>
              <w:autoSpaceDN/>
              <w:bidi w:val="0"/>
              <w:adjustRightInd/>
              <w:snapToGrid/>
              <w:spacing w:line="360" w:lineRule="exact"/>
              <w:ind w:left="425"/>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危险作业</w:t>
            </w:r>
          </w:p>
        </w:tc>
        <w:tc>
          <w:tcPr>
            <w:tcW w:w="6795" w:type="dxa"/>
            <w:noWrap w:val="0"/>
            <w:vAlign w:val="top"/>
          </w:tcPr>
          <w:p w14:paraId="76203F8C">
            <w:pPr>
              <w:pStyle w:val="42"/>
              <w:keepNext w:val="0"/>
              <w:keepLines w:val="0"/>
              <w:pageBreakBefore w:val="0"/>
              <w:widowControl w:val="0"/>
              <w:kinsoku/>
              <w:wordWrap/>
              <w:overflowPunct/>
              <w:topLinePunct w:val="0"/>
              <w:autoSpaceDE/>
              <w:autoSpaceDN/>
              <w:bidi w:val="0"/>
              <w:adjustRightInd/>
              <w:snapToGrid/>
              <w:spacing w:line="360" w:lineRule="exact"/>
              <w:ind w:left="113"/>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六级以上强风、浓雾等恶劣天气，是否进行高空作业</w:t>
            </w:r>
          </w:p>
        </w:tc>
        <w:tc>
          <w:tcPr>
            <w:tcW w:w="1230" w:type="dxa"/>
            <w:noWrap w:val="0"/>
            <w:vAlign w:val="top"/>
          </w:tcPr>
          <w:p w14:paraId="00699F9E">
            <w:pPr>
              <w:pStyle w:val="42"/>
              <w:keepNext w:val="0"/>
              <w:keepLines w:val="0"/>
              <w:pageBreakBefore w:val="0"/>
              <w:widowControl w:val="0"/>
              <w:kinsoku/>
              <w:wordWrap/>
              <w:overflowPunct/>
              <w:topLinePunct w:val="0"/>
              <w:autoSpaceDE/>
              <w:autoSpaceDN/>
              <w:bidi w:val="0"/>
              <w:adjustRightInd/>
              <w:snapToGrid/>
              <w:spacing w:line="360" w:lineRule="exact"/>
              <w:ind w:left="327"/>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10000</w:t>
            </w:r>
          </w:p>
        </w:tc>
      </w:tr>
      <w:tr w14:paraId="24234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45" w:type="dxa"/>
            <w:vMerge w:val="restart"/>
            <w:tcBorders>
              <w:bottom w:val="nil"/>
            </w:tcBorders>
            <w:noWrap w:val="0"/>
            <w:vAlign w:val="top"/>
          </w:tcPr>
          <w:p w14:paraId="25EDA9E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12C847C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52C19F5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1E8403D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710DACC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4EF87D9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6B37420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1178E43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2DBFF62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72C047E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593FF6A1">
            <w:pPr>
              <w:pStyle w:val="42"/>
              <w:keepNext w:val="0"/>
              <w:keepLines w:val="0"/>
              <w:pageBreakBefore w:val="0"/>
              <w:widowControl w:val="0"/>
              <w:kinsoku/>
              <w:wordWrap/>
              <w:overflowPunct/>
              <w:topLinePunct w:val="0"/>
              <w:autoSpaceDE/>
              <w:autoSpaceDN/>
              <w:bidi w:val="0"/>
              <w:adjustRightInd/>
              <w:snapToGrid/>
              <w:spacing w:line="360" w:lineRule="exact"/>
              <w:ind w:left="19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510" w:type="dxa"/>
            <w:vMerge w:val="restart"/>
            <w:tcBorders>
              <w:bottom w:val="nil"/>
            </w:tcBorders>
            <w:noWrap w:val="0"/>
            <w:vAlign w:val="top"/>
          </w:tcPr>
          <w:p w14:paraId="7BC763D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7F7D3FC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3EAE55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1FFF4D4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3E2A103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4849D1D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5AF42399">
            <w:pPr>
              <w:pStyle w:val="42"/>
              <w:keepNext w:val="0"/>
              <w:keepLines w:val="0"/>
              <w:pageBreakBefore w:val="0"/>
              <w:widowControl w:val="0"/>
              <w:kinsoku/>
              <w:wordWrap/>
              <w:overflowPunct/>
              <w:topLinePunct w:val="0"/>
              <w:autoSpaceDE/>
              <w:autoSpaceDN/>
              <w:bidi w:val="0"/>
              <w:adjustRightInd/>
              <w:snapToGrid/>
              <w:spacing w:line="360" w:lineRule="exact"/>
              <w:ind w:left="173" w:right="159" w:hanging="7"/>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安全</w:t>
            </w:r>
            <w:r>
              <w:rPr>
                <w:rFonts w:hint="eastAsia" w:ascii="宋体" w:hAnsi="宋体" w:eastAsia="宋体" w:cs="宋体"/>
                <w:color w:val="auto"/>
                <w:spacing w:val="-10"/>
                <w:sz w:val="21"/>
                <w:szCs w:val="21"/>
                <w:highlight w:val="none"/>
              </w:rPr>
              <w:t>防护</w:t>
            </w:r>
          </w:p>
        </w:tc>
        <w:tc>
          <w:tcPr>
            <w:tcW w:w="1350" w:type="dxa"/>
            <w:noWrap w:val="0"/>
            <w:vAlign w:val="top"/>
          </w:tcPr>
          <w:p w14:paraId="17ED1AB8">
            <w:pPr>
              <w:pStyle w:val="42"/>
              <w:keepNext w:val="0"/>
              <w:keepLines w:val="0"/>
              <w:pageBreakBefore w:val="0"/>
              <w:widowControl w:val="0"/>
              <w:kinsoku/>
              <w:wordWrap/>
              <w:overflowPunct/>
              <w:topLinePunct w:val="0"/>
              <w:autoSpaceDE/>
              <w:autoSpaceDN/>
              <w:bidi w:val="0"/>
              <w:adjustRightInd/>
              <w:snapToGrid/>
              <w:spacing w:line="360" w:lineRule="exact"/>
              <w:ind w:left="155"/>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安全帽、安全带</w:t>
            </w:r>
          </w:p>
        </w:tc>
        <w:tc>
          <w:tcPr>
            <w:tcW w:w="6795" w:type="dxa"/>
            <w:noWrap w:val="0"/>
            <w:vAlign w:val="top"/>
          </w:tcPr>
          <w:p w14:paraId="07F16C12">
            <w:pPr>
              <w:pStyle w:val="42"/>
              <w:keepNext w:val="0"/>
              <w:keepLines w:val="0"/>
              <w:pageBreakBefore w:val="0"/>
              <w:widowControl w:val="0"/>
              <w:kinsoku/>
              <w:wordWrap/>
              <w:overflowPunct/>
              <w:topLinePunct w:val="0"/>
              <w:autoSpaceDE/>
              <w:autoSpaceDN/>
              <w:bidi w:val="0"/>
              <w:adjustRightInd/>
              <w:snapToGrid/>
              <w:spacing w:line="360" w:lineRule="exact"/>
              <w:ind w:left="114"/>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是否正确使用配戴安全帽、安全带</w:t>
            </w:r>
          </w:p>
        </w:tc>
        <w:tc>
          <w:tcPr>
            <w:tcW w:w="1230" w:type="dxa"/>
            <w:noWrap w:val="0"/>
            <w:vAlign w:val="top"/>
          </w:tcPr>
          <w:p w14:paraId="3E983B1C">
            <w:pPr>
              <w:pStyle w:val="42"/>
              <w:keepNext w:val="0"/>
              <w:keepLines w:val="0"/>
              <w:pageBreakBefore w:val="0"/>
              <w:widowControl w:val="0"/>
              <w:kinsoku/>
              <w:wordWrap/>
              <w:overflowPunct/>
              <w:topLinePunct w:val="0"/>
              <w:autoSpaceDE/>
              <w:autoSpaceDN/>
              <w:bidi w:val="0"/>
              <w:adjustRightInd/>
              <w:snapToGrid/>
              <w:spacing w:line="360" w:lineRule="exact"/>
              <w:ind w:left="361"/>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2000</w:t>
            </w:r>
          </w:p>
        </w:tc>
      </w:tr>
      <w:tr w14:paraId="1FABE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645" w:type="dxa"/>
            <w:vMerge w:val="continue"/>
            <w:tcBorders>
              <w:top w:val="nil"/>
              <w:bottom w:val="nil"/>
            </w:tcBorders>
            <w:noWrap w:val="0"/>
            <w:vAlign w:val="top"/>
          </w:tcPr>
          <w:p w14:paraId="7C85D89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510" w:type="dxa"/>
            <w:vMerge w:val="continue"/>
            <w:tcBorders>
              <w:top w:val="nil"/>
              <w:bottom w:val="nil"/>
            </w:tcBorders>
            <w:noWrap w:val="0"/>
            <w:vAlign w:val="top"/>
          </w:tcPr>
          <w:p w14:paraId="5BB1A94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350" w:type="dxa"/>
            <w:noWrap w:val="0"/>
            <w:vAlign w:val="top"/>
          </w:tcPr>
          <w:p w14:paraId="48B8DE6A">
            <w:pPr>
              <w:pStyle w:val="42"/>
              <w:keepNext w:val="0"/>
              <w:keepLines w:val="0"/>
              <w:pageBreakBefore w:val="0"/>
              <w:widowControl w:val="0"/>
              <w:kinsoku/>
              <w:wordWrap/>
              <w:overflowPunct/>
              <w:topLinePunct w:val="0"/>
              <w:autoSpaceDE/>
              <w:autoSpaceDN/>
              <w:bidi w:val="0"/>
              <w:adjustRightInd/>
              <w:snapToGrid/>
              <w:spacing w:line="360" w:lineRule="exact"/>
              <w:ind w:left="434"/>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防护器材</w:t>
            </w:r>
          </w:p>
        </w:tc>
        <w:tc>
          <w:tcPr>
            <w:tcW w:w="6795" w:type="dxa"/>
            <w:noWrap w:val="0"/>
            <w:vAlign w:val="top"/>
          </w:tcPr>
          <w:p w14:paraId="0D8E88D4">
            <w:pPr>
              <w:pStyle w:val="42"/>
              <w:keepNext w:val="0"/>
              <w:keepLines w:val="0"/>
              <w:pageBreakBefore w:val="0"/>
              <w:widowControl w:val="0"/>
              <w:kinsoku/>
              <w:wordWrap/>
              <w:overflowPunct/>
              <w:topLinePunct w:val="0"/>
              <w:autoSpaceDE/>
              <w:autoSpaceDN/>
              <w:bidi w:val="0"/>
              <w:adjustRightInd/>
              <w:snapToGrid/>
              <w:spacing w:line="360" w:lineRule="exact"/>
              <w:ind w:left="112" w:right="185"/>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密目式安全网、安全平网、安全警示色、警示灯和钢管、</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1"/>
                <w:sz w:val="21"/>
                <w:szCs w:val="21"/>
                <w:highlight w:val="none"/>
              </w:rPr>
              <w:t>盖板、挡脚板、脚手板、防护门等安全防护器材是否符合</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2"/>
                <w:sz w:val="21"/>
                <w:szCs w:val="21"/>
                <w:highlight w:val="none"/>
              </w:rPr>
              <w:t>规范要求</w:t>
            </w:r>
          </w:p>
        </w:tc>
        <w:tc>
          <w:tcPr>
            <w:tcW w:w="1230" w:type="dxa"/>
            <w:noWrap w:val="0"/>
            <w:vAlign w:val="top"/>
          </w:tcPr>
          <w:p w14:paraId="4CBB1B0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31270B2B">
            <w:pPr>
              <w:pStyle w:val="42"/>
              <w:keepNext w:val="0"/>
              <w:keepLines w:val="0"/>
              <w:pageBreakBefore w:val="0"/>
              <w:widowControl w:val="0"/>
              <w:kinsoku/>
              <w:wordWrap/>
              <w:overflowPunct/>
              <w:topLinePunct w:val="0"/>
              <w:autoSpaceDE/>
              <w:autoSpaceDN/>
              <w:bidi w:val="0"/>
              <w:adjustRightInd/>
              <w:snapToGrid/>
              <w:spacing w:line="360" w:lineRule="exact"/>
              <w:ind w:left="363"/>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5000</w:t>
            </w:r>
          </w:p>
        </w:tc>
      </w:tr>
      <w:tr w14:paraId="440FB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645" w:type="dxa"/>
            <w:vMerge w:val="continue"/>
            <w:tcBorders>
              <w:top w:val="nil"/>
              <w:bottom w:val="nil"/>
            </w:tcBorders>
            <w:noWrap w:val="0"/>
            <w:vAlign w:val="top"/>
          </w:tcPr>
          <w:p w14:paraId="548A2E6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510" w:type="dxa"/>
            <w:vMerge w:val="continue"/>
            <w:tcBorders>
              <w:top w:val="nil"/>
              <w:bottom w:val="nil"/>
            </w:tcBorders>
            <w:noWrap w:val="0"/>
            <w:vAlign w:val="top"/>
          </w:tcPr>
          <w:p w14:paraId="41295AA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350" w:type="dxa"/>
            <w:noWrap w:val="0"/>
            <w:vAlign w:val="top"/>
          </w:tcPr>
          <w:p w14:paraId="11344C9D">
            <w:pPr>
              <w:pStyle w:val="42"/>
              <w:keepNext w:val="0"/>
              <w:keepLines w:val="0"/>
              <w:pageBreakBefore w:val="0"/>
              <w:widowControl w:val="0"/>
              <w:kinsoku/>
              <w:wordWrap/>
              <w:overflowPunct/>
              <w:topLinePunct w:val="0"/>
              <w:autoSpaceDE/>
              <w:autoSpaceDN/>
              <w:bidi w:val="0"/>
              <w:adjustRightInd/>
              <w:snapToGrid/>
              <w:spacing w:line="360" w:lineRule="exact"/>
              <w:ind w:left="423"/>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规范搭设</w:t>
            </w:r>
          </w:p>
        </w:tc>
        <w:tc>
          <w:tcPr>
            <w:tcW w:w="6795" w:type="dxa"/>
            <w:noWrap w:val="0"/>
            <w:vAlign w:val="top"/>
          </w:tcPr>
          <w:p w14:paraId="6A6F88A9">
            <w:pPr>
              <w:pStyle w:val="42"/>
              <w:keepNext w:val="0"/>
              <w:keepLines w:val="0"/>
              <w:pageBreakBefore w:val="0"/>
              <w:widowControl w:val="0"/>
              <w:kinsoku/>
              <w:wordWrap/>
              <w:overflowPunct/>
              <w:topLinePunct w:val="0"/>
              <w:autoSpaceDE/>
              <w:autoSpaceDN/>
              <w:bidi w:val="0"/>
              <w:adjustRightInd/>
              <w:snapToGrid/>
              <w:spacing w:line="360" w:lineRule="exact"/>
              <w:ind w:left="112" w:right="185" w:firstLine="11"/>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防护门安装、防护栏杆及安全防护网架设、安全警示色涂</w:t>
            </w:r>
            <w:r>
              <w:rPr>
                <w:rFonts w:hint="eastAsia" w:ascii="宋体" w:hAnsi="宋体" w:eastAsia="宋体" w:cs="宋体"/>
                <w:color w:val="auto"/>
                <w:spacing w:val="5"/>
                <w:sz w:val="21"/>
                <w:szCs w:val="21"/>
                <w:highlight w:val="none"/>
              </w:rPr>
              <w:t xml:space="preserve"> </w:t>
            </w:r>
            <w:r>
              <w:rPr>
                <w:rFonts w:hint="eastAsia" w:ascii="宋体" w:hAnsi="宋体" w:eastAsia="宋体" w:cs="宋体"/>
                <w:color w:val="auto"/>
                <w:spacing w:val="-1"/>
                <w:sz w:val="21"/>
                <w:szCs w:val="21"/>
                <w:highlight w:val="none"/>
              </w:rPr>
              <w:t>装及警示灯安装、盖板和挡脚板固定，以及脚手板铺设等</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1"/>
                <w:sz w:val="21"/>
                <w:szCs w:val="21"/>
                <w:highlight w:val="none"/>
              </w:rPr>
              <w:t>是否符合规范及使用安全要求</w:t>
            </w:r>
          </w:p>
        </w:tc>
        <w:tc>
          <w:tcPr>
            <w:tcW w:w="1230" w:type="dxa"/>
            <w:noWrap w:val="0"/>
            <w:vAlign w:val="top"/>
          </w:tcPr>
          <w:p w14:paraId="6A32CBA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51D6A4E7">
            <w:pPr>
              <w:pStyle w:val="42"/>
              <w:keepNext w:val="0"/>
              <w:keepLines w:val="0"/>
              <w:pageBreakBefore w:val="0"/>
              <w:widowControl w:val="0"/>
              <w:kinsoku/>
              <w:wordWrap/>
              <w:overflowPunct/>
              <w:topLinePunct w:val="0"/>
              <w:autoSpaceDE/>
              <w:autoSpaceDN/>
              <w:bidi w:val="0"/>
              <w:adjustRightInd/>
              <w:snapToGrid/>
              <w:spacing w:line="360" w:lineRule="exact"/>
              <w:ind w:left="363"/>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5000</w:t>
            </w:r>
          </w:p>
        </w:tc>
      </w:tr>
      <w:tr w14:paraId="502D4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45" w:type="dxa"/>
            <w:vMerge w:val="continue"/>
            <w:tcBorders>
              <w:top w:val="nil"/>
              <w:bottom w:val="nil"/>
            </w:tcBorders>
            <w:noWrap w:val="0"/>
            <w:vAlign w:val="top"/>
          </w:tcPr>
          <w:p w14:paraId="6F1C8F5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510" w:type="dxa"/>
            <w:vMerge w:val="continue"/>
            <w:tcBorders>
              <w:top w:val="nil"/>
              <w:bottom w:val="nil"/>
            </w:tcBorders>
            <w:noWrap w:val="0"/>
            <w:vAlign w:val="top"/>
          </w:tcPr>
          <w:p w14:paraId="3E30C29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350" w:type="dxa"/>
            <w:noWrap w:val="0"/>
            <w:vAlign w:val="top"/>
          </w:tcPr>
          <w:p w14:paraId="5A97E1F9">
            <w:pPr>
              <w:pStyle w:val="42"/>
              <w:keepNext w:val="0"/>
              <w:keepLines w:val="0"/>
              <w:pageBreakBefore w:val="0"/>
              <w:widowControl w:val="0"/>
              <w:kinsoku/>
              <w:wordWrap/>
              <w:overflowPunct/>
              <w:topLinePunct w:val="0"/>
              <w:autoSpaceDE/>
              <w:autoSpaceDN/>
              <w:bidi w:val="0"/>
              <w:adjustRightInd/>
              <w:snapToGrid/>
              <w:spacing w:line="360" w:lineRule="exact"/>
              <w:ind w:left="432"/>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临边洞口</w:t>
            </w:r>
          </w:p>
        </w:tc>
        <w:tc>
          <w:tcPr>
            <w:tcW w:w="6795" w:type="dxa"/>
            <w:noWrap w:val="0"/>
            <w:vAlign w:val="top"/>
          </w:tcPr>
          <w:p w14:paraId="4AA597BE">
            <w:pPr>
              <w:pStyle w:val="42"/>
              <w:keepNext w:val="0"/>
              <w:keepLines w:val="0"/>
              <w:pageBreakBefore w:val="0"/>
              <w:widowControl w:val="0"/>
              <w:kinsoku/>
              <w:wordWrap/>
              <w:overflowPunct/>
              <w:topLinePunct w:val="0"/>
              <w:autoSpaceDE/>
              <w:autoSpaceDN/>
              <w:bidi w:val="0"/>
              <w:adjustRightInd/>
              <w:snapToGrid/>
              <w:spacing w:line="360" w:lineRule="exact"/>
              <w:ind w:left="104"/>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w:t>
            </w:r>
            <w:r>
              <w:rPr>
                <w:rFonts w:hint="eastAsia" w:ascii="宋体" w:hAnsi="宋体" w:eastAsia="宋体" w:cs="宋体"/>
                <w:color w:val="auto"/>
                <w:spacing w:val="-59"/>
                <w:sz w:val="21"/>
                <w:szCs w:val="21"/>
                <w:highlight w:val="none"/>
              </w:rPr>
              <w:t xml:space="preserve"> </w:t>
            </w:r>
            <w:r>
              <w:rPr>
                <w:rFonts w:hint="eastAsia" w:ascii="宋体" w:hAnsi="宋体" w:eastAsia="宋体" w:cs="宋体"/>
                <w:color w:val="auto"/>
                <w:spacing w:val="-4"/>
                <w:sz w:val="21"/>
                <w:szCs w:val="21"/>
                <w:highlight w:val="none"/>
              </w:rPr>
              <w:t>四口、五临边</w:t>
            </w:r>
            <w:r>
              <w:rPr>
                <w:rFonts w:hint="eastAsia" w:ascii="宋体" w:hAnsi="宋体" w:eastAsia="宋体" w:cs="宋体"/>
                <w:color w:val="auto"/>
                <w:spacing w:val="-66"/>
                <w:sz w:val="21"/>
                <w:szCs w:val="21"/>
                <w:highlight w:val="none"/>
              </w:rPr>
              <w:t xml:space="preserve"> </w:t>
            </w:r>
            <w:r>
              <w:rPr>
                <w:rFonts w:hint="eastAsia" w:ascii="宋体" w:hAnsi="宋体" w:eastAsia="宋体" w:cs="宋体"/>
                <w:color w:val="auto"/>
                <w:spacing w:val="-4"/>
                <w:sz w:val="21"/>
                <w:szCs w:val="21"/>
                <w:highlight w:val="none"/>
              </w:rPr>
              <w:t>”是否防护到位</w:t>
            </w:r>
          </w:p>
        </w:tc>
        <w:tc>
          <w:tcPr>
            <w:tcW w:w="1230" w:type="dxa"/>
            <w:noWrap w:val="0"/>
            <w:vAlign w:val="top"/>
          </w:tcPr>
          <w:p w14:paraId="064231B3">
            <w:pPr>
              <w:pStyle w:val="42"/>
              <w:keepNext w:val="0"/>
              <w:keepLines w:val="0"/>
              <w:pageBreakBefore w:val="0"/>
              <w:widowControl w:val="0"/>
              <w:kinsoku/>
              <w:wordWrap/>
              <w:overflowPunct/>
              <w:topLinePunct w:val="0"/>
              <w:autoSpaceDE/>
              <w:autoSpaceDN/>
              <w:bidi w:val="0"/>
              <w:adjustRightInd/>
              <w:snapToGrid/>
              <w:spacing w:line="360" w:lineRule="exact"/>
              <w:ind w:left="363"/>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5000</w:t>
            </w:r>
          </w:p>
        </w:tc>
      </w:tr>
      <w:tr w14:paraId="7ACED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645" w:type="dxa"/>
            <w:vMerge w:val="continue"/>
            <w:tcBorders>
              <w:top w:val="nil"/>
              <w:bottom w:val="nil"/>
            </w:tcBorders>
            <w:noWrap w:val="0"/>
            <w:vAlign w:val="top"/>
          </w:tcPr>
          <w:p w14:paraId="112C7E3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510" w:type="dxa"/>
            <w:vMerge w:val="continue"/>
            <w:tcBorders>
              <w:top w:val="nil"/>
              <w:bottom w:val="nil"/>
            </w:tcBorders>
            <w:noWrap w:val="0"/>
            <w:vAlign w:val="top"/>
          </w:tcPr>
          <w:p w14:paraId="7F6893A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350" w:type="dxa"/>
            <w:noWrap w:val="0"/>
            <w:vAlign w:val="top"/>
          </w:tcPr>
          <w:p w14:paraId="69F53E34">
            <w:pPr>
              <w:pStyle w:val="42"/>
              <w:keepNext w:val="0"/>
              <w:keepLines w:val="0"/>
              <w:pageBreakBefore w:val="0"/>
              <w:widowControl w:val="0"/>
              <w:kinsoku/>
              <w:wordWrap/>
              <w:overflowPunct/>
              <w:topLinePunct w:val="0"/>
              <w:autoSpaceDE/>
              <w:autoSpaceDN/>
              <w:bidi w:val="0"/>
              <w:adjustRightInd/>
              <w:snapToGrid/>
              <w:spacing w:line="360" w:lineRule="exact"/>
              <w:ind w:left="426"/>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安全设施</w:t>
            </w:r>
          </w:p>
        </w:tc>
        <w:tc>
          <w:tcPr>
            <w:tcW w:w="6795" w:type="dxa"/>
            <w:noWrap w:val="0"/>
            <w:vAlign w:val="top"/>
          </w:tcPr>
          <w:p w14:paraId="55488A8F">
            <w:pPr>
              <w:pStyle w:val="42"/>
              <w:keepNext w:val="0"/>
              <w:keepLines w:val="0"/>
              <w:pageBreakBefore w:val="0"/>
              <w:widowControl w:val="0"/>
              <w:kinsoku/>
              <w:wordWrap/>
              <w:overflowPunct/>
              <w:topLinePunct w:val="0"/>
              <w:autoSpaceDE/>
              <w:autoSpaceDN/>
              <w:bidi w:val="0"/>
              <w:adjustRightInd/>
              <w:snapToGrid/>
              <w:spacing w:line="360" w:lineRule="exact"/>
              <w:ind w:left="111" w:right="185"/>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楼梯、上下斜道、安全通道搭设是否符合规范及使用安全</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1"/>
                <w:sz w:val="21"/>
                <w:szCs w:val="21"/>
                <w:highlight w:val="none"/>
              </w:rPr>
              <w:t>要求；通道口、钢筋加工场地等防护棚搭设是否符合规范</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2"/>
                <w:sz w:val="21"/>
                <w:szCs w:val="21"/>
                <w:highlight w:val="none"/>
              </w:rPr>
              <w:t>及安全要求</w:t>
            </w:r>
          </w:p>
        </w:tc>
        <w:tc>
          <w:tcPr>
            <w:tcW w:w="1230" w:type="dxa"/>
            <w:noWrap w:val="0"/>
            <w:vAlign w:val="top"/>
          </w:tcPr>
          <w:p w14:paraId="69CFB7C3">
            <w:pPr>
              <w:pStyle w:val="42"/>
              <w:keepNext w:val="0"/>
              <w:keepLines w:val="0"/>
              <w:pageBreakBefore w:val="0"/>
              <w:widowControl w:val="0"/>
              <w:kinsoku/>
              <w:wordWrap/>
              <w:overflowPunct/>
              <w:topLinePunct w:val="0"/>
              <w:autoSpaceDE/>
              <w:autoSpaceDN/>
              <w:bidi w:val="0"/>
              <w:adjustRightInd/>
              <w:snapToGrid/>
              <w:spacing w:line="360" w:lineRule="exact"/>
              <w:ind w:left="361"/>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2000</w:t>
            </w:r>
          </w:p>
        </w:tc>
      </w:tr>
      <w:tr w14:paraId="29F7B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645" w:type="dxa"/>
            <w:vMerge w:val="continue"/>
            <w:tcBorders>
              <w:top w:val="nil"/>
            </w:tcBorders>
            <w:noWrap w:val="0"/>
            <w:vAlign w:val="top"/>
          </w:tcPr>
          <w:p w14:paraId="59F8865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510" w:type="dxa"/>
            <w:vMerge w:val="continue"/>
            <w:tcBorders>
              <w:top w:val="nil"/>
            </w:tcBorders>
            <w:noWrap w:val="0"/>
            <w:vAlign w:val="top"/>
          </w:tcPr>
          <w:p w14:paraId="41E591B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350" w:type="dxa"/>
            <w:noWrap w:val="0"/>
            <w:vAlign w:val="top"/>
          </w:tcPr>
          <w:p w14:paraId="303241F4">
            <w:pPr>
              <w:pStyle w:val="42"/>
              <w:keepNext w:val="0"/>
              <w:keepLines w:val="0"/>
              <w:pageBreakBefore w:val="0"/>
              <w:widowControl w:val="0"/>
              <w:kinsoku/>
              <w:wordWrap/>
              <w:overflowPunct/>
              <w:topLinePunct w:val="0"/>
              <w:autoSpaceDE/>
              <w:autoSpaceDN/>
              <w:bidi w:val="0"/>
              <w:adjustRightInd/>
              <w:snapToGrid/>
              <w:spacing w:line="360" w:lineRule="exact"/>
              <w:ind w:left="432"/>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临边堆物</w:t>
            </w:r>
          </w:p>
        </w:tc>
        <w:tc>
          <w:tcPr>
            <w:tcW w:w="6795" w:type="dxa"/>
            <w:noWrap w:val="0"/>
            <w:vAlign w:val="top"/>
          </w:tcPr>
          <w:p w14:paraId="713068B7">
            <w:pPr>
              <w:pStyle w:val="42"/>
              <w:keepNext w:val="0"/>
              <w:keepLines w:val="0"/>
              <w:pageBreakBefore w:val="0"/>
              <w:widowControl w:val="0"/>
              <w:kinsoku/>
              <w:wordWrap/>
              <w:overflowPunct/>
              <w:topLinePunct w:val="0"/>
              <w:autoSpaceDE/>
              <w:autoSpaceDN/>
              <w:bidi w:val="0"/>
              <w:adjustRightInd/>
              <w:snapToGrid/>
              <w:spacing w:line="360" w:lineRule="exact"/>
              <w:ind w:left="113" w:right="185" w:firstLine="8"/>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临边堆物高度及距离是否符合规范要求，是否堆放有易坠</w:t>
            </w:r>
            <w:r>
              <w:rPr>
                <w:rFonts w:hint="eastAsia" w:ascii="宋体" w:hAnsi="宋体" w:eastAsia="宋体" w:cs="宋体"/>
                <w:color w:val="auto"/>
                <w:spacing w:val="7"/>
                <w:sz w:val="21"/>
                <w:szCs w:val="21"/>
                <w:highlight w:val="none"/>
              </w:rPr>
              <w:t xml:space="preserve"> </w:t>
            </w:r>
            <w:r>
              <w:rPr>
                <w:rFonts w:hint="eastAsia" w:ascii="宋体" w:hAnsi="宋体" w:eastAsia="宋体" w:cs="宋体"/>
                <w:color w:val="auto"/>
                <w:spacing w:val="-2"/>
                <w:sz w:val="21"/>
                <w:szCs w:val="21"/>
                <w:highlight w:val="none"/>
              </w:rPr>
              <w:t>落的钢筋等杂物</w:t>
            </w:r>
          </w:p>
        </w:tc>
        <w:tc>
          <w:tcPr>
            <w:tcW w:w="1230" w:type="dxa"/>
            <w:noWrap w:val="0"/>
            <w:vAlign w:val="top"/>
          </w:tcPr>
          <w:p w14:paraId="0400E12D">
            <w:pPr>
              <w:pStyle w:val="42"/>
              <w:keepNext w:val="0"/>
              <w:keepLines w:val="0"/>
              <w:pageBreakBefore w:val="0"/>
              <w:widowControl w:val="0"/>
              <w:kinsoku/>
              <w:wordWrap/>
              <w:overflowPunct/>
              <w:topLinePunct w:val="0"/>
              <w:autoSpaceDE/>
              <w:autoSpaceDN/>
              <w:bidi w:val="0"/>
              <w:adjustRightInd/>
              <w:snapToGrid/>
              <w:spacing w:line="360" w:lineRule="exact"/>
              <w:ind w:left="327"/>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10000</w:t>
            </w:r>
          </w:p>
        </w:tc>
      </w:tr>
      <w:tr w14:paraId="6921F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2" w:hRule="atLeast"/>
        </w:trPr>
        <w:tc>
          <w:tcPr>
            <w:tcW w:w="645" w:type="dxa"/>
            <w:vMerge w:val="restart"/>
            <w:noWrap w:val="0"/>
            <w:vAlign w:val="top"/>
          </w:tcPr>
          <w:p w14:paraId="1F05A84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43B3445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66929492">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510" w:type="dxa"/>
            <w:vMerge w:val="restart"/>
            <w:noWrap w:val="0"/>
            <w:vAlign w:val="top"/>
          </w:tcPr>
          <w:p w14:paraId="1B93BC3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2AF34224">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脚手</w:t>
            </w:r>
            <w:r>
              <w:rPr>
                <w:rFonts w:hint="eastAsia" w:ascii="宋体" w:hAnsi="宋体" w:eastAsia="宋体" w:cs="宋体"/>
                <w:color w:val="auto"/>
                <w:sz w:val="21"/>
                <w:szCs w:val="21"/>
                <w:highlight w:val="none"/>
              </w:rPr>
              <w:t xml:space="preserve"> 架</w:t>
            </w:r>
          </w:p>
        </w:tc>
        <w:tc>
          <w:tcPr>
            <w:tcW w:w="1350" w:type="dxa"/>
            <w:noWrap w:val="0"/>
            <w:vAlign w:val="top"/>
          </w:tcPr>
          <w:p w14:paraId="269E02A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66E27173">
            <w:pPr>
              <w:pStyle w:val="42"/>
              <w:keepNext w:val="0"/>
              <w:keepLines w:val="0"/>
              <w:pageBreakBefore w:val="0"/>
              <w:widowControl w:val="0"/>
              <w:kinsoku/>
              <w:wordWrap/>
              <w:overflowPunct/>
              <w:topLinePunct w:val="0"/>
              <w:autoSpaceDE/>
              <w:autoSpaceDN/>
              <w:bidi w:val="0"/>
              <w:adjustRightInd/>
              <w:snapToGrid/>
              <w:spacing w:line="360" w:lineRule="exact"/>
              <w:ind w:left="513"/>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构配件</w:t>
            </w:r>
          </w:p>
        </w:tc>
        <w:tc>
          <w:tcPr>
            <w:tcW w:w="6795" w:type="dxa"/>
            <w:noWrap w:val="0"/>
            <w:vAlign w:val="top"/>
          </w:tcPr>
          <w:p w14:paraId="21D234AA">
            <w:pPr>
              <w:pStyle w:val="42"/>
              <w:keepNext w:val="0"/>
              <w:keepLines w:val="0"/>
              <w:pageBreakBefore w:val="0"/>
              <w:widowControl w:val="0"/>
              <w:kinsoku/>
              <w:wordWrap/>
              <w:overflowPunct/>
              <w:topLinePunct w:val="0"/>
              <w:autoSpaceDE/>
              <w:autoSpaceDN/>
              <w:bidi w:val="0"/>
              <w:adjustRightInd/>
              <w:snapToGrid/>
              <w:spacing w:line="360" w:lineRule="exact"/>
              <w:ind w:left="111" w:right="185" w:hanging="1"/>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钢管、扣件、可调托撑、悬挑型钢、斜拉钢丝绳等构配件</w:t>
            </w:r>
            <w:r>
              <w:rPr>
                <w:rFonts w:hint="eastAsia" w:ascii="宋体" w:hAnsi="宋体" w:eastAsia="宋体" w:cs="宋体"/>
                <w:color w:val="auto"/>
                <w:spacing w:val="18"/>
                <w:sz w:val="21"/>
                <w:szCs w:val="21"/>
                <w:highlight w:val="none"/>
              </w:rPr>
              <w:t xml:space="preserve"> </w:t>
            </w:r>
            <w:r>
              <w:rPr>
                <w:rFonts w:hint="eastAsia" w:ascii="宋体" w:hAnsi="宋体" w:eastAsia="宋体" w:cs="宋体"/>
                <w:color w:val="auto"/>
                <w:spacing w:val="-1"/>
                <w:sz w:val="21"/>
                <w:szCs w:val="21"/>
                <w:highlight w:val="none"/>
              </w:rPr>
              <w:t>材质、规格和外观质量是否符合规范及设计要求，是否经</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2"/>
                <w:sz w:val="21"/>
                <w:szCs w:val="21"/>
                <w:highlight w:val="none"/>
              </w:rPr>
              <w:t>过试验检测合格</w:t>
            </w:r>
          </w:p>
        </w:tc>
        <w:tc>
          <w:tcPr>
            <w:tcW w:w="1230" w:type="dxa"/>
            <w:noWrap w:val="0"/>
            <w:vAlign w:val="top"/>
          </w:tcPr>
          <w:p w14:paraId="7A51906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57C465F2">
            <w:pPr>
              <w:pStyle w:val="42"/>
              <w:keepNext w:val="0"/>
              <w:keepLines w:val="0"/>
              <w:pageBreakBefore w:val="0"/>
              <w:widowControl w:val="0"/>
              <w:kinsoku/>
              <w:wordWrap/>
              <w:overflowPunct/>
              <w:topLinePunct w:val="0"/>
              <w:autoSpaceDE/>
              <w:autoSpaceDN/>
              <w:bidi w:val="0"/>
              <w:adjustRightInd/>
              <w:snapToGrid/>
              <w:spacing w:line="360" w:lineRule="exact"/>
              <w:ind w:left="363"/>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5000</w:t>
            </w:r>
          </w:p>
        </w:tc>
      </w:tr>
      <w:tr w14:paraId="03617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645" w:type="dxa"/>
            <w:vMerge w:val="continue"/>
            <w:noWrap w:val="0"/>
            <w:vAlign w:val="top"/>
          </w:tcPr>
          <w:p w14:paraId="0638159F">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28ED3DFF">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72A04D44">
            <w:pPr>
              <w:pStyle w:val="42"/>
              <w:keepNext w:val="0"/>
              <w:keepLines w:val="0"/>
              <w:pageBreakBefore w:val="0"/>
              <w:widowControl w:val="0"/>
              <w:kinsoku/>
              <w:wordWrap/>
              <w:overflowPunct/>
              <w:topLinePunct w:val="0"/>
              <w:autoSpaceDE/>
              <w:autoSpaceDN/>
              <w:bidi w:val="0"/>
              <w:adjustRightInd/>
              <w:snapToGrid/>
              <w:spacing w:line="360" w:lineRule="exact"/>
              <w:ind w:left="247"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2"/>
                <w:sz w:val="21"/>
                <w:szCs w:val="21"/>
                <w:highlight w:val="none"/>
              </w:rPr>
              <w:t>结构设计计算</w:t>
            </w:r>
          </w:p>
        </w:tc>
        <w:tc>
          <w:tcPr>
            <w:tcW w:w="6795" w:type="dxa"/>
            <w:noWrap w:val="0"/>
            <w:vAlign w:val="top"/>
          </w:tcPr>
          <w:p w14:paraId="0E5BCB53">
            <w:pPr>
              <w:pStyle w:val="42"/>
              <w:keepNext w:val="0"/>
              <w:keepLines w:val="0"/>
              <w:pageBreakBefore w:val="0"/>
              <w:widowControl w:val="0"/>
              <w:kinsoku/>
              <w:wordWrap/>
              <w:overflowPunct/>
              <w:topLinePunct w:val="0"/>
              <w:autoSpaceDE/>
              <w:autoSpaceDN/>
              <w:bidi w:val="0"/>
              <w:adjustRightInd/>
              <w:snapToGrid/>
              <w:spacing w:line="360" w:lineRule="exact"/>
              <w:ind w:left="113" w:leftChars="0" w:right="185" w:rightChars="0" w:hanging="1" w:firstLineChars="0"/>
              <w:jc w:val="both"/>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sz w:val="21"/>
                <w:szCs w:val="21"/>
                <w:highlight w:val="none"/>
              </w:rPr>
              <w:t>地基承载力、双排脚手架、模板支撑架、落地及悬挑扣件</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1"/>
                <w:sz w:val="21"/>
                <w:szCs w:val="21"/>
                <w:highlight w:val="none"/>
              </w:rPr>
              <w:t>式钢管脚手架、移动式操作平台和钢平台是否经过设计计</w:t>
            </w:r>
            <w:r>
              <w:rPr>
                <w:rFonts w:hint="eastAsia" w:ascii="宋体" w:hAnsi="宋体" w:eastAsia="宋体" w:cs="宋体"/>
                <w:color w:val="auto"/>
                <w:spacing w:val="15"/>
                <w:sz w:val="21"/>
                <w:szCs w:val="21"/>
                <w:highlight w:val="none"/>
              </w:rPr>
              <w:t xml:space="preserve"> </w:t>
            </w:r>
            <w:r>
              <w:rPr>
                <w:rFonts w:hint="eastAsia" w:ascii="宋体" w:hAnsi="宋体" w:eastAsia="宋体" w:cs="宋体"/>
                <w:color w:val="auto"/>
                <w:spacing w:val="-2"/>
                <w:sz w:val="21"/>
                <w:szCs w:val="21"/>
                <w:highlight w:val="none"/>
              </w:rPr>
              <w:t>算，并报审批合格</w:t>
            </w:r>
          </w:p>
        </w:tc>
        <w:tc>
          <w:tcPr>
            <w:tcW w:w="1230" w:type="dxa"/>
            <w:noWrap w:val="0"/>
            <w:vAlign w:val="top"/>
          </w:tcPr>
          <w:p w14:paraId="6EC77BC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7D13A1B6">
            <w:pPr>
              <w:pStyle w:val="42"/>
              <w:keepNext w:val="0"/>
              <w:keepLines w:val="0"/>
              <w:pageBreakBefore w:val="0"/>
              <w:widowControl w:val="0"/>
              <w:kinsoku/>
              <w:wordWrap/>
              <w:overflowPunct/>
              <w:topLinePunct w:val="0"/>
              <w:autoSpaceDE/>
              <w:autoSpaceDN/>
              <w:bidi w:val="0"/>
              <w:adjustRightInd/>
              <w:snapToGrid/>
              <w:spacing w:line="360" w:lineRule="exact"/>
              <w:ind w:left="327"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4"/>
                <w:sz w:val="21"/>
                <w:szCs w:val="21"/>
                <w:highlight w:val="none"/>
              </w:rPr>
              <w:t>10000</w:t>
            </w:r>
          </w:p>
        </w:tc>
      </w:tr>
      <w:tr w14:paraId="0323A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645" w:type="dxa"/>
            <w:vMerge w:val="continue"/>
            <w:noWrap w:val="0"/>
            <w:vAlign w:val="top"/>
          </w:tcPr>
          <w:p w14:paraId="37450B56">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7D54318A">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5FE3970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4862DEBF">
            <w:pPr>
              <w:pStyle w:val="42"/>
              <w:keepNext w:val="0"/>
              <w:keepLines w:val="0"/>
              <w:pageBreakBefore w:val="0"/>
              <w:widowControl w:val="0"/>
              <w:kinsoku/>
              <w:wordWrap/>
              <w:overflowPunct/>
              <w:topLinePunct w:val="0"/>
              <w:autoSpaceDE/>
              <w:autoSpaceDN/>
              <w:bidi w:val="0"/>
              <w:adjustRightInd/>
              <w:snapToGrid/>
              <w:spacing w:line="360" w:lineRule="exact"/>
              <w:ind w:left="469"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2"/>
                <w:sz w:val="21"/>
                <w:szCs w:val="21"/>
                <w:highlight w:val="none"/>
              </w:rPr>
              <w:t>支架基础</w:t>
            </w:r>
          </w:p>
        </w:tc>
        <w:tc>
          <w:tcPr>
            <w:tcW w:w="6795" w:type="dxa"/>
            <w:noWrap w:val="0"/>
            <w:vAlign w:val="top"/>
          </w:tcPr>
          <w:p w14:paraId="5B06D681">
            <w:pPr>
              <w:pStyle w:val="42"/>
              <w:keepNext w:val="0"/>
              <w:keepLines w:val="0"/>
              <w:pageBreakBefore w:val="0"/>
              <w:widowControl w:val="0"/>
              <w:kinsoku/>
              <w:wordWrap/>
              <w:overflowPunct/>
              <w:topLinePunct w:val="0"/>
              <w:autoSpaceDE/>
              <w:autoSpaceDN/>
              <w:bidi w:val="0"/>
              <w:adjustRightInd/>
              <w:snapToGrid/>
              <w:spacing w:line="360" w:lineRule="exact"/>
              <w:ind w:left="112" w:leftChars="0" w:right="185" w:rightChars="0" w:hanging="1" w:firstLine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sz w:val="21"/>
                <w:szCs w:val="21"/>
                <w:highlight w:val="none"/>
              </w:rPr>
              <w:t>脚手架基础是否平整、坚实、有排水措施；是否按基础承</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1"/>
                <w:sz w:val="21"/>
                <w:szCs w:val="21"/>
                <w:highlight w:val="none"/>
              </w:rPr>
              <w:t>载力要求进行验收；基础是否下沉或立杆悬空</w:t>
            </w:r>
          </w:p>
        </w:tc>
        <w:tc>
          <w:tcPr>
            <w:tcW w:w="1230" w:type="dxa"/>
            <w:noWrap w:val="0"/>
            <w:vAlign w:val="top"/>
          </w:tcPr>
          <w:p w14:paraId="23EDE74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03EAA431">
            <w:pPr>
              <w:pStyle w:val="42"/>
              <w:keepNext w:val="0"/>
              <w:keepLines w:val="0"/>
              <w:pageBreakBefore w:val="0"/>
              <w:widowControl w:val="0"/>
              <w:kinsoku/>
              <w:wordWrap/>
              <w:overflowPunct/>
              <w:topLinePunct w:val="0"/>
              <w:autoSpaceDE/>
              <w:autoSpaceDN/>
              <w:bidi w:val="0"/>
              <w:adjustRightInd/>
              <w:snapToGrid/>
              <w:spacing w:line="360" w:lineRule="exact"/>
              <w:ind w:left="327"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4"/>
                <w:sz w:val="21"/>
                <w:szCs w:val="21"/>
                <w:highlight w:val="none"/>
              </w:rPr>
              <w:t>10000</w:t>
            </w:r>
          </w:p>
        </w:tc>
      </w:tr>
      <w:tr w14:paraId="4B78D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645" w:type="dxa"/>
            <w:vMerge w:val="continue"/>
            <w:noWrap w:val="0"/>
            <w:vAlign w:val="top"/>
          </w:tcPr>
          <w:p w14:paraId="0EAAA8E6">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153CB5E9">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13767E2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236CFFF5">
            <w:pPr>
              <w:pStyle w:val="42"/>
              <w:keepNext w:val="0"/>
              <w:keepLines w:val="0"/>
              <w:pageBreakBefore w:val="0"/>
              <w:widowControl w:val="0"/>
              <w:kinsoku/>
              <w:wordWrap/>
              <w:overflowPunct/>
              <w:topLinePunct w:val="0"/>
              <w:autoSpaceDE/>
              <w:autoSpaceDN/>
              <w:bidi w:val="0"/>
              <w:adjustRightInd/>
              <w:snapToGrid/>
              <w:spacing w:line="360" w:lineRule="exact"/>
              <w:ind w:left="376"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2"/>
                <w:sz w:val="21"/>
                <w:szCs w:val="21"/>
                <w:highlight w:val="none"/>
              </w:rPr>
              <w:t>接长、连接</w:t>
            </w:r>
          </w:p>
        </w:tc>
        <w:tc>
          <w:tcPr>
            <w:tcW w:w="6795" w:type="dxa"/>
            <w:noWrap w:val="0"/>
            <w:vAlign w:val="top"/>
          </w:tcPr>
          <w:p w14:paraId="5A877E31">
            <w:pPr>
              <w:pStyle w:val="42"/>
              <w:keepNext w:val="0"/>
              <w:keepLines w:val="0"/>
              <w:pageBreakBefore w:val="0"/>
              <w:widowControl w:val="0"/>
              <w:kinsoku/>
              <w:wordWrap/>
              <w:overflowPunct/>
              <w:topLinePunct w:val="0"/>
              <w:autoSpaceDE/>
              <w:autoSpaceDN/>
              <w:bidi w:val="0"/>
              <w:adjustRightInd/>
              <w:snapToGrid/>
              <w:spacing w:line="360" w:lineRule="exact"/>
              <w:ind w:left="112" w:leftChars="0" w:right="185" w:righ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sz w:val="21"/>
                <w:szCs w:val="21"/>
                <w:highlight w:val="none"/>
              </w:rPr>
              <w:t>杆件的接长方式、不同使用功能支架间的连接、脚手架连</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1"/>
                <w:sz w:val="21"/>
                <w:szCs w:val="21"/>
                <w:highlight w:val="none"/>
              </w:rPr>
              <w:t>墙件的设置是否符合规范要求</w:t>
            </w:r>
          </w:p>
        </w:tc>
        <w:tc>
          <w:tcPr>
            <w:tcW w:w="1230" w:type="dxa"/>
            <w:noWrap w:val="0"/>
            <w:vAlign w:val="top"/>
          </w:tcPr>
          <w:p w14:paraId="5DFADA4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3149BCA6">
            <w:pPr>
              <w:pStyle w:val="42"/>
              <w:keepNext w:val="0"/>
              <w:keepLines w:val="0"/>
              <w:pageBreakBefore w:val="0"/>
              <w:widowControl w:val="0"/>
              <w:kinsoku/>
              <w:wordWrap/>
              <w:overflowPunct/>
              <w:topLinePunct w:val="0"/>
              <w:autoSpaceDE/>
              <w:autoSpaceDN/>
              <w:bidi w:val="0"/>
              <w:adjustRightInd/>
              <w:snapToGrid/>
              <w:spacing w:line="360" w:lineRule="exact"/>
              <w:ind w:left="363"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3"/>
                <w:sz w:val="21"/>
                <w:szCs w:val="21"/>
                <w:highlight w:val="none"/>
              </w:rPr>
              <w:t>5000</w:t>
            </w:r>
          </w:p>
        </w:tc>
      </w:tr>
      <w:tr w14:paraId="53B15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645" w:type="dxa"/>
            <w:vMerge w:val="continue"/>
            <w:noWrap w:val="0"/>
            <w:vAlign w:val="top"/>
          </w:tcPr>
          <w:p w14:paraId="03138194">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338AB620">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2BEBED3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1C1C14F7">
            <w:pPr>
              <w:pStyle w:val="42"/>
              <w:keepNext w:val="0"/>
              <w:keepLines w:val="0"/>
              <w:pageBreakBefore w:val="0"/>
              <w:widowControl w:val="0"/>
              <w:kinsoku/>
              <w:wordWrap/>
              <w:overflowPunct/>
              <w:topLinePunct w:val="0"/>
              <w:autoSpaceDE/>
              <w:autoSpaceDN/>
              <w:bidi w:val="0"/>
              <w:adjustRightInd/>
              <w:snapToGrid/>
              <w:spacing w:line="360" w:lineRule="exact"/>
              <w:ind w:left="378"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2"/>
                <w:sz w:val="21"/>
                <w:szCs w:val="21"/>
                <w:highlight w:val="none"/>
              </w:rPr>
              <w:t>搭设、拆除</w:t>
            </w:r>
          </w:p>
        </w:tc>
        <w:tc>
          <w:tcPr>
            <w:tcW w:w="6795" w:type="dxa"/>
            <w:noWrap w:val="0"/>
            <w:vAlign w:val="top"/>
          </w:tcPr>
          <w:p w14:paraId="480D4043">
            <w:pPr>
              <w:pStyle w:val="42"/>
              <w:keepNext w:val="0"/>
              <w:keepLines w:val="0"/>
              <w:pageBreakBefore w:val="0"/>
              <w:widowControl w:val="0"/>
              <w:kinsoku/>
              <w:wordWrap/>
              <w:overflowPunct/>
              <w:topLinePunct w:val="0"/>
              <w:autoSpaceDE/>
              <w:autoSpaceDN/>
              <w:bidi w:val="0"/>
              <w:adjustRightInd/>
              <w:snapToGrid/>
              <w:spacing w:line="360" w:lineRule="exact"/>
              <w:ind w:left="114" w:leftChars="0" w:right="232" w:righ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3"/>
                <w:sz w:val="21"/>
                <w:szCs w:val="21"/>
                <w:highlight w:val="none"/>
              </w:rPr>
              <w:t>各脚手架、支撑架和平台的搭设、拆除是否按规范施工；</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1"/>
                <w:sz w:val="21"/>
                <w:szCs w:val="21"/>
                <w:highlight w:val="none"/>
              </w:rPr>
              <w:t>是否按程序自检、报检和验收</w:t>
            </w:r>
          </w:p>
        </w:tc>
        <w:tc>
          <w:tcPr>
            <w:tcW w:w="1230" w:type="dxa"/>
            <w:noWrap w:val="0"/>
            <w:vAlign w:val="top"/>
          </w:tcPr>
          <w:p w14:paraId="1F749A3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5DE948C2">
            <w:pPr>
              <w:pStyle w:val="42"/>
              <w:keepNext w:val="0"/>
              <w:keepLines w:val="0"/>
              <w:pageBreakBefore w:val="0"/>
              <w:widowControl w:val="0"/>
              <w:kinsoku/>
              <w:wordWrap/>
              <w:overflowPunct/>
              <w:topLinePunct w:val="0"/>
              <w:autoSpaceDE/>
              <w:autoSpaceDN/>
              <w:bidi w:val="0"/>
              <w:adjustRightInd/>
              <w:snapToGrid/>
              <w:spacing w:line="360" w:lineRule="exact"/>
              <w:ind w:left="327"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4"/>
                <w:sz w:val="21"/>
                <w:szCs w:val="21"/>
                <w:highlight w:val="none"/>
              </w:rPr>
              <w:t>10000</w:t>
            </w:r>
          </w:p>
        </w:tc>
      </w:tr>
      <w:tr w14:paraId="5408C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645" w:type="dxa"/>
            <w:vMerge w:val="continue"/>
            <w:noWrap w:val="0"/>
            <w:vAlign w:val="top"/>
          </w:tcPr>
          <w:p w14:paraId="7CE802F2">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5E89B623">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1407DEFC">
            <w:pPr>
              <w:pStyle w:val="42"/>
              <w:keepNext w:val="0"/>
              <w:keepLines w:val="0"/>
              <w:pageBreakBefore w:val="0"/>
              <w:widowControl w:val="0"/>
              <w:kinsoku/>
              <w:wordWrap/>
              <w:overflowPunct/>
              <w:topLinePunct w:val="0"/>
              <w:autoSpaceDE/>
              <w:autoSpaceDN/>
              <w:bidi w:val="0"/>
              <w:adjustRightInd/>
              <w:snapToGrid/>
              <w:spacing w:line="360" w:lineRule="exact"/>
              <w:ind w:left="469"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2"/>
                <w:sz w:val="21"/>
                <w:szCs w:val="21"/>
                <w:highlight w:val="none"/>
              </w:rPr>
              <w:t>支架预压</w:t>
            </w:r>
          </w:p>
        </w:tc>
        <w:tc>
          <w:tcPr>
            <w:tcW w:w="6795" w:type="dxa"/>
            <w:noWrap w:val="0"/>
            <w:vAlign w:val="top"/>
          </w:tcPr>
          <w:p w14:paraId="253EA633">
            <w:pPr>
              <w:pStyle w:val="42"/>
              <w:keepNext w:val="0"/>
              <w:keepLines w:val="0"/>
              <w:pageBreakBefore w:val="0"/>
              <w:widowControl w:val="0"/>
              <w:kinsoku/>
              <w:wordWrap/>
              <w:overflowPunct/>
              <w:topLinePunct w:val="0"/>
              <w:autoSpaceDE/>
              <w:autoSpaceDN/>
              <w:bidi w:val="0"/>
              <w:adjustRightInd/>
              <w:snapToGrid/>
              <w:spacing w:line="360" w:lineRule="exact"/>
              <w:ind w:left="115" w:leftChars="0" w:right="185" w:rightChars="0" w:hanging="5" w:firstLine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sz w:val="21"/>
                <w:szCs w:val="21"/>
                <w:highlight w:val="none"/>
              </w:rPr>
              <w:t>钢管满堂支架是否按规范要求预压，是否形成支架预压报</w:t>
            </w:r>
            <w:r>
              <w:rPr>
                <w:rFonts w:hint="eastAsia" w:ascii="宋体" w:hAnsi="宋体" w:eastAsia="宋体" w:cs="宋体"/>
                <w:color w:val="auto"/>
                <w:spacing w:val="18"/>
                <w:sz w:val="21"/>
                <w:szCs w:val="21"/>
                <w:highlight w:val="none"/>
              </w:rPr>
              <w:t xml:space="preserve"> </w:t>
            </w:r>
            <w:r>
              <w:rPr>
                <w:rFonts w:hint="eastAsia" w:ascii="宋体" w:hAnsi="宋体" w:eastAsia="宋体" w:cs="宋体"/>
                <w:color w:val="auto"/>
                <w:spacing w:val="-2"/>
                <w:sz w:val="21"/>
                <w:szCs w:val="21"/>
                <w:highlight w:val="none"/>
              </w:rPr>
              <w:t>告并验收通过</w:t>
            </w:r>
          </w:p>
        </w:tc>
        <w:tc>
          <w:tcPr>
            <w:tcW w:w="1230" w:type="dxa"/>
            <w:noWrap w:val="0"/>
            <w:vAlign w:val="top"/>
          </w:tcPr>
          <w:p w14:paraId="73EF9151">
            <w:pPr>
              <w:pStyle w:val="42"/>
              <w:keepNext w:val="0"/>
              <w:keepLines w:val="0"/>
              <w:pageBreakBefore w:val="0"/>
              <w:widowControl w:val="0"/>
              <w:kinsoku/>
              <w:wordWrap/>
              <w:overflowPunct/>
              <w:topLinePunct w:val="0"/>
              <w:autoSpaceDE/>
              <w:autoSpaceDN/>
              <w:bidi w:val="0"/>
              <w:adjustRightInd/>
              <w:snapToGrid/>
              <w:spacing w:line="360" w:lineRule="exact"/>
              <w:ind w:left="327"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4"/>
                <w:sz w:val="21"/>
                <w:szCs w:val="21"/>
                <w:highlight w:val="none"/>
              </w:rPr>
              <w:t>10000</w:t>
            </w:r>
          </w:p>
        </w:tc>
      </w:tr>
      <w:tr w14:paraId="6ED53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2" w:hRule="atLeast"/>
        </w:trPr>
        <w:tc>
          <w:tcPr>
            <w:tcW w:w="645" w:type="dxa"/>
            <w:vMerge w:val="continue"/>
            <w:noWrap w:val="0"/>
            <w:vAlign w:val="top"/>
          </w:tcPr>
          <w:p w14:paraId="5F2500E2">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69004861">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0C74B5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197E5FE9">
            <w:pPr>
              <w:pStyle w:val="42"/>
              <w:keepNext w:val="0"/>
              <w:keepLines w:val="0"/>
              <w:pageBreakBefore w:val="0"/>
              <w:widowControl w:val="0"/>
              <w:kinsoku/>
              <w:wordWrap/>
              <w:overflowPunct/>
              <w:topLinePunct w:val="0"/>
              <w:autoSpaceDE/>
              <w:autoSpaceDN/>
              <w:bidi w:val="0"/>
              <w:adjustRightInd/>
              <w:snapToGrid/>
              <w:spacing w:line="360" w:lineRule="exact"/>
              <w:ind w:left="469"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2"/>
                <w:sz w:val="21"/>
                <w:szCs w:val="21"/>
                <w:highlight w:val="none"/>
              </w:rPr>
              <w:t>架体防护</w:t>
            </w:r>
          </w:p>
        </w:tc>
        <w:tc>
          <w:tcPr>
            <w:tcW w:w="6795" w:type="dxa"/>
            <w:noWrap w:val="0"/>
            <w:vAlign w:val="top"/>
          </w:tcPr>
          <w:p w14:paraId="41DBD540">
            <w:pPr>
              <w:pStyle w:val="42"/>
              <w:keepNext w:val="0"/>
              <w:keepLines w:val="0"/>
              <w:pageBreakBefore w:val="0"/>
              <w:widowControl w:val="0"/>
              <w:kinsoku/>
              <w:wordWrap/>
              <w:overflowPunct/>
              <w:topLinePunct w:val="0"/>
              <w:autoSpaceDE/>
              <w:autoSpaceDN/>
              <w:bidi w:val="0"/>
              <w:adjustRightInd/>
              <w:snapToGrid/>
              <w:spacing w:line="360" w:lineRule="exact"/>
              <w:ind w:left="111" w:leftChars="0" w:right="185" w:rightChars="0"/>
              <w:jc w:val="both"/>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sz w:val="21"/>
                <w:szCs w:val="21"/>
                <w:highlight w:val="none"/>
              </w:rPr>
              <w:t>双排脚手架、模板支撑架、落地及悬挑扣件式钢管脚手架</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1"/>
                <w:sz w:val="21"/>
                <w:szCs w:val="21"/>
                <w:highlight w:val="none"/>
              </w:rPr>
              <w:t>的外立面防护是否符合方案及规范要求；悬挑扣件式钢管</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1"/>
                <w:sz w:val="21"/>
                <w:szCs w:val="21"/>
                <w:highlight w:val="none"/>
              </w:rPr>
              <w:t>脚手架的悬挑层防护，层高较大的脚手架内侧防护是否符</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2"/>
                <w:sz w:val="21"/>
                <w:szCs w:val="21"/>
                <w:highlight w:val="none"/>
              </w:rPr>
              <w:t>合规范要求</w:t>
            </w:r>
          </w:p>
        </w:tc>
        <w:tc>
          <w:tcPr>
            <w:tcW w:w="1230" w:type="dxa"/>
            <w:noWrap w:val="0"/>
            <w:vAlign w:val="top"/>
          </w:tcPr>
          <w:p w14:paraId="49A5E95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122DBAE5">
            <w:pPr>
              <w:pStyle w:val="42"/>
              <w:keepNext w:val="0"/>
              <w:keepLines w:val="0"/>
              <w:pageBreakBefore w:val="0"/>
              <w:widowControl w:val="0"/>
              <w:kinsoku/>
              <w:wordWrap/>
              <w:overflowPunct/>
              <w:topLinePunct w:val="0"/>
              <w:autoSpaceDE/>
              <w:autoSpaceDN/>
              <w:bidi w:val="0"/>
              <w:adjustRightInd/>
              <w:snapToGrid/>
              <w:spacing w:line="360" w:lineRule="exact"/>
              <w:ind w:left="327"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4"/>
                <w:sz w:val="21"/>
                <w:szCs w:val="21"/>
                <w:highlight w:val="none"/>
              </w:rPr>
              <w:t>10000</w:t>
            </w:r>
          </w:p>
        </w:tc>
      </w:tr>
      <w:tr w14:paraId="16D0A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645" w:type="dxa"/>
            <w:vMerge w:val="continue"/>
            <w:noWrap w:val="0"/>
            <w:vAlign w:val="top"/>
          </w:tcPr>
          <w:p w14:paraId="702FDC58">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1135749B">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687612A2">
            <w:pPr>
              <w:pStyle w:val="42"/>
              <w:keepNext w:val="0"/>
              <w:keepLines w:val="0"/>
              <w:pageBreakBefore w:val="0"/>
              <w:widowControl w:val="0"/>
              <w:kinsoku/>
              <w:wordWrap/>
              <w:overflowPunct/>
              <w:topLinePunct w:val="0"/>
              <w:autoSpaceDE/>
              <w:autoSpaceDN/>
              <w:bidi w:val="0"/>
              <w:adjustRightInd/>
              <w:snapToGrid/>
              <w:spacing w:line="360" w:lineRule="exact"/>
              <w:ind w:left="488"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7"/>
                <w:sz w:val="21"/>
                <w:szCs w:val="21"/>
                <w:highlight w:val="none"/>
              </w:rPr>
              <w:t>门洞防护</w:t>
            </w:r>
          </w:p>
        </w:tc>
        <w:tc>
          <w:tcPr>
            <w:tcW w:w="6795" w:type="dxa"/>
            <w:noWrap w:val="0"/>
            <w:vAlign w:val="top"/>
          </w:tcPr>
          <w:p w14:paraId="72DB4C24">
            <w:pPr>
              <w:pStyle w:val="42"/>
              <w:keepNext w:val="0"/>
              <w:keepLines w:val="0"/>
              <w:pageBreakBefore w:val="0"/>
              <w:widowControl w:val="0"/>
              <w:kinsoku/>
              <w:wordWrap/>
              <w:overflowPunct/>
              <w:topLinePunct w:val="0"/>
              <w:autoSpaceDE/>
              <w:autoSpaceDN/>
              <w:bidi w:val="0"/>
              <w:adjustRightInd/>
              <w:snapToGrid/>
              <w:spacing w:line="360" w:lineRule="exact"/>
              <w:ind w:left="111" w:leftChars="0" w:right="185" w:rightChars="0" w:firstLine="21" w:firstLine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sz w:val="21"/>
                <w:szCs w:val="21"/>
                <w:highlight w:val="none"/>
              </w:rPr>
              <w:t>门洞处支架搭设是否符合方案及规范要求，是否</w:t>
            </w:r>
            <w:r>
              <w:rPr>
                <w:rFonts w:hint="eastAsia" w:ascii="宋体" w:hAnsi="宋体" w:eastAsia="宋体" w:cs="宋体"/>
                <w:color w:val="auto"/>
                <w:spacing w:val="-2"/>
                <w:sz w:val="21"/>
                <w:szCs w:val="21"/>
                <w:highlight w:val="none"/>
              </w:rPr>
              <w:t>设置有防</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撞击设施</w:t>
            </w:r>
          </w:p>
        </w:tc>
        <w:tc>
          <w:tcPr>
            <w:tcW w:w="1230" w:type="dxa"/>
            <w:noWrap w:val="0"/>
            <w:vAlign w:val="top"/>
          </w:tcPr>
          <w:p w14:paraId="13081648">
            <w:pPr>
              <w:pStyle w:val="42"/>
              <w:keepNext w:val="0"/>
              <w:keepLines w:val="0"/>
              <w:pageBreakBefore w:val="0"/>
              <w:widowControl w:val="0"/>
              <w:kinsoku/>
              <w:wordWrap/>
              <w:overflowPunct/>
              <w:topLinePunct w:val="0"/>
              <w:autoSpaceDE/>
              <w:autoSpaceDN/>
              <w:bidi w:val="0"/>
              <w:adjustRightInd/>
              <w:snapToGrid/>
              <w:spacing w:line="360" w:lineRule="exact"/>
              <w:ind w:left="363"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3"/>
                <w:sz w:val="21"/>
                <w:szCs w:val="21"/>
                <w:highlight w:val="none"/>
              </w:rPr>
              <w:t>5000</w:t>
            </w:r>
          </w:p>
        </w:tc>
      </w:tr>
      <w:tr w14:paraId="05159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645" w:type="dxa"/>
            <w:vMerge w:val="continue"/>
            <w:noWrap w:val="0"/>
            <w:vAlign w:val="top"/>
          </w:tcPr>
          <w:p w14:paraId="58B19A91">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00C0BAFF">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2C315EF7">
            <w:pPr>
              <w:pStyle w:val="42"/>
              <w:keepNext w:val="0"/>
              <w:keepLines w:val="0"/>
              <w:pageBreakBefore w:val="0"/>
              <w:widowControl w:val="0"/>
              <w:kinsoku/>
              <w:wordWrap/>
              <w:overflowPunct/>
              <w:topLinePunct w:val="0"/>
              <w:autoSpaceDE/>
              <w:autoSpaceDN/>
              <w:bidi w:val="0"/>
              <w:adjustRightInd/>
              <w:snapToGrid/>
              <w:spacing w:line="360" w:lineRule="exact"/>
              <w:ind w:left="469"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2"/>
                <w:sz w:val="21"/>
                <w:szCs w:val="21"/>
                <w:highlight w:val="none"/>
              </w:rPr>
              <w:t>支架荷载</w:t>
            </w:r>
          </w:p>
        </w:tc>
        <w:tc>
          <w:tcPr>
            <w:tcW w:w="6795" w:type="dxa"/>
            <w:noWrap w:val="0"/>
            <w:vAlign w:val="top"/>
          </w:tcPr>
          <w:p w14:paraId="2F8094D4">
            <w:pPr>
              <w:pStyle w:val="42"/>
              <w:keepNext w:val="0"/>
              <w:keepLines w:val="0"/>
              <w:pageBreakBefore w:val="0"/>
              <w:widowControl w:val="0"/>
              <w:kinsoku/>
              <w:wordWrap/>
              <w:overflowPunct/>
              <w:topLinePunct w:val="0"/>
              <w:autoSpaceDE/>
              <w:autoSpaceDN/>
              <w:bidi w:val="0"/>
              <w:adjustRightInd/>
              <w:snapToGrid/>
              <w:spacing w:line="360" w:lineRule="exact"/>
              <w:ind w:left="112"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sz w:val="21"/>
                <w:szCs w:val="21"/>
                <w:highlight w:val="none"/>
              </w:rPr>
              <w:t>支架及作业平台顶部的实际荷载是否超过设计规定</w:t>
            </w:r>
          </w:p>
        </w:tc>
        <w:tc>
          <w:tcPr>
            <w:tcW w:w="1230" w:type="dxa"/>
            <w:noWrap w:val="0"/>
            <w:vAlign w:val="top"/>
          </w:tcPr>
          <w:p w14:paraId="6824CC8C">
            <w:pPr>
              <w:pStyle w:val="42"/>
              <w:keepNext w:val="0"/>
              <w:keepLines w:val="0"/>
              <w:pageBreakBefore w:val="0"/>
              <w:widowControl w:val="0"/>
              <w:kinsoku/>
              <w:wordWrap/>
              <w:overflowPunct/>
              <w:topLinePunct w:val="0"/>
              <w:autoSpaceDE/>
              <w:autoSpaceDN/>
              <w:bidi w:val="0"/>
              <w:adjustRightInd/>
              <w:snapToGrid/>
              <w:spacing w:line="360" w:lineRule="exact"/>
              <w:ind w:left="363"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3"/>
                <w:sz w:val="21"/>
                <w:szCs w:val="21"/>
                <w:highlight w:val="none"/>
              </w:rPr>
              <w:t>5000</w:t>
            </w:r>
          </w:p>
        </w:tc>
      </w:tr>
      <w:tr w14:paraId="0C173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7" w:hRule="atLeast"/>
        </w:trPr>
        <w:tc>
          <w:tcPr>
            <w:tcW w:w="645" w:type="dxa"/>
            <w:vMerge w:val="continue"/>
            <w:noWrap w:val="0"/>
            <w:vAlign w:val="top"/>
          </w:tcPr>
          <w:p w14:paraId="42AC71C6">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5D8E0BA7">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2B475A7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124E637F">
            <w:pPr>
              <w:pStyle w:val="42"/>
              <w:keepNext w:val="0"/>
              <w:keepLines w:val="0"/>
              <w:pageBreakBefore w:val="0"/>
              <w:widowControl w:val="0"/>
              <w:kinsoku/>
              <w:wordWrap/>
              <w:overflowPunct/>
              <w:topLinePunct w:val="0"/>
              <w:autoSpaceDE/>
              <w:autoSpaceDN/>
              <w:bidi w:val="0"/>
              <w:adjustRightInd/>
              <w:snapToGrid/>
              <w:spacing w:line="360" w:lineRule="exact"/>
              <w:ind w:left="378"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2"/>
                <w:sz w:val="21"/>
                <w:szCs w:val="21"/>
                <w:highlight w:val="none"/>
              </w:rPr>
              <w:t>监测、维护</w:t>
            </w:r>
          </w:p>
        </w:tc>
        <w:tc>
          <w:tcPr>
            <w:tcW w:w="6795" w:type="dxa"/>
            <w:noWrap w:val="0"/>
            <w:vAlign w:val="top"/>
          </w:tcPr>
          <w:p w14:paraId="77B06758">
            <w:pPr>
              <w:pStyle w:val="42"/>
              <w:keepNext w:val="0"/>
              <w:keepLines w:val="0"/>
              <w:pageBreakBefore w:val="0"/>
              <w:widowControl w:val="0"/>
              <w:kinsoku/>
              <w:wordWrap/>
              <w:overflowPunct/>
              <w:topLinePunct w:val="0"/>
              <w:autoSpaceDE/>
              <w:autoSpaceDN/>
              <w:bidi w:val="0"/>
              <w:adjustRightInd/>
              <w:snapToGrid/>
              <w:spacing w:line="360" w:lineRule="exact"/>
              <w:ind w:left="111" w:leftChars="0" w:right="185" w:rightChars="0"/>
              <w:jc w:val="both"/>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sz w:val="21"/>
                <w:szCs w:val="21"/>
                <w:highlight w:val="none"/>
              </w:rPr>
              <w:t>对支架是否有监测、应急和预防不均匀沉降措施；是否有</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1"/>
                <w:sz w:val="21"/>
                <w:szCs w:val="21"/>
                <w:highlight w:val="none"/>
              </w:rPr>
              <w:t>拆除主节点的纵、横向水平杆，纵、横向扫地杆，连墙件</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1"/>
                <w:sz w:val="21"/>
                <w:szCs w:val="21"/>
                <w:highlight w:val="none"/>
              </w:rPr>
              <w:t>等现象；是否在脚手架基础及邻近处进行挖掘作业</w:t>
            </w:r>
          </w:p>
        </w:tc>
        <w:tc>
          <w:tcPr>
            <w:tcW w:w="1230" w:type="dxa"/>
            <w:noWrap w:val="0"/>
            <w:vAlign w:val="top"/>
          </w:tcPr>
          <w:p w14:paraId="1113A7F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3112B84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77C47ED4">
            <w:pPr>
              <w:pStyle w:val="42"/>
              <w:keepNext w:val="0"/>
              <w:keepLines w:val="0"/>
              <w:pageBreakBefore w:val="0"/>
              <w:widowControl w:val="0"/>
              <w:kinsoku/>
              <w:wordWrap/>
              <w:overflowPunct/>
              <w:topLinePunct w:val="0"/>
              <w:autoSpaceDE/>
              <w:autoSpaceDN/>
              <w:bidi w:val="0"/>
              <w:adjustRightInd/>
              <w:snapToGrid/>
              <w:spacing w:line="360" w:lineRule="exact"/>
              <w:ind w:left="327"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4"/>
                <w:sz w:val="21"/>
                <w:szCs w:val="21"/>
                <w:highlight w:val="none"/>
              </w:rPr>
              <w:t>10000</w:t>
            </w:r>
          </w:p>
        </w:tc>
      </w:tr>
      <w:tr w14:paraId="7A3E8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645" w:type="dxa"/>
            <w:vMerge w:val="continue"/>
            <w:noWrap w:val="0"/>
            <w:vAlign w:val="top"/>
          </w:tcPr>
          <w:p w14:paraId="48414120">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58D42033">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26FFC41A">
            <w:pPr>
              <w:pStyle w:val="42"/>
              <w:keepNext w:val="0"/>
              <w:keepLines w:val="0"/>
              <w:pageBreakBefore w:val="0"/>
              <w:widowControl w:val="0"/>
              <w:kinsoku/>
              <w:wordWrap/>
              <w:overflowPunct/>
              <w:topLinePunct w:val="0"/>
              <w:autoSpaceDE/>
              <w:autoSpaceDN/>
              <w:bidi w:val="0"/>
              <w:adjustRightInd/>
              <w:snapToGrid/>
              <w:spacing w:line="360" w:lineRule="exact"/>
              <w:ind w:left="264"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5"/>
                <w:sz w:val="21"/>
                <w:szCs w:val="21"/>
                <w:highlight w:val="none"/>
              </w:rPr>
              <w:t>内外架相连接</w:t>
            </w:r>
          </w:p>
        </w:tc>
        <w:tc>
          <w:tcPr>
            <w:tcW w:w="6795" w:type="dxa"/>
            <w:noWrap w:val="0"/>
            <w:vAlign w:val="top"/>
          </w:tcPr>
          <w:p w14:paraId="4BC2A459">
            <w:pPr>
              <w:pStyle w:val="42"/>
              <w:keepNext w:val="0"/>
              <w:keepLines w:val="0"/>
              <w:pageBreakBefore w:val="0"/>
              <w:widowControl w:val="0"/>
              <w:kinsoku/>
              <w:wordWrap/>
              <w:overflowPunct/>
              <w:topLinePunct w:val="0"/>
              <w:autoSpaceDE/>
              <w:autoSpaceDN/>
              <w:bidi w:val="0"/>
              <w:adjustRightInd/>
              <w:snapToGrid/>
              <w:spacing w:line="360" w:lineRule="exact"/>
              <w:ind w:left="111"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sz w:val="21"/>
                <w:szCs w:val="21"/>
                <w:highlight w:val="none"/>
              </w:rPr>
              <w:t>模板支撑、龙门架料台是否与外脚手架相连接</w:t>
            </w:r>
          </w:p>
        </w:tc>
        <w:tc>
          <w:tcPr>
            <w:tcW w:w="1230" w:type="dxa"/>
            <w:noWrap w:val="0"/>
            <w:vAlign w:val="top"/>
          </w:tcPr>
          <w:p w14:paraId="4BA6BAFA">
            <w:pPr>
              <w:pStyle w:val="42"/>
              <w:keepNext w:val="0"/>
              <w:keepLines w:val="0"/>
              <w:pageBreakBefore w:val="0"/>
              <w:widowControl w:val="0"/>
              <w:kinsoku/>
              <w:wordWrap/>
              <w:overflowPunct/>
              <w:topLinePunct w:val="0"/>
              <w:autoSpaceDE/>
              <w:autoSpaceDN/>
              <w:bidi w:val="0"/>
              <w:adjustRightInd/>
              <w:snapToGrid/>
              <w:spacing w:line="360" w:lineRule="exact"/>
              <w:ind w:left="327"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4"/>
                <w:sz w:val="21"/>
                <w:szCs w:val="21"/>
                <w:highlight w:val="none"/>
              </w:rPr>
              <w:t>10000</w:t>
            </w:r>
          </w:p>
        </w:tc>
      </w:tr>
      <w:tr w14:paraId="125C3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645" w:type="dxa"/>
            <w:vMerge w:val="continue"/>
            <w:noWrap w:val="0"/>
            <w:vAlign w:val="top"/>
          </w:tcPr>
          <w:p w14:paraId="5D1883AA">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1139B460">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28EEB689">
            <w:pPr>
              <w:pStyle w:val="42"/>
              <w:keepNext w:val="0"/>
              <w:keepLines w:val="0"/>
              <w:pageBreakBefore w:val="0"/>
              <w:widowControl w:val="0"/>
              <w:kinsoku/>
              <w:wordWrap/>
              <w:overflowPunct/>
              <w:topLinePunct w:val="0"/>
              <w:autoSpaceDE/>
              <w:autoSpaceDN/>
              <w:bidi w:val="0"/>
              <w:adjustRightInd/>
              <w:snapToGrid/>
              <w:spacing w:line="360" w:lineRule="exact"/>
              <w:ind w:left="155"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2"/>
                <w:sz w:val="21"/>
                <w:szCs w:val="21"/>
                <w:highlight w:val="none"/>
              </w:rPr>
              <w:t>与建筑实体间距</w:t>
            </w:r>
          </w:p>
        </w:tc>
        <w:tc>
          <w:tcPr>
            <w:tcW w:w="6795" w:type="dxa"/>
            <w:noWrap w:val="0"/>
            <w:vAlign w:val="top"/>
          </w:tcPr>
          <w:p w14:paraId="1B759405">
            <w:pPr>
              <w:pStyle w:val="42"/>
              <w:keepNext w:val="0"/>
              <w:keepLines w:val="0"/>
              <w:pageBreakBefore w:val="0"/>
              <w:widowControl w:val="0"/>
              <w:kinsoku/>
              <w:wordWrap/>
              <w:overflowPunct/>
              <w:topLinePunct w:val="0"/>
              <w:autoSpaceDE/>
              <w:autoSpaceDN/>
              <w:bidi w:val="0"/>
              <w:adjustRightInd/>
              <w:snapToGrid/>
              <w:spacing w:line="360" w:lineRule="exact"/>
              <w:ind w:left="111" w:leftChars="0" w:right="185" w:rightChars="0" w:firstLine="4" w:firstLine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sz w:val="21"/>
                <w:szCs w:val="21"/>
                <w:highlight w:val="none"/>
              </w:rPr>
              <w:t>外架与建筑实体间距是否符合规范要求；间隙是否封堵或</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1"/>
                <w:sz w:val="21"/>
                <w:szCs w:val="21"/>
                <w:highlight w:val="none"/>
              </w:rPr>
              <w:t>封堵拆除后是否及时恢复</w:t>
            </w:r>
          </w:p>
        </w:tc>
        <w:tc>
          <w:tcPr>
            <w:tcW w:w="1230" w:type="dxa"/>
            <w:noWrap w:val="0"/>
            <w:vAlign w:val="top"/>
          </w:tcPr>
          <w:p w14:paraId="7D7587AB">
            <w:pPr>
              <w:pStyle w:val="42"/>
              <w:keepNext w:val="0"/>
              <w:keepLines w:val="0"/>
              <w:pageBreakBefore w:val="0"/>
              <w:widowControl w:val="0"/>
              <w:kinsoku/>
              <w:wordWrap/>
              <w:overflowPunct/>
              <w:topLinePunct w:val="0"/>
              <w:autoSpaceDE/>
              <w:autoSpaceDN/>
              <w:bidi w:val="0"/>
              <w:adjustRightInd/>
              <w:snapToGrid/>
              <w:spacing w:line="360" w:lineRule="exact"/>
              <w:ind w:left="327"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4"/>
                <w:sz w:val="21"/>
                <w:szCs w:val="21"/>
                <w:highlight w:val="none"/>
              </w:rPr>
              <w:t>10000</w:t>
            </w:r>
          </w:p>
        </w:tc>
      </w:tr>
      <w:tr w14:paraId="18135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645" w:type="dxa"/>
            <w:vMerge w:val="continue"/>
            <w:noWrap w:val="0"/>
            <w:vAlign w:val="top"/>
          </w:tcPr>
          <w:p w14:paraId="34BAC4A4">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62ED8F79">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16FEFF47">
            <w:pPr>
              <w:pStyle w:val="42"/>
              <w:keepNext w:val="0"/>
              <w:keepLines w:val="0"/>
              <w:pageBreakBefore w:val="0"/>
              <w:widowControl w:val="0"/>
              <w:kinsoku/>
              <w:wordWrap/>
              <w:overflowPunct/>
              <w:topLinePunct w:val="0"/>
              <w:autoSpaceDE/>
              <w:autoSpaceDN/>
              <w:bidi w:val="0"/>
              <w:adjustRightInd/>
              <w:snapToGrid/>
              <w:spacing w:line="360" w:lineRule="exact"/>
              <w:ind w:left="220" w:leftChars="0" w:right="149" w:rightChars="0" w:firstLine="0" w:firstLine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2"/>
                <w:sz w:val="21"/>
                <w:szCs w:val="21"/>
                <w:highlight w:val="none"/>
              </w:rPr>
              <w:t>卸荷钢丝绳及卡</w:t>
            </w:r>
            <w:r>
              <w:rPr>
                <w:rFonts w:hint="eastAsia" w:ascii="宋体" w:hAnsi="宋体" w:eastAsia="宋体" w:cs="宋体"/>
                <w:color w:val="auto"/>
                <w:sz w:val="21"/>
                <w:szCs w:val="21"/>
                <w:highlight w:val="none"/>
              </w:rPr>
              <w:t>扣</w:t>
            </w:r>
          </w:p>
        </w:tc>
        <w:tc>
          <w:tcPr>
            <w:tcW w:w="6795" w:type="dxa"/>
            <w:noWrap w:val="0"/>
            <w:vAlign w:val="top"/>
          </w:tcPr>
          <w:p w14:paraId="7F3A7B22">
            <w:pPr>
              <w:pStyle w:val="42"/>
              <w:keepNext w:val="0"/>
              <w:keepLines w:val="0"/>
              <w:pageBreakBefore w:val="0"/>
              <w:widowControl w:val="0"/>
              <w:kinsoku/>
              <w:wordWrap/>
              <w:overflowPunct/>
              <w:topLinePunct w:val="0"/>
              <w:autoSpaceDE/>
              <w:autoSpaceDN/>
              <w:bidi w:val="0"/>
              <w:adjustRightInd/>
              <w:snapToGrid/>
              <w:spacing w:line="360" w:lineRule="exact"/>
              <w:ind w:left="110" w:leftChars="0" w:right="185" w:rightChars="0" w:firstLine="3" w:firstLine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sz w:val="21"/>
                <w:szCs w:val="21"/>
                <w:highlight w:val="none"/>
              </w:rPr>
              <w:t>悬挑外架及卸料钢平台设置的卸荷钢丝绳及卡扣数量、位</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pacing w:val="-1"/>
                <w:sz w:val="21"/>
                <w:szCs w:val="21"/>
                <w:highlight w:val="none"/>
              </w:rPr>
              <w:t>置是否符合规范要求</w:t>
            </w:r>
          </w:p>
        </w:tc>
        <w:tc>
          <w:tcPr>
            <w:tcW w:w="1230" w:type="dxa"/>
            <w:noWrap w:val="0"/>
            <w:vAlign w:val="top"/>
          </w:tcPr>
          <w:p w14:paraId="45F81F7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1BB6FF03">
            <w:pPr>
              <w:pStyle w:val="42"/>
              <w:keepNext w:val="0"/>
              <w:keepLines w:val="0"/>
              <w:pageBreakBefore w:val="0"/>
              <w:widowControl w:val="0"/>
              <w:kinsoku/>
              <w:wordWrap/>
              <w:overflowPunct/>
              <w:topLinePunct w:val="0"/>
              <w:autoSpaceDE/>
              <w:autoSpaceDN/>
              <w:bidi w:val="0"/>
              <w:adjustRightInd/>
              <w:snapToGrid/>
              <w:spacing w:line="360" w:lineRule="exact"/>
              <w:ind w:left="363"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3"/>
                <w:sz w:val="21"/>
                <w:szCs w:val="21"/>
                <w:highlight w:val="none"/>
              </w:rPr>
              <w:t>5000</w:t>
            </w:r>
          </w:p>
        </w:tc>
      </w:tr>
      <w:tr w14:paraId="0CD96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645" w:type="dxa"/>
            <w:vMerge w:val="continue"/>
            <w:noWrap w:val="0"/>
            <w:vAlign w:val="top"/>
          </w:tcPr>
          <w:p w14:paraId="4BC0EC4B">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50E109AF">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51CDEA0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6B9802A5">
            <w:pPr>
              <w:pStyle w:val="4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2"/>
                <w:sz w:val="21"/>
                <w:szCs w:val="21"/>
                <w:highlight w:val="none"/>
              </w:rPr>
              <w:t>预埋锚固卡环</w:t>
            </w:r>
          </w:p>
        </w:tc>
        <w:tc>
          <w:tcPr>
            <w:tcW w:w="6795" w:type="dxa"/>
            <w:noWrap w:val="0"/>
            <w:vAlign w:val="top"/>
          </w:tcPr>
          <w:p w14:paraId="387C41A2">
            <w:pPr>
              <w:pStyle w:val="42"/>
              <w:keepNext w:val="0"/>
              <w:keepLines w:val="0"/>
              <w:pageBreakBefore w:val="0"/>
              <w:widowControl w:val="0"/>
              <w:kinsoku/>
              <w:wordWrap/>
              <w:overflowPunct/>
              <w:topLinePunct w:val="0"/>
              <w:autoSpaceDE/>
              <w:autoSpaceDN/>
              <w:bidi w:val="0"/>
              <w:adjustRightInd/>
              <w:snapToGrid/>
              <w:spacing w:line="360" w:lineRule="exact"/>
              <w:ind w:left="112" w:leftChars="0" w:right="185" w:rightChars="0" w:firstLine="1" w:firstLine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sz w:val="21"/>
                <w:szCs w:val="21"/>
                <w:highlight w:val="none"/>
              </w:rPr>
              <w:t>悬挑型钢、卸料钢平台预埋锚固卡环数量及设置是否符合</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pacing w:val="-2"/>
                <w:sz w:val="21"/>
                <w:szCs w:val="21"/>
                <w:highlight w:val="none"/>
              </w:rPr>
              <w:t>规范要求</w:t>
            </w:r>
          </w:p>
        </w:tc>
        <w:tc>
          <w:tcPr>
            <w:tcW w:w="1230" w:type="dxa"/>
            <w:noWrap w:val="0"/>
            <w:vAlign w:val="top"/>
          </w:tcPr>
          <w:p w14:paraId="47616D0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3CFA9B21">
            <w:pPr>
              <w:pStyle w:val="42"/>
              <w:keepNext w:val="0"/>
              <w:keepLines w:val="0"/>
              <w:pageBreakBefore w:val="0"/>
              <w:widowControl w:val="0"/>
              <w:kinsoku/>
              <w:wordWrap/>
              <w:overflowPunct/>
              <w:topLinePunct w:val="0"/>
              <w:autoSpaceDE/>
              <w:autoSpaceDN/>
              <w:bidi w:val="0"/>
              <w:adjustRightInd/>
              <w:snapToGrid/>
              <w:spacing w:line="360" w:lineRule="exact"/>
              <w:ind w:left="361"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3"/>
                <w:sz w:val="21"/>
                <w:szCs w:val="21"/>
                <w:highlight w:val="none"/>
              </w:rPr>
              <w:t>2000</w:t>
            </w:r>
          </w:p>
        </w:tc>
      </w:tr>
      <w:tr w14:paraId="58A7C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645" w:type="dxa"/>
            <w:vMerge w:val="continue"/>
            <w:noWrap w:val="0"/>
            <w:vAlign w:val="top"/>
          </w:tcPr>
          <w:p w14:paraId="0AC9A9A0">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1EA175FE">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0E1D2C9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0B9B2C0E">
            <w:pPr>
              <w:pStyle w:val="4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2"/>
                <w:sz w:val="21"/>
                <w:szCs w:val="21"/>
                <w:highlight w:val="none"/>
              </w:rPr>
              <w:t>其他安全措施</w:t>
            </w:r>
          </w:p>
        </w:tc>
        <w:tc>
          <w:tcPr>
            <w:tcW w:w="6795" w:type="dxa"/>
            <w:noWrap w:val="0"/>
            <w:vAlign w:val="top"/>
          </w:tcPr>
          <w:p w14:paraId="2333C16E">
            <w:pPr>
              <w:pStyle w:val="42"/>
              <w:keepNext w:val="0"/>
              <w:keepLines w:val="0"/>
              <w:pageBreakBefore w:val="0"/>
              <w:widowControl w:val="0"/>
              <w:kinsoku/>
              <w:wordWrap/>
              <w:overflowPunct/>
              <w:topLinePunct w:val="0"/>
              <w:autoSpaceDE/>
              <w:autoSpaceDN/>
              <w:bidi w:val="0"/>
              <w:adjustRightInd/>
              <w:snapToGrid/>
              <w:spacing w:line="360" w:lineRule="exact"/>
              <w:ind w:left="111" w:leftChars="0" w:right="185" w:rightChars="0" w:firstLine="3" w:firstLineChars="0"/>
              <w:jc w:val="both"/>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sz w:val="21"/>
                <w:szCs w:val="21"/>
                <w:highlight w:val="none"/>
              </w:rPr>
              <w:t>是否有可靠接地、防雷措施；是否有上下垂直立体交叉作</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pacing w:val="-1"/>
                <w:sz w:val="21"/>
                <w:szCs w:val="21"/>
                <w:highlight w:val="none"/>
              </w:rPr>
              <w:t>业情况；是否有专人看守，设置警戒区域，防拆架时坠物</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2"/>
                <w:sz w:val="21"/>
                <w:szCs w:val="21"/>
                <w:highlight w:val="none"/>
              </w:rPr>
              <w:t>伤人措施</w:t>
            </w:r>
          </w:p>
        </w:tc>
        <w:tc>
          <w:tcPr>
            <w:tcW w:w="1230" w:type="dxa"/>
            <w:noWrap w:val="0"/>
            <w:vAlign w:val="top"/>
          </w:tcPr>
          <w:p w14:paraId="71F42FF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2DC498B0">
            <w:pPr>
              <w:pStyle w:val="42"/>
              <w:keepNext w:val="0"/>
              <w:keepLines w:val="0"/>
              <w:pageBreakBefore w:val="0"/>
              <w:widowControl w:val="0"/>
              <w:kinsoku/>
              <w:wordWrap/>
              <w:overflowPunct/>
              <w:topLinePunct w:val="0"/>
              <w:autoSpaceDE/>
              <w:autoSpaceDN/>
              <w:bidi w:val="0"/>
              <w:adjustRightInd/>
              <w:snapToGrid/>
              <w:spacing w:line="360" w:lineRule="exact"/>
              <w:ind w:left="361"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3"/>
                <w:sz w:val="21"/>
                <w:szCs w:val="21"/>
                <w:highlight w:val="none"/>
              </w:rPr>
              <w:t>2000</w:t>
            </w:r>
          </w:p>
        </w:tc>
      </w:tr>
      <w:tr w14:paraId="3D646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645" w:type="dxa"/>
            <w:vMerge w:val="restart"/>
            <w:noWrap w:val="0"/>
            <w:vAlign w:val="top"/>
          </w:tcPr>
          <w:p w14:paraId="0377F106">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p w14:paraId="07BDE33B">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510" w:type="dxa"/>
            <w:vMerge w:val="restart"/>
            <w:noWrap w:val="0"/>
            <w:vAlign w:val="top"/>
          </w:tcPr>
          <w:p w14:paraId="2DC94CA7">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9"/>
                <w:sz w:val="21"/>
                <w:szCs w:val="21"/>
                <w:highlight w:val="none"/>
              </w:rPr>
              <w:t>临时</w:t>
            </w:r>
            <w:r>
              <w:rPr>
                <w:rFonts w:hint="eastAsia" w:ascii="宋体" w:hAnsi="宋体" w:eastAsia="宋体" w:cs="宋体"/>
                <w:color w:val="auto"/>
                <w:spacing w:val="-5"/>
                <w:sz w:val="21"/>
                <w:szCs w:val="21"/>
                <w:highlight w:val="none"/>
              </w:rPr>
              <w:t>用电</w:t>
            </w:r>
          </w:p>
        </w:tc>
        <w:tc>
          <w:tcPr>
            <w:tcW w:w="1350" w:type="dxa"/>
            <w:noWrap w:val="0"/>
            <w:vAlign w:val="top"/>
          </w:tcPr>
          <w:p w14:paraId="6C86B0F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61594D2C">
            <w:pPr>
              <w:pStyle w:val="42"/>
              <w:keepNext w:val="0"/>
              <w:keepLines w:val="0"/>
              <w:pageBreakBefore w:val="0"/>
              <w:widowControl w:val="0"/>
              <w:kinsoku/>
              <w:wordWrap/>
              <w:overflowPunct/>
              <w:topLinePunct w:val="0"/>
              <w:autoSpaceDE/>
              <w:autoSpaceDN/>
              <w:bidi w:val="0"/>
              <w:adjustRightInd/>
              <w:snapToGrid/>
              <w:spacing w:line="360" w:lineRule="exact"/>
              <w:ind w:left="426"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3"/>
                <w:sz w:val="21"/>
                <w:szCs w:val="21"/>
                <w:highlight w:val="none"/>
              </w:rPr>
              <w:t>外电防护</w:t>
            </w:r>
          </w:p>
        </w:tc>
        <w:tc>
          <w:tcPr>
            <w:tcW w:w="6795" w:type="dxa"/>
            <w:noWrap w:val="0"/>
            <w:vAlign w:val="top"/>
          </w:tcPr>
          <w:p w14:paraId="74780135">
            <w:pPr>
              <w:pStyle w:val="42"/>
              <w:keepNext w:val="0"/>
              <w:keepLines w:val="0"/>
              <w:pageBreakBefore w:val="0"/>
              <w:widowControl w:val="0"/>
              <w:kinsoku/>
              <w:wordWrap/>
              <w:overflowPunct/>
              <w:topLinePunct w:val="0"/>
              <w:autoSpaceDE/>
              <w:autoSpaceDN/>
              <w:bidi w:val="0"/>
              <w:adjustRightInd/>
              <w:snapToGrid/>
              <w:spacing w:line="360" w:lineRule="exact"/>
              <w:ind w:left="112" w:leftChars="0" w:right="185" w:rightChars="0" w:firstLine="3" w:firstLineChars="0"/>
              <w:jc w:val="both"/>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sz w:val="21"/>
                <w:szCs w:val="21"/>
                <w:highlight w:val="none"/>
              </w:rPr>
              <w:t>外电线路与在建工程的设备、构筑物、施工机械等是否保</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1"/>
                <w:sz w:val="21"/>
                <w:szCs w:val="21"/>
                <w:highlight w:val="none"/>
              </w:rPr>
              <w:t>证最小安全距离，是否采取防护隔离措施；外电架空线路</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1"/>
                <w:sz w:val="21"/>
                <w:szCs w:val="21"/>
                <w:highlight w:val="none"/>
              </w:rPr>
              <w:t>正下方是否有施工、作业棚、生活设施或构件、架具、材</w:t>
            </w:r>
          </w:p>
        </w:tc>
        <w:tc>
          <w:tcPr>
            <w:tcW w:w="1230" w:type="dxa"/>
            <w:noWrap w:val="0"/>
            <w:vAlign w:val="top"/>
          </w:tcPr>
          <w:p w14:paraId="736551D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6602C6E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2FC534CE">
            <w:pPr>
              <w:pStyle w:val="42"/>
              <w:keepNext w:val="0"/>
              <w:keepLines w:val="0"/>
              <w:pageBreakBefore w:val="0"/>
              <w:widowControl w:val="0"/>
              <w:kinsoku/>
              <w:wordWrap/>
              <w:overflowPunct/>
              <w:topLinePunct w:val="0"/>
              <w:autoSpaceDE/>
              <w:autoSpaceDN/>
              <w:bidi w:val="0"/>
              <w:adjustRightInd/>
              <w:snapToGrid/>
              <w:spacing w:line="360" w:lineRule="exact"/>
              <w:ind w:left="327"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4"/>
                <w:sz w:val="21"/>
                <w:szCs w:val="21"/>
                <w:highlight w:val="none"/>
              </w:rPr>
              <w:t>10000</w:t>
            </w:r>
          </w:p>
        </w:tc>
      </w:tr>
      <w:tr w14:paraId="20BD9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645" w:type="dxa"/>
            <w:vMerge w:val="continue"/>
            <w:noWrap w:val="0"/>
            <w:vAlign w:val="top"/>
          </w:tcPr>
          <w:p w14:paraId="4C87D105">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60DD5567">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79724075">
            <w:pPr>
              <w:pStyle w:val="42"/>
              <w:keepNext w:val="0"/>
              <w:keepLines w:val="0"/>
              <w:pageBreakBefore w:val="0"/>
              <w:widowControl w:val="0"/>
              <w:kinsoku/>
              <w:wordWrap/>
              <w:overflowPunct/>
              <w:topLinePunct w:val="0"/>
              <w:autoSpaceDE/>
              <w:autoSpaceDN/>
              <w:bidi w:val="0"/>
              <w:adjustRightInd/>
              <w:snapToGrid/>
              <w:spacing w:line="360" w:lineRule="exact"/>
              <w:ind w:left="423" w:leftChars="0" w:right="149" w:rightChars="0" w:hanging="272" w:firstLine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sz w:val="21"/>
                <w:szCs w:val="21"/>
                <w:highlight w:val="none"/>
              </w:rPr>
              <w:t>接零保护及配电</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保护系统</w:t>
            </w:r>
          </w:p>
        </w:tc>
        <w:tc>
          <w:tcPr>
            <w:tcW w:w="6795" w:type="dxa"/>
            <w:noWrap w:val="0"/>
            <w:vAlign w:val="top"/>
          </w:tcPr>
          <w:p w14:paraId="1AC2959C">
            <w:pPr>
              <w:pStyle w:val="42"/>
              <w:keepNext w:val="0"/>
              <w:keepLines w:val="0"/>
              <w:pageBreakBefore w:val="0"/>
              <w:widowControl w:val="0"/>
              <w:kinsoku/>
              <w:wordWrap/>
              <w:overflowPunct/>
              <w:topLinePunct w:val="0"/>
              <w:autoSpaceDE/>
              <w:autoSpaceDN/>
              <w:bidi w:val="0"/>
              <w:adjustRightInd/>
              <w:snapToGrid/>
              <w:spacing w:line="360" w:lineRule="exact"/>
              <w:ind w:left="111" w:leftChars="0" w:right="103" w:righ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sz w:val="21"/>
                <w:szCs w:val="21"/>
                <w:highlight w:val="none"/>
              </w:rPr>
              <w:t>施工现场是否采用</w:t>
            </w:r>
            <w:r>
              <w:rPr>
                <w:rFonts w:hint="eastAsia" w:ascii="宋体" w:hAnsi="宋体" w:eastAsia="宋体" w:cs="宋体"/>
                <w:color w:val="auto"/>
                <w:sz w:val="21"/>
                <w:szCs w:val="21"/>
                <w:highlight w:val="none"/>
              </w:rPr>
              <w:t>TN</w:t>
            </w:r>
            <w:r>
              <w:rPr>
                <w:rFonts w:hint="eastAsia" w:ascii="宋体" w:hAnsi="宋体" w:eastAsia="宋体" w:cs="宋体"/>
                <w:color w:val="auto"/>
                <w:spacing w:val="1"/>
                <w:sz w:val="21"/>
                <w:szCs w:val="21"/>
                <w:highlight w:val="none"/>
              </w:rPr>
              <w:t>-S</w:t>
            </w:r>
            <w:r>
              <w:rPr>
                <w:rFonts w:hint="eastAsia" w:ascii="宋体" w:hAnsi="宋体" w:eastAsia="宋体" w:cs="宋体"/>
                <w:color w:val="auto"/>
                <w:spacing w:val="-41"/>
                <w:sz w:val="21"/>
                <w:szCs w:val="21"/>
                <w:highlight w:val="none"/>
              </w:rPr>
              <w:t xml:space="preserve"> </w:t>
            </w:r>
            <w:r>
              <w:rPr>
                <w:rFonts w:hint="eastAsia" w:ascii="宋体" w:hAnsi="宋体" w:eastAsia="宋体" w:cs="宋体"/>
                <w:color w:val="auto"/>
                <w:spacing w:val="1"/>
                <w:sz w:val="21"/>
                <w:szCs w:val="21"/>
                <w:highlight w:val="none"/>
              </w:rPr>
              <w:t>接零保护系统；接地、防雷、保护</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接零、接地与接地电阻是否符合规范要求</w:t>
            </w:r>
          </w:p>
        </w:tc>
        <w:tc>
          <w:tcPr>
            <w:tcW w:w="1230" w:type="dxa"/>
            <w:noWrap w:val="0"/>
            <w:vAlign w:val="top"/>
          </w:tcPr>
          <w:p w14:paraId="62048C4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0200E324">
            <w:pPr>
              <w:pStyle w:val="42"/>
              <w:keepNext w:val="0"/>
              <w:keepLines w:val="0"/>
              <w:pageBreakBefore w:val="0"/>
              <w:widowControl w:val="0"/>
              <w:kinsoku/>
              <w:wordWrap/>
              <w:overflowPunct/>
              <w:topLinePunct w:val="0"/>
              <w:autoSpaceDE/>
              <w:autoSpaceDN/>
              <w:bidi w:val="0"/>
              <w:adjustRightInd/>
              <w:snapToGrid/>
              <w:spacing w:line="360" w:lineRule="exact"/>
              <w:ind w:left="327"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4"/>
                <w:sz w:val="21"/>
                <w:szCs w:val="21"/>
                <w:highlight w:val="none"/>
              </w:rPr>
              <w:t>10000</w:t>
            </w:r>
          </w:p>
        </w:tc>
      </w:tr>
      <w:tr w14:paraId="4197E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645" w:type="dxa"/>
            <w:vMerge w:val="continue"/>
            <w:noWrap w:val="0"/>
            <w:vAlign w:val="top"/>
          </w:tcPr>
          <w:p w14:paraId="6495DBE1">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55994C51">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5B9C6DD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47205451">
            <w:pPr>
              <w:pStyle w:val="42"/>
              <w:keepNext w:val="0"/>
              <w:keepLines w:val="0"/>
              <w:pageBreakBefore w:val="0"/>
              <w:widowControl w:val="0"/>
              <w:kinsoku/>
              <w:wordWrap/>
              <w:overflowPunct/>
              <w:topLinePunct w:val="0"/>
              <w:autoSpaceDE/>
              <w:autoSpaceDN/>
              <w:bidi w:val="0"/>
              <w:adjustRightInd/>
              <w:snapToGrid/>
              <w:spacing w:line="360" w:lineRule="exact"/>
              <w:ind w:left="242" w:leftChars="0" w:right="149" w:rightChars="0" w:hanging="91" w:firstLine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2"/>
                <w:sz w:val="21"/>
                <w:szCs w:val="21"/>
                <w:highlight w:val="none"/>
              </w:rPr>
              <w:t>三级配电、两级</w:t>
            </w:r>
            <w:r>
              <w:rPr>
                <w:rFonts w:hint="eastAsia" w:ascii="宋体" w:hAnsi="宋体" w:eastAsia="宋体" w:cs="宋体"/>
                <w:color w:val="auto"/>
                <w:spacing w:val="5"/>
                <w:sz w:val="21"/>
                <w:szCs w:val="21"/>
                <w:highlight w:val="none"/>
              </w:rPr>
              <w:t xml:space="preserve"> </w:t>
            </w:r>
            <w:r>
              <w:rPr>
                <w:rFonts w:hint="eastAsia" w:ascii="宋体" w:hAnsi="宋体" w:eastAsia="宋体" w:cs="宋体"/>
                <w:color w:val="auto"/>
                <w:spacing w:val="-2"/>
                <w:sz w:val="21"/>
                <w:szCs w:val="21"/>
                <w:highlight w:val="none"/>
              </w:rPr>
              <w:t>漏电保护系统</w:t>
            </w:r>
          </w:p>
        </w:tc>
        <w:tc>
          <w:tcPr>
            <w:tcW w:w="6795" w:type="dxa"/>
            <w:noWrap w:val="0"/>
            <w:vAlign w:val="top"/>
          </w:tcPr>
          <w:p w14:paraId="6348499A">
            <w:pPr>
              <w:pStyle w:val="42"/>
              <w:keepNext w:val="0"/>
              <w:keepLines w:val="0"/>
              <w:pageBreakBefore w:val="0"/>
              <w:widowControl w:val="0"/>
              <w:kinsoku/>
              <w:wordWrap/>
              <w:overflowPunct/>
              <w:topLinePunct w:val="0"/>
              <w:autoSpaceDE/>
              <w:autoSpaceDN/>
              <w:bidi w:val="0"/>
              <w:adjustRightInd/>
              <w:snapToGrid/>
              <w:spacing w:line="360" w:lineRule="exact"/>
              <w:ind w:left="113" w:leftChars="0" w:right="185" w:rightChars="0" w:firstLine="1" w:firstLineChars="0"/>
              <w:jc w:val="both"/>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sz w:val="21"/>
                <w:szCs w:val="21"/>
                <w:highlight w:val="none"/>
              </w:rPr>
              <w:t>是否采用三级配电、两级漏电保护系统；配电室及总配电</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pacing w:val="-1"/>
                <w:sz w:val="21"/>
                <w:szCs w:val="21"/>
                <w:highlight w:val="none"/>
              </w:rPr>
              <w:t>箱，总、分配电箱和开关箱的安装及维护是否符合规范要</w:t>
            </w:r>
            <w:r>
              <w:rPr>
                <w:rFonts w:hint="eastAsia" w:ascii="宋体" w:hAnsi="宋体" w:eastAsia="宋体" w:cs="宋体"/>
                <w:color w:val="auto"/>
                <w:spacing w:val="15"/>
                <w:sz w:val="21"/>
                <w:szCs w:val="21"/>
                <w:highlight w:val="none"/>
              </w:rPr>
              <w:t xml:space="preserve"> </w:t>
            </w:r>
            <w:r>
              <w:rPr>
                <w:rFonts w:hint="eastAsia" w:ascii="宋体" w:hAnsi="宋体" w:eastAsia="宋体" w:cs="宋体"/>
                <w:color w:val="auto"/>
                <w:spacing w:val="-2"/>
                <w:sz w:val="21"/>
                <w:szCs w:val="21"/>
                <w:highlight w:val="none"/>
              </w:rPr>
              <w:t>求；是否违反“一机、一闸、一漏、一箱、一锁</w:t>
            </w:r>
            <w:r>
              <w:rPr>
                <w:rFonts w:hint="eastAsia" w:ascii="宋体" w:hAnsi="宋体" w:eastAsia="宋体" w:cs="宋体"/>
                <w:color w:val="auto"/>
                <w:spacing w:val="-50"/>
                <w:sz w:val="21"/>
                <w:szCs w:val="21"/>
                <w:highlight w:val="none"/>
              </w:rPr>
              <w:t xml:space="preserve"> </w:t>
            </w:r>
            <w:r>
              <w:rPr>
                <w:rFonts w:hint="eastAsia" w:ascii="宋体" w:hAnsi="宋体" w:eastAsia="宋体" w:cs="宋体"/>
                <w:color w:val="auto"/>
                <w:spacing w:val="-2"/>
                <w:sz w:val="21"/>
                <w:szCs w:val="21"/>
                <w:highlight w:val="none"/>
              </w:rPr>
              <w:t>”；每台</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用电设备是否有专用开关箱，是否有“一闸多用</w:t>
            </w:r>
            <w:r>
              <w:rPr>
                <w:rFonts w:hint="eastAsia" w:ascii="宋体" w:hAnsi="宋体" w:eastAsia="宋体" w:cs="宋体"/>
                <w:color w:val="auto"/>
                <w:spacing w:val="-52"/>
                <w:sz w:val="21"/>
                <w:szCs w:val="21"/>
                <w:highlight w:val="none"/>
              </w:rPr>
              <w:t xml:space="preserve"> </w:t>
            </w:r>
            <w:r>
              <w:rPr>
                <w:rFonts w:hint="eastAsia" w:ascii="宋体" w:hAnsi="宋体" w:eastAsia="宋体" w:cs="宋体"/>
                <w:color w:val="auto"/>
                <w:spacing w:val="-2"/>
                <w:sz w:val="21"/>
                <w:szCs w:val="21"/>
                <w:highlight w:val="none"/>
              </w:rPr>
              <w:t>”现象</w:t>
            </w:r>
          </w:p>
        </w:tc>
        <w:tc>
          <w:tcPr>
            <w:tcW w:w="1230" w:type="dxa"/>
            <w:noWrap w:val="0"/>
            <w:vAlign w:val="top"/>
          </w:tcPr>
          <w:p w14:paraId="72C67F3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73F3842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46D9A4A1">
            <w:pPr>
              <w:pStyle w:val="42"/>
              <w:keepNext w:val="0"/>
              <w:keepLines w:val="0"/>
              <w:pageBreakBefore w:val="0"/>
              <w:widowControl w:val="0"/>
              <w:kinsoku/>
              <w:wordWrap/>
              <w:overflowPunct/>
              <w:topLinePunct w:val="0"/>
              <w:autoSpaceDE/>
              <w:autoSpaceDN/>
              <w:bidi w:val="0"/>
              <w:adjustRightInd/>
              <w:snapToGrid/>
              <w:spacing w:line="360" w:lineRule="exact"/>
              <w:ind w:left="363"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3"/>
                <w:sz w:val="21"/>
                <w:szCs w:val="21"/>
                <w:highlight w:val="none"/>
              </w:rPr>
              <w:t>5000</w:t>
            </w:r>
          </w:p>
        </w:tc>
      </w:tr>
      <w:tr w14:paraId="3C43F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5" w:type="dxa"/>
            <w:vMerge w:val="continue"/>
            <w:noWrap w:val="0"/>
            <w:vAlign w:val="top"/>
          </w:tcPr>
          <w:p w14:paraId="0CB66FF2">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5CE47A20">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733C2B9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541C14E2">
            <w:pPr>
              <w:pStyle w:val="42"/>
              <w:keepNext w:val="0"/>
              <w:keepLines w:val="0"/>
              <w:pageBreakBefore w:val="0"/>
              <w:widowControl w:val="0"/>
              <w:kinsoku/>
              <w:wordWrap/>
              <w:overflowPunct/>
              <w:topLinePunct w:val="0"/>
              <w:autoSpaceDE/>
              <w:autoSpaceDN/>
              <w:bidi w:val="0"/>
              <w:adjustRightInd/>
              <w:snapToGrid/>
              <w:spacing w:line="360" w:lineRule="exact"/>
              <w:ind w:left="422"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2"/>
                <w:sz w:val="21"/>
                <w:szCs w:val="21"/>
                <w:highlight w:val="none"/>
              </w:rPr>
              <w:t>配电线路</w:t>
            </w:r>
          </w:p>
        </w:tc>
        <w:tc>
          <w:tcPr>
            <w:tcW w:w="6795" w:type="dxa"/>
            <w:noWrap w:val="0"/>
            <w:vAlign w:val="top"/>
          </w:tcPr>
          <w:p w14:paraId="45133868">
            <w:pPr>
              <w:pStyle w:val="42"/>
              <w:keepNext w:val="0"/>
              <w:keepLines w:val="0"/>
              <w:pageBreakBefore w:val="0"/>
              <w:widowControl w:val="0"/>
              <w:kinsoku/>
              <w:wordWrap/>
              <w:overflowPunct/>
              <w:topLinePunct w:val="0"/>
              <w:autoSpaceDE/>
              <w:autoSpaceDN/>
              <w:bidi w:val="0"/>
              <w:adjustRightInd/>
              <w:snapToGrid/>
              <w:spacing w:line="360" w:lineRule="exact"/>
              <w:ind w:left="113" w:leftChars="0" w:right="185" w:rightChars="0" w:firstLine="19" w:firstLineChars="0"/>
              <w:jc w:val="both"/>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sz w:val="21"/>
                <w:szCs w:val="21"/>
                <w:highlight w:val="none"/>
              </w:rPr>
              <w:t>电缆芯线是否根据用电设备的负荷及相数、线</w:t>
            </w:r>
            <w:r>
              <w:rPr>
                <w:rFonts w:hint="eastAsia" w:ascii="宋体" w:hAnsi="宋体" w:eastAsia="宋体" w:cs="宋体"/>
                <w:color w:val="auto"/>
                <w:spacing w:val="-2"/>
                <w:sz w:val="21"/>
                <w:szCs w:val="21"/>
                <w:highlight w:val="none"/>
              </w:rPr>
              <w:t>数确定；电</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缆线路的架空或埋地敷设是否符合规范要求；室内配线及</w:t>
            </w:r>
            <w:r>
              <w:rPr>
                <w:rFonts w:hint="eastAsia" w:ascii="宋体" w:hAnsi="宋体" w:eastAsia="宋体" w:cs="宋体"/>
                <w:color w:val="auto"/>
                <w:spacing w:val="15"/>
                <w:sz w:val="21"/>
                <w:szCs w:val="21"/>
                <w:highlight w:val="none"/>
              </w:rPr>
              <w:t xml:space="preserve"> </w:t>
            </w:r>
            <w:r>
              <w:rPr>
                <w:rFonts w:hint="eastAsia" w:ascii="宋体" w:hAnsi="宋体" w:eastAsia="宋体" w:cs="宋体"/>
                <w:color w:val="auto"/>
                <w:spacing w:val="-1"/>
                <w:sz w:val="21"/>
                <w:szCs w:val="21"/>
                <w:highlight w:val="none"/>
              </w:rPr>
              <w:t>用电是否符合规范要求</w:t>
            </w:r>
          </w:p>
        </w:tc>
        <w:tc>
          <w:tcPr>
            <w:tcW w:w="1230" w:type="dxa"/>
            <w:noWrap w:val="0"/>
            <w:vAlign w:val="top"/>
          </w:tcPr>
          <w:p w14:paraId="2FF69DA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700F9BA3">
            <w:pPr>
              <w:pStyle w:val="42"/>
              <w:keepNext w:val="0"/>
              <w:keepLines w:val="0"/>
              <w:pageBreakBefore w:val="0"/>
              <w:widowControl w:val="0"/>
              <w:kinsoku/>
              <w:wordWrap/>
              <w:overflowPunct/>
              <w:topLinePunct w:val="0"/>
              <w:autoSpaceDE/>
              <w:autoSpaceDN/>
              <w:bidi w:val="0"/>
              <w:adjustRightInd/>
              <w:snapToGrid/>
              <w:spacing w:line="360" w:lineRule="exact"/>
              <w:ind w:left="363"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3"/>
                <w:sz w:val="21"/>
                <w:szCs w:val="21"/>
                <w:highlight w:val="none"/>
              </w:rPr>
              <w:t>5000</w:t>
            </w:r>
          </w:p>
        </w:tc>
      </w:tr>
      <w:tr w14:paraId="7A348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5" w:type="dxa"/>
            <w:vMerge w:val="continue"/>
            <w:noWrap w:val="0"/>
            <w:vAlign w:val="top"/>
          </w:tcPr>
          <w:p w14:paraId="598BFC83">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586B1129">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6D6C255D">
            <w:pPr>
              <w:pStyle w:val="42"/>
              <w:keepNext w:val="0"/>
              <w:keepLines w:val="0"/>
              <w:pageBreakBefore w:val="0"/>
              <w:widowControl w:val="0"/>
              <w:kinsoku/>
              <w:wordWrap/>
              <w:overflowPunct/>
              <w:topLinePunct w:val="0"/>
              <w:autoSpaceDE/>
              <w:autoSpaceDN/>
              <w:bidi w:val="0"/>
              <w:adjustRightInd/>
              <w:snapToGrid/>
              <w:spacing w:line="360" w:lineRule="exact"/>
              <w:ind w:left="452"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0"/>
                <w:sz w:val="21"/>
                <w:szCs w:val="21"/>
                <w:highlight w:val="none"/>
              </w:rPr>
              <w:t>自备电源</w:t>
            </w:r>
          </w:p>
        </w:tc>
        <w:tc>
          <w:tcPr>
            <w:tcW w:w="6795" w:type="dxa"/>
            <w:noWrap w:val="0"/>
            <w:vAlign w:val="top"/>
          </w:tcPr>
          <w:p w14:paraId="2A8534EE">
            <w:pPr>
              <w:pStyle w:val="42"/>
              <w:keepNext w:val="0"/>
              <w:keepLines w:val="0"/>
              <w:pageBreakBefore w:val="0"/>
              <w:widowControl w:val="0"/>
              <w:kinsoku/>
              <w:wordWrap/>
              <w:overflowPunct/>
              <w:topLinePunct w:val="0"/>
              <w:autoSpaceDE/>
              <w:autoSpaceDN/>
              <w:bidi w:val="0"/>
              <w:adjustRightInd/>
              <w:snapToGrid/>
              <w:spacing w:line="360" w:lineRule="exact"/>
              <w:ind w:left="114"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sz w:val="21"/>
                <w:szCs w:val="21"/>
                <w:highlight w:val="none"/>
              </w:rPr>
              <w:t>发电机组使用及维护是否符合规范要求</w:t>
            </w:r>
          </w:p>
        </w:tc>
        <w:tc>
          <w:tcPr>
            <w:tcW w:w="1230" w:type="dxa"/>
            <w:noWrap w:val="0"/>
            <w:vAlign w:val="top"/>
          </w:tcPr>
          <w:p w14:paraId="2AE8B960">
            <w:pPr>
              <w:pStyle w:val="42"/>
              <w:keepNext w:val="0"/>
              <w:keepLines w:val="0"/>
              <w:pageBreakBefore w:val="0"/>
              <w:widowControl w:val="0"/>
              <w:kinsoku/>
              <w:wordWrap/>
              <w:overflowPunct/>
              <w:topLinePunct w:val="0"/>
              <w:autoSpaceDE/>
              <w:autoSpaceDN/>
              <w:bidi w:val="0"/>
              <w:adjustRightInd/>
              <w:snapToGrid/>
              <w:spacing w:line="360" w:lineRule="exact"/>
              <w:ind w:left="361"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3"/>
                <w:sz w:val="21"/>
                <w:szCs w:val="21"/>
                <w:highlight w:val="none"/>
              </w:rPr>
              <w:t>2000</w:t>
            </w:r>
          </w:p>
        </w:tc>
      </w:tr>
      <w:tr w14:paraId="0035C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5" w:type="dxa"/>
            <w:vMerge w:val="continue"/>
            <w:noWrap w:val="0"/>
            <w:vAlign w:val="top"/>
          </w:tcPr>
          <w:p w14:paraId="5F87E58C">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1229FCE3">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7FEBCA6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1A7B046E">
            <w:pPr>
              <w:pStyle w:val="42"/>
              <w:keepNext w:val="0"/>
              <w:keepLines w:val="0"/>
              <w:pageBreakBefore w:val="0"/>
              <w:widowControl w:val="0"/>
              <w:kinsoku/>
              <w:wordWrap/>
              <w:overflowPunct/>
              <w:topLinePunct w:val="0"/>
              <w:autoSpaceDE/>
              <w:autoSpaceDN/>
              <w:bidi w:val="0"/>
              <w:adjustRightInd/>
              <w:snapToGrid/>
              <w:spacing w:line="360" w:lineRule="exact"/>
              <w:ind w:left="155"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2"/>
                <w:sz w:val="21"/>
                <w:szCs w:val="21"/>
                <w:highlight w:val="none"/>
              </w:rPr>
              <w:t>安全电压及照明</w:t>
            </w:r>
          </w:p>
        </w:tc>
        <w:tc>
          <w:tcPr>
            <w:tcW w:w="6795" w:type="dxa"/>
            <w:noWrap w:val="0"/>
            <w:vAlign w:val="top"/>
          </w:tcPr>
          <w:p w14:paraId="4868A02D">
            <w:pPr>
              <w:pStyle w:val="42"/>
              <w:keepNext w:val="0"/>
              <w:keepLines w:val="0"/>
              <w:pageBreakBefore w:val="0"/>
              <w:widowControl w:val="0"/>
              <w:kinsoku/>
              <w:wordWrap/>
              <w:overflowPunct/>
              <w:topLinePunct w:val="0"/>
              <w:autoSpaceDE/>
              <w:autoSpaceDN/>
              <w:bidi w:val="0"/>
              <w:adjustRightInd/>
              <w:snapToGrid/>
              <w:spacing w:line="360" w:lineRule="exact"/>
              <w:ind w:left="112" w:leftChars="0" w:right="185" w:rightChars="0"/>
              <w:jc w:val="both"/>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sz w:val="21"/>
                <w:szCs w:val="21"/>
                <w:highlight w:val="none"/>
              </w:rPr>
              <w:t>特殊场所及条件下是否合理使用安全特低电压照明；夜间</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1"/>
                <w:sz w:val="21"/>
                <w:szCs w:val="21"/>
                <w:highlight w:val="none"/>
              </w:rPr>
              <w:t>影响飞机和车辆通行的在建工程及机械设备是否按照规范</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1"/>
                <w:sz w:val="21"/>
                <w:szCs w:val="21"/>
                <w:highlight w:val="none"/>
              </w:rPr>
              <w:t>要求设置红色信号灯及应急自备电源措施</w:t>
            </w:r>
          </w:p>
        </w:tc>
        <w:tc>
          <w:tcPr>
            <w:tcW w:w="1230" w:type="dxa"/>
            <w:noWrap w:val="0"/>
            <w:vAlign w:val="top"/>
          </w:tcPr>
          <w:p w14:paraId="14DB66C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32618AE3">
            <w:pPr>
              <w:pStyle w:val="42"/>
              <w:keepNext w:val="0"/>
              <w:keepLines w:val="0"/>
              <w:pageBreakBefore w:val="0"/>
              <w:widowControl w:val="0"/>
              <w:kinsoku/>
              <w:wordWrap/>
              <w:overflowPunct/>
              <w:topLinePunct w:val="0"/>
              <w:autoSpaceDE/>
              <w:autoSpaceDN/>
              <w:bidi w:val="0"/>
              <w:adjustRightInd/>
              <w:snapToGrid/>
              <w:spacing w:line="360" w:lineRule="exact"/>
              <w:ind w:left="363"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3"/>
                <w:sz w:val="21"/>
                <w:szCs w:val="21"/>
                <w:highlight w:val="none"/>
              </w:rPr>
              <w:t>5000</w:t>
            </w:r>
          </w:p>
        </w:tc>
      </w:tr>
      <w:tr w14:paraId="503AD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5" w:type="dxa"/>
            <w:vMerge w:val="continue"/>
            <w:noWrap w:val="0"/>
            <w:vAlign w:val="top"/>
          </w:tcPr>
          <w:p w14:paraId="04413641">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44E0917B">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60C302F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70C2442A">
            <w:pPr>
              <w:pStyle w:val="42"/>
              <w:keepNext w:val="0"/>
              <w:keepLines w:val="0"/>
              <w:pageBreakBefore w:val="0"/>
              <w:widowControl w:val="0"/>
              <w:kinsoku/>
              <w:wordWrap/>
              <w:overflowPunct/>
              <w:topLinePunct w:val="0"/>
              <w:autoSpaceDE/>
              <w:autoSpaceDN/>
              <w:bidi w:val="0"/>
              <w:adjustRightInd/>
              <w:snapToGrid/>
              <w:spacing w:line="360" w:lineRule="exact"/>
              <w:ind w:left="424"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3"/>
                <w:sz w:val="21"/>
                <w:szCs w:val="21"/>
                <w:highlight w:val="none"/>
              </w:rPr>
              <w:t>用电设备</w:t>
            </w:r>
          </w:p>
        </w:tc>
        <w:tc>
          <w:tcPr>
            <w:tcW w:w="6795" w:type="dxa"/>
            <w:noWrap w:val="0"/>
            <w:vAlign w:val="top"/>
          </w:tcPr>
          <w:p w14:paraId="7F166546">
            <w:pPr>
              <w:pStyle w:val="42"/>
              <w:keepNext w:val="0"/>
              <w:keepLines w:val="0"/>
              <w:pageBreakBefore w:val="0"/>
              <w:widowControl w:val="0"/>
              <w:kinsoku/>
              <w:wordWrap/>
              <w:overflowPunct/>
              <w:topLinePunct w:val="0"/>
              <w:autoSpaceDE/>
              <w:autoSpaceDN/>
              <w:bidi w:val="0"/>
              <w:adjustRightInd/>
              <w:snapToGrid/>
              <w:spacing w:line="360" w:lineRule="exact"/>
              <w:ind w:left="112" w:leftChars="0" w:right="185" w:rightChars="0"/>
              <w:jc w:val="both"/>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sz w:val="21"/>
                <w:szCs w:val="21"/>
                <w:highlight w:val="none"/>
              </w:rPr>
              <w:t>手持电动工具、水泵、交流电焊机、施工升降机、塔式起</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1"/>
                <w:sz w:val="21"/>
                <w:szCs w:val="21"/>
                <w:highlight w:val="none"/>
              </w:rPr>
              <w:t>重机等用电机具、机械是否按照规范要求用电；是否采用</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1"/>
                <w:sz w:val="21"/>
                <w:szCs w:val="21"/>
                <w:highlight w:val="none"/>
              </w:rPr>
              <w:t>手动双向转换开关作为控制电器</w:t>
            </w:r>
          </w:p>
        </w:tc>
        <w:tc>
          <w:tcPr>
            <w:tcW w:w="1230" w:type="dxa"/>
            <w:noWrap w:val="0"/>
            <w:vAlign w:val="top"/>
          </w:tcPr>
          <w:p w14:paraId="7423F75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127021F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39F95406">
            <w:pPr>
              <w:pStyle w:val="42"/>
              <w:keepNext w:val="0"/>
              <w:keepLines w:val="0"/>
              <w:pageBreakBefore w:val="0"/>
              <w:widowControl w:val="0"/>
              <w:kinsoku/>
              <w:wordWrap/>
              <w:overflowPunct/>
              <w:topLinePunct w:val="0"/>
              <w:autoSpaceDE/>
              <w:autoSpaceDN/>
              <w:bidi w:val="0"/>
              <w:adjustRightInd/>
              <w:snapToGrid/>
              <w:spacing w:line="360" w:lineRule="exact"/>
              <w:ind w:left="363"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3"/>
                <w:sz w:val="21"/>
                <w:szCs w:val="21"/>
                <w:highlight w:val="none"/>
              </w:rPr>
              <w:t>5000</w:t>
            </w:r>
          </w:p>
        </w:tc>
      </w:tr>
      <w:tr w14:paraId="28538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5" w:type="dxa"/>
            <w:vMerge w:val="continue"/>
            <w:noWrap w:val="0"/>
            <w:vAlign w:val="top"/>
          </w:tcPr>
          <w:p w14:paraId="176252F1">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41161787">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1B426CC2">
            <w:pPr>
              <w:pStyle w:val="42"/>
              <w:keepNext w:val="0"/>
              <w:keepLines w:val="0"/>
              <w:pageBreakBefore w:val="0"/>
              <w:widowControl w:val="0"/>
              <w:kinsoku/>
              <w:wordWrap/>
              <w:overflowPunct/>
              <w:topLinePunct w:val="0"/>
              <w:autoSpaceDE/>
              <w:autoSpaceDN/>
              <w:bidi w:val="0"/>
              <w:adjustRightInd/>
              <w:snapToGrid/>
              <w:spacing w:line="360" w:lineRule="exact"/>
              <w:ind w:left="427"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3"/>
                <w:sz w:val="21"/>
                <w:szCs w:val="21"/>
                <w:highlight w:val="none"/>
              </w:rPr>
              <w:t>带电作业</w:t>
            </w:r>
          </w:p>
        </w:tc>
        <w:tc>
          <w:tcPr>
            <w:tcW w:w="6795" w:type="dxa"/>
            <w:noWrap w:val="0"/>
            <w:vAlign w:val="top"/>
          </w:tcPr>
          <w:p w14:paraId="2D0CDCE5">
            <w:pPr>
              <w:pStyle w:val="42"/>
              <w:keepNext w:val="0"/>
              <w:keepLines w:val="0"/>
              <w:pageBreakBefore w:val="0"/>
              <w:widowControl w:val="0"/>
              <w:kinsoku/>
              <w:wordWrap/>
              <w:overflowPunct/>
              <w:topLinePunct w:val="0"/>
              <w:autoSpaceDE/>
              <w:autoSpaceDN/>
              <w:bidi w:val="0"/>
              <w:adjustRightInd/>
              <w:snapToGrid/>
              <w:spacing w:line="360" w:lineRule="exact"/>
              <w:ind w:left="116"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sz w:val="21"/>
                <w:szCs w:val="21"/>
                <w:highlight w:val="none"/>
              </w:rPr>
              <w:t>带电作业是否实施有效防护</w:t>
            </w:r>
          </w:p>
        </w:tc>
        <w:tc>
          <w:tcPr>
            <w:tcW w:w="1230" w:type="dxa"/>
            <w:noWrap w:val="0"/>
            <w:vAlign w:val="top"/>
          </w:tcPr>
          <w:p w14:paraId="2EA81F89">
            <w:pPr>
              <w:pStyle w:val="42"/>
              <w:keepNext w:val="0"/>
              <w:keepLines w:val="0"/>
              <w:pageBreakBefore w:val="0"/>
              <w:widowControl w:val="0"/>
              <w:kinsoku/>
              <w:wordWrap/>
              <w:overflowPunct/>
              <w:topLinePunct w:val="0"/>
              <w:autoSpaceDE/>
              <w:autoSpaceDN/>
              <w:bidi w:val="0"/>
              <w:adjustRightInd/>
              <w:snapToGrid/>
              <w:spacing w:line="360" w:lineRule="exact"/>
              <w:ind w:left="363"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3"/>
                <w:sz w:val="21"/>
                <w:szCs w:val="21"/>
                <w:highlight w:val="none"/>
              </w:rPr>
              <w:t>5000</w:t>
            </w:r>
          </w:p>
        </w:tc>
      </w:tr>
      <w:tr w14:paraId="0A8A3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5" w:type="dxa"/>
            <w:vMerge w:val="continue"/>
            <w:noWrap w:val="0"/>
            <w:vAlign w:val="top"/>
          </w:tcPr>
          <w:p w14:paraId="7F85943E">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1410E83F">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19F565CA">
            <w:pPr>
              <w:pStyle w:val="42"/>
              <w:keepNext w:val="0"/>
              <w:keepLines w:val="0"/>
              <w:pageBreakBefore w:val="0"/>
              <w:widowControl w:val="0"/>
              <w:kinsoku/>
              <w:wordWrap/>
              <w:overflowPunct/>
              <w:topLinePunct w:val="0"/>
              <w:autoSpaceDE/>
              <w:autoSpaceDN/>
              <w:bidi w:val="0"/>
              <w:adjustRightInd/>
              <w:snapToGrid/>
              <w:spacing w:line="360" w:lineRule="exact"/>
              <w:ind w:left="422"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2"/>
                <w:sz w:val="21"/>
                <w:szCs w:val="21"/>
                <w:highlight w:val="none"/>
              </w:rPr>
              <w:t>违章作业</w:t>
            </w:r>
          </w:p>
        </w:tc>
        <w:tc>
          <w:tcPr>
            <w:tcW w:w="6795" w:type="dxa"/>
            <w:noWrap w:val="0"/>
            <w:vAlign w:val="top"/>
          </w:tcPr>
          <w:p w14:paraId="244C68AC">
            <w:pPr>
              <w:pStyle w:val="42"/>
              <w:keepNext w:val="0"/>
              <w:keepLines w:val="0"/>
              <w:pageBreakBefore w:val="0"/>
              <w:widowControl w:val="0"/>
              <w:kinsoku/>
              <w:wordWrap/>
              <w:overflowPunct/>
              <w:topLinePunct w:val="0"/>
              <w:autoSpaceDE/>
              <w:autoSpaceDN/>
              <w:bidi w:val="0"/>
              <w:adjustRightInd/>
              <w:snapToGrid/>
              <w:spacing w:line="360" w:lineRule="exact"/>
              <w:ind w:left="114"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2"/>
                <w:sz w:val="21"/>
                <w:szCs w:val="21"/>
                <w:highlight w:val="none"/>
              </w:rPr>
              <w:t>非电工接电作业</w:t>
            </w:r>
          </w:p>
        </w:tc>
        <w:tc>
          <w:tcPr>
            <w:tcW w:w="1230" w:type="dxa"/>
            <w:noWrap w:val="0"/>
            <w:vAlign w:val="top"/>
          </w:tcPr>
          <w:p w14:paraId="1A53CDCE">
            <w:pPr>
              <w:pStyle w:val="42"/>
              <w:keepNext w:val="0"/>
              <w:keepLines w:val="0"/>
              <w:pageBreakBefore w:val="0"/>
              <w:widowControl w:val="0"/>
              <w:kinsoku/>
              <w:wordWrap/>
              <w:overflowPunct/>
              <w:topLinePunct w:val="0"/>
              <w:autoSpaceDE/>
              <w:autoSpaceDN/>
              <w:bidi w:val="0"/>
              <w:adjustRightInd/>
              <w:snapToGrid/>
              <w:spacing w:line="360" w:lineRule="exact"/>
              <w:ind w:left="327"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4"/>
                <w:sz w:val="21"/>
                <w:szCs w:val="21"/>
                <w:highlight w:val="none"/>
              </w:rPr>
              <w:t>10000</w:t>
            </w:r>
          </w:p>
        </w:tc>
      </w:tr>
      <w:tr w14:paraId="5FEE0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5" w:type="dxa"/>
            <w:vMerge w:val="continue"/>
            <w:noWrap w:val="0"/>
            <w:vAlign w:val="top"/>
          </w:tcPr>
          <w:p w14:paraId="4372C835">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00FBC8A9">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5A3278B3">
            <w:pPr>
              <w:pStyle w:val="42"/>
              <w:keepNext w:val="0"/>
              <w:keepLines w:val="0"/>
              <w:pageBreakBefore w:val="0"/>
              <w:widowControl w:val="0"/>
              <w:kinsoku/>
              <w:wordWrap/>
              <w:overflowPunct/>
              <w:topLinePunct w:val="0"/>
              <w:autoSpaceDE/>
              <w:autoSpaceDN/>
              <w:bidi w:val="0"/>
              <w:adjustRightInd/>
              <w:snapToGrid/>
              <w:spacing w:line="360" w:lineRule="exact"/>
              <w:ind w:left="155"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2"/>
                <w:sz w:val="21"/>
                <w:szCs w:val="21"/>
                <w:highlight w:val="none"/>
              </w:rPr>
              <w:t>办公、生活用电</w:t>
            </w:r>
          </w:p>
        </w:tc>
        <w:tc>
          <w:tcPr>
            <w:tcW w:w="6795" w:type="dxa"/>
            <w:noWrap w:val="0"/>
            <w:vAlign w:val="top"/>
          </w:tcPr>
          <w:p w14:paraId="6505A0CD">
            <w:pPr>
              <w:pStyle w:val="42"/>
              <w:keepNext w:val="0"/>
              <w:keepLines w:val="0"/>
              <w:pageBreakBefore w:val="0"/>
              <w:widowControl w:val="0"/>
              <w:kinsoku/>
              <w:wordWrap/>
              <w:overflowPunct/>
              <w:topLinePunct w:val="0"/>
              <w:autoSpaceDE/>
              <w:autoSpaceDN/>
              <w:bidi w:val="0"/>
              <w:adjustRightInd/>
              <w:snapToGrid/>
              <w:spacing w:line="360" w:lineRule="exact"/>
              <w:ind w:left="112" w:leftChars="0" w:right="185" w:rightChars="0" w:firstLine="3" w:firstLine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sz w:val="21"/>
                <w:szCs w:val="21"/>
                <w:highlight w:val="none"/>
              </w:rPr>
              <w:t>办公、生活用房和职工宿舍是否在进线处按照规范要求安</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1"/>
                <w:sz w:val="21"/>
                <w:szCs w:val="21"/>
                <w:highlight w:val="none"/>
              </w:rPr>
              <w:t>装电源箱、漏电保护器和限流保护器</w:t>
            </w:r>
          </w:p>
        </w:tc>
        <w:tc>
          <w:tcPr>
            <w:tcW w:w="1230" w:type="dxa"/>
            <w:noWrap w:val="0"/>
            <w:vAlign w:val="top"/>
          </w:tcPr>
          <w:p w14:paraId="0429F93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214521AA">
            <w:pPr>
              <w:pStyle w:val="42"/>
              <w:keepNext w:val="0"/>
              <w:keepLines w:val="0"/>
              <w:pageBreakBefore w:val="0"/>
              <w:widowControl w:val="0"/>
              <w:kinsoku/>
              <w:wordWrap/>
              <w:overflowPunct/>
              <w:topLinePunct w:val="0"/>
              <w:autoSpaceDE/>
              <w:autoSpaceDN/>
              <w:bidi w:val="0"/>
              <w:adjustRightInd/>
              <w:snapToGrid/>
              <w:spacing w:line="360" w:lineRule="exact"/>
              <w:ind w:left="363"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3"/>
                <w:sz w:val="21"/>
                <w:szCs w:val="21"/>
                <w:highlight w:val="none"/>
              </w:rPr>
              <w:t>5000</w:t>
            </w:r>
          </w:p>
        </w:tc>
      </w:tr>
      <w:tr w14:paraId="7FE58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5" w:type="dxa"/>
            <w:vMerge w:val="restart"/>
            <w:noWrap w:val="0"/>
            <w:vAlign w:val="top"/>
          </w:tcPr>
          <w:p w14:paraId="277F63B2">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510" w:type="dxa"/>
            <w:vMerge w:val="restart"/>
            <w:noWrap w:val="0"/>
            <w:vAlign w:val="top"/>
          </w:tcPr>
          <w:p w14:paraId="36281926">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起重机械吊装</w:t>
            </w:r>
          </w:p>
        </w:tc>
        <w:tc>
          <w:tcPr>
            <w:tcW w:w="1350" w:type="dxa"/>
            <w:noWrap w:val="0"/>
            <w:vAlign w:val="top"/>
          </w:tcPr>
          <w:p w14:paraId="3640F6D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36DBB689">
            <w:pPr>
              <w:pStyle w:val="42"/>
              <w:keepNext w:val="0"/>
              <w:keepLines w:val="0"/>
              <w:pageBreakBefore w:val="0"/>
              <w:widowControl w:val="0"/>
              <w:kinsoku/>
              <w:wordWrap/>
              <w:overflowPunct/>
              <w:topLinePunct w:val="0"/>
              <w:autoSpaceDE/>
              <w:autoSpaceDN/>
              <w:bidi w:val="0"/>
              <w:adjustRightInd/>
              <w:snapToGrid/>
              <w:spacing w:line="360" w:lineRule="exact"/>
              <w:ind w:left="422" w:leftChars="0"/>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相关单位</w:t>
            </w:r>
          </w:p>
        </w:tc>
        <w:tc>
          <w:tcPr>
            <w:tcW w:w="6795" w:type="dxa"/>
            <w:noWrap w:val="0"/>
            <w:vAlign w:val="top"/>
          </w:tcPr>
          <w:p w14:paraId="7C51699E">
            <w:pPr>
              <w:pStyle w:val="42"/>
              <w:keepNext w:val="0"/>
              <w:keepLines w:val="0"/>
              <w:pageBreakBefore w:val="0"/>
              <w:widowControl w:val="0"/>
              <w:kinsoku/>
              <w:wordWrap/>
              <w:overflowPunct/>
              <w:topLinePunct w:val="0"/>
              <w:autoSpaceDE/>
              <w:autoSpaceDN/>
              <w:bidi w:val="0"/>
              <w:adjustRightInd/>
              <w:snapToGrid/>
              <w:spacing w:line="360" w:lineRule="exact"/>
              <w:ind w:left="117" w:leftChars="0" w:right="185" w:rightChars="0" w:hanging="4" w:firstLineChars="0"/>
              <w:textAlignment w:val="auto"/>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租赁（提供）单位是否有相关资质或安全生产许可证，是</w:t>
            </w:r>
            <w:r>
              <w:rPr>
                <w:rFonts w:hint="eastAsia" w:ascii="宋体" w:hAnsi="宋体" w:eastAsia="宋体" w:cs="宋体"/>
                <w:color w:val="auto"/>
                <w:spacing w:val="15"/>
                <w:sz w:val="21"/>
                <w:szCs w:val="21"/>
                <w:highlight w:val="none"/>
              </w:rPr>
              <w:t xml:space="preserve"> </w:t>
            </w:r>
            <w:r>
              <w:rPr>
                <w:rFonts w:hint="eastAsia" w:ascii="宋体" w:hAnsi="宋体" w:eastAsia="宋体" w:cs="宋体"/>
                <w:color w:val="auto"/>
                <w:spacing w:val="-1"/>
                <w:sz w:val="21"/>
                <w:szCs w:val="21"/>
                <w:highlight w:val="none"/>
              </w:rPr>
              <w:t>否登记备案；检验检测机构是否具有相应资质</w:t>
            </w:r>
          </w:p>
        </w:tc>
        <w:tc>
          <w:tcPr>
            <w:tcW w:w="1230" w:type="dxa"/>
            <w:noWrap w:val="0"/>
            <w:vAlign w:val="top"/>
          </w:tcPr>
          <w:p w14:paraId="240A47D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4E477CD0">
            <w:pPr>
              <w:pStyle w:val="42"/>
              <w:keepNext w:val="0"/>
              <w:keepLines w:val="0"/>
              <w:pageBreakBefore w:val="0"/>
              <w:widowControl w:val="0"/>
              <w:kinsoku/>
              <w:wordWrap/>
              <w:overflowPunct/>
              <w:topLinePunct w:val="0"/>
              <w:autoSpaceDE/>
              <w:autoSpaceDN/>
              <w:bidi w:val="0"/>
              <w:adjustRightInd/>
              <w:snapToGrid/>
              <w:spacing w:line="360" w:lineRule="exact"/>
              <w:ind w:left="327" w:leftChars="0"/>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pacing w:val="-4"/>
                <w:sz w:val="21"/>
                <w:szCs w:val="21"/>
                <w:highlight w:val="none"/>
              </w:rPr>
              <w:t>10000</w:t>
            </w:r>
          </w:p>
        </w:tc>
      </w:tr>
      <w:tr w14:paraId="1CDCE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5" w:type="dxa"/>
            <w:vMerge w:val="continue"/>
            <w:noWrap w:val="0"/>
            <w:vAlign w:val="top"/>
          </w:tcPr>
          <w:p w14:paraId="6A169AEF">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5F01C13C">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34A275A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781B1DFE">
            <w:pPr>
              <w:pStyle w:val="42"/>
              <w:keepNext w:val="0"/>
              <w:keepLines w:val="0"/>
              <w:pageBreakBefore w:val="0"/>
              <w:widowControl w:val="0"/>
              <w:kinsoku/>
              <w:wordWrap/>
              <w:overflowPunct/>
              <w:topLinePunct w:val="0"/>
              <w:autoSpaceDE/>
              <w:autoSpaceDN/>
              <w:bidi w:val="0"/>
              <w:adjustRightInd/>
              <w:snapToGrid/>
              <w:spacing w:line="360" w:lineRule="exact"/>
              <w:ind w:left="422" w:leftChars="0"/>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检查验收</w:t>
            </w:r>
          </w:p>
        </w:tc>
        <w:tc>
          <w:tcPr>
            <w:tcW w:w="6795" w:type="dxa"/>
            <w:noWrap w:val="0"/>
            <w:vAlign w:val="top"/>
          </w:tcPr>
          <w:p w14:paraId="4F4A2F67">
            <w:pPr>
              <w:pStyle w:val="42"/>
              <w:keepNext w:val="0"/>
              <w:keepLines w:val="0"/>
              <w:pageBreakBefore w:val="0"/>
              <w:widowControl w:val="0"/>
              <w:kinsoku/>
              <w:wordWrap/>
              <w:overflowPunct/>
              <w:topLinePunct w:val="0"/>
              <w:autoSpaceDE/>
              <w:autoSpaceDN/>
              <w:bidi w:val="0"/>
              <w:adjustRightInd/>
              <w:snapToGrid/>
              <w:spacing w:line="360" w:lineRule="exact"/>
              <w:ind w:left="112" w:leftChars="0" w:right="43" w:rightChars="0"/>
              <w:jc w:val="both"/>
              <w:textAlignment w:val="auto"/>
              <w:rPr>
                <w:rFonts w:hint="eastAsia" w:ascii="宋体" w:hAnsi="宋体" w:eastAsia="宋体" w:cs="宋体"/>
                <w:color w:val="auto"/>
                <w:spacing w:val="-1"/>
                <w:sz w:val="21"/>
                <w:szCs w:val="21"/>
                <w:highlight w:val="none"/>
              </w:rPr>
            </w:pPr>
            <w:r>
              <w:rPr>
                <w:rFonts w:hint="eastAsia" w:ascii="宋体" w:hAnsi="宋体" w:eastAsia="宋体" w:cs="宋体"/>
                <w:color w:val="auto"/>
                <w:spacing w:val="-2"/>
                <w:sz w:val="21"/>
                <w:szCs w:val="21"/>
                <w:highlight w:val="none"/>
              </w:rPr>
              <w:t>汽车吊等起重机械进场是否验收合格；各总成件、零部件、</w:t>
            </w:r>
            <w:r>
              <w:rPr>
                <w:rFonts w:hint="eastAsia" w:ascii="宋体" w:hAnsi="宋体" w:eastAsia="宋体" w:cs="宋体"/>
                <w:color w:val="auto"/>
                <w:spacing w:val="5"/>
                <w:sz w:val="21"/>
                <w:szCs w:val="21"/>
                <w:highlight w:val="none"/>
              </w:rPr>
              <w:t xml:space="preserve"> </w:t>
            </w:r>
            <w:r>
              <w:rPr>
                <w:rFonts w:hint="eastAsia" w:ascii="宋体" w:hAnsi="宋体" w:eastAsia="宋体" w:cs="宋体"/>
                <w:color w:val="auto"/>
                <w:spacing w:val="-2"/>
                <w:sz w:val="21"/>
                <w:szCs w:val="21"/>
                <w:highlight w:val="none"/>
              </w:rPr>
              <w:t>附件及附属装置是否齐全完整、灵敏可靠；吊钩、钢丝绳、</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1"/>
                <w:sz w:val="21"/>
                <w:szCs w:val="21"/>
                <w:highlight w:val="none"/>
              </w:rPr>
              <w:t>卷筒和滑轮、制动器和制动轮、接（卸）料平台、吊篮机</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1"/>
                <w:sz w:val="21"/>
                <w:szCs w:val="21"/>
                <w:highlight w:val="none"/>
              </w:rPr>
              <w:t>构等是否符合相关规范要求；验收合格的起重机械是否挂</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3"/>
                <w:sz w:val="21"/>
                <w:szCs w:val="21"/>
                <w:highlight w:val="none"/>
              </w:rPr>
              <w:t>牌施工</w:t>
            </w:r>
          </w:p>
        </w:tc>
        <w:tc>
          <w:tcPr>
            <w:tcW w:w="1230" w:type="dxa"/>
            <w:noWrap w:val="0"/>
            <w:vAlign w:val="top"/>
          </w:tcPr>
          <w:p w14:paraId="3FEF8B8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621F22F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2999E87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7EC07E30">
            <w:pPr>
              <w:pStyle w:val="42"/>
              <w:keepNext w:val="0"/>
              <w:keepLines w:val="0"/>
              <w:pageBreakBefore w:val="0"/>
              <w:widowControl w:val="0"/>
              <w:kinsoku/>
              <w:wordWrap/>
              <w:overflowPunct/>
              <w:topLinePunct w:val="0"/>
              <w:autoSpaceDE/>
              <w:autoSpaceDN/>
              <w:bidi w:val="0"/>
              <w:adjustRightInd/>
              <w:snapToGrid/>
              <w:spacing w:line="360" w:lineRule="exact"/>
              <w:ind w:left="327" w:leftChars="0"/>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pacing w:val="-4"/>
                <w:sz w:val="21"/>
                <w:szCs w:val="21"/>
                <w:highlight w:val="none"/>
              </w:rPr>
              <w:t>10000</w:t>
            </w:r>
          </w:p>
        </w:tc>
      </w:tr>
      <w:tr w14:paraId="1C9F6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5" w:type="dxa"/>
            <w:vMerge w:val="continue"/>
            <w:noWrap w:val="0"/>
            <w:vAlign w:val="top"/>
          </w:tcPr>
          <w:p w14:paraId="7BB94CAA">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5B8F1C2D">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2D2917F8">
            <w:pPr>
              <w:pStyle w:val="42"/>
              <w:keepNext w:val="0"/>
              <w:keepLines w:val="0"/>
              <w:pageBreakBefore w:val="0"/>
              <w:widowControl w:val="0"/>
              <w:kinsoku/>
              <w:wordWrap/>
              <w:overflowPunct/>
              <w:topLinePunct w:val="0"/>
              <w:autoSpaceDE/>
              <w:autoSpaceDN/>
              <w:bidi w:val="0"/>
              <w:adjustRightInd/>
              <w:snapToGrid/>
              <w:spacing w:line="360" w:lineRule="exact"/>
              <w:ind w:left="468" w:leftChars="0"/>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4"/>
                <w:sz w:val="21"/>
                <w:szCs w:val="21"/>
                <w:highlight w:val="none"/>
              </w:rPr>
              <w:t>基</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4"/>
                <w:sz w:val="21"/>
                <w:szCs w:val="21"/>
                <w:highlight w:val="none"/>
              </w:rPr>
              <w:t>础</w:t>
            </w:r>
          </w:p>
        </w:tc>
        <w:tc>
          <w:tcPr>
            <w:tcW w:w="6795" w:type="dxa"/>
            <w:noWrap w:val="0"/>
            <w:vAlign w:val="top"/>
          </w:tcPr>
          <w:p w14:paraId="1B9077E8">
            <w:pPr>
              <w:pStyle w:val="42"/>
              <w:keepNext w:val="0"/>
              <w:keepLines w:val="0"/>
              <w:pageBreakBefore w:val="0"/>
              <w:widowControl w:val="0"/>
              <w:kinsoku/>
              <w:wordWrap/>
              <w:overflowPunct/>
              <w:topLinePunct w:val="0"/>
              <w:autoSpaceDE/>
              <w:autoSpaceDN/>
              <w:bidi w:val="0"/>
              <w:adjustRightInd/>
              <w:snapToGrid/>
              <w:spacing w:line="360" w:lineRule="exact"/>
              <w:ind w:left="114" w:leftChars="0" w:right="185" w:rightChars="0" w:hanging="2" w:firstLineChars="0"/>
              <w:textAlignment w:val="auto"/>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地基承载力或铺垫措施是否符合要求；基础原材和基础施</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2"/>
                <w:sz w:val="21"/>
                <w:szCs w:val="21"/>
                <w:highlight w:val="none"/>
              </w:rPr>
              <w:t>工是否符合相关标准</w:t>
            </w:r>
          </w:p>
        </w:tc>
        <w:tc>
          <w:tcPr>
            <w:tcW w:w="1230" w:type="dxa"/>
            <w:noWrap w:val="0"/>
            <w:vAlign w:val="top"/>
          </w:tcPr>
          <w:p w14:paraId="35B8D6E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2B3FA73E">
            <w:pPr>
              <w:pStyle w:val="42"/>
              <w:keepNext w:val="0"/>
              <w:keepLines w:val="0"/>
              <w:pageBreakBefore w:val="0"/>
              <w:widowControl w:val="0"/>
              <w:kinsoku/>
              <w:wordWrap/>
              <w:overflowPunct/>
              <w:topLinePunct w:val="0"/>
              <w:autoSpaceDE/>
              <w:autoSpaceDN/>
              <w:bidi w:val="0"/>
              <w:adjustRightInd/>
              <w:snapToGrid/>
              <w:spacing w:line="360" w:lineRule="exact"/>
              <w:ind w:left="327" w:leftChars="0"/>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pacing w:val="-4"/>
                <w:sz w:val="21"/>
                <w:szCs w:val="21"/>
                <w:highlight w:val="none"/>
              </w:rPr>
              <w:t>10000</w:t>
            </w:r>
          </w:p>
        </w:tc>
      </w:tr>
      <w:tr w14:paraId="1B9AF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5" w:type="dxa"/>
            <w:vMerge w:val="continue"/>
            <w:noWrap w:val="0"/>
            <w:vAlign w:val="top"/>
          </w:tcPr>
          <w:p w14:paraId="6318FE4E">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026DEF2C">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6E1C3291">
            <w:pPr>
              <w:pStyle w:val="42"/>
              <w:keepNext w:val="0"/>
              <w:keepLines w:val="0"/>
              <w:pageBreakBefore w:val="0"/>
              <w:widowControl w:val="0"/>
              <w:kinsoku/>
              <w:wordWrap/>
              <w:overflowPunct/>
              <w:topLinePunct w:val="0"/>
              <w:autoSpaceDE/>
              <w:autoSpaceDN/>
              <w:bidi w:val="0"/>
              <w:adjustRightInd/>
              <w:snapToGrid/>
              <w:spacing w:line="360" w:lineRule="exact"/>
              <w:ind w:left="468" w:leftChars="0"/>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4"/>
                <w:sz w:val="21"/>
                <w:szCs w:val="21"/>
                <w:highlight w:val="none"/>
              </w:rPr>
              <w:t>基</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4"/>
                <w:sz w:val="21"/>
                <w:szCs w:val="21"/>
                <w:highlight w:val="none"/>
              </w:rPr>
              <w:t>坑</w:t>
            </w:r>
          </w:p>
        </w:tc>
        <w:tc>
          <w:tcPr>
            <w:tcW w:w="6795" w:type="dxa"/>
            <w:noWrap w:val="0"/>
            <w:vAlign w:val="top"/>
          </w:tcPr>
          <w:p w14:paraId="347351E7">
            <w:pPr>
              <w:pStyle w:val="42"/>
              <w:keepNext w:val="0"/>
              <w:keepLines w:val="0"/>
              <w:pageBreakBefore w:val="0"/>
              <w:widowControl w:val="0"/>
              <w:kinsoku/>
              <w:wordWrap/>
              <w:overflowPunct/>
              <w:topLinePunct w:val="0"/>
              <w:autoSpaceDE/>
              <w:autoSpaceDN/>
              <w:bidi w:val="0"/>
              <w:adjustRightInd/>
              <w:snapToGrid/>
              <w:spacing w:line="360" w:lineRule="exact"/>
              <w:ind w:left="112" w:leftChars="0"/>
              <w:textAlignment w:val="auto"/>
              <w:rPr>
                <w:rFonts w:hint="eastAsia" w:ascii="宋体" w:hAnsi="宋体" w:eastAsia="宋体" w:cs="宋体"/>
                <w:color w:val="auto"/>
                <w:spacing w:val="-1"/>
                <w:sz w:val="21"/>
                <w:szCs w:val="21"/>
                <w:highlight w:val="none"/>
              </w:rPr>
            </w:pPr>
            <w:r>
              <w:rPr>
                <w:rFonts w:hint="eastAsia" w:ascii="宋体" w:hAnsi="宋体" w:eastAsia="宋体" w:cs="宋体"/>
                <w:color w:val="auto"/>
                <w:spacing w:val="-2"/>
                <w:sz w:val="21"/>
                <w:szCs w:val="21"/>
                <w:highlight w:val="none"/>
              </w:rPr>
              <w:t>基坑是否积水</w:t>
            </w:r>
          </w:p>
        </w:tc>
        <w:tc>
          <w:tcPr>
            <w:tcW w:w="1230" w:type="dxa"/>
            <w:noWrap w:val="0"/>
            <w:vAlign w:val="top"/>
          </w:tcPr>
          <w:p w14:paraId="41277EDA">
            <w:pPr>
              <w:pStyle w:val="42"/>
              <w:keepNext w:val="0"/>
              <w:keepLines w:val="0"/>
              <w:pageBreakBefore w:val="0"/>
              <w:widowControl w:val="0"/>
              <w:kinsoku/>
              <w:wordWrap/>
              <w:overflowPunct/>
              <w:topLinePunct w:val="0"/>
              <w:autoSpaceDE/>
              <w:autoSpaceDN/>
              <w:bidi w:val="0"/>
              <w:adjustRightInd/>
              <w:snapToGrid/>
              <w:spacing w:line="360" w:lineRule="exact"/>
              <w:ind w:left="363" w:leftChars="0"/>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pacing w:val="-3"/>
                <w:sz w:val="21"/>
                <w:szCs w:val="21"/>
                <w:highlight w:val="none"/>
              </w:rPr>
              <w:t>5000</w:t>
            </w:r>
          </w:p>
        </w:tc>
      </w:tr>
      <w:tr w14:paraId="3DE63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5" w:type="dxa"/>
            <w:vMerge w:val="continue"/>
            <w:noWrap w:val="0"/>
            <w:vAlign w:val="top"/>
          </w:tcPr>
          <w:p w14:paraId="6814196F">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6D788F65">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380B429E">
            <w:pPr>
              <w:pStyle w:val="42"/>
              <w:keepNext w:val="0"/>
              <w:keepLines w:val="0"/>
              <w:pageBreakBefore w:val="0"/>
              <w:widowControl w:val="0"/>
              <w:kinsoku/>
              <w:wordWrap/>
              <w:overflowPunct/>
              <w:topLinePunct w:val="0"/>
              <w:autoSpaceDE/>
              <w:autoSpaceDN/>
              <w:bidi w:val="0"/>
              <w:adjustRightInd/>
              <w:snapToGrid/>
              <w:spacing w:line="360" w:lineRule="exact"/>
              <w:ind w:left="335" w:leftChars="0"/>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3"/>
                <w:sz w:val="21"/>
                <w:szCs w:val="21"/>
                <w:highlight w:val="none"/>
              </w:rPr>
              <w:t>安拆、验收</w:t>
            </w:r>
          </w:p>
        </w:tc>
        <w:tc>
          <w:tcPr>
            <w:tcW w:w="6795" w:type="dxa"/>
            <w:noWrap w:val="0"/>
            <w:vAlign w:val="top"/>
          </w:tcPr>
          <w:p w14:paraId="54356BBD">
            <w:pPr>
              <w:pStyle w:val="42"/>
              <w:keepNext w:val="0"/>
              <w:keepLines w:val="0"/>
              <w:pageBreakBefore w:val="0"/>
              <w:widowControl w:val="0"/>
              <w:kinsoku/>
              <w:wordWrap/>
              <w:overflowPunct/>
              <w:topLinePunct w:val="0"/>
              <w:autoSpaceDE/>
              <w:autoSpaceDN/>
              <w:bidi w:val="0"/>
              <w:adjustRightInd/>
              <w:snapToGrid/>
              <w:spacing w:line="360" w:lineRule="exact"/>
              <w:ind w:left="112" w:leftChars="0" w:right="185" w:rightChars="0" w:firstLine="21" w:firstLineChars="0"/>
              <w:jc w:val="both"/>
              <w:textAlignment w:val="auto"/>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吊装设备搭设、拆除作业是否规范；设备安拆</w:t>
            </w:r>
            <w:r>
              <w:rPr>
                <w:rFonts w:hint="eastAsia" w:ascii="宋体" w:hAnsi="宋体" w:eastAsia="宋体" w:cs="宋体"/>
                <w:color w:val="auto"/>
                <w:spacing w:val="-2"/>
                <w:sz w:val="21"/>
                <w:szCs w:val="21"/>
                <w:highlight w:val="none"/>
              </w:rPr>
              <w:t>告知、检测</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检验和联合验收等手续是否齐全；检测检验和验收是否合</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z w:val="21"/>
                <w:szCs w:val="21"/>
                <w:highlight w:val="none"/>
              </w:rPr>
              <w:t>格</w:t>
            </w:r>
          </w:p>
        </w:tc>
        <w:tc>
          <w:tcPr>
            <w:tcW w:w="1230" w:type="dxa"/>
            <w:noWrap w:val="0"/>
            <w:vAlign w:val="top"/>
          </w:tcPr>
          <w:p w14:paraId="7758989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0D81BF7A">
            <w:pPr>
              <w:pStyle w:val="42"/>
              <w:keepNext w:val="0"/>
              <w:keepLines w:val="0"/>
              <w:pageBreakBefore w:val="0"/>
              <w:widowControl w:val="0"/>
              <w:kinsoku/>
              <w:wordWrap/>
              <w:overflowPunct/>
              <w:topLinePunct w:val="0"/>
              <w:autoSpaceDE/>
              <w:autoSpaceDN/>
              <w:bidi w:val="0"/>
              <w:adjustRightInd/>
              <w:snapToGrid/>
              <w:spacing w:line="360" w:lineRule="exact"/>
              <w:ind w:left="327" w:leftChars="0"/>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pacing w:val="-4"/>
                <w:sz w:val="21"/>
                <w:szCs w:val="21"/>
                <w:highlight w:val="none"/>
              </w:rPr>
              <w:t>10000</w:t>
            </w:r>
          </w:p>
        </w:tc>
      </w:tr>
      <w:tr w14:paraId="16956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5" w:type="dxa"/>
            <w:vMerge w:val="continue"/>
            <w:noWrap w:val="0"/>
            <w:vAlign w:val="top"/>
          </w:tcPr>
          <w:p w14:paraId="609A99ED">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152D323F">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082DD6B1">
            <w:pPr>
              <w:pStyle w:val="42"/>
              <w:keepNext w:val="0"/>
              <w:keepLines w:val="0"/>
              <w:pageBreakBefore w:val="0"/>
              <w:widowControl w:val="0"/>
              <w:kinsoku/>
              <w:wordWrap/>
              <w:overflowPunct/>
              <w:topLinePunct w:val="0"/>
              <w:autoSpaceDE/>
              <w:autoSpaceDN/>
              <w:bidi w:val="0"/>
              <w:adjustRightInd/>
              <w:snapToGrid/>
              <w:spacing w:line="360" w:lineRule="exact"/>
              <w:ind w:left="471"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5"/>
                <w:sz w:val="21"/>
                <w:szCs w:val="21"/>
                <w:highlight w:val="none"/>
              </w:rPr>
              <w:t>维</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5"/>
                <w:sz w:val="21"/>
                <w:szCs w:val="21"/>
                <w:highlight w:val="none"/>
              </w:rPr>
              <w:t>保</w:t>
            </w:r>
          </w:p>
        </w:tc>
        <w:tc>
          <w:tcPr>
            <w:tcW w:w="6795" w:type="dxa"/>
            <w:noWrap w:val="0"/>
            <w:vAlign w:val="top"/>
          </w:tcPr>
          <w:p w14:paraId="6EBAB94D">
            <w:pPr>
              <w:pStyle w:val="42"/>
              <w:keepNext w:val="0"/>
              <w:keepLines w:val="0"/>
              <w:pageBreakBefore w:val="0"/>
              <w:widowControl w:val="0"/>
              <w:kinsoku/>
              <w:wordWrap/>
              <w:overflowPunct/>
              <w:topLinePunct w:val="0"/>
              <w:autoSpaceDE/>
              <w:autoSpaceDN/>
              <w:bidi w:val="0"/>
              <w:adjustRightInd/>
              <w:snapToGrid/>
              <w:spacing w:line="360" w:lineRule="exact"/>
              <w:ind w:left="114"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sz w:val="21"/>
                <w:szCs w:val="21"/>
                <w:highlight w:val="none"/>
              </w:rPr>
              <w:t>是否有维保合同，是否按规定定期维护保养并有相应记录</w:t>
            </w:r>
          </w:p>
        </w:tc>
        <w:tc>
          <w:tcPr>
            <w:tcW w:w="1230" w:type="dxa"/>
            <w:noWrap w:val="0"/>
            <w:vAlign w:val="top"/>
          </w:tcPr>
          <w:p w14:paraId="569D019E">
            <w:pPr>
              <w:pStyle w:val="42"/>
              <w:keepNext w:val="0"/>
              <w:keepLines w:val="0"/>
              <w:pageBreakBefore w:val="0"/>
              <w:widowControl w:val="0"/>
              <w:kinsoku/>
              <w:wordWrap/>
              <w:overflowPunct/>
              <w:topLinePunct w:val="0"/>
              <w:autoSpaceDE/>
              <w:autoSpaceDN/>
              <w:bidi w:val="0"/>
              <w:adjustRightInd/>
              <w:snapToGrid/>
              <w:spacing w:line="360" w:lineRule="exact"/>
              <w:ind w:left="327"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4"/>
                <w:sz w:val="21"/>
                <w:szCs w:val="21"/>
                <w:highlight w:val="none"/>
              </w:rPr>
              <w:t>10000</w:t>
            </w:r>
          </w:p>
        </w:tc>
      </w:tr>
      <w:tr w14:paraId="5EE0D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5" w:type="dxa"/>
            <w:vMerge w:val="continue"/>
            <w:noWrap w:val="0"/>
            <w:vAlign w:val="top"/>
          </w:tcPr>
          <w:p w14:paraId="76ADF3C5">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1957C410">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7BE0853C">
            <w:pPr>
              <w:pStyle w:val="42"/>
              <w:keepNext w:val="0"/>
              <w:keepLines w:val="0"/>
              <w:pageBreakBefore w:val="0"/>
              <w:widowControl w:val="0"/>
              <w:kinsoku/>
              <w:wordWrap/>
              <w:overflowPunct/>
              <w:topLinePunct w:val="0"/>
              <w:autoSpaceDE/>
              <w:autoSpaceDN/>
              <w:bidi w:val="0"/>
              <w:adjustRightInd/>
              <w:snapToGrid/>
              <w:spacing w:line="360" w:lineRule="exact"/>
              <w:ind w:left="431"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4"/>
                <w:sz w:val="21"/>
                <w:szCs w:val="21"/>
                <w:highlight w:val="none"/>
              </w:rPr>
              <w:t>多塔作业</w:t>
            </w:r>
          </w:p>
        </w:tc>
        <w:tc>
          <w:tcPr>
            <w:tcW w:w="6795" w:type="dxa"/>
            <w:noWrap w:val="0"/>
            <w:vAlign w:val="top"/>
          </w:tcPr>
          <w:p w14:paraId="53241D12">
            <w:pPr>
              <w:pStyle w:val="42"/>
              <w:keepNext w:val="0"/>
              <w:keepLines w:val="0"/>
              <w:pageBreakBefore w:val="0"/>
              <w:widowControl w:val="0"/>
              <w:kinsoku/>
              <w:wordWrap/>
              <w:overflowPunct/>
              <w:topLinePunct w:val="0"/>
              <w:autoSpaceDE/>
              <w:autoSpaceDN/>
              <w:bidi w:val="0"/>
              <w:adjustRightInd/>
              <w:snapToGrid/>
              <w:spacing w:line="360" w:lineRule="exact"/>
              <w:ind w:left="120"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sz w:val="21"/>
                <w:szCs w:val="21"/>
                <w:highlight w:val="none"/>
              </w:rPr>
              <w:t>多塔作业安全距离是否符合规范要求</w:t>
            </w:r>
          </w:p>
        </w:tc>
        <w:tc>
          <w:tcPr>
            <w:tcW w:w="1230" w:type="dxa"/>
            <w:noWrap w:val="0"/>
            <w:vAlign w:val="top"/>
          </w:tcPr>
          <w:p w14:paraId="1B7A0BD4">
            <w:pPr>
              <w:pStyle w:val="42"/>
              <w:keepNext w:val="0"/>
              <w:keepLines w:val="0"/>
              <w:pageBreakBefore w:val="0"/>
              <w:widowControl w:val="0"/>
              <w:kinsoku/>
              <w:wordWrap/>
              <w:overflowPunct/>
              <w:topLinePunct w:val="0"/>
              <w:autoSpaceDE/>
              <w:autoSpaceDN/>
              <w:bidi w:val="0"/>
              <w:adjustRightInd/>
              <w:snapToGrid/>
              <w:spacing w:line="360" w:lineRule="exact"/>
              <w:ind w:left="327"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4"/>
                <w:sz w:val="21"/>
                <w:szCs w:val="21"/>
                <w:highlight w:val="none"/>
              </w:rPr>
              <w:t>10000</w:t>
            </w:r>
          </w:p>
        </w:tc>
      </w:tr>
      <w:tr w14:paraId="3793C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5" w:type="dxa"/>
            <w:vMerge w:val="continue"/>
            <w:noWrap w:val="0"/>
            <w:vAlign w:val="top"/>
          </w:tcPr>
          <w:p w14:paraId="063222D3">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0056F485">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59FA06F4">
            <w:pPr>
              <w:pStyle w:val="42"/>
              <w:keepNext w:val="0"/>
              <w:keepLines w:val="0"/>
              <w:pageBreakBefore w:val="0"/>
              <w:widowControl w:val="0"/>
              <w:kinsoku/>
              <w:wordWrap/>
              <w:overflowPunct/>
              <w:topLinePunct w:val="0"/>
              <w:autoSpaceDE/>
              <w:autoSpaceDN/>
              <w:bidi w:val="0"/>
              <w:adjustRightInd/>
              <w:snapToGrid/>
              <w:spacing w:line="360" w:lineRule="exact"/>
              <w:ind w:left="423"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2"/>
                <w:sz w:val="21"/>
                <w:szCs w:val="21"/>
                <w:highlight w:val="none"/>
              </w:rPr>
              <w:t>起重作业</w:t>
            </w:r>
          </w:p>
        </w:tc>
        <w:tc>
          <w:tcPr>
            <w:tcW w:w="6795" w:type="dxa"/>
            <w:noWrap w:val="0"/>
            <w:vAlign w:val="top"/>
          </w:tcPr>
          <w:p w14:paraId="3885DA39">
            <w:pPr>
              <w:pStyle w:val="42"/>
              <w:keepNext w:val="0"/>
              <w:keepLines w:val="0"/>
              <w:pageBreakBefore w:val="0"/>
              <w:widowControl w:val="0"/>
              <w:kinsoku/>
              <w:wordWrap/>
              <w:overflowPunct/>
              <w:topLinePunct w:val="0"/>
              <w:autoSpaceDE/>
              <w:autoSpaceDN/>
              <w:bidi w:val="0"/>
              <w:adjustRightInd/>
              <w:snapToGrid/>
              <w:spacing w:line="360" w:lineRule="exact"/>
              <w:ind w:left="112" w:leftChars="0" w:right="185" w:rightChars="0"/>
              <w:jc w:val="both"/>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sz w:val="21"/>
                <w:szCs w:val="21"/>
                <w:highlight w:val="none"/>
              </w:rPr>
              <w:t>起重过程中是否有专人指挥，是否信号不明；起重机架梁</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1"/>
                <w:sz w:val="21"/>
                <w:szCs w:val="21"/>
                <w:highlight w:val="none"/>
              </w:rPr>
              <w:t>时作业半径和高度范围内是否有障碍物；吊钩、吊具是否</w:t>
            </w:r>
            <w:r>
              <w:rPr>
                <w:rFonts w:hint="eastAsia" w:ascii="宋体" w:hAnsi="宋体" w:eastAsia="宋体" w:cs="宋体"/>
                <w:color w:val="auto"/>
                <w:spacing w:val="15"/>
                <w:sz w:val="21"/>
                <w:szCs w:val="21"/>
                <w:highlight w:val="none"/>
              </w:rPr>
              <w:t xml:space="preserve"> </w:t>
            </w:r>
            <w:r>
              <w:rPr>
                <w:rFonts w:hint="eastAsia" w:ascii="宋体" w:hAnsi="宋体" w:eastAsia="宋体" w:cs="宋体"/>
                <w:color w:val="auto"/>
                <w:spacing w:val="-2"/>
                <w:sz w:val="21"/>
                <w:szCs w:val="21"/>
                <w:highlight w:val="none"/>
              </w:rPr>
              <w:t>符合规范要求</w:t>
            </w:r>
          </w:p>
        </w:tc>
        <w:tc>
          <w:tcPr>
            <w:tcW w:w="1230" w:type="dxa"/>
            <w:noWrap w:val="0"/>
            <w:vAlign w:val="top"/>
          </w:tcPr>
          <w:p w14:paraId="58547CD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78BD8A82">
            <w:pPr>
              <w:pStyle w:val="42"/>
              <w:keepNext w:val="0"/>
              <w:keepLines w:val="0"/>
              <w:pageBreakBefore w:val="0"/>
              <w:widowControl w:val="0"/>
              <w:kinsoku/>
              <w:wordWrap/>
              <w:overflowPunct/>
              <w:topLinePunct w:val="0"/>
              <w:autoSpaceDE/>
              <w:autoSpaceDN/>
              <w:bidi w:val="0"/>
              <w:adjustRightInd/>
              <w:snapToGrid/>
              <w:spacing w:line="360" w:lineRule="exact"/>
              <w:ind w:left="327"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4"/>
                <w:sz w:val="21"/>
                <w:szCs w:val="21"/>
                <w:highlight w:val="none"/>
              </w:rPr>
              <w:t>10000</w:t>
            </w:r>
          </w:p>
        </w:tc>
      </w:tr>
      <w:tr w14:paraId="3DC87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5" w:type="dxa"/>
            <w:vMerge w:val="continue"/>
            <w:noWrap w:val="0"/>
            <w:vAlign w:val="top"/>
          </w:tcPr>
          <w:p w14:paraId="4A1F1E5B">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16E6D232">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497D6716">
            <w:pPr>
              <w:pStyle w:val="42"/>
              <w:keepNext w:val="0"/>
              <w:keepLines w:val="0"/>
              <w:pageBreakBefore w:val="0"/>
              <w:widowControl w:val="0"/>
              <w:kinsoku/>
              <w:wordWrap/>
              <w:overflowPunct/>
              <w:topLinePunct w:val="0"/>
              <w:autoSpaceDE/>
              <w:autoSpaceDN/>
              <w:bidi w:val="0"/>
              <w:adjustRightInd/>
              <w:snapToGrid/>
              <w:spacing w:line="360" w:lineRule="exact"/>
              <w:ind w:left="426"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3"/>
                <w:sz w:val="21"/>
                <w:szCs w:val="21"/>
                <w:highlight w:val="none"/>
              </w:rPr>
              <w:t>安全防护</w:t>
            </w:r>
          </w:p>
        </w:tc>
        <w:tc>
          <w:tcPr>
            <w:tcW w:w="6795" w:type="dxa"/>
            <w:noWrap w:val="0"/>
            <w:vAlign w:val="top"/>
          </w:tcPr>
          <w:p w14:paraId="78BA62D9">
            <w:pPr>
              <w:pStyle w:val="42"/>
              <w:keepNext w:val="0"/>
              <w:keepLines w:val="0"/>
              <w:pageBreakBefore w:val="0"/>
              <w:widowControl w:val="0"/>
              <w:kinsoku/>
              <w:wordWrap/>
              <w:overflowPunct/>
              <w:topLinePunct w:val="0"/>
              <w:autoSpaceDE/>
              <w:autoSpaceDN/>
              <w:bidi w:val="0"/>
              <w:adjustRightInd/>
              <w:snapToGrid/>
              <w:spacing w:line="360" w:lineRule="exact"/>
              <w:ind w:left="114" w:leftChars="0" w:right="185" w:righ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sz w:val="21"/>
                <w:szCs w:val="21"/>
                <w:highlight w:val="none"/>
              </w:rPr>
              <w:t>安全限位及保险装置是否损坏或失效；操作范围是否设置</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3"/>
                <w:sz w:val="21"/>
                <w:szCs w:val="21"/>
                <w:highlight w:val="none"/>
              </w:rPr>
              <w:t>警示标志</w:t>
            </w:r>
          </w:p>
        </w:tc>
        <w:tc>
          <w:tcPr>
            <w:tcW w:w="1230" w:type="dxa"/>
            <w:noWrap w:val="0"/>
            <w:vAlign w:val="top"/>
          </w:tcPr>
          <w:p w14:paraId="1E8710E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6F229212">
            <w:pPr>
              <w:pStyle w:val="42"/>
              <w:keepNext w:val="0"/>
              <w:keepLines w:val="0"/>
              <w:pageBreakBefore w:val="0"/>
              <w:widowControl w:val="0"/>
              <w:kinsoku/>
              <w:wordWrap/>
              <w:overflowPunct/>
              <w:topLinePunct w:val="0"/>
              <w:autoSpaceDE/>
              <w:autoSpaceDN/>
              <w:bidi w:val="0"/>
              <w:adjustRightInd/>
              <w:snapToGrid/>
              <w:spacing w:line="360" w:lineRule="exact"/>
              <w:ind w:left="327" w:left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4"/>
                <w:sz w:val="21"/>
                <w:szCs w:val="21"/>
                <w:highlight w:val="none"/>
              </w:rPr>
              <w:t>10000</w:t>
            </w:r>
          </w:p>
        </w:tc>
      </w:tr>
      <w:tr w14:paraId="2DF08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5" w:type="dxa"/>
            <w:vMerge w:val="restart"/>
            <w:noWrap w:val="0"/>
            <w:vAlign w:val="top"/>
          </w:tcPr>
          <w:p w14:paraId="49FE160B">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510" w:type="dxa"/>
            <w:vMerge w:val="restart"/>
            <w:noWrap w:val="0"/>
            <w:vAlign w:val="top"/>
          </w:tcPr>
          <w:p w14:paraId="5810858D">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5"/>
                <w:sz w:val="21"/>
                <w:szCs w:val="21"/>
                <w:highlight w:val="none"/>
              </w:rPr>
              <w:t>现场</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消防</w:t>
            </w:r>
          </w:p>
        </w:tc>
        <w:tc>
          <w:tcPr>
            <w:tcW w:w="1350" w:type="dxa"/>
            <w:noWrap w:val="0"/>
            <w:vAlign w:val="top"/>
          </w:tcPr>
          <w:p w14:paraId="59474BC1">
            <w:pPr>
              <w:pStyle w:val="42"/>
              <w:keepNext w:val="0"/>
              <w:keepLines w:val="0"/>
              <w:pageBreakBefore w:val="0"/>
              <w:widowControl w:val="0"/>
              <w:kinsoku/>
              <w:wordWrap/>
              <w:overflowPunct/>
              <w:topLinePunct w:val="0"/>
              <w:autoSpaceDE/>
              <w:autoSpaceDN/>
              <w:bidi w:val="0"/>
              <w:adjustRightInd/>
              <w:snapToGrid/>
              <w:spacing w:line="360" w:lineRule="exact"/>
              <w:ind w:left="422" w:leftChars="0"/>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基本要求</w:t>
            </w:r>
          </w:p>
        </w:tc>
        <w:tc>
          <w:tcPr>
            <w:tcW w:w="6795" w:type="dxa"/>
            <w:noWrap w:val="0"/>
            <w:vAlign w:val="top"/>
          </w:tcPr>
          <w:p w14:paraId="7DB76118">
            <w:pPr>
              <w:pStyle w:val="42"/>
              <w:keepNext w:val="0"/>
              <w:keepLines w:val="0"/>
              <w:pageBreakBefore w:val="0"/>
              <w:widowControl w:val="0"/>
              <w:kinsoku/>
              <w:wordWrap/>
              <w:overflowPunct/>
              <w:topLinePunct w:val="0"/>
              <w:autoSpaceDE/>
              <w:autoSpaceDN/>
              <w:bidi w:val="0"/>
              <w:adjustRightInd/>
              <w:snapToGrid/>
              <w:spacing w:line="360" w:lineRule="exact"/>
              <w:ind w:left="112" w:leftChars="0" w:right="185" w:rightChars="0" w:firstLine="2" w:firstLineChars="0"/>
              <w:textAlignment w:val="auto"/>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是否设置消防通道、消防水源；配备的灭火器材数量是否</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pacing w:val="-1"/>
                <w:sz w:val="21"/>
                <w:szCs w:val="21"/>
                <w:highlight w:val="none"/>
              </w:rPr>
              <w:t>满足规范要求，是否欠压失效</w:t>
            </w:r>
          </w:p>
        </w:tc>
        <w:tc>
          <w:tcPr>
            <w:tcW w:w="1230" w:type="dxa"/>
            <w:noWrap w:val="0"/>
            <w:vAlign w:val="top"/>
          </w:tcPr>
          <w:p w14:paraId="70DD961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2FAE7AA3">
            <w:pPr>
              <w:pStyle w:val="42"/>
              <w:keepNext w:val="0"/>
              <w:keepLines w:val="0"/>
              <w:pageBreakBefore w:val="0"/>
              <w:widowControl w:val="0"/>
              <w:kinsoku/>
              <w:wordWrap/>
              <w:overflowPunct/>
              <w:topLinePunct w:val="0"/>
              <w:autoSpaceDE/>
              <w:autoSpaceDN/>
              <w:bidi w:val="0"/>
              <w:adjustRightInd/>
              <w:snapToGrid/>
              <w:spacing w:line="360" w:lineRule="exact"/>
              <w:ind w:left="363" w:leftChars="0"/>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pacing w:val="-3"/>
                <w:sz w:val="21"/>
                <w:szCs w:val="21"/>
                <w:highlight w:val="none"/>
              </w:rPr>
              <w:t>5000</w:t>
            </w:r>
          </w:p>
        </w:tc>
      </w:tr>
      <w:tr w14:paraId="7BEAD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5" w:type="dxa"/>
            <w:vMerge w:val="continue"/>
            <w:noWrap w:val="0"/>
            <w:vAlign w:val="top"/>
          </w:tcPr>
          <w:p w14:paraId="707B3A12">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5B050A2E">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263F29C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3D75013C">
            <w:pPr>
              <w:pStyle w:val="42"/>
              <w:keepNext w:val="0"/>
              <w:keepLines w:val="0"/>
              <w:pageBreakBefore w:val="0"/>
              <w:widowControl w:val="0"/>
              <w:kinsoku/>
              <w:wordWrap/>
              <w:overflowPunct/>
              <w:topLinePunct w:val="0"/>
              <w:autoSpaceDE/>
              <w:autoSpaceDN/>
              <w:bidi w:val="0"/>
              <w:adjustRightInd/>
              <w:snapToGrid/>
              <w:spacing w:line="360" w:lineRule="exact"/>
              <w:ind w:left="422" w:leftChars="0"/>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禁用设备</w:t>
            </w:r>
          </w:p>
        </w:tc>
        <w:tc>
          <w:tcPr>
            <w:tcW w:w="6795" w:type="dxa"/>
            <w:noWrap w:val="0"/>
            <w:vAlign w:val="top"/>
          </w:tcPr>
          <w:p w14:paraId="08C78C0A">
            <w:pPr>
              <w:pStyle w:val="42"/>
              <w:keepNext w:val="0"/>
              <w:keepLines w:val="0"/>
              <w:pageBreakBefore w:val="0"/>
              <w:widowControl w:val="0"/>
              <w:kinsoku/>
              <w:wordWrap/>
              <w:overflowPunct/>
              <w:topLinePunct w:val="0"/>
              <w:autoSpaceDE/>
              <w:autoSpaceDN/>
              <w:bidi w:val="0"/>
              <w:adjustRightInd/>
              <w:snapToGrid/>
              <w:spacing w:line="360" w:lineRule="exact"/>
              <w:ind w:left="114" w:leftChars="0" w:right="185" w:rightChars="0" w:firstLine="7" w:firstLineChars="0"/>
              <w:textAlignment w:val="auto"/>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临时住房内是否使用电炉、碘钨灯、热得快等大功率用电</w:t>
            </w:r>
            <w:r>
              <w:rPr>
                <w:rFonts w:hint="eastAsia" w:ascii="宋体" w:hAnsi="宋体" w:eastAsia="宋体" w:cs="宋体"/>
                <w:color w:val="auto"/>
                <w:spacing w:val="7"/>
                <w:sz w:val="21"/>
                <w:szCs w:val="21"/>
                <w:highlight w:val="none"/>
              </w:rPr>
              <w:t xml:space="preserve"> </w:t>
            </w:r>
            <w:r>
              <w:rPr>
                <w:rFonts w:hint="eastAsia" w:ascii="宋体" w:hAnsi="宋体" w:eastAsia="宋体" w:cs="宋体"/>
                <w:color w:val="auto"/>
                <w:spacing w:val="-1"/>
                <w:sz w:val="21"/>
                <w:szCs w:val="21"/>
                <w:highlight w:val="none"/>
              </w:rPr>
              <w:t>设备，是否安装限流器</w:t>
            </w:r>
          </w:p>
        </w:tc>
        <w:tc>
          <w:tcPr>
            <w:tcW w:w="1230" w:type="dxa"/>
            <w:noWrap w:val="0"/>
            <w:vAlign w:val="top"/>
          </w:tcPr>
          <w:p w14:paraId="3D2FB13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6562B536">
            <w:pPr>
              <w:pStyle w:val="42"/>
              <w:keepNext w:val="0"/>
              <w:keepLines w:val="0"/>
              <w:pageBreakBefore w:val="0"/>
              <w:widowControl w:val="0"/>
              <w:kinsoku/>
              <w:wordWrap/>
              <w:overflowPunct/>
              <w:topLinePunct w:val="0"/>
              <w:autoSpaceDE/>
              <w:autoSpaceDN/>
              <w:bidi w:val="0"/>
              <w:adjustRightInd/>
              <w:snapToGrid/>
              <w:spacing w:line="360" w:lineRule="exact"/>
              <w:ind w:left="327" w:leftChars="0"/>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pacing w:val="-4"/>
                <w:sz w:val="21"/>
                <w:szCs w:val="21"/>
                <w:highlight w:val="none"/>
              </w:rPr>
              <w:t>10000</w:t>
            </w:r>
          </w:p>
        </w:tc>
      </w:tr>
      <w:tr w14:paraId="2042C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5" w:type="dxa"/>
            <w:vMerge w:val="continue"/>
            <w:noWrap w:val="0"/>
            <w:vAlign w:val="top"/>
          </w:tcPr>
          <w:p w14:paraId="0AC74267">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32C7DB27">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46DCCDD0">
            <w:pPr>
              <w:pStyle w:val="42"/>
              <w:keepNext w:val="0"/>
              <w:keepLines w:val="0"/>
              <w:pageBreakBefore w:val="0"/>
              <w:widowControl w:val="0"/>
              <w:kinsoku/>
              <w:wordWrap/>
              <w:overflowPunct/>
              <w:topLinePunct w:val="0"/>
              <w:autoSpaceDE/>
              <w:autoSpaceDN/>
              <w:bidi w:val="0"/>
              <w:adjustRightInd/>
              <w:snapToGrid/>
              <w:spacing w:line="360" w:lineRule="exact"/>
              <w:ind w:left="423" w:leftChars="0"/>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动火作业</w:t>
            </w:r>
          </w:p>
        </w:tc>
        <w:tc>
          <w:tcPr>
            <w:tcW w:w="6795" w:type="dxa"/>
            <w:noWrap w:val="0"/>
            <w:vAlign w:val="top"/>
          </w:tcPr>
          <w:p w14:paraId="1D1EB7AE">
            <w:pPr>
              <w:pStyle w:val="42"/>
              <w:keepNext w:val="0"/>
              <w:keepLines w:val="0"/>
              <w:pageBreakBefore w:val="0"/>
              <w:widowControl w:val="0"/>
              <w:kinsoku/>
              <w:wordWrap/>
              <w:overflowPunct/>
              <w:topLinePunct w:val="0"/>
              <w:autoSpaceDE/>
              <w:autoSpaceDN/>
              <w:bidi w:val="0"/>
              <w:adjustRightInd/>
              <w:snapToGrid/>
              <w:spacing w:line="360" w:lineRule="exact"/>
              <w:ind w:left="112" w:leftChars="0"/>
              <w:textAlignment w:val="auto"/>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动火作业前是否履行报批手续</w:t>
            </w:r>
          </w:p>
        </w:tc>
        <w:tc>
          <w:tcPr>
            <w:tcW w:w="1230" w:type="dxa"/>
            <w:noWrap w:val="0"/>
            <w:vAlign w:val="top"/>
          </w:tcPr>
          <w:p w14:paraId="6B541569">
            <w:pPr>
              <w:pStyle w:val="42"/>
              <w:keepNext w:val="0"/>
              <w:keepLines w:val="0"/>
              <w:pageBreakBefore w:val="0"/>
              <w:widowControl w:val="0"/>
              <w:kinsoku/>
              <w:wordWrap/>
              <w:overflowPunct/>
              <w:topLinePunct w:val="0"/>
              <w:autoSpaceDE/>
              <w:autoSpaceDN/>
              <w:bidi w:val="0"/>
              <w:adjustRightInd/>
              <w:snapToGrid/>
              <w:spacing w:line="360" w:lineRule="exact"/>
              <w:ind w:left="361" w:leftChars="0"/>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pacing w:val="-3"/>
                <w:sz w:val="21"/>
                <w:szCs w:val="21"/>
                <w:highlight w:val="none"/>
              </w:rPr>
              <w:t>2000</w:t>
            </w:r>
          </w:p>
        </w:tc>
      </w:tr>
      <w:tr w14:paraId="1110D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5" w:type="dxa"/>
            <w:vMerge w:val="continue"/>
            <w:noWrap w:val="0"/>
            <w:vAlign w:val="top"/>
          </w:tcPr>
          <w:p w14:paraId="5FCF1594">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784D0ECD">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19C1BA9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5091B898">
            <w:pPr>
              <w:pStyle w:val="42"/>
              <w:keepNext w:val="0"/>
              <w:keepLines w:val="0"/>
              <w:pageBreakBefore w:val="0"/>
              <w:widowControl w:val="0"/>
              <w:kinsoku/>
              <w:wordWrap/>
              <w:overflowPunct/>
              <w:topLinePunct w:val="0"/>
              <w:autoSpaceDE/>
              <w:autoSpaceDN/>
              <w:bidi w:val="0"/>
              <w:adjustRightInd/>
              <w:snapToGrid/>
              <w:spacing w:line="360" w:lineRule="exact"/>
              <w:ind w:left="603" w:leftChars="0"/>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4"/>
                <w:sz w:val="21"/>
                <w:szCs w:val="21"/>
                <w:highlight w:val="none"/>
              </w:rPr>
              <w:t>气瓶</w:t>
            </w:r>
          </w:p>
        </w:tc>
        <w:tc>
          <w:tcPr>
            <w:tcW w:w="6795" w:type="dxa"/>
            <w:noWrap w:val="0"/>
            <w:vAlign w:val="top"/>
          </w:tcPr>
          <w:p w14:paraId="401DDA77">
            <w:pPr>
              <w:pStyle w:val="42"/>
              <w:keepNext w:val="0"/>
              <w:keepLines w:val="0"/>
              <w:pageBreakBefore w:val="0"/>
              <w:widowControl w:val="0"/>
              <w:kinsoku/>
              <w:wordWrap/>
              <w:overflowPunct/>
              <w:topLinePunct w:val="0"/>
              <w:autoSpaceDE/>
              <w:autoSpaceDN/>
              <w:bidi w:val="0"/>
              <w:adjustRightInd/>
              <w:snapToGrid/>
              <w:spacing w:line="360" w:lineRule="exact"/>
              <w:ind w:left="112" w:leftChars="0" w:right="185" w:rightChars="0"/>
              <w:textAlignment w:val="auto"/>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氧气、乙炔等气瓶使用是否符合规范要求，乙炔瓶是否安</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2"/>
                <w:sz w:val="21"/>
                <w:szCs w:val="21"/>
                <w:highlight w:val="none"/>
              </w:rPr>
              <w:t>装回火防止器</w:t>
            </w:r>
          </w:p>
        </w:tc>
        <w:tc>
          <w:tcPr>
            <w:tcW w:w="1230" w:type="dxa"/>
            <w:noWrap w:val="0"/>
            <w:vAlign w:val="top"/>
          </w:tcPr>
          <w:p w14:paraId="6C877DD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6C69F79E">
            <w:pPr>
              <w:pStyle w:val="42"/>
              <w:keepNext w:val="0"/>
              <w:keepLines w:val="0"/>
              <w:pageBreakBefore w:val="0"/>
              <w:widowControl w:val="0"/>
              <w:kinsoku/>
              <w:wordWrap/>
              <w:overflowPunct/>
              <w:topLinePunct w:val="0"/>
              <w:autoSpaceDE/>
              <w:autoSpaceDN/>
              <w:bidi w:val="0"/>
              <w:adjustRightInd/>
              <w:snapToGrid/>
              <w:spacing w:line="360" w:lineRule="exact"/>
              <w:ind w:left="363" w:leftChars="0"/>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pacing w:val="-3"/>
                <w:sz w:val="21"/>
                <w:szCs w:val="21"/>
                <w:highlight w:val="none"/>
              </w:rPr>
              <w:t>5000</w:t>
            </w:r>
          </w:p>
        </w:tc>
      </w:tr>
      <w:tr w14:paraId="09251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5" w:type="dxa"/>
            <w:vMerge w:val="restart"/>
            <w:noWrap w:val="0"/>
            <w:vAlign w:val="top"/>
          </w:tcPr>
          <w:p w14:paraId="57F83648">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510" w:type="dxa"/>
            <w:vMerge w:val="restart"/>
            <w:noWrap w:val="0"/>
            <w:vAlign w:val="top"/>
          </w:tcPr>
          <w:p w14:paraId="7B80A294">
            <w:pPr>
              <w:pStyle w:val="42"/>
              <w:keepNext w:val="0"/>
              <w:keepLines w:val="0"/>
              <w:pageBreakBefore w:val="0"/>
              <w:widowControl w:val="0"/>
              <w:kinsoku/>
              <w:wordWrap/>
              <w:overflowPunct/>
              <w:topLinePunct w:val="0"/>
              <w:autoSpaceDE/>
              <w:autoSpaceDN/>
              <w:bidi w:val="0"/>
              <w:adjustRightInd/>
              <w:snapToGrid/>
              <w:spacing w:line="360" w:lineRule="exact"/>
              <w:ind w:left="163"/>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基坑</w:t>
            </w:r>
          </w:p>
          <w:p w14:paraId="70CDCD1A">
            <w:pPr>
              <w:pStyle w:val="42"/>
              <w:keepNext w:val="0"/>
              <w:keepLines w:val="0"/>
              <w:pageBreakBefore w:val="0"/>
              <w:widowControl w:val="0"/>
              <w:kinsoku/>
              <w:wordWrap/>
              <w:overflowPunct/>
              <w:topLinePunct w:val="0"/>
              <w:autoSpaceDE/>
              <w:autoSpaceDN/>
              <w:bidi w:val="0"/>
              <w:adjustRightInd/>
              <w:snapToGrid/>
              <w:spacing w:line="360" w:lineRule="exact"/>
              <w:ind w:left="162"/>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及沟</w:t>
            </w:r>
          </w:p>
          <w:p w14:paraId="6508CAA6">
            <w:pPr>
              <w:pStyle w:val="42"/>
              <w:keepNext w:val="0"/>
              <w:keepLines w:val="0"/>
              <w:pageBreakBefore w:val="0"/>
              <w:widowControl w:val="0"/>
              <w:kinsoku/>
              <w:wordWrap/>
              <w:overflowPunct/>
              <w:topLinePunct w:val="0"/>
              <w:autoSpaceDE/>
              <w:autoSpaceDN/>
              <w:bidi w:val="0"/>
              <w:adjustRightInd/>
              <w:snapToGrid/>
              <w:spacing w:line="360" w:lineRule="exact"/>
              <w:ind w:left="162"/>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槽施</w:t>
            </w:r>
          </w:p>
          <w:p w14:paraId="3F2EA750">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z w:val="21"/>
                <w:szCs w:val="21"/>
                <w:highlight w:val="none"/>
              </w:rPr>
              <w:t>工</w:t>
            </w:r>
          </w:p>
        </w:tc>
        <w:tc>
          <w:tcPr>
            <w:tcW w:w="1350" w:type="dxa"/>
            <w:noWrap w:val="0"/>
            <w:vAlign w:val="top"/>
          </w:tcPr>
          <w:p w14:paraId="62D62F1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54E83378">
            <w:pPr>
              <w:pStyle w:val="42"/>
              <w:keepNext w:val="0"/>
              <w:keepLines w:val="0"/>
              <w:pageBreakBefore w:val="0"/>
              <w:widowControl w:val="0"/>
              <w:kinsoku/>
              <w:wordWrap/>
              <w:overflowPunct/>
              <w:topLinePunct w:val="0"/>
              <w:autoSpaceDE/>
              <w:autoSpaceDN/>
              <w:bidi w:val="0"/>
              <w:adjustRightInd/>
              <w:snapToGrid/>
              <w:spacing w:line="360" w:lineRule="exact"/>
              <w:ind w:left="422" w:leftChars="0"/>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施工作业</w:t>
            </w:r>
          </w:p>
        </w:tc>
        <w:tc>
          <w:tcPr>
            <w:tcW w:w="6795" w:type="dxa"/>
            <w:noWrap w:val="0"/>
            <w:vAlign w:val="top"/>
          </w:tcPr>
          <w:p w14:paraId="1F4E2ECC">
            <w:pPr>
              <w:pStyle w:val="42"/>
              <w:keepNext w:val="0"/>
              <w:keepLines w:val="0"/>
              <w:pageBreakBefore w:val="0"/>
              <w:widowControl w:val="0"/>
              <w:kinsoku/>
              <w:wordWrap/>
              <w:overflowPunct/>
              <w:topLinePunct w:val="0"/>
              <w:autoSpaceDE/>
              <w:autoSpaceDN/>
              <w:bidi w:val="0"/>
              <w:adjustRightInd/>
              <w:snapToGrid/>
              <w:spacing w:line="360" w:lineRule="exact"/>
              <w:ind w:left="116" w:leftChars="0" w:right="185" w:rightChars="0" w:hanging="4" w:firstLineChars="0"/>
              <w:textAlignment w:val="auto"/>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开挖、支护和降水工程是否符合设计及规范要求，围挡是</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3"/>
                <w:sz w:val="21"/>
                <w:szCs w:val="21"/>
                <w:highlight w:val="none"/>
              </w:rPr>
              <w:t>否符合要求</w:t>
            </w:r>
          </w:p>
        </w:tc>
        <w:tc>
          <w:tcPr>
            <w:tcW w:w="1230" w:type="dxa"/>
            <w:noWrap w:val="0"/>
            <w:vAlign w:val="top"/>
          </w:tcPr>
          <w:p w14:paraId="2F88E9C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4D21C8C9">
            <w:pPr>
              <w:pStyle w:val="42"/>
              <w:keepNext w:val="0"/>
              <w:keepLines w:val="0"/>
              <w:pageBreakBefore w:val="0"/>
              <w:widowControl w:val="0"/>
              <w:kinsoku/>
              <w:wordWrap/>
              <w:overflowPunct/>
              <w:topLinePunct w:val="0"/>
              <w:autoSpaceDE/>
              <w:autoSpaceDN/>
              <w:bidi w:val="0"/>
              <w:adjustRightInd/>
              <w:snapToGrid/>
              <w:spacing w:line="360" w:lineRule="exact"/>
              <w:ind w:left="327" w:leftChars="0"/>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pacing w:val="-4"/>
                <w:sz w:val="21"/>
                <w:szCs w:val="21"/>
                <w:highlight w:val="none"/>
              </w:rPr>
              <w:t>10000</w:t>
            </w:r>
          </w:p>
        </w:tc>
      </w:tr>
      <w:tr w14:paraId="29836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5" w:type="dxa"/>
            <w:vMerge w:val="continue"/>
            <w:noWrap w:val="0"/>
            <w:vAlign w:val="top"/>
          </w:tcPr>
          <w:p w14:paraId="24354DB9">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146247B6">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55A0E9C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281CA2BD">
            <w:pPr>
              <w:pStyle w:val="42"/>
              <w:keepNext w:val="0"/>
              <w:keepLines w:val="0"/>
              <w:pageBreakBefore w:val="0"/>
              <w:widowControl w:val="0"/>
              <w:kinsoku/>
              <w:wordWrap/>
              <w:overflowPunct/>
              <w:topLinePunct w:val="0"/>
              <w:autoSpaceDE/>
              <w:autoSpaceDN/>
              <w:bidi w:val="0"/>
              <w:adjustRightInd/>
              <w:snapToGrid/>
              <w:spacing w:line="360" w:lineRule="exact"/>
              <w:ind w:left="422" w:leftChars="0"/>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坑边荷载</w:t>
            </w:r>
          </w:p>
        </w:tc>
        <w:tc>
          <w:tcPr>
            <w:tcW w:w="6795" w:type="dxa"/>
            <w:noWrap w:val="0"/>
            <w:vAlign w:val="top"/>
          </w:tcPr>
          <w:p w14:paraId="0FCC2EDD">
            <w:pPr>
              <w:pStyle w:val="42"/>
              <w:keepNext w:val="0"/>
              <w:keepLines w:val="0"/>
              <w:pageBreakBefore w:val="0"/>
              <w:widowControl w:val="0"/>
              <w:kinsoku/>
              <w:wordWrap/>
              <w:overflowPunct/>
              <w:topLinePunct w:val="0"/>
              <w:autoSpaceDE/>
              <w:autoSpaceDN/>
              <w:bidi w:val="0"/>
              <w:adjustRightInd/>
              <w:snapToGrid/>
              <w:spacing w:line="360" w:lineRule="exact"/>
              <w:ind w:left="112" w:leftChars="0" w:right="185" w:rightChars="0"/>
              <w:jc w:val="both"/>
              <w:textAlignment w:val="auto"/>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基坑边堆置土、料具等荷载是否在基坑设计和规范允许范</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1"/>
                <w:sz w:val="21"/>
                <w:szCs w:val="21"/>
                <w:highlight w:val="none"/>
              </w:rPr>
              <w:t>围内；施工机械与基坑边沿的安全距离是否符合规范及设</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3"/>
                <w:sz w:val="21"/>
                <w:szCs w:val="21"/>
                <w:highlight w:val="none"/>
              </w:rPr>
              <w:t>计要求</w:t>
            </w:r>
          </w:p>
        </w:tc>
        <w:tc>
          <w:tcPr>
            <w:tcW w:w="1230" w:type="dxa"/>
            <w:noWrap w:val="0"/>
            <w:vAlign w:val="top"/>
          </w:tcPr>
          <w:p w14:paraId="455028E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47F5522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74AD6DDC">
            <w:pPr>
              <w:pStyle w:val="42"/>
              <w:keepNext w:val="0"/>
              <w:keepLines w:val="0"/>
              <w:pageBreakBefore w:val="0"/>
              <w:widowControl w:val="0"/>
              <w:kinsoku/>
              <w:wordWrap/>
              <w:overflowPunct/>
              <w:topLinePunct w:val="0"/>
              <w:autoSpaceDE/>
              <w:autoSpaceDN/>
              <w:bidi w:val="0"/>
              <w:adjustRightInd/>
              <w:snapToGrid/>
              <w:spacing w:line="360" w:lineRule="exact"/>
              <w:ind w:left="327" w:leftChars="0"/>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pacing w:val="-4"/>
                <w:sz w:val="21"/>
                <w:szCs w:val="21"/>
                <w:highlight w:val="none"/>
              </w:rPr>
              <w:t>10000</w:t>
            </w:r>
          </w:p>
        </w:tc>
      </w:tr>
      <w:tr w14:paraId="7BBB6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5" w:type="dxa"/>
            <w:vMerge w:val="continue"/>
            <w:noWrap w:val="0"/>
            <w:vAlign w:val="top"/>
          </w:tcPr>
          <w:p w14:paraId="24438D1C">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382ACBCB">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7C650B3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38ABD74E">
            <w:pPr>
              <w:pStyle w:val="42"/>
              <w:keepNext w:val="0"/>
              <w:keepLines w:val="0"/>
              <w:pageBreakBefore w:val="0"/>
              <w:widowControl w:val="0"/>
              <w:kinsoku/>
              <w:wordWrap/>
              <w:overflowPunct/>
              <w:topLinePunct w:val="0"/>
              <w:autoSpaceDE/>
              <w:autoSpaceDN/>
              <w:bidi w:val="0"/>
              <w:adjustRightInd/>
              <w:snapToGrid/>
              <w:spacing w:line="360" w:lineRule="exact"/>
              <w:ind w:left="422" w:leftChars="0"/>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基坑监测</w:t>
            </w:r>
          </w:p>
        </w:tc>
        <w:tc>
          <w:tcPr>
            <w:tcW w:w="6795" w:type="dxa"/>
            <w:noWrap w:val="0"/>
            <w:vAlign w:val="top"/>
          </w:tcPr>
          <w:p w14:paraId="4148FBA7">
            <w:pPr>
              <w:pStyle w:val="42"/>
              <w:keepNext w:val="0"/>
              <w:keepLines w:val="0"/>
              <w:pageBreakBefore w:val="0"/>
              <w:widowControl w:val="0"/>
              <w:kinsoku/>
              <w:wordWrap/>
              <w:overflowPunct/>
              <w:topLinePunct w:val="0"/>
              <w:autoSpaceDE/>
              <w:autoSpaceDN/>
              <w:bidi w:val="0"/>
              <w:adjustRightInd/>
              <w:snapToGrid/>
              <w:spacing w:line="360" w:lineRule="exact"/>
              <w:ind w:left="116" w:leftChars="0" w:right="185" w:rightChars="0" w:hanging="4" w:firstLineChars="0"/>
              <w:textAlignment w:val="auto"/>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监测频率是否符合要求，监测记录是否完备，监测成果是</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5"/>
                <w:sz w:val="21"/>
                <w:szCs w:val="21"/>
                <w:highlight w:val="none"/>
              </w:rPr>
              <w:t>否落实</w:t>
            </w:r>
          </w:p>
        </w:tc>
        <w:tc>
          <w:tcPr>
            <w:tcW w:w="1230" w:type="dxa"/>
            <w:noWrap w:val="0"/>
            <w:vAlign w:val="center"/>
          </w:tcPr>
          <w:p w14:paraId="6642B6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p>
          <w:p w14:paraId="370BB98D">
            <w:pPr>
              <w:pStyle w:val="42"/>
              <w:keepNext w:val="0"/>
              <w:keepLines w:val="0"/>
              <w:pageBreakBefore w:val="0"/>
              <w:widowControl w:val="0"/>
              <w:kinsoku/>
              <w:wordWrap/>
              <w:overflowPunct/>
              <w:topLinePunct w:val="0"/>
              <w:autoSpaceDE/>
              <w:autoSpaceDN/>
              <w:bidi w:val="0"/>
              <w:adjustRightInd/>
              <w:snapToGrid/>
              <w:spacing w:line="360" w:lineRule="exact"/>
              <w:ind w:left="327" w:leftChars="0"/>
              <w:jc w:val="center"/>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pacing w:val="-4"/>
                <w:sz w:val="21"/>
                <w:szCs w:val="21"/>
                <w:highlight w:val="none"/>
              </w:rPr>
              <w:t>10000</w:t>
            </w:r>
          </w:p>
        </w:tc>
      </w:tr>
      <w:tr w14:paraId="0F742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5" w:type="dxa"/>
            <w:vMerge w:val="continue"/>
            <w:noWrap w:val="0"/>
            <w:vAlign w:val="top"/>
          </w:tcPr>
          <w:p w14:paraId="319DA63C">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203B6CEE">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3A7A601C">
            <w:pPr>
              <w:pStyle w:val="42"/>
              <w:keepNext w:val="0"/>
              <w:keepLines w:val="0"/>
              <w:pageBreakBefore w:val="0"/>
              <w:widowControl w:val="0"/>
              <w:kinsoku/>
              <w:wordWrap/>
              <w:overflowPunct/>
              <w:topLinePunct w:val="0"/>
              <w:autoSpaceDE/>
              <w:autoSpaceDN/>
              <w:bidi w:val="0"/>
              <w:adjustRightInd/>
              <w:snapToGrid/>
              <w:spacing w:line="360" w:lineRule="exact"/>
              <w:ind w:left="423" w:leftChars="0"/>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支撑拆除</w:t>
            </w:r>
          </w:p>
        </w:tc>
        <w:tc>
          <w:tcPr>
            <w:tcW w:w="6795" w:type="dxa"/>
            <w:noWrap w:val="0"/>
            <w:vAlign w:val="top"/>
          </w:tcPr>
          <w:p w14:paraId="7C57682F">
            <w:pPr>
              <w:pStyle w:val="42"/>
              <w:keepNext w:val="0"/>
              <w:keepLines w:val="0"/>
              <w:pageBreakBefore w:val="0"/>
              <w:widowControl w:val="0"/>
              <w:kinsoku/>
              <w:wordWrap/>
              <w:overflowPunct/>
              <w:topLinePunct w:val="0"/>
              <w:autoSpaceDE/>
              <w:autoSpaceDN/>
              <w:bidi w:val="0"/>
              <w:adjustRightInd/>
              <w:snapToGrid/>
              <w:spacing w:line="360" w:lineRule="exact"/>
              <w:ind w:left="112" w:leftChars="0"/>
              <w:textAlignment w:val="auto"/>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支撑结构的拆除方式、拆除顺序是否符合规范要求</w:t>
            </w:r>
          </w:p>
        </w:tc>
        <w:tc>
          <w:tcPr>
            <w:tcW w:w="1230" w:type="dxa"/>
            <w:noWrap w:val="0"/>
            <w:vAlign w:val="center"/>
          </w:tcPr>
          <w:p w14:paraId="593D4E5B">
            <w:pPr>
              <w:pStyle w:val="42"/>
              <w:keepNext w:val="0"/>
              <w:keepLines w:val="0"/>
              <w:pageBreakBefore w:val="0"/>
              <w:widowControl w:val="0"/>
              <w:kinsoku/>
              <w:wordWrap/>
              <w:overflowPunct/>
              <w:topLinePunct w:val="0"/>
              <w:autoSpaceDE/>
              <w:autoSpaceDN/>
              <w:bidi w:val="0"/>
              <w:adjustRightInd/>
              <w:snapToGrid/>
              <w:spacing w:line="360" w:lineRule="exact"/>
              <w:ind w:left="327" w:leftChars="0"/>
              <w:jc w:val="center"/>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pacing w:val="-4"/>
                <w:sz w:val="21"/>
                <w:szCs w:val="21"/>
                <w:highlight w:val="none"/>
              </w:rPr>
              <w:t>10000</w:t>
            </w:r>
          </w:p>
        </w:tc>
      </w:tr>
      <w:tr w14:paraId="2C3B7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5" w:type="dxa"/>
            <w:vMerge w:val="continue"/>
            <w:noWrap w:val="0"/>
            <w:vAlign w:val="top"/>
          </w:tcPr>
          <w:p w14:paraId="20A876FC">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068A6459">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6796A766">
            <w:pPr>
              <w:pStyle w:val="42"/>
              <w:keepNext w:val="0"/>
              <w:keepLines w:val="0"/>
              <w:pageBreakBefore w:val="0"/>
              <w:widowControl w:val="0"/>
              <w:kinsoku/>
              <w:wordWrap/>
              <w:overflowPunct/>
              <w:topLinePunct w:val="0"/>
              <w:autoSpaceDE/>
              <w:autoSpaceDN/>
              <w:bidi w:val="0"/>
              <w:adjustRightInd/>
              <w:snapToGrid/>
              <w:spacing w:line="360" w:lineRule="exact"/>
              <w:ind w:left="510" w:leftChars="0" w:right="106" w:rightChars="0" w:hanging="311" w:firstLineChars="0"/>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相邻管线、建筑</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3"/>
                <w:sz w:val="21"/>
                <w:szCs w:val="21"/>
                <w:highlight w:val="none"/>
              </w:rPr>
              <w:t>物保护</w:t>
            </w:r>
          </w:p>
        </w:tc>
        <w:tc>
          <w:tcPr>
            <w:tcW w:w="6795" w:type="dxa"/>
            <w:noWrap w:val="0"/>
            <w:vAlign w:val="top"/>
          </w:tcPr>
          <w:p w14:paraId="7B731AE5">
            <w:pPr>
              <w:pStyle w:val="42"/>
              <w:keepNext w:val="0"/>
              <w:keepLines w:val="0"/>
              <w:pageBreakBefore w:val="0"/>
              <w:widowControl w:val="0"/>
              <w:kinsoku/>
              <w:wordWrap/>
              <w:overflowPunct/>
              <w:topLinePunct w:val="0"/>
              <w:autoSpaceDE/>
              <w:autoSpaceDN/>
              <w:bidi w:val="0"/>
              <w:adjustRightInd/>
              <w:snapToGrid/>
              <w:spacing w:line="360" w:lineRule="exact"/>
              <w:ind w:left="113" w:leftChars="0" w:right="185" w:rightChars="0" w:hanging="2" w:firstLineChars="0"/>
              <w:textAlignment w:val="auto"/>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对电力、通信、燃气、上下水等管线和邻近建筑物是否采</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1"/>
                <w:sz w:val="21"/>
                <w:szCs w:val="21"/>
                <w:highlight w:val="none"/>
              </w:rPr>
              <w:t>取有效监测和安全保护措施，是否有专人监护</w:t>
            </w:r>
          </w:p>
        </w:tc>
        <w:tc>
          <w:tcPr>
            <w:tcW w:w="1230" w:type="dxa"/>
            <w:noWrap w:val="0"/>
            <w:vAlign w:val="center"/>
          </w:tcPr>
          <w:p w14:paraId="07FAA2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p>
          <w:p w14:paraId="173FCBE1">
            <w:pPr>
              <w:pStyle w:val="42"/>
              <w:keepNext w:val="0"/>
              <w:keepLines w:val="0"/>
              <w:pageBreakBefore w:val="0"/>
              <w:widowControl w:val="0"/>
              <w:kinsoku/>
              <w:wordWrap/>
              <w:overflowPunct/>
              <w:topLinePunct w:val="0"/>
              <w:autoSpaceDE/>
              <w:autoSpaceDN/>
              <w:bidi w:val="0"/>
              <w:adjustRightInd/>
              <w:snapToGrid/>
              <w:spacing w:line="360" w:lineRule="exact"/>
              <w:ind w:left="327" w:leftChars="0"/>
              <w:jc w:val="center"/>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pacing w:val="-4"/>
                <w:sz w:val="21"/>
                <w:szCs w:val="21"/>
                <w:highlight w:val="none"/>
              </w:rPr>
              <w:t>10000</w:t>
            </w:r>
          </w:p>
        </w:tc>
      </w:tr>
      <w:tr w14:paraId="56418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5" w:type="dxa"/>
            <w:vMerge w:val="restart"/>
            <w:noWrap w:val="0"/>
            <w:vAlign w:val="top"/>
          </w:tcPr>
          <w:p w14:paraId="774C0C4D">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510" w:type="dxa"/>
            <w:vMerge w:val="restart"/>
            <w:noWrap w:val="0"/>
            <w:vAlign w:val="top"/>
          </w:tcPr>
          <w:p w14:paraId="1083FD74">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施工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机具</w:t>
            </w:r>
          </w:p>
        </w:tc>
        <w:tc>
          <w:tcPr>
            <w:tcW w:w="1350" w:type="dxa"/>
            <w:noWrap w:val="0"/>
            <w:vAlign w:val="top"/>
          </w:tcPr>
          <w:p w14:paraId="43CABFE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134285D4">
            <w:pPr>
              <w:pStyle w:val="42"/>
              <w:keepNext w:val="0"/>
              <w:keepLines w:val="0"/>
              <w:pageBreakBefore w:val="0"/>
              <w:widowControl w:val="0"/>
              <w:kinsoku/>
              <w:wordWrap/>
              <w:overflowPunct/>
              <w:topLinePunct w:val="0"/>
              <w:autoSpaceDE/>
              <w:autoSpaceDN/>
              <w:bidi w:val="0"/>
              <w:adjustRightInd/>
              <w:snapToGrid/>
              <w:spacing w:line="360" w:lineRule="exact"/>
              <w:ind w:left="467" w:leftChars="0"/>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验收程序</w:t>
            </w:r>
          </w:p>
        </w:tc>
        <w:tc>
          <w:tcPr>
            <w:tcW w:w="6795" w:type="dxa"/>
            <w:noWrap w:val="0"/>
            <w:vAlign w:val="top"/>
          </w:tcPr>
          <w:p w14:paraId="388DE3A6">
            <w:pPr>
              <w:pStyle w:val="42"/>
              <w:keepNext w:val="0"/>
              <w:keepLines w:val="0"/>
              <w:pageBreakBefore w:val="0"/>
              <w:widowControl w:val="0"/>
              <w:kinsoku/>
              <w:wordWrap/>
              <w:overflowPunct/>
              <w:topLinePunct w:val="0"/>
              <w:autoSpaceDE/>
              <w:autoSpaceDN/>
              <w:bidi w:val="0"/>
              <w:adjustRightInd/>
              <w:snapToGrid/>
              <w:spacing w:line="360" w:lineRule="exact"/>
              <w:ind w:left="118" w:leftChars="0" w:right="185" w:rightChars="0" w:hanging="4" w:firstLineChars="0"/>
              <w:textAlignment w:val="auto"/>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各施工机具在安装完毕后是否按规定履行验收程序，并经</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pacing w:val="-2"/>
                <w:sz w:val="21"/>
                <w:szCs w:val="21"/>
                <w:highlight w:val="none"/>
              </w:rPr>
              <w:t>责任人签字确认</w:t>
            </w:r>
          </w:p>
        </w:tc>
        <w:tc>
          <w:tcPr>
            <w:tcW w:w="1230" w:type="dxa"/>
            <w:noWrap w:val="0"/>
            <w:vAlign w:val="center"/>
          </w:tcPr>
          <w:p w14:paraId="3CE52A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p>
          <w:p w14:paraId="15B2EC7C">
            <w:pPr>
              <w:pStyle w:val="42"/>
              <w:keepNext w:val="0"/>
              <w:keepLines w:val="0"/>
              <w:pageBreakBefore w:val="0"/>
              <w:widowControl w:val="0"/>
              <w:kinsoku/>
              <w:wordWrap/>
              <w:overflowPunct/>
              <w:topLinePunct w:val="0"/>
              <w:autoSpaceDE/>
              <w:autoSpaceDN/>
              <w:bidi w:val="0"/>
              <w:adjustRightInd/>
              <w:snapToGrid/>
              <w:spacing w:line="360" w:lineRule="exact"/>
              <w:ind w:left="363" w:leftChars="0"/>
              <w:jc w:val="center"/>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pacing w:val="-3"/>
                <w:sz w:val="21"/>
                <w:szCs w:val="21"/>
                <w:highlight w:val="none"/>
              </w:rPr>
              <w:t>5000</w:t>
            </w:r>
          </w:p>
        </w:tc>
      </w:tr>
      <w:tr w14:paraId="45F23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5" w:type="dxa"/>
            <w:vMerge w:val="continue"/>
            <w:noWrap w:val="0"/>
            <w:vAlign w:val="top"/>
          </w:tcPr>
          <w:p w14:paraId="66A4D132">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rPr>
            </w:pPr>
          </w:p>
        </w:tc>
        <w:tc>
          <w:tcPr>
            <w:tcW w:w="510" w:type="dxa"/>
            <w:vMerge w:val="continue"/>
            <w:noWrap w:val="0"/>
            <w:vAlign w:val="top"/>
          </w:tcPr>
          <w:p w14:paraId="1F3F320C">
            <w:pPr>
              <w:pStyle w:val="42"/>
              <w:keepNext w:val="0"/>
              <w:keepLines w:val="0"/>
              <w:pageBreakBefore w:val="0"/>
              <w:widowControl w:val="0"/>
              <w:kinsoku/>
              <w:wordWrap/>
              <w:overflowPunct/>
              <w:topLinePunct w:val="0"/>
              <w:autoSpaceDE/>
              <w:autoSpaceDN/>
              <w:bidi w:val="0"/>
              <w:adjustRightInd/>
              <w:snapToGrid/>
              <w:spacing w:line="360" w:lineRule="exact"/>
              <w:ind w:left="252" w:right="159" w:hanging="90"/>
              <w:textAlignment w:val="auto"/>
              <w:rPr>
                <w:rFonts w:hint="eastAsia" w:ascii="宋体" w:hAnsi="宋体" w:eastAsia="宋体" w:cs="宋体"/>
                <w:color w:val="auto"/>
                <w:spacing w:val="-4"/>
                <w:sz w:val="21"/>
                <w:szCs w:val="21"/>
                <w:highlight w:val="none"/>
              </w:rPr>
            </w:pPr>
          </w:p>
        </w:tc>
        <w:tc>
          <w:tcPr>
            <w:tcW w:w="1350" w:type="dxa"/>
            <w:noWrap w:val="0"/>
            <w:vAlign w:val="top"/>
          </w:tcPr>
          <w:p w14:paraId="7F26E1D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49B19B35">
            <w:pPr>
              <w:pStyle w:val="42"/>
              <w:keepNext w:val="0"/>
              <w:keepLines w:val="0"/>
              <w:pageBreakBefore w:val="0"/>
              <w:widowControl w:val="0"/>
              <w:kinsoku/>
              <w:wordWrap/>
              <w:overflowPunct/>
              <w:topLinePunct w:val="0"/>
              <w:autoSpaceDE/>
              <w:autoSpaceDN/>
              <w:bidi w:val="0"/>
              <w:adjustRightInd/>
              <w:snapToGrid/>
              <w:spacing w:line="360" w:lineRule="exact"/>
              <w:ind w:left="472" w:leftChars="0"/>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3"/>
                <w:sz w:val="21"/>
                <w:szCs w:val="21"/>
                <w:highlight w:val="none"/>
              </w:rPr>
              <w:t>安全使用</w:t>
            </w:r>
          </w:p>
        </w:tc>
        <w:tc>
          <w:tcPr>
            <w:tcW w:w="6795" w:type="dxa"/>
            <w:noWrap w:val="0"/>
            <w:vAlign w:val="top"/>
          </w:tcPr>
          <w:p w14:paraId="1D7C0C37">
            <w:pPr>
              <w:pStyle w:val="42"/>
              <w:keepNext w:val="0"/>
              <w:keepLines w:val="0"/>
              <w:pageBreakBefore w:val="0"/>
              <w:widowControl w:val="0"/>
              <w:kinsoku/>
              <w:wordWrap/>
              <w:overflowPunct/>
              <w:topLinePunct w:val="0"/>
              <w:autoSpaceDE/>
              <w:autoSpaceDN/>
              <w:bidi w:val="0"/>
              <w:adjustRightInd/>
              <w:snapToGrid/>
              <w:spacing w:line="360" w:lineRule="exact"/>
              <w:ind w:left="111" w:leftChars="0" w:right="185" w:rightChars="0" w:firstLine="2" w:firstLineChars="0"/>
              <w:textAlignment w:val="auto"/>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各类施工机具在使用中是否按照规范要求做好安全防护措</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z w:val="21"/>
                <w:szCs w:val="21"/>
                <w:highlight w:val="none"/>
              </w:rPr>
              <w:t>施</w:t>
            </w:r>
          </w:p>
        </w:tc>
        <w:tc>
          <w:tcPr>
            <w:tcW w:w="1230" w:type="dxa"/>
            <w:noWrap w:val="0"/>
            <w:vAlign w:val="center"/>
          </w:tcPr>
          <w:p w14:paraId="2594E3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p>
          <w:p w14:paraId="3413A95C">
            <w:pPr>
              <w:pStyle w:val="42"/>
              <w:keepNext w:val="0"/>
              <w:keepLines w:val="0"/>
              <w:pageBreakBefore w:val="0"/>
              <w:widowControl w:val="0"/>
              <w:kinsoku/>
              <w:wordWrap/>
              <w:overflowPunct/>
              <w:topLinePunct w:val="0"/>
              <w:autoSpaceDE/>
              <w:autoSpaceDN/>
              <w:bidi w:val="0"/>
              <w:adjustRightInd/>
              <w:snapToGrid/>
              <w:spacing w:line="360" w:lineRule="exact"/>
              <w:ind w:left="363" w:leftChars="0"/>
              <w:jc w:val="center"/>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pacing w:val="-3"/>
                <w:sz w:val="21"/>
                <w:szCs w:val="21"/>
                <w:highlight w:val="none"/>
              </w:rPr>
              <w:t>5000</w:t>
            </w:r>
          </w:p>
        </w:tc>
      </w:tr>
      <w:tr w14:paraId="11EC5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5" w:type="dxa"/>
            <w:noWrap w:val="0"/>
            <w:vAlign w:val="top"/>
          </w:tcPr>
          <w:p w14:paraId="546F10AF">
            <w:pPr>
              <w:pStyle w:val="42"/>
              <w:keepNext w:val="0"/>
              <w:keepLines w:val="0"/>
              <w:pageBreakBefore w:val="0"/>
              <w:widowControl w:val="0"/>
              <w:kinsoku/>
              <w:wordWrap/>
              <w:overflowPunct/>
              <w:topLinePunct w:val="0"/>
              <w:autoSpaceDE/>
              <w:autoSpaceDN/>
              <w:bidi w:val="0"/>
              <w:adjustRightInd/>
              <w:snapToGrid/>
              <w:spacing w:line="360" w:lineRule="exact"/>
              <w:ind w:left="198"/>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510" w:type="dxa"/>
            <w:noWrap w:val="0"/>
            <w:vAlign w:val="top"/>
          </w:tcPr>
          <w:p w14:paraId="7D5EA747">
            <w:pPr>
              <w:pStyle w:val="42"/>
              <w:keepNext w:val="0"/>
              <w:keepLines w:val="0"/>
              <w:pageBreakBefore w:val="0"/>
              <w:widowControl w:val="0"/>
              <w:kinsoku/>
              <w:wordWrap/>
              <w:overflowPunct/>
              <w:topLinePunct w:val="0"/>
              <w:autoSpaceDE/>
              <w:autoSpaceDN/>
              <w:bidi w:val="0"/>
              <w:adjustRightInd/>
              <w:snapToGrid/>
              <w:spacing w:line="360" w:lineRule="exact"/>
              <w:ind w:left="111" w:leftChars="0"/>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巡查</w:t>
            </w:r>
          </w:p>
        </w:tc>
        <w:tc>
          <w:tcPr>
            <w:tcW w:w="1350" w:type="dxa"/>
            <w:noWrap w:val="0"/>
            <w:vAlign w:val="top"/>
          </w:tcPr>
          <w:p w14:paraId="0689147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3E68A8EB">
            <w:pPr>
              <w:pStyle w:val="42"/>
              <w:keepNext w:val="0"/>
              <w:keepLines w:val="0"/>
              <w:pageBreakBefore w:val="0"/>
              <w:widowControl w:val="0"/>
              <w:kinsoku/>
              <w:wordWrap/>
              <w:overflowPunct/>
              <w:topLinePunct w:val="0"/>
              <w:autoSpaceDE/>
              <w:autoSpaceDN/>
              <w:bidi w:val="0"/>
              <w:adjustRightInd/>
              <w:snapToGrid/>
              <w:spacing w:line="360" w:lineRule="exact"/>
              <w:ind w:left="423" w:leftChars="0"/>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专项巡查</w:t>
            </w:r>
          </w:p>
        </w:tc>
        <w:tc>
          <w:tcPr>
            <w:tcW w:w="6795" w:type="dxa"/>
            <w:noWrap w:val="0"/>
            <w:vAlign w:val="top"/>
          </w:tcPr>
          <w:p w14:paraId="22996FA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7AE3365C">
            <w:pPr>
              <w:pStyle w:val="42"/>
              <w:keepNext w:val="0"/>
              <w:keepLines w:val="0"/>
              <w:pageBreakBefore w:val="0"/>
              <w:widowControl w:val="0"/>
              <w:kinsoku/>
              <w:wordWrap/>
              <w:overflowPunct/>
              <w:topLinePunct w:val="0"/>
              <w:autoSpaceDE/>
              <w:autoSpaceDN/>
              <w:bidi w:val="0"/>
              <w:adjustRightInd/>
              <w:snapToGrid/>
              <w:spacing w:line="360" w:lineRule="exact"/>
              <w:ind w:left="114" w:leftChars="0"/>
              <w:textAlignment w:val="auto"/>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是否被主管部门检查通报，按要求进项整改</w:t>
            </w:r>
          </w:p>
        </w:tc>
        <w:tc>
          <w:tcPr>
            <w:tcW w:w="1230" w:type="dxa"/>
            <w:noWrap w:val="0"/>
            <w:vAlign w:val="center"/>
          </w:tcPr>
          <w:p w14:paraId="1FE3AF7C">
            <w:pPr>
              <w:pStyle w:val="42"/>
              <w:keepNext w:val="0"/>
              <w:keepLines w:val="0"/>
              <w:pageBreakBefore w:val="0"/>
              <w:widowControl w:val="0"/>
              <w:kinsoku/>
              <w:wordWrap/>
              <w:overflowPunct/>
              <w:topLinePunct w:val="0"/>
              <w:autoSpaceDE/>
              <w:autoSpaceDN/>
              <w:bidi w:val="0"/>
              <w:adjustRightInd/>
              <w:snapToGrid/>
              <w:spacing w:line="360" w:lineRule="exact"/>
              <w:ind w:left="449" w:leftChars="0"/>
              <w:jc w:val="center"/>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pacing w:val="-3"/>
                <w:sz w:val="21"/>
                <w:szCs w:val="21"/>
                <w:highlight w:val="none"/>
              </w:rPr>
              <w:t>10000</w:t>
            </w:r>
          </w:p>
        </w:tc>
      </w:tr>
    </w:tbl>
    <w:p w14:paraId="48B0831B">
      <w:pP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14.1</w:t>
      </w:r>
      <w:r>
        <w:rPr>
          <w:rFonts w:hint="eastAsia" w:cs="Times New Roman"/>
          <w:color w:val="auto"/>
          <w:highlight w:val="none"/>
          <w:lang w:val="en-US" w:eastAsia="zh-CN"/>
        </w:rPr>
        <w:t>4</w:t>
      </w:r>
      <w:r>
        <w:rPr>
          <w:rFonts w:hint="eastAsia" w:ascii="Times New Roman" w:hAnsi="Times New Roman" w:eastAsia="宋体" w:cs="Times New Roman"/>
          <w:color w:val="auto"/>
          <w:highlight w:val="none"/>
          <w:lang w:val="en-US" w:eastAsia="zh-CN"/>
        </w:rPr>
        <w:t>.2质量安全履责行为违约金支付标准</w:t>
      </w:r>
    </w:p>
    <w:p w14:paraId="76274442">
      <w:pPr>
        <w:rPr>
          <w:rFonts w:hint="default" w:eastAsia="宋体"/>
          <w:color w:val="auto"/>
          <w:highlight w:val="none"/>
          <w:lang w:val="en-US" w:eastAsia="zh-CN"/>
        </w:rPr>
      </w:pPr>
    </w:p>
    <w:tbl>
      <w:tblPr>
        <w:tblStyle w:val="43"/>
        <w:tblW w:w="1051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0"/>
        <w:gridCol w:w="540"/>
        <w:gridCol w:w="7981"/>
        <w:gridCol w:w="1364"/>
      </w:tblGrid>
      <w:tr w14:paraId="26F15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jc w:val="center"/>
        </w:trPr>
        <w:tc>
          <w:tcPr>
            <w:tcW w:w="630" w:type="dxa"/>
            <w:noWrap w:val="0"/>
            <w:textDirection w:val="tbRlV"/>
            <w:vAlign w:val="top"/>
          </w:tcPr>
          <w:p w14:paraId="52200E2D">
            <w:pPr>
              <w:pStyle w:val="4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ascii="宋体" w:hAnsi="宋体" w:eastAsia="宋体" w:cs="宋体"/>
                <w:color w:val="auto"/>
                <w:highlight w:val="none"/>
                <w:lang w:val="en-US" w:eastAsia="zh-CN"/>
              </w:rPr>
            </w:pPr>
            <w:r>
              <w:rPr>
                <w:rFonts w:hint="eastAsia" w:cs="宋体"/>
                <w:color w:val="auto"/>
                <w:highlight w:val="none"/>
                <w:lang w:val="en-US" w:eastAsia="zh-CN"/>
              </w:rPr>
              <w:t>序号</w:t>
            </w:r>
          </w:p>
        </w:tc>
        <w:tc>
          <w:tcPr>
            <w:tcW w:w="540" w:type="dxa"/>
            <w:noWrap w:val="0"/>
            <w:vAlign w:val="top"/>
          </w:tcPr>
          <w:p w14:paraId="4402E59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p w14:paraId="57B93FAB">
            <w:pPr>
              <w:pStyle w:val="42"/>
              <w:keepNext w:val="0"/>
              <w:keepLines w:val="0"/>
              <w:pageBreakBefore w:val="0"/>
              <w:widowControl w:val="0"/>
              <w:kinsoku/>
              <w:wordWrap/>
              <w:overflowPunct/>
              <w:topLinePunct w:val="0"/>
              <w:autoSpaceDE/>
              <w:autoSpaceDN/>
              <w:bidi w:val="0"/>
              <w:adjustRightInd/>
              <w:snapToGrid/>
              <w:spacing w:line="360" w:lineRule="exact"/>
              <w:ind w:right="110"/>
              <w:textAlignment w:val="auto"/>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检查</w:t>
            </w:r>
            <w:r>
              <w:rPr>
                <w:rFonts w:hint="eastAsia" w:cs="宋体"/>
                <w:color w:val="auto"/>
                <w:highlight w:val="none"/>
                <w:lang w:val="en-US" w:eastAsia="zh-CN"/>
              </w:rPr>
              <w:t>项目</w:t>
            </w:r>
          </w:p>
        </w:tc>
        <w:tc>
          <w:tcPr>
            <w:tcW w:w="7981" w:type="dxa"/>
            <w:noWrap w:val="0"/>
            <w:vAlign w:val="top"/>
          </w:tcPr>
          <w:p w14:paraId="1791B64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p w14:paraId="7160F8EF">
            <w:pPr>
              <w:pStyle w:val="42"/>
              <w:keepNext w:val="0"/>
              <w:keepLines w:val="0"/>
              <w:pageBreakBefore w:val="0"/>
              <w:widowControl w:val="0"/>
              <w:kinsoku/>
              <w:wordWrap/>
              <w:overflowPunct/>
              <w:topLinePunct w:val="0"/>
              <w:autoSpaceDE/>
              <w:autoSpaceDN/>
              <w:bidi w:val="0"/>
              <w:adjustRightInd/>
              <w:snapToGrid/>
              <w:spacing w:line="360" w:lineRule="exact"/>
              <w:ind w:left="2584"/>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检查内容</w:t>
            </w:r>
          </w:p>
        </w:tc>
        <w:tc>
          <w:tcPr>
            <w:tcW w:w="1364" w:type="dxa"/>
            <w:noWrap w:val="0"/>
            <w:vAlign w:val="top"/>
          </w:tcPr>
          <w:p w14:paraId="2EBCD1A2">
            <w:pPr>
              <w:pStyle w:val="42"/>
              <w:keepNext w:val="0"/>
              <w:keepLines w:val="0"/>
              <w:pageBreakBefore w:val="0"/>
              <w:widowControl w:val="0"/>
              <w:kinsoku/>
              <w:wordWrap/>
              <w:overflowPunct/>
              <w:topLinePunct w:val="0"/>
              <w:autoSpaceDE/>
              <w:autoSpaceDN/>
              <w:bidi w:val="0"/>
              <w:adjustRightInd/>
              <w:snapToGrid/>
              <w:spacing w:line="360" w:lineRule="exact"/>
              <w:ind w:right="227"/>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违约金额</w:t>
            </w:r>
            <w:r>
              <w:rPr>
                <w:rFonts w:hint="eastAsia" w:ascii="宋体" w:hAnsi="宋体" w:eastAsia="宋体" w:cs="宋体"/>
                <w:color w:val="auto"/>
                <w:highlight w:val="none"/>
              </w:rPr>
              <w:t xml:space="preserve">  </w:t>
            </w:r>
            <w:r>
              <w:rPr>
                <w:rFonts w:hint="eastAsia" w:ascii="宋体" w:hAnsi="宋体" w:eastAsia="宋体" w:cs="宋体"/>
                <w:color w:val="auto"/>
                <w:spacing w:val="-3"/>
                <w:highlight w:val="none"/>
              </w:rPr>
              <w:t>（元/条.人.</w:t>
            </w:r>
          </w:p>
          <w:p w14:paraId="6156EA22">
            <w:pPr>
              <w:pStyle w:val="42"/>
              <w:keepNext w:val="0"/>
              <w:keepLines w:val="0"/>
              <w:pageBreakBefore w:val="0"/>
              <w:widowControl w:val="0"/>
              <w:kinsoku/>
              <w:wordWrap/>
              <w:overflowPunct/>
              <w:topLinePunct w:val="0"/>
              <w:autoSpaceDE/>
              <w:autoSpaceDN/>
              <w:bidi w:val="0"/>
              <w:adjustRightInd/>
              <w:snapToGrid/>
              <w:spacing w:line="360" w:lineRule="exact"/>
              <w:ind w:left="554"/>
              <w:textAlignment w:val="auto"/>
              <w:rPr>
                <w:rFonts w:hint="eastAsia" w:ascii="宋体" w:hAnsi="宋体" w:eastAsia="宋体" w:cs="宋体"/>
                <w:color w:val="auto"/>
                <w:highlight w:val="none"/>
              </w:rPr>
            </w:pPr>
            <w:r>
              <w:rPr>
                <w:rFonts w:hint="eastAsia" w:ascii="宋体" w:hAnsi="宋体" w:eastAsia="宋体" w:cs="宋体"/>
                <w:color w:val="auto"/>
                <w:spacing w:val="-6"/>
                <w:highlight w:val="none"/>
              </w:rPr>
              <w:t>处）</w:t>
            </w:r>
          </w:p>
        </w:tc>
      </w:tr>
      <w:tr w14:paraId="3CD48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30" w:type="dxa"/>
            <w:vMerge w:val="restart"/>
            <w:tcBorders>
              <w:bottom w:val="nil"/>
            </w:tcBorders>
            <w:noWrap w:val="0"/>
            <w:vAlign w:val="top"/>
          </w:tcPr>
          <w:p w14:paraId="376801F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p w14:paraId="7C79F594">
            <w:pPr>
              <w:pStyle w:val="42"/>
              <w:keepNext w:val="0"/>
              <w:keepLines w:val="0"/>
              <w:pageBreakBefore w:val="0"/>
              <w:widowControl w:val="0"/>
              <w:kinsoku/>
              <w:wordWrap/>
              <w:overflowPunct/>
              <w:topLinePunct w:val="0"/>
              <w:autoSpaceDE/>
              <w:autoSpaceDN/>
              <w:bidi w:val="0"/>
              <w:adjustRightInd/>
              <w:snapToGrid/>
              <w:spacing w:line="360" w:lineRule="exact"/>
              <w:ind w:left="185"/>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540" w:type="dxa"/>
            <w:vMerge w:val="restart"/>
            <w:tcBorders>
              <w:bottom w:val="nil"/>
            </w:tcBorders>
            <w:noWrap w:val="0"/>
            <w:vAlign w:val="top"/>
          </w:tcPr>
          <w:p w14:paraId="4C6897A3">
            <w:pPr>
              <w:pStyle w:val="42"/>
              <w:keepNext w:val="0"/>
              <w:keepLines w:val="0"/>
              <w:pageBreakBefore w:val="0"/>
              <w:widowControl w:val="0"/>
              <w:kinsoku/>
              <w:wordWrap/>
              <w:overflowPunct/>
              <w:topLinePunct w:val="0"/>
              <w:autoSpaceDE/>
              <w:autoSpaceDN/>
              <w:bidi w:val="0"/>
              <w:adjustRightInd/>
              <w:snapToGrid/>
              <w:spacing w:line="360" w:lineRule="exact"/>
              <w:ind w:right="110"/>
              <w:textAlignment w:val="auto"/>
              <w:rPr>
                <w:rFonts w:hint="default" w:ascii="宋体" w:hAnsi="宋体" w:eastAsia="宋体" w:cs="宋体"/>
                <w:color w:val="auto"/>
                <w:highlight w:val="none"/>
                <w:lang w:val="en-US" w:eastAsia="zh-CN"/>
              </w:rPr>
            </w:pPr>
            <w:r>
              <w:rPr>
                <w:rFonts w:hint="eastAsia" w:cs="宋体"/>
                <w:color w:val="auto"/>
                <w:highlight w:val="none"/>
                <w:lang w:val="en-US" w:eastAsia="zh-CN"/>
              </w:rPr>
              <w:t>组织机构</w:t>
            </w:r>
          </w:p>
        </w:tc>
        <w:tc>
          <w:tcPr>
            <w:tcW w:w="7981" w:type="dxa"/>
            <w:noWrap w:val="0"/>
            <w:vAlign w:val="top"/>
          </w:tcPr>
          <w:p w14:paraId="07487C7A">
            <w:pPr>
              <w:pStyle w:val="42"/>
              <w:keepNext w:val="0"/>
              <w:keepLines w:val="0"/>
              <w:pageBreakBefore w:val="0"/>
              <w:widowControl w:val="0"/>
              <w:kinsoku/>
              <w:wordWrap/>
              <w:overflowPunct/>
              <w:topLinePunct w:val="0"/>
              <w:autoSpaceDE/>
              <w:autoSpaceDN/>
              <w:bidi w:val="0"/>
              <w:adjustRightInd/>
              <w:snapToGrid/>
              <w:spacing w:line="360" w:lineRule="exact"/>
              <w:ind w:left="111" w:right="192" w:firstLine="11"/>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1.项目经理、技术负责人、项目部“五大员</w:t>
            </w:r>
            <w:r>
              <w:rPr>
                <w:rFonts w:hint="eastAsia" w:ascii="宋体" w:hAnsi="宋体" w:eastAsia="宋体" w:cs="宋体"/>
                <w:color w:val="auto"/>
                <w:spacing w:val="-48"/>
                <w:highlight w:val="none"/>
              </w:rPr>
              <w:t xml:space="preserve"> </w:t>
            </w:r>
            <w:r>
              <w:rPr>
                <w:rFonts w:hint="eastAsia" w:ascii="宋体" w:hAnsi="宋体" w:eastAsia="宋体" w:cs="宋体"/>
                <w:color w:val="auto"/>
                <w:spacing w:val="-2"/>
                <w:highlight w:val="none"/>
              </w:rPr>
              <w:t>”等人员与投标文件是否相</w:t>
            </w:r>
            <w:r>
              <w:rPr>
                <w:rFonts w:hint="eastAsia" w:ascii="宋体" w:hAnsi="宋体" w:eastAsia="宋体" w:cs="宋体"/>
                <w:color w:val="auto"/>
                <w:highlight w:val="none"/>
              </w:rPr>
              <w:t xml:space="preserve"> </w:t>
            </w:r>
            <w:r>
              <w:rPr>
                <w:rFonts w:hint="eastAsia" w:ascii="宋体" w:hAnsi="宋体" w:eastAsia="宋体" w:cs="宋体"/>
                <w:color w:val="auto"/>
                <w:spacing w:val="-2"/>
                <w:highlight w:val="none"/>
              </w:rPr>
              <w:t>符，是否在岗履责</w:t>
            </w:r>
          </w:p>
        </w:tc>
        <w:tc>
          <w:tcPr>
            <w:tcW w:w="1364" w:type="dxa"/>
            <w:vMerge w:val="restart"/>
            <w:tcBorders>
              <w:bottom w:val="nil"/>
            </w:tcBorders>
            <w:noWrap w:val="0"/>
            <w:vAlign w:val="top"/>
          </w:tcPr>
          <w:p w14:paraId="4E64A783">
            <w:pPr>
              <w:pStyle w:val="42"/>
              <w:keepNext w:val="0"/>
              <w:keepLines w:val="0"/>
              <w:pageBreakBefore w:val="0"/>
              <w:widowControl w:val="0"/>
              <w:kinsoku/>
              <w:wordWrap/>
              <w:overflowPunct/>
              <w:topLinePunct w:val="0"/>
              <w:autoSpaceDE/>
              <w:autoSpaceDN/>
              <w:bidi w:val="0"/>
              <w:adjustRightInd/>
              <w:snapToGrid/>
              <w:spacing w:line="360" w:lineRule="exact"/>
              <w:ind w:left="642" w:right="183" w:hanging="450"/>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按合同文件执</w:t>
            </w:r>
            <w:r>
              <w:rPr>
                <w:rFonts w:hint="eastAsia" w:ascii="宋体" w:hAnsi="宋体" w:eastAsia="宋体" w:cs="宋体"/>
                <w:color w:val="auto"/>
                <w:spacing w:val="2"/>
                <w:highlight w:val="none"/>
              </w:rPr>
              <w:t xml:space="preserve"> </w:t>
            </w:r>
            <w:r>
              <w:rPr>
                <w:rFonts w:hint="eastAsia" w:ascii="宋体" w:hAnsi="宋体" w:eastAsia="宋体" w:cs="宋体"/>
                <w:color w:val="auto"/>
                <w:highlight w:val="none"/>
              </w:rPr>
              <w:t>行</w:t>
            </w:r>
          </w:p>
        </w:tc>
      </w:tr>
      <w:tr w14:paraId="28ECE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630" w:type="dxa"/>
            <w:vMerge w:val="continue"/>
            <w:tcBorders>
              <w:top w:val="nil"/>
            </w:tcBorders>
            <w:noWrap w:val="0"/>
            <w:vAlign w:val="top"/>
          </w:tcPr>
          <w:p w14:paraId="6EE49D4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tc>
        <w:tc>
          <w:tcPr>
            <w:tcW w:w="540" w:type="dxa"/>
            <w:vMerge w:val="continue"/>
            <w:tcBorders>
              <w:top w:val="nil"/>
            </w:tcBorders>
            <w:noWrap w:val="0"/>
            <w:vAlign w:val="top"/>
          </w:tcPr>
          <w:p w14:paraId="6CFDEA7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tc>
        <w:tc>
          <w:tcPr>
            <w:tcW w:w="7981" w:type="dxa"/>
            <w:noWrap w:val="0"/>
            <w:vAlign w:val="top"/>
          </w:tcPr>
          <w:p w14:paraId="032D568D">
            <w:pPr>
              <w:pStyle w:val="42"/>
              <w:keepNext w:val="0"/>
              <w:keepLines w:val="0"/>
              <w:pageBreakBefore w:val="0"/>
              <w:widowControl w:val="0"/>
              <w:kinsoku/>
              <w:wordWrap/>
              <w:overflowPunct/>
              <w:topLinePunct w:val="0"/>
              <w:autoSpaceDE/>
              <w:autoSpaceDN/>
              <w:bidi w:val="0"/>
              <w:adjustRightInd/>
              <w:snapToGrid/>
              <w:spacing w:line="360" w:lineRule="exact"/>
              <w:ind w:left="112"/>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2.项目经理等主要管理人员是否擅自变更</w:t>
            </w:r>
          </w:p>
        </w:tc>
        <w:tc>
          <w:tcPr>
            <w:tcW w:w="1364" w:type="dxa"/>
            <w:vMerge w:val="continue"/>
            <w:tcBorders>
              <w:top w:val="nil"/>
            </w:tcBorders>
            <w:noWrap w:val="0"/>
            <w:vAlign w:val="top"/>
          </w:tcPr>
          <w:p w14:paraId="57BB593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tc>
      </w:tr>
      <w:tr w14:paraId="17244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630" w:type="dxa"/>
            <w:vMerge w:val="restart"/>
            <w:tcBorders>
              <w:bottom w:val="nil"/>
            </w:tcBorders>
            <w:noWrap w:val="0"/>
            <w:vAlign w:val="top"/>
          </w:tcPr>
          <w:p w14:paraId="537183C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p w14:paraId="1A1236C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p w14:paraId="170465C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p w14:paraId="23D31EAB">
            <w:pPr>
              <w:pStyle w:val="42"/>
              <w:keepNext w:val="0"/>
              <w:keepLines w:val="0"/>
              <w:pageBreakBefore w:val="0"/>
              <w:widowControl w:val="0"/>
              <w:kinsoku/>
              <w:wordWrap/>
              <w:overflowPunct/>
              <w:topLinePunct w:val="0"/>
              <w:autoSpaceDE/>
              <w:autoSpaceDN/>
              <w:bidi w:val="0"/>
              <w:adjustRightInd/>
              <w:snapToGrid/>
              <w:spacing w:line="360" w:lineRule="exact"/>
              <w:ind w:left="173"/>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540" w:type="dxa"/>
            <w:vMerge w:val="restart"/>
            <w:tcBorders>
              <w:bottom w:val="nil"/>
            </w:tcBorders>
            <w:noWrap w:val="0"/>
            <w:vAlign w:val="top"/>
          </w:tcPr>
          <w:p w14:paraId="07ED062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p w14:paraId="1A93CE23">
            <w:pPr>
              <w:pStyle w:val="42"/>
              <w:keepNext w:val="0"/>
              <w:keepLines w:val="0"/>
              <w:pageBreakBefore w:val="0"/>
              <w:widowControl w:val="0"/>
              <w:kinsoku/>
              <w:wordWrap/>
              <w:overflowPunct/>
              <w:topLinePunct w:val="0"/>
              <w:autoSpaceDE/>
              <w:autoSpaceDN/>
              <w:bidi w:val="0"/>
              <w:adjustRightInd/>
              <w:snapToGrid/>
              <w:spacing w:line="360" w:lineRule="exact"/>
              <w:ind w:right="11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管理制度</w:t>
            </w:r>
          </w:p>
        </w:tc>
        <w:tc>
          <w:tcPr>
            <w:tcW w:w="7981" w:type="dxa"/>
            <w:noWrap w:val="0"/>
            <w:vAlign w:val="top"/>
          </w:tcPr>
          <w:p w14:paraId="4B388289">
            <w:pPr>
              <w:pStyle w:val="42"/>
              <w:keepNext w:val="0"/>
              <w:keepLines w:val="0"/>
              <w:pageBreakBefore w:val="0"/>
              <w:widowControl w:val="0"/>
              <w:kinsoku/>
              <w:wordWrap/>
              <w:overflowPunct/>
              <w:topLinePunct w:val="0"/>
              <w:autoSpaceDE/>
              <w:autoSpaceDN/>
              <w:bidi w:val="0"/>
              <w:adjustRightInd/>
              <w:snapToGrid/>
              <w:spacing w:line="360" w:lineRule="exact"/>
              <w:ind w:left="123"/>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1.项目部质量安全体系是否建立健全</w:t>
            </w:r>
          </w:p>
        </w:tc>
        <w:tc>
          <w:tcPr>
            <w:tcW w:w="1364" w:type="dxa"/>
            <w:noWrap w:val="0"/>
            <w:vAlign w:val="center"/>
          </w:tcPr>
          <w:p w14:paraId="7143047C">
            <w:pPr>
              <w:pStyle w:val="42"/>
              <w:keepNext w:val="0"/>
              <w:keepLines w:val="0"/>
              <w:pageBreakBefore w:val="0"/>
              <w:widowControl w:val="0"/>
              <w:kinsoku/>
              <w:wordWrap/>
              <w:overflowPunct/>
              <w:topLinePunct w:val="0"/>
              <w:autoSpaceDE/>
              <w:autoSpaceDN/>
              <w:bidi w:val="0"/>
              <w:adjustRightInd/>
              <w:snapToGrid/>
              <w:spacing w:line="360" w:lineRule="exact"/>
              <w:ind w:left="553"/>
              <w:jc w:val="both"/>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2000</w:t>
            </w:r>
          </w:p>
        </w:tc>
      </w:tr>
      <w:tr w14:paraId="3058C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630" w:type="dxa"/>
            <w:vMerge w:val="continue"/>
            <w:tcBorders>
              <w:top w:val="nil"/>
              <w:bottom w:val="nil"/>
            </w:tcBorders>
            <w:noWrap w:val="0"/>
            <w:vAlign w:val="top"/>
          </w:tcPr>
          <w:p w14:paraId="3A6399D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tc>
        <w:tc>
          <w:tcPr>
            <w:tcW w:w="540" w:type="dxa"/>
            <w:vMerge w:val="continue"/>
            <w:tcBorders>
              <w:top w:val="nil"/>
              <w:bottom w:val="nil"/>
            </w:tcBorders>
            <w:noWrap w:val="0"/>
            <w:vAlign w:val="top"/>
          </w:tcPr>
          <w:p w14:paraId="489548B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tc>
        <w:tc>
          <w:tcPr>
            <w:tcW w:w="7981" w:type="dxa"/>
            <w:noWrap w:val="0"/>
            <w:vAlign w:val="top"/>
          </w:tcPr>
          <w:p w14:paraId="3A6FE732">
            <w:pPr>
              <w:pStyle w:val="42"/>
              <w:keepNext w:val="0"/>
              <w:keepLines w:val="0"/>
              <w:pageBreakBefore w:val="0"/>
              <w:widowControl w:val="0"/>
              <w:kinsoku/>
              <w:wordWrap/>
              <w:overflowPunct/>
              <w:topLinePunct w:val="0"/>
              <w:autoSpaceDE/>
              <w:autoSpaceDN/>
              <w:bidi w:val="0"/>
              <w:adjustRightInd/>
              <w:snapToGrid/>
              <w:spacing w:line="360" w:lineRule="exact"/>
              <w:ind w:left="112"/>
              <w:textAlignment w:val="auto"/>
              <w:rPr>
                <w:rFonts w:hint="eastAsia" w:ascii="宋体" w:hAnsi="宋体" w:eastAsia="宋体" w:cs="宋体"/>
                <w:color w:val="auto"/>
                <w:highlight w:val="none"/>
              </w:rPr>
            </w:pPr>
            <w:r>
              <w:rPr>
                <w:rFonts w:hint="eastAsia" w:ascii="宋体" w:hAnsi="宋体" w:eastAsia="宋体" w:cs="宋体"/>
                <w:color w:val="auto"/>
                <w:highlight w:val="none"/>
              </w:rPr>
              <w:t>2.各类规章制度是否建立，是否按行业主管</w:t>
            </w:r>
            <w:r>
              <w:rPr>
                <w:rFonts w:hint="eastAsia" w:ascii="宋体" w:hAnsi="宋体" w:eastAsia="宋体" w:cs="宋体"/>
                <w:color w:val="auto"/>
                <w:spacing w:val="-1"/>
                <w:highlight w:val="none"/>
              </w:rPr>
              <w:t>部门要求设立劳资专管员</w:t>
            </w:r>
          </w:p>
        </w:tc>
        <w:tc>
          <w:tcPr>
            <w:tcW w:w="1364" w:type="dxa"/>
            <w:noWrap w:val="0"/>
            <w:vAlign w:val="center"/>
          </w:tcPr>
          <w:p w14:paraId="0A6065B6">
            <w:pPr>
              <w:pStyle w:val="42"/>
              <w:keepNext w:val="0"/>
              <w:keepLines w:val="0"/>
              <w:pageBreakBefore w:val="0"/>
              <w:widowControl w:val="0"/>
              <w:kinsoku/>
              <w:wordWrap/>
              <w:overflowPunct/>
              <w:topLinePunct w:val="0"/>
              <w:autoSpaceDE/>
              <w:autoSpaceDN/>
              <w:bidi w:val="0"/>
              <w:adjustRightInd/>
              <w:snapToGrid/>
              <w:spacing w:line="360" w:lineRule="exact"/>
              <w:ind w:left="564"/>
              <w:jc w:val="both"/>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1000</w:t>
            </w:r>
          </w:p>
        </w:tc>
      </w:tr>
      <w:tr w14:paraId="3CE0C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630" w:type="dxa"/>
            <w:vMerge w:val="continue"/>
            <w:tcBorders>
              <w:top w:val="nil"/>
              <w:bottom w:val="nil"/>
            </w:tcBorders>
            <w:noWrap w:val="0"/>
            <w:vAlign w:val="top"/>
          </w:tcPr>
          <w:p w14:paraId="60C788F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tc>
        <w:tc>
          <w:tcPr>
            <w:tcW w:w="540" w:type="dxa"/>
            <w:vMerge w:val="continue"/>
            <w:tcBorders>
              <w:top w:val="nil"/>
              <w:bottom w:val="nil"/>
            </w:tcBorders>
            <w:noWrap w:val="0"/>
            <w:vAlign w:val="top"/>
          </w:tcPr>
          <w:p w14:paraId="5DCA7CA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tc>
        <w:tc>
          <w:tcPr>
            <w:tcW w:w="7981" w:type="dxa"/>
            <w:noWrap w:val="0"/>
            <w:vAlign w:val="top"/>
          </w:tcPr>
          <w:p w14:paraId="334139AF">
            <w:pPr>
              <w:pStyle w:val="42"/>
              <w:keepNext w:val="0"/>
              <w:keepLines w:val="0"/>
              <w:pageBreakBefore w:val="0"/>
              <w:widowControl w:val="0"/>
              <w:kinsoku/>
              <w:wordWrap/>
              <w:overflowPunct/>
              <w:topLinePunct w:val="0"/>
              <w:autoSpaceDE/>
              <w:autoSpaceDN/>
              <w:bidi w:val="0"/>
              <w:adjustRightInd/>
              <w:snapToGrid/>
              <w:spacing w:line="360" w:lineRule="exact"/>
              <w:ind w:left="114"/>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3.是否按要求参加发包人工程调度会</w:t>
            </w:r>
          </w:p>
        </w:tc>
        <w:tc>
          <w:tcPr>
            <w:tcW w:w="1364" w:type="dxa"/>
            <w:noWrap w:val="0"/>
            <w:vAlign w:val="center"/>
          </w:tcPr>
          <w:p w14:paraId="0762071F">
            <w:pPr>
              <w:pStyle w:val="42"/>
              <w:keepNext w:val="0"/>
              <w:keepLines w:val="0"/>
              <w:pageBreakBefore w:val="0"/>
              <w:widowControl w:val="0"/>
              <w:kinsoku/>
              <w:wordWrap/>
              <w:overflowPunct/>
              <w:topLinePunct w:val="0"/>
              <w:autoSpaceDE/>
              <w:autoSpaceDN/>
              <w:bidi w:val="0"/>
              <w:adjustRightInd/>
              <w:snapToGrid/>
              <w:spacing w:line="360" w:lineRule="exact"/>
              <w:ind w:left="564"/>
              <w:jc w:val="both"/>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1000</w:t>
            </w:r>
          </w:p>
        </w:tc>
      </w:tr>
      <w:tr w14:paraId="6FA6E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 w:hRule="atLeast"/>
          <w:jc w:val="center"/>
        </w:trPr>
        <w:tc>
          <w:tcPr>
            <w:tcW w:w="630" w:type="dxa"/>
            <w:vMerge w:val="continue"/>
            <w:tcBorders>
              <w:top w:val="nil"/>
            </w:tcBorders>
            <w:noWrap w:val="0"/>
            <w:vAlign w:val="top"/>
          </w:tcPr>
          <w:p w14:paraId="68C333A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tc>
        <w:tc>
          <w:tcPr>
            <w:tcW w:w="540" w:type="dxa"/>
            <w:vMerge w:val="continue"/>
            <w:tcBorders>
              <w:top w:val="nil"/>
            </w:tcBorders>
            <w:noWrap w:val="0"/>
            <w:vAlign w:val="top"/>
          </w:tcPr>
          <w:p w14:paraId="0657233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tc>
        <w:tc>
          <w:tcPr>
            <w:tcW w:w="7981" w:type="dxa"/>
            <w:noWrap w:val="0"/>
            <w:vAlign w:val="top"/>
          </w:tcPr>
          <w:p w14:paraId="5AF031C0">
            <w:pPr>
              <w:pStyle w:val="42"/>
              <w:keepNext w:val="0"/>
              <w:keepLines w:val="0"/>
              <w:pageBreakBefore w:val="0"/>
              <w:widowControl w:val="0"/>
              <w:kinsoku/>
              <w:wordWrap/>
              <w:overflowPunct/>
              <w:topLinePunct w:val="0"/>
              <w:autoSpaceDE/>
              <w:autoSpaceDN/>
              <w:bidi w:val="0"/>
              <w:adjustRightInd/>
              <w:snapToGrid/>
              <w:spacing w:line="360" w:lineRule="exact"/>
              <w:ind w:left="112" w:right="192" w:hanging="3"/>
              <w:textAlignment w:val="auto"/>
              <w:rPr>
                <w:rFonts w:hint="eastAsia" w:ascii="宋体" w:hAnsi="宋体" w:eastAsia="宋体" w:cs="宋体"/>
                <w:color w:val="auto"/>
                <w:highlight w:val="none"/>
              </w:rPr>
            </w:pPr>
            <w:r>
              <w:rPr>
                <w:rFonts w:hint="eastAsia" w:ascii="宋体" w:hAnsi="宋体" w:eastAsia="宋体" w:cs="宋体"/>
                <w:color w:val="auto"/>
                <w:highlight w:val="none"/>
              </w:rPr>
              <w:t>4.施工企业是否定期对项目部检查，是否在重大节假</w:t>
            </w:r>
            <w:r>
              <w:rPr>
                <w:rFonts w:hint="eastAsia" w:ascii="宋体" w:hAnsi="宋体" w:eastAsia="宋体" w:cs="宋体"/>
                <w:color w:val="auto"/>
                <w:spacing w:val="-1"/>
                <w:highlight w:val="none"/>
              </w:rPr>
              <w:t>日及停复工时期进</w:t>
            </w:r>
            <w:r>
              <w:rPr>
                <w:rFonts w:hint="eastAsia" w:ascii="宋体" w:hAnsi="宋体" w:eastAsia="宋体" w:cs="宋体"/>
                <w:color w:val="auto"/>
                <w:highlight w:val="none"/>
              </w:rPr>
              <w:t xml:space="preserve"> </w:t>
            </w:r>
            <w:r>
              <w:rPr>
                <w:rFonts w:hint="eastAsia" w:ascii="宋体" w:hAnsi="宋体" w:eastAsia="宋体" w:cs="宋体"/>
                <w:color w:val="auto"/>
                <w:spacing w:val="-4"/>
                <w:highlight w:val="none"/>
              </w:rPr>
              <w:t>行检查</w:t>
            </w:r>
          </w:p>
        </w:tc>
        <w:tc>
          <w:tcPr>
            <w:tcW w:w="1364" w:type="dxa"/>
            <w:noWrap w:val="0"/>
            <w:vAlign w:val="center"/>
          </w:tcPr>
          <w:p w14:paraId="1EB71731">
            <w:pPr>
              <w:pStyle w:val="42"/>
              <w:keepNext w:val="0"/>
              <w:keepLines w:val="0"/>
              <w:pageBreakBefore w:val="0"/>
              <w:widowControl w:val="0"/>
              <w:kinsoku/>
              <w:wordWrap/>
              <w:overflowPunct/>
              <w:topLinePunct w:val="0"/>
              <w:autoSpaceDE/>
              <w:autoSpaceDN/>
              <w:bidi w:val="0"/>
              <w:adjustRightInd/>
              <w:snapToGrid/>
              <w:spacing w:line="360" w:lineRule="exact"/>
              <w:ind w:left="564"/>
              <w:jc w:val="both"/>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1000</w:t>
            </w:r>
          </w:p>
        </w:tc>
      </w:tr>
      <w:tr w14:paraId="21394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630" w:type="dxa"/>
            <w:vMerge w:val="restart"/>
            <w:tcBorders>
              <w:bottom w:val="nil"/>
            </w:tcBorders>
            <w:noWrap w:val="0"/>
            <w:vAlign w:val="top"/>
          </w:tcPr>
          <w:p w14:paraId="07E1BAD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p w14:paraId="032729F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p w14:paraId="0DE64A34">
            <w:pPr>
              <w:pStyle w:val="42"/>
              <w:keepNext w:val="0"/>
              <w:keepLines w:val="0"/>
              <w:pageBreakBefore w:val="0"/>
              <w:widowControl w:val="0"/>
              <w:kinsoku/>
              <w:wordWrap/>
              <w:overflowPunct/>
              <w:topLinePunct w:val="0"/>
              <w:autoSpaceDE/>
              <w:autoSpaceDN/>
              <w:bidi w:val="0"/>
              <w:adjustRightInd/>
              <w:snapToGrid/>
              <w:spacing w:line="360" w:lineRule="exact"/>
              <w:ind w:left="175"/>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540" w:type="dxa"/>
            <w:vMerge w:val="restart"/>
            <w:tcBorders>
              <w:bottom w:val="nil"/>
            </w:tcBorders>
            <w:noWrap w:val="0"/>
            <w:vAlign w:val="top"/>
          </w:tcPr>
          <w:p w14:paraId="5BC0865A">
            <w:pPr>
              <w:pStyle w:val="42"/>
              <w:keepNext w:val="0"/>
              <w:keepLines w:val="0"/>
              <w:pageBreakBefore w:val="0"/>
              <w:widowControl w:val="0"/>
              <w:kinsoku/>
              <w:wordWrap/>
              <w:overflowPunct/>
              <w:topLinePunct w:val="0"/>
              <w:autoSpaceDE/>
              <w:autoSpaceDN/>
              <w:bidi w:val="0"/>
              <w:adjustRightInd/>
              <w:snapToGrid/>
              <w:spacing w:line="360" w:lineRule="exact"/>
              <w:ind w:right="110"/>
              <w:textAlignment w:val="auto"/>
              <w:rPr>
                <w:rFonts w:hint="eastAsia" w:ascii="宋体" w:hAnsi="宋体" w:eastAsia="宋体" w:cs="宋体"/>
                <w:color w:val="auto"/>
                <w:highlight w:val="none"/>
                <w:lang w:val="en-US" w:eastAsia="zh-CN"/>
              </w:rPr>
            </w:pPr>
            <w:r>
              <w:rPr>
                <w:rFonts w:hint="eastAsia" w:cs="宋体"/>
                <w:color w:val="auto"/>
                <w:highlight w:val="none"/>
                <w:lang w:val="en-US" w:eastAsia="zh-CN"/>
              </w:rPr>
              <w:t>技术准备</w:t>
            </w:r>
          </w:p>
        </w:tc>
        <w:tc>
          <w:tcPr>
            <w:tcW w:w="7981" w:type="dxa"/>
            <w:noWrap w:val="0"/>
            <w:vAlign w:val="top"/>
          </w:tcPr>
          <w:p w14:paraId="508E1F07">
            <w:pPr>
              <w:pStyle w:val="42"/>
              <w:keepNext w:val="0"/>
              <w:keepLines w:val="0"/>
              <w:pageBreakBefore w:val="0"/>
              <w:widowControl w:val="0"/>
              <w:kinsoku/>
              <w:wordWrap/>
              <w:overflowPunct/>
              <w:topLinePunct w:val="0"/>
              <w:autoSpaceDE/>
              <w:autoSpaceDN/>
              <w:bidi w:val="0"/>
              <w:adjustRightInd/>
              <w:snapToGrid/>
              <w:spacing w:line="360" w:lineRule="exact"/>
              <w:ind w:left="111" w:right="192" w:firstLine="11"/>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1.是否及时编制实施性的施工组织设计、专项施工方案，并及时报监理</w:t>
            </w:r>
            <w:r>
              <w:rPr>
                <w:rFonts w:hint="eastAsia" w:ascii="宋体" w:hAnsi="宋体" w:eastAsia="宋体" w:cs="宋体"/>
                <w:color w:val="auto"/>
                <w:spacing w:val="10"/>
                <w:highlight w:val="none"/>
              </w:rPr>
              <w:t xml:space="preserve"> </w:t>
            </w:r>
            <w:r>
              <w:rPr>
                <w:rFonts w:hint="eastAsia" w:ascii="宋体" w:hAnsi="宋体" w:eastAsia="宋体" w:cs="宋体"/>
                <w:color w:val="auto"/>
                <w:spacing w:val="-3"/>
                <w:highlight w:val="none"/>
              </w:rPr>
              <w:t>单位审核</w:t>
            </w:r>
          </w:p>
        </w:tc>
        <w:tc>
          <w:tcPr>
            <w:tcW w:w="1364" w:type="dxa"/>
            <w:noWrap w:val="0"/>
            <w:vAlign w:val="center"/>
          </w:tcPr>
          <w:p w14:paraId="28B8CDA2">
            <w:pPr>
              <w:pStyle w:val="42"/>
              <w:keepNext w:val="0"/>
              <w:keepLines w:val="0"/>
              <w:pageBreakBefore w:val="0"/>
              <w:widowControl w:val="0"/>
              <w:kinsoku/>
              <w:wordWrap/>
              <w:overflowPunct/>
              <w:topLinePunct w:val="0"/>
              <w:autoSpaceDE/>
              <w:autoSpaceDN/>
              <w:bidi w:val="0"/>
              <w:adjustRightInd/>
              <w:snapToGrid/>
              <w:spacing w:line="360" w:lineRule="exact"/>
              <w:ind w:left="564"/>
              <w:jc w:val="both"/>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1000</w:t>
            </w:r>
          </w:p>
        </w:tc>
      </w:tr>
      <w:tr w14:paraId="41000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630" w:type="dxa"/>
            <w:vMerge w:val="continue"/>
            <w:tcBorders>
              <w:top w:val="nil"/>
              <w:bottom w:val="nil"/>
            </w:tcBorders>
            <w:noWrap w:val="0"/>
            <w:vAlign w:val="top"/>
          </w:tcPr>
          <w:p w14:paraId="6DE6CBE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tc>
        <w:tc>
          <w:tcPr>
            <w:tcW w:w="540" w:type="dxa"/>
            <w:vMerge w:val="continue"/>
            <w:tcBorders>
              <w:top w:val="nil"/>
              <w:bottom w:val="nil"/>
            </w:tcBorders>
            <w:noWrap w:val="0"/>
            <w:vAlign w:val="top"/>
          </w:tcPr>
          <w:p w14:paraId="140B000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tc>
        <w:tc>
          <w:tcPr>
            <w:tcW w:w="7981" w:type="dxa"/>
            <w:noWrap w:val="0"/>
            <w:vAlign w:val="top"/>
          </w:tcPr>
          <w:p w14:paraId="1908533C">
            <w:pPr>
              <w:pStyle w:val="42"/>
              <w:keepNext w:val="0"/>
              <w:keepLines w:val="0"/>
              <w:pageBreakBefore w:val="0"/>
              <w:widowControl w:val="0"/>
              <w:kinsoku/>
              <w:wordWrap/>
              <w:overflowPunct/>
              <w:topLinePunct w:val="0"/>
              <w:autoSpaceDE/>
              <w:autoSpaceDN/>
              <w:bidi w:val="0"/>
              <w:adjustRightInd/>
              <w:snapToGrid/>
              <w:spacing w:line="360" w:lineRule="exact"/>
              <w:ind w:left="112"/>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2.进场机械设备、机具是否按规定报验</w:t>
            </w:r>
          </w:p>
        </w:tc>
        <w:tc>
          <w:tcPr>
            <w:tcW w:w="1364" w:type="dxa"/>
            <w:noWrap w:val="0"/>
            <w:vAlign w:val="center"/>
          </w:tcPr>
          <w:p w14:paraId="425F750C">
            <w:pPr>
              <w:pStyle w:val="42"/>
              <w:keepNext w:val="0"/>
              <w:keepLines w:val="0"/>
              <w:pageBreakBefore w:val="0"/>
              <w:widowControl w:val="0"/>
              <w:kinsoku/>
              <w:wordWrap/>
              <w:overflowPunct/>
              <w:topLinePunct w:val="0"/>
              <w:autoSpaceDE/>
              <w:autoSpaceDN/>
              <w:bidi w:val="0"/>
              <w:adjustRightInd/>
              <w:snapToGrid/>
              <w:spacing w:line="360" w:lineRule="exact"/>
              <w:ind w:left="564"/>
              <w:jc w:val="both"/>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1000</w:t>
            </w:r>
          </w:p>
        </w:tc>
      </w:tr>
      <w:tr w14:paraId="24B75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630" w:type="dxa"/>
            <w:vMerge w:val="continue"/>
            <w:tcBorders>
              <w:top w:val="nil"/>
              <w:bottom w:val="nil"/>
            </w:tcBorders>
            <w:noWrap w:val="0"/>
            <w:vAlign w:val="top"/>
          </w:tcPr>
          <w:p w14:paraId="768EC71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tc>
        <w:tc>
          <w:tcPr>
            <w:tcW w:w="540" w:type="dxa"/>
            <w:vMerge w:val="continue"/>
            <w:tcBorders>
              <w:top w:val="nil"/>
              <w:bottom w:val="nil"/>
            </w:tcBorders>
            <w:noWrap w:val="0"/>
            <w:vAlign w:val="top"/>
          </w:tcPr>
          <w:p w14:paraId="645C9E3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tc>
        <w:tc>
          <w:tcPr>
            <w:tcW w:w="7981" w:type="dxa"/>
            <w:noWrap w:val="0"/>
            <w:vAlign w:val="top"/>
          </w:tcPr>
          <w:p w14:paraId="1C89F674">
            <w:pPr>
              <w:pStyle w:val="42"/>
              <w:keepNext w:val="0"/>
              <w:keepLines w:val="0"/>
              <w:pageBreakBefore w:val="0"/>
              <w:widowControl w:val="0"/>
              <w:kinsoku/>
              <w:wordWrap/>
              <w:overflowPunct/>
              <w:topLinePunct w:val="0"/>
              <w:autoSpaceDE/>
              <w:autoSpaceDN/>
              <w:bidi w:val="0"/>
              <w:adjustRightInd/>
              <w:snapToGrid/>
              <w:spacing w:line="360" w:lineRule="exact"/>
              <w:ind w:left="114"/>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3.现场存备的图集规范是否齐全，仪器设备配置是否规范</w:t>
            </w:r>
          </w:p>
        </w:tc>
        <w:tc>
          <w:tcPr>
            <w:tcW w:w="1364" w:type="dxa"/>
            <w:noWrap w:val="0"/>
            <w:vAlign w:val="center"/>
          </w:tcPr>
          <w:p w14:paraId="694003A9">
            <w:pPr>
              <w:pStyle w:val="42"/>
              <w:keepNext w:val="0"/>
              <w:keepLines w:val="0"/>
              <w:pageBreakBefore w:val="0"/>
              <w:widowControl w:val="0"/>
              <w:kinsoku/>
              <w:wordWrap/>
              <w:overflowPunct/>
              <w:topLinePunct w:val="0"/>
              <w:autoSpaceDE/>
              <w:autoSpaceDN/>
              <w:bidi w:val="0"/>
              <w:adjustRightInd/>
              <w:snapToGrid/>
              <w:spacing w:line="360" w:lineRule="exact"/>
              <w:ind w:left="600"/>
              <w:jc w:val="both"/>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500</w:t>
            </w:r>
          </w:p>
        </w:tc>
      </w:tr>
      <w:tr w14:paraId="10602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630" w:type="dxa"/>
            <w:vMerge w:val="continue"/>
            <w:tcBorders>
              <w:top w:val="nil"/>
              <w:bottom w:val="nil"/>
            </w:tcBorders>
            <w:noWrap w:val="0"/>
            <w:vAlign w:val="top"/>
          </w:tcPr>
          <w:p w14:paraId="618ACBD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tc>
        <w:tc>
          <w:tcPr>
            <w:tcW w:w="540" w:type="dxa"/>
            <w:vMerge w:val="continue"/>
            <w:tcBorders>
              <w:top w:val="nil"/>
              <w:bottom w:val="nil"/>
            </w:tcBorders>
            <w:noWrap w:val="0"/>
            <w:vAlign w:val="top"/>
          </w:tcPr>
          <w:p w14:paraId="22659AE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tc>
        <w:tc>
          <w:tcPr>
            <w:tcW w:w="7981" w:type="dxa"/>
            <w:noWrap w:val="0"/>
            <w:vAlign w:val="top"/>
          </w:tcPr>
          <w:p w14:paraId="7005A0C9">
            <w:pPr>
              <w:pStyle w:val="42"/>
              <w:keepNext w:val="0"/>
              <w:keepLines w:val="0"/>
              <w:pageBreakBefore w:val="0"/>
              <w:widowControl w:val="0"/>
              <w:kinsoku/>
              <w:wordWrap/>
              <w:overflowPunct/>
              <w:topLinePunct w:val="0"/>
              <w:autoSpaceDE/>
              <w:autoSpaceDN/>
              <w:bidi w:val="0"/>
              <w:adjustRightInd/>
              <w:snapToGrid/>
              <w:spacing w:line="360" w:lineRule="exact"/>
              <w:ind w:left="109"/>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4.特殊工种是否取得特种作业资格证书</w:t>
            </w:r>
          </w:p>
        </w:tc>
        <w:tc>
          <w:tcPr>
            <w:tcW w:w="1364" w:type="dxa"/>
            <w:noWrap w:val="0"/>
            <w:vAlign w:val="center"/>
          </w:tcPr>
          <w:p w14:paraId="2B074D74">
            <w:pPr>
              <w:pStyle w:val="42"/>
              <w:keepNext w:val="0"/>
              <w:keepLines w:val="0"/>
              <w:pageBreakBefore w:val="0"/>
              <w:widowControl w:val="0"/>
              <w:kinsoku/>
              <w:wordWrap/>
              <w:overflowPunct/>
              <w:topLinePunct w:val="0"/>
              <w:autoSpaceDE/>
              <w:autoSpaceDN/>
              <w:bidi w:val="0"/>
              <w:adjustRightInd/>
              <w:snapToGrid/>
              <w:spacing w:line="360" w:lineRule="exact"/>
              <w:ind w:left="564"/>
              <w:jc w:val="both"/>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1000</w:t>
            </w:r>
          </w:p>
        </w:tc>
      </w:tr>
      <w:tr w14:paraId="57E91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630" w:type="dxa"/>
            <w:vMerge w:val="continue"/>
            <w:tcBorders>
              <w:top w:val="nil"/>
            </w:tcBorders>
            <w:noWrap w:val="0"/>
            <w:vAlign w:val="top"/>
          </w:tcPr>
          <w:p w14:paraId="4750CE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tc>
        <w:tc>
          <w:tcPr>
            <w:tcW w:w="540" w:type="dxa"/>
            <w:vMerge w:val="continue"/>
            <w:tcBorders>
              <w:top w:val="nil"/>
            </w:tcBorders>
            <w:noWrap w:val="0"/>
            <w:vAlign w:val="top"/>
          </w:tcPr>
          <w:p w14:paraId="72C28BC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tc>
        <w:tc>
          <w:tcPr>
            <w:tcW w:w="7981" w:type="dxa"/>
            <w:noWrap w:val="0"/>
            <w:vAlign w:val="top"/>
          </w:tcPr>
          <w:p w14:paraId="4655B4A7">
            <w:pPr>
              <w:pStyle w:val="42"/>
              <w:keepNext w:val="0"/>
              <w:keepLines w:val="0"/>
              <w:pageBreakBefore w:val="0"/>
              <w:widowControl w:val="0"/>
              <w:kinsoku/>
              <w:wordWrap/>
              <w:overflowPunct/>
              <w:topLinePunct w:val="0"/>
              <w:autoSpaceDE/>
              <w:autoSpaceDN/>
              <w:bidi w:val="0"/>
              <w:adjustRightInd/>
              <w:snapToGrid/>
              <w:spacing w:line="360" w:lineRule="exact"/>
              <w:ind w:left="114"/>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5.施工前是否对作业班组进行质量安全技术交底</w:t>
            </w:r>
          </w:p>
        </w:tc>
        <w:tc>
          <w:tcPr>
            <w:tcW w:w="1364" w:type="dxa"/>
            <w:noWrap w:val="0"/>
            <w:vAlign w:val="center"/>
          </w:tcPr>
          <w:p w14:paraId="262677AB">
            <w:pPr>
              <w:pStyle w:val="42"/>
              <w:keepNext w:val="0"/>
              <w:keepLines w:val="0"/>
              <w:pageBreakBefore w:val="0"/>
              <w:widowControl w:val="0"/>
              <w:kinsoku/>
              <w:wordWrap/>
              <w:overflowPunct/>
              <w:topLinePunct w:val="0"/>
              <w:autoSpaceDE/>
              <w:autoSpaceDN/>
              <w:bidi w:val="0"/>
              <w:adjustRightInd/>
              <w:snapToGrid/>
              <w:spacing w:line="360" w:lineRule="exact"/>
              <w:ind w:left="600"/>
              <w:jc w:val="both"/>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500</w:t>
            </w:r>
          </w:p>
        </w:tc>
      </w:tr>
      <w:tr w14:paraId="1B56F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630" w:type="dxa"/>
            <w:vMerge w:val="restart"/>
            <w:tcBorders>
              <w:bottom w:val="nil"/>
            </w:tcBorders>
            <w:noWrap w:val="0"/>
            <w:vAlign w:val="top"/>
          </w:tcPr>
          <w:p w14:paraId="668D3ED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p w14:paraId="74AA7EB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p w14:paraId="0F16846C">
            <w:pPr>
              <w:pStyle w:val="42"/>
              <w:keepNext w:val="0"/>
              <w:keepLines w:val="0"/>
              <w:pageBreakBefore w:val="0"/>
              <w:widowControl w:val="0"/>
              <w:kinsoku/>
              <w:wordWrap/>
              <w:overflowPunct/>
              <w:topLinePunct w:val="0"/>
              <w:autoSpaceDE/>
              <w:autoSpaceDN/>
              <w:bidi w:val="0"/>
              <w:adjustRightInd/>
              <w:snapToGrid/>
              <w:spacing w:line="360" w:lineRule="exact"/>
              <w:ind w:left="171"/>
              <w:textAlignment w:val="auto"/>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540" w:type="dxa"/>
            <w:vMerge w:val="restart"/>
            <w:tcBorders>
              <w:bottom w:val="nil"/>
            </w:tcBorders>
            <w:noWrap w:val="0"/>
            <w:vAlign w:val="top"/>
          </w:tcPr>
          <w:p w14:paraId="793D776F">
            <w:pPr>
              <w:pStyle w:val="42"/>
              <w:keepNext w:val="0"/>
              <w:keepLines w:val="0"/>
              <w:pageBreakBefore w:val="0"/>
              <w:widowControl w:val="0"/>
              <w:kinsoku/>
              <w:wordWrap/>
              <w:overflowPunct/>
              <w:topLinePunct w:val="0"/>
              <w:autoSpaceDE/>
              <w:autoSpaceDN/>
              <w:bidi w:val="0"/>
              <w:adjustRightInd/>
              <w:snapToGrid/>
              <w:spacing w:line="360" w:lineRule="exact"/>
              <w:ind w:right="11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合同管理</w:t>
            </w:r>
          </w:p>
        </w:tc>
        <w:tc>
          <w:tcPr>
            <w:tcW w:w="7981" w:type="dxa"/>
            <w:noWrap w:val="0"/>
            <w:vAlign w:val="top"/>
          </w:tcPr>
          <w:p w14:paraId="429650E4">
            <w:pPr>
              <w:pStyle w:val="42"/>
              <w:keepNext w:val="0"/>
              <w:keepLines w:val="0"/>
              <w:pageBreakBefore w:val="0"/>
              <w:widowControl w:val="0"/>
              <w:kinsoku/>
              <w:wordWrap/>
              <w:overflowPunct/>
              <w:topLinePunct w:val="0"/>
              <w:autoSpaceDE/>
              <w:autoSpaceDN/>
              <w:bidi w:val="0"/>
              <w:adjustRightInd/>
              <w:snapToGrid/>
              <w:spacing w:line="360" w:lineRule="exact"/>
              <w:ind w:left="123"/>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1.总、分包单位是否签订分包合同，合同是否按行业主管部门要求备案</w:t>
            </w:r>
          </w:p>
        </w:tc>
        <w:tc>
          <w:tcPr>
            <w:tcW w:w="1364" w:type="dxa"/>
            <w:noWrap w:val="0"/>
            <w:vAlign w:val="center"/>
          </w:tcPr>
          <w:p w14:paraId="5ABEA51E">
            <w:pPr>
              <w:pStyle w:val="42"/>
              <w:keepNext w:val="0"/>
              <w:keepLines w:val="0"/>
              <w:pageBreakBefore w:val="0"/>
              <w:widowControl w:val="0"/>
              <w:kinsoku/>
              <w:wordWrap/>
              <w:overflowPunct/>
              <w:topLinePunct w:val="0"/>
              <w:autoSpaceDE/>
              <w:autoSpaceDN/>
              <w:bidi w:val="0"/>
              <w:adjustRightInd/>
              <w:snapToGrid/>
              <w:spacing w:line="360" w:lineRule="exact"/>
              <w:ind w:left="564"/>
              <w:jc w:val="both"/>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1000</w:t>
            </w:r>
          </w:p>
        </w:tc>
      </w:tr>
      <w:tr w14:paraId="4C009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630" w:type="dxa"/>
            <w:vMerge w:val="continue"/>
            <w:tcBorders>
              <w:top w:val="nil"/>
              <w:bottom w:val="nil"/>
            </w:tcBorders>
            <w:noWrap w:val="0"/>
            <w:vAlign w:val="top"/>
          </w:tcPr>
          <w:p w14:paraId="7DB676E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tc>
        <w:tc>
          <w:tcPr>
            <w:tcW w:w="540" w:type="dxa"/>
            <w:vMerge w:val="continue"/>
            <w:tcBorders>
              <w:top w:val="nil"/>
              <w:bottom w:val="nil"/>
            </w:tcBorders>
            <w:noWrap w:val="0"/>
            <w:vAlign w:val="top"/>
          </w:tcPr>
          <w:p w14:paraId="68A883E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18"/>
                <w:szCs w:val="18"/>
                <w:highlight w:val="none"/>
                <w:lang w:val="en-US" w:eastAsia="zh-CN" w:bidi="ar-SA"/>
              </w:rPr>
            </w:pPr>
          </w:p>
        </w:tc>
        <w:tc>
          <w:tcPr>
            <w:tcW w:w="7981" w:type="dxa"/>
            <w:noWrap w:val="0"/>
            <w:vAlign w:val="top"/>
          </w:tcPr>
          <w:p w14:paraId="6C4370ED">
            <w:pPr>
              <w:pStyle w:val="42"/>
              <w:keepNext w:val="0"/>
              <w:keepLines w:val="0"/>
              <w:pageBreakBefore w:val="0"/>
              <w:widowControl w:val="0"/>
              <w:kinsoku/>
              <w:wordWrap/>
              <w:overflowPunct/>
              <w:topLinePunct w:val="0"/>
              <w:autoSpaceDE/>
              <w:autoSpaceDN/>
              <w:bidi w:val="0"/>
              <w:adjustRightInd/>
              <w:snapToGrid/>
              <w:spacing w:line="360" w:lineRule="exact"/>
              <w:ind w:left="112"/>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2.是否与劳务企业签订劳务协议</w:t>
            </w:r>
          </w:p>
        </w:tc>
        <w:tc>
          <w:tcPr>
            <w:tcW w:w="1364" w:type="dxa"/>
            <w:noWrap w:val="0"/>
            <w:vAlign w:val="center"/>
          </w:tcPr>
          <w:p w14:paraId="56646DF5">
            <w:pPr>
              <w:pStyle w:val="42"/>
              <w:keepNext w:val="0"/>
              <w:keepLines w:val="0"/>
              <w:pageBreakBefore w:val="0"/>
              <w:widowControl w:val="0"/>
              <w:kinsoku/>
              <w:wordWrap/>
              <w:overflowPunct/>
              <w:topLinePunct w:val="0"/>
              <w:autoSpaceDE/>
              <w:autoSpaceDN/>
              <w:bidi w:val="0"/>
              <w:adjustRightInd/>
              <w:snapToGrid/>
              <w:spacing w:line="360" w:lineRule="exact"/>
              <w:ind w:left="564"/>
              <w:jc w:val="both"/>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1000</w:t>
            </w:r>
          </w:p>
        </w:tc>
      </w:tr>
      <w:tr w14:paraId="4B352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630" w:type="dxa"/>
            <w:vMerge w:val="continue"/>
            <w:tcBorders>
              <w:top w:val="nil"/>
            </w:tcBorders>
            <w:noWrap w:val="0"/>
            <w:vAlign w:val="top"/>
          </w:tcPr>
          <w:p w14:paraId="7B6FCE1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tc>
        <w:tc>
          <w:tcPr>
            <w:tcW w:w="540" w:type="dxa"/>
            <w:vMerge w:val="continue"/>
            <w:tcBorders>
              <w:top w:val="nil"/>
            </w:tcBorders>
            <w:noWrap w:val="0"/>
            <w:vAlign w:val="top"/>
          </w:tcPr>
          <w:p w14:paraId="6A54547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18"/>
                <w:szCs w:val="18"/>
                <w:highlight w:val="none"/>
                <w:lang w:val="en-US" w:eastAsia="zh-CN" w:bidi="ar-SA"/>
              </w:rPr>
            </w:pPr>
          </w:p>
        </w:tc>
        <w:tc>
          <w:tcPr>
            <w:tcW w:w="7981" w:type="dxa"/>
            <w:noWrap w:val="0"/>
            <w:vAlign w:val="top"/>
          </w:tcPr>
          <w:p w14:paraId="1C49CFC8">
            <w:pPr>
              <w:pStyle w:val="42"/>
              <w:keepNext w:val="0"/>
              <w:keepLines w:val="0"/>
              <w:pageBreakBefore w:val="0"/>
              <w:widowControl w:val="0"/>
              <w:kinsoku/>
              <w:wordWrap/>
              <w:overflowPunct/>
              <w:topLinePunct w:val="0"/>
              <w:autoSpaceDE/>
              <w:autoSpaceDN/>
              <w:bidi w:val="0"/>
              <w:adjustRightInd/>
              <w:snapToGrid/>
              <w:spacing w:line="360" w:lineRule="exact"/>
              <w:ind w:left="114"/>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3.用工单位是否与作业工人签订劳务用工合同</w:t>
            </w:r>
          </w:p>
        </w:tc>
        <w:tc>
          <w:tcPr>
            <w:tcW w:w="1364" w:type="dxa"/>
            <w:noWrap w:val="0"/>
            <w:vAlign w:val="center"/>
          </w:tcPr>
          <w:p w14:paraId="0C0D1971">
            <w:pPr>
              <w:pStyle w:val="42"/>
              <w:keepNext w:val="0"/>
              <w:keepLines w:val="0"/>
              <w:pageBreakBefore w:val="0"/>
              <w:widowControl w:val="0"/>
              <w:kinsoku/>
              <w:wordWrap/>
              <w:overflowPunct/>
              <w:topLinePunct w:val="0"/>
              <w:autoSpaceDE/>
              <w:autoSpaceDN/>
              <w:bidi w:val="0"/>
              <w:adjustRightInd/>
              <w:snapToGrid/>
              <w:spacing w:line="360" w:lineRule="exact"/>
              <w:ind w:left="564"/>
              <w:jc w:val="both"/>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1000</w:t>
            </w:r>
          </w:p>
        </w:tc>
      </w:tr>
      <w:tr w14:paraId="3086A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630" w:type="dxa"/>
            <w:vMerge w:val="restart"/>
            <w:tcBorders>
              <w:bottom w:val="nil"/>
            </w:tcBorders>
            <w:noWrap w:val="0"/>
            <w:vAlign w:val="top"/>
          </w:tcPr>
          <w:p w14:paraId="6B550BC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p w14:paraId="1E3FD7E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p w14:paraId="4FA0400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p w14:paraId="6153B5E8">
            <w:pPr>
              <w:pStyle w:val="42"/>
              <w:keepNext w:val="0"/>
              <w:keepLines w:val="0"/>
              <w:pageBreakBefore w:val="0"/>
              <w:widowControl w:val="0"/>
              <w:kinsoku/>
              <w:wordWrap/>
              <w:overflowPunct/>
              <w:topLinePunct w:val="0"/>
              <w:autoSpaceDE/>
              <w:autoSpaceDN/>
              <w:bidi w:val="0"/>
              <w:adjustRightInd/>
              <w:snapToGrid/>
              <w:spacing w:line="360" w:lineRule="exact"/>
              <w:ind w:left="175"/>
              <w:textAlignment w:val="auto"/>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540" w:type="dxa"/>
            <w:vMerge w:val="restart"/>
            <w:tcBorders>
              <w:bottom w:val="nil"/>
            </w:tcBorders>
            <w:noWrap w:val="0"/>
            <w:vAlign w:val="top"/>
          </w:tcPr>
          <w:p w14:paraId="449E5879">
            <w:pPr>
              <w:pStyle w:val="42"/>
              <w:keepNext w:val="0"/>
              <w:keepLines w:val="0"/>
              <w:pageBreakBefore w:val="0"/>
              <w:widowControl w:val="0"/>
              <w:kinsoku/>
              <w:wordWrap/>
              <w:overflowPunct/>
              <w:topLinePunct w:val="0"/>
              <w:autoSpaceDE/>
              <w:autoSpaceDN/>
              <w:bidi w:val="0"/>
              <w:adjustRightInd/>
              <w:snapToGrid/>
              <w:spacing w:line="360" w:lineRule="exact"/>
              <w:ind w:left="291" w:right="110" w:hanging="180"/>
              <w:textAlignment w:val="auto"/>
              <w:rPr>
                <w:rFonts w:hint="default" w:ascii="宋体" w:hAnsi="宋体" w:eastAsia="宋体" w:cs="宋体"/>
                <w:color w:val="auto"/>
                <w:kern w:val="2"/>
                <w:sz w:val="18"/>
                <w:szCs w:val="18"/>
                <w:highlight w:val="none"/>
                <w:lang w:val="en-US" w:eastAsia="zh-CN" w:bidi="ar-SA"/>
              </w:rPr>
            </w:pPr>
            <w:r>
              <w:rPr>
                <w:rFonts w:hint="eastAsia" w:ascii="宋体" w:hAnsi="宋体" w:eastAsia="宋体" w:cs="宋体"/>
                <w:color w:val="auto"/>
                <w:highlight w:val="none"/>
                <w:lang w:val="en-US" w:eastAsia="zh-CN"/>
              </w:rPr>
              <w:t>施工过程</w:t>
            </w:r>
          </w:p>
        </w:tc>
        <w:tc>
          <w:tcPr>
            <w:tcW w:w="7981" w:type="dxa"/>
            <w:noWrap w:val="0"/>
            <w:vAlign w:val="top"/>
          </w:tcPr>
          <w:p w14:paraId="31FC10C4">
            <w:pPr>
              <w:pStyle w:val="42"/>
              <w:keepNext w:val="0"/>
              <w:keepLines w:val="0"/>
              <w:pageBreakBefore w:val="0"/>
              <w:widowControl w:val="0"/>
              <w:kinsoku/>
              <w:wordWrap/>
              <w:overflowPunct/>
              <w:topLinePunct w:val="0"/>
              <w:autoSpaceDE/>
              <w:autoSpaceDN/>
              <w:bidi w:val="0"/>
              <w:adjustRightInd/>
              <w:snapToGrid/>
              <w:spacing w:line="360" w:lineRule="exact"/>
              <w:ind w:left="123"/>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1.是否按照审批通过的专项方案或专家论证方案施工</w:t>
            </w:r>
          </w:p>
        </w:tc>
        <w:tc>
          <w:tcPr>
            <w:tcW w:w="1364" w:type="dxa"/>
            <w:noWrap w:val="0"/>
            <w:vAlign w:val="center"/>
          </w:tcPr>
          <w:p w14:paraId="25D56018">
            <w:pPr>
              <w:pStyle w:val="42"/>
              <w:keepNext w:val="0"/>
              <w:keepLines w:val="0"/>
              <w:pageBreakBefore w:val="0"/>
              <w:widowControl w:val="0"/>
              <w:kinsoku/>
              <w:wordWrap/>
              <w:overflowPunct/>
              <w:topLinePunct w:val="0"/>
              <w:autoSpaceDE/>
              <w:autoSpaceDN/>
              <w:bidi w:val="0"/>
              <w:adjustRightInd/>
              <w:snapToGrid/>
              <w:spacing w:line="360" w:lineRule="exact"/>
              <w:ind w:left="564"/>
              <w:jc w:val="both"/>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1000</w:t>
            </w:r>
          </w:p>
        </w:tc>
      </w:tr>
      <w:tr w14:paraId="77DE1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630" w:type="dxa"/>
            <w:vMerge w:val="continue"/>
            <w:tcBorders>
              <w:top w:val="nil"/>
              <w:bottom w:val="nil"/>
            </w:tcBorders>
            <w:noWrap w:val="0"/>
            <w:vAlign w:val="top"/>
          </w:tcPr>
          <w:p w14:paraId="0BABD76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tc>
        <w:tc>
          <w:tcPr>
            <w:tcW w:w="540" w:type="dxa"/>
            <w:vMerge w:val="continue"/>
            <w:tcBorders>
              <w:top w:val="nil"/>
              <w:bottom w:val="nil"/>
            </w:tcBorders>
            <w:noWrap w:val="0"/>
            <w:vAlign w:val="top"/>
          </w:tcPr>
          <w:p w14:paraId="7DB8B70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18"/>
                <w:szCs w:val="18"/>
                <w:highlight w:val="none"/>
                <w:lang w:val="en-US" w:eastAsia="zh-CN" w:bidi="ar-SA"/>
              </w:rPr>
            </w:pPr>
          </w:p>
        </w:tc>
        <w:tc>
          <w:tcPr>
            <w:tcW w:w="7981" w:type="dxa"/>
            <w:noWrap w:val="0"/>
            <w:vAlign w:val="top"/>
          </w:tcPr>
          <w:p w14:paraId="4058702B">
            <w:pPr>
              <w:pStyle w:val="42"/>
              <w:keepNext w:val="0"/>
              <w:keepLines w:val="0"/>
              <w:pageBreakBefore w:val="0"/>
              <w:widowControl w:val="0"/>
              <w:kinsoku/>
              <w:wordWrap/>
              <w:overflowPunct/>
              <w:topLinePunct w:val="0"/>
              <w:autoSpaceDE/>
              <w:autoSpaceDN/>
              <w:bidi w:val="0"/>
              <w:adjustRightInd/>
              <w:snapToGrid/>
              <w:spacing w:line="360" w:lineRule="exact"/>
              <w:ind w:left="112"/>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2.是否定期组织开展质量安全自查活动</w:t>
            </w:r>
          </w:p>
        </w:tc>
        <w:tc>
          <w:tcPr>
            <w:tcW w:w="1364" w:type="dxa"/>
            <w:noWrap w:val="0"/>
            <w:vAlign w:val="center"/>
          </w:tcPr>
          <w:p w14:paraId="0E0B8C6E">
            <w:pPr>
              <w:pStyle w:val="42"/>
              <w:keepNext w:val="0"/>
              <w:keepLines w:val="0"/>
              <w:pageBreakBefore w:val="0"/>
              <w:widowControl w:val="0"/>
              <w:kinsoku/>
              <w:wordWrap/>
              <w:overflowPunct/>
              <w:topLinePunct w:val="0"/>
              <w:autoSpaceDE/>
              <w:autoSpaceDN/>
              <w:bidi w:val="0"/>
              <w:adjustRightInd/>
              <w:snapToGrid/>
              <w:spacing w:line="360" w:lineRule="exact"/>
              <w:ind w:left="564"/>
              <w:jc w:val="both"/>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1000</w:t>
            </w:r>
          </w:p>
        </w:tc>
      </w:tr>
      <w:tr w14:paraId="3A09F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630" w:type="dxa"/>
            <w:vMerge w:val="continue"/>
            <w:tcBorders>
              <w:top w:val="nil"/>
              <w:bottom w:val="nil"/>
            </w:tcBorders>
            <w:noWrap w:val="0"/>
            <w:vAlign w:val="top"/>
          </w:tcPr>
          <w:p w14:paraId="6BCEA33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tc>
        <w:tc>
          <w:tcPr>
            <w:tcW w:w="540" w:type="dxa"/>
            <w:vMerge w:val="continue"/>
            <w:tcBorders>
              <w:top w:val="nil"/>
              <w:bottom w:val="nil"/>
            </w:tcBorders>
            <w:noWrap w:val="0"/>
            <w:vAlign w:val="top"/>
          </w:tcPr>
          <w:p w14:paraId="7443DA8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18"/>
                <w:szCs w:val="18"/>
                <w:highlight w:val="none"/>
                <w:lang w:val="en-US" w:eastAsia="zh-CN" w:bidi="ar-SA"/>
              </w:rPr>
            </w:pPr>
          </w:p>
        </w:tc>
        <w:tc>
          <w:tcPr>
            <w:tcW w:w="7981" w:type="dxa"/>
            <w:noWrap w:val="0"/>
            <w:vAlign w:val="top"/>
          </w:tcPr>
          <w:p w14:paraId="59E99E49">
            <w:pPr>
              <w:pStyle w:val="42"/>
              <w:keepNext w:val="0"/>
              <w:keepLines w:val="0"/>
              <w:pageBreakBefore w:val="0"/>
              <w:widowControl w:val="0"/>
              <w:kinsoku/>
              <w:wordWrap/>
              <w:overflowPunct/>
              <w:topLinePunct w:val="0"/>
              <w:autoSpaceDE/>
              <w:autoSpaceDN/>
              <w:bidi w:val="0"/>
              <w:adjustRightInd/>
              <w:snapToGrid/>
              <w:spacing w:line="360" w:lineRule="exact"/>
              <w:ind w:left="114"/>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3.是否配合各类检查</w:t>
            </w:r>
          </w:p>
        </w:tc>
        <w:tc>
          <w:tcPr>
            <w:tcW w:w="1364" w:type="dxa"/>
            <w:noWrap w:val="0"/>
            <w:vAlign w:val="center"/>
          </w:tcPr>
          <w:p w14:paraId="078BBE83">
            <w:pPr>
              <w:pStyle w:val="42"/>
              <w:keepNext w:val="0"/>
              <w:keepLines w:val="0"/>
              <w:pageBreakBefore w:val="0"/>
              <w:widowControl w:val="0"/>
              <w:kinsoku/>
              <w:wordWrap/>
              <w:overflowPunct/>
              <w:topLinePunct w:val="0"/>
              <w:autoSpaceDE/>
              <w:autoSpaceDN/>
              <w:bidi w:val="0"/>
              <w:adjustRightInd/>
              <w:snapToGrid/>
              <w:spacing w:line="360" w:lineRule="exact"/>
              <w:ind w:left="600"/>
              <w:jc w:val="both"/>
              <w:textAlignment w:val="auto"/>
              <w:rPr>
                <w:rFonts w:hint="eastAsia" w:ascii="宋体" w:hAnsi="宋体" w:eastAsia="宋体" w:cs="宋体"/>
                <w:color w:val="auto"/>
                <w:highlight w:val="none"/>
                <w:lang w:val="en-US" w:eastAsia="zh-CN"/>
              </w:rPr>
            </w:pPr>
            <w:r>
              <w:rPr>
                <w:rFonts w:hint="eastAsia" w:ascii="宋体" w:hAnsi="宋体" w:eastAsia="宋体" w:cs="宋体"/>
                <w:color w:val="auto"/>
                <w:spacing w:val="-4"/>
                <w:highlight w:val="none"/>
                <w:lang w:val="en-US" w:eastAsia="zh-CN"/>
              </w:rPr>
              <w:t>1000</w:t>
            </w:r>
          </w:p>
        </w:tc>
      </w:tr>
      <w:tr w14:paraId="0C710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630" w:type="dxa"/>
            <w:vMerge w:val="continue"/>
            <w:tcBorders>
              <w:top w:val="nil"/>
              <w:bottom w:val="nil"/>
            </w:tcBorders>
            <w:noWrap w:val="0"/>
            <w:vAlign w:val="top"/>
          </w:tcPr>
          <w:p w14:paraId="571FA68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tc>
        <w:tc>
          <w:tcPr>
            <w:tcW w:w="540" w:type="dxa"/>
            <w:vMerge w:val="continue"/>
            <w:tcBorders>
              <w:top w:val="nil"/>
              <w:bottom w:val="nil"/>
            </w:tcBorders>
            <w:noWrap w:val="0"/>
            <w:vAlign w:val="top"/>
          </w:tcPr>
          <w:p w14:paraId="23E5E46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18"/>
                <w:szCs w:val="18"/>
                <w:highlight w:val="none"/>
                <w:lang w:val="en-US" w:eastAsia="zh-CN" w:bidi="ar-SA"/>
              </w:rPr>
            </w:pPr>
          </w:p>
        </w:tc>
        <w:tc>
          <w:tcPr>
            <w:tcW w:w="7981" w:type="dxa"/>
            <w:noWrap w:val="0"/>
            <w:vAlign w:val="top"/>
          </w:tcPr>
          <w:p w14:paraId="355FAC7A">
            <w:pPr>
              <w:pStyle w:val="42"/>
              <w:keepNext w:val="0"/>
              <w:keepLines w:val="0"/>
              <w:pageBreakBefore w:val="0"/>
              <w:widowControl w:val="0"/>
              <w:kinsoku/>
              <w:wordWrap/>
              <w:overflowPunct/>
              <w:topLinePunct w:val="0"/>
              <w:autoSpaceDE/>
              <w:autoSpaceDN/>
              <w:bidi w:val="0"/>
              <w:adjustRightInd/>
              <w:snapToGrid/>
              <w:spacing w:line="360" w:lineRule="exact"/>
              <w:ind w:left="109"/>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4.是否对检查提出问题能够及时整改，及时回复</w:t>
            </w:r>
          </w:p>
        </w:tc>
        <w:tc>
          <w:tcPr>
            <w:tcW w:w="1364" w:type="dxa"/>
            <w:noWrap w:val="0"/>
            <w:vAlign w:val="center"/>
          </w:tcPr>
          <w:p w14:paraId="64CAA97C">
            <w:pPr>
              <w:pStyle w:val="42"/>
              <w:keepNext w:val="0"/>
              <w:keepLines w:val="0"/>
              <w:pageBreakBefore w:val="0"/>
              <w:widowControl w:val="0"/>
              <w:kinsoku/>
              <w:wordWrap/>
              <w:overflowPunct/>
              <w:topLinePunct w:val="0"/>
              <w:autoSpaceDE/>
              <w:autoSpaceDN/>
              <w:bidi w:val="0"/>
              <w:adjustRightInd/>
              <w:snapToGrid/>
              <w:spacing w:line="360" w:lineRule="exact"/>
              <w:ind w:firstLine="510" w:firstLineChars="300"/>
              <w:jc w:val="both"/>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1000</w:t>
            </w:r>
          </w:p>
        </w:tc>
      </w:tr>
      <w:tr w14:paraId="7CFC2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30" w:type="dxa"/>
            <w:vMerge w:val="continue"/>
            <w:tcBorders>
              <w:top w:val="nil"/>
            </w:tcBorders>
            <w:noWrap w:val="0"/>
            <w:vAlign w:val="top"/>
          </w:tcPr>
          <w:p w14:paraId="53A755C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tc>
        <w:tc>
          <w:tcPr>
            <w:tcW w:w="540" w:type="dxa"/>
            <w:vMerge w:val="continue"/>
            <w:tcBorders>
              <w:top w:val="nil"/>
            </w:tcBorders>
            <w:noWrap w:val="0"/>
            <w:vAlign w:val="top"/>
          </w:tcPr>
          <w:p w14:paraId="0B0E5C3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18"/>
                <w:szCs w:val="18"/>
                <w:highlight w:val="none"/>
                <w:lang w:val="en-US" w:eastAsia="zh-CN" w:bidi="ar-SA"/>
              </w:rPr>
            </w:pPr>
          </w:p>
        </w:tc>
        <w:tc>
          <w:tcPr>
            <w:tcW w:w="7981" w:type="dxa"/>
            <w:noWrap w:val="0"/>
            <w:vAlign w:val="top"/>
          </w:tcPr>
          <w:p w14:paraId="0DCBB120">
            <w:pPr>
              <w:pStyle w:val="42"/>
              <w:keepNext w:val="0"/>
              <w:keepLines w:val="0"/>
              <w:pageBreakBefore w:val="0"/>
              <w:widowControl w:val="0"/>
              <w:kinsoku/>
              <w:wordWrap/>
              <w:overflowPunct/>
              <w:topLinePunct w:val="0"/>
              <w:autoSpaceDE/>
              <w:autoSpaceDN/>
              <w:bidi w:val="0"/>
              <w:adjustRightInd/>
              <w:snapToGrid/>
              <w:spacing w:line="360" w:lineRule="exact"/>
              <w:ind w:left="114"/>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5.是否有未按设计要求擅自施工的现象</w:t>
            </w:r>
          </w:p>
        </w:tc>
        <w:tc>
          <w:tcPr>
            <w:tcW w:w="1364" w:type="dxa"/>
            <w:noWrap w:val="0"/>
            <w:vAlign w:val="center"/>
          </w:tcPr>
          <w:p w14:paraId="138A4862">
            <w:pPr>
              <w:pStyle w:val="42"/>
              <w:keepNext w:val="0"/>
              <w:keepLines w:val="0"/>
              <w:pageBreakBefore w:val="0"/>
              <w:widowControl w:val="0"/>
              <w:kinsoku/>
              <w:wordWrap/>
              <w:overflowPunct/>
              <w:topLinePunct w:val="0"/>
              <w:autoSpaceDE/>
              <w:autoSpaceDN/>
              <w:bidi w:val="0"/>
              <w:adjustRightInd/>
              <w:snapToGrid/>
              <w:spacing w:line="360" w:lineRule="exact"/>
              <w:ind w:left="564"/>
              <w:jc w:val="both"/>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1000</w:t>
            </w:r>
          </w:p>
        </w:tc>
      </w:tr>
      <w:tr w14:paraId="5AE81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630" w:type="dxa"/>
            <w:vMerge w:val="restart"/>
            <w:tcBorders>
              <w:bottom w:val="nil"/>
            </w:tcBorders>
            <w:noWrap w:val="0"/>
            <w:vAlign w:val="top"/>
          </w:tcPr>
          <w:p w14:paraId="1995976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p w14:paraId="1E02312C">
            <w:pPr>
              <w:pStyle w:val="42"/>
              <w:keepNext w:val="0"/>
              <w:keepLines w:val="0"/>
              <w:pageBreakBefore w:val="0"/>
              <w:widowControl w:val="0"/>
              <w:kinsoku/>
              <w:wordWrap/>
              <w:overflowPunct/>
              <w:topLinePunct w:val="0"/>
              <w:autoSpaceDE/>
              <w:autoSpaceDN/>
              <w:bidi w:val="0"/>
              <w:adjustRightInd/>
              <w:snapToGrid/>
              <w:spacing w:line="360" w:lineRule="exact"/>
              <w:ind w:left="173"/>
              <w:textAlignment w:val="auto"/>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540" w:type="dxa"/>
            <w:vMerge w:val="restart"/>
            <w:tcBorders>
              <w:bottom w:val="nil"/>
            </w:tcBorders>
            <w:noWrap w:val="0"/>
            <w:vAlign w:val="top"/>
          </w:tcPr>
          <w:p w14:paraId="022CF144">
            <w:pPr>
              <w:pStyle w:val="42"/>
              <w:keepNext w:val="0"/>
              <w:keepLines w:val="0"/>
              <w:pageBreakBefore w:val="0"/>
              <w:widowControl w:val="0"/>
              <w:kinsoku/>
              <w:wordWrap/>
              <w:overflowPunct/>
              <w:topLinePunct w:val="0"/>
              <w:autoSpaceDE/>
              <w:autoSpaceDN/>
              <w:bidi w:val="0"/>
              <w:adjustRightInd/>
              <w:snapToGrid/>
              <w:spacing w:line="360" w:lineRule="exact"/>
              <w:ind w:left="291" w:right="110" w:hanging="158"/>
              <w:textAlignment w:val="auto"/>
              <w:rPr>
                <w:rFonts w:hint="default"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内</w:t>
            </w:r>
            <w:r>
              <w:rPr>
                <w:rFonts w:hint="eastAsia" w:cs="宋体"/>
                <w:color w:val="auto"/>
                <w:kern w:val="2"/>
                <w:sz w:val="18"/>
                <w:szCs w:val="18"/>
                <w:highlight w:val="none"/>
                <w:lang w:val="en-US" w:eastAsia="zh-CN" w:bidi="ar-SA"/>
              </w:rPr>
              <w:t>业</w:t>
            </w:r>
            <w:r>
              <w:rPr>
                <w:rFonts w:hint="eastAsia" w:ascii="宋体" w:hAnsi="宋体" w:eastAsia="宋体" w:cs="宋体"/>
                <w:color w:val="auto"/>
                <w:kern w:val="2"/>
                <w:sz w:val="18"/>
                <w:szCs w:val="18"/>
                <w:highlight w:val="none"/>
                <w:lang w:val="en-US" w:eastAsia="zh-CN" w:bidi="ar-SA"/>
              </w:rPr>
              <w:t>资料</w:t>
            </w:r>
          </w:p>
        </w:tc>
        <w:tc>
          <w:tcPr>
            <w:tcW w:w="7981" w:type="dxa"/>
            <w:noWrap w:val="0"/>
            <w:vAlign w:val="top"/>
          </w:tcPr>
          <w:p w14:paraId="5ABF5B3E">
            <w:pPr>
              <w:pStyle w:val="42"/>
              <w:keepNext w:val="0"/>
              <w:keepLines w:val="0"/>
              <w:pageBreakBefore w:val="0"/>
              <w:widowControl w:val="0"/>
              <w:kinsoku/>
              <w:wordWrap/>
              <w:overflowPunct/>
              <w:topLinePunct w:val="0"/>
              <w:autoSpaceDE/>
              <w:autoSpaceDN/>
              <w:bidi w:val="0"/>
              <w:adjustRightInd/>
              <w:snapToGrid/>
              <w:spacing w:line="360" w:lineRule="exact"/>
              <w:ind w:left="123"/>
              <w:textAlignment w:val="auto"/>
              <w:rPr>
                <w:rFonts w:hint="eastAsia" w:ascii="宋体" w:hAnsi="宋体" w:eastAsia="宋体" w:cs="宋体"/>
                <w:color w:val="auto"/>
                <w:sz w:val="18"/>
                <w:szCs w:val="18"/>
                <w:highlight w:val="none"/>
              </w:rPr>
            </w:pPr>
            <w:r>
              <w:rPr>
                <w:rFonts w:hint="eastAsia" w:ascii="宋体" w:hAnsi="宋体" w:eastAsia="宋体" w:cs="宋体"/>
                <w:color w:val="auto"/>
                <w:spacing w:val="-1"/>
                <w:sz w:val="18"/>
                <w:szCs w:val="18"/>
                <w:highlight w:val="none"/>
              </w:rPr>
              <w:t>1.质量安全控制管理资料是否与工程实体同步</w:t>
            </w:r>
          </w:p>
        </w:tc>
        <w:tc>
          <w:tcPr>
            <w:tcW w:w="1364" w:type="dxa"/>
            <w:noWrap w:val="0"/>
            <w:vAlign w:val="center"/>
          </w:tcPr>
          <w:p w14:paraId="4AD79D85">
            <w:pPr>
              <w:pStyle w:val="42"/>
              <w:keepNext w:val="0"/>
              <w:keepLines w:val="0"/>
              <w:pageBreakBefore w:val="0"/>
              <w:widowControl w:val="0"/>
              <w:kinsoku/>
              <w:wordWrap/>
              <w:overflowPunct/>
              <w:topLinePunct w:val="0"/>
              <w:autoSpaceDE/>
              <w:autoSpaceDN/>
              <w:bidi w:val="0"/>
              <w:adjustRightInd/>
              <w:snapToGrid/>
              <w:spacing w:line="360" w:lineRule="exact"/>
              <w:ind w:left="564"/>
              <w:jc w:val="both"/>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1000</w:t>
            </w:r>
          </w:p>
        </w:tc>
      </w:tr>
      <w:tr w14:paraId="11F96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630" w:type="dxa"/>
            <w:vMerge w:val="continue"/>
            <w:tcBorders>
              <w:top w:val="nil"/>
              <w:bottom w:val="nil"/>
            </w:tcBorders>
            <w:noWrap w:val="0"/>
            <w:vAlign w:val="top"/>
          </w:tcPr>
          <w:p w14:paraId="6E3042D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tc>
        <w:tc>
          <w:tcPr>
            <w:tcW w:w="540" w:type="dxa"/>
            <w:vMerge w:val="continue"/>
            <w:tcBorders>
              <w:top w:val="nil"/>
              <w:bottom w:val="nil"/>
            </w:tcBorders>
            <w:noWrap w:val="0"/>
            <w:vAlign w:val="top"/>
          </w:tcPr>
          <w:p w14:paraId="0C8010A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18"/>
                <w:szCs w:val="18"/>
                <w:highlight w:val="none"/>
                <w:lang w:val="en-US" w:eastAsia="zh-CN" w:bidi="ar-SA"/>
              </w:rPr>
            </w:pPr>
          </w:p>
        </w:tc>
        <w:tc>
          <w:tcPr>
            <w:tcW w:w="7981" w:type="dxa"/>
            <w:noWrap w:val="0"/>
            <w:vAlign w:val="top"/>
          </w:tcPr>
          <w:p w14:paraId="57B01DEB">
            <w:pPr>
              <w:pStyle w:val="42"/>
              <w:keepNext w:val="0"/>
              <w:keepLines w:val="0"/>
              <w:pageBreakBefore w:val="0"/>
              <w:widowControl w:val="0"/>
              <w:kinsoku/>
              <w:wordWrap/>
              <w:overflowPunct/>
              <w:topLinePunct w:val="0"/>
              <w:autoSpaceDE/>
              <w:autoSpaceDN/>
              <w:bidi w:val="0"/>
              <w:adjustRightInd/>
              <w:snapToGrid/>
              <w:spacing w:line="360" w:lineRule="exact"/>
              <w:ind w:left="112"/>
              <w:textAlignment w:val="auto"/>
              <w:rPr>
                <w:rFonts w:hint="eastAsia" w:ascii="宋体" w:hAnsi="宋体" w:eastAsia="宋体" w:cs="宋体"/>
                <w:color w:val="auto"/>
                <w:sz w:val="18"/>
                <w:szCs w:val="18"/>
                <w:highlight w:val="none"/>
              </w:rPr>
            </w:pPr>
            <w:r>
              <w:rPr>
                <w:rFonts w:hint="eastAsia" w:ascii="宋体" w:hAnsi="宋体" w:eastAsia="宋体" w:cs="宋体"/>
                <w:color w:val="auto"/>
                <w:spacing w:val="-1"/>
                <w:sz w:val="18"/>
                <w:szCs w:val="18"/>
                <w:highlight w:val="none"/>
              </w:rPr>
              <w:t>2.质量安全控制管理资料是否真实</w:t>
            </w:r>
          </w:p>
        </w:tc>
        <w:tc>
          <w:tcPr>
            <w:tcW w:w="1364" w:type="dxa"/>
            <w:noWrap w:val="0"/>
            <w:vAlign w:val="center"/>
          </w:tcPr>
          <w:p w14:paraId="447714FE">
            <w:pPr>
              <w:pStyle w:val="42"/>
              <w:keepNext w:val="0"/>
              <w:keepLines w:val="0"/>
              <w:pageBreakBefore w:val="0"/>
              <w:widowControl w:val="0"/>
              <w:kinsoku/>
              <w:wordWrap/>
              <w:overflowPunct/>
              <w:topLinePunct w:val="0"/>
              <w:autoSpaceDE/>
              <w:autoSpaceDN/>
              <w:bidi w:val="0"/>
              <w:adjustRightInd/>
              <w:snapToGrid/>
              <w:spacing w:line="360" w:lineRule="exact"/>
              <w:ind w:left="564"/>
              <w:jc w:val="both"/>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1000</w:t>
            </w:r>
          </w:p>
        </w:tc>
      </w:tr>
      <w:tr w14:paraId="4D327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630" w:type="dxa"/>
            <w:vMerge w:val="continue"/>
            <w:tcBorders>
              <w:top w:val="nil"/>
              <w:bottom w:val="single" w:color="auto" w:sz="4" w:space="0"/>
            </w:tcBorders>
            <w:noWrap w:val="0"/>
            <w:vAlign w:val="top"/>
          </w:tcPr>
          <w:p w14:paraId="038F7C4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rPr>
            </w:pPr>
          </w:p>
        </w:tc>
        <w:tc>
          <w:tcPr>
            <w:tcW w:w="540" w:type="dxa"/>
            <w:vMerge w:val="continue"/>
            <w:tcBorders>
              <w:top w:val="nil"/>
              <w:bottom w:val="single" w:color="auto" w:sz="4" w:space="0"/>
            </w:tcBorders>
            <w:noWrap w:val="0"/>
            <w:vAlign w:val="top"/>
          </w:tcPr>
          <w:p w14:paraId="743835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18"/>
                <w:szCs w:val="18"/>
                <w:highlight w:val="none"/>
                <w:lang w:val="en-US" w:eastAsia="zh-CN" w:bidi="ar-SA"/>
              </w:rPr>
            </w:pPr>
          </w:p>
        </w:tc>
        <w:tc>
          <w:tcPr>
            <w:tcW w:w="7981" w:type="dxa"/>
            <w:noWrap w:val="0"/>
            <w:vAlign w:val="top"/>
          </w:tcPr>
          <w:p w14:paraId="47DAB7C6">
            <w:pPr>
              <w:pStyle w:val="42"/>
              <w:keepNext w:val="0"/>
              <w:keepLines w:val="0"/>
              <w:pageBreakBefore w:val="0"/>
              <w:widowControl w:val="0"/>
              <w:kinsoku/>
              <w:wordWrap/>
              <w:overflowPunct/>
              <w:topLinePunct w:val="0"/>
              <w:autoSpaceDE/>
              <w:autoSpaceDN/>
              <w:bidi w:val="0"/>
              <w:adjustRightInd/>
              <w:snapToGrid/>
              <w:spacing w:line="360" w:lineRule="exact"/>
              <w:ind w:left="114"/>
              <w:textAlignment w:val="auto"/>
              <w:rPr>
                <w:rFonts w:hint="eastAsia" w:ascii="宋体" w:hAnsi="宋体" w:eastAsia="宋体" w:cs="宋体"/>
                <w:color w:val="auto"/>
                <w:sz w:val="18"/>
                <w:szCs w:val="18"/>
                <w:highlight w:val="none"/>
              </w:rPr>
            </w:pPr>
            <w:r>
              <w:rPr>
                <w:rFonts w:hint="eastAsia" w:ascii="宋体" w:hAnsi="宋体" w:eastAsia="宋体" w:cs="宋体"/>
                <w:color w:val="auto"/>
                <w:spacing w:val="-1"/>
                <w:sz w:val="18"/>
                <w:szCs w:val="18"/>
                <w:highlight w:val="none"/>
              </w:rPr>
              <w:t>3.三级安全教育是否到位，资料是否真实</w:t>
            </w:r>
          </w:p>
        </w:tc>
        <w:tc>
          <w:tcPr>
            <w:tcW w:w="1364" w:type="dxa"/>
            <w:noWrap w:val="0"/>
            <w:vAlign w:val="center"/>
          </w:tcPr>
          <w:p w14:paraId="75B22908">
            <w:pPr>
              <w:pStyle w:val="42"/>
              <w:keepNext w:val="0"/>
              <w:keepLines w:val="0"/>
              <w:pageBreakBefore w:val="0"/>
              <w:widowControl w:val="0"/>
              <w:kinsoku/>
              <w:wordWrap/>
              <w:overflowPunct/>
              <w:topLinePunct w:val="0"/>
              <w:autoSpaceDE/>
              <w:autoSpaceDN/>
              <w:bidi w:val="0"/>
              <w:adjustRightInd/>
              <w:snapToGrid/>
              <w:spacing w:line="360" w:lineRule="exact"/>
              <w:ind w:left="564"/>
              <w:jc w:val="both"/>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1000</w:t>
            </w:r>
          </w:p>
        </w:tc>
      </w:tr>
      <w:tr w14:paraId="18CA0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630" w:type="dxa"/>
            <w:tcBorders>
              <w:top w:val="nil"/>
              <w:bottom w:val="single" w:color="auto" w:sz="4" w:space="0"/>
            </w:tcBorders>
            <w:noWrap w:val="0"/>
            <w:vAlign w:val="top"/>
          </w:tcPr>
          <w:p w14:paraId="6968B75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7</w:t>
            </w:r>
          </w:p>
        </w:tc>
        <w:tc>
          <w:tcPr>
            <w:tcW w:w="540" w:type="dxa"/>
            <w:tcBorders>
              <w:top w:val="nil"/>
              <w:bottom w:val="single" w:color="auto" w:sz="4" w:space="0"/>
            </w:tcBorders>
            <w:noWrap w:val="0"/>
            <w:vAlign w:val="top"/>
          </w:tcPr>
          <w:p w14:paraId="06FFD7B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桩基工程</w:t>
            </w:r>
          </w:p>
        </w:tc>
        <w:tc>
          <w:tcPr>
            <w:tcW w:w="7981" w:type="dxa"/>
            <w:noWrap w:val="0"/>
            <w:vAlign w:val="top"/>
          </w:tcPr>
          <w:p w14:paraId="45AE36F1">
            <w:pPr>
              <w:pStyle w:val="42"/>
              <w:keepNext w:val="0"/>
              <w:keepLines w:val="0"/>
              <w:pageBreakBefore w:val="0"/>
              <w:widowControl w:val="0"/>
              <w:kinsoku/>
              <w:wordWrap/>
              <w:overflowPunct/>
              <w:topLinePunct w:val="0"/>
              <w:autoSpaceDE/>
              <w:autoSpaceDN/>
              <w:bidi w:val="0"/>
              <w:adjustRightInd/>
              <w:snapToGrid/>
              <w:spacing w:line="360" w:lineRule="exact"/>
              <w:ind w:left="114"/>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打入桩桩位偏差超过允许值</w:t>
            </w:r>
          </w:p>
        </w:tc>
        <w:tc>
          <w:tcPr>
            <w:tcW w:w="1364" w:type="dxa"/>
            <w:noWrap w:val="0"/>
            <w:vAlign w:val="center"/>
          </w:tcPr>
          <w:p w14:paraId="1869D575">
            <w:pPr>
              <w:pStyle w:val="42"/>
              <w:keepNext w:val="0"/>
              <w:keepLines w:val="0"/>
              <w:pageBreakBefore w:val="0"/>
              <w:widowControl w:val="0"/>
              <w:kinsoku/>
              <w:wordWrap/>
              <w:overflowPunct/>
              <w:topLinePunct w:val="0"/>
              <w:autoSpaceDE/>
              <w:autoSpaceDN/>
              <w:bidi w:val="0"/>
              <w:adjustRightInd/>
              <w:snapToGrid/>
              <w:spacing w:line="360" w:lineRule="exact"/>
              <w:ind w:left="564"/>
              <w:jc w:val="both"/>
              <w:textAlignment w:val="auto"/>
              <w:rPr>
                <w:rFonts w:hint="eastAsia" w:ascii="宋体" w:hAnsi="宋体" w:eastAsia="宋体" w:cs="宋体"/>
                <w:color w:val="auto"/>
                <w:spacing w:val="-5"/>
                <w:highlight w:val="none"/>
                <w:lang w:val="en-US" w:eastAsia="zh-CN"/>
              </w:rPr>
            </w:pPr>
            <w:r>
              <w:rPr>
                <w:rFonts w:hint="eastAsia" w:ascii="宋体" w:hAnsi="宋体" w:eastAsia="宋体" w:cs="宋体"/>
                <w:color w:val="auto"/>
                <w:spacing w:val="-5"/>
                <w:highlight w:val="none"/>
                <w:lang w:val="en-US" w:eastAsia="zh-CN"/>
              </w:rPr>
              <w:t>3000</w:t>
            </w:r>
          </w:p>
        </w:tc>
      </w:tr>
      <w:tr w14:paraId="47CAB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jc w:val="center"/>
        </w:trPr>
        <w:tc>
          <w:tcPr>
            <w:tcW w:w="630" w:type="dxa"/>
            <w:vMerge w:val="restart"/>
            <w:tcBorders>
              <w:top w:val="single" w:color="auto" w:sz="4" w:space="0"/>
              <w:left w:val="single" w:color="auto" w:sz="4" w:space="0"/>
            </w:tcBorders>
            <w:noWrap w:val="0"/>
            <w:vAlign w:val="center"/>
          </w:tcPr>
          <w:p w14:paraId="2D5F93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8</w:t>
            </w:r>
          </w:p>
        </w:tc>
        <w:tc>
          <w:tcPr>
            <w:tcW w:w="540" w:type="dxa"/>
            <w:vMerge w:val="restart"/>
            <w:tcBorders>
              <w:top w:val="single" w:color="auto" w:sz="4" w:space="0"/>
              <w:right w:val="single" w:color="auto" w:sz="4" w:space="0"/>
            </w:tcBorders>
            <w:noWrap w:val="0"/>
            <w:vAlign w:val="center"/>
          </w:tcPr>
          <w:p w14:paraId="068AFF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钢筋工程</w:t>
            </w:r>
          </w:p>
        </w:tc>
        <w:tc>
          <w:tcPr>
            <w:tcW w:w="7981" w:type="dxa"/>
            <w:tcBorders>
              <w:left w:val="single" w:color="auto" w:sz="4" w:space="0"/>
            </w:tcBorders>
            <w:noWrap w:val="0"/>
            <w:vAlign w:val="center"/>
          </w:tcPr>
          <w:p w14:paraId="3D6A27B6">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both"/>
              <w:textAlignment w:val="auto"/>
              <w:rPr>
                <w:rFonts w:hint="eastAsia" w:ascii="宋体" w:hAnsi="宋体" w:eastAsia="宋体" w:cs="宋体"/>
                <w:color w:val="auto"/>
                <w:spacing w:val="-1"/>
                <w:sz w:val="18"/>
                <w:szCs w:val="18"/>
                <w:highlight w:val="none"/>
              </w:rPr>
            </w:pPr>
            <w:r>
              <w:rPr>
                <w:rFonts w:hint="eastAsia" w:ascii="宋体" w:hAnsi="宋体" w:eastAsia="宋体" w:cs="宋体"/>
                <w:color w:val="auto"/>
                <w:spacing w:val="18"/>
                <w:sz w:val="18"/>
                <w:szCs w:val="18"/>
                <w:highlight w:val="none"/>
                <w:lang w:val="en-US" w:eastAsia="zh-CN"/>
              </w:rPr>
              <w:t>1</w:t>
            </w:r>
            <w:r>
              <w:rPr>
                <w:rFonts w:hint="eastAsia" w:ascii="宋体" w:hAnsi="宋体" w:eastAsia="宋体" w:cs="宋体"/>
                <w:snapToGrid w:val="0"/>
                <w:color w:val="auto"/>
                <w:spacing w:val="-1"/>
                <w:kern w:val="0"/>
                <w:sz w:val="18"/>
                <w:szCs w:val="18"/>
                <w:highlight w:val="none"/>
                <w:lang w:val="en-US" w:eastAsia="zh-CN" w:bidi="ar-SA"/>
              </w:rPr>
              <w:t>.</w:t>
            </w:r>
            <w:r>
              <w:rPr>
                <w:rFonts w:hint="eastAsia" w:ascii="宋体" w:hAnsi="宋体" w:eastAsia="宋体" w:cs="宋体"/>
                <w:snapToGrid w:val="0"/>
                <w:color w:val="auto"/>
                <w:spacing w:val="-1"/>
                <w:kern w:val="0"/>
                <w:sz w:val="18"/>
                <w:szCs w:val="18"/>
                <w:highlight w:val="none"/>
                <w:lang w:val="en-US" w:eastAsia="en-US" w:bidi="ar-SA"/>
              </w:rPr>
              <w:t>钢筋未按照设计或翻样尺寸进行加工和安装；</w:t>
            </w:r>
          </w:p>
        </w:tc>
        <w:tc>
          <w:tcPr>
            <w:tcW w:w="1364" w:type="dxa"/>
            <w:noWrap w:val="0"/>
            <w:vAlign w:val="center"/>
          </w:tcPr>
          <w:p w14:paraId="1FEB980C">
            <w:pPr>
              <w:pStyle w:val="42"/>
              <w:keepNext w:val="0"/>
              <w:keepLines w:val="0"/>
              <w:pageBreakBefore w:val="0"/>
              <w:widowControl w:val="0"/>
              <w:kinsoku/>
              <w:wordWrap/>
              <w:overflowPunct/>
              <w:topLinePunct w:val="0"/>
              <w:autoSpaceDE/>
              <w:autoSpaceDN/>
              <w:bidi w:val="0"/>
              <w:adjustRightInd/>
              <w:snapToGrid/>
              <w:spacing w:line="360" w:lineRule="exact"/>
              <w:ind w:left="564"/>
              <w:jc w:val="both"/>
              <w:textAlignment w:val="auto"/>
              <w:rPr>
                <w:rFonts w:hint="eastAsia" w:ascii="宋体" w:hAnsi="宋体" w:eastAsia="宋体" w:cs="宋体"/>
                <w:color w:val="auto"/>
                <w:spacing w:val="-5"/>
                <w:highlight w:val="none"/>
              </w:rPr>
            </w:pPr>
            <w:r>
              <w:rPr>
                <w:rFonts w:hint="eastAsia" w:ascii="宋体" w:hAnsi="宋体" w:eastAsia="宋体" w:cs="宋体"/>
                <w:color w:val="auto"/>
                <w:spacing w:val="-5"/>
                <w:highlight w:val="none"/>
                <w:lang w:val="en-US" w:eastAsia="zh-CN"/>
              </w:rPr>
              <w:t>3</w:t>
            </w:r>
            <w:r>
              <w:rPr>
                <w:rFonts w:hint="eastAsia" w:ascii="宋体" w:hAnsi="宋体" w:eastAsia="宋体" w:cs="宋体"/>
                <w:color w:val="auto"/>
                <w:spacing w:val="-5"/>
                <w:highlight w:val="none"/>
              </w:rPr>
              <w:t>000</w:t>
            </w:r>
          </w:p>
        </w:tc>
      </w:tr>
      <w:tr w14:paraId="5D5D4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jc w:val="center"/>
        </w:trPr>
        <w:tc>
          <w:tcPr>
            <w:tcW w:w="630" w:type="dxa"/>
            <w:vMerge w:val="continue"/>
            <w:tcBorders>
              <w:left w:val="single" w:color="auto" w:sz="4" w:space="0"/>
            </w:tcBorders>
            <w:noWrap w:val="0"/>
            <w:vAlign w:val="center"/>
          </w:tcPr>
          <w:p w14:paraId="570996A2">
            <w:pPr>
              <w:pStyle w:val="42"/>
              <w:keepNext w:val="0"/>
              <w:keepLines w:val="0"/>
              <w:pageBreakBefore w:val="0"/>
              <w:widowControl w:val="0"/>
              <w:kinsoku/>
              <w:wordWrap/>
              <w:overflowPunct/>
              <w:topLinePunct w:val="0"/>
              <w:autoSpaceDE/>
              <w:autoSpaceDN/>
              <w:bidi w:val="0"/>
              <w:adjustRightInd/>
              <w:snapToGrid/>
              <w:spacing w:line="360" w:lineRule="exact"/>
              <w:ind w:left="114"/>
              <w:textAlignment w:val="auto"/>
              <w:rPr>
                <w:rFonts w:hint="eastAsia" w:ascii="宋体" w:hAnsi="宋体" w:eastAsia="宋体" w:cs="宋体"/>
                <w:color w:val="auto"/>
                <w:highlight w:val="none"/>
              </w:rPr>
            </w:pPr>
          </w:p>
        </w:tc>
        <w:tc>
          <w:tcPr>
            <w:tcW w:w="540" w:type="dxa"/>
            <w:vMerge w:val="continue"/>
            <w:tcBorders>
              <w:right w:val="single" w:color="auto" w:sz="4" w:space="0"/>
            </w:tcBorders>
            <w:noWrap w:val="0"/>
            <w:vAlign w:val="center"/>
          </w:tcPr>
          <w:p w14:paraId="5DA1D93A">
            <w:pPr>
              <w:pStyle w:val="42"/>
              <w:keepNext w:val="0"/>
              <w:keepLines w:val="0"/>
              <w:pageBreakBefore w:val="0"/>
              <w:widowControl w:val="0"/>
              <w:kinsoku/>
              <w:wordWrap/>
              <w:overflowPunct/>
              <w:topLinePunct w:val="0"/>
              <w:autoSpaceDE/>
              <w:autoSpaceDN/>
              <w:bidi w:val="0"/>
              <w:adjustRightInd/>
              <w:snapToGrid/>
              <w:spacing w:line="360" w:lineRule="exact"/>
              <w:ind w:right="110"/>
              <w:textAlignment w:val="auto"/>
              <w:rPr>
                <w:rFonts w:hint="eastAsia" w:ascii="宋体" w:hAnsi="宋体" w:eastAsia="宋体" w:cs="宋体"/>
                <w:color w:val="auto"/>
                <w:kern w:val="2"/>
                <w:sz w:val="18"/>
                <w:szCs w:val="18"/>
                <w:highlight w:val="none"/>
                <w:lang w:val="en-US" w:eastAsia="zh-CN" w:bidi="ar-SA"/>
              </w:rPr>
            </w:pPr>
          </w:p>
        </w:tc>
        <w:tc>
          <w:tcPr>
            <w:tcW w:w="7981" w:type="dxa"/>
            <w:tcBorders>
              <w:left w:val="single" w:color="auto" w:sz="4" w:space="0"/>
            </w:tcBorders>
            <w:noWrap w:val="0"/>
            <w:vAlign w:val="center"/>
          </w:tcPr>
          <w:p w14:paraId="355E300B">
            <w:pPr>
              <w:pStyle w:val="4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auto"/>
                <w:spacing w:val="-1"/>
                <w:sz w:val="18"/>
                <w:szCs w:val="18"/>
                <w:highlight w:val="none"/>
              </w:rPr>
            </w:pPr>
            <w:r>
              <w:rPr>
                <w:rFonts w:hint="eastAsia" w:ascii="宋体" w:hAnsi="宋体" w:eastAsia="宋体" w:cs="宋体"/>
                <w:snapToGrid w:val="0"/>
                <w:color w:val="auto"/>
                <w:spacing w:val="-1"/>
                <w:kern w:val="0"/>
                <w:sz w:val="18"/>
                <w:szCs w:val="18"/>
                <w:highlight w:val="none"/>
                <w:lang w:val="en-US" w:eastAsia="zh-CN" w:bidi="ar-SA"/>
              </w:rPr>
              <w:t>2.</w:t>
            </w:r>
            <w:r>
              <w:rPr>
                <w:rFonts w:hint="eastAsia" w:ascii="宋体" w:hAnsi="宋体" w:eastAsia="宋体" w:cs="宋体"/>
                <w:snapToGrid w:val="0"/>
                <w:color w:val="auto"/>
                <w:spacing w:val="-1"/>
                <w:kern w:val="0"/>
                <w:sz w:val="18"/>
                <w:szCs w:val="18"/>
                <w:highlight w:val="none"/>
                <w:lang w:val="en-US" w:eastAsia="en-US" w:bidi="ar-SA"/>
              </w:rPr>
              <w:t>钢筋现场翻样时，未合理考虑主筋的相互位置及避让关系</w:t>
            </w:r>
          </w:p>
        </w:tc>
        <w:tc>
          <w:tcPr>
            <w:tcW w:w="1364" w:type="dxa"/>
            <w:noWrap w:val="0"/>
            <w:vAlign w:val="center"/>
          </w:tcPr>
          <w:p w14:paraId="40CB8733">
            <w:pPr>
              <w:pStyle w:val="42"/>
              <w:keepNext w:val="0"/>
              <w:keepLines w:val="0"/>
              <w:pageBreakBefore w:val="0"/>
              <w:widowControl w:val="0"/>
              <w:kinsoku/>
              <w:wordWrap/>
              <w:overflowPunct/>
              <w:topLinePunct w:val="0"/>
              <w:autoSpaceDE/>
              <w:autoSpaceDN/>
              <w:bidi w:val="0"/>
              <w:adjustRightInd/>
              <w:snapToGrid/>
              <w:spacing w:line="360" w:lineRule="exact"/>
              <w:ind w:left="564" w:leftChars="0"/>
              <w:jc w:val="both"/>
              <w:textAlignment w:val="auto"/>
              <w:rPr>
                <w:rFonts w:hint="eastAsia" w:ascii="宋体" w:hAnsi="宋体" w:eastAsia="宋体" w:cs="宋体"/>
                <w:snapToGrid w:val="0"/>
                <w:color w:val="auto"/>
                <w:spacing w:val="-5"/>
                <w:kern w:val="0"/>
                <w:sz w:val="18"/>
                <w:szCs w:val="18"/>
                <w:highlight w:val="none"/>
                <w:lang w:val="en-US" w:eastAsia="en-US" w:bidi="ar-SA"/>
              </w:rPr>
            </w:pPr>
            <w:r>
              <w:rPr>
                <w:rFonts w:hint="eastAsia" w:ascii="宋体" w:hAnsi="宋体" w:eastAsia="宋体" w:cs="宋体"/>
                <w:color w:val="auto"/>
                <w:spacing w:val="-5"/>
                <w:highlight w:val="none"/>
                <w:lang w:val="en-US" w:eastAsia="zh-CN"/>
              </w:rPr>
              <w:t>3</w:t>
            </w:r>
            <w:r>
              <w:rPr>
                <w:rFonts w:hint="eastAsia" w:ascii="宋体" w:hAnsi="宋体" w:eastAsia="宋体" w:cs="宋体"/>
                <w:color w:val="auto"/>
                <w:spacing w:val="-5"/>
                <w:highlight w:val="none"/>
              </w:rPr>
              <w:t>000</w:t>
            </w:r>
          </w:p>
        </w:tc>
      </w:tr>
      <w:tr w14:paraId="2A9BD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jc w:val="center"/>
        </w:trPr>
        <w:tc>
          <w:tcPr>
            <w:tcW w:w="630" w:type="dxa"/>
            <w:vMerge w:val="continue"/>
            <w:tcBorders>
              <w:left w:val="single" w:color="auto" w:sz="4" w:space="0"/>
            </w:tcBorders>
            <w:noWrap w:val="0"/>
            <w:vAlign w:val="center"/>
          </w:tcPr>
          <w:p w14:paraId="2F4DDEC8">
            <w:pPr>
              <w:pStyle w:val="42"/>
              <w:keepNext w:val="0"/>
              <w:keepLines w:val="0"/>
              <w:pageBreakBefore w:val="0"/>
              <w:widowControl w:val="0"/>
              <w:kinsoku/>
              <w:wordWrap/>
              <w:overflowPunct/>
              <w:topLinePunct w:val="0"/>
              <w:autoSpaceDE/>
              <w:autoSpaceDN/>
              <w:bidi w:val="0"/>
              <w:adjustRightInd/>
              <w:snapToGrid/>
              <w:spacing w:line="360" w:lineRule="exact"/>
              <w:ind w:left="114"/>
              <w:textAlignment w:val="auto"/>
              <w:rPr>
                <w:rFonts w:hint="eastAsia" w:ascii="宋体" w:hAnsi="宋体" w:eastAsia="宋体" w:cs="宋体"/>
                <w:color w:val="auto"/>
                <w:spacing w:val="-1"/>
                <w:sz w:val="18"/>
                <w:szCs w:val="18"/>
                <w:highlight w:val="none"/>
              </w:rPr>
            </w:pPr>
          </w:p>
        </w:tc>
        <w:tc>
          <w:tcPr>
            <w:tcW w:w="540" w:type="dxa"/>
            <w:vMerge w:val="continue"/>
            <w:tcBorders>
              <w:right w:val="single" w:color="auto" w:sz="4" w:space="0"/>
            </w:tcBorders>
            <w:noWrap w:val="0"/>
            <w:vAlign w:val="center"/>
          </w:tcPr>
          <w:p w14:paraId="06D24BAD">
            <w:pPr>
              <w:pStyle w:val="42"/>
              <w:keepNext w:val="0"/>
              <w:keepLines w:val="0"/>
              <w:pageBreakBefore w:val="0"/>
              <w:widowControl w:val="0"/>
              <w:kinsoku/>
              <w:wordWrap/>
              <w:overflowPunct/>
              <w:topLinePunct w:val="0"/>
              <w:autoSpaceDE/>
              <w:autoSpaceDN/>
              <w:bidi w:val="0"/>
              <w:adjustRightInd/>
              <w:snapToGrid/>
              <w:spacing w:line="360" w:lineRule="exact"/>
              <w:ind w:right="110"/>
              <w:textAlignment w:val="auto"/>
              <w:rPr>
                <w:rFonts w:hint="eastAsia" w:ascii="宋体" w:hAnsi="宋体" w:eastAsia="宋体" w:cs="宋体"/>
                <w:color w:val="auto"/>
                <w:kern w:val="2"/>
                <w:sz w:val="18"/>
                <w:szCs w:val="18"/>
                <w:highlight w:val="none"/>
                <w:lang w:val="en-US" w:eastAsia="zh-CN" w:bidi="ar-SA"/>
              </w:rPr>
            </w:pPr>
          </w:p>
        </w:tc>
        <w:tc>
          <w:tcPr>
            <w:tcW w:w="7981" w:type="dxa"/>
            <w:tcBorders>
              <w:left w:val="single" w:color="auto" w:sz="4" w:space="0"/>
            </w:tcBorders>
            <w:noWrap w:val="0"/>
            <w:vAlign w:val="center"/>
          </w:tcPr>
          <w:p w14:paraId="502AF08C">
            <w:pPr>
              <w:pStyle w:val="4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auto"/>
                <w:spacing w:val="-1"/>
                <w:sz w:val="18"/>
                <w:szCs w:val="18"/>
                <w:highlight w:val="none"/>
              </w:rPr>
            </w:pPr>
            <w:r>
              <w:rPr>
                <w:rFonts w:hint="eastAsia" w:ascii="宋体" w:hAnsi="宋体" w:eastAsia="宋体" w:cs="宋体"/>
                <w:snapToGrid w:val="0"/>
                <w:color w:val="auto"/>
                <w:spacing w:val="-1"/>
                <w:kern w:val="0"/>
                <w:sz w:val="18"/>
                <w:szCs w:val="18"/>
                <w:highlight w:val="none"/>
                <w:lang w:val="en-US" w:eastAsia="zh-CN" w:bidi="ar-SA"/>
              </w:rPr>
              <w:t>3.</w:t>
            </w:r>
            <w:r>
              <w:rPr>
                <w:rFonts w:hint="eastAsia" w:ascii="宋体" w:hAnsi="宋体" w:eastAsia="宋体" w:cs="宋体"/>
                <w:snapToGrid w:val="0"/>
                <w:color w:val="auto"/>
                <w:spacing w:val="-1"/>
                <w:kern w:val="0"/>
                <w:sz w:val="18"/>
                <w:szCs w:val="18"/>
                <w:highlight w:val="none"/>
                <w:lang w:val="en-US" w:eastAsia="en-US" w:bidi="ar-SA"/>
              </w:rPr>
              <w:t>混凝土浇筑过程中，钢筋被碰撞移位后，在混凝土初凝前，没能及时被校正</w:t>
            </w:r>
          </w:p>
        </w:tc>
        <w:tc>
          <w:tcPr>
            <w:tcW w:w="1364" w:type="dxa"/>
            <w:noWrap w:val="0"/>
            <w:vAlign w:val="center"/>
          </w:tcPr>
          <w:p w14:paraId="42BC8E2A">
            <w:pPr>
              <w:pStyle w:val="42"/>
              <w:keepNext w:val="0"/>
              <w:keepLines w:val="0"/>
              <w:pageBreakBefore w:val="0"/>
              <w:widowControl w:val="0"/>
              <w:kinsoku/>
              <w:wordWrap/>
              <w:overflowPunct/>
              <w:topLinePunct w:val="0"/>
              <w:autoSpaceDE/>
              <w:autoSpaceDN/>
              <w:bidi w:val="0"/>
              <w:adjustRightInd/>
              <w:snapToGrid/>
              <w:spacing w:line="360" w:lineRule="exact"/>
              <w:ind w:left="564" w:leftChars="0"/>
              <w:jc w:val="both"/>
              <w:textAlignment w:val="auto"/>
              <w:rPr>
                <w:rFonts w:hint="eastAsia" w:ascii="宋体" w:hAnsi="宋体" w:eastAsia="宋体" w:cs="宋体"/>
                <w:snapToGrid w:val="0"/>
                <w:color w:val="auto"/>
                <w:spacing w:val="-5"/>
                <w:kern w:val="0"/>
                <w:sz w:val="18"/>
                <w:szCs w:val="18"/>
                <w:highlight w:val="none"/>
                <w:lang w:val="en-US" w:eastAsia="en-US" w:bidi="ar-SA"/>
              </w:rPr>
            </w:pPr>
            <w:r>
              <w:rPr>
                <w:rFonts w:hint="eastAsia" w:ascii="宋体" w:hAnsi="宋体" w:eastAsia="宋体" w:cs="宋体"/>
                <w:color w:val="auto"/>
                <w:spacing w:val="-5"/>
                <w:highlight w:val="none"/>
                <w:lang w:val="en-US" w:eastAsia="zh-CN"/>
              </w:rPr>
              <w:t>3</w:t>
            </w:r>
            <w:r>
              <w:rPr>
                <w:rFonts w:hint="eastAsia" w:ascii="宋体" w:hAnsi="宋体" w:eastAsia="宋体" w:cs="宋体"/>
                <w:color w:val="auto"/>
                <w:spacing w:val="-5"/>
                <w:highlight w:val="none"/>
              </w:rPr>
              <w:t>000</w:t>
            </w:r>
          </w:p>
        </w:tc>
      </w:tr>
      <w:tr w14:paraId="0FFD5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jc w:val="center"/>
        </w:trPr>
        <w:tc>
          <w:tcPr>
            <w:tcW w:w="630" w:type="dxa"/>
            <w:vMerge w:val="continue"/>
            <w:tcBorders>
              <w:left w:val="single" w:color="auto" w:sz="4" w:space="0"/>
              <w:bottom w:val="single" w:color="auto" w:sz="4" w:space="0"/>
            </w:tcBorders>
            <w:noWrap w:val="0"/>
            <w:vAlign w:val="center"/>
          </w:tcPr>
          <w:p w14:paraId="47337461">
            <w:pPr>
              <w:pStyle w:val="42"/>
              <w:keepNext w:val="0"/>
              <w:keepLines w:val="0"/>
              <w:pageBreakBefore w:val="0"/>
              <w:widowControl w:val="0"/>
              <w:kinsoku/>
              <w:wordWrap/>
              <w:overflowPunct/>
              <w:topLinePunct w:val="0"/>
              <w:autoSpaceDE/>
              <w:autoSpaceDN/>
              <w:bidi w:val="0"/>
              <w:adjustRightInd/>
              <w:snapToGrid/>
              <w:spacing w:line="360" w:lineRule="exact"/>
              <w:ind w:left="114"/>
              <w:textAlignment w:val="auto"/>
              <w:rPr>
                <w:rFonts w:hint="eastAsia" w:ascii="宋体" w:hAnsi="宋体" w:eastAsia="宋体" w:cs="宋体"/>
                <w:color w:val="auto"/>
                <w:spacing w:val="-1"/>
                <w:sz w:val="18"/>
                <w:szCs w:val="18"/>
                <w:highlight w:val="none"/>
              </w:rPr>
            </w:pPr>
          </w:p>
        </w:tc>
        <w:tc>
          <w:tcPr>
            <w:tcW w:w="540" w:type="dxa"/>
            <w:vMerge w:val="continue"/>
            <w:tcBorders>
              <w:bottom w:val="single" w:color="auto" w:sz="4" w:space="0"/>
              <w:right w:val="single" w:color="auto" w:sz="4" w:space="0"/>
            </w:tcBorders>
            <w:noWrap w:val="0"/>
            <w:vAlign w:val="center"/>
          </w:tcPr>
          <w:p w14:paraId="2F35A256">
            <w:pPr>
              <w:pStyle w:val="42"/>
              <w:keepNext w:val="0"/>
              <w:keepLines w:val="0"/>
              <w:pageBreakBefore w:val="0"/>
              <w:widowControl w:val="0"/>
              <w:kinsoku/>
              <w:wordWrap/>
              <w:overflowPunct/>
              <w:topLinePunct w:val="0"/>
              <w:autoSpaceDE/>
              <w:autoSpaceDN/>
              <w:bidi w:val="0"/>
              <w:adjustRightInd/>
              <w:snapToGrid/>
              <w:spacing w:line="360" w:lineRule="exact"/>
              <w:ind w:right="110"/>
              <w:textAlignment w:val="auto"/>
              <w:rPr>
                <w:rFonts w:hint="eastAsia" w:ascii="宋体" w:hAnsi="宋体" w:eastAsia="宋体" w:cs="宋体"/>
                <w:color w:val="auto"/>
                <w:kern w:val="2"/>
                <w:sz w:val="18"/>
                <w:szCs w:val="18"/>
                <w:highlight w:val="none"/>
                <w:lang w:val="en-US" w:eastAsia="zh-CN" w:bidi="ar-SA"/>
              </w:rPr>
            </w:pPr>
          </w:p>
        </w:tc>
        <w:tc>
          <w:tcPr>
            <w:tcW w:w="7981" w:type="dxa"/>
            <w:tcBorders>
              <w:left w:val="single" w:color="auto" w:sz="4" w:space="0"/>
            </w:tcBorders>
            <w:noWrap w:val="0"/>
            <w:vAlign w:val="center"/>
          </w:tcPr>
          <w:p w14:paraId="78D6A86A">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both"/>
              <w:textAlignment w:val="auto"/>
              <w:rPr>
                <w:rFonts w:hint="eastAsia" w:ascii="宋体" w:hAnsi="宋体" w:eastAsia="宋体" w:cs="宋体"/>
                <w:color w:val="auto"/>
                <w:spacing w:val="-1"/>
                <w:sz w:val="18"/>
                <w:szCs w:val="18"/>
                <w:highlight w:val="none"/>
              </w:rPr>
            </w:pPr>
            <w:r>
              <w:rPr>
                <w:rFonts w:hint="eastAsia" w:ascii="宋体" w:hAnsi="宋体" w:eastAsia="宋体" w:cs="宋体"/>
                <w:snapToGrid w:val="0"/>
                <w:color w:val="auto"/>
                <w:spacing w:val="-1"/>
                <w:kern w:val="0"/>
                <w:sz w:val="18"/>
                <w:szCs w:val="18"/>
                <w:highlight w:val="none"/>
                <w:lang w:val="en-US" w:eastAsia="zh-CN" w:bidi="ar-SA"/>
              </w:rPr>
              <w:t>4.</w:t>
            </w:r>
            <w:r>
              <w:rPr>
                <w:rFonts w:hint="eastAsia" w:ascii="宋体" w:hAnsi="宋体" w:eastAsia="宋体" w:cs="宋体"/>
                <w:snapToGrid w:val="0"/>
                <w:color w:val="auto"/>
                <w:spacing w:val="-1"/>
                <w:kern w:val="0"/>
                <w:sz w:val="18"/>
                <w:szCs w:val="18"/>
                <w:highlight w:val="none"/>
                <w:lang w:val="en-US" w:eastAsia="en-US" w:bidi="ar-SA"/>
              </w:rPr>
              <w:t>保护层垫块尺寸或安装位置不准确。</w:t>
            </w:r>
          </w:p>
        </w:tc>
        <w:tc>
          <w:tcPr>
            <w:tcW w:w="1364" w:type="dxa"/>
            <w:noWrap w:val="0"/>
            <w:vAlign w:val="center"/>
          </w:tcPr>
          <w:p w14:paraId="782B5206">
            <w:pPr>
              <w:pStyle w:val="42"/>
              <w:keepNext w:val="0"/>
              <w:keepLines w:val="0"/>
              <w:pageBreakBefore w:val="0"/>
              <w:widowControl w:val="0"/>
              <w:kinsoku/>
              <w:wordWrap/>
              <w:overflowPunct/>
              <w:topLinePunct w:val="0"/>
              <w:autoSpaceDE/>
              <w:autoSpaceDN/>
              <w:bidi w:val="0"/>
              <w:adjustRightInd/>
              <w:snapToGrid/>
              <w:spacing w:line="360" w:lineRule="exact"/>
              <w:ind w:left="564" w:leftChars="0"/>
              <w:jc w:val="both"/>
              <w:textAlignment w:val="auto"/>
              <w:rPr>
                <w:rFonts w:hint="eastAsia" w:ascii="宋体" w:hAnsi="宋体" w:eastAsia="宋体" w:cs="宋体"/>
                <w:snapToGrid w:val="0"/>
                <w:color w:val="auto"/>
                <w:spacing w:val="-5"/>
                <w:kern w:val="0"/>
                <w:sz w:val="18"/>
                <w:szCs w:val="18"/>
                <w:highlight w:val="none"/>
                <w:lang w:val="en-US" w:eastAsia="en-US" w:bidi="ar-SA"/>
              </w:rPr>
            </w:pPr>
            <w:r>
              <w:rPr>
                <w:rFonts w:hint="eastAsia" w:ascii="宋体" w:hAnsi="宋体" w:eastAsia="宋体" w:cs="宋体"/>
                <w:color w:val="auto"/>
                <w:spacing w:val="-5"/>
                <w:highlight w:val="none"/>
                <w:lang w:val="en-US" w:eastAsia="zh-CN"/>
              </w:rPr>
              <w:t>3</w:t>
            </w:r>
            <w:r>
              <w:rPr>
                <w:rFonts w:hint="eastAsia" w:ascii="宋体" w:hAnsi="宋体" w:eastAsia="宋体" w:cs="宋体"/>
                <w:color w:val="auto"/>
                <w:spacing w:val="-5"/>
                <w:highlight w:val="none"/>
              </w:rPr>
              <w:t>000</w:t>
            </w:r>
          </w:p>
        </w:tc>
      </w:tr>
      <w:tr w14:paraId="48080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630" w:type="dxa"/>
            <w:vMerge w:val="restart"/>
            <w:tcBorders>
              <w:top w:val="single" w:color="auto" w:sz="4" w:space="0"/>
              <w:left w:val="single" w:color="auto" w:sz="4" w:space="0"/>
            </w:tcBorders>
            <w:noWrap w:val="0"/>
            <w:vAlign w:val="center"/>
          </w:tcPr>
          <w:p w14:paraId="4ED03C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9</w:t>
            </w:r>
          </w:p>
        </w:tc>
        <w:tc>
          <w:tcPr>
            <w:tcW w:w="540" w:type="dxa"/>
            <w:vMerge w:val="restart"/>
            <w:tcBorders>
              <w:top w:val="single" w:color="auto" w:sz="4" w:space="0"/>
              <w:right w:val="single" w:color="auto" w:sz="4" w:space="0"/>
            </w:tcBorders>
            <w:noWrap w:val="0"/>
            <w:vAlign w:val="center"/>
          </w:tcPr>
          <w:p w14:paraId="3B36E3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混凝土工程</w:t>
            </w:r>
          </w:p>
        </w:tc>
        <w:tc>
          <w:tcPr>
            <w:tcW w:w="7981" w:type="dxa"/>
            <w:tcBorders>
              <w:left w:val="single" w:color="auto" w:sz="4" w:space="0"/>
            </w:tcBorders>
            <w:noWrap w:val="0"/>
            <w:vAlign w:val="top"/>
          </w:tcPr>
          <w:p w14:paraId="031C63A4">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both"/>
              <w:textAlignment w:val="auto"/>
              <w:rPr>
                <w:rFonts w:hint="eastAsia" w:ascii="宋体" w:hAnsi="宋体" w:eastAsia="宋体" w:cs="宋体"/>
                <w:color w:val="auto"/>
                <w:spacing w:val="-1"/>
                <w:sz w:val="18"/>
                <w:szCs w:val="18"/>
                <w:highlight w:val="none"/>
              </w:rPr>
            </w:pPr>
            <w:r>
              <w:rPr>
                <w:rFonts w:hint="eastAsia" w:ascii="宋体" w:hAnsi="宋体" w:eastAsia="宋体" w:cs="宋体"/>
                <w:color w:val="auto"/>
                <w:spacing w:val="18"/>
                <w:sz w:val="18"/>
                <w:szCs w:val="18"/>
                <w:highlight w:val="none"/>
                <w:lang w:val="en-US" w:eastAsia="zh-CN"/>
              </w:rPr>
              <w:t>1.</w:t>
            </w:r>
            <w:r>
              <w:rPr>
                <w:rFonts w:hint="eastAsia" w:ascii="宋体" w:hAnsi="宋体" w:eastAsia="宋体" w:cs="宋体"/>
                <w:color w:val="auto"/>
                <w:spacing w:val="18"/>
                <w:sz w:val="18"/>
                <w:szCs w:val="18"/>
                <w:highlight w:val="none"/>
              </w:rPr>
              <w:t>拆模后混凝土表面出现麻面、露筋、蜂窝、孔洞等</w:t>
            </w:r>
          </w:p>
        </w:tc>
        <w:tc>
          <w:tcPr>
            <w:tcW w:w="1364" w:type="dxa"/>
            <w:noWrap w:val="0"/>
            <w:vAlign w:val="center"/>
          </w:tcPr>
          <w:p w14:paraId="0D894B69">
            <w:pPr>
              <w:pStyle w:val="42"/>
              <w:keepNext w:val="0"/>
              <w:keepLines w:val="0"/>
              <w:pageBreakBefore w:val="0"/>
              <w:widowControl w:val="0"/>
              <w:kinsoku/>
              <w:wordWrap/>
              <w:overflowPunct/>
              <w:topLinePunct w:val="0"/>
              <w:autoSpaceDE/>
              <w:autoSpaceDN/>
              <w:bidi w:val="0"/>
              <w:adjustRightInd/>
              <w:snapToGrid/>
              <w:spacing w:line="360" w:lineRule="exact"/>
              <w:ind w:left="564" w:leftChars="0"/>
              <w:jc w:val="both"/>
              <w:textAlignment w:val="auto"/>
              <w:rPr>
                <w:rFonts w:hint="eastAsia" w:ascii="宋体" w:hAnsi="宋体" w:eastAsia="宋体" w:cs="宋体"/>
                <w:color w:val="auto"/>
                <w:spacing w:val="-5"/>
                <w:highlight w:val="none"/>
              </w:rPr>
            </w:pPr>
            <w:r>
              <w:rPr>
                <w:rFonts w:hint="eastAsia" w:ascii="宋体" w:hAnsi="宋体" w:eastAsia="宋体" w:cs="宋体"/>
                <w:color w:val="auto"/>
                <w:spacing w:val="-5"/>
                <w:highlight w:val="none"/>
                <w:lang w:val="en-US" w:eastAsia="zh-CN"/>
              </w:rPr>
              <w:t>3</w:t>
            </w:r>
            <w:r>
              <w:rPr>
                <w:rFonts w:hint="eastAsia" w:ascii="宋体" w:hAnsi="宋体" w:eastAsia="宋体" w:cs="宋体"/>
                <w:color w:val="auto"/>
                <w:spacing w:val="-5"/>
                <w:highlight w:val="none"/>
              </w:rPr>
              <w:t>000</w:t>
            </w:r>
          </w:p>
        </w:tc>
      </w:tr>
      <w:tr w14:paraId="3C76A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630" w:type="dxa"/>
            <w:vMerge w:val="continue"/>
            <w:tcBorders>
              <w:left w:val="single" w:color="auto" w:sz="4" w:space="0"/>
            </w:tcBorders>
            <w:noWrap w:val="0"/>
            <w:vAlign w:val="center"/>
          </w:tcPr>
          <w:p w14:paraId="5E93AD25">
            <w:pPr>
              <w:pStyle w:val="4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highlight w:val="none"/>
              </w:rPr>
            </w:pPr>
          </w:p>
        </w:tc>
        <w:tc>
          <w:tcPr>
            <w:tcW w:w="540" w:type="dxa"/>
            <w:vMerge w:val="continue"/>
            <w:tcBorders>
              <w:right w:val="single" w:color="auto" w:sz="4" w:space="0"/>
            </w:tcBorders>
            <w:noWrap w:val="0"/>
            <w:vAlign w:val="center"/>
          </w:tcPr>
          <w:p w14:paraId="46C96593">
            <w:pPr>
              <w:pStyle w:val="42"/>
              <w:keepNext w:val="0"/>
              <w:keepLines w:val="0"/>
              <w:pageBreakBefore w:val="0"/>
              <w:widowControl w:val="0"/>
              <w:kinsoku/>
              <w:wordWrap/>
              <w:overflowPunct/>
              <w:topLinePunct w:val="0"/>
              <w:autoSpaceDE/>
              <w:autoSpaceDN/>
              <w:bidi w:val="0"/>
              <w:adjustRightInd/>
              <w:snapToGrid/>
              <w:spacing w:line="360" w:lineRule="exact"/>
              <w:ind w:right="110"/>
              <w:textAlignment w:val="auto"/>
              <w:rPr>
                <w:rFonts w:hint="eastAsia" w:ascii="宋体" w:hAnsi="宋体" w:eastAsia="宋体" w:cs="宋体"/>
                <w:color w:val="auto"/>
                <w:kern w:val="2"/>
                <w:sz w:val="18"/>
                <w:szCs w:val="18"/>
                <w:highlight w:val="none"/>
                <w:lang w:val="en-US" w:eastAsia="zh-CN" w:bidi="ar-SA"/>
              </w:rPr>
            </w:pPr>
          </w:p>
        </w:tc>
        <w:tc>
          <w:tcPr>
            <w:tcW w:w="7981" w:type="dxa"/>
            <w:tcBorders>
              <w:left w:val="single" w:color="auto" w:sz="4" w:space="0"/>
            </w:tcBorders>
            <w:noWrap w:val="0"/>
            <w:vAlign w:val="top"/>
          </w:tcPr>
          <w:p w14:paraId="020FC081">
            <w:pPr>
              <w:pStyle w:val="4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auto"/>
                <w:spacing w:val="18"/>
                <w:sz w:val="18"/>
                <w:szCs w:val="18"/>
                <w:highlight w:val="none"/>
                <w:lang w:val="en-US" w:eastAsia="zh-CN"/>
              </w:rPr>
            </w:pPr>
            <w:r>
              <w:rPr>
                <w:rFonts w:hint="eastAsia" w:ascii="宋体" w:hAnsi="宋体" w:eastAsia="宋体" w:cs="宋体"/>
                <w:color w:val="auto"/>
                <w:spacing w:val="18"/>
                <w:sz w:val="18"/>
                <w:szCs w:val="18"/>
                <w:highlight w:val="none"/>
                <w:lang w:val="en-US" w:eastAsia="zh-CN"/>
              </w:rPr>
              <w:t>2.</w:t>
            </w:r>
            <w:r>
              <w:rPr>
                <w:rFonts w:hint="eastAsia" w:ascii="宋体" w:hAnsi="宋体" w:eastAsia="宋体" w:cs="宋体"/>
                <w:color w:val="auto"/>
                <w:spacing w:val="18"/>
                <w:sz w:val="18"/>
                <w:szCs w:val="18"/>
                <w:highlight w:val="none"/>
              </w:rPr>
              <w:t>模板表面不光滑、安装质量差，接缝不严、漏浆，模板表面污染未清除</w:t>
            </w:r>
          </w:p>
        </w:tc>
        <w:tc>
          <w:tcPr>
            <w:tcW w:w="1364" w:type="dxa"/>
            <w:noWrap w:val="0"/>
            <w:vAlign w:val="center"/>
          </w:tcPr>
          <w:p w14:paraId="41905CB1">
            <w:pPr>
              <w:pStyle w:val="42"/>
              <w:keepNext w:val="0"/>
              <w:keepLines w:val="0"/>
              <w:pageBreakBefore w:val="0"/>
              <w:widowControl w:val="0"/>
              <w:kinsoku/>
              <w:wordWrap/>
              <w:overflowPunct/>
              <w:topLinePunct w:val="0"/>
              <w:autoSpaceDE/>
              <w:autoSpaceDN/>
              <w:bidi w:val="0"/>
              <w:adjustRightInd/>
              <w:snapToGrid/>
              <w:spacing w:line="360" w:lineRule="exact"/>
              <w:ind w:left="564" w:leftChars="0"/>
              <w:jc w:val="both"/>
              <w:textAlignment w:val="auto"/>
              <w:rPr>
                <w:rFonts w:hint="eastAsia" w:ascii="宋体" w:hAnsi="宋体" w:eastAsia="宋体" w:cs="宋体"/>
                <w:snapToGrid w:val="0"/>
                <w:color w:val="auto"/>
                <w:spacing w:val="-5"/>
                <w:kern w:val="0"/>
                <w:sz w:val="18"/>
                <w:szCs w:val="18"/>
                <w:highlight w:val="none"/>
                <w:lang w:val="en-US" w:eastAsia="zh-CN" w:bidi="ar-SA"/>
              </w:rPr>
            </w:pPr>
            <w:r>
              <w:rPr>
                <w:rFonts w:hint="eastAsia" w:ascii="宋体" w:hAnsi="宋体" w:eastAsia="宋体" w:cs="宋体"/>
                <w:color w:val="auto"/>
                <w:spacing w:val="-5"/>
                <w:highlight w:val="none"/>
                <w:lang w:val="en-US" w:eastAsia="zh-CN"/>
              </w:rPr>
              <w:t>3</w:t>
            </w:r>
            <w:r>
              <w:rPr>
                <w:rFonts w:hint="eastAsia" w:ascii="宋体" w:hAnsi="宋体" w:eastAsia="宋体" w:cs="宋体"/>
                <w:color w:val="auto"/>
                <w:spacing w:val="-5"/>
                <w:highlight w:val="none"/>
              </w:rPr>
              <w:t>000</w:t>
            </w:r>
          </w:p>
        </w:tc>
      </w:tr>
      <w:tr w14:paraId="0F39D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630" w:type="dxa"/>
            <w:vMerge w:val="continue"/>
            <w:tcBorders>
              <w:left w:val="single" w:color="auto" w:sz="4" w:space="0"/>
            </w:tcBorders>
            <w:noWrap w:val="0"/>
            <w:vAlign w:val="center"/>
          </w:tcPr>
          <w:p w14:paraId="563E0F69">
            <w:pPr>
              <w:pStyle w:val="4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pacing w:val="18"/>
                <w:sz w:val="18"/>
                <w:szCs w:val="18"/>
                <w:highlight w:val="none"/>
                <w:lang w:val="en-US" w:eastAsia="zh-CN"/>
              </w:rPr>
            </w:pPr>
          </w:p>
        </w:tc>
        <w:tc>
          <w:tcPr>
            <w:tcW w:w="540" w:type="dxa"/>
            <w:vMerge w:val="continue"/>
            <w:tcBorders>
              <w:right w:val="single" w:color="auto" w:sz="4" w:space="0"/>
            </w:tcBorders>
            <w:noWrap w:val="0"/>
            <w:vAlign w:val="center"/>
          </w:tcPr>
          <w:p w14:paraId="108B8AB5">
            <w:pPr>
              <w:pStyle w:val="42"/>
              <w:keepNext w:val="0"/>
              <w:keepLines w:val="0"/>
              <w:pageBreakBefore w:val="0"/>
              <w:widowControl w:val="0"/>
              <w:kinsoku/>
              <w:wordWrap/>
              <w:overflowPunct/>
              <w:topLinePunct w:val="0"/>
              <w:autoSpaceDE/>
              <w:autoSpaceDN/>
              <w:bidi w:val="0"/>
              <w:adjustRightInd/>
              <w:snapToGrid/>
              <w:spacing w:line="360" w:lineRule="exact"/>
              <w:ind w:right="110"/>
              <w:textAlignment w:val="auto"/>
              <w:rPr>
                <w:rFonts w:hint="eastAsia" w:ascii="宋体" w:hAnsi="宋体" w:eastAsia="宋体" w:cs="宋体"/>
                <w:color w:val="auto"/>
                <w:kern w:val="2"/>
                <w:sz w:val="18"/>
                <w:szCs w:val="18"/>
                <w:highlight w:val="none"/>
                <w:lang w:val="en-US" w:eastAsia="zh-CN" w:bidi="ar-SA"/>
              </w:rPr>
            </w:pPr>
          </w:p>
        </w:tc>
        <w:tc>
          <w:tcPr>
            <w:tcW w:w="7981" w:type="dxa"/>
            <w:tcBorders>
              <w:left w:val="single" w:color="auto" w:sz="4" w:space="0"/>
            </w:tcBorders>
            <w:noWrap w:val="0"/>
            <w:vAlign w:val="top"/>
          </w:tcPr>
          <w:p w14:paraId="790F53EC">
            <w:pPr>
              <w:pStyle w:val="4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auto"/>
                <w:spacing w:val="18"/>
                <w:sz w:val="18"/>
                <w:szCs w:val="18"/>
                <w:highlight w:val="none"/>
                <w:lang w:val="en-US" w:eastAsia="zh-CN"/>
              </w:rPr>
            </w:pPr>
            <w:r>
              <w:rPr>
                <w:rFonts w:hint="eastAsia" w:ascii="宋体" w:hAnsi="宋体" w:eastAsia="宋体" w:cs="宋体"/>
                <w:color w:val="auto"/>
                <w:spacing w:val="18"/>
                <w:sz w:val="18"/>
                <w:szCs w:val="18"/>
                <w:highlight w:val="none"/>
                <w:lang w:val="en-US" w:eastAsia="zh-CN"/>
              </w:rPr>
              <w:t>3.</w:t>
            </w:r>
            <w:r>
              <w:rPr>
                <w:rFonts w:hint="eastAsia" w:ascii="宋体" w:hAnsi="宋体" w:eastAsia="宋体" w:cs="宋体"/>
                <w:color w:val="auto"/>
                <w:spacing w:val="18"/>
                <w:sz w:val="18"/>
                <w:szCs w:val="18"/>
                <w:highlight w:val="none"/>
              </w:rPr>
              <w:t>木模板在混凝土入模之前没有充分湿润，钢模板隔离剂涂刷不均匀</w:t>
            </w:r>
          </w:p>
        </w:tc>
        <w:tc>
          <w:tcPr>
            <w:tcW w:w="1364" w:type="dxa"/>
            <w:noWrap w:val="0"/>
            <w:vAlign w:val="center"/>
          </w:tcPr>
          <w:p w14:paraId="52ECE8D9">
            <w:pPr>
              <w:pStyle w:val="42"/>
              <w:keepNext w:val="0"/>
              <w:keepLines w:val="0"/>
              <w:pageBreakBefore w:val="0"/>
              <w:widowControl w:val="0"/>
              <w:kinsoku/>
              <w:wordWrap/>
              <w:overflowPunct/>
              <w:topLinePunct w:val="0"/>
              <w:autoSpaceDE/>
              <w:autoSpaceDN/>
              <w:bidi w:val="0"/>
              <w:adjustRightInd/>
              <w:snapToGrid/>
              <w:spacing w:line="360" w:lineRule="exact"/>
              <w:ind w:left="564" w:leftChars="0"/>
              <w:jc w:val="both"/>
              <w:textAlignment w:val="auto"/>
              <w:rPr>
                <w:rFonts w:hint="eastAsia" w:ascii="宋体" w:hAnsi="宋体" w:eastAsia="宋体" w:cs="宋体"/>
                <w:snapToGrid w:val="0"/>
                <w:color w:val="auto"/>
                <w:spacing w:val="-5"/>
                <w:kern w:val="0"/>
                <w:sz w:val="18"/>
                <w:szCs w:val="18"/>
                <w:highlight w:val="none"/>
                <w:lang w:val="en-US" w:eastAsia="zh-CN" w:bidi="ar-SA"/>
              </w:rPr>
            </w:pPr>
            <w:r>
              <w:rPr>
                <w:rFonts w:hint="eastAsia" w:ascii="宋体" w:hAnsi="宋体" w:eastAsia="宋体" w:cs="宋体"/>
                <w:color w:val="auto"/>
                <w:spacing w:val="-5"/>
                <w:highlight w:val="none"/>
                <w:lang w:val="en-US" w:eastAsia="zh-CN"/>
              </w:rPr>
              <w:t>3</w:t>
            </w:r>
            <w:r>
              <w:rPr>
                <w:rFonts w:hint="eastAsia" w:ascii="宋体" w:hAnsi="宋体" w:eastAsia="宋体" w:cs="宋体"/>
                <w:color w:val="auto"/>
                <w:spacing w:val="-5"/>
                <w:highlight w:val="none"/>
              </w:rPr>
              <w:t>000</w:t>
            </w:r>
          </w:p>
        </w:tc>
      </w:tr>
      <w:tr w14:paraId="33F19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630" w:type="dxa"/>
            <w:vMerge w:val="continue"/>
            <w:tcBorders>
              <w:left w:val="single" w:color="auto" w:sz="4" w:space="0"/>
            </w:tcBorders>
            <w:noWrap w:val="0"/>
            <w:vAlign w:val="center"/>
          </w:tcPr>
          <w:p w14:paraId="42C4F0DC">
            <w:pPr>
              <w:pStyle w:val="4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pacing w:val="18"/>
                <w:sz w:val="18"/>
                <w:szCs w:val="18"/>
                <w:highlight w:val="none"/>
                <w:lang w:val="en-US" w:eastAsia="zh-CN"/>
              </w:rPr>
            </w:pPr>
          </w:p>
        </w:tc>
        <w:tc>
          <w:tcPr>
            <w:tcW w:w="540" w:type="dxa"/>
            <w:vMerge w:val="continue"/>
            <w:tcBorders>
              <w:right w:val="single" w:color="auto" w:sz="4" w:space="0"/>
            </w:tcBorders>
            <w:noWrap w:val="0"/>
            <w:vAlign w:val="center"/>
          </w:tcPr>
          <w:p w14:paraId="2FC58386">
            <w:pPr>
              <w:pStyle w:val="42"/>
              <w:keepNext w:val="0"/>
              <w:keepLines w:val="0"/>
              <w:pageBreakBefore w:val="0"/>
              <w:widowControl w:val="0"/>
              <w:kinsoku/>
              <w:wordWrap/>
              <w:overflowPunct/>
              <w:topLinePunct w:val="0"/>
              <w:autoSpaceDE/>
              <w:autoSpaceDN/>
              <w:bidi w:val="0"/>
              <w:adjustRightInd/>
              <w:snapToGrid/>
              <w:spacing w:line="360" w:lineRule="exact"/>
              <w:ind w:right="110"/>
              <w:textAlignment w:val="auto"/>
              <w:rPr>
                <w:rFonts w:hint="eastAsia" w:ascii="宋体" w:hAnsi="宋体" w:eastAsia="宋体" w:cs="宋体"/>
                <w:color w:val="auto"/>
                <w:kern w:val="2"/>
                <w:sz w:val="18"/>
                <w:szCs w:val="18"/>
                <w:highlight w:val="none"/>
                <w:lang w:val="en-US" w:eastAsia="zh-CN" w:bidi="ar-SA"/>
              </w:rPr>
            </w:pPr>
          </w:p>
        </w:tc>
        <w:tc>
          <w:tcPr>
            <w:tcW w:w="7981" w:type="dxa"/>
            <w:tcBorders>
              <w:left w:val="single" w:color="auto" w:sz="4" w:space="0"/>
            </w:tcBorders>
            <w:noWrap w:val="0"/>
            <w:vAlign w:val="top"/>
          </w:tcPr>
          <w:p w14:paraId="274645DF">
            <w:pPr>
              <w:pStyle w:val="4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auto"/>
                <w:spacing w:val="18"/>
                <w:sz w:val="18"/>
                <w:szCs w:val="18"/>
                <w:highlight w:val="none"/>
                <w:lang w:val="en-US" w:eastAsia="zh-CN"/>
              </w:rPr>
            </w:pPr>
            <w:r>
              <w:rPr>
                <w:rFonts w:hint="eastAsia" w:ascii="宋体" w:hAnsi="宋体" w:eastAsia="宋体" w:cs="宋体"/>
                <w:color w:val="auto"/>
                <w:spacing w:val="18"/>
                <w:sz w:val="18"/>
                <w:szCs w:val="18"/>
                <w:highlight w:val="none"/>
                <w:lang w:val="en-US" w:eastAsia="zh-CN"/>
              </w:rPr>
              <w:t>4.</w:t>
            </w:r>
            <w:r>
              <w:rPr>
                <w:rFonts w:hint="eastAsia" w:ascii="宋体" w:hAnsi="宋体" w:eastAsia="宋体" w:cs="宋体"/>
                <w:color w:val="auto"/>
                <w:spacing w:val="18"/>
                <w:sz w:val="18"/>
                <w:szCs w:val="18"/>
                <w:highlight w:val="none"/>
              </w:rPr>
              <w:t>混凝土坍落度、和易性不好</w:t>
            </w:r>
          </w:p>
        </w:tc>
        <w:tc>
          <w:tcPr>
            <w:tcW w:w="1364" w:type="dxa"/>
            <w:noWrap w:val="0"/>
            <w:vAlign w:val="center"/>
          </w:tcPr>
          <w:p w14:paraId="514D1CB1">
            <w:pPr>
              <w:pStyle w:val="42"/>
              <w:keepNext w:val="0"/>
              <w:keepLines w:val="0"/>
              <w:pageBreakBefore w:val="0"/>
              <w:widowControl w:val="0"/>
              <w:kinsoku/>
              <w:wordWrap/>
              <w:overflowPunct/>
              <w:topLinePunct w:val="0"/>
              <w:autoSpaceDE/>
              <w:autoSpaceDN/>
              <w:bidi w:val="0"/>
              <w:adjustRightInd/>
              <w:snapToGrid/>
              <w:spacing w:line="360" w:lineRule="exact"/>
              <w:ind w:left="564" w:leftChars="0"/>
              <w:jc w:val="both"/>
              <w:textAlignment w:val="auto"/>
              <w:rPr>
                <w:rFonts w:hint="eastAsia" w:ascii="宋体" w:hAnsi="宋体" w:eastAsia="宋体" w:cs="宋体"/>
                <w:snapToGrid w:val="0"/>
                <w:color w:val="auto"/>
                <w:spacing w:val="-5"/>
                <w:kern w:val="0"/>
                <w:sz w:val="18"/>
                <w:szCs w:val="18"/>
                <w:highlight w:val="none"/>
                <w:lang w:val="en-US" w:eastAsia="zh-CN" w:bidi="ar-SA"/>
              </w:rPr>
            </w:pPr>
            <w:r>
              <w:rPr>
                <w:rFonts w:hint="eastAsia" w:ascii="宋体" w:hAnsi="宋体" w:eastAsia="宋体" w:cs="宋体"/>
                <w:color w:val="auto"/>
                <w:spacing w:val="-5"/>
                <w:highlight w:val="none"/>
                <w:lang w:val="en-US" w:eastAsia="zh-CN"/>
              </w:rPr>
              <w:t>3</w:t>
            </w:r>
            <w:r>
              <w:rPr>
                <w:rFonts w:hint="eastAsia" w:ascii="宋体" w:hAnsi="宋体" w:eastAsia="宋体" w:cs="宋体"/>
                <w:color w:val="auto"/>
                <w:spacing w:val="-5"/>
                <w:highlight w:val="none"/>
              </w:rPr>
              <w:t>000</w:t>
            </w:r>
          </w:p>
        </w:tc>
      </w:tr>
      <w:tr w14:paraId="04B63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630" w:type="dxa"/>
            <w:vMerge w:val="continue"/>
            <w:tcBorders>
              <w:left w:val="single" w:color="auto" w:sz="4" w:space="0"/>
            </w:tcBorders>
            <w:noWrap w:val="0"/>
            <w:vAlign w:val="center"/>
          </w:tcPr>
          <w:p w14:paraId="2E703B8E">
            <w:pPr>
              <w:pStyle w:val="4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pacing w:val="18"/>
                <w:sz w:val="18"/>
                <w:szCs w:val="18"/>
                <w:highlight w:val="none"/>
                <w:lang w:val="en-US" w:eastAsia="zh-CN"/>
              </w:rPr>
            </w:pPr>
          </w:p>
        </w:tc>
        <w:tc>
          <w:tcPr>
            <w:tcW w:w="540" w:type="dxa"/>
            <w:vMerge w:val="continue"/>
            <w:tcBorders>
              <w:right w:val="single" w:color="auto" w:sz="4" w:space="0"/>
            </w:tcBorders>
            <w:noWrap w:val="0"/>
            <w:vAlign w:val="center"/>
          </w:tcPr>
          <w:p w14:paraId="4DBF8A85">
            <w:pPr>
              <w:pStyle w:val="42"/>
              <w:keepNext w:val="0"/>
              <w:keepLines w:val="0"/>
              <w:pageBreakBefore w:val="0"/>
              <w:widowControl w:val="0"/>
              <w:kinsoku/>
              <w:wordWrap/>
              <w:overflowPunct/>
              <w:topLinePunct w:val="0"/>
              <w:autoSpaceDE/>
              <w:autoSpaceDN/>
              <w:bidi w:val="0"/>
              <w:adjustRightInd/>
              <w:snapToGrid/>
              <w:spacing w:line="360" w:lineRule="exact"/>
              <w:ind w:right="110"/>
              <w:textAlignment w:val="auto"/>
              <w:rPr>
                <w:rFonts w:hint="eastAsia" w:ascii="宋体" w:hAnsi="宋体" w:eastAsia="宋体" w:cs="宋体"/>
                <w:color w:val="auto"/>
                <w:kern w:val="2"/>
                <w:sz w:val="18"/>
                <w:szCs w:val="18"/>
                <w:highlight w:val="none"/>
                <w:lang w:val="en-US" w:eastAsia="zh-CN" w:bidi="ar-SA"/>
              </w:rPr>
            </w:pPr>
          </w:p>
        </w:tc>
        <w:tc>
          <w:tcPr>
            <w:tcW w:w="7981" w:type="dxa"/>
            <w:tcBorders>
              <w:left w:val="single" w:color="auto" w:sz="4" w:space="0"/>
            </w:tcBorders>
            <w:noWrap w:val="0"/>
            <w:vAlign w:val="top"/>
          </w:tcPr>
          <w:p w14:paraId="0D2FB674">
            <w:pPr>
              <w:pStyle w:val="4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auto"/>
                <w:spacing w:val="18"/>
                <w:sz w:val="18"/>
                <w:szCs w:val="18"/>
                <w:highlight w:val="none"/>
                <w:lang w:val="en-US" w:eastAsia="zh-CN"/>
              </w:rPr>
            </w:pPr>
            <w:r>
              <w:rPr>
                <w:rFonts w:hint="eastAsia" w:ascii="宋体" w:hAnsi="宋体" w:eastAsia="宋体" w:cs="宋体"/>
                <w:color w:val="auto"/>
                <w:spacing w:val="18"/>
                <w:sz w:val="18"/>
                <w:szCs w:val="18"/>
                <w:highlight w:val="none"/>
                <w:lang w:val="en-US" w:eastAsia="zh-CN"/>
              </w:rPr>
              <w:t>5.</w:t>
            </w:r>
            <w:r>
              <w:rPr>
                <w:rFonts w:hint="eastAsia" w:ascii="宋体" w:hAnsi="宋体" w:eastAsia="宋体" w:cs="宋体"/>
                <w:color w:val="auto"/>
                <w:spacing w:val="18"/>
                <w:sz w:val="18"/>
                <w:szCs w:val="18"/>
                <w:highlight w:val="none"/>
              </w:rPr>
              <w:t>混凝土浇筑方法不当、不分层或分层过厚，布料顺序不合理等</w:t>
            </w:r>
          </w:p>
        </w:tc>
        <w:tc>
          <w:tcPr>
            <w:tcW w:w="1364" w:type="dxa"/>
            <w:noWrap w:val="0"/>
            <w:vAlign w:val="center"/>
          </w:tcPr>
          <w:p w14:paraId="2A77FB4C">
            <w:pPr>
              <w:pStyle w:val="42"/>
              <w:keepNext w:val="0"/>
              <w:keepLines w:val="0"/>
              <w:pageBreakBefore w:val="0"/>
              <w:widowControl w:val="0"/>
              <w:kinsoku/>
              <w:wordWrap/>
              <w:overflowPunct/>
              <w:topLinePunct w:val="0"/>
              <w:autoSpaceDE/>
              <w:autoSpaceDN/>
              <w:bidi w:val="0"/>
              <w:adjustRightInd/>
              <w:snapToGrid/>
              <w:spacing w:line="360" w:lineRule="exact"/>
              <w:ind w:left="564" w:leftChars="0"/>
              <w:jc w:val="both"/>
              <w:textAlignment w:val="auto"/>
              <w:rPr>
                <w:rFonts w:hint="eastAsia" w:ascii="宋体" w:hAnsi="宋体" w:eastAsia="宋体" w:cs="宋体"/>
                <w:snapToGrid w:val="0"/>
                <w:color w:val="auto"/>
                <w:spacing w:val="-5"/>
                <w:kern w:val="0"/>
                <w:sz w:val="18"/>
                <w:szCs w:val="18"/>
                <w:highlight w:val="none"/>
                <w:lang w:val="en-US" w:eastAsia="zh-CN" w:bidi="ar-SA"/>
              </w:rPr>
            </w:pPr>
            <w:r>
              <w:rPr>
                <w:rFonts w:hint="eastAsia" w:ascii="宋体" w:hAnsi="宋体" w:eastAsia="宋体" w:cs="宋体"/>
                <w:color w:val="auto"/>
                <w:spacing w:val="-5"/>
                <w:highlight w:val="none"/>
                <w:lang w:val="en-US" w:eastAsia="zh-CN"/>
              </w:rPr>
              <w:t>3</w:t>
            </w:r>
            <w:r>
              <w:rPr>
                <w:rFonts w:hint="eastAsia" w:ascii="宋体" w:hAnsi="宋体" w:eastAsia="宋体" w:cs="宋体"/>
                <w:color w:val="auto"/>
                <w:spacing w:val="-5"/>
                <w:highlight w:val="none"/>
              </w:rPr>
              <w:t>000</w:t>
            </w:r>
          </w:p>
        </w:tc>
      </w:tr>
      <w:tr w14:paraId="6B52A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630" w:type="dxa"/>
            <w:vMerge w:val="continue"/>
            <w:tcBorders>
              <w:left w:val="single" w:color="auto" w:sz="4" w:space="0"/>
            </w:tcBorders>
            <w:noWrap w:val="0"/>
            <w:vAlign w:val="center"/>
          </w:tcPr>
          <w:p w14:paraId="6BC658AD">
            <w:pPr>
              <w:pStyle w:val="4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pacing w:val="18"/>
                <w:sz w:val="18"/>
                <w:szCs w:val="18"/>
                <w:highlight w:val="none"/>
                <w:lang w:val="en-US" w:eastAsia="zh-CN"/>
              </w:rPr>
            </w:pPr>
          </w:p>
        </w:tc>
        <w:tc>
          <w:tcPr>
            <w:tcW w:w="540" w:type="dxa"/>
            <w:vMerge w:val="continue"/>
            <w:tcBorders>
              <w:right w:val="single" w:color="auto" w:sz="4" w:space="0"/>
            </w:tcBorders>
            <w:noWrap w:val="0"/>
            <w:vAlign w:val="center"/>
          </w:tcPr>
          <w:p w14:paraId="2557E5CD">
            <w:pPr>
              <w:pStyle w:val="42"/>
              <w:keepNext w:val="0"/>
              <w:keepLines w:val="0"/>
              <w:pageBreakBefore w:val="0"/>
              <w:widowControl w:val="0"/>
              <w:kinsoku/>
              <w:wordWrap/>
              <w:overflowPunct/>
              <w:topLinePunct w:val="0"/>
              <w:autoSpaceDE/>
              <w:autoSpaceDN/>
              <w:bidi w:val="0"/>
              <w:adjustRightInd/>
              <w:snapToGrid/>
              <w:spacing w:line="360" w:lineRule="exact"/>
              <w:ind w:right="110"/>
              <w:textAlignment w:val="auto"/>
              <w:rPr>
                <w:rFonts w:hint="eastAsia" w:ascii="宋体" w:hAnsi="宋体" w:eastAsia="宋体" w:cs="宋体"/>
                <w:color w:val="auto"/>
                <w:kern w:val="2"/>
                <w:sz w:val="18"/>
                <w:szCs w:val="18"/>
                <w:highlight w:val="none"/>
                <w:lang w:val="en-US" w:eastAsia="zh-CN" w:bidi="ar-SA"/>
              </w:rPr>
            </w:pPr>
          </w:p>
        </w:tc>
        <w:tc>
          <w:tcPr>
            <w:tcW w:w="7981" w:type="dxa"/>
            <w:tcBorders>
              <w:left w:val="single" w:color="auto" w:sz="4" w:space="0"/>
            </w:tcBorders>
            <w:noWrap w:val="0"/>
            <w:vAlign w:val="top"/>
          </w:tcPr>
          <w:p w14:paraId="53F52E4C">
            <w:pPr>
              <w:pStyle w:val="4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auto"/>
                <w:spacing w:val="18"/>
                <w:sz w:val="18"/>
                <w:szCs w:val="18"/>
                <w:highlight w:val="none"/>
                <w:lang w:val="en-US" w:eastAsia="zh-CN"/>
              </w:rPr>
            </w:pPr>
            <w:r>
              <w:rPr>
                <w:rFonts w:hint="eastAsia" w:ascii="宋体" w:hAnsi="宋体" w:eastAsia="宋体" w:cs="宋体"/>
                <w:color w:val="auto"/>
                <w:spacing w:val="18"/>
                <w:sz w:val="18"/>
                <w:szCs w:val="18"/>
                <w:highlight w:val="none"/>
                <w:lang w:val="en-US" w:eastAsia="zh-CN"/>
              </w:rPr>
              <w:t>6.</w:t>
            </w:r>
            <w:r>
              <w:rPr>
                <w:rFonts w:hint="eastAsia" w:ascii="宋体" w:hAnsi="宋体" w:eastAsia="宋体" w:cs="宋体"/>
                <w:color w:val="auto"/>
                <w:spacing w:val="18"/>
                <w:sz w:val="18"/>
                <w:szCs w:val="18"/>
                <w:highlight w:val="none"/>
              </w:rPr>
              <w:t>混凝土浇筑高度超过规定要求，且未采取措施，导致混凝土离析</w:t>
            </w:r>
          </w:p>
        </w:tc>
        <w:tc>
          <w:tcPr>
            <w:tcW w:w="1364" w:type="dxa"/>
            <w:noWrap w:val="0"/>
            <w:vAlign w:val="center"/>
          </w:tcPr>
          <w:p w14:paraId="1BF5F8D5">
            <w:pPr>
              <w:pStyle w:val="42"/>
              <w:keepNext w:val="0"/>
              <w:keepLines w:val="0"/>
              <w:pageBreakBefore w:val="0"/>
              <w:widowControl w:val="0"/>
              <w:kinsoku/>
              <w:wordWrap/>
              <w:overflowPunct/>
              <w:topLinePunct w:val="0"/>
              <w:autoSpaceDE/>
              <w:autoSpaceDN/>
              <w:bidi w:val="0"/>
              <w:adjustRightInd/>
              <w:snapToGrid/>
              <w:spacing w:line="360" w:lineRule="exact"/>
              <w:ind w:left="564" w:leftChars="0"/>
              <w:jc w:val="both"/>
              <w:textAlignment w:val="auto"/>
              <w:rPr>
                <w:rFonts w:hint="eastAsia" w:ascii="宋体" w:hAnsi="宋体" w:eastAsia="宋体" w:cs="宋体"/>
                <w:snapToGrid w:val="0"/>
                <w:color w:val="auto"/>
                <w:spacing w:val="-5"/>
                <w:kern w:val="0"/>
                <w:sz w:val="18"/>
                <w:szCs w:val="18"/>
                <w:highlight w:val="none"/>
                <w:lang w:val="en-US" w:eastAsia="zh-CN" w:bidi="ar-SA"/>
              </w:rPr>
            </w:pPr>
            <w:r>
              <w:rPr>
                <w:rFonts w:hint="eastAsia" w:ascii="宋体" w:hAnsi="宋体" w:eastAsia="宋体" w:cs="宋体"/>
                <w:color w:val="auto"/>
                <w:spacing w:val="-5"/>
                <w:highlight w:val="none"/>
                <w:lang w:val="en-US" w:eastAsia="zh-CN"/>
              </w:rPr>
              <w:t>3</w:t>
            </w:r>
            <w:r>
              <w:rPr>
                <w:rFonts w:hint="eastAsia" w:ascii="宋体" w:hAnsi="宋体" w:eastAsia="宋体" w:cs="宋体"/>
                <w:color w:val="auto"/>
                <w:spacing w:val="-5"/>
                <w:highlight w:val="none"/>
              </w:rPr>
              <w:t>000</w:t>
            </w:r>
          </w:p>
        </w:tc>
      </w:tr>
      <w:tr w14:paraId="4B6B8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630" w:type="dxa"/>
            <w:vMerge w:val="continue"/>
            <w:tcBorders>
              <w:left w:val="single" w:color="auto" w:sz="4" w:space="0"/>
              <w:bottom w:val="single" w:color="auto" w:sz="4" w:space="0"/>
            </w:tcBorders>
            <w:noWrap w:val="0"/>
            <w:vAlign w:val="center"/>
          </w:tcPr>
          <w:p w14:paraId="46FD06C1">
            <w:pPr>
              <w:pStyle w:val="4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pacing w:val="18"/>
                <w:sz w:val="18"/>
                <w:szCs w:val="18"/>
                <w:highlight w:val="none"/>
                <w:lang w:val="en-US" w:eastAsia="zh-CN"/>
              </w:rPr>
            </w:pPr>
          </w:p>
        </w:tc>
        <w:tc>
          <w:tcPr>
            <w:tcW w:w="540" w:type="dxa"/>
            <w:vMerge w:val="continue"/>
            <w:tcBorders>
              <w:bottom w:val="single" w:color="auto" w:sz="4" w:space="0"/>
              <w:right w:val="single" w:color="auto" w:sz="4" w:space="0"/>
            </w:tcBorders>
            <w:noWrap w:val="0"/>
            <w:vAlign w:val="center"/>
          </w:tcPr>
          <w:p w14:paraId="7DFAAB3C">
            <w:pPr>
              <w:pStyle w:val="42"/>
              <w:keepNext w:val="0"/>
              <w:keepLines w:val="0"/>
              <w:pageBreakBefore w:val="0"/>
              <w:widowControl w:val="0"/>
              <w:kinsoku/>
              <w:wordWrap/>
              <w:overflowPunct/>
              <w:topLinePunct w:val="0"/>
              <w:autoSpaceDE/>
              <w:autoSpaceDN/>
              <w:bidi w:val="0"/>
              <w:adjustRightInd/>
              <w:snapToGrid/>
              <w:spacing w:line="360" w:lineRule="exact"/>
              <w:ind w:right="110"/>
              <w:textAlignment w:val="auto"/>
              <w:rPr>
                <w:rFonts w:hint="eastAsia" w:ascii="宋体" w:hAnsi="宋体" w:eastAsia="宋体" w:cs="宋体"/>
                <w:color w:val="auto"/>
                <w:kern w:val="2"/>
                <w:sz w:val="18"/>
                <w:szCs w:val="18"/>
                <w:highlight w:val="none"/>
                <w:lang w:val="en-US" w:eastAsia="zh-CN" w:bidi="ar-SA"/>
              </w:rPr>
            </w:pPr>
          </w:p>
        </w:tc>
        <w:tc>
          <w:tcPr>
            <w:tcW w:w="7981" w:type="dxa"/>
            <w:tcBorders>
              <w:left w:val="single" w:color="auto" w:sz="4" w:space="0"/>
            </w:tcBorders>
            <w:noWrap w:val="0"/>
            <w:vAlign w:val="top"/>
          </w:tcPr>
          <w:p w14:paraId="54AB57E2">
            <w:pPr>
              <w:pStyle w:val="4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auto"/>
                <w:spacing w:val="18"/>
                <w:sz w:val="18"/>
                <w:szCs w:val="18"/>
                <w:highlight w:val="none"/>
                <w:lang w:val="en-US" w:eastAsia="zh-CN"/>
              </w:rPr>
            </w:pPr>
            <w:r>
              <w:rPr>
                <w:rFonts w:hint="eastAsia" w:ascii="宋体" w:hAnsi="宋体" w:eastAsia="宋体" w:cs="宋体"/>
                <w:color w:val="auto"/>
                <w:spacing w:val="18"/>
                <w:sz w:val="18"/>
                <w:szCs w:val="18"/>
                <w:highlight w:val="none"/>
                <w:lang w:val="en-US" w:eastAsia="zh-CN"/>
              </w:rPr>
              <w:t>7.</w:t>
            </w:r>
            <w:r>
              <w:rPr>
                <w:rFonts w:hint="eastAsia" w:ascii="宋体" w:hAnsi="宋体" w:eastAsia="宋体" w:cs="宋体"/>
                <w:color w:val="auto"/>
                <w:spacing w:val="18"/>
                <w:sz w:val="18"/>
                <w:szCs w:val="18"/>
                <w:highlight w:val="none"/>
              </w:rPr>
              <w:t>漏振或振捣不实</w:t>
            </w:r>
          </w:p>
        </w:tc>
        <w:tc>
          <w:tcPr>
            <w:tcW w:w="1364" w:type="dxa"/>
            <w:noWrap w:val="0"/>
            <w:vAlign w:val="center"/>
          </w:tcPr>
          <w:p w14:paraId="075F3224">
            <w:pPr>
              <w:pStyle w:val="42"/>
              <w:keepNext w:val="0"/>
              <w:keepLines w:val="0"/>
              <w:pageBreakBefore w:val="0"/>
              <w:widowControl w:val="0"/>
              <w:kinsoku/>
              <w:wordWrap/>
              <w:overflowPunct/>
              <w:topLinePunct w:val="0"/>
              <w:autoSpaceDE/>
              <w:autoSpaceDN/>
              <w:bidi w:val="0"/>
              <w:adjustRightInd/>
              <w:snapToGrid/>
              <w:spacing w:line="360" w:lineRule="exact"/>
              <w:ind w:left="564" w:leftChars="0"/>
              <w:jc w:val="both"/>
              <w:textAlignment w:val="auto"/>
              <w:rPr>
                <w:rFonts w:hint="eastAsia" w:ascii="宋体" w:hAnsi="宋体" w:eastAsia="宋体" w:cs="宋体"/>
                <w:snapToGrid w:val="0"/>
                <w:color w:val="auto"/>
                <w:spacing w:val="-5"/>
                <w:kern w:val="0"/>
                <w:sz w:val="18"/>
                <w:szCs w:val="18"/>
                <w:highlight w:val="none"/>
                <w:lang w:val="en-US" w:eastAsia="zh-CN" w:bidi="ar-SA"/>
              </w:rPr>
            </w:pPr>
            <w:r>
              <w:rPr>
                <w:rFonts w:hint="eastAsia" w:ascii="宋体" w:hAnsi="宋体" w:eastAsia="宋体" w:cs="宋体"/>
                <w:color w:val="auto"/>
                <w:spacing w:val="-5"/>
                <w:highlight w:val="none"/>
                <w:lang w:val="en-US" w:eastAsia="zh-CN"/>
              </w:rPr>
              <w:t>3</w:t>
            </w:r>
            <w:r>
              <w:rPr>
                <w:rFonts w:hint="eastAsia" w:ascii="宋体" w:hAnsi="宋体" w:eastAsia="宋体" w:cs="宋体"/>
                <w:color w:val="auto"/>
                <w:spacing w:val="-5"/>
                <w:highlight w:val="none"/>
              </w:rPr>
              <w:t>000</w:t>
            </w:r>
          </w:p>
        </w:tc>
      </w:tr>
      <w:tr w14:paraId="0819E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jc w:val="center"/>
        </w:trPr>
        <w:tc>
          <w:tcPr>
            <w:tcW w:w="630" w:type="dxa"/>
            <w:vMerge w:val="continue"/>
            <w:tcBorders>
              <w:top w:val="single" w:color="auto" w:sz="4" w:space="0"/>
              <w:left w:val="single" w:color="auto" w:sz="4" w:space="0"/>
              <w:bottom w:val="single" w:color="auto" w:sz="4" w:space="0"/>
            </w:tcBorders>
            <w:noWrap w:val="0"/>
            <w:vAlign w:val="center"/>
          </w:tcPr>
          <w:p w14:paraId="50751A6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highlight w:val="none"/>
              </w:rPr>
            </w:pPr>
          </w:p>
        </w:tc>
        <w:tc>
          <w:tcPr>
            <w:tcW w:w="540" w:type="dxa"/>
            <w:vMerge w:val="continue"/>
            <w:tcBorders>
              <w:top w:val="single" w:color="auto" w:sz="4" w:space="0"/>
              <w:bottom w:val="single" w:color="auto" w:sz="4" w:space="0"/>
              <w:right w:val="single" w:color="auto" w:sz="4" w:space="0"/>
            </w:tcBorders>
            <w:noWrap w:val="0"/>
            <w:vAlign w:val="center"/>
          </w:tcPr>
          <w:p w14:paraId="6730D1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kern w:val="2"/>
                <w:sz w:val="18"/>
                <w:szCs w:val="18"/>
                <w:highlight w:val="none"/>
                <w:lang w:val="en-US" w:eastAsia="zh-CN" w:bidi="ar-SA"/>
              </w:rPr>
            </w:pPr>
          </w:p>
        </w:tc>
        <w:tc>
          <w:tcPr>
            <w:tcW w:w="7981" w:type="dxa"/>
            <w:tcBorders>
              <w:left w:val="single" w:color="auto" w:sz="4" w:space="0"/>
            </w:tcBorders>
            <w:noWrap w:val="0"/>
            <w:vAlign w:val="top"/>
          </w:tcPr>
          <w:p w14:paraId="4CD99DBF">
            <w:pPr>
              <w:pStyle w:val="4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auto"/>
                <w:spacing w:val="-1"/>
                <w:sz w:val="18"/>
                <w:szCs w:val="18"/>
                <w:highlight w:val="none"/>
              </w:rPr>
            </w:pPr>
            <w:r>
              <w:rPr>
                <w:rFonts w:hint="eastAsia" w:ascii="宋体" w:hAnsi="宋体" w:eastAsia="宋体" w:cs="宋体"/>
                <w:color w:val="auto"/>
                <w:spacing w:val="18"/>
                <w:sz w:val="18"/>
                <w:szCs w:val="18"/>
                <w:highlight w:val="none"/>
                <w:lang w:val="en-US" w:eastAsia="zh-CN"/>
              </w:rPr>
              <w:t>8.</w:t>
            </w:r>
            <w:r>
              <w:rPr>
                <w:rFonts w:hint="eastAsia" w:ascii="宋体" w:hAnsi="宋体" w:eastAsia="宋体" w:cs="宋体"/>
                <w:color w:val="auto"/>
                <w:spacing w:val="18"/>
                <w:sz w:val="18"/>
                <w:szCs w:val="18"/>
                <w:highlight w:val="none"/>
              </w:rPr>
              <w:t>混凝土柱、墙、梁等外形尺寸偏差、表面平整、轴线位置等超过 规范允许偏差值。</w:t>
            </w:r>
          </w:p>
        </w:tc>
        <w:tc>
          <w:tcPr>
            <w:tcW w:w="1364" w:type="dxa"/>
            <w:noWrap w:val="0"/>
            <w:vAlign w:val="center"/>
          </w:tcPr>
          <w:p w14:paraId="33B12E84">
            <w:pPr>
              <w:pStyle w:val="42"/>
              <w:keepNext w:val="0"/>
              <w:keepLines w:val="0"/>
              <w:pageBreakBefore w:val="0"/>
              <w:widowControl w:val="0"/>
              <w:kinsoku/>
              <w:wordWrap/>
              <w:overflowPunct/>
              <w:topLinePunct w:val="0"/>
              <w:autoSpaceDE/>
              <w:autoSpaceDN/>
              <w:bidi w:val="0"/>
              <w:adjustRightInd/>
              <w:snapToGrid/>
              <w:spacing w:line="360" w:lineRule="exact"/>
              <w:ind w:left="564" w:leftChars="0"/>
              <w:jc w:val="both"/>
              <w:textAlignment w:val="auto"/>
              <w:rPr>
                <w:rFonts w:hint="eastAsia" w:ascii="宋体" w:hAnsi="宋体" w:eastAsia="宋体" w:cs="宋体"/>
                <w:color w:val="auto"/>
                <w:spacing w:val="-5"/>
                <w:highlight w:val="none"/>
              </w:rPr>
            </w:pPr>
            <w:r>
              <w:rPr>
                <w:rFonts w:hint="eastAsia" w:ascii="宋体" w:hAnsi="宋体" w:eastAsia="宋体" w:cs="宋体"/>
                <w:color w:val="auto"/>
                <w:spacing w:val="-5"/>
                <w:highlight w:val="none"/>
                <w:lang w:val="en-US" w:eastAsia="zh-CN"/>
              </w:rPr>
              <w:t>3</w:t>
            </w:r>
            <w:r>
              <w:rPr>
                <w:rFonts w:hint="eastAsia" w:ascii="宋体" w:hAnsi="宋体" w:eastAsia="宋体" w:cs="宋体"/>
                <w:color w:val="auto"/>
                <w:spacing w:val="-5"/>
                <w:highlight w:val="none"/>
              </w:rPr>
              <w:t>000</w:t>
            </w:r>
          </w:p>
        </w:tc>
      </w:tr>
      <w:tr w14:paraId="58071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jc w:val="center"/>
        </w:trPr>
        <w:tc>
          <w:tcPr>
            <w:tcW w:w="630" w:type="dxa"/>
            <w:tcBorders>
              <w:top w:val="single" w:color="auto" w:sz="4" w:space="0"/>
              <w:left w:val="single" w:color="auto" w:sz="4" w:space="0"/>
              <w:bottom w:val="single" w:color="auto" w:sz="4" w:space="0"/>
            </w:tcBorders>
            <w:noWrap w:val="0"/>
            <w:vAlign w:val="center"/>
          </w:tcPr>
          <w:p w14:paraId="086244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10</w:t>
            </w:r>
          </w:p>
        </w:tc>
        <w:tc>
          <w:tcPr>
            <w:tcW w:w="540" w:type="dxa"/>
            <w:tcBorders>
              <w:top w:val="single" w:color="auto" w:sz="4" w:space="0"/>
              <w:bottom w:val="single" w:color="auto" w:sz="4" w:space="0"/>
              <w:right w:val="single" w:color="auto" w:sz="4" w:space="0"/>
            </w:tcBorders>
            <w:noWrap w:val="0"/>
            <w:vAlign w:val="center"/>
          </w:tcPr>
          <w:p w14:paraId="719934E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砌体工程</w:t>
            </w:r>
          </w:p>
        </w:tc>
        <w:tc>
          <w:tcPr>
            <w:tcW w:w="7981" w:type="dxa"/>
            <w:tcBorders>
              <w:left w:val="single" w:color="auto" w:sz="4" w:space="0"/>
            </w:tcBorders>
            <w:noWrap w:val="0"/>
            <w:vAlign w:val="top"/>
          </w:tcPr>
          <w:p w14:paraId="0C79215B">
            <w:pPr>
              <w:pStyle w:val="42"/>
              <w:keepNext w:val="0"/>
              <w:keepLines w:val="0"/>
              <w:pageBreakBefore w:val="0"/>
              <w:widowControl w:val="0"/>
              <w:kinsoku/>
              <w:wordWrap/>
              <w:overflowPunct/>
              <w:topLinePunct w:val="0"/>
              <w:autoSpaceDE/>
              <w:autoSpaceDN/>
              <w:bidi w:val="0"/>
              <w:adjustRightInd/>
              <w:snapToGrid/>
              <w:spacing w:line="360" w:lineRule="exact"/>
              <w:ind w:left="114"/>
              <w:jc w:val="both"/>
              <w:textAlignment w:val="auto"/>
              <w:rPr>
                <w:rFonts w:hint="eastAsia" w:ascii="宋体" w:hAnsi="宋体" w:eastAsia="宋体" w:cs="宋体"/>
                <w:color w:val="auto"/>
                <w:spacing w:val="18"/>
                <w:sz w:val="18"/>
                <w:szCs w:val="18"/>
                <w:highlight w:val="none"/>
              </w:rPr>
            </w:pPr>
            <w:r>
              <w:rPr>
                <w:rFonts w:hint="eastAsia" w:ascii="宋体" w:hAnsi="宋体" w:eastAsia="宋体" w:cs="宋体"/>
                <w:color w:val="auto"/>
                <w:spacing w:val="18"/>
                <w:sz w:val="18"/>
                <w:szCs w:val="18"/>
                <w:highlight w:val="none"/>
              </w:rPr>
              <w:t>框架梁或板底、柱或墙边出现裂缝</w:t>
            </w:r>
          </w:p>
        </w:tc>
        <w:tc>
          <w:tcPr>
            <w:tcW w:w="1364" w:type="dxa"/>
            <w:noWrap w:val="0"/>
            <w:vAlign w:val="center"/>
          </w:tcPr>
          <w:p w14:paraId="79081D91">
            <w:pPr>
              <w:pStyle w:val="42"/>
              <w:keepNext w:val="0"/>
              <w:keepLines w:val="0"/>
              <w:pageBreakBefore w:val="0"/>
              <w:widowControl w:val="0"/>
              <w:kinsoku/>
              <w:wordWrap/>
              <w:overflowPunct/>
              <w:topLinePunct w:val="0"/>
              <w:autoSpaceDE/>
              <w:autoSpaceDN/>
              <w:bidi w:val="0"/>
              <w:adjustRightInd/>
              <w:snapToGrid/>
              <w:spacing w:line="360" w:lineRule="exact"/>
              <w:ind w:left="564" w:leftChars="0"/>
              <w:jc w:val="both"/>
              <w:textAlignment w:val="auto"/>
              <w:rPr>
                <w:rFonts w:hint="eastAsia" w:ascii="宋体" w:hAnsi="宋体" w:eastAsia="宋体" w:cs="宋体"/>
                <w:color w:val="auto"/>
                <w:spacing w:val="-5"/>
                <w:highlight w:val="none"/>
              </w:rPr>
            </w:pPr>
            <w:r>
              <w:rPr>
                <w:rFonts w:hint="eastAsia" w:ascii="宋体" w:hAnsi="宋体" w:eastAsia="宋体" w:cs="宋体"/>
                <w:color w:val="auto"/>
                <w:spacing w:val="-5"/>
                <w:highlight w:val="none"/>
                <w:lang w:val="en-US" w:eastAsia="zh-CN"/>
              </w:rPr>
              <w:t>3</w:t>
            </w:r>
            <w:r>
              <w:rPr>
                <w:rFonts w:hint="eastAsia" w:ascii="宋体" w:hAnsi="宋体" w:eastAsia="宋体" w:cs="宋体"/>
                <w:color w:val="auto"/>
                <w:spacing w:val="-5"/>
                <w:highlight w:val="none"/>
              </w:rPr>
              <w:t>000</w:t>
            </w:r>
          </w:p>
        </w:tc>
      </w:tr>
      <w:tr w14:paraId="5C948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630" w:type="dxa"/>
            <w:vMerge w:val="restart"/>
            <w:tcBorders>
              <w:top w:val="single" w:color="auto" w:sz="4" w:space="0"/>
              <w:left w:val="single" w:color="auto" w:sz="4" w:space="0"/>
            </w:tcBorders>
            <w:noWrap w:val="0"/>
            <w:vAlign w:val="center"/>
          </w:tcPr>
          <w:p w14:paraId="3BC5F4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11</w:t>
            </w:r>
          </w:p>
        </w:tc>
        <w:tc>
          <w:tcPr>
            <w:tcW w:w="540" w:type="dxa"/>
            <w:vMerge w:val="restart"/>
            <w:tcBorders>
              <w:top w:val="single" w:color="auto" w:sz="4" w:space="0"/>
              <w:right w:val="single" w:color="auto" w:sz="4" w:space="0"/>
            </w:tcBorders>
            <w:noWrap w:val="0"/>
            <w:vAlign w:val="center"/>
          </w:tcPr>
          <w:p w14:paraId="3F58AE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屋面与防水工程</w:t>
            </w:r>
          </w:p>
        </w:tc>
        <w:tc>
          <w:tcPr>
            <w:tcW w:w="7981" w:type="dxa"/>
            <w:tcBorders>
              <w:left w:val="single" w:color="auto" w:sz="4" w:space="0"/>
            </w:tcBorders>
            <w:noWrap w:val="0"/>
            <w:vAlign w:val="top"/>
          </w:tcPr>
          <w:p w14:paraId="443009CB">
            <w:pPr>
              <w:pStyle w:val="42"/>
              <w:keepNext w:val="0"/>
              <w:keepLines w:val="0"/>
              <w:pageBreakBefore w:val="0"/>
              <w:widowControl w:val="0"/>
              <w:kinsoku/>
              <w:wordWrap/>
              <w:overflowPunct/>
              <w:topLinePunct w:val="0"/>
              <w:autoSpaceDE/>
              <w:autoSpaceDN/>
              <w:bidi w:val="0"/>
              <w:adjustRightInd/>
              <w:snapToGrid/>
              <w:spacing w:line="360" w:lineRule="exact"/>
              <w:ind w:left="114"/>
              <w:jc w:val="both"/>
              <w:textAlignment w:val="auto"/>
              <w:rPr>
                <w:rFonts w:hint="eastAsia" w:ascii="宋体" w:hAnsi="宋体" w:eastAsia="宋体" w:cs="宋体"/>
                <w:color w:val="auto"/>
                <w:spacing w:val="18"/>
                <w:sz w:val="18"/>
                <w:szCs w:val="18"/>
                <w:highlight w:val="none"/>
              </w:rPr>
            </w:pPr>
            <w:r>
              <w:rPr>
                <w:rFonts w:hint="eastAsia" w:ascii="宋体" w:hAnsi="宋体" w:eastAsia="宋体" w:cs="宋体"/>
                <w:color w:val="auto"/>
                <w:spacing w:val="18"/>
                <w:sz w:val="18"/>
                <w:szCs w:val="18"/>
                <w:highlight w:val="none"/>
                <w:lang w:val="en-US" w:eastAsia="zh-CN"/>
              </w:rPr>
              <w:t>1.</w:t>
            </w:r>
            <w:r>
              <w:rPr>
                <w:rFonts w:hint="eastAsia" w:ascii="宋体" w:hAnsi="宋体" w:eastAsia="宋体" w:cs="宋体"/>
                <w:color w:val="auto"/>
                <w:spacing w:val="18"/>
                <w:sz w:val="18"/>
                <w:szCs w:val="18"/>
                <w:highlight w:val="none"/>
              </w:rPr>
              <w:t>施工缝处混凝土松散，骨料集中，接槎明显，沿缝隙处渗漏水</w:t>
            </w:r>
          </w:p>
        </w:tc>
        <w:tc>
          <w:tcPr>
            <w:tcW w:w="1364" w:type="dxa"/>
            <w:noWrap w:val="0"/>
            <w:vAlign w:val="center"/>
          </w:tcPr>
          <w:p w14:paraId="7B06AA1E">
            <w:pPr>
              <w:pStyle w:val="42"/>
              <w:keepNext w:val="0"/>
              <w:keepLines w:val="0"/>
              <w:pageBreakBefore w:val="0"/>
              <w:widowControl w:val="0"/>
              <w:kinsoku/>
              <w:wordWrap/>
              <w:overflowPunct/>
              <w:topLinePunct w:val="0"/>
              <w:autoSpaceDE/>
              <w:autoSpaceDN/>
              <w:bidi w:val="0"/>
              <w:adjustRightInd/>
              <w:snapToGrid/>
              <w:spacing w:line="360" w:lineRule="exact"/>
              <w:ind w:left="564" w:leftChars="0"/>
              <w:jc w:val="both"/>
              <w:textAlignment w:val="auto"/>
              <w:rPr>
                <w:rFonts w:hint="eastAsia" w:ascii="宋体" w:hAnsi="宋体" w:eastAsia="宋体" w:cs="宋体"/>
                <w:color w:val="auto"/>
                <w:spacing w:val="-5"/>
                <w:highlight w:val="none"/>
              </w:rPr>
            </w:pPr>
            <w:r>
              <w:rPr>
                <w:rFonts w:hint="eastAsia" w:ascii="宋体" w:hAnsi="宋体" w:eastAsia="宋体" w:cs="宋体"/>
                <w:color w:val="auto"/>
                <w:spacing w:val="-5"/>
                <w:highlight w:val="none"/>
                <w:lang w:val="en-US" w:eastAsia="zh-CN"/>
              </w:rPr>
              <w:t>3</w:t>
            </w:r>
            <w:r>
              <w:rPr>
                <w:rFonts w:hint="eastAsia" w:ascii="宋体" w:hAnsi="宋体" w:eastAsia="宋体" w:cs="宋体"/>
                <w:color w:val="auto"/>
                <w:spacing w:val="-5"/>
                <w:highlight w:val="none"/>
              </w:rPr>
              <w:t>000</w:t>
            </w:r>
          </w:p>
        </w:tc>
      </w:tr>
      <w:tr w14:paraId="4349E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630" w:type="dxa"/>
            <w:vMerge w:val="continue"/>
            <w:tcBorders>
              <w:left w:val="single" w:color="auto" w:sz="4" w:space="0"/>
            </w:tcBorders>
            <w:noWrap w:val="0"/>
            <w:vAlign w:val="center"/>
          </w:tcPr>
          <w:p w14:paraId="57B9F021">
            <w:pPr>
              <w:pStyle w:val="42"/>
              <w:keepNext w:val="0"/>
              <w:keepLines w:val="0"/>
              <w:pageBreakBefore w:val="0"/>
              <w:widowControl w:val="0"/>
              <w:kinsoku/>
              <w:wordWrap/>
              <w:overflowPunct/>
              <w:topLinePunct w:val="0"/>
              <w:autoSpaceDE/>
              <w:autoSpaceDN/>
              <w:bidi w:val="0"/>
              <w:adjustRightInd/>
              <w:snapToGrid/>
              <w:spacing w:line="360" w:lineRule="exact"/>
              <w:ind w:left="114"/>
              <w:textAlignment w:val="auto"/>
              <w:rPr>
                <w:rFonts w:hint="eastAsia" w:ascii="宋体" w:hAnsi="宋体" w:eastAsia="宋体" w:cs="宋体"/>
                <w:color w:val="auto"/>
                <w:highlight w:val="none"/>
              </w:rPr>
            </w:pPr>
          </w:p>
        </w:tc>
        <w:tc>
          <w:tcPr>
            <w:tcW w:w="540" w:type="dxa"/>
            <w:vMerge w:val="continue"/>
            <w:tcBorders>
              <w:right w:val="single" w:color="auto" w:sz="4" w:space="0"/>
            </w:tcBorders>
            <w:noWrap w:val="0"/>
            <w:vAlign w:val="center"/>
          </w:tcPr>
          <w:p w14:paraId="05AEE2D6">
            <w:pPr>
              <w:pStyle w:val="42"/>
              <w:keepNext w:val="0"/>
              <w:keepLines w:val="0"/>
              <w:pageBreakBefore w:val="0"/>
              <w:widowControl w:val="0"/>
              <w:kinsoku/>
              <w:wordWrap/>
              <w:overflowPunct/>
              <w:topLinePunct w:val="0"/>
              <w:autoSpaceDE/>
              <w:autoSpaceDN/>
              <w:bidi w:val="0"/>
              <w:adjustRightInd/>
              <w:snapToGrid/>
              <w:spacing w:line="360" w:lineRule="exact"/>
              <w:ind w:left="114"/>
              <w:textAlignment w:val="auto"/>
              <w:rPr>
                <w:rFonts w:hint="eastAsia" w:ascii="宋体" w:hAnsi="宋体" w:eastAsia="宋体" w:cs="宋体"/>
                <w:color w:val="auto"/>
                <w:highlight w:val="none"/>
              </w:rPr>
            </w:pPr>
          </w:p>
        </w:tc>
        <w:tc>
          <w:tcPr>
            <w:tcW w:w="7981" w:type="dxa"/>
            <w:tcBorders>
              <w:left w:val="single" w:color="auto" w:sz="4" w:space="0"/>
            </w:tcBorders>
            <w:noWrap w:val="0"/>
            <w:vAlign w:val="top"/>
          </w:tcPr>
          <w:p w14:paraId="1A5A5360">
            <w:pPr>
              <w:pStyle w:val="42"/>
              <w:keepNext w:val="0"/>
              <w:keepLines w:val="0"/>
              <w:pageBreakBefore w:val="0"/>
              <w:widowControl w:val="0"/>
              <w:kinsoku/>
              <w:wordWrap/>
              <w:overflowPunct/>
              <w:topLinePunct w:val="0"/>
              <w:autoSpaceDE/>
              <w:autoSpaceDN/>
              <w:bidi w:val="0"/>
              <w:adjustRightInd/>
              <w:snapToGrid/>
              <w:spacing w:line="360" w:lineRule="exact"/>
              <w:ind w:left="114"/>
              <w:jc w:val="both"/>
              <w:textAlignment w:val="auto"/>
              <w:rPr>
                <w:rFonts w:hint="eastAsia" w:ascii="宋体" w:hAnsi="宋体" w:eastAsia="宋体" w:cs="宋体"/>
                <w:color w:val="auto"/>
                <w:spacing w:val="18"/>
                <w:sz w:val="18"/>
                <w:szCs w:val="18"/>
                <w:highlight w:val="none"/>
                <w:lang w:val="en-US" w:eastAsia="zh-CN"/>
              </w:rPr>
            </w:pPr>
            <w:r>
              <w:rPr>
                <w:rFonts w:hint="eastAsia" w:ascii="宋体" w:hAnsi="宋体" w:eastAsia="宋体" w:cs="宋体"/>
                <w:color w:val="auto"/>
                <w:spacing w:val="18"/>
                <w:sz w:val="18"/>
                <w:szCs w:val="18"/>
                <w:highlight w:val="none"/>
                <w:lang w:val="en-US" w:eastAsia="zh-CN"/>
              </w:rPr>
              <w:t>2.</w:t>
            </w:r>
            <w:r>
              <w:rPr>
                <w:rFonts w:hint="eastAsia" w:ascii="宋体" w:hAnsi="宋体" w:eastAsia="宋体" w:cs="宋体"/>
                <w:color w:val="auto"/>
                <w:spacing w:val="18"/>
                <w:sz w:val="18"/>
                <w:szCs w:val="18"/>
                <w:highlight w:val="none"/>
              </w:rPr>
              <w:t>混凝土表面有不规则的收缩裂缝且贯通于混凝土结构，有渗漏水现象</w:t>
            </w:r>
          </w:p>
        </w:tc>
        <w:tc>
          <w:tcPr>
            <w:tcW w:w="1364" w:type="dxa"/>
            <w:noWrap w:val="0"/>
            <w:vAlign w:val="center"/>
          </w:tcPr>
          <w:p w14:paraId="7F8CBA7C">
            <w:pPr>
              <w:pStyle w:val="42"/>
              <w:keepNext w:val="0"/>
              <w:keepLines w:val="0"/>
              <w:pageBreakBefore w:val="0"/>
              <w:widowControl w:val="0"/>
              <w:kinsoku/>
              <w:wordWrap/>
              <w:overflowPunct/>
              <w:topLinePunct w:val="0"/>
              <w:autoSpaceDE/>
              <w:autoSpaceDN/>
              <w:bidi w:val="0"/>
              <w:adjustRightInd/>
              <w:snapToGrid/>
              <w:spacing w:line="360" w:lineRule="exact"/>
              <w:ind w:left="564" w:leftChars="0"/>
              <w:jc w:val="both"/>
              <w:textAlignment w:val="auto"/>
              <w:rPr>
                <w:rFonts w:hint="eastAsia" w:ascii="宋体" w:hAnsi="宋体" w:eastAsia="宋体" w:cs="宋体"/>
                <w:snapToGrid w:val="0"/>
                <w:color w:val="auto"/>
                <w:spacing w:val="-5"/>
                <w:kern w:val="0"/>
                <w:sz w:val="18"/>
                <w:szCs w:val="18"/>
                <w:highlight w:val="none"/>
                <w:lang w:val="en-US" w:eastAsia="zh-CN" w:bidi="ar-SA"/>
              </w:rPr>
            </w:pPr>
            <w:r>
              <w:rPr>
                <w:rFonts w:hint="eastAsia" w:ascii="宋体" w:hAnsi="宋体" w:eastAsia="宋体" w:cs="宋体"/>
                <w:color w:val="auto"/>
                <w:spacing w:val="-5"/>
                <w:highlight w:val="none"/>
                <w:lang w:val="en-US" w:eastAsia="zh-CN"/>
              </w:rPr>
              <w:t>3</w:t>
            </w:r>
            <w:r>
              <w:rPr>
                <w:rFonts w:hint="eastAsia" w:ascii="宋体" w:hAnsi="宋体" w:eastAsia="宋体" w:cs="宋体"/>
                <w:color w:val="auto"/>
                <w:spacing w:val="-5"/>
                <w:highlight w:val="none"/>
              </w:rPr>
              <w:t>000</w:t>
            </w:r>
          </w:p>
        </w:tc>
      </w:tr>
      <w:tr w14:paraId="0C45C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630" w:type="dxa"/>
            <w:vMerge w:val="continue"/>
            <w:tcBorders>
              <w:left w:val="single" w:color="auto" w:sz="4" w:space="0"/>
            </w:tcBorders>
            <w:noWrap w:val="0"/>
            <w:vAlign w:val="center"/>
          </w:tcPr>
          <w:p w14:paraId="12A40C7B">
            <w:pPr>
              <w:pStyle w:val="42"/>
              <w:keepNext w:val="0"/>
              <w:keepLines w:val="0"/>
              <w:pageBreakBefore w:val="0"/>
              <w:widowControl w:val="0"/>
              <w:kinsoku/>
              <w:wordWrap/>
              <w:overflowPunct/>
              <w:topLinePunct w:val="0"/>
              <w:autoSpaceDE/>
              <w:autoSpaceDN/>
              <w:bidi w:val="0"/>
              <w:adjustRightInd/>
              <w:snapToGrid/>
              <w:spacing w:line="360" w:lineRule="exact"/>
              <w:ind w:left="114"/>
              <w:textAlignment w:val="auto"/>
              <w:rPr>
                <w:rFonts w:hint="eastAsia" w:ascii="宋体" w:hAnsi="宋体" w:eastAsia="宋体" w:cs="宋体"/>
                <w:color w:val="auto"/>
                <w:spacing w:val="18"/>
                <w:sz w:val="18"/>
                <w:szCs w:val="18"/>
                <w:highlight w:val="none"/>
                <w:lang w:val="en-US" w:eastAsia="zh-CN"/>
              </w:rPr>
            </w:pPr>
          </w:p>
        </w:tc>
        <w:tc>
          <w:tcPr>
            <w:tcW w:w="540" w:type="dxa"/>
            <w:vMerge w:val="continue"/>
            <w:tcBorders>
              <w:right w:val="single" w:color="auto" w:sz="4" w:space="0"/>
            </w:tcBorders>
            <w:noWrap w:val="0"/>
            <w:vAlign w:val="center"/>
          </w:tcPr>
          <w:p w14:paraId="18E6C868">
            <w:pPr>
              <w:pStyle w:val="42"/>
              <w:keepNext w:val="0"/>
              <w:keepLines w:val="0"/>
              <w:pageBreakBefore w:val="0"/>
              <w:widowControl w:val="0"/>
              <w:kinsoku/>
              <w:wordWrap/>
              <w:overflowPunct/>
              <w:topLinePunct w:val="0"/>
              <w:autoSpaceDE/>
              <w:autoSpaceDN/>
              <w:bidi w:val="0"/>
              <w:adjustRightInd/>
              <w:snapToGrid/>
              <w:spacing w:line="360" w:lineRule="exact"/>
              <w:ind w:left="114"/>
              <w:textAlignment w:val="auto"/>
              <w:rPr>
                <w:rFonts w:hint="eastAsia" w:ascii="宋体" w:hAnsi="宋体" w:eastAsia="宋体" w:cs="宋体"/>
                <w:color w:val="auto"/>
                <w:spacing w:val="18"/>
                <w:sz w:val="18"/>
                <w:szCs w:val="18"/>
                <w:highlight w:val="none"/>
                <w:lang w:val="en-US" w:eastAsia="zh-CN"/>
              </w:rPr>
            </w:pPr>
          </w:p>
        </w:tc>
        <w:tc>
          <w:tcPr>
            <w:tcW w:w="7981" w:type="dxa"/>
            <w:tcBorders>
              <w:left w:val="single" w:color="auto" w:sz="4" w:space="0"/>
            </w:tcBorders>
            <w:noWrap w:val="0"/>
            <w:vAlign w:val="top"/>
          </w:tcPr>
          <w:p w14:paraId="4824F84A">
            <w:pPr>
              <w:pStyle w:val="42"/>
              <w:keepNext w:val="0"/>
              <w:keepLines w:val="0"/>
              <w:pageBreakBefore w:val="0"/>
              <w:widowControl w:val="0"/>
              <w:kinsoku/>
              <w:wordWrap/>
              <w:overflowPunct/>
              <w:topLinePunct w:val="0"/>
              <w:autoSpaceDE/>
              <w:autoSpaceDN/>
              <w:bidi w:val="0"/>
              <w:adjustRightInd/>
              <w:snapToGrid/>
              <w:spacing w:line="360" w:lineRule="exact"/>
              <w:ind w:left="114"/>
              <w:jc w:val="both"/>
              <w:textAlignment w:val="auto"/>
              <w:rPr>
                <w:rFonts w:hint="eastAsia" w:ascii="宋体" w:hAnsi="宋体" w:eastAsia="宋体" w:cs="宋体"/>
                <w:color w:val="auto"/>
                <w:spacing w:val="18"/>
                <w:sz w:val="18"/>
                <w:szCs w:val="18"/>
                <w:highlight w:val="none"/>
                <w:lang w:val="en-US" w:eastAsia="zh-CN"/>
              </w:rPr>
            </w:pPr>
            <w:r>
              <w:rPr>
                <w:rFonts w:hint="eastAsia" w:ascii="宋体" w:hAnsi="宋体" w:eastAsia="宋体" w:cs="宋体"/>
                <w:color w:val="auto"/>
                <w:spacing w:val="18"/>
                <w:sz w:val="18"/>
                <w:szCs w:val="18"/>
                <w:highlight w:val="none"/>
                <w:lang w:val="en-US" w:eastAsia="zh-CN"/>
              </w:rPr>
              <w:t>3.</w:t>
            </w:r>
            <w:r>
              <w:rPr>
                <w:rFonts w:hint="eastAsia" w:ascii="宋体" w:hAnsi="宋体" w:eastAsia="宋体" w:cs="宋体"/>
                <w:color w:val="auto"/>
                <w:spacing w:val="18"/>
                <w:sz w:val="18"/>
                <w:szCs w:val="18"/>
                <w:highlight w:val="none"/>
              </w:rPr>
              <w:t>管道穿墙处与混凝土脱离，产生裂缝漏水</w:t>
            </w:r>
          </w:p>
        </w:tc>
        <w:tc>
          <w:tcPr>
            <w:tcW w:w="1364" w:type="dxa"/>
            <w:noWrap w:val="0"/>
            <w:vAlign w:val="center"/>
          </w:tcPr>
          <w:p w14:paraId="72077A54">
            <w:pPr>
              <w:pStyle w:val="42"/>
              <w:keepNext w:val="0"/>
              <w:keepLines w:val="0"/>
              <w:pageBreakBefore w:val="0"/>
              <w:widowControl w:val="0"/>
              <w:kinsoku/>
              <w:wordWrap/>
              <w:overflowPunct/>
              <w:topLinePunct w:val="0"/>
              <w:autoSpaceDE/>
              <w:autoSpaceDN/>
              <w:bidi w:val="0"/>
              <w:adjustRightInd/>
              <w:snapToGrid/>
              <w:spacing w:line="360" w:lineRule="exact"/>
              <w:ind w:left="564" w:leftChars="0"/>
              <w:jc w:val="both"/>
              <w:textAlignment w:val="auto"/>
              <w:rPr>
                <w:rFonts w:hint="eastAsia" w:ascii="宋体" w:hAnsi="宋体" w:eastAsia="宋体" w:cs="宋体"/>
                <w:snapToGrid w:val="0"/>
                <w:color w:val="auto"/>
                <w:spacing w:val="-5"/>
                <w:kern w:val="0"/>
                <w:sz w:val="18"/>
                <w:szCs w:val="18"/>
                <w:highlight w:val="none"/>
                <w:lang w:val="en-US" w:eastAsia="zh-CN" w:bidi="ar-SA"/>
              </w:rPr>
            </w:pPr>
            <w:r>
              <w:rPr>
                <w:rFonts w:hint="eastAsia" w:ascii="宋体" w:hAnsi="宋体" w:eastAsia="宋体" w:cs="宋体"/>
                <w:color w:val="auto"/>
                <w:spacing w:val="-5"/>
                <w:highlight w:val="none"/>
                <w:lang w:val="en-US" w:eastAsia="zh-CN"/>
              </w:rPr>
              <w:t>3</w:t>
            </w:r>
            <w:r>
              <w:rPr>
                <w:rFonts w:hint="eastAsia" w:ascii="宋体" w:hAnsi="宋体" w:eastAsia="宋体" w:cs="宋体"/>
                <w:color w:val="auto"/>
                <w:spacing w:val="-5"/>
                <w:highlight w:val="none"/>
              </w:rPr>
              <w:t>000</w:t>
            </w:r>
          </w:p>
        </w:tc>
      </w:tr>
      <w:tr w14:paraId="6DB7B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630" w:type="dxa"/>
            <w:vMerge w:val="continue"/>
            <w:tcBorders>
              <w:left w:val="single" w:color="auto" w:sz="4" w:space="0"/>
            </w:tcBorders>
            <w:noWrap w:val="0"/>
            <w:vAlign w:val="center"/>
          </w:tcPr>
          <w:p w14:paraId="0D70210E">
            <w:pPr>
              <w:pStyle w:val="42"/>
              <w:keepNext w:val="0"/>
              <w:keepLines w:val="0"/>
              <w:pageBreakBefore w:val="0"/>
              <w:widowControl w:val="0"/>
              <w:kinsoku/>
              <w:wordWrap/>
              <w:overflowPunct/>
              <w:topLinePunct w:val="0"/>
              <w:autoSpaceDE/>
              <w:autoSpaceDN/>
              <w:bidi w:val="0"/>
              <w:adjustRightInd/>
              <w:snapToGrid/>
              <w:spacing w:line="360" w:lineRule="exact"/>
              <w:ind w:left="114"/>
              <w:textAlignment w:val="auto"/>
              <w:rPr>
                <w:rFonts w:hint="eastAsia" w:ascii="宋体" w:hAnsi="宋体" w:eastAsia="宋体" w:cs="宋体"/>
                <w:color w:val="auto"/>
                <w:spacing w:val="18"/>
                <w:sz w:val="18"/>
                <w:szCs w:val="18"/>
                <w:highlight w:val="none"/>
                <w:lang w:val="en-US" w:eastAsia="zh-CN"/>
              </w:rPr>
            </w:pPr>
          </w:p>
        </w:tc>
        <w:tc>
          <w:tcPr>
            <w:tcW w:w="540" w:type="dxa"/>
            <w:vMerge w:val="continue"/>
            <w:tcBorders>
              <w:right w:val="single" w:color="auto" w:sz="4" w:space="0"/>
            </w:tcBorders>
            <w:noWrap w:val="0"/>
            <w:vAlign w:val="center"/>
          </w:tcPr>
          <w:p w14:paraId="027C8ED4">
            <w:pPr>
              <w:pStyle w:val="42"/>
              <w:keepNext w:val="0"/>
              <w:keepLines w:val="0"/>
              <w:pageBreakBefore w:val="0"/>
              <w:widowControl w:val="0"/>
              <w:kinsoku/>
              <w:wordWrap/>
              <w:overflowPunct/>
              <w:topLinePunct w:val="0"/>
              <w:autoSpaceDE/>
              <w:autoSpaceDN/>
              <w:bidi w:val="0"/>
              <w:adjustRightInd/>
              <w:snapToGrid/>
              <w:spacing w:line="360" w:lineRule="exact"/>
              <w:ind w:left="114"/>
              <w:textAlignment w:val="auto"/>
              <w:rPr>
                <w:rFonts w:hint="eastAsia" w:ascii="宋体" w:hAnsi="宋体" w:eastAsia="宋体" w:cs="宋体"/>
                <w:color w:val="auto"/>
                <w:spacing w:val="18"/>
                <w:sz w:val="18"/>
                <w:szCs w:val="18"/>
                <w:highlight w:val="none"/>
                <w:lang w:val="en-US" w:eastAsia="zh-CN"/>
              </w:rPr>
            </w:pPr>
          </w:p>
        </w:tc>
        <w:tc>
          <w:tcPr>
            <w:tcW w:w="7981" w:type="dxa"/>
            <w:tcBorders>
              <w:left w:val="single" w:color="auto" w:sz="4" w:space="0"/>
            </w:tcBorders>
            <w:noWrap w:val="0"/>
            <w:vAlign w:val="top"/>
          </w:tcPr>
          <w:p w14:paraId="2C3F08F0">
            <w:pPr>
              <w:pStyle w:val="42"/>
              <w:keepNext w:val="0"/>
              <w:keepLines w:val="0"/>
              <w:pageBreakBefore w:val="0"/>
              <w:widowControl w:val="0"/>
              <w:kinsoku/>
              <w:wordWrap/>
              <w:overflowPunct/>
              <w:topLinePunct w:val="0"/>
              <w:autoSpaceDE/>
              <w:autoSpaceDN/>
              <w:bidi w:val="0"/>
              <w:adjustRightInd/>
              <w:snapToGrid/>
              <w:spacing w:line="360" w:lineRule="exact"/>
              <w:ind w:left="114"/>
              <w:jc w:val="both"/>
              <w:textAlignment w:val="auto"/>
              <w:rPr>
                <w:rFonts w:hint="eastAsia" w:ascii="宋体" w:hAnsi="宋体" w:eastAsia="宋体" w:cs="宋体"/>
                <w:color w:val="auto"/>
                <w:spacing w:val="18"/>
                <w:sz w:val="18"/>
                <w:szCs w:val="18"/>
                <w:highlight w:val="none"/>
                <w:lang w:val="en-US" w:eastAsia="zh-CN"/>
              </w:rPr>
            </w:pPr>
            <w:r>
              <w:rPr>
                <w:rFonts w:hint="eastAsia" w:ascii="宋体" w:hAnsi="宋体" w:eastAsia="宋体" w:cs="宋体"/>
                <w:color w:val="auto"/>
                <w:spacing w:val="18"/>
                <w:sz w:val="18"/>
                <w:szCs w:val="18"/>
                <w:highlight w:val="none"/>
                <w:lang w:val="en-US" w:eastAsia="zh-CN"/>
              </w:rPr>
              <w:t>4.</w:t>
            </w:r>
            <w:r>
              <w:rPr>
                <w:rFonts w:hint="eastAsia" w:ascii="宋体" w:hAnsi="宋体" w:eastAsia="宋体" w:cs="宋体"/>
                <w:color w:val="auto"/>
                <w:spacing w:val="18"/>
                <w:sz w:val="18"/>
                <w:szCs w:val="18"/>
                <w:highlight w:val="none"/>
              </w:rPr>
              <w:t>卷材屋面出现无规则开裂</w:t>
            </w:r>
          </w:p>
        </w:tc>
        <w:tc>
          <w:tcPr>
            <w:tcW w:w="1364" w:type="dxa"/>
            <w:noWrap w:val="0"/>
            <w:vAlign w:val="center"/>
          </w:tcPr>
          <w:p w14:paraId="359E0268">
            <w:pPr>
              <w:pStyle w:val="42"/>
              <w:keepNext w:val="0"/>
              <w:keepLines w:val="0"/>
              <w:pageBreakBefore w:val="0"/>
              <w:widowControl w:val="0"/>
              <w:kinsoku/>
              <w:wordWrap/>
              <w:overflowPunct/>
              <w:topLinePunct w:val="0"/>
              <w:autoSpaceDE/>
              <w:autoSpaceDN/>
              <w:bidi w:val="0"/>
              <w:adjustRightInd/>
              <w:snapToGrid/>
              <w:spacing w:line="360" w:lineRule="exact"/>
              <w:ind w:left="564" w:leftChars="0"/>
              <w:jc w:val="both"/>
              <w:textAlignment w:val="auto"/>
              <w:rPr>
                <w:rFonts w:hint="eastAsia" w:ascii="宋体" w:hAnsi="宋体" w:eastAsia="宋体" w:cs="宋体"/>
                <w:snapToGrid w:val="0"/>
                <w:color w:val="auto"/>
                <w:spacing w:val="-5"/>
                <w:kern w:val="0"/>
                <w:sz w:val="18"/>
                <w:szCs w:val="18"/>
                <w:highlight w:val="none"/>
                <w:lang w:val="en-US" w:eastAsia="zh-CN" w:bidi="ar-SA"/>
              </w:rPr>
            </w:pPr>
            <w:r>
              <w:rPr>
                <w:rFonts w:hint="eastAsia" w:ascii="宋体" w:hAnsi="宋体" w:eastAsia="宋体" w:cs="宋体"/>
                <w:color w:val="auto"/>
                <w:spacing w:val="-5"/>
                <w:highlight w:val="none"/>
                <w:lang w:val="en-US" w:eastAsia="zh-CN"/>
              </w:rPr>
              <w:t>3</w:t>
            </w:r>
            <w:r>
              <w:rPr>
                <w:rFonts w:hint="eastAsia" w:ascii="宋体" w:hAnsi="宋体" w:eastAsia="宋体" w:cs="宋体"/>
                <w:color w:val="auto"/>
                <w:spacing w:val="-5"/>
                <w:highlight w:val="none"/>
              </w:rPr>
              <w:t>000</w:t>
            </w:r>
          </w:p>
        </w:tc>
      </w:tr>
      <w:tr w14:paraId="7E594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630" w:type="dxa"/>
            <w:vMerge w:val="restart"/>
            <w:tcBorders>
              <w:left w:val="single" w:color="auto" w:sz="4" w:space="0"/>
            </w:tcBorders>
            <w:noWrap w:val="0"/>
            <w:vAlign w:val="center"/>
          </w:tcPr>
          <w:p w14:paraId="3FCCACAC">
            <w:pPr>
              <w:pStyle w:val="42"/>
              <w:keepNext w:val="0"/>
              <w:keepLines w:val="0"/>
              <w:pageBreakBefore w:val="0"/>
              <w:widowControl w:val="0"/>
              <w:kinsoku/>
              <w:wordWrap/>
              <w:overflowPunct/>
              <w:topLinePunct w:val="0"/>
              <w:autoSpaceDE/>
              <w:autoSpaceDN/>
              <w:bidi w:val="0"/>
              <w:adjustRightInd/>
              <w:snapToGrid/>
              <w:spacing w:line="360" w:lineRule="exact"/>
              <w:ind w:left="114"/>
              <w:textAlignment w:val="auto"/>
              <w:rPr>
                <w:rFonts w:hint="default" w:ascii="宋体" w:hAnsi="宋体" w:eastAsia="宋体" w:cs="宋体"/>
                <w:color w:val="auto"/>
                <w:spacing w:val="18"/>
                <w:sz w:val="18"/>
                <w:szCs w:val="18"/>
                <w:highlight w:val="none"/>
                <w:lang w:val="en-US" w:eastAsia="zh-CN"/>
              </w:rPr>
            </w:pPr>
            <w:r>
              <w:rPr>
                <w:rFonts w:hint="eastAsia" w:cs="宋体"/>
                <w:color w:val="auto"/>
                <w:spacing w:val="18"/>
                <w:sz w:val="18"/>
                <w:szCs w:val="18"/>
                <w:highlight w:val="none"/>
                <w:lang w:val="en-US" w:eastAsia="zh-CN"/>
              </w:rPr>
              <w:t>12</w:t>
            </w:r>
          </w:p>
        </w:tc>
        <w:tc>
          <w:tcPr>
            <w:tcW w:w="540" w:type="dxa"/>
            <w:vMerge w:val="restart"/>
            <w:tcBorders>
              <w:right w:val="single" w:color="auto" w:sz="4" w:space="0"/>
            </w:tcBorders>
            <w:noWrap w:val="0"/>
            <w:vAlign w:val="center"/>
          </w:tcPr>
          <w:p w14:paraId="474A8926">
            <w:pPr>
              <w:pStyle w:val="42"/>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宋体" w:hAnsi="宋体" w:eastAsia="宋体" w:cs="宋体"/>
                <w:color w:val="auto"/>
                <w:spacing w:val="18"/>
                <w:sz w:val="18"/>
                <w:szCs w:val="18"/>
                <w:highlight w:val="none"/>
                <w:lang w:val="en-US" w:eastAsia="zh-CN"/>
              </w:rPr>
            </w:pPr>
            <w:r>
              <w:rPr>
                <w:rFonts w:hint="eastAsia" w:cs="宋体"/>
                <w:color w:val="auto"/>
                <w:spacing w:val="18"/>
                <w:sz w:val="18"/>
                <w:szCs w:val="18"/>
                <w:highlight w:val="none"/>
                <w:lang w:val="en-US" w:eastAsia="zh-CN"/>
              </w:rPr>
              <w:t>钢结构工程</w:t>
            </w:r>
          </w:p>
        </w:tc>
        <w:tc>
          <w:tcPr>
            <w:tcW w:w="7981" w:type="dxa"/>
            <w:tcBorders>
              <w:left w:val="single" w:color="auto" w:sz="4" w:space="0"/>
            </w:tcBorders>
            <w:noWrap w:val="0"/>
            <w:vAlign w:val="top"/>
          </w:tcPr>
          <w:p w14:paraId="392605F3">
            <w:pPr>
              <w:pStyle w:val="42"/>
              <w:keepNext w:val="0"/>
              <w:keepLines w:val="0"/>
              <w:pageBreakBefore w:val="0"/>
              <w:widowControl w:val="0"/>
              <w:kinsoku/>
              <w:wordWrap/>
              <w:overflowPunct/>
              <w:topLinePunct w:val="0"/>
              <w:autoSpaceDE/>
              <w:autoSpaceDN/>
              <w:bidi w:val="0"/>
              <w:adjustRightInd/>
              <w:snapToGrid/>
              <w:spacing w:line="360" w:lineRule="exact"/>
              <w:ind w:left="114"/>
              <w:jc w:val="both"/>
              <w:textAlignment w:val="auto"/>
              <w:rPr>
                <w:rFonts w:hint="default" w:ascii="宋体" w:hAnsi="宋体" w:eastAsia="宋体" w:cs="宋体"/>
                <w:color w:val="auto"/>
                <w:spacing w:val="18"/>
                <w:sz w:val="18"/>
                <w:szCs w:val="18"/>
                <w:highlight w:val="none"/>
                <w:lang w:val="en-US" w:eastAsia="zh-CN"/>
              </w:rPr>
            </w:pPr>
            <w:r>
              <w:rPr>
                <w:rFonts w:hint="eastAsia" w:cs="宋体"/>
                <w:color w:val="auto"/>
                <w:spacing w:val="18"/>
                <w:sz w:val="18"/>
                <w:szCs w:val="18"/>
                <w:highlight w:val="none"/>
                <w:lang w:val="en-US" w:eastAsia="zh-CN"/>
              </w:rPr>
              <w:t>1构件加工尺寸精度不符合设计要求</w:t>
            </w:r>
          </w:p>
        </w:tc>
        <w:tc>
          <w:tcPr>
            <w:tcW w:w="1364" w:type="dxa"/>
            <w:noWrap w:val="0"/>
            <w:vAlign w:val="center"/>
          </w:tcPr>
          <w:p w14:paraId="7AF312DE">
            <w:pPr>
              <w:keepNext w:val="0"/>
              <w:keepLines w:val="0"/>
              <w:pageBreakBefore w:val="0"/>
              <w:widowControl w:val="0"/>
              <w:kinsoku/>
              <w:wordWrap/>
              <w:overflowPunct/>
              <w:topLinePunct w:val="0"/>
              <w:autoSpaceDE/>
              <w:autoSpaceDN/>
              <w:bidi w:val="0"/>
              <w:adjustRightInd/>
              <w:snapToGrid/>
              <w:spacing w:line="360" w:lineRule="exact"/>
              <w:ind w:left="564" w:leftChars="0"/>
              <w:jc w:val="both"/>
              <w:textAlignment w:val="auto"/>
              <w:rPr>
                <w:rFonts w:hint="eastAsia" w:ascii="宋体" w:hAnsi="宋体" w:eastAsia="宋体" w:cs="宋体"/>
                <w:color w:val="auto"/>
                <w:spacing w:val="-5"/>
                <w:highlight w:val="none"/>
                <w:lang w:val="en-US" w:eastAsia="zh-CN"/>
              </w:rPr>
            </w:pPr>
            <w:r>
              <w:rPr>
                <w:rFonts w:hint="eastAsia" w:ascii="宋体" w:hAnsi="宋体" w:eastAsia="宋体" w:cs="宋体"/>
                <w:color w:val="auto"/>
                <w:spacing w:val="-5"/>
                <w:highlight w:val="none"/>
                <w:lang w:val="en-US" w:eastAsia="zh-CN"/>
              </w:rPr>
              <w:t>3</w:t>
            </w:r>
            <w:r>
              <w:rPr>
                <w:rFonts w:hint="eastAsia" w:ascii="宋体" w:hAnsi="宋体" w:eastAsia="宋体" w:cs="宋体"/>
                <w:color w:val="auto"/>
                <w:spacing w:val="-5"/>
                <w:highlight w:val="none"/>
              </w:rPr>
              <w:t>000</w:t>
            </w:r>
          </w:p>
        </w:tc>
      </w:tr>
      <w:tr w14:paraId="264C4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630" w:type="dxa"/>
            <w:vMerge w:val="continue"/>
            <w:tcBorders>
              <w:left w:val="single" w:color="auto" w:sz="4" w:space="0"/>
            </w:tcBorders>
            <w:noWrap w:val="0"/>
            <w:vAlign w:val="center"/>
          </w:tcPr>
          <w:p w14:paraId="47CE07FE">
            <w:pPr>
              <w:pStyle w:val="42"/>
              <w:keepNext w:val="0"/>
              <w:keepLines w:val="0"/>
              <w:pageBreakBefore w:val="0"/>
              <w:widowControl w:val="0"/>
              <w:kinsoku/>
              <w:wordWrap/>
              <w:overflowPunct/>
              <w:topLinePunct w:val="0"/>
              <w:autoSpaceDE/>
              <w:autoSpaceDN/>
              <w:bidi w:val="0"/>
              <w:adjustRightInd/>
              <w:snapToGrid/>
              <w:spacing w:line="360" w:lineRule="exact"/>
              <w:ind w:left="114"/>
              <w:textAlignment w:val="auto"/>
              <w:rPr>
                <w:rFonts w:hint="eastAsia" w:ascii="宋体" w:hAnsi="宋体" w:eastAsia="宋体" w:cs="宋体"/>
                <w:color w:val="auto"/>
                <w:spacing w:val="18"/>
                <w:sz w:val="18"/>
                <w:szCs w:val="18"/>
                <w:highlight w:val="none"/>
                <w:lang w:val="en-US" w:eastAsia="zh-CN"/>
              </w:rPr>
            </w:pPr>
          </w:p>
        </w:tc>
        <w:tc>
          <w:tcPr>
            <w:tcW w:w="540" w:type="dxa"/>
            <w:vMerge w:val="continue"/>
            <w:tcBorders>
              <w:right w:val="single" w:color="auto" w:sz="4" w:space="0"/>
            </w:tcBorders>
            <w:noWrap w:val="0"/>
            <w:vAlign w:val="center"/>
          </w:tcPr>
          <w:p w14:paraId="43582301">
            <w:pPr>
              <w:pStyle w:val="42"/>
              <w:keepNext w:val="0"/>
              <w:keepLines w:val="0"/>
              <w:pageBreakBefore w:val="0"/>
              <w:widowControl w:val="0"/>
              <w:kinsoku/>
              <w:wordWrap/>
              <w:overflowPunct/>
              <w:topLinePunct w:val="0"/>
              <w:autoSpaceDE/>
              <w:autoSpaceDN/>
              <w:bidi w:val="0"/>
              <w:adjustRightInd/>
              <w:snapToGrid/>
              <w:spacing w:line="360" w:lineRule="exact"/>
              <w:ind w:left="114"/>
              <w:textAlignment w:val="auto"/>
              <w:rPr>
                <w:rFonts w:hint="eastAsia" w:ascii="宋体" w:hAnsi="宋体" w:eastAsia="宋体" w:cs="宋体"/>
                <w:color w:val="auto"/>
                <w:spacing w:val="18"/>
                <w:sz w:val="18"/>
                <w:szCs w:val="18"/>
                <w:highlight w:val="none"/>
                <w:lang w:val="en-US" w:eastAsia="zh-CN"/>
              </w:rPr>
            </w:pPr>
          </w:p>
        </w:tc>
        <w:tc>
          <w:tcPr>
            <w:tcW w:w="7981" w:type="dxa"/>
            <w:tcBorders>
              <w:left w:val="single" w:color="auto" w:sz="4" w:space="0"/>
            </w:tcBorders>
            <w:noWrap w:val="0"/>
            <w:vAlign w:val="top"/>
          </w:tcPr>
          <w:p w14:paraId="1809F6C5">
            <w:pPr>
              <w:pStyle w:val="42"/>
              <w:keepNext w:val="0"/>
              <w:keepLines w:val="0"/>
              <w:pageBreakBefore w:val="0"/>
              <w:widowControl w:val="0"/>
              <w:kinsoku/>
              <w:wordWrap/>
              <w:overflowPunct/>
              <w:topLinePunct w:val="0"/>
              <w:autoSpaceDE/>
              <w:autoSpaceDN/>
              <w:bidi w:val="0"/>
              <w:adjustRightInd/>
              <w:snapToGrid/>
              <w:spacing w:line="360" w:lineRule="exact"/>
              <w:ind w:left="114"/>
              <w:jc w:val="both"/>
              <w:textAlignment w:val="auto"/>
              <w:rPr>
                <w:rFonts w:hint="default" w:ascii="宋体" w:hAnsi="宋体" w:eastAsia="宋体" w:cs="宋体"/>
                <w:color w:val="auto"/>
                <w:spacing w:val="18"/>
                <w:sz w:val="18"/>
                <w:szCs w:val="18"/>
                <w:highlight w:val="none"/>
                <w:lang w:val="en-US" w:eastAsia="zh-CN"/>
              </w:rPr>
            </w:pPr>
            <w:r>
              <w:rPr>
                <w:rFonts w:hint="eastAsia" w:cs="宋体"/>
                <w:color w:val="auto"/>
                <w:spacing w:val="18"/>
                <w:sz w:val="18"/>
                <w:szCs w:val="18"/>
                <w:highlight w:val="none"/>
                <w:lang w:val="en-US" w:eastAsia="zh-CN"/>
              </w:rPr>
              <w:t>2构件焊接质量不符合设计要求</w:t>
            </w:r>
          </w:p>
        </w:tc>
        <w:tc>
          <w:tcPr>
            <w:tcW w:w="1364" w:type="dxa"/>
            <w:noWrap w:val="0"/>
            <w:vAlign w:val="center"/>
          </w:tcPr>
          <w:p w14:paraId="59E07346">
            <w:pPr>
              <w:keepNext w:val="0"/>
              <w:keepLines w:val="0"/>
              <w:pageBreakBefore w:val="0"/>
              <w:widowControl w:val="0"/>
              <w:kinsoku/>
              <w:wordWrap/>
              <w:overflowPunct/>
              <w:topLinePunct w:val="0"/>
              <w:autoSpaceDE/>
              <w:autoSpaceDN/>
              <w:bidi w:val="0"/>
              <w:adjustRightInd/>
              <w:snapToGrid/>
              <w:spacing w:line="360" w:lineRule="exact"/>
              <w:ind w:left="564" w:leftChars="0"/>
              <w:jc w:val="both"/>
              <w:textAlignment w:val="auto"/>
              <w:rPr>
                <w:rFonts w:hint="eastAsia" w:ascii="宋体" w:hAnsi="宋体" w:eastAsia="宋体" w:cs="宋体"/>
                <w:color w:val="auto"/>
                <w:spacing w:val="-5"/>
                <w:highlight w:val="none"/>
                <w:lang w:val="en-US" w:eastAsia="zh-CN"/>
              </w:rPr>
            </w:pPr>
            <w:r>
              <w:rPr>
                <w:rFonts w:hint="eastAsia" w:ascii="宋体" w:hAnsi="宋体" w:eastAsia="宋体" w:cs="宋体"/>
                <w:color w:val="auto"/>
                <w:spacing w:val="-5"/>
                <w:highlight w:val="none"/>
                <w:lang w:val="en-US" w:eastAsia="zh-CN"/>
              </w:rPr>
              <w:t>3</w:t>
            </w:r>
            <w:r>
              <w:rPr>
                <w:rFonts w:hint="eastAsia" w:ascii="宋体" w:hAnsi="宋体" w:eastAsia="宋体" w:cs="宋体"/>
                <w:color w:val="auto"/>
                <w:spacing w:val="-5"/>
                <w:highlight w:val="none"/>
              </w:rPr>
              <w:t>000</w:t>
            </w:r>
          </w:p>
        </w:tc>
      </w:tr>
      <w:tr w14:paraId="0DB1D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630" w:type="dxa"/>
            <w:vMerge w:val="continue"/>
            <w:tcBorders>
              <w:left w:val="single" w:color="auto" w:sz="4" w:space="0"/>
            </w:tcBorders>
            <w:noWrap w:val="0"/>
            <w:vAlign w:val="center"/>
          </w:tcPr>
          <w:p w14:paraId="672EB02C">
            <w:pPr>
              <w:pStyle w:val="42"/>
              <w:keepNext w:val="0"/>
              <w:keepLines w:val="0"/>
              <w:pageBreakBefore w:val="0"/>
              <w:widowControl w:val="0"/>
              <w:kinsoku/>
              <w:wordWrap/>
              <w:overflowPunct/>
              <w:topLinePunct w:val="0"/>
              <w:autoSpaceDE/>
              <w:autoSpaceDN/>
              <w:bidi w:val="0"/>
              <w:adjustRightInd/>
              <w:snapToGrid/>
              <w:spacing w:line="360" w:lineRule="exact"/>
              <w:ind w:left="114"/>
              <w:textAlignment w:val="auto"/>
              <w:rPr>
                <w:rFonts w:hint="eastAsia" w:ascii="宋体" w:hAnsi="宋体" w:eastAsia="宋体" w:cs="宋体"/>
                <w:color w:val="auto"/>
                <w:spacing w:val="18"/>
                <w:sz w:val="18"/>
                <w:szCs w:val="18"/>
                <w:highlight w:val="none"/>
                <w:lang w:val="en-US" w:eastAsia="zh-CN"/>
              </w:rPr>
            </w:pPr>
          </w:p>
        </w:tc>
        <w:tc>
          <w:tcPr>
            <w:tcW w:w="540" w:type="dxa"/>
            <w:vMerge w:val="continue"/>
            <w:tcBorders>
              <w:right w:val="single" w:color="auto" w:sz="4" w:space="0"/>
            </w:tcBorders>
            <w:noWrap w:val="0"/>
            <w:vAlign w:val="center"/>
          </w:tcPr>
          <w:p w14:paraId="11D5FA11">
            <w:pPr>
              <w:pStyle w:val="42"/>
              <w:keepNext w:val="0"/>
              <w:keepLines w:val="0"/>
              <w:pageBreakBefore w:val="0"/>
              <w:widowControl w:val="0"/>
              <w:kinsoku/>
              <w:wordWrap/>
              <w:overflowPunct/>
              <w:topLinePunct w:val="0"/>
              <w:autoSpaceDE/>
              <w:autoSpaceDN/>
              <w:bidi w:val="0"/>
              <w:adjustRightInd/>
              <w:snapToGrid/>
              <w:spacing w:line="360" w:lineRule="exact"/>
              <w:ind w:left="114"/>
              <w:textAlignment w:val="auto"/>
              <w:rPr>
                <w:rFonts w:hint="eastAsia" w:ascii="宋体" w:hAnsi="宋体" w:eastAsia="宋体" w:cs="宋体"/>
                <w:color w:val="auto"/>
                <w:spacing w:val="18"/>
                <w:sz w:val="18"/>
                <w:szCs w:val="18"/>
                <w:highlight w:val="none"/>
                <w:lang w:val="en-US" w:eastAsia="zh-CN"/>
              </w:rPr>
            </w:pPr>
          </w:p>
        </w:tc>
        <w:tc>
          <w:tcPr>
            <w:tcW w:w="7981" w:type="dxa"/>
            <w:tcBorders>
              <w:left w:val="single" w:color="auto" w:sz="4" w:space="0"/>
            </w:tcBorders>
            <w:noWrap w:val="0"/>
            <w:vAlign w:val="top"/>
          </w:tcPr>
          <w:p w14:paraId="37E11FD1">
            <w:pPr>
              <w:pStyle w:val="42"/>
              <w:keepNext w:val="0"/>
              <w:keepLines w:val="0"/>
              <w:pageBreakBefore w:val="0"/>
              <w:widowControl w:val="0"/>
              <w:kinsoku/>
              <w:wordWrap/>
              <w:overflowPunct/>
              <w:topLinePunct w:val="0"/>
              <w:autoSpaceDE/>
              <w:autoSpaceDN/>
              <w:bidi w:val="0"/>
              <w:adjustRightInd/>
              <w:snapToGrid/>
              <w:spacing w:line="360" w:lineRule="exact"/>
              <w:ind w:left="114"/>
              <w:jc w:val="both"/>
              <w:textAlignment w:val="auto"/>
              <w:rPr>
                <w:rFonts w:hint="default" w:ascii="宋体" w:hAnsi="宋体" w:eastAsia="宋体" w:cs="宋体"/>
                <w:color w:val="auto"/>
                <w:spacing w:val="18"/>
                <w:sz w:val="18"/>
                <w:szCs w:val="18"/>
                <w:highlight w:val="none"/>
                <w:lang w:val="en-US" w:eastAsia="zh-CN"/>
              </w:rPr>
            </w:pPr>
            <w:r>
              <w:rPr>
                <w:rFonts w:hint="eastAsia" w:cs="宋体"/>
                <w:color w:val="auto"/>
                <w:spacing w:val="18"/>
                <w:sz w:val="18"/>
                <w:szCs w:val="18"/>
                <w:highlight w:val="none"/>
                <w:lang w:val="en-US" w:eastAsia="zh-CN"/>
              </w:rPr>
              <w:t>3构件变形控制不符合设计要求</w:t>
            </w:r>
          </w:p>
        </w:tc>
        <w:tc>
          <w:tcPr>
            <w:tcW w:w="1364" w:type="dxa"/>
            <w:noWrap w:val="0"/>
            <w:vAlign w:val="center"/>
          </w:tcPr>
          <w:p w14:paraId="24249E89">
            <w:pPr>
              <w:keepNext w:val="0"/>
              <w:keepLines w:val="0"/>
              <w:pageBreakBefore w:val="0"/>
              <w:widowControl w:val="0"/>
              <w:kinsoku/>
              <w:wordWrap/>
              <w:overflowPunct/>
              <w:topLinePunct w:val="0"/>
              <w:autoSpaceDE/>
              <w:autoSpaceDN/>
              <w:bidi w:val="0"/>
              <w:adjustRightInd/>
              <w:snapToGrid/>
              <w:spacing w:line="360" w:lineRule="exact"/>
              <w:ind w:left="564" w:leftChars="0"/>
              <w:jc w:val="both"/>
              <w:textAlignment w:val="auto"/>
              <w:rPr>
                <w:rFonts w:hint="eastAsia" w:ascii="宋体" w:hAnsi="宋体" w:eastAsia="宋体" w:cs="宋体"/>
                <w:color w:val="auto"/>
                <w:spacing w:val="-5"/>
                <w:highlight w:val="none"/>
                <w:lang w:val="en-US" w:eastAsia="zh-CN"/>
              </w:rPr>
            </w:pPr>
            <w:r>
              <w:rPr>
                <w:rFonts w:hint="eastAsia" w:ascii="宋体" w:hAnsi="宋体" w:eastAsia="宋体" w:cs="宋体"/>
                <w:color w:val="auto"/>
                <w:spacing w:val="-5"/>
                <w:highlight w:val="none"/>
                <w:lang w:val="en-US" w:eastAsia="zh-CN"/>
              </w:rPr>
              <w:t>3</w:t>
            </w:r>
            <w:r>
              <w:rPr>
                <w:rFonts w:hint="eastAsia" w:ascii="宋体" w:hAnsi="宋体" w:eastAsia="宋体" w:cs="宋体"/>
                <w:color w:val="auto"/>
                <w:spacing w:val="-5"/>
                <w:highlight w:val="none"/>
              </w:rPr>
              <w:t>000</w:t>
            </w:r>
          </w:p>
        </w:tc>
      </w:tr>
      <w:tr w14:paraId="1D230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630" w:type="dxa"/>
            <w:vMerge w:val="continue"/>
            <w:tcBorders>
              <w:left w:val="single" w:color="auto" w:sz="4" w:space="0"/>
            </w:tcBorders>
            <w:noWrap w:val="0"/>
            <w:vAlign w:val="center"/>
          </w:tcPr>
          <w:p w14:paraId="616D4F92">
            <w:pPr>
              <w:pStyle w:val="42"/>
              <w:keepNext w:val="0"/>
              <w:keepLines w:val="0"/>
              <w:pageBreakBefore w:val="0"/>
              <w:widowControl w:val="0"/>
              <w:kinsoku/>
              <w:wordWrap/>
              <w:overflowPunct/>
              <w:topLinePunct w:val="0"/>
              <w:autoSpaceDE/>
              <w:autoSpaceDN/>
              <w:bidi w:val="0"/>
              <w:adjustRightInd/>
              <w:snapToGrid/>
              <w:spacing w:line="360" w:lineRule="exact"/>
              <w:ind w:left="114"/>
              <w:textAlignment w:val="auto"/>
              <w:rPr>
                <w:rFonts w:hint="eastAsia" w:ascii="宋体" w:hAnsi="宋体" w:eastAsia="宋体" w:cs="宋体"/>
                <w:color w:val="auto"/>
                <w:spacing w:val="18"/>
                <w:sz w:val="18"/>
                <w:szCs w:val="18"/>
                <w:highlight w:val="none"/>
                <w:lang w:val="en-US" w:eastAsia="zh-CN"/>
              </w:rPr>
            </w:pPr>
          </w:p>
        </w:tc>
        <w:tc>
          <w:tcPr>
            <w:tcW w:w="540" w:type="dxa"/>
            <w:vMerge w:val="continue"/>
            <w:tcBorders>
              <w:right w:val="single" w:color="auto" w:sz="4" w:space="0"/>
            </w:tcBorders>
            <w:noWrap w:val="0"/>
            <w:vAlign w:val="center"/>
          </w:tcPr>
          <w:p w14:paraId="1C3928DB">
            <w:pPr>
              <w:pStyle w:val="42"/>
              <w:keepNext w:val="0"/>
              <w:keepLines w:val="0"/>
              <w:pageBreakBefore w:val="0"/>
              <w:widowControl w:val="0"/>
              <w:kinsoku/>
              <w:wordWrap/>
              <w:overflowPunct/>
              <w:topLinePunct w:val="0"/>
              <w:autoSpaceDE/>
              <w:autoSpaceDN/>
              <w:bidi w:val="0"/>
              <w:adjustRightInd/>
              <w:snapToGrid/>
              <w:spacing w:line="360" w:lineRule="exact"/>
              <w:ind w:left="114"/>
              <w:textAlignment w:val="auto"/>
              <w:rPr>
                <w:rFonts w:hint="eastAsia" w:ascii="宋体" w:hAnsi="宋体" w:eastAsia="宋体" w:cs="宋体"/>
                <w:color w:val="auto"/>
                <w:spacing w:val="18"/>
                <w:sz w:val="18"/>
                <w:szCs w:val="18"/>
                <w:highlight w:val="none"/>
                <w:lang w:val="en-US" w:eastAsia="zh-CN"/>
              </w:rPr>
            </w:pPr>
          </w:p>
        </w:tc>
        <w:tc>
          <w:tcPr>
            <w:tcW w:w="7981" w:type="dxa"/>
            <w:tcBorders>
              <w:left w:val="single" w:color="auto" w:sz="4" w:space="0"/>
            </w:tcBorders>
            <w:noWrap w:val="0"/>
            <w:vAlign w:val="top"/>
          </w:tcPr>
          <w:p w14:paraId="7D6D79C1">
            <w:pPr>
              <w:pStyle w:val="42"/>
              <w:keepNext w:val="0"/>
              <w:keepLines w:val="0"/>
              <w:pageBreakBefore w:val="0"/>
              <w:widowControl w:val="0"/>
              <w:kinsoku/>
              <w:wordWrap/>
              <w:overflowPunct/>
              <w:topLinePunct w:val="0"/>
              <w:autoSpaceDE/>
              <w:autoSpaceDN/>
              <w:bidi w:val="0"/>
              <w:adjustRightInd/>
              <w:snapToGrid/>
              <w:spacing w:line="360" w:lineRule="exact"/>
              <w:ind w:left="114"/>
              <w:jc w:val="both"/>
              <w:textAlignment w:val="auto"/>
              <w:rPr>
                <w:rFonts w:hint="default" w:ascii="宋体" w:hAnsi="宋体" w:eastAsia="宋体" w:cs="宋体"/>
                <w:color w:val="auto"/>
                <w:spacing w:val="18"/>
                <w:sz w:val="18"/>
                <w:szCs w:val="18"/>
                <w:highlight w:val="none"/>
                <w:lang w:val="en-US" w:eastAsia="zh-CN"/>
              </w:rPr>
            </w:pPr>
            <w:r>
              <w:rPr>
                <w:rFonts w:hint="eastAsia" w:cs="宋体"/>
                <w:color w:val="auto"/>
                <w:spacing w:val="18"/>
                <w:sz w:val="18"/>
                <w:szCs w:val="18"/>
                <w:highlight w:val="none"/>
                <w:lang w:val="en-US" w:eastAsia="zh-CN"/>
              </w:rPr>
              <w:t>4构件防腐与防火不符合设计要求</w:t>
            </w:r>
          </w:p>
        </w:tc>
        <w:tc>
          <w:tcPr>
            <w:tcW w:w="1364" w:type="dxa"/>
            <w:noWrap w:val="0"/>
            <w:vAlign w:val="center"/>
          </w:tcPr>
          <w:p w14:paraId="298A1224">
            <w:pPr>
              <w:keepNext w:val="0"/>
              <w:keepLines w:val="0"/>
              <w:pageBreakBefore w:val="0"/>
              <w:widowControl w:val="0"/>
              <w:kinsoku/>
              <w:wordWrap/>
              <w:overflowPunct/>
              <w:topLinePunct w:val="0"/>
              <w:autoSpaceDE/>
              <w:autoSpaceDN/>
              <w:bidi w:val="0"/>
              <w:adjustRightInd/>
              <w:snapToGrid/>
              <w:spacing w:line="360" w:lineRule="exact"/>
              <w:ind w:left="564" w:leftChars="0"/>
              <w:jc w:val="both"/>
              <w:textAlignment w:val="auto"/>
              <w:rPr>
                <w:rFonts w:hint="eastAsia" w:ascii="宋体" w:hAnsi="宋体" w:eastAsia="宋体" w:cs="宋体"/>
                <w:color w:val="auto"/>
                <w:spacing w:val="-5"/>
                <w:highlight w:val="none"/>
                <w:lang w:val="en-US" w:eastAsia="zh-CN"/>
              </w:rPr>
            </w:pPr>
            <w:r>
              <w:rPr>
                <w:rFonts w:hint="eastAsia" w:ascii="宋体" w:hAnsi="宋体" w:eastAsia="宋体" w:cs="宋体"/>
                <w:color w:val="auto"/>
                <w:spacing w:val="-5"/>
                <w:highlight w:val="none"/>
                <w:lang w:val="en-US" w:eastAsia="zh-CN"/>
              </w:rPr>
              <w:t>3</w:t>
            </w:r>
            <w:r>
              <w:rPr>
                <w:rFonts w:hint="eastAsia" w:ascii="宋体" w:hAnsi="宋体" w:eastAsia="宋体" w:cs="宋体"/>
                <w:color w:val="auto"/>
                <w:spacing w:val="-5"/>
                <w:highlight w:val="none"/>
              </w:rPr>
              <w:t>000</w:t>
            </w:r>
          </w:p>
        </w:tc>
      </w:tr>
      <w:tr w14:paraId="37049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630" w:type="dxa"/>
            <w:vMerge w:val="continue"/>
            <w:tcBorders>
              <w:left w:val="single" w:color="auto" w:sz="4" w:space="0"/>
            </w:tcBorders>
            <w:noWrap w:val="0"/>
            <w:vAlign w:val="center"/>
          </w:tcPr>
          <w:p w14:paraId="1A170815">
            <w:pPr>
              <w:pStyle w:val="42"/>
              <w:keepNext w:val="0"/>
              <w:keepLines w:val="0"/>
              <w:pageBreakBefore w:val="0"/>
              <w:widowControl w:val="0"/>
              <w:kinsoku/>
              <w:wordWrap/>
              <w:overflowPunct/>
              <w:topLinePunct w:val="0"/>
              <w:autoSpaceDE/>
              <w:autoSpaceDN/>
              <w:bidi w:val="0"/>
              <w:adjustRightInd/>
              <w:snapToGrid/>
              <w:spacing w:line="360" w:lineRule="exact"/>
              <w:ind w:left="114"/>
              <w:textAlignment w:val="auto"/>
              <w:rPr>
                <w:rFonts w:hint="eastAsia" w:ascii="宋体" w:hAnsi="宋体" w:eastAsia="宋体" w:cs="宋体"/>
                <w:color w:val="auto"/>
                <w:spacing w:val="18"/>
                <w:sz w:val="18"/>
                <w:szCs w:val="18"/>
                <w:highlight w:val="none"/>
                <w:lang w:val="en-US" w:eastAsia="zh-CN"/>
              </w:rPr>
            </w:pPr>
          </w:p>
        </w:tc>
        <w:tc>
          <w:tcPr>
            <w:tcW w:w="540" w:type="dxa"/>
            <w:vMerge w:val="continue"/>
            <w:tcBorders>
              <w:right w:val="single" w:color="auto" w:sz="4" w:space="0"/>
            </w:tcBorders>
            <w:noWrap w:val="0"/>
            <w:vAlign w:val="center"/>
          </w:tcPr>
          <w:p w14:paraId="74B2A5DD">
            <w:pPr>
              <w:pStyle w:val="42"/>
              <w:keepNext w:val="0"/>
              <w:keepLines w:val="0"/>
              <w:pageBreakBefore w:val="0"/>
              <w:widowControl w:val="0"/>
              <w:kinsoku/>
              <w:wordWrap/>
              <w:overflowPunct/>
              <w:topLinePunct w:val="0"/>
              <w:autoSpaceDE/>
              <w:autoSpaceDN/>
              <w:bidi w:val="0"/>
              <w:adjustRightInd/>
              <w:snapToGrid/>
              <w:spacing w:line="360" w:lineRule="exact"/>
              <w:ind w:left="114"/>
              <w:textAlignment w:val="auto"/>
              <w:rPr>
                <w:rFonts w:hint="eastAsia" w:ascii="宋体" w:hAnsi="宋体" w:eastAsia="宋体" w:cs="宋体"/>
                <w:color w:val="auto"/>
                <w:spacing w:val="18"/>
                <w:sz w:val="18"/>
                <w:szCs w:val="18"/>
                <w:highlight w:val="none"/>
                <w:lang w:val="en-US" w:eastAsia="zh-CN"/>
              </w:rPr>
            </w:pPr>
          </w:p>
        </w:tc>
        <w:tc>
          <w:tcPr>
            <w:tcW w:w="7981" w:type="dxa"/>
            <w:tcBorders>
              <w:left w:val="single" w:color="auto" w:sz="4" w:space="0"/>
            </w:tcBorders>
            <w:noWrap w:val="0"/>
            <w:vAlign w:val="top"/>
          </w:tcPr>
          <w:p w14:paraId="0B43AE22">
            <w:pPr>
              <w:pStyle w:val="42"/>
              <w:keepNext w:val="0"/>
              <w:keepLines w:val="0"/>
              <w:pageBreakBefore w:val="0"/>
              <w:widowControl w:val="0"/>
              <w:kinsoku/>
              <w:wordWrap/>
              <w:overflowPunct/>
              <w:topLinePunct w:val="0"/>
              <w:autoSpaceDE/>
              <w:autoSpaceDN/>
              <w:bidi w:val="0"/>
              <w:adjustRightInd/>
              <w:snapToGrid/>
              <w:spacing w:line="360" w:lineRule="exact"/>
              <w:ind w:left="114"/>
              <w:jc w:val="both"/>
              <w:textAlignment w:val="auto"/>
              <w:rPr>
                <w:rFonts w:hint="eastAsia" w:cs="宋体"/>
                <w:color w:val="auto"/>
                <w:spacing w:val="18"/>
                <w:sz w:val="18"/>
                <w:szCs w:val="18"/>
                <w:highlight w:val="none"/>
                <w:lang w:val="en-US" w:eastAsia="zh-CN"/>
              </w:rPr>
            </w:pPr>
            <w:r>
              <w:rPr>
                <w:rFonts w:hint="eastAsia" w:cs="宋体"/>
                <w:color w:val="auto"/>
                <w:spacing w:val="18"/>
                <w:sz w:val="18"/>
                <w:szCs w:val="18"/>
                <w:highlight w:val="none"/>
                <w:lang w:val="en-US" w:eastAsia="zh-CN"/>
              </w:rPr>
              <w:t>5钢材性能核验不符合设计要求</w:t>
            </w:r>
          </w:p>
        </w:tc>
        <w:tc>
          <w:tcPr>
            <w:tcW w:w="1364" w:type="dxa"/>
            <w:noWrap w:val="0"/>
            <w:vAlign w:val="center"/>
          </w:tcPr>
          <w:p w14:paraId="395E970D">
            <w:pPr>
              <w:keepNext w:val="0"/>
              <w:keepLines w:val="0"/>
              <w:pageBreakBefore w:val="0"/>
              <w:widowControl w:val="0"/>
              <w:kinsoku/>
              <w:wordWrap/>
              <w:overflowPunct/>
              <w:topLinePunct w:val="0"/>
              <w:autoSpaceDE/>
              <w:autoSpaceDN/>
              <w:bidi w:val="0"/>
              <w:adjustRightInd/>
              <w:snapToGrid/>
              <w:spacing w:line="360" w:lineRule="exact"/>
              <w:ind w:left="564" w:leftChars="0"/>
              <w:jc w:val="both"/>
              <w:textAlignment w:val="auto"/>
              <w:rPr>
                <w:rFonts w:hint="eastAsia" w:ascii="宋体" w:hAnsi="宋体" w:eastAsia="宋体" w:cs="宋体"/>
                <w:color w:val="auto"/>
                <w:spacing w:val="-5"/>
                <w:highlight w:val="none"/>
                <w:lang w:val="en-US" w:eastAsia="zh-CN"/>
              </w:rPr>
            </w:pPr>
            <w:r>
              <w:rPr>
                <w:rFonts w:hint="eastAsia" w:ascii="宋体" w:hAnsi="宋体" w:eastAsia="宋体" w:cs="宋体"/>
                <w:color w:val="auto"/>
                <w:spacing w:val="-5"/>
                <w:highlight w:val="none"/>
                <w:lang w:val="en-US" w:eastAsia="zh-CN"/>
              </w:rPr>
              <w:t>3</w:t>
            </w:r>
            <w:r>
              <w:rPr>
                <w:rFonts w:hint="eastAsia" w:ascii="宋体" w:hAnsi="宋体" w:eastAsia="宋体" w:cs="宋体"/>
                <w:color w:val="auto"/>
                <w:spacing w:val="-5"/>
                <w:highlight w:val="none"/>
              </w:rPr>
              <w:t>000</w:t>
            </w:r>
          </w:p>
        </w:tc>
      </w:tr>
      <w:tr w14:paraId="552DC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630" w:type="dxa"/>
            <w:vMerge w:val="continue"/>
            <w:tcBorders>
              <w:left w:val="single" w:color="auto" w:sz="4" w:space="0"/>
              <w:bottom w:val="single" w:color="auto" w:sz="4" w:space="0"/>
            </w:tcBorders>
            <w:noWrap w:val="0"/>
            <w:vAlign w:val="center"/>
          </w:tcPr>
          <w:p w14:paraId="64C8A522">
            <w:pPr>
              <w:pStyle w:val="42"/>
              <w:keepNext w:val="0"/>
              <w:keepLines w:val="0"/>
              <w:pageBreakBefore w:val="0"/>
              <w:widowControl w:val="0"/>
              <w:kinsoku/>
              <w:wordWrap/>
              <w:overflowPunct/>
              <w:topLinePunct w:val="0"/>
              <w:autoSpaceDE/>
              <w:autoSpaceDN/>
              <w:bidi w:val="0"/>
              <w:adjustRightInd/>
              <w:snapToGrid/>
              <w:spacing w:line="360" w:lineRule="exact"/>
              <w:ind w:left="114"/>
              <w:textAlignment w:val="auto"/>
              <w:rPr>
                <w:rFonts w:hint="eastAsia" w:ascii="宋体" w:hAnsi="宋体" w:eastAsia="宋体" w:cs="宋体"/>
                <w:color w:val="auto"/>
                <w:spacing w:val="18"/>
                <w:sz w:val="18"/>
                <w:szCs w:val="18"/>
                <w:highlight w:val="none"/>
                <w:lang w:val="en-US" w:eastAsia="zh-CN"/>
              </w:rPr>
            </w:pPr>
          </w:p>
        </w:tc>
        <w:tc>
          <w:tcPr>
            <w:tcW w:w="540" w:type="dxa"/>
            <w:vMerge w:val="continue"/>
            <w:tcBorders>
              <w:bottom w:val="single" w:color="auto" w:sz="4" w:space="0"/>
              <w:right w:val="single" w:color="auto" w:sz="4" w:space="0"/>
            </w:tcBorders>
            <w:noWrap w:val="0"/>
            <w:vAlign w:val="center"/>
          </w:tcPr>
          <w:p w14:paraId="4C37302C">
            <w:pPr>
              <w:pStyle w:val="42"/>
              <w:keepNext w:val="0"/>
              <w:keepLines w:val="0"/>
              <w:pageBreakBefore w:val="0"/>
              <w:widowControl w:val="0"/>
              <w:kinsoku/>
              <w:wordWrap/>
              <w:overflowPunct/>
              <w:topLinePunct w:val="0"/>
              <w:autoSpaceDE/>
              <w:autoSpaceDN/>
              <w:bidi w:val="0"/>
              <w:adjustRightInd/>
              <w:snapToGrid/>
              <w:spacing w:line="360" w:lineRule="exact"/>
              <w:ind w:left="114"/>
              <w:textAlignment w:val="auto"/>
              <w:rPr>
                <w:rFonts w:hint="eastAsia" w:ascii="宋体" w:hAnsi="宋体" w:eastAsia="宋体" w:cs="宋体"/>
                <w:color w:val="auto"/>
                <w:spacing w:val="18"/>
                <w:sz w:val="18"/>
                <w:szCs w:val="18"/>
                <w:highlight w:val="none"/>
                <w:lang w:val="en-US" w:eastAsia="zh-CN"/>
              </w:rPr>
            </w:pPr>
          </w:p>
        </w:tc>
        <w:tc>
          <w:tcPr>
            <w:tcW w:w="7981" w:type="dxa"/>
            <w:tcBorders>
              <w:left w:val="single" w:color="auto" w:sz="4" w:space="0"/>
            </w:tcBorders>
            <w:noWrap w:val="0"/>
            <w:vAlign w:val="top"/>
          </w:tcPr>
          <w:p w14:paraId="7D6FB9B8">
            <w:pPr>
              <w:pStyle w:val="42"/>
              <w:keepNext w:val="0"/>
              <w:keepLines w:val="0"/>
              <w:pageBreakBefore w:val="0"/>
              <w:widowControl w:val="0"/>
              <w:kinsoku/>
              <w:wordWrap/>
              <w:overflowPunct/>
              <w:topLinePunct w:val="0"/>
              <w:autoSpaceDE/>
              <w:autoSpaceDN/>
              <w:bidi w:val="0"/>
              <w:adjustRightInd/>
              <w:snapToGrid/>
              <w:spacing w:line="360" w:lineRule="exact"/>
              <w:ind w:left="114"/>
              <w:jc w:val="both"/>
              <w:textAlignment w:val="auto"/>
              <w:rPr>
                <w:rFonts w:hint="eastAsia" w:cs="宋体"/>
                <w:color w:val="auto"/>
                <w:spacing w:val="18"/>
                <w:sz w:val="18"/>
                <w:szCs w:val="18"/>
                <w:highlight w:val="none"/>
                <w:lang w:val="en-US" w:eastAsia="zh-CN"/>
              </w:rPr>
            </w:pPr>
            <w:r>
              <w:rPr>
                <w:rFonts w:hint="eastAsia" w:cs="宋体"/>
                <w:color w:val="auto"/>
                <w:spacing w:val="18"/>
                <w:sz w:val="18"/>
                <w:szCs w:val="18"/>
                <w:highlight w:val="none"/>
                <w:lang w:val="en-US" w:eastAsia="zh-CN"/>
              </w:rPr>
              <w:t>6构件预埋位置不符合设计要求</w:t>
            </w:r>
          </w:p>
        </w:tc>
        <w:tc>
          <w:tcPr>
            <w:tcW w:w="1364" w:type="dxa"/>
            <w:noWrap w:val="0"/>
            <w:vAlign w:val="center"/>
          </w:tcPr>
          <w:p w14:paraId="49731E24">
            <w:pPr>
              <w:keepNext w:val="0"/>
              <w:keepLines w:val="0"/>
              <w:pageBreakBefore w:val="0"/>
              <w:widowControl w:val="0"/>
              <w:kinsoku/>
              <w:wordWrap/>
              <w:overflowPunct/>
              <w:topLinePunct w:val="0"/>
              <w:autoSpaceDE/>
              <w:autoSpaceDN/>
              <w:bidi w:val="0"/>
              <w:adjustRightInd/>
              <w:snapToGrid/>
              <w:spacing w:line="360" w:lineRule="exact"/>
              <w:ind w:left="564" w:leftChars="0"/>
              <w:jc w:val="both"/>
              <w:textAlignment w:val="auto"/>
              <w:rPr>
                <w:rFonts w:hint="eastAsia" w:ascii="宋体" w:hAnsi="宋体" w:eastAsia="宋体" w:cs="宋体"/>
                <w:color w:val="auto"/>
                <w:spacing w:val="-5"/>
                <w:highlight w:val="none"/>
                <w:lang w:val="en-US" w:eastAsia="zh-CN"/>
              </w:rPr>
            </w:pPr>
            <w:r>
              <w:rPr>
                <w:rFonts w:hint="eastAsia" w:ascii="宋体" w:hAnsi="宋体" w:eastAsia="宋体" w:cs="宋体"/>
                <w:color w:val="auto"/>
                <w:spacing w:val="-5"/>
                <w:highlight w:val="none"/>
                <w:lang w:val="en-US" w:eastAsia="zh-CN"/>
              </w:rPr>
              <w:t>3</w:t>
            </w:r>
            <w:r>
              <w:rPr>
                <w:rFonts w:hint="eastAsia" w:ascii="宋体" w:hAnsi="宋体" w:eastAsia="宋体" w:cs="宋体"/>
                <w:color w:val="auto"/>
                <w:spacing w:val="-5"/>
                <w:highlight w:val="none"/>
              </w:rPr>
              <w:t>000</w:t>
            </w:r>
          </w:p>
        </w:tc>
      </w:tr>
    </w:tbl>
    <w:p w14:paraId="739022FF">
      <w:pPr>
        <w:pStyle w:val="19"/>
        <w:ind w:left="0" w:leftChars="0" w:firstLine="0" w:firstLineChars="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en-US" w:eastAsia="zh-CN"/>
        </w:rPr>
        <w:t>14.1</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.3</w:t>
      </w:r>
      <w:r>
        <w:rPr>
          <w:rFonts w:hint="eastAsia" w:ascii="宋体" w:hAnsi="宋体" w:eastAsia="宋体" w:cs="宋体"/>
          <w:b/>
          <w:bCs/>
          <w:color w:val="auto"/>
          <w:spacing w:val="-3"/>
          <w:sz w:val="21"/>
          <w:szCs w:val="21"/>
          <w:highlight w:val="none"/>
        </w:rPr>
        <w:t>建筑装饰装修工程履责行为违约金支付标准</w:t>
      </w:r>
    </w:p>
    <w:tbl>
      <w:tblPr>
        <w:tblStyle w:val="43"/>
        <w:tblW w:w="10453" w:type="dxa"/>
        <w:tblInd w:w="-9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035"/>
        <w:gridCol w:w="7043"/>
        <w:gridCol w:w="1760"/>
      </w:tblGrid>
      <w:tr w14:paraId="6BD8B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615" w:type="dxa"/>
            <w:noWrap w:val="0"/>
            <w:vAlign w:val="center"/>
          </w:tcPr>
          <w:p w14:paraId="1EC15EB1">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rPr>
              <w:t>序号</w:t>
            </w:r>
          </w:p>
        </w:tc>
        <w:tc>
          <w:tcPr>
            <w:tcW w:w="1035" w:type="dxa"/>
            <w:noWrap w:val="0"/>
            <w:vAlign w:val="center"/>
          </w:tcPr>
          <w:p w14:paraId="3CDE865B">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lang w:eastAsia="zh-CN"/>
              </w:rPr>
            </w:pPr>
            <w:r>
              <w:rPr>
                <w:rFonts w:hint="eastAsia" w:ascii="宋体" w:hAnsi="宋体" w:eastAsia="宋体" w:cs="宋体"/>
                <w:color w:val="auto"/>
                <w:spacing w:val="18"/>
                <w:sz w:val="21"/>
                <w:szCs w:val="21"/>
                <w:highlight w:val="none"/>
                <w:lang w:val="en-US" w:eastAsia="zh-CN"/>
              </w:rPr>
              <w:t>检查项目</w:t>
            </w:r>
          </w:p>
        </w:tc>
        <w:tc>
          <w:tcPr>
            <w:tcW w:w="7043" w:type="dxa"/>
            <w:noWrap w:val="0"/>
            <w:vAlign w:val="center"/>
          </w:tcPr>
          <w:p w14:paraId="4710DC54">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lang w:val="en-US" w:eastAsia="zh-CN"/>
              </w:rPr>
            </w:pPr>
            <w:r>
              <w:rPr>
                <w:rFonts w:hint="eastAsia" w:ascii="宋体" w:hAnsi="宋体" w:eastAsia="宋体" w:cs="宋体"/>
                <w:color w:val="auto"/>
                <w:spacing w:val="18"/>
                <w:sz w:val="21"/>
                <w:szCs w:val="21"/>
                <w:highlight w:val="none"/>
                <w:lang w:val="en-US" w:eastAsia="zh-CN"/>
              </w:rPr>
              <w:t>检查内容</w:t>
            </w:r>
          </w:p>
        </w:tc>
        <w:tc>
          <w:tcPr>
            <w:tcW w:w="1760" w:type="dxa"/>
            <w:noWrap w:val="0"/>
            <w:vAlign w:val="center"/>
          </w:tcPr>
          <w:p w14:paraId="29771115">
            <w:pPr>
              <w:pStyle w:val="42"/>
              <w:keepNext w:val="0"/>
              <w:keepLines w:val="0"/>
              <w:pageBreakBefore w:val="0"/>
              <w:widowControl w:val="0"/>
              <w:kinsoku/>
              <w:wordWrap/>
              <w:overflowPunct/>
              <w:topLinePunct w:val="0"/>
              <w:autoSpaceDE/>
              <w:autoSpaceDN/>
              <w:bidi w:val="0"/>
              <w:adjustRightInd/>
              <w:snapToGrid/>
              <w:spacing w:line="360" w:lineRule="exact"/>
              <w:ind w:left="246" w:right="227" w:firstLine="124"/>
              <w:jc w:val="center"/>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2"/>
                <w:sz w:val="21"/>
                <w:szCs w:val="21"/>
                <w:highlight w:val="none"/>
              </w:rPr>
              <w:t>违约金额</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3"/>
                <w:sz w:val="21"/>
                <w:szCs w:val="21"/>
                <w:highlight w:val="none"/>
              </w:rPr>
              <w:t>（元/条.人.</w:t>
            </w:r>
            <w:r>
              <w:rPr>
                <w:rFonts w:hint="eastAsia" w:ascii="宋体" w:hAnsi="宋体" w:eastAsia="宋体" w:cs="宋体"/>
                <w:color w:val="auto"/>
                <w:spacing w:val="-6"/>
                <w:sz w:val="21"/>
                <w:szCs w:val="21"/>
                <w:highlight w:val="none"/>
              </w:rPr>
              <w:t>处）</w:t>
            </w:r>
          </w:p>
        </w:tc>
      </w:tr>
      <w:tr w14:paraId="2B101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615" w:type="dxa"/>
            <w:vMerge w:val="restart"/>
            <w:tcBorders>
              <w:bottom w:val="nil"/>
            </w:tcBorders>
            <w:noWrap w:val="0"/>
            <w:vAlign w:val="center"/>
          </w:tcPr>
          <w:p w14:paraId="30F9955F">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rPr>
              <w:t>1</w:t>
            </w:r>
          </w:p>
        </w:tc>
        <w:tc>
          <w:tcPr>
            <w:tcW w:w="1035" w:type="dxa"/>
            <w:vMerge w:val="restart"/>
            <w:tcBorders>
              <w:bottom w:val="nil"/>
            </w:tcBorders>
            <w:noWrap w:val="0"/>
            <w:vAlign w:val="center"/>
          </w:tcPr>
          <w:p w14:paraId="22178A32">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rPr>
              <w:t>建筑地面工程</w:t>
            </w:r>
          </w:p>
        </w:tc>
        <w:tc>
          <w:tcPr>
            <w:tcW w:w="7043" w:type="dxa"/>
            <w:noWrap w:val="0"/>
            <w:vAlign w:val="top"/>
          </w:tcPr>
          <w:p w14:paraId="06A54BA5">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both"/>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rPr>
              <w:t>板块地面：天然石材地面色泽、纹理不协调，泛碱、断裂，地面砖爆裂拱起， 板块类地面空鼓等</w:t>
            </w:r>
          </w:p>
        </w:tc>
        <w:tc>
          <w:tcPr>
            <w:tcW w:w="1760" w:type="dxa"/>
            <w:noWrap w:val="0"/>
            <w:vAlign w:val="center"/>
          </w:tcPr>
          <w:p w14:paraId="70336EA4">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lang w:val="en-US" w:eastAsia="zh-CN"/>
              </w:rPr>
            </w:pPr>
            <w:r>
              <w:rPr>
                <w:rFonts w:hint="eastAsia" w:ascii="宋体" w:hAnsi="宋体" w:eastAsia="宋体" w:cs="宋体"/>
                <w:color w:val="auto"/>
                <w:spacing w:val="18"/>
                <w:sz w:val="21"/>
                <w:szCs w:val="21"/>
                <w:highlight w:val="none"/>
                <w:lang w:val="en-US" w:eastAsia="zh-CN"/>
              </w:rPr>
              <w:t>1000</w:t>
            </w:r>
          </w:p>
        </w:tc>
      </w:tr>
      <w:tr w14:paraId="4C558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615" w:type="dxa"/>
            <w:vMerge w:val="continue"/>
            <w:tcBorders>
              <w:top w:val="nil"/>
            </w:tcBorders>
            <w:noWrap w:val="0"/>
            <w:vAlign w:val="center"/>
          </w:tcPr>
          <w:p w14:paraId="13C21F41">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p>
        </w:tc>
        <w:tc>
          <w:tcPr>
            <w:tcW w:w="1035" w:type="dxa"/>
            <w:vMerge w:val="continue"/>
            <w:tcBorders>
              <w:top w:val="nil"/>
            </w:tcBorders>
            <w:noWrap w:val="0"/>
            <w:vAlign w:val="center"/>
          </w:tcPr>
          <w:p w14:paraId="01D7FA67">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p>
        </w:tc>
        <w:tc>
          <w:tcPr>
            <w:tcW w:w="7043" w:type="dxa"/>
            <w:noWrap w:val="0"/>
            <w:vAlign w:val="top"/>
          </w:tcPr>
          <w:p w14:paraId="0B5E1F44">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both"/>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rPr>
              <w:t>不同材质收口不美观</w:t>
            </w:r>
          </w:p>
        </w:tc>
        <w:tc>
          <w:tcPr>
            <w:tcW w:w="1760" w:type="dxa"/>
            <w:noWrap w:val="0"/>
            <w:vAlign w:val="center"/>
          </w:tcPr>
          <w:p w14:paraId="11748F86">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lang w:val="en-US" w:eastAsia="zh-CN"/>
              </w:rPr>
              <w:t>1000</w:t>
            </w:r>
          </w:p>
        </w:tc>
      </w:tr>
      <w:tr w14:paraId="5F92B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615" w:type="dxa"/>
            <w:vMerge w:val="restart"/>
            <w:tcBorders>
              <w:bottom w:val="nil"/>
            </w:tcBorders>
            <w:noWrap w:val="0"/>
            <w:vAlign w:val="center"/>
          </w:tcPr>
          <w:p w14:paraId="57A548E9">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rPr>
              <w:t>2</w:t>
            </w:r>
          </w:p>
        </w:tc>
        <w:tc>
          <w:tcPr>
            <w:tcW w:w="1035" w:type="dxa"/>
            <w:vMerge w:val="restart"/>
            <w:tcBorders>
              <w:bottom w:val="nil"/>
            </w:tcBorders>
            <w:noWrap w:val="0"/>
            <w:vAlign w:val="center"/>
          </w:tcPr>
          <w:p w14:paraId="238BAB1B">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rPr>
              <w:t>抹灰工程</w:t>
            </w:r>
          </w:p>
        </w:tc>
        <w:tc>
          <w:tcPr>
            <w:tcW w:w="7043" w:type="dxa"/>
            <w:noWrap w:val="0"/>
            <w:vAlign w:val="top"/>
          </w:tcPr>
          <w:p w14:paraId="3C26633C">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both"/>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rPr>
              <w:t>一般抹灰：抹灰层脱层、空鼓，面层爆灰、裂缝、表面不平整、接槎和抹纹明 显等</w:t>
            </w:r>
          </w:p>
        </w:tc>
        <w:tc>
          <w:tcPr>
            <w:tcW w:w="1760" w:type="dxa"/>
            <w:noWrap w:val="0"/>
            <w:vAlign w:val="center"/>
          </w:tcPr>
          <w:p w14:paraId="5E3D62B0">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lang w:val="en-US" w:eastAsia="zh-CN"/>
              </w:rPr>
              <w:t>1000</w:t>
            </w:r>
          </w:p>
        </w:tc>
      </w:tr>
      <w:tr w14:paraId="6EB8A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615" w:type="dxa"/>
            <w:vMerge w:val="continue"/>
            <w:tcBorders>
              <w:top w:val="nil"/>
            </w:tcBorders>
            <w:noWrap w:val="0"/>
            <w:vAlign w:val="center"/>
          </w:tcPr>
          <w:p w14:paraId="6C670BB2">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p>
        </w:tc>
        <w:tc>
          <w:tcPr>
            <w:tcW w:w="1035" w:type="dxa"/>
            <w:vMerge w:val="continue"/>
            <w:tcBorders>
              <w:top w:val="nil"/>
            </w:tcBorders>
            <w:noWrap w:val="0"/>
            <w:vAlign w:val="center"/>
          </w:tcPr>
          <w:p w14:paraId="62C10DF5">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p>
        </w:tc>
        <w:tc>
          <w:tcPr>
            <w:tcW w:w="7043" w:type="dxa"/>
            <w:noWrap w:val="0"/>
            <w:vAlign w:val="top"/>
          </w:tcPr>
          <w:p w14:paraId="162A7717">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both"/>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rPr>
              <w:t>装饰抹灰：除一般抹灰存在的缺陷外，还存在色差、掉角、脱皮等</w:t>
            </w:r>
          </w:p>
        </w:tc>
        <w:tc>
          <w:tcPr>
            <w:tcW w:w="1760" w:type="dxa"/>
            <w:noWrap w:val="0"/>
            <w:vAlign w:val="center"/>
          </w:tcPr>
          <w:p w14:paraId="7F2C027A">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lang w:val="en-US" w:eastAsia="zh-CN"/>
              </w:rPr>
              <w:t>1000</w:t>
            </w:r>
          </w:p>
        </w:tc>
      </w:tr>
      <w:tr w14:paraId="47FBD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615" w:type="dxa"/>
            <w:vMerge w:val="restart"/>
            <w:tcBorders>
              <w:bottom w:val="nil"/>
            </w:tcBorders>
            <w:noWrap w:val="0"/>
            <w:vAlign w:val="center"/>
          </w:tcPr>
          <w:p w14:paraId="3C30E665">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rPr>
              <w:t>3</w:t>
            </w:r>
          </w:p>
        </w:tc>
        <w:tc>
          <w:tcPr>
            <w:tcW w:w="1035" w:type="dxa"/>
            <w:vMerge w:val="restart"/>
            <w:tcBorders>
              <w:bottom w:val="nil"/>
            </w:tcBorders>
            <w:noWrap w:val="0"/>
            <w:vAlign w:val="center"/>
          </w:tcPr>
          <w:p w14:paraId="01CF8DF5">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rPr>
              <w:t>门窗工程</w:t>
            </w:r>
          </w:p>
        </w:tc>
        <w:tc>
          <w:tcPr>
            <w:tcW w:w="7043" w:type="dxa"/>
            <w:noWrap w:val="0"/>
            <w:vAlign w:val="top"/>
          </w:tcPr>
          <w:p w14:paraId="3C131CA3">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both"/>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rPr>
              <w:t>木门窗：安装不牢固、开关不灵活、关闭不严密、安装留缝、倒翘等</w:t>
            </w:r>
          </w:p>
        </w:tc>
        <w:tc>
          <w:tcPr>
            <w:tcW w:w="1760" w:type="dxa"/>
            <w:noWrap w:val="0"/>
            <w:vAlign w:val="center"/>
          </w:tcPr>
          <w:p w14:paraId="1758E2CF">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lang w:val="en-US" w:eastAsia="zh-CN"/>
              </w:rPr>
              <w:t>1000</w:t>
            </w:r>
          </w:p>
        </w:tc>
      </w:tr>
      <w:tr w14:paraId="3A37D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15" w:type="dxa"/>
            <w:vMerge w:val="continue"/>
            <w:tcBorders>
              <w:top w:val="nil"/>
            </w:tcBorders>
            <w:noWrap w:val="0"/>
            <w:vAlign w:val="center"/>
          </w:tcPr>
          <w:p w14:paraId="3A6B0F01">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p>
        </w:tc>
        <w:tc>
          <w:tcPr>
            <w:tcW w:w="1035" w:type="dxa"/>
            <w:vMerge w:val="continue"/>
            <w:tcBorders>
              <w:top w:val="nil"/>
            </w:tcBorders>
            <w:noWrap w:val="0"/>
            <w:vAlign w:val="center"/>
          </w:tcPr>
          <w:p w14:paraId="124D8230">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p>
        </w:tc>
        <w:tc>
          <w:tcPr>
            <w:tcW w:w="7043" w:type="dxa"/>
            <w:noWrap w:val="0"/>
            <w:vAlign w:val="top"/>
          </w:tcPr>
          <w:p w14:paraId="2F1C3908">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both"/>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rPr>
              <w:t>五金安装槽口不整齐，松动</w:t>
            </w:r>
          </w:p>
        </w:tc>
        <w:tc>
          <w:tcPr>
            <w:tcW w:w="1760" w:type="dxa"/>
            <w:noWrap w:val="0"/>
            <w:vAlign w:val="center"/>
          </w:tcPr>
          <w:p w14:paraId="298F65A8">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lang w:val="en-US"/>
              </w:rPr>
            </w:pPr>
            <w:r>
              <w:rPr>
                <w:rFonts w:hint="eastAsia" w:ascii="宋体" w:hAnsi="宋体" w:eastAsia="宋体" w:cs="宋体"/>
                <w:color w:val="auto"/>
                <w:spacing w:val="18"/>
                <w:sz w:val="21"/>
                <w:szCs w:val="21"/>
                <w:highlight w:val="none"/>
                <w:lang w:val="en-US" w:eastAsia="zh-CN"/>
              </w:rPr>
              <w:t>1000</w:t>
            </w:r>
          </w:p>
        </w:tc>
      </w:tr>
      <w:tr w14:paraId="77F66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615" w:type="dxa"/>
            <w:vMerge w:val="restart"/>
            <w:tcBorders>
              <w:bottom w:val="nil"/>
            </w:tcBorders>
            <w:noWrap w:val="0"/>
            <w:vAlign w:val="center"/>
          </w:tcPr>
          <w:p w14:paraId="13D8945A">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rPr>
              <w:t>4</w:t>
            </w:r>
          </w:p>
        </w:tc>
        <w:tc>
          <w:tcPr>
            <w:tcW w:w="1035" w:type="dxa"/>
            <w:vMerge w:val="restart"/>
            <w:tcBorders>
              <w:bottom w:val="nil"/>
            </w:tcBorders>
            <w:noWrap w:val="0"/>
            <w:vAlign w:val="center"/>
          </w:tcPr>
          <w:p w14:paraId="030E1FEF">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rPr>
              <w:t>吊顶工程</w:t>
            </w:r>
          </w:p>
        </w:tc>
        <w:tc>
          <w:tcPr>
            <w:tcW w:w="7043" w:type="dxa"/>
            <w:noWrap w:val="0"/>
            <w:vAlign w:val="top"/>
          </w:tcPr>
          <w:p w14:paraId="1BB4871B">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both"/>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rPr>
              <w:t>吊顶饰面开裂、不平整</w:t>
            </w:r>
          </w:p>
        </w:tc>
        <w:tc>
          <w:tcPr>
            <w:tcW w:w="1760" w:type="dxa"/>
            <w:noWrap w:val="0"/>
            <w:vAlign w:val="center"/>
          </w:tcPr>
          <w:p w14:paraId="483EB66D">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lang w:val="en-US" w:eastAsia="zh-CN"/>
              </w:rPr>
              <w:t>1000</w:t>
            </w:r>
          </w:p>
        </w:tc>
      </w:tr>
      <w:tr w14:paraId="69649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15" w:type="dxa"/>
            <w:vMerge w:val="continue"/>
            <w:tcBorders>
              <w:top w:val="nil"/>
            </w:tcBorders>
            <w:noWrap w:val="0"/>
            <w:vAlign w:val="center"/>
          </w:tcPr>
          <w:p w14:paraId="6BF7C1C9">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p>
        </w:tc>
        <w:tc>
          <w:tcPr>
            <w:tcW w:w="1035" w:type="dxa"/>
            <w:vMerge w:val="continue"/>
            <w:tcBorders>
              <w:top w:val="nil"/>
            </w:tcBorders>
            <w:noWrap w:val="0"/>
            <w:vAlign w:val="center"/>
          </w:tcPr>
          <w:p w14:paraId="40951092">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p>
        </w:tc>
        <w:tc>
          <w:tcPr>
            <w:tcW w:w="7043" w:type="dxa"/>
            <w:noWrap w:val="0"/>
            <w:vAlign w:val="top"/>
          </w:tcPr>
          <w:p w14:paraId="467BC2AB">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both"/>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rPr>
              <w:t>检修口、设备衔接口不顺直、吻合，接缝明显、开孔混乱</w:t>
            </w:r>
          </w:p>
        </w:tc>
        <w:tc>
          <w:tcPr>
            <w:tcW w:w="1760" w:type="dxa"/>
            <w:noWrap w:val="0"/>
            <w:vAlign w:val="center"/>
          </w:tcPr>
          <w:p w14:paraId="70DFAD1C">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lang w:val="en-US" w:eastAsia="zh-CN"/>
              </w:rPr>
              <w:t>1000</w:t>
            </w:r>
          </w:p>
        </w:tc>
      </w:tr>
      <w:tr w14:paraId="2F335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615" w:type="dxa"/>
            <w:noWrap w:val="0"/>
            <w:vAlign w:val="center"/>
          </w:tcPr>
          <w:p w14:paraId="12E8F640">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rPr>
              <w:t>5</w:t>
            </w:r>
          </w:p>
        </w:tc>
        <w:tc>
          <w:tcPr>
            <w:tcW w:w="1035" w:type="dxa"/>
            <w:noWrap w:val="0"/>
            <w:vAlign w:val="center"/>
          </w:tcPr>
          <w:p w14:paraId="1985AF7F">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rPr>
              <w:t>轻质隔墙工程</w:t>
            </w:r>
          </w:p>
        </w:tc>
        <w:tc>
          <w:tcPr>
            <w:tcW w:w="7043" w:type="dxa"/>
            <w:noWrap w:val="0"/>
            <w:vAlign w:val="top"/>
          </w:tcPr>
          <w:p w14:paraId="4EE34511">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both"/>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rPr>
              <w:t>墙板材安装不牢固、脱层、翘曲，接缝有裂缝或缺损、表面不平整等</w:t>
            </w:r>
          </w:p>
        </w:tc>
        <w:tc>
          <w:tcPr>
            <w:tcW w:w="1760" w:type="dxa"/>
            <w:noWrap w:val="0"/>
            <w:vAlign w:val="center"/>
          </w:tcPr>
          <w:p w14:paraId="22AE37CD">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lang w:val="en-US" w:eastAsia="zh-CN"/>
              </w:rPr>
              <w:t>1000</w:t>
            </w:r>
          </w:p>
        </w:tc>
      </w:tr>
      <w:tr w14:paraId="57662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615" w:type="dxa"/>
            <w:noWrap w:val="0"/>
            <w:vAlign w:val="center"/>
          </w:tcPr>
          <w:p w14:paraId="5E02EFD3">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rPr>
              <w:t>6</w:t>
            </w:r>
          </w:p>
        </w:tc>
        <w:tc>
          <w:tcPr>
            <w:tcW w:w="1035" w:type="dxa"/>
            <w:noWrap w:val="0"/>
            <w:vAlign w:val="center"/>
          </w:tcPr>
          <w:p w14:paraId="226B3CBB">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rPr>
              <w:t>饰面板(砖)工程</w:t>
            </w:r>
          </w:p>
        </w:tc>
        <w:tc>
          <w:tcPr>
            <w:tcW w:w="7043" w:type="dxa"/>
            <w:noWrap w:val="0"/>
            <w:vAlign w:val="top"/>
          </w:tcPr>
          <w:p w14:paraId="0D036EEC">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both"/>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rPr>
              <w:t>饰面板(砖)空鼓、脱落</w:t>
            </w:r>
          </w:p>
        </w:tc>
        <w:tc>
          <w:tcPr>
            <w:tcW w:w="1760" w:type="dxa"/>
            <w:noWrap w:val="0"/>
            <w:vAlign w:val="center"/>
          </w:tcPr>
          <w:p w14:paraId="6723E327">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lang w:val="en-US" w:eastAsia="zh-CN"/>
              </w:rPr>
              <w:t>1000</w:t>
            </w:r>
          </w:p>
        </w:tc>
      </w:tr>
      <w:tr w14:paraId="3D531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615" w:type="dxa"/>
            <w:noWrap w:val="0"/>
            <w:vAlign w:val="center"/>
          </w:tcPr>
          <w:p w14:paraId="09B60B87">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rPr>
              <w:t>7</w:t>
            </w:r>
          </w:p>
        </w:tc>
        <w:tc>
          <w:tcPr>
            <w:tcW w:w="1035" w:type="dxa"/>
            <w:noWrap w:val="0"/>
            <w:vAlign w:val="center"/>
          </w:tcPr>
          <w:p w14:paraId="541B1915">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rPr>
              <w:t>涂饰工程</w:t>
            </w:r>
          </w:p>
        </w:tc>
        <w:tc>
          <w:tcPr>
            <w:tcW w:w="7043" w:type="dxa"/>
            <w:noWrap w:val="0"/>
            <w:vAlign w:val="top"/>
          </w:tcPr>
          <w:p w14:paraId="05F8DBCE">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both"/>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rPr>
              <w:t>泛碱、咬色、流坠、疙瘩、砂眼、刷纹、漏涂、透底、起皮和掉粉</w:t>
            </w:r>
          </w:p>
        </w:tc>
        <w:tc>
          <w:tcPr>
            <w:tcW w:w="1760" w:type="dxa"/>
            <w:noWrap w:val="0"/>
            <w:vAlign w:val="center"/>
          </w:tcPr>
          <w:p w14:paraId="0CE40A3F">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lang w:val="en-US" w:eastAsia="zh-CN"/>
              </w:rPr>
              <w:t>1000</w:t>
            </w:r>
          </w:p>
        </w:tc>
      </w:tr>
      <w:tr w14:paraId="6E268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615" w:type="dxa"/>
            <w:vMerge w:val="restart"/>
            <w:noWrap w:val="0"/>
            <w:vAlign w:val="center"/>
          </w:tcPr>
          <w:p w14:paraId="0F53A0A6">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rightChars="0" w:firstLine="0" w:firstLineChars="0"/>
              <w:jc w:val="center"/>
              <w:textAlignment w:val="auto"/>
              <w:rPr>
                <w:rFonts w:hint="eastAsia" w:ascii="宋体" w:hAnsi="宋体" w:eastAsia="宋体" w:cs="宋体"/>
                <w:snapToGrid w:val="0"/>
                <w:color w:val="auto"/>
                <w:spacing w:val="18"/>
                <w:kern w:val="0"/>
                <w:sz w:val="21"/>
                <w:szCs w:val="21"/>
                <w:highlight w:val="none"/>
                <w:lang w:val="en-US" w:eastAsia="zh-CN" w:bidi="ar-SA"/>
              </w:rPr>
            </w:pPr>
            <w:r>
              <w:rPr>
                <w:rFonts w:hint="eastAsia" w:ascii="宋体" w:hAnsi="宋体" w:eastAsia="宋体" w:cs="宋体"/>
                <w:color w:val="auto"/>
                <w:spacing w:val="18"/>
                <w:sz w:val="21"/>
                <w:szCs w:val="21"/>
                <w:highlight w:val="none"/>
                <w:lang w:val="en-US" w:eastAsia="zh-CN"/>
              </w:rPr>
              <w:t>8</w:t>
            </w:r>
          </w:p>
        </w:tc>
        <w:tc>
          <w:tcPr>
            <w:tcW w:w="1035" w:type="dxa"/>
            <w:vMerge w:val="restart"/>
            <w:noWrap w:val="0"/>
            <w:vAlign w:val="center"/>
          </w:tcPr>
          <w:p w14:paraId="6D36A131">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rightChars="0" w:firstLine="0" w:firstLineChars="0"/>
              <w:jc w:val="center"/>
              <w:textAlignment w:val="auto"/>
              <w:rPr>
                <w:rFonts w:hint="eastAsia" w:ascii="宋体" w:hAnsi="宋体" w:eastAsia="宋体" w:cs="宋体"/>
                <w:snapToGrid w:val="0"/>
                <w:color w:val="auto"/>
                <w:spacing w:val="18"/>
                <w:kern w:val="0"/>
                <w:sz w:val="21"/>
                <w:szCs w:val="21"/>
                <w:highlight w:val="none"/>
                <w:lang w:val="en-US" w:eastAsia="en-US" w:bidi="ar-SA"/>
              </w:rPr>
            </w:pPr>
            <w:r>
              <w:rPr>
                <w:rFonts w:hint="eastAsia" w:ascii="宋体" w:hAnsi="宋体" w:eastAsia="宋体" w:cs="宋体"/>
                <w:color w:val="auto"/>
                <w:spacing w:val="18"/>
                <w:sz w:val="21"/>
                <w:szCs w:val="21"/>
                <w:highlight w:val="none"/>
              </w:rPr>
              <w:t>细部工程</w:t>
            </w:r>
          </w:p>
        </w:tc>
        <w:tc>
          <w:tcPr>
            <w:tcW w:w="7043" w:type="dxa"/>
            <w:noWrap w:val="0"/>
            <w:vAlign w:val="top"/>
          </w:tcPr>
          <w:p w14:paraId="24851D8D">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rightChars="0" w:firstLine="0" w:firstLineChars="0"/>
              <w:jc w:val="both"/>
              <w:textAlignment w:val="auto"/>
              <w:rPr>
                <w:rFonts w:hint="eastAsia" w:ascii="宋体" w:hAnsi="宋体" w:eastAsia="宋体" w:cs="宋体"/>
                <w:snapToGrid w:val="0"/>
                <w:color w:val="auto"/>
                <w:spacing w:val="18"/>
                <w:kern w:val="0"/>
                <w:sz w:val="21"/>
                <w:szCs w:val="21"/>
                <w:highlight w:val="none"/>
                <w:lang w:val="en-US" w:eastAsia="en-US" w:bidi="ar-SA"/>
              </w:rPr>
            </w:pPr>
            <w:r>
              <w:rPr>
                <w:rFonts w:hint="eastAsia" w:ascii="宋体" w:hAnsi="宋体" w:eastAsia="宋体" w:cs="宋体"/>
                <w:color w:val="auto"/>
                <w:spacing w:val="18"/>
                <w:sz w:val="21"/>
                <w:szCs w:val="21"/>
                <w:highlight w:val="none"/>
              </w:rPr>
              <w:t>窗帘盒、窗台板制作与安装工程：窗帘盒安装不牢固、不顺直；窗台板水平度 偏差大于2mm,安装不牢固、翘曲</w:t>
            </w:r>
          </w:p>
        </w:tc>
        <w:tc>
          <w:tcPr>
            <w:tcW w:w="1760" w:type="dxa"/>
            <w:noWrap w:val="0"/>
            <w:vAlign w:val="center"/>
          </w:tcPr>
          <w:p w14:paraId="676BF150">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rightChars="0" w:firstLine="0" w:firstLineChars="0"/>
              <w:jc w:val="center"/>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lang w:val="en-US" w:eastAsia="zh-CN"/>
              </w:rPr>
              <w:t>1000</w:t>
            </w:r>
          </w:p>
        </w:tc>
      </w:tr>
      <w:tr w14:paraId="28015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615" w:type="dxa"/>
            <w:vMerge w:val="continue"/>
            <w:noWrap w:val="0"/>
            <w:vAlign w:val="center"/>
          </w:tcPr>
          <w:p w14:paraId="556BC069">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p>
        </w:tc>
        <w:tc>
          <w:tcPr>
            <w:tcW w:w="1035" w:type="dxa"/>
            <w:vMerge w:val="continue"/>
            <w:noWrap w:val="0"/>
            <w:vAlign w:val="center"/>
          </w:tcPr>
          <w:p w14:paraId="24E62B18">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p>
        </w:tc>
        <w:tc>
          <w:tcPr>
            <w:tcW w:w="7043" w:type="dxa"/>
            <w:noWrap w:val="0"/>
            <w:vAlign w:val="top"/>
          </w:tcPr>
          <w:p w14:paraId="6ECBFE68">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rightChars="0" w:firstLine="0" w:firstLineChars="0"/>
              <w:jc w:val="both"/>
              <w:textAlignment w:val="auto"/>
              <w:rPr>
                <w:rFonts w:hint="eastAsia" w:ascii="宋体" w:hAnsi="宋体" w:eastAsia="宋体" w:cs="宋体"/>
                <w:snapToGrid w:val="0"/>
                <w:color w:val="auto"/>
                <w:spacing w:val="18"/>
                <w:kern w:val="0"/>
                <w:sz w:val="21"/>
                <w:szCs w:val="21"/>
                <w:highlight w:val="none"/>
                <w:lang w:val="en-US" w:eastAsia="en-US" w:bidi="ar-SA"/>
              </w:rPr>
            </w:pPr>
            <w:r>
              <w:rPr>
                <w:rFonts w:hint="eastAsia" w:ascii="宋体" w:hAnsi="宋体" w:eastAsia="宋体" w:cs="宋体"/>
                <w:color w:val="auto"/>
                <w:spacing w:val="18"/>
                <w:sz w:val="21"/>
                <w:szCs w:val="21"/>
                <w:highlight w:val="none"/>
              </w:rPr>
              <w:t>护栏和扶手制作与安装工程：护栏安装不牢固、护栏和扶手转角弧度不顺、护 栏玻璃选材不当等</w:t>
            </w:r>
          </w:p>
        </w:tc>
        <w:tc>
          <w:tcPr>
            <w:tcW w:w="1760" w:type="dxa"/>
            <w:noWrap w:val="0"/>
            <w:vAlign w:val="center"/>
          </w:tcPr>
          <w:p w14:paraId="64CD8BE1">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rightChars="0" w:firstLine="0" w:firstLineChars="0"/>
              <w:jc w:val="center"/>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lang w:val="en-US" w:eastAsia="zh-CN"/>
              </w:rPr>
              <w:t>1000</w:t>
            </w:r>
          </w:p>
        </w:tc>
      </w:tr>
      <w:tr w14:paraId="22A2B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615" w:type="dxa"/>
            <w:vMerge w:val="continue"/>
            <w:noWrap w:val="0"/>
            <w:vAlign w:val="center"/>
          </w:tcPr>
          <w:p w14:paraId="0E870BBC">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p>
        </w:tc>
        <w:tc>
          <w:tcPr>
            <w:tcW w:w="1035" w:type="dxa"/>
            <w:vMerge w:val="continue"/>
            <w:noWrap w:val="0"/>
            <w:vAlign w:val="center"/>
          </w:tcPr>
          <w:p w14:paraId="34948679">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firstLine="0" w:firstLineChars="0"/>
              <w:jc w:val="center"/>
              <w:textAlignment w:val="auto"/>
              <w:rPr>
                <w:rFonts w:hint="eastAsia" w:ascii="宋体" w:hAnsi="宋体" w:eastAsia="宋体" w:cs="宋体"/>
                <w:color w:val="auto"/>
                <w:spacing w:val="18"/>
                <w:sz w:val="21"/>
                <w:szCs w:val="21"/>
                <w:highlight w:val="none"/>
              </w:rPr>
            </w:pPr>
          </w:p>
        </w:tc>
        <w:tc>
          <w:tcPr>
            <w:tcW w:w="7043" w:type="dxa"/>
            <w:noWrap w:val="0"/>
            <w:vAlign w:val="top"/>
          </w:tcPr>
          <w:p w14:paraId="09759451">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rightChars="0" w:firstLine="0" w:firstLineChars="0"/>
              <w:jc w:val="both"/>
              <w:textAlignment w:val="auto"/>
              <w:rPr>
                <w:rFonts w:hint="eastAsia" w:ascii="宋体" w:hAnsi="宋体" w:eastAsia="宋体" w:cs="宋体"/>
                <w:snapToGrid w:val="0"/>
                <w:color w:val="auto"/>
                <w:spacing w:val="18"/>
                <w:kern w:val="0"/>
                <w:sz w:val="21"/>
                <w:szCs w:val="21"/>
                <w:highlight w:val="none"/>
                <w:lang w:val="en-US" w:eastAsia="en-US" w:bidi="ar-SA"/>
              </w:rPr>
            </w:pPr>
            <w:r>
              <w:rPr>
                <w:rFonts w:hint="eastAsia" w:ascii="宋体" w:hAnsi="宋体" w:eastAsia="宋体" w:cs="宋体"/>
                <w:color w:val="auto"/>
                <w:spacing w:val="18"/>
                <w:sz w:val="21"/>
                <w:szCs w:val="21"/>
                <w:highlight w:val="none"/>
              </w:rPr>
              <w:t>花饰制作与安装工程：条形花饰歪斜、单独花饰中心位置偏移、接缝不严、有 裂缝等</w:t>
            </w:r>
          </w:p>
        </w:tc>
        <w:tc>
          <w:tcPr>
            <w:tcW w:w="1760" w:type="dxa"/>
            <w:noWrap w:val="0"/>
            <w:vAlign w:val="center"/>
          </w:tcPr>
          <w:p w14:paraId="01362D22">
            <w:pPr>
              <w:pStyle w:val="11"/>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rightChars="0" w:firstLine="0" w:firstLineChars="0"/>
              <w:jc w:val="center"/>
              <w:textAlignment w:val="auto"/>
              <w:rPr>
                <w:rFonts w:hint="eastAsia" w:ascii="宋体" w:hAnsi="宋体" w:eastAsia="宋体" w:cs="宋体"/>
                <w:color w:val="auto"/>
                <w:spacing w:val="18"/>
                <w:sz w:val="21"/>
                <w:szCs w:val="21"/>
                <w:highlight w:val="none"/>
              </w:rPr>
            </w:pPr>
            <w:r>
              <w:rPr>
                <w:rFonts w:hint="eastAsia" w:ascii="宋体" w:hAnsi="宋体" w:eastAsia="宋体" w:cs="宋体"/>
                <w:color w:val="auto"/>
                <w:spacing w:val="18"/>
                <w:sz w:val="21"/>
                <w:szCs w:val="21"/>
                <w:highlight w:val="none"/>
                <w:lang w:val="en-US" w:eastAsia="zh-CN"/>
              </w:rPr>
              <w:t>1000</w:t>
            </w:r>
          </w:p>
        </w:tc>
      </w:tr>
    </w:tbl>
    <w:p w14:paraId="187B7995">
      <w:pPr>
        <w:pStyle w:val="19"/>
        <w:ind w:left="0" w:leftChars="0" w:firstLine="0" w:firstLineChars="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14.1</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.4园林绿化项目违约金支付标准</w:t>
      </w:r>
    </w:p>
    <w:tbl>
      <w:tblPr>
        <w:tblStyle w:val="43"/>
        <w:tblW w:w="10515" w:type="dxa"/>
        <w:tblInd w:w="-9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32"/>
        <w:gridCol w:w="4483"/>
      </w:tblGrid>
      <w:tr w14:paraId="1F478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032" w:type="dxa"/>
            <w:noWrap w:val="0"/>
            <w:vAlign w:val="top"/>
          </w:tcPr>
          <w:p w14:paraId="0C3B1376">
            <w:pPr>
              <w:pStyle w:val="42"/>
              <w:keepNext w:val="0"/>
              <w:keepLines w:val="0"/>
              <w:pageBreakBefore w:val="0"/>
              <w:widowControl w:val="0"/>
              <w:kinsoku/>
              <w:wordWrap/>
              <w:overflowPunct/>
              <w:topLinePunct w:val="0"/>
              <w:autoSpaceDE/>
              <w:autoSpaceDN/>
              <w:bidi w:val="0"/>
              <w:adjustRightInd/>
              <w:snapToGrid/>
              <w:spacing w:line="360" w:lineRule="exact"/>
              <w:ind w:left="2138"/>
              <w:textAlignment w:val="auto"/>
              <w:rPr>
                <w:color w:val="auto"/>
                <w:sz w:val="21"/>
                <w:szCs w:val="21"/>
                <w:highlight w:val="none"/>
              </w:rPr>
            </w:pPr>
            <w:r>
              <w:rPr>
                <w:b/>
                <w:bCs/>
                <w:color w:val="auto"/>
                <w:spacing w:val="5"/>
                <w:sz w:val="21"/>
                <w:szCs w:val="21"/>
                <w:highlight w:val="none"/>
              </w:rPr>
              <w:t>管理内容</w:t>
            </w:r>
          </w:p>
        </w:tc>
        <w:tc>
          <w:tcPr>
            <w:tcW w:w="4483" w:type="dxa"/>
            <w:noWrap w:val="0"/>
            <w:vAlign w:val="top"/>
          </w:tcPr>
          <w:p w14:paraId="2DCB8E01">
            <w:pPr>
              <w:pStyle w:val="42"/>
              <w:keepNext w:val="0"/>
              <w:keepLines w:val="0"/>
              <w:pageBreakBefore w:val="0"/>
              <w:widowControl w:val="0"/>
              <w:kinsoku/>
              <w:wordWrap/>
              <w:overflowPunct/>
              <w:topLinePunct w:val="0"/>
              <w:autoSpaceDE/>
              <w:autoSpaceDN/>
              <w:bidi w:val="0"/>
              <w:adjustRightInd/>
              <w:snapToGrid/>
              <w:spacing w:line="360" w:lineRule="exact"/>
              <w:ind w:left="1294"/>
              <w:textAlignment w:val="auto"/>
              <w:rPr>
                <w:color w:val="auto"/>
                <w:sz w:val="21"/>
                <w:szCs w:val="21"/>
                <w:highlight w:val="none"/>
              </w:rPr>
            </w:pPr>
            <w:r>
              <w:rPr>
                <w:b/>
                <w:bCs/>
                <w:color w:val="auto"/>
                <w:spacing w:val="6"/>
                <w:sz w:val="21"/>
                <w:szCs w:val="21"/>
                <w:highlight w:val="none"/>
              </w:rPr>
              <w:t>违约责任</w:t>
            </w:r>
          </w:p>
        </w:tc>
      </w:tr>
      <w:tr w14:paraId="09798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0515" w:type="dxa"/>
            <w:gridSpan w:val="2"/>
            <w:noWrap w:val="0"/>
            <w:vAlign w:val="top"/>
          </w:tcPr>
          <w:p w14:paraId="5C6E44A3">
            <w:pPr>
              <w:pStyle w:val="42"/>
              <w:keepNext w:val="0"/>
              <w:keepLines w:val="0"/>
              <w:pageBreakBefore w:val="0"/>
              <w:widowControl w:val="0"/>
              <w:kinsoku/>
              <w:wordWrap/>
              <w:overflowPunct/>
              <w:topLinePunct w:val="0"/>
              <w:autoSpaceDE/>
              <w:autoSpaceDN/>
              <w:bidi w:val="0"/>
              <w:adjustRightInd/>
              <w:snapToGrid/>
              <w:spacing w:line="360" w:lineRule="exact"/>
              <w:ind w:left="118"/>
              <w:textAlignment w:val="auto"/>
              <w:rPr>
                <w:color w:val="auto"/>
                <w:sz w:val="21"/>
                <w:szCs w:val="21"/>
                <w:highlight w:val="none"/>
              </w:rPr>
            </w:pPr>
            <w:r>
              <w:rPr>
                <w:rFonts w:hint="eastAsia"/>
                <w:b/>
                <w:bCs/>
                <w:color w:val="auto"/>
                <w:spacing w:val="7"/>
                <w:sz w:val="21"/>
                <w:szCs w:val="21"/>
                <w:highlight w:val="none"/>
                <w:lang w:val="en-US" w:eastAsia="zh-CN"/>
              </w:rPr>
              <w:t>一</w:t>
            </w:r>
            <w:r>
              <w:rPr>
                <w:b/>
                <w:bCs/>
                <w:color w:val="auto"/>
                <w:spacing w:val="7"/>
                <w:sz w:val="21"/>
                <w:szCs w:val="21"/>
                <w:highlight w:val="none"/>
              </w:rPr>
              <w:t>、工程质量管理</w:t>
            </w:r>
          </w:p>
        </w:tc>
      </w:tr>
      <w:tr w14:paraId="38EE5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4" w:hRule="atLeast"/>
        </w:trPr>
        <w:tc>
          <w:tcPr>
            <w:tcW w:w="6032" w:type="dxa"/>
            <w:noWrap w:val="0"/>
            <w:vAlign w:val="top"/>
          </w:tcPr>
          <w:p w14:paraId="04290349">
            <w:pPr>
              <w:pStyle w:val="42"/>
              <w:keepNext w:val="0"/>
              <w:keepLines w:val="0"/>
              <w:pageBreakBefore w:val="0"/>
              <w:widowControl w:val="0"/>
              <w:kinsoku/>
              <w:wordWrap/>
              <w:overflowPunct/>
              <w:topLinePunct w:val="0"/>
              <w:autoSpaceDE/>
              <w:autoSpaceDN/>
              <w:bidi w:val="0"/>
              <w:adjustRightInd/>
              <w:snapToGrid/>
              <w:spacing w:line="360" w:lineRule="exact"/>
              <w:ind w:left="115" w:right="37" w:firstLine="2"/>
              <w:jc w:val="both"/>
              <w:textAlignment w:val="auto"/>
              <w:rPr>
                <w:color w:val="auto"/>
                <w:sz w:val="21"/>
                <w:szCs w:val="21"/>
                <w:highlight w:val="none"/>
              </w:rPr>
            </w:pPr>
            <w:r>
              <w:rPr>
                <w:color w:val="auto"/>
                <w:spacing w:val="5"/>
                <w:sz w:val="21"/>
                <w:szCs w:val="21"/>
                <w:highlight w:val="none"/>
              </w:rPr>
              <w:t>为确保园林景观效果，针对地形、水系、园路、广场、</w:t>
            </w:r>
            <w:r>
              <w:rPr>
                <w:color w:val="auto"/>
                <w:spacing w:val="16"/>
                <w:sz w:val="21"/>
                <w:szCs w:val="21"/>
                <w:highlight w:val="none"/>
              </w:rPr>
              <w:t xml:space="preserve"> </w:t>
            </w:r>
            <w:r>
              <w:rPr>
                <w:color w:val="auto"/>
                <w:spacing w:val="11"/>
                <w:sz w:val="21"/>
                <w:szCs w:val="21"/>
                <w:highlight w:val="none"/>
              </w:rPr>
              <w:t>园林小品、绿化植物的定位，中标人必须根据施工图</w:t>
            </w:r>
            <w:r>
              <w:rPr>
                <w:color w:val="auto"/>
                <w:spacing w:val="14"/>
                <w:sz w:val="21"/>
                <w:szCs w:val="21"/>
                <w:highlight w:val="none"/>
              </w:rPr>
              <w:t xml:space="preserve"> </w:t>
            </w:r>
            <w:r>
              <w:rPr>
                <w:color w:val="auto"/>
                <w:spacing w:val="11"/>
                <w:sz w:val="21"/>
                <w:szCs w:val="21"/>
                <w:highlight w:val="none"/>
              </w:rPr>
              <w:t>定位放线，并主动申请由招标人、设计单位、监理单</w:t>
            </w:r>
            <w:r>
              <w:rPr>
                <w:color w:val="auto"/>
                <w:spacing w:val="14"/>
                <w:sz w:val="21"/>
                <w:szCs w:val="21"/>
                <w:highlight w:val="none"/>
              </w:rPr>
              <w:t xml:space="preserve"> </w:t>
            </w:r>
            <w:r>
              <w:rPr>
                <w:color w:val="auto"/>
                <w:spacing w:val="8"/>
                <w:sz w:val="21"/>
                <w:szCs w:val="21"/>
                <w:highlight w:val="none"/>
              </w:rPr>
              <w:t>位进行验线，确认形式、形态。</w:t>
            </w:r>
          </w:p>
        </w:tc>
        <w:tc>
          <w:tcPr>
            <w:tcW w:w="4483" w:type="dxa"/>
            <w:noWrap w:val="0"/>
            <w:vAlign w:val="top"/>
          </w:tcPr>
          <w:p w14:paraId="730FB4E5">
            <w:pPr>
              <w:pStyle w:val="42"/>
              <w:keepNext w:val="0"/>
              <w:keepLines w:val="0"/>
              <w:pageBreakBefore w:val="0"/>
              <w:widowControl w:val="0"/>
              <w:kinsoku/>
              <w:wordWrap/>
              <w:overflowPunct/>
              <w:topLinePunct w:val="0"/>
              <w:autoSpaceDE/>
              <w:autoSpaceDN/>
              <w:bidi w:val="0"/>
              <w:adjustRightInd/>
              <w:snapToGrid/>
              <w:spacing w:line="360" w:lineRule="exact"/>
              <w:ind w:left="114" w:right="107" w:firstLine="2"/>
              <w:jc w:val="both"/>
              <w:textAlignment w:val="auto"/>
              <w:rPr>
                <w:color w:val="auto"/>
                <w:sz w:val="21"/>
                <w:szCs w:val="21"/>
                <w:highlight w:val="none"/>
              </w:rPr>
            </w:pPr>
            <w:r>
              <w:rPr>
                <w:color w:val="auto"/>
                <w:spacing w:val="10"/>
                <w:sz w:val="21"/>
                <w:szCs w:val="21"/>
                <w:highlight w:val="none"/>
              </w:rPr>
              <w:t>未经过验线擅自施工的，</w:t>
            </w:r>
            <w:r>
              <w:rPr>
                <w:color w:val="auto"/>
                <w:spacing w:val="-59"/>
                <w:sz w:val="21"/>
                <w:szCs w:val="21"/>
                <w:highlight w:val="none"/>
              </w:rPr>
              <w:t xml:space="preserve"> </w:t>
            </w:r>
            <w:r>
              <w:rPr>
                <w:color w:val="auto"/>
                <w:spacing w:val="10"/>
                <w:sz w:val="21"/>
                <w:szCs w:val="21"/>
                <w:highlight w:val="none"/>
              </w:rPr>
              <w:t>中标人第</w:t>
            </w:r>
            <w:r>
              <w:rPr>
                <w:color w:val="auto"/>
                <w:sz w:val="21"/>
                <w:szCs w:val="21"/>
                <w:highlight w:val="none"/>
              </w:rPr>
              <w:t xml:space="preserve"> </w:t>
            </w:r>
            <w:r>
              <w:rPr>
                <w:color w:val="auto"/>
                <w:spacing w:val="3"/>
                <w:sz w:val="21"/>
                <w:szCs w:val="21"/>
                <w:highlight w:val="none"/>
              </w:rPr>
              <w:t>一次承担</w:t>
            </w:r>
            <w:r>
              <w:rPr>
                <w:color w:val="auto"/>
                <w:spacing w:val="-19"/>
                <w:sz w:val="21"/>
                <w:szCs w:val="21"/>
                <w:highlight w:val="none"/>
              </w:rPr>
              <w:t xml:space="preserve"> </w:t>
            </w:r>
            <w:r>
              <w:rPr>
                <w:color w:val="auto"/>
                <w:spacing w:val="3"/>
                <w:sz w:val="21"/>
                <w:szCs w:val="21"/>
                <w:highlight w:val="none"/>
              </w:rPr>
              <w:t>1000</w:t>
            </w:r>
            <w:r>
              <w:rPr>
                <w:color w:val="auto"/>
                <w:spacing w:val="-38"/>
                <w:sz w:val="21"/>
                <w:szCs w:val="21"/>
                <w:highlight w:val="none"/>
              </w:rPr>
              <w:t xml:space="preserve"> </w:t>
            </w:r>
            <w:r>
              <w:rPr>
                <w:color w:val="auto"/>
                <w:spacing w:val="3"/>
                <w:sz w:val="21"/>
                <w:szCs w:val="21"/>
                <w:highlight w:val="none"/>
              </w:rPr>
              <w:t>元违约金，第二次承</w:t>
            </w:r>
            <w:r>
              <w:rPr>
                <w:color w:val="auto"/>
                <w:sz w:val="21"/>
                <w:szCs w:val="21"/>
                <w:highlight w:val="none"/>
              </w:rPr>
              <w:t xml:space="preserve"> 担</w:t>
            </w:r>
            <w:r>
              <w:rPr>
                <w:color w:val="auto"/>
                <w:spacing w:val="-29"/>
                <w:sz w:val="21"/>
                <w:szCs w:val="21"/>
                <w:highlight w:val="none"/>
              </w:rPr>
              <w:t xml:space="preserve"> </w:t>
            </w:r>
            <w:r>
              <w:rPr>
                <w:color w:val="auto"/>
                <w:sz w:val="21"/>
                <w:szCs w:val="21"/>
                <w:highlight w:val="none"/>
              </w:rPr>
              <w:t>2000</w:t>
            </w:r>
            <w:r>
              <w:rPr>
                <w:color w:val="auto"/>
                <w:spacing w:val="-39"/>
                <w:sz w:val="21"/>
                <w:szCs w:val="21"/>
                <w:highlight w:val="none"/>
              </w:rPr>
              <w:t xml:space="preserve"> </w:t>
            </w:r>
            <w:r>
              <w:rPr>
                <w:color w:val="auto"/>
                <w:sz w:val="21"/>
                <w:szCs w:val="21"/>
                <w:highlight w:val="none"/>
              </w:rPr>
              <w:t>元违约金，第三次承担</w:t>
            </w:r>
            <w:r>
              <w:rPr>
                <w:color w:val="auto"/>
                <w:spacing w:val="-37"/>
                <w:sz w:val="21"/>
                <w:szCs w:val="21"/>
                <w:highlight w:val="none"/>
              </w:rPr>
              <w:t xml:space="preserve"> </w:t>
            </w:r>
            <w:r>
              <w:rPr>
                <w:color w:val="auto"/>
                <w:sz w:val="21"/>
                <w:szCs w:val="21"/>
                <w:highlight w:val="none"/>
              </w:rPr>
              <w:t xml:space="preserve">4000 </w:t>
            </w:r>
            <w:r>
              <w:rPr>
                <w:color w:val="auto"/>
                <w:spacing w:val="7"/>
                <w:sz w:val="21"/>
                <w:szCs w:val="21"/>
                <w:highlight w:val="none"/>
              </w:rPr>
              <w:t>元违约金，以此类推。</w:t>
            </w:r>
          </w:p>
        </w:tc>
      </w:tr>
      <w:tr w14:paraId="5C068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6032" w:type="dxa"/>
            <w:noWrap w:val="0"/>
            <w:vAlign w:val="top"/>
          </w:tcPr>
          <w:p w14:paraId="71567484">
            <w:pPr>
              <w:pStyle w:val="42"/>
              <w:keepNext w:val="0"/>
              <w:keepLines w:val="0"/>
              <w:pageBreakBefore w:val="0"/>
              <w:widowControl w:val="0"/>
              <w:kinsoku/>
              <w:wordWrap/>
              <w:overflowPunct/>
              <w:topLinePunct w:val="0"/>
              <w:autoSpaceDE/>
              <w:autoSpaceDN/>
              <w:bidi w:val="0"/>
              <w:adjustRightInd/>
              <w:snapToGrid/>
              <w:spacing w:line="360" w:lineRule="exact"/>
              <w:ind w:left="115" w:right="108" w:firstLine="2"/>
              <w:textAlignment w:val="auto"/>
              <w:rPr>
                <w:color w:val="auto"/>
                <w:sz w:val="21"/>
                <w:szCs w:val="21"/>
                <w:highlight w:val="none"/>
              </w:rPr>
            </w:pPr>
            <w:r>
              <w:rPr>
                <w:color w:val="auto"/>
                <w:spacing w:val="11"/>
                <w:sz w:val="21"/>
                <w:szCs w:val="21"/>
                <w:highlight w:val="none"/>
              </w:rPr>
              <w:t>工程实施期间，中标人须接受监理单位全程旁站式监</w:t>
            </w:r>
            <w:r>
              <w:rPr>
                <w:color w:val="auto"/>
                <w:spacing w:val="12"/>
                <w:sz w:val="21"/>
                <w:szCs w:val="21"/>
                <w:highlight w:val="none"/>
              </w:rPr>
              <w:t xml:space="preserve"> </w:t>
            </w:r>
            <w:r>
              <w:rPr>
                <w:color w:val="auto"/>
                <w:spacing w:val="11"/>
                <w:sz w:val="21"/>
                <w:szCs w:val="21"/>
                <w:highlight w:val="none"/>
              </w:rPr>
              <w:t>管。栽植土换填、地形整理、土壤改良、树穴开挖、</w:t>
            </w:r>
            <w:r>
              <w:rPr>
                <w:color w:val="auto"/>
                <w:spacing w:val="14"/>
                <w:sz w:val="21"/>
                <w:szCs w:val="21"/>
                <w:highlight w:val="none"/>
              </w:rPr>
              <w:t xml:space="preserve"> </w:t>
            </w:r>
            <w:r>
              <w:rPr>
                <w:color w:val="auto"/>
                <w:spacing w:val="11"/>
                <w:sz w:val="21"/>
                <w:szCs w:val="21"/>
                <w:highlight w:val="none"/>
              </w:rPr>
              <w:t>植物材料、树木栽植、施肥以及园林附属工程等每道</w:t>
            </w:r>
            <w:r>
              <w:rPr>
                <w:color w:val="auto"/>
                <w:spacing w:val="14"/>
                <w:sz w:val="21"/>
                <w:szCs w:val="21"/>
                <w:highlight w:val="none"/>
              </w:rPr>
              <w:t xml:space="preserve"> </w:t>
            </w:r>
            <w:r>
              <w:rPr>
                <w:color w:val="auto"/>
                <w:spacing w:val="11"/>
                <w:sz w:val="21"/>
                <w:szCs w:val="21"/>
                <w:highlight w:val="none"/>
              </w:rPr>
              <w:t>工序必须经过自检合格后再报验，监理单位逐项（逐</w:t>
            </w:r>
            <w:r>
              <w:rPr>
                <w:color w:val="auto"/>
                <w:spacing w:val="14"/>
                <w:sz w:val="21"/>
                <w:szCs w:val="21"/>
                <w:highlight w:val="none"/>
              </w:rPr>
              <w:t xml:space="preserve"> </w:t>
            </w:r>
            <w:r>
              <w:rPr>
                <w:color w:val="auto"/>
                <w:spacing w:val="11"/>
                <w:sz w:val="21"/>
                <w:szCs w:val="21"/>
                <w:highlight w:val="none"/>
              </w:rPr>
              <w:t>株）验收签字，监理单位验收合格后报招标人组织验</w:t>
            </w:r>
            <w:r>
              <w:rPr>
                <w:color w:val="auto"/>
                <w:spacing w:val="14"/>
                <w:sz w:val="21"/>
                <w:szCs w:val="21"/>
                <w:highlight w:val="none"/>
              </w:rPr>
              <w:t xml:space="preserve"> </w:t>
            </w:r>
            <w:r>
              <w:rPr>
                <w:color w:val="auto"/>
                <w:spacing w:val="8"/>
                <w:sz w:val="21"/>
                <w:szCs w:val="21"/>
                <w:highlight w:val="none"/>
              </w:rPr>
              <w:t>收，合格后方可进行下道工序施工。</w:t>
            </w:r>
          </w:p>
        </w:tc>
        <w:tc>
          <w:tcPr>
            <w:tcW w:w="4483" w:type="dxa"/>
            <w:noWrap w:val="0"/>
            <w:vAlign w:val="top"/>
          </w:tcPr>
          <w:p w14:paraId="4E598F28">
            <w:pPr>
              <w:keepNext w:val="0"/>
              <w:keepLines w:val="0"/>
              <w:pageBreakBefore w:val="0"/>
              <w:widowControl w:val="0"/>
              <w:kinsoku/>
              <w:wordWrap/>
              <w:overflowPunct/>
              <w:topLinePunct w:val="0"/>
              <w:autoSpaceDE/>
              <w:autoSpaceDN/>
              <w:bidi w:val="0"/>
              <w:adjustRightInd/>
              <w:snapToGrid/>
              <w:spacing w:line="360" w:lineRule="exact"/>
              <w:textAlignment w:val="auto"/>
              <w:rPr>
                <w:rFonts w:ascii="Arial"/>
                <w:color w:val="auto"/>
                <w:sz w:val="21"/>
                <w:szCs w:val="21"/>
                <w:highlight w:val="none"/>
              </w:rPr>
            </w:pPr>
          </w:p>
          <w:p w14:paraId="264D26F8">
            <w:pPr>
              <w:pStyle w:val="42"/>
              <w:keepNext w:val="0"/>
              <w:keepLines w:val="0"/>
              <w:pageBreakBefore w:val="0"/>
              <w:widowControl w:val="0"/>
              <w:kinsoku/>
              <w:wordWrap/>
              <w:overflowPunct/>
              <w:topLinePunct w:val="0"/>
              <w:autoSpaceDE/>
              <w:autoSpaceDN/>
              <w:bidi w:val="0"/>
              <w:adjustRightInd/>
              <w:snapToGrid/>
              <w:spacing w:line="360" w:lineRule="exact"/>
              <w:ind w:left="113" w:right="108" w:firstLine="19"/>
              <w:textAlignment w:val="auto"/>
              <w:rPr>
                <w:color w:val="auto"/>
                <w:sz w:val="21"/>
                <w:szCs w:val="21"/>
                <w:highlight w:val="none"/>
              </w:rPr>
            </w:pPr>
            <w:r>
              <w:rPr>
                <w:color w:val="auto"/>
                <w:spacing w:val="11"/>
                <w:sz w:val="21"/>
                <w:szCs w:val="21"/>
                <w:highlight w:val="none"/>
              </w:rPr>
              <w:t>中标人擅自进行下道工序施工的，</w:t>
            </w:r>
            <w:r>
              <w:rPr>
                <w:color w:val="auto"/>
                <w:spacing w:val="10"/>
                <w:sz w:val="21"/>
                <w:szCs w:val="21"/>
                <w:highlight w:val="none"/>
              </w:rPr>
              <w:t xml:space="preserve"> </w:t>
            </w:r>
            <w:r>
              <w:rPr>
                <w:color w:val="auto"/>
                <w:spacing w:val="4"/>
                <w:sz w:val="21"/>
                <w:szCs w:val="21"/>
                <w:highlight w:val="none"/>
              </w:rPr>
              <w:t>第一次发现承担</w:t>
            </w:r>
            <w:r>
              <w:rPr>
                <w:color w:val="auto"/>
                <w:spacing w:val="-35"/>
                <w:sz w:val="21"/>
                <w:szCs w:val="21"/>
                <w:highlight w:val="none"/>
              </w:rPr>
              <w:t xml:space="preserve"> </w:t>
            </w:r>
            <w:r>
              <w:rPr>
                <w:color w:val="auto"/>
                <w:spacing w:val="4"/>
                <w:sz w:val="21"/>
                <w:szCs w:val="21"/>
                <w:highlight w:val="none"/>
              </w:rPr>
              <w:t>2000</w:t>
            </w:r>
            <w:r>
              <w:rPr>
                <w:color w:val="auto"/>
                <w:spacing w:val="-38"/>
                <w:sz w:val="21"/>
                <w:szCs w:val="21"/>
                <w:highlight w:val="none"/>
              </w:rPr>
              <w:t xml:space="preserve"> </w:t>
            </w:r>
            <w:r>
              <w:rPr>
                <w:color w:val="auto"/>
                <w:spacing w:val="4"/>
                <w:sz w:val="21"/>
                <w:szCs w:val="21"/>
                <w:highlight w:val="none"/>
              </w:rPr>
              <w:t>元违约金，第</w:t>
            </w:r>
            <w:r>
              <w:rPr>
                <w:color w:val="auto"/>
                <w:sz w:val="21"/>
                <w:szCs w:val="21"/>
                <w:highlight w:val="none"/>
              </w:rPr>
              <w:t xml:space="preserve"> </w:t>
            </w:r>
            <w:r>
              <w:rPr>
                <w:color w:val="auto"/>
                <w:spacing w:val="4"/>
                <w:sz w:val="21"/>
                <w:szCs w:val="21"/>
                <w:highlight w:val="none"/>
              </w:rPr>
              <w:t>二次承担</w:t>
            </w:r>
            <w:r>
              <w:rPr>
                <w:color w:val="auto"/>
                <w:spacing w:val="-35"/>
                <w:sz w:val="21"/>
                <w:szCs w:val="21"/>
                <w:highlight w:val="none"/>
              </w:rPr>
              <w:t xml:space="preserve"> </w:t>
            </w:r>
            <w:r>
              <w:rPr>
                <w:color w:val="auto"/>
                <w:spacing w:val="4"/>
                <w:sz w:val="21"/>
                <w:szCs w:val="21"/>
                <w:highlight w:val="none"/>
              </w:rPr>
              <w:t>4000</w:t>
            </w:r>
            <w:r>
              <w:rPr>
                <w:color w:val="auto"/>
                <w:spacing w:val="-38"/>
                <w:sz w:val="21"/>
                <w:szCs w:val="21"/>
                <w:highlight w:val="none"/>
              </w:rPr>
              <w:t xml:space="preserve"> </w:t>
            </w:r>
            <w:r>
              <w:rPr>
                <w:color w:val="auto"/>
                <w:spacing w:val="4"/>
                <w:sz w:val="21"/>
                <w:szCs w:val="21"/>
                <w:highlight w:val="none"/>
              </w:rPr>
              <w:t>元违约金，第三次承</w:t>
            </w:r>
            <w:r>
              <w:rPr>
                <w:color w:val="auto"/>
                <w:sz w:val="21"/>
                <w:szCs w:val="21"/>
                <w:highlight w:val="none"/>
              </w:rPr>
              <w:t xml:space="preserve"> </w:t>
            </w:r>
            <w:r>
              <w:rPr>
                <w:color w:val="auto"/>
                <w:spacing w:val="6"/>
                <w:sz w:val="21"/>
                <w:szCs w:val="21"/>
                <w:highlight w:val="none"/>
              </w:rPr>
              <w:t>担</w:t>
            </w:r>
            <w:r>
              <w:rPr>
                <w:color w:val="auto"/>
                <w:spacing w:val="-38"/>
                <w:sz w:val="21"/>
                <w:szCs w:val="21"/>
                <w:highlight w:val="none"/>
              </w:rPr>
              <w:t xml:space="preserve"> </w:t>
            </w:r>
            <w:r>
              <w:rPr>
                <w:color w:val="auto"/>
                <w:spacing w:val="6"/>
                <w:sz w:val="21"/>
                <w:szCs w:val="21"/>
                <w:highlight w:val="none"/>
              </w:rPr>
              <w:t>8000</w:t>
            </w:r>
            <w:r>
              <w:rPr>
                <w:color w:val="auto"/>
                <w:spacing w:val="-38"/>
                <w:sz w:val="21"/>
                <w:szCs w:val="21"/>
                <w:highlight w:val="none"/>
              </w:rPr>
              <w:t xml:space="preserve"> </w:t>
            </w:r>
            <w:r>
              <w:rPr>
                <w:color w:val="auto"/>
                <w:spacing w:val="6"/>
                <w:sz w:val="21"/>
                <w:szCs w:val="21"/>
                <w:highlight w:val="none"/>
              </w:rPr>
              <w:t>元违约金，以此类推。</w:t>
            </w:r>
          </w:p>
        </w:tc>
      </w:tr>
      <w:tr w14:paraId="62217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6032" w:type="dxa"/>
            <w:noWrap w:val="0"/>
            <w:vAlign w:val="top"/>
          </w:tcPr>
          <w:p w14:paraId="078CA653">
            <w:pPr>
              <w:pStyle w:val="42"/>
              <w:keepNext w:val="0"/>
              <w:keepLines w:val="0"/>
              <w:pageBreakBefore w:val="0"/>
              <w:widowControl w:val="0"/>
              <w:kinsoku/>
              <w:wordWrap/>
              <w:overflowPunct/>
              <w:topLinePunct w:val="0"/>
              <w:autoSpaceDE/>
              <w:autoSpaceDN/>
              <w:bidi w:val="0"/>
              <w:adjustRightInd/>
              <w:snapToGrid/>
              <w:spacing w:line="360" w:lineRule="exact"/>
              <w:ind w:left="116" w:right="108" w:firstLine="19"/>
              <w:textAlignment w:val="auto"/>
              <w:rPr>
                <w:color w:val="auto"/>
                <w:sz w:val="21"/>
                <w:szCs w:val="21"/>
                <w:highlight w:val="none"/>
              </w:rPr>
            </w:pPr>
            <w:r>
              <w:rPr>
                <w:color w:val="auto"/>
                <w:spacing w:val="10"/>
                <w:sz w:val="21"/>
                <w:szCs w:val="21"/>
                <w:highlight w:val="none"/>
              </w:rPr>
              <w:t>回填栽植土必须符合要求，不得为淤泥、板结土、垃</w:t>
            </w:r>
            <w:r>
              <w:rPr>
                <w:color w:val="auto"/>
                <w:spacing w:val="17"/>
                <w:sz w:val="21"/>
                <w:szCs w:val="21"/>
                <w:highlight w:val="none"/>
              </w:rPr>
              <w:t xml:space="preserve"> </w:t>
            </w:r>
            <w:r>
              <w:rPr>
                <w:color w:val="auto"/>
                <w:spacing w:val="8"/>
                <w:sz w:val="21"/>
                <w:szCs w:val="21"/>
                <w:highlight w:val="none"/>
              </w:rPr>
              <w:t>圾土、湿土、老黄土等。</w:t>
            </w:r>
          </w:p>
        </w:tc>
        <w:tc>
          <w:tcPr>
            <w:tcW w:w="4483" w:type="dxa"/>
            <w:noWrap w:val="0"/>
            <w:vAlign w:val="top"/>
          </w:tcPr>
          <w:p w14:paraId="0D16B448">
            <w:pPr>
              <w:pStyle w:val="42"/>
              <w:keepNext w:val="0"/>
              <w:keepLines w:val="0"/>
              <w:pageBreakBefore w:val="0"/>
              <w:widowControl w:val="0"/>
              <w:kinsoku/>
              <w:wordWrap/>
              <w:overflowPunct/>
              <w:topLinePunct w:val="0"/>
              <w:autoSpaceDE/>
              <w:autoSpaceDN/>
              <w:bidi w:val="0"/>
              <w:adjustRightInd/>
              <w:snapToGrid/>
              <w:spacing w:line="360" w:lineRule="exact"/>
              <w:ind w:left="116"/>
              <w:textAlignment w:val="auto"/>
              <w:rPr>
                <w:color w:val="auto"/>
                <w:sz w:val="21"/>
                <w:szCs w:val="21"/>
                <w:highlight w:val="none"/>
              </w:rPr>
            </w:pPr>
            <w:r>
              <w:rPr>
                <w:color w:val="auto"/>
                <w:spacing w:val="20"/>
                <w:sz w:val="21"/>
                <w:szCs w:val="21"/>
                <w:highlight w:val="none"/>
              </w:rPr>
              <w:t>发现一处不合格的</w:t>
            </w:r>
            <w:r>
              <w:rPr>
                <w:color w:val="auto"/>
                <w:spacing w:val="-45"/>
                <w:sz w:val="21"/>
                <w:szCs w:val="21"/>
                <w:highlight w:val="none"/>
              </w:rPr>
              <w:t xml:space="preserve"> </w:t>
            </w:r>
            <w:r>
              <w:rPr>
                <w:color w:val="auto"/>
                <w:spacing w:val="20"/>
                <w:sz w:val="21"/>
                <w:szCs w:val="21"/>
                <w:highlight w:val="none"/>
              </w:rPr>
              <w:t>，</w:t>
            </w:r>
            <w:r>
              <w:rPr>
                <w:color w:val="auto"/>
                <w:spacing w:val="-44"/>
                <w:sz w:val="21"/>
                <w:szCs w:val="21"/>
                <w:highlight w:val="none"/>
              </w:rPr>
              <w:t xml:space="preserve"> </w:t>
            </w:r>
            <w:r>
              <w:rPr>
                <w:color w:val="auto"/>
                <w:spacing w:val="20"/>
                <w:sz w:val="21"/>
                <w:szCs w:val="21"/>
                <w:highlight w:val="none"/>
              </w:rPr>
              <w:t>中标人承担</w:t>
            </w:r>
          </w:p>
          <w:p w14:paraId="5C2695CE">
            <w:pPr>
              <w:pStyle w:val="42"/>
              <w:keepNext w:val="0"/>
              <w:keepLines w:val="0"/>
              <w:pageBreakBefore w:val="0"/>
              <w:widowControl w:val="0"/>
              <w:kinsoku/>
              <w:wordWrap/>
              <w:overflowPunct/>
              <w:topLinePunct w:val="0"/>
              <w:autoSpaceDE/>
              <w:autoSpaceDN/>
              <w:bidi w:val="0"/>
              <w:adjustRightInd/>
              <w:snapToGrid/>
              <w:spacing w:line="360" w:lineRule="exact"/>
              <w:ind w:left="129"/>
              <w:textAlignment w:val="auto"/>
              <w:rPr>
                <w:color w:val="auto"/>
                <w:sz w:val="21"/>
                <w:szCs w:val="21"/>
                <w:highlight w:val="none"/>
              </w:rPr>
            </w:pPr>
            <w:r>
              <w:rPr>
                <w:color w:val="auto"/>
                <w:spacing w:val="3"/>
                <w:sz w:val="21"/>
                <w:szCs w:val="21"/>
                <w:highlight w:val="none"/>
              </w:rPr>
              <w:t>1000</w:t>
            </w:r>
            <w:r>
              <w:rPr>
                <w:color w:val="auto"/>
                <w:spacing w:val="-33"/>
                <w:sz w:val="21"/>
                <w:szCs w:val="21"/>
                <w:highlight w:val="none"/>
              </w:rPr>
              <w:t xml:space="preserve"> </w:t>
            </w:r>
            <w:r>
              <w:rPr>
                <w:color w:val="auto"/>
                <w:spacing w:val="3"/>
                <w:sz w:val="21"/>
                <w:szCs w:val="21"/>
                <w:highlight w:val="none"/>
              </w:rPr>
              <w:t>元/处违约金。</w:t>
            </w:r>
          </w:p>
        </w:tc>
      </w:tr>
      <w:tr w14:paraId="2889F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9" w:hRule="atLeast"/>
        </w:trPr>
        <w:tc>
          <w:tcPr>
            <w:tcW w:w="6032" w:type="dxa"/>
            <w:noWrap w:val="0"/>
            <w:vAlign w:val="top"/>
          </w:tcPr>
          <w:p w14:paraId="2E75EF98">
            <w:pPr>
              <w:pStyle w:val="42"/>
              <w:keepNext w:val="0"/>
              <w:keepLines w:val="0"/>
              <w:pageBreakBefore w:val="0"/>
              <w:widowControl w:val="0"/>
              <w:kinsoku/>
              <w:wordWrap/>
              <w:overflowPunct/>
              <w:topLinePunct w:val="0"/>
              <w:autoSpaceDE/>
              <w:autoSpaceDN/>
              <w:bidi w:val="0"/>
              <w:adjustRightInd/>
              <w:snapToGrid/>
              <w:spacing w:line="360" w:lineRule="exact"/>
              <w:ind w:left="114" w:right="105" w:firstLine="2"/>
              <w:jc w:val="both"/>
              <w:textAlignment w:val="auto"/>
              <w:rPr>
                <w:color w:val="auto"/>
                <w:sz w:val="21"/>
                <w:szCs w:val="21"/>
                <w:highlight w:val="none"/>
              </w:rPr>
            </w:pPr>
            <w:r>
              <w:rPr>
                <w:color w:val="auto"/>
                <w:spacing w:val="11"/>
                <w:sz w:val="21"/>
                <w:szCs w:val="21"/>
                <w:highlight w:val="none"/>
              </w:rPr>
              <w:t>苗木栽植前，绿地内必须按标准摊铺泥炭土或选择拌</w:t>
            </w:r>
            <w:r>
              <w:rPr>
                <w:color w:val="auto"/>
                <w:spacing w:val="12"/>
                <w:sz w:val="21"/>
                <w:szCs w:val="21"/>
                <w:highlight w:val="none"/>
              </w:rPr>
              <w:t xml:space="preserve"> </w:t>
            </w:r>
            <w:r>
              <w:rPr>
                <w:color w:val="auto"/>
                <w:spacing w:val="11"/>
                <w:sz w:val="21"/>
                <w:szCs w:val="21"/>
                <w:highlight w:val="none"/>
              </w:rPr>
              <w:t>合点拌合，摊铺泥炭土必须进行旋耕，旋耕深度不得</w:t>
            </w:r>
            <w:r>
              <w:rPr>
                <w:color w:val="auto"/>
                <w:spacing w:val="15"/>
                <w:sz w:val="21"/>
                <w:szCs w:val="21"/>
                <w:highlight w:val="none"/>
              </w:rPr>
              <w:t xml:space="preserve"> </w:t>
            </w:r>
            <w:r>
              <w:rPr>
                <w:color w:val="auto"/>
                <w:spacing w:val="9"/>
                <w:sz w:val="21"/>
                <w:szCs w:val="21"/>
                <w:highlight w:val="none"/>
              </w:rPr>
              <w:t>低于</w:t>
            </w:r>
            <w:r>
              <w:rPr>
                <w:color w:val="auto"/>
                <w:spacing w:val="-32"/>
                <w:sz w:val="21"/>
                <w:szCs w:val="21"/>
                <w:highlight w:val="none"/>
              </w:rPr>
              <w:t xml:space="preserve"> </w:t>
            </w:r>
            <w:r>
              <w:rPr>
                <w:color w:val="auto"/>
                <w:spacing w:val="9"/>
                <w:sz w:val="21"/>
                <w:szCs w:val="21"/>
                <w:highlight w:val="none"/>
              </w:rPr>
              <w:t>30</w:t>
            </w:r>
            <w:r>
              <w:rPr>
                <w:color w:val="auto"/>
                <w:sz w:val="21"/>
                <w:szCs w:val="21"/>
                <w:highlight w:val="none"/>
              </w:rPr>
              <w:t>cm</w:t>
            </w:r>
            <w:r>
              <w:rPr>
                <w:color w:val="auto"/>
                <w:spacing w:val="9"/>
                <w:sz w:val="21"/>
                <w:szCs w:val="21"/>
                <w:highlight w:val="none"/>
              </w:rPr>
              <w:t>；乔、灌木树穴回填、分车绿带和</w:t>
            </w:r>
            <w:r>
              <w:rPr>
                <w:color w:val="auto"/>
                <w:spacing w:val="8"/>
                <w:sz w:val="21"/>
                <w:szCs w:val="21"/>
                <w:highlight w:val="none"/>
              </w:rPr>
              <w:t>树池必须</w:t>
            </w:r>
            <w:r>
              <w:rPr>
                <w:color w:val="auto"/>
                <w:sz w:val="21"/>
                <w:szCs w:val="21"/>
                <w:highlight w:val="none"/>
              </w:rPr>
              <w:t xml:space="preserve"> </w:t>
            </w:r>
            <w:r>
              <w:rPr>
                <w:color w:val="auto"/>
                <w:spacing w:val="8"/>
                <w:sz w:val="21"/>
                <w:szCs w:val="21"/>
                <w:highlight w:val="none"/>
              </w:rPr>
              <w:t>集中拌和泥炭土回填。</w:t>
            </w:r>
          </w:p>
        </w:tc>
        <w:tc>
          <w:tcPr>
            <w:tcW w:w="4483" w:type="dxa"/>
            <w:noWrap w:val="0"/>
            <w:vAlign w:val="top"/>
          </w:tcPr>
          <w:p w14:paraId="24175539">
            <w:pPr>
              <w:keepNext w:val="0"/>
              <w:keepLines w:val="0"/>
              <w:pageBreakBefore w:val="0"/>
              <w:widowControl w:val="0"/>
              <w:kinsoku/>
              <w:wordWrap/>
              <w:overflowPunct/>
              <w:topLinePunct w:val="0"/>
              <w:autoSpaceDE/>
              <w:autoSpaceDN/>
              <w:bidi w:val="0"/>
              <w:adjustRightInd/>
              <w:snapToGrid/>
              <w:spacing w:line="360" w:lineRule="exact"/>
              <w:textAlignment w:val="auto"/>
              <w:rPr>
                <w:rFonts w:ascii="Arial"/>
                <w:color w:val="auto"/>
                <w:sz w:val="21"/>
                <w:szCs w:val="21"/>
                <w:highlight w:val="none"/>
              </w:rPr>
            </w:pPr>
          </w:p>
          <w:p w14:paraId="63457066">
            <w:pPr>
              <w:pStyle w:val="42"/>
              <w:keepNext w:val="0"/>
              <w:keepLines w:val="0"/>
              <w:pageBreakBefore w:val="0"/>
              <w:widowControl w:val="0"/>
              <w:kinsoku/>
              <w:wordWrap/>
              <w:overflowPunct/>
              <w:topLinePunct w:val="0"/>
              <w:autoSpaceDE/>
              <w:autoSpaceDN/>
              <w:bidi w:val="0"/>
              <w:adjustRightInd/>
              <w:snapToGrid/>
              <w:spacing w:line="360" w:lineRule="exact"/>
              <w:ind w:left="116"/>
              <w:textAlignment w:val="auto"/>
              <w:rPr>
                <w:color w:val="auto"/>
                <w:sz w:val="21"/>
                <w:szCs w:val="21"/>
                <w:highlight w:val="none"/>
              </w:rPr>
            </w:pPr>
            <w:r>
              <w:rPr>
                <w:color w:val="auto"/>
                <w:spacing w:val="20"/>
                <w:sz w:val="21"/>
                <w:szCs w:val="21"/>
                <w:highlight w:val="none"/>
              </w:rPr>
              <w:t>发现一处不合格的</w:t>
            </w:r>
            <w:r>
              <w:rPr>
                <w:color w:val="auto"/>
                <w:spacing w:val="-45"/>
                <w:sz w:val="21"/>
                <w:szCs w:val="21"/>
                <w:highlight w:val="none"/>
              </w:rPr>
              <w:t xml:space="preserve"> </w:t>
            </w:r>
            <w:r>
              <w:rPr>
                <w:color w:val="auto"/>
                <w:spacing w:val="20"/>
                <w:sz w:val="21"/>
                <w:szCs w:val="21"/>
                <w:highlight w:val="none"/>
              </w:rPr>
              <w:t>，</w:t>
            </w:r>
            <w:r>
              <w:rPr>
                <w:color w:val="auto"/>
                <w:spacing w:val="-44"/>
                <w:sz w:val="21"/>
                <w:szCs w:val="21"/>
                <w:highlight w:val="none"/>
              </w:rPr>
              <w:t xml:space="preserve"> </w:t>
            </w:r>
            <w:r>
              <w:rPr>
                <w:color w:val="auto"/>
                <w:spacing w:val="20"/>
                <w:sz w:val="21"/>
                <w:szCs w:val="21"/>
                <w:highlight w:val="none"/>
              </w:rPr>
              <w:t>中标人承担</w:t>
            </w:r>
          </w:p>
          <w:p w14:paraId="3B840A1A">
            <w:pPr>
              <w:pStyle w:val="42"/>
              <w:keepNext w:val="0"/>
              <w:keepLines w:val="0"/>
              <w:pageBreakBefore w:val="0"/>
              <w:widowControl w:val="0"/>
              <w:kinsoku/>
              <w:wordWrap/>
              <w:overflowPunct/>
              <w:topLinePunct w:val="0"/>
              <w:autoSpaceDE/>
              <w:autoSpaceDN/>
              <w:bidi w:val="0"/>
              <w:adjustRightInd/>
              <w:snapToGrid/>
              <w:spacing w:line="360" w:lineRule="exact"/>
              <w:ind w:left="129"/>
              <w:textAlignment w:val="auto"/>
              <w:rPr>
                <w:color w:val="auto"/>
                <w:sz w:val="21"/>
                <w:szCs w:val="21"/>
                <w:highlight w:val="none"/>
              </w:rPr>
            </w:pPr>
            <w:r>
              <w:rPr>
                <w:color w:val="auto"/>
                <w:spacing w:val="3"/>
                <w:sz w:val="21"/>
                <w:szCs w:val="21"/>
                <w:highlight w:val="none"/>
              </w:rPr>
              <w:t>1000</w:t>
            </w:r>
            <w:r>
              <w:rPr>
                <w:color w:val="auto"/>
                <w:spacing w:val="-33"/>
                <w:sz w:val="21"/>
                <w:szCs w:val="21"/>
                <w:highlight w:val="none"/>
              </w:rPr>
              <w:t xml:space="preserve"> </w:t>
            </w:r>
            <w:r>
              <w:rPr>
                <w:color w:val="auto"/>
                <w:spacing w:val="3"/>
                <w:sz w:val="21"/>
                <w:szCs w:val="21"/>
                <w:highlight w:val="none"/>
              </w:rPr>
              <w:t>元/处违约金。</w:t>
            </w:r>
          </w:p>
        </w:tc>
      </w:tr>
      <w:tr w14:paraId="1AF1C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6032" w:type="dxa"/>
            <w:noWrap w:val="0"/>
            <w:vAlign w:val="top"/>
          </w:tcPr>
          <w:p w14:paraId="3F38F6A6">
            <w:pPr>
              <w:keepNext w:val="0"/>
              <w:keepLines w:val="0"/>
              <w:pageBreakBefore w:val="0"/>
              <w:widowControl w:val="0"/>
              <w:kinsoku/>
              <w:wordWrap/>
              <w:overflowPunct/>
              <w:topLinePunct w:val="0"/>
              <w:autoSpaceDE/>
              <w:autoSpaceDN/>
              <w:bidi w:val="0"/>
              <w:adjustRightInd/>
              <w:snapToGrid/>
              <w:spacing w:line="360" w:lineRule="exact"/>
              <w:textAlignment w:val="auto"/>
              <w:rPr>
                <w:rFonts w:ascii="Arial"/>
                <w:color w:val="auto"/>
                <w:sz w:val="21"/>
                <w:szCs w:val="21"/>
                <w:highlight w:val="none"/>
              </w:rPr>
            </w:pPr>
          </w:p>
          <w:p w14:paraId="4C86881E">
            <w:pPr>
              <w:pStyle w:val="42"/>
              <w:keepNext w:val="0"/>
              <w:keepLines w:val="0"/>
              <w:pageBreakBefore w:val="0"/>
              <w:widowControl w:val="0"/>
              <w:kinsoku/>
              <w:wordWrap/>
              <w:overflowPunct/>
              <w:topLinePunct w:val="0"/>
              <w:autoSpaceDE/>
              <w:autoSpaceDN/>
              <w:bidi w:val="0"/>
              <w:adjustRightInd/>
              <w:snapToGrid/>
              <w:spacing w:line="360" w:lineRule="exact"/>
              <w:ind w:left="118" w:leftChars="0"/>
              <w:textAlignment w:val="auto"/>
              <w:rPr>
                <w:rFonts w:ascii="宋体" w:hAnsi="宋体" w:eastAsia="宋体" w:cs="宋体"/>
                <w:snapToGrid w:val="0"/>
                <w:color w:val="auto"/>
                <w:kern w:val="0"/>
                <w:sz w:val="21"/>
                <w:szCs w:val="21"/>
                <w:highlight w:val="none"/>
                <w:lang w:val="en-US" w:eastAsia="en-US" w:bidi="ar-SA"/>
              </w:rPr>
            </w:pPr>
            <w:r>
              <w:rPr>
                <w:color w:val="auto"/>
                <w:spacing w:val="6"/>
                <w:sz w:val="21"/>
                <w:szCs w:val="21"/>
                <w:highlight w:val="none"/>
              </w:rPr>
              <w:t>不合格苗木必须在验收后</w:t>
            </w:r>
            <w:r>
              <w:rPr>
                <w:color w:val="auto"/>
                <w:spacing w:val="-9"/>
                <w:sz w:val="21"/>
                <w:szCs w:val="21"/>
                <w:highlight w:val="none"/>
              </w:rPr>
              <w:t xml:space="preserve"> </w:t>
            </w:r>
            <w:r>
              <w:rPr>
                <w:color w:val="auto"/>
                <w:spacing w:val="6"/>
                <w:sz w:val="21"/>
                <w:szCs w:val="21"/>
                <w:highlight w:val="none"/>
              </w:rPr>
              <w:t>12</w:t>
            </w:r>
            <w:r>
              <w:rPr>
                <w:color w:val="auto"/>
                <w:spacing w:val="-33"/>
                <w:sz w:val="21"/>
                <w:szCs w:val="21"/>
                <w:highlight w:val="none"/>
              </w:rPr>
              <w:t xml:space="preserve"> </w:t>
            </w:r>
            <w:r>
              <w:rPr>
                <w:color w:val="auto"/>
                <w:spacing w:val="6"/>
                <w:sz w:val="21"/>
                <w:szCs w:val="21"/>
                <w:highlight w:val="none"/>
              </w:rPr>
              <w:t>小时内清除出现场。</w:t>
            </w:r>
          </w:p>
        </w:tc>
        <w:tc>
          <w:tcPr>
            <w:tcW w:w="4483" w:type="dxa"/>
            <w:noWrap w:val="0"/>
            <w:vAlign w:val="top"/>
          </w:tcPr>
          <w:p w14:paraId="5D6DB802">
            <w:pPr>
              <w:pStyle w:val="42"/>
              <w:keepNext w:val="0"/>
              <w:keepLines w:val="0"/>
              <w:pageBreakBefore w:val="0"/>
              <w:widowControl w:val="0"/>
              <w:kinsoku/>
              <w:wordWrap/>
              <w:overflowPunct/>
              <w:topLinePunct w:val="0"/>
              <w:autoSpaceDE/>
              <w:autoSpaceDN/>
              <w:bidi w:val="0"/>
              <w:adjustRightInd/>
              <w:snapToGrid/>
              <w:spacing w:line="360" w:lineRule="exact"/>
              <w:ind w:left="115" w:leftChars="0" w:right="107" w:rightChars="0" w:firstLine="1" w:firstLineChars="0"/>
              <w:jc w:val="both"/>
              <w:textAlignment w:val="auto"/>
              <w:rPr>
                <w:rFonts w:ascii="宋体" w:hAnsi="宋体" w:eastAsia="宋体" w:cs="宋体"/>
                <w:snapToGrid w:val="0"/>
                <w:color w:val="auto"/>
                <w:kern w:val="0"/>
                <w:sz w:val="21"/>
                <w:szCs w:val="21"/>
                <w:highlight w:val="none"/>
                <w:lang w:val="en-US" w:eastAsia="en-US" w:bidi="ar-SA"/>
              </w:rPr>
            </w:pPr>
            <w:r>
              <w:rPr>
                <w:color w:val="auto"/>
                <w:spacing w:val="12"/>
                <w:sz w:val="21"/>
                <w:szCs w:val="21"/>
                <w:highlight w:val="none"/>
              </w:rPr>
              <w:t>未及时清除出现场的，中标人第一</w:t>
            </w:r>
            <w:r>
              <w:rPr>
                <w:color w:val="auto"/>
                <w:spacing w:val="11"/>
                <w:sz w:val="21"/>
                <w:szCs w:val="21"/>
                <w:highlight w:val="none"/>
              </w:rPr>
              <w:t xml:space="preserve"> </w:t>
            </w:r>
            <w:r>
              <w:rPr>
                <w:color w:val="auto"/>
                <w:spacing w:val="10"/>
                <w:sz w:val="21"/>
                <w:szCs w:val="21"/>
                <w:highlight w:val="none"/>
              </w:rPr>
              <w:t>次承担</w:t>
            </w:r>
            <w:r>
              <w:rPr>
                <w:color w:val="auto"/>
                <w:spacing w:val="-31"/>
                <w:sz w:val="21"/>
                <w:szCs w:val="21"/>
                <w:highlight w:val="none"/>
              </w:rPr>
              <w:t xml:space="preserve"> </w:t>
            </w:r>
            <w:r>
              <w:rPr>
                <w:color w:val="auto"/>
                <w:spacing w:val="10"/>
                <w:sz w:val="21"/>
                <w:szCs w:val="21"/>
                <w:highlight w:val="none"/>
              </w:rPr>
              <w:t>500</w:t>
            </w:r>
            <w:r>
              <w:rPr>
                <w:color w:val="auto"/>
                <w:spacing w:val="-36"/>
                <w:sz w:val="21"/>
                <w:szCs w:val="21"/>
                <w:highlight w:val="none"/>
              </w:rPr>
              <w:t xml:space="preserve"> </w:t>
            </w:r>
            <w:r>
              <w:rPr>
                <w:color w:val="auto"/>
                <w:spacing w:val="10"/>
                <w:sz w:val="21"/>
                <w:szCs w:val="21"/>
                <w:highlight w:val="none"/>
              </w:rPr>
              <w:t>元违约金，第二次承担</w:t>
            </w:r>
            <w:r>
              <w:rPr>
                <w:color w:val="auto"/>
                <w:sz w:val="21"/>
                <w:szCs w:val="21"/>
                <w:highlight w:val="none"/>
              </w:rPr>
              <w:t xml:space="preserve"> </w:t>
            </w:r>
            <w:r>
              <w:rPr>
                <w:color w:val="auto"/>
                <w:spacing w:val="13"/>
                <w:sz w:val="21"/>
                <w:szCs w:val="21"/>
                <w:highlight w:val="none"/>
              </w:rPr>
              <w:t>1000</w:t>
            </w:r>
            <w:r>
              <w:rPr>
                <w:color w:val="auto"/>
                <w:spacing w:val="-20"/>
                <w:sz w:val="21"/>
                <w:szCs w:val="21"/>
                <w:highlight w:val="none"/>
              </w:rPr>
              <w:t xml:space="preserve"> </w:t>
            </w:r>
            <w:r>
              <w:rPr>
                <w:color w:val="auto"/>
                <w:spacing w:val="13"/>
                <w:sz w:val="21"/>
                <w:szCs w:val="21"/>
                <w:highlight w:val="none"/>
              </w:rPr>
              <w:t>元违约金，第三次承担</w:t>
            </w:r>
            <w:r>
              <w:rPr>
                <w:color w:val="auto"/>
                <w:spacing w:val="-20"/>
                <w:sz w:val="21"/>
                <w:szCs w:val="21"/>
                <w:highlight w:val="none"/>
              </w:rPr>
              <w:t xml:space="preserve"> </w:t>
            </w:r>
            <w:r>
              <w:rPr>
                <w:color w:val="auto"/>
                <w:spacing w:val="13"/>
                <w:sz w:val="21"/>
                <w:szCs w:val="21"/>
                <w:highlight w:val="none"/>
              </w:rPr>
              <w:t>2000</w:t>
            </w:r>
            <w:r>
              <w:rPr>
                <w:color w:val="auto"/>
                <w:sz w:val="21"/>
                <w:szCs w:val="21"/>
                <w:highlight w:val="none"/>
              </w:rPr>
              <w:t xml:space="preserve"> </w:t>
            </w:r>
            <w:r>
              <w:rPr>
                <w:color w:val="auto"/>
                <w:spacing w:val="7"/>
                <w:sz w:val="21"/>
                <w:szCs w:val="21"/>
                <w:highlight w:val="none"/>
              </w:rPr>
              <w:t>元违约金，以此类推。</w:t>
            </w:r>
          </w:p>
        </w:tc>
      </w:tr>
      <w:tr w14:paraId="3569E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6032" w:type="dxa"/>
            <w:noWrap w:val="0"/>
            <w:vAlign w:val="top"/>
          </w:tcPr>
          <w:p w14:paraId="1E28EB11">
            <w:pPr>
              <w:pStyle w:val="42"/>
              <w:keepNext w:val="0"/>
              <w:keepLines w:val="0"/>
              <w:pageBreakBefore w:val="0"/>
              <w:widowControl w:val="0"/>
              <w:kinsoku/>
              <w:wordWrap/>
              <w:overflowPunct/>
              <w:topLinePunct w:val="0"/>
              <w:autoSpaceDE/>
              <w:autoSpaceDN/>
              <w:bidi w:val="0"/>
              <w:adjustRightInd/>
              <w:snapToGrid/>
              <w:spacing w:line="360" w:lineRule="exact"/>
              <w:ind w:left="114" w:leftChars="0" w:right="107" w:rightChars="0" w:firstLine="2" w:firstLineChars="0"/>
              <w:textAlignment w:val="auto"/>
              <w:rPr>
                <w:rFonts w:ascii="宋体" w:hAnsi="宋体" w:eastAsia="宋体" w:cs="宋体"/>
                <w:snapToGrid w:val="0"/>
                <w:color w:val="auto"/>
                <w:kern w:val="0"/>
                <w:sz w:val="21"/>
                <w:szCs w:val="21"/>
                <w:highlight w:val="none"/>
                <w:lang w:val="en-US" w:eastAsia="en-US" w:bidi="ar-SA"/>
              </w:rPr>
            </w:pPr>
            <w:r>
              <w:rPr>
                <w:color w:val="auto"/>
                <w:spacing w:val="11"/>
                <w:sz w:val="21"/>
                <w:szCs w:val="21"/>
                <w:highlight w:val="none"/>
              </w:rPr>
              <w:t>苗木修剪工人须经培训后方可进行修剪，进场苗木验</w:t>
            </w:r>
            <w:r>
              <w:rPr>
                <w:color w:val="auto"/>
                <w:spacing w:val="12"/>
                <w:sz w:val="21"/>
                <w:szCs w:val="21"/>
                <w:highlight w:val="none"/>
              </w:rPr>
              <w:t xml:space="preserve"> </w:t>
            </w:r>
            <w:r>
              <w:rPr>
                <w:color w:val="auto"/>
                <w:spacing w:val="11"/>
                <w:sz w:val="21"/>
                <w:szCs w:val="21"/>
                <w:highlight w:val="none"/>
              </w:rPr>
              <w:t>收合格后，在保持全冠的前提下适度疏枝。修剪时应</w:t>
            </w:r>
            <w:r>
              <w:rPr>
                <w:color w:val="auto"/>
                <w:spacing w:val="15"/>
                <w:sz w:val="21"/>
                <w:szCs w:val="21"/>
                <w:highlight w:val="none"/>
              </w:rPr>
              <w:t xml:space="preserve"> </w:t>
            </w:r>
            <w:r>
              <w:rPr>
                <w:color w:val="auto"/>
                <w:spacing w:val="11"/>
                <w:sz w:val="21"/>
                <w:szCs w:val="21"/>
                <w:highlight w:val="none"/>
              </w:rPr>
              <w:t>去除所有损伤枝、断枝、枯枝。切口要平整，留枝、</w:t>
            </w:r>
            <w:r>
              <w:rPr>
                <w:color w:val="auto"/>
                <w:spacing w:val="15"/>
                <w:sz w:val="21"/>
                <w:szCs w:val="21"/>
                <w:highlight w:val="none"/>
              </w:rPr>
              <w:t xml:space="preserve"> </w:t>
            </w:r>
            <w:r>
              <w:rPr>
                <w:color w:val="auto"/>
                <w:spacing w:val="10"/>
                <w:sz w:val="21"/>
                <w:szCs w:val="21"/>
                <w:highlight w:val="none"/>
              </w:rPr>
              <w:t>留叶要合理，树形要匀称。在修剪直径</w:t>
            </w:r>
            <w:r>
              <w:rPr>
                <w:color w:val="auto"/>
                <w:spacing w:val="-35"/>
                <w:sz w:val="21"/>
                <w:szCs w:val="21"/>
                <w:highlight w:val="none"/>
              </w:rPr>
              <w:t xml:space="preserve"> </w:t>
            </w:r>
            <w:r>
              <w:rPr>
                <w:color w:val="auto"/>
                <w:spacing w:val="10"/>
                <w:sz w:val="21"/>
                <w:szCs w:val="21"/>
                <w:highlight w:val="none"/>
              </w:rPr>
              <w:t>2</w:t>
            </w:r>
            <w:r>
              <w:rPr>
                <w:color w:val="auto"/>
                <w:sz w:val="21"/>
                <w:szCs w:val="21"/>
                <w:highlight w:val="none"/>
              </w:rPr>
              <w:t>cm</w:t>
            </w:r>
            <w:r>
              <w:rPr>
                <w:color w:val="auto"/>
                <w:spacing w:val="-14"/>
                <w:sz w:val="21"/>
                <w:szCs w:val="21"/>
                <w:highlight w:val="none"/>
              </w:rPr>
              <w:t xml:space="preserve"> </w:t>
            </w:r>
            <w:r>
              <w:rPr>
                <w:color w:val="auto"/>
                <w:spacing w:val="10"/>
                <w:sz w:val="21"/>
                <w:szCs w:val="21"/>
                <w:highlight w:val="none"/>
              </w:rPr>
              <w:t>以</w:t>
            </w:r>
            <w:r>
              <w:rPr>
                <w:color w:val="auto"/>
                <w:spacing w:val="9"/>
                <w:sz w:val="21"/>
                <w:szCs w:val="21"/>
                <w:highlight w:val="none"/>
              </w:rPr>
              <w:t>上大枝</w:t>
            </w:r>
            <w:r>
              <w:rPr>
                <w:color w:val="auto"/>
                <w:sz w:val="21"/>
                <w:szCs w:val="21"/>
                <w:highlight w:val="none"/>
              </w:rPr>
              <w:t xml:space="preserve"> </w:t>
            </w:r>
            <w:r>
              <w:rPr>
                <w:color w:val="auto"/>
                <w:spacing w:val="9"/>
                <w:sz w:val="21"/>
                <w:szCs w:val="21"/>
                <w:highlight w:val="none"/>
              </w:rPr>
              <w:t>及粗根时，须截口削平，并设置专人进行涂防腐剂。</w:t>
            </w:r>
          </w:p>
        </w:tc>
        <w:tc>
          <w:tcPr>
            <w:tcW w:w="4483" w:type="dxa"/>
            <w:noWrap w:val="0"/>
            <w:vAlign w:val="top"/>
          </w:tcPr>
          <w:p w14:paraId="43CED075">
            <w:pPr>
              <w:keepNext w:val="0"/>
              <w:keepLines w:val="0"/>
              <w:pageBreakBefore w:val="0"/>
              <w:widowControl w:val="0"/>
              <w:kinsoku/>
              <w:wordWrap/>
              <w:overflowPunct/>
              <w:topLinePunct w:val="0"/>
              <w:autoSpaceDE/>
              <w:autoSpaceDN/>
              <w:bidi w:val="0"/>
              <w:adjustRightInd/>
              <w:snapToGrid/>
              <w:spacing w:line="360" w:lineRule="exact"/>
              <w:textAlignment w:val="auto"/>
              <w:rPr>
                <w:rFonts w:ascii="Arial"/>
                <w:color w:val="auto"/>
                <w:sz w:val="21"/>
                <w:szCs w:val="21"/>
                <w:highlight w:val="none"/>
              </w:rPr>
            </w:pPr>
          </w:p>
          <w:p w14:paraId="671630ED">
            <w:pPr>
              <w:pStyle w:val="42"/>
              <w:keepNext w:val="0"/>
              <w:keepLines w:val="0"/>
              <w:pageBreakBefore w:val="0"/>
              <w:widowControl w:val="0"/>
              <w:kinsoku/>
              <w:wordWrap/>
              <w:overflowPunct/>
              <w:topLinePunct w:val="0"/>
              <w:autoSpaceDE/>
              <w:autoSpaceDN/>
              <w:bidi w:val="0"/>
              <w:adjustRightInd/>
              <w:snapToGrid/>
              <w:spacing w:line="360" w:lineRule="exact"/>
              <w:ind w:left="114" w:leftChars="0" w:right="108" w:rightChars="0"/>
              <w:jc w:val="both"/>
              <w:textAlignment w:val="auto"/>
              <w:rPr>
                <w:rFonts w:ascii="宋体" w:hAnsi="宋体" w:eastAsia="宋体" w:cs="宋体"/>
                <w:snapToGrid w:val="0"/>
                <w:color w:val="auto"/>
                <w:kern w:val="0"/>
                <w:sz w:val="21"/>
                <w:szCs w:val="21"/>
                <w:highlight w:val="none"/>
                <w:lang w:val="en-US" w:eastAsia="en-US" w:bidi="ar-SA"/>
              </w:rPr>
            </w:pPr>
            <w:r>
              <w:rPr>
                <w:color w:val="auto"/>
                <w:spacing w:val="13"/>
                <w:sz w:val="21"/>
                <w:szCs w:val="21"/>
                <w:highlight w:val="none"/>
              </w:rPr>
              <w:t>擅自修剪和未涂防腐剂的，苗木作</w:t>
            </w:r>
            <w:r>
              <w:rPr>
                <w:color w:val="auto"/>
                <w:sz w:val="21"/>
                <w:szCs w:val="21"/>
                <w:highlight w:val="none"/>
              </w:rPr>
              <w:t xml:space="preserve"> </w:t>
            </w:r>
            <w:r>
              <w:rPr>
                <w:color w:val="auto"/>
                <w:spacing w:val="13"/>
                <w:sz w:val="21"/>
                <w:szCs w:val="21"/>
                <w:highlight w:val="none"/>
              </w:rPr>
              <w:t>为不合格予以清场，另外承担</w:t>
            </w:r>
            <w:r>
              <w:rPr>
                <w:color w:val="auto"/>
                <w:spacing w:val="-16"/>
                <w:sz w:val="21"/>
                <w:szCs w:val="21"/>
                <w:highlight w:val="none"/>
              </w:rPr>
              <w:t xml:space="preserve"> </w:t>
            </w:r>
            <w:r>
              <w:rPr>
                <w:color w:val="auto"/>
                <w:spacing w:val="13"/>
                <w:sz w:val="21"/>
                <w:szCs w:val="21"/>
                <w:highlight w:val="none"/>
              </w:rPr>
              <w:t>500</w:t>
            </w:r>
            <w:r>
              <w:rPr>
                <w:color w:val="auto"/>
                <w:sz w:val="21"/>
                <w:szCs w:val="21"/>
                <w:highlight w:val="none"/>
              </w:rPr>
              <w:t xml:space="preserve"> </w:t>
            </w:r>
            <w:r>
              <w:rPr>
                <w:color w:val="auto"/>
                <w:spacing w:val="6"/>
                <w:sz w:val="21"/>
                <w:szCs w:val="21"/>
                <w:highlight w:val="none"/>
              </w:rPr>
              <w:t>元/次违约金。</w:t>
            </w:r>
          </w:p>
        </w:tc>
      </w:tr>
      <w:tr w14:paraId="5FE64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6032" w:type="dxa"/>
            <w:noWrap w:val="0"/>
            <w:vAlign w:val="top"/>
          </w:tcPr>
          <w:p w14:paraId="03D878B9">
            <w:pPr>
              <w:pStyle w:val="42"/>
              <w:keepNext w:val="0"/>
              <w:keepLines w:val="0"/>
              <w:pageBreakBefore w:val="0"/>
              <w:widowControl w:val="0"/>
              <w:kinsoku/>
              <w:wordWrap/>
              <w:overflowPunct/>
              <w:topLinePunct w:val="0"/>
              <w:autoSpaceDE/>
              <w:autoSpaceDN/>
              <w:bidi w:val="0"/>
              <w:adjustRightInd/>
              <w:snapToGrid/>
              <w:spacing w:line="360" w:lineRule="exact"/>
              <w:ind w:left="114" w:leftChars="0" w:right="108" w:rightChars="0" w:firstLine="4" w:firstLineChars="0"/>
              <w:textAlignment w:val="auto"/>
              <w:rPr>
                <w:rFonts w:ascii="宋体" w:hAnsi="宋体" w:eastAsia="宋体" w:cs="宋体"/>
                <w:snapToGrid w:val="0"/>
                <w:color w:val="auto"/>
                <w:kern w:val="0"/>
                <w:sz w:val="21"/>
                <w:szCs w:val="21"/>
                <w:highlight w:val="none"/>
                <w:lang w:val="en-US" w:eastAsia="en-US" w:bidi="ar-SA"/>
              </w:rPr>
            </w:pPr>
            <w:r>
              <w:rPr>
                <w:color w:val="auto"/>
                <w:spacing w:val="11"/>
                <w:sz w:val="21"/>
                <w:szCs w:val="21"/>
                <w:highlight w:val="none"/>
              </w:rPr>
              <w:t>行道树栽植应成直线，高度一致，树干通直，树皮无 疤痕；支撑形式、高度、材质统一；树木应平土球栽</w:t>
            </w:r>
            <w:r>
              <w:rPr>
                <w:color w:val="auto"/>
                <w:spacing w:val="15"/>
                <w:sz w:val="21"/>
                <w:szCs w:val="21"/>
                <w:highlight w:val="none"/>
              </w:rPr>
              <w:t xml:space="preserve"> </w:t>
            </w:r>
            <w:r>
              <w:rPr>
                <w:color w:val="auto"/>
                <w:spacing w:val="8"/>
                <w:sz w:val="21"/>
                <w:szCs w:val="21"/>
                <w:highlight w:val="none"/>
              </w:rPr>
              <w:t>植，绿带边、分车带土方低于侧石</w:t>
            </w:r>
            <w:r>
              <w:rPr>
                <w:color w:val="auto"/>
                <w:spacing w:val="-26"/>
                <w:sz w:val="21"/>
                <w:szCs w:val="21"/>
                <w:highlight w:val="none"/>
              </w:rPr>
              <w:t xml:space="preserve"> </w:t>
            </w:r>
            <w:r>
              <w:rPr>
                <w:color w:val="auto"/>
                <w:spacing w:val="8"/>
                <w:sz w:val="21"/>
                <w:szCs w:val="21"/>
                <w:highlight w:val="none"/>
              </w:rPr>
              <w:t>5</w:t>
            </w:r>
            <w:r>
              <w:rPr>
                <w:color w:val="auto"/>
                <w:spacing w:val="-31"/>
                <w:sz w:val="21"/>
                <w:szCs w:val="21"/>
                <w:highlight w:val="none"/>
              </w:rPr>
              <w:t xml:space="preserve"> </w:t>
            </w:r>
            <w:r>
              <w:rPr>
                <w:color w:val="auto"/>
                <w:spacing w:val="8"/>
                <w:sz w:val="21"/>
                <w:szCs w:val="21"/>
                <w:highlight w:val="none"/>
              </w:rPr>
              <w:t>㎝</w:t>
            </w:r>
            <w:r>
              <w:rPr>
                <w:color w:val="auto"/>
                <w:spacing w:val="-59"/>
                <w:sz w:val="21"/>
                <w:szCs w:val="21"/>
                <w:highlight w:val="none"/>
              </w:rPr>
              <w:t xml:space="preserve"> </w:t>
            </w:r>
            <w:r>
              <w:rPr>
                <w:color w:val="auto"/>
                <w:spacing w:val="8"/>
                <w:sz w:val="21"/>
                <w:szCs w:val="21"/>
                <w:highlight w:val="none"/>
              </w:rPr>
              <w:t>；色块均匀，</w:t>
            </w:r>
            <w:r>
              <w:rPr>
                <w:color w:val="auto"/>
                <w:sz w:val="21"/>
                <w:szCs w:val="21"/>
                <w:highlight w:val="none"/>
              </w:rPr>
              <w:t xml:space="preserve"> </w:t>
            </w:r>
            <w:r>
              <w:rPr>
                <w:color w:val="auto"/>
                <w:spacing w:val="6"/>
                <w:sz w:val="21"/>
                <w:szCs w:val="21"/>
                <w:highlight w:val="none"/>
              </w:rPr>
              <w:t>到边到角。</w:t>
            </w:r>
          </w:p>
        </w:tc>
        <w:tc>
          <w:tcPr>
            <w:tcW w:w="4483" w:type="dxa"/>
            <w:noWrap w:val="0"/>
            <w:vAlign w:val="top"/>
          </w:tcPr>
          <w:p w14:paraId="115EDCDC">
            <w:pPr>
              <w:keepNext w:val="0"/>
              <w:keepLines w:val="0"/>
              <w:pageBreakBefore w:val="0"/>
              <w:widowControl w:val="0"/>
              <w:kinsoku/>
              <w:wordWrap/>
              <w:overflowPunct/>
              <w:topLinePunct w:val="0"/>
              <w:autoSpaceDE/>
              <w:autoSpaceDN/>
              <w:bidi w:val="0"/>
              <w:adjustRightInd/>
              <w:snapToGrid/>
              <w:spacing w:line="360" w:lineRule="exact"/>
              <w:textAlignment w:val="auto"/>
              <w:rPr>
                <w:rFonts w:ascii="Arial"/>
                <w:color w:val="auto"/>
                <w:sz w:val="21"/>
                <w:szCs w:val="21"/>
                <w:highlight w:val="none"/>
              </w:rPr>
            </w:pPr>
          </w:p>
          <w:p w14:paraId="59F96FE6">
            <w:pPr>
              <w:pStyle w:val="42"/>
              <w:keepNext w:val="0"/>
              <w:keepLines w:val="0"/>
              <w:pageBreakBefore w:val="0"/>
              <w:widowControl w:val="0"/>
              <w:kinsoku/>
              <w:wordWrap/>
              <w:overflowPunct/>
              <w:topLinePunct w:val="0"/>
              <w:autoSpaceDE/>
              <w:autoSpaceDN/>
              <w:bidi w:val="0"/>
              <w:adjustRightInd/>
              <w:snapToGrid/>
              <w:spacing w:line="360" w:lineRule="exact"/>
              <w:ind w:left="115" w:leftChars="0" w:right="107" w:rightChars="0" w:firstLine="1" w:firstLineChars="0"/>
              <w:textAlignment w:val="auto"/>
              <w:rPr>
                <w:rFonts w:ascii="宋体" w:hAnsi="宋体" w:eastAsia="宋体" w:cs="宋体"/>
                <w:snapToGrid w:val="0"/>
                <w:color w:val="auto"/>
                <w:kern w:val="0"/>
                <w:sz w:val="21"/>
                <w:szCs w:val="21"/>
                <w:highlight w:val="none"/>
                <w:lang w:val="en-US" w:eastAsia="en-US" w:bidi="ar-SA"/>
              </w:rPr>
            </w:pPr>
            <w:r>
              <w:rPr>
                <w:color w:val="auto"/>
                <w:spacing w:val="1"/>
                <w:sz w:val="21"/>
                <w:szCs w:val="21"/>
                <w:highlight w:val="none"/>
              </w:rPr>
              <w:t>发现一处不合格的，中标人承担</w:t>
            </w:r>
            <w:r>
              <w:rPr>
                <w:color w:val="auto"/>
                <w:spacing w:val="-25"/>
                <w:sz w:val="21"/>
                <w:szCs w:val="21"/>
                <w:highlight w:val="none"/>
              </w:rPr>
              <w:t xml:space="preserve"> </w:t>
            </w:r>
            <w:r>
              <w:rPr>
                <w:color w:val="auto"/>
                <w:spacing w:val="1"/>
                <w:sz w:val="21"/>
                <w:szCs w:val="21"/>
                <w:highlight w:val="none"/>
              </w:rPr>
              <w:t>500</w:t>
            </w:r>
            <w:r>
              <w:rPr>
                <w:color w:val="auto"/>
                <w:sz w:val="21"/>
                <w:szCs w:val="21"/>
                <w:highlight w:val="none"/>
              </w:rPr>
              <w:t xml:space="preserve"> </w:t>
            </w:r>
            <w:r>
              <w:rPr>
                <w:color w:val="auto"/>
                <w:spacing w:val="6"/>
                <w:sz w:val="21"/>
                <w:szCs w:val="21"/>
                <w:highlight w:val="none"/>
              </w:rPr>
              <w:t>元/处违约金。</w:t>
            </w:r>
          </w:p>
        </w:tc>
      </w:tr>
      <w:tr w14:paraId="12E31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6032" w:type="dxa"/>
            <w:noWrap w:val="0"/>
            <w:vAlign w:val="top"/>
          </w:tcPr>
          <w:p w14:paraId="447F016B">
            <w:pPr>
              <w:pStyle w:val="42"/>
              <w:keepNext w:val="0"/>
              <w:keepLines w:val="0"/>
              <w:pageBreakBefore w:val="0"/>
              <w:widowControl w:val="0"/>
              <w:kinsoku/>
              <w:wordWrap/>
              <w:overflowPunct/>
              <w:topLinePunct w:val="0"/>
              <w:autoSpaceDE/>
              <w:autoSpaceDN/>
              <w:bidi w:val="0"/>
              <w:adjustRightInd/>
              <w:snapToGrid/>
              <w:spacing w:line="360" w:lineRule="exact"/>
              <w:ind w:left="115" w:leftChars="0" w:right="53" w:rightChars="0" w:firstLine="1" w:firstLineChars="0"/>
              <w:jc w:val="both"/>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1"/>
                <w:sz w:val="21"/>
                <w:szCs w:val="21"/>
                <w:highlight w:val="none"/>
              </w:rPr>
              <w:t>草坪铺种前，土壤应通过旋耕等方式使之蓬松，且土</w:t>
            </w:r>
            <w:r>
              <w:rPr>
                <w:rFonts w:hint="eastAsia" w:ascii="宋体" w:hAnsi="宋体" w:eastAsia="宋体" w:cs="宋体"/>
                <w:color w:val="auto"/>
                <w:spacing w:val="12"/>
                <w:sz w:val="21"/>
                <w:szCs w:val="21"/>
                <w:highlight w:val="none"/>
              </w:rPr>
              <w:t xml:space="preserve"> </w:t>
            </w:r>
            <w:r>
              <w:rPr>
                <w:rFonts w:hint="eastAsia" w:ascii="宋体" w:hAnsi="宋体" w:eastAsia="宋体" w:cs="宋体"/>
                <w:color w:val="auto"/>
                <w:spacing w:val="7"/>
                <w:sz w:val="21"/>
                <w:szCs w:val="21"/>
                <w:highlight w:val="none"/>
              </w:rPr>
              <w:t>壤颗粒不得大于</w:t>
            </w:r>
            <w:r>
              <w:rPr>
                <w:rFonts w:hint="eastAsia" w:ascii="宋体" w:hAnsi="宋体" w:eastAsia="宋体" w:cs="宋体"/>
                <w:color w:val="auto"/>
                <w:spacing w:val="-35"/>
                <w:sz w:val="21"/>
                <w:szCs w:val="21"/>
                <w:highlight w:val="none"/>
              </w:rPr>
              <w:t xml:space="preserve"> </w:t>
            </w:r>
            <w:r>
              <w:rPr>
                <w:rFonts w:hint="eastAsia" w:ascii="宋体" w:hAnsi="宋体" w:eastAsia="宋体" w:cs="宋体"/>
                <w:color w:val="auto"/>
                <w:spacing w:val="7"/>
                <w:sz w:val="21"/>
                <w:szCs w:val="21"/>
                <w:highlight w:val="none"/>
              </w:rPr>
              <w:t>3</w:t>
            </w:r>
            <w:r>
              <w:rPr>
                <w:rFonts w:hint="eastAsia" w:ascii="宋体" w:hAnsi="宋体" w:eastAsia="宋体" w:cs="宋体"/>
                <w:color w:val="auto"/>
                <w:sz w:val="21"/>
                <w:szCs w:val="21"/>
                <w:highlight w:val="none"/>
              </w:rPr>
              <w:t>cm</w:t>
            </w:r>
            <w:r>
              <w:rPr>
                <w:rFonts w:hint="eastAsia" w:ascii="宋体" w:hAnsi="宋体" w:eastAsia="宋体" w:cs="宋体"/>
                <w:color w:val="auto"/>
                <w:spacing w:val="7"/>
                <w:sz w:val="21"/>
                <w:szCs w:val="21"/>
                <w:highlight w:val="none"/>
              </w:rPr>
              <w:t>，并利用砂找平，铺种后</w:t>
            </w:r>
            <w:r>
              <w:rPr>
                <w:rFonts w:hint="eastAsia" w:ascii="宋体" w:hAnsi="宋体" w:eastAsia="宋体" w:cs="宋体"/>
                <w:color w:val="auto"/>
                <w:spacing w:val="6"/>
                <w:sz w:val="21"/>
                <w:szCs w:val="21"/>
                <w:highlight w:val="none"/>
              </w:rPr>
              <w:t>应碾压，</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7"/>
                <w:sz w:val="21"/>
                <w:szCs w:val="21"/>
                <w:highlight w:val="none"/>
              </w:rPr>
              <w:t>且平坦、排水通畅。</w:t>
            </w:r>
          </w:p>
        </w:tc>
        <w:tc>
          <w:tcPr>
            <w:tcW w:w="4483" w:type="dxa"/>
            <w:noWrap w:val="0"/>
            <w:vAlign w:val="top"/>
          </w:tcPr>
          <w:p w14:paraId="3D97A7C1">
            <w:pPr>
              <w:pStyle w:val="42"/>
              <w:keepNext w:val="0"/>
              <w:keepLines w:val="0"/>
              <w:pageBreakBefore w:val="0"/>
              <w:widowControl w:val="0"/>
              <w:kinsoku/>
              <w:wordWrap/>
              <w:overflowPunct/>
              <w:topLinePunct w:val="0"/>
              <w:autoSpaceDE/>
              <w:autoSpaceDN/>
              <w:bidi w:val="0"/>
              <w:adjustRightInd/>
              <w:snapToGrid/>
              <w:spacing w:line="360" w:lineRule="exact"/>
              <w:ind w:left="115" w:leftChars="0" w:right="107" w:rightChars="0" w:firstLine="1" w:firstLine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sz w:val="21"/>
                <w:szCs w:val="21"/>
                <w:highlight w:val="none"/>
              </w:rPr>
              <w:t>发现一处不合格的，中标人承担</w:t>
            </w:r>
            <w:r>
              <w:rPr>
                <w:rFonts w:hint="eastAsia" w:ascii="宋体" w:hAnsi="宋体" w:eastAsia="宋体" w:cs="宋体"/>
                <w:color w:val="auto"/>
                <w:spacing w:val="-25"/>
                <w:sz w:val="21"/>
                <w:szCs w:val="21"/>
                <w:highlight w:val="none"/>
              </w:rPr>
              <w:t xml:space="preserve"> </w:t>
            </w:r>
            <w:r>
              <w:rPr>
                <w:rFonts w:hint="eastAsia" w:ascii="宋体" w:hAnsi="宋体" w:eastAsia="宋体" w:cs="宋体"/>
                <w:color w:val="auto"/>
                <w:spacing w:val="1"/>
                <w:sz w:val="21"/>
                <w:szCs w:val="21"/>
                <w:highlight w:val="none"/>
              </w:rPr>
              <w:t>500</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元/处违约金。</w:t>
            </w:r>
          </w:p>
        </w:tc>
      </w:tr>
      <w:tr w14:paraId="68709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6032" w:type="dxa"/>
            <w:noWrap w:val="0"/>
            <w:vAlign w:val="top"/>
          </w:tcPr>
          <w:p w14:paraId="5ABC5822">
            <w:pPr>
              <w:pStyle w:val="42"/>
              <w:keepNext w:val="0"/>
              <w:keepLines w:val="0"/>
              <w:pageBreakBefore w:val="0"/>
              <w:widowControl w:val="0"/>
              <w:kinsoku/>
              <w:wordWrap/>
              <w:overflowPunct/>
              <w:topLinePunct w:val="0"/>
              <w:autoSpaceDE/>
              <w:autoSpaceDN/>
              <w:bidi w:val="0"/>
              <w:adjustRightInd/>
              <w:snapToGrid/>
              <w:spacing w:line="360" w:lineRule="exact"/>
              <w:ind w:left="115" w:leftChars="0" w:right="108" w:rightChars="0" w:firstLine="19" w:firstLineChars="0"/>
              <w:jc w:val="both"/>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0"/>
                <w:sz w:val="21"/>
                <w:szCs w:val="21"/>
                <w:highlight w:val="none"/>
              </w:rPr>
              <w:t>中标人须接受招标人、区监管部门以及市园林主管部</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11"/>
                <w:sz w:val="21"/>
                <w:szCs w:val="21"/>
                <w:highlight w:val="none"/>
              </w:rPr>
              <w:t>门的检查、随机抽查和工程质量监督，如发现质量问</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pacing w:val="8"/>
                <w:sz w:val="21"/>
                <w:szCs w:val="21"/>
                <w:highlight w:val="none"/>
              </w:rPr>
              <w:t>题，中标人应立即整改。</w:t>
            </w:r>
          </w:p>
        </w:tc>
        <w:tc>
          <w:tcPr>
            <w:tcW w:w="4483" w:type="dxa"/>
            <w:noWrap w:val="0"/>
            <w:vAlign w:val="top"/>
          </w:tcPr>
          <w:p w14:paraId="346A3AD9">
            <w:pPr>
              <w:pStyle w:val="42"/>
              <w:keepNext w:val="0"/>
              <w:keepLines w:val="0"/>
              <w:pageBreakBefore w:val="0"/>
              <w:widowControl w:val="0"/>
              <w:kinsoku/>
              <w:wordWrap/>
              <w:overflowPunct/>
              <w:topLinePunct w:val="0"/>
              <w:autoSpaceDE/>
              <w:autoSpaceDN/>
              <w:bidi w:val="0"/>
              <w:adjustRightInd/>
              <w:snapToGrid/>
              <w:spacing w:line="360" w:lineRule="exact"/>
              <w:ind w:left="114" w:leftChars="0" w:right="108" w:rightChars="0" w:firstLine="18" w:firstLineChars="0"/>
              <w:jc w:val="both"/>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1"/>
                <w:sz w:val="21"/>
                <w:szCs w:val="21"/>
                <w:highlight w:val="none"/>
              </w:rPr>
              <w:t>中标人除整改外，每发现一次还承</w:t>
            </w:r>
            <w:r>
              <w:rPr>
                <w:rFonts w:hint="eastAsia" w:ascii="宋体" w:hAnsi="宋体" w:eastAsia="宋体" w:cs="宋体"/>
                <w:color w:val="auto"/>
                <w:spacing w:val="10"/>
                <w:sz w:val="21"/>
                <w:szCs w:val="21"/>
                <w:highlight w:val="none"/>
              </w:rPr>
              <w:t xml:space="preserve"> </w:t>
            </w:r>
            <w:r>
              <w:rPr>
                <w:rFonts w:hint="eastAsia" w:ascii="宋体" w:hAnsi="宋体" w:eastAsia="宋体" w:cs="宋体"/>
                <w:color w:val="auto"/>
                <w:spacing w:val="4"/>
                <w:sz w:val="21"/>
                <w:szCs w:val="21"/>
                <w:highlight w:val="none"/>
              </w:rPr>
              <w:t>担</w:t>
            </w:r>
            <w:r>
              <w:rPr>
                <w:rFonts w:hint="eastAsia" w:ascii="宋体" w:hAnsi="宋体" w:eastAsia="宋体" w:cs="宋体"/>
                <w:color w:val="auto"/>
                <w:spacing w:val="-36"/>
                <w:sz w:val="21"/>
                <w:szCs w:val="21"/>
                <w:highlight w:val="none"/>
              </w:rPr>
              <w:t xml:space="preserve"> </w:t>
            </w:r>
            <w:r>
              <w:rPr>
                <w:rFonts w:hint="eastAsia" w:ascii="宋体" w:hAnsi="宋体" w:eastAsia="宋体" w:cs="宋体"/>
                <w:color w:val="auto"/>
                <w:spacing w:val="4"/>
                <w:sz w:val="21"/>
                <w:szCs w:val="21"/>
                <w:highlight w:val="none"/>
              </w:rPr>
              <w:t>2000</w:t>
            </w:r>
            <w:r>
              <w:rPr>
                <w:rFonts w:hint="eastAsia" w:ascii="宋体" w:hAnsi="宋体" w:eastAsia="宋体" w:cs="宋体"/>
                <w:color w:val="auto"/>
                <w:spacing w:val="-38"/>
                <w:sz w:val="21"/>
                <w:szCs w:val="21"/>
                <w:highlight w:val="none"/>
              </w:rPr>
              <w:t xml:space="preserve"> </w:t>
            </w:r>
            <w:r>
              <w:rPr>
                <w:rFonts w:hint="eastAsia" w:ascii="宋体" w:hAnsi="宋体" w:eastAsia="宋体" w:cs="宋体"/>
                <w:color w:val="auto"/>
                <w:spacing w:val="4"/>
                <w:sz w:val="21"/>
                <w:szCs w:val="21"/>
                <w:highlight w:val="none"/>
              </w:rPr>
              <w:t>元违约金，发现三次，招标</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3"/>
                <w:sz w:val="21"/>
                <w:szCs w:val="21"/>
                <w:highlight w:val="none"/>
              </w:rPr>
              <w:t>人上报相关行政主管部门记入不良</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5"/>
                <w:sz w:val="21"/>
                <w:szCs w:val="21"/>
                <w:highlight w:val="none"/>
              </w:rPr>
              <w:t>行为记录。</w:t>
            </w:r>
          </w:p>
        </w:tc>
      </w:tr>
      <w:tr w14:paraId="04E94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515" w:type="dxa"/>
            <w:gridSpan w:val="2"/>
            <w:noWrap w:val="0"/>
            <w:vAlign w:val="top"/>
          </w:tcPr>
          <w:p w14:paraId="47E2B211">
            <w:pPr>
              <w:pStyle w:val="42"/>
              <w:keepNext w:val="0"/>
              <w:keepLines w:val="0"/>
              <w:pageBreakBefore w:val="0"/>
              <w:widowControl w:val="0"/>
              <w:kinsoku/>
              <w:wordWrap/>
              <w:overflowPunct/>
              <w:topLinePunct w:val="0"/>
              <w:autoSpaceDE/>
              <w:autoSpaceDN/>
              <w:bidi w:val="0"/>
              <w:adjustRightInd/>
              <w:snapToGrid/>
              <w:spacing w:line="360" w:lineRule="exact"/>
              <w:ind w:left="114" w:leftChars="0" w:right="108" w:rightChars="0" w:firstLine="18" w:firstLineChars="0"/>
              <w:jc w:val="both"/>
              <w:textAlignment w:val="auto"/>
              <w:rPr>
                <w:rFonts w:hint="eastAsia" w:ascii="宋体" w:hAnsi="宋体" w:eastAsia="宋体" w:cs="宋体"/>
                <w:color w:val="auto"/>
                <w:spacing w:val="11"/>
                <w:sz w:val="21"/>
                <w:szCs w:val="21"/>
                <w:highlight w:val="none"/>
              </w:rPr>
            </w:pPr>
            <w:r>
              <w:rPr>
                <w:rFonts w:hint="eastAsia" w:ascii="宋体" w:hAnsi="宋体" w:eastAsia="宋体" w:cs="宋体"/>
                <w:b/>
                <w:bCs/>
                <w:color w:val="auto"/>
                <w:spacing w:val="11"/>
                <w:sz w:val="21"/>
                <w:szCs w:val="21"/>
                <w:highlight w:val="none"/>
                <w:lang w:val="en-US" w:eastAsia="zh-CN"/>
              </w:rPr>
              <w:t>二</w:t>
            </w:r>
            <w:r>
              <w:rPr>
                <w:rFonts w:hint="eastAsia" w:ascii="宋体" w:hAnsi="宋体" w:eastAsia="宋体" w:cs="宋体"/>
                <w:b/>
                <w:bCs/>
                <w:color w:val="auto"/>
                <w:spacing w:val="11"/>
                <w:sz w:val="21"/>
                <w:szCs w:val="21"/>
                <w:highlight w:val="none"/>
              </w:rPr>
              <w:t>、养护管理</w:t>
            </w:r>
          </w:p>
        </w:tc>
      </w:tr>
      <w:tr w14:paraId="0B595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6032" w:type="dxa"/>
            <w:noWrap w:val="0"/>
            <w:vAlign w:val="top"/>
          </w:tcPr>
          <w:p w14:paraId="7EB42DA3">
            <w:pPr>
              <w:pStyle w:val="42"/>
              <w:keepNext w:val="0"/>
              <w:keepLines w:val="0"/>
              <w:pageBreakBefore w:val="0"/>
              <w:widowControl w:val="0"/>
              <w:kinsoku/>
              <w:wordWrap/>
              <w:overflowPunct/>
              <w:topLinePunct w:val="0"/>
              <w:autoSpaceDE/>
              <w:autoSpaceDN/>
              <w:bidi w:val="0"/>
              <w:adjustRightInd/>
              <w:snapToGrid/>
              <w:spacing w:line="360" w:lineRule="exact"/>
              <w:ind w:left="116" w:leftChars="0" w:right="105" w:rightChars="0"/>
              <w:jc w:val="both"/>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3"/>
                <w:sz w:val="21"/>
                <w:szCs w:val="21"/>
                <w:highlight w:val="none"/>
              </w:rPr>
              <w:t>乔木、花灌木、整形灌木每年</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13"/>
                <w:sz w:val="21"/>
                <w:szCs w:val="21"/>
                <w:highlight w:val="none"/>
              </w:rPr>
              <w:t>3-10</w:t>
            </w:r>
            <w:r>
              <w:rPr>
                <w:rFonts w:hint="eastAsia" w:ascii="宋体" w:hAnsi="宋体" w:eastAsia="宋体" w:cs="宋体"/>
                <w:color w:val="auto"/>
                <w:spacing w:val="-29"/>
                <w:sz w:val="21"/>
                <w:szCs w:val="21"/>
                <w:highlight w:val="none"/>
              </w:rPr>
              <w:t xml:space="preserve"> </w:t>
            </w:r>
            <w:r>
              <w:rPr>
                <w:rFonts w:hint="eastAsia" w:ascii="宋体" w:hAnsi="宋体" w:eastAsia="宋体" w:cs="宋体"/>
                <w:color w:val="auto"/>
                <w:spacing w:val="13"/>
                <w:sz w:val="21"/>
                <w:szCs w:val="21"/>
                <w:highlight w:val="none"/>
              </w:rPr>
              <w:t>月每月浇水不少</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8"/>
                <w:sz w:val="21"/>
                <w:szCs w:val="21"/>
                <w:highlight w:val="none"/>
              </w:rPr>
              <w:t>于一次。灌木、地被</w:t>
            </w:r>
            <w:r>
              <w:rPr>
                <w:rFonts w:hint="eastAsia" w:ascii="宋体" w:hAnsi="宋体" w:eastAsia="宋体" w:cs="宋体"/>
                <w:color w:val="auto"/>
                <w:spacing w:val="-30"/>
                <w:sz w:val="21"/>
                <w:szCs w:val="21"/>
                <w:highlight w:val="none"/>
              </w:rPr>
              <w:t xml:space="preserve"> </w:t>
            </w:r>
            <w:r>
              <w:rPr>
                <w:rFonts w:hint="eastAsia" w:ascii="宋体" w:hAnsi="宋体" w:eastAsia="宋体" w:cs="宋体"/>
                <w:color w:val="auto"/>
                <w:spacing w:val="8"/>
                <w:sz w:val="21"/>
                <w:szCs w:val="21"/>
                <w:highlight w:val="none"/>
              </w:rPr>
              <w:t>30℃以下天气适时浇水，30</w:t>
            </w:r>
            <w:r>
              <w:rPr>
                <w:rFonts w:hint="eastAsia" w:ascii="宋体" w:hAnsi="宋体" w:eastAsia="宋体" w:cs="宋体"/>
                <w:color w:val="auto"/>
                <w:spacing w:val="7"/>
                <w:sz w:val="21"/>
                <w:szCs w:val="21"/>
                <w:highlight w:val="none"/>
              </w:rPr>
              <w:t>℃以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9"/>
                <w:sz w:val="21"/>
                <w:szCs w:val="21"/>
                <w:highlight w:val="none"/>
              </w:rPr>
              <w:t>上天  气每</w:t>
            </w:r>
            <w:r>
              <w:rPr>
                <w:rFonts w:hint="eastAsia" w:ascii="宋体" w:hAnsi="宋体" w:eastAsia="宋体" w:cs="宋体"/>
                <w:color w:val="auto"/>
                <w:spacing w:val="-26"/>
                <w:sz w:val="21"/>
                <w:szCs w:val="21"/>
                <w:highlight w:val="none"/>
              </w:rPr>
              <w:t xml:space="preserve"> </w:t>
            </w:r>
            <w:r>
              <w:rPr>
                <w:rFonts w:hint="eastAsia" w:ascii="宋体" w:hAnsi="宋体" w:eastAsia="宋体" w:cs="宋体"/>
                <w:color w:val="auto"/>
                <w:spacing w:val="9"/>
                <w:sz w:val="21"/>
                <w:szCs w:val="21"/>
                <w:highlight w:val="none"/>
              </w:rPr>
              <w:t>3</w:t>
            </w:r>
            <w:r>
              <w:rPr>
                <w:rFonts w:hint="eastAsia" w:ascii="宋体" w:hAnsi="宋体" w:eastAsia="宋体" w:cs="宋体"/>
                <w:color w:val="auto"/>
                <w:spacing w:val="-33"/>
                <w:sz w:val="21"/>
                <w:szCs w:val="21"/>
                <w:highlight w:val="none"/>
              </w:rPr>
              <w:t xml:space="preserve"> </w:t>
            </w:r>
            <w:r>
              <w:rPr>
                <w:rFonts w:hint="eastAsia" w:ascii="宋体" w:hAnsi="宋体" w:eastAsia="宋体" w:cs="宋体"/>
                <w:color w:val="auto"/>
                <w:spacing w:val="9"/>
                <w:sz w:val="21"/>
                <w:szCs w:val="21"/>
                <w:highlight w:val="none"/>
              </w:rPr>
              <w:t>天浇水一次，35℃以上天气每天浇水一</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8"/>
                <w:sz w:val="21"/>
                <w:szCs w:val="21"/>
                <w:highlight w:val="none"/>
              </w:rPr>
              <w:t>次。每次浇水应细浇慢灌、浇足浇透。</w:t>
            </w:r>
          </w:p>
        </w:tc>
        <w:tc>
          <w:tcPr>
            <w:tcW w:w="4483" w:type="dxa"/>
            <w:noWrap w:val="0"/>
            <w:vAlign w:val="top"/>
          </w:tcPr>
          <w:p w14:paraId="4C4820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1289E8CA">
            <w:pPr>
              <w:pStyle w:val="42"/>
              <w:keepNext w:val="0"/>
              <w:keepLines w:val="0"/>
              <w:pageBreakBefore w:val="0"/>
              <w:widowControl w:val="0"/>
              <w:kinsoku/>
              <w:wordWrap/>
              <w:overflowPunct/>
              <w:topLinePunct w:val="0"/>
              <w:autoSpaceDE/>
              <w:autoSpaceDN/>
              <w:bidi w:val="0"/>
              <w:adjustRightInd/>
              <w:snapToGrid/>
              <w:spacing w:line="360" w:lineRule="exact"/>
              <w:ind w:left="117" w:leftChars="0" w:right="108" w:rightChars="0" w:hanging="1" w:firstLine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3"/>
                <w:sz w:val="21"/>
                <w:szCs w:val="21"/>
                <w:highlight w:val="none"/>
              </w:rPr>
              <w:t>未达到此标准的，承担</w:t>
            </w:r>
            <w:r>
              <w:rPr>
                <w:rFonts w:hint="eastAsia" w:ascii="宋体" w:hAnsi="宋体" w:eastAsia="宋体" w:cs="宋体"/>
                <w:color w:val="auto"/>
                <w:spacing w:val="-21"/>
                <w:sz w:val="21"/>
                <w:szCs w:val="21"/>
                <w:highlight w:val="none"/>
              </w:rPr>
              <w:t xml:space="preserve"> </w:t>
            </w:r>
            <w:r>
              <w:rPr>
                <w:rFonts w:hint="eastAsia" w:ascii="宋体" w:hAnsi="宋体" w:eastAsia="宋体" w:cs="宋体"/>
                <w:color w:val="auto"/>
                <w:spacing w:val="3"/>
                <w:sz w:val="21"/>
                <w:szCs w:val="21"/>
                <w:highlight w:val="none"/>
              </w:rPr>
              <w:t>500</w:t>
            </w:r>
            <w:r>
              <w:rPr>
                <w:rFonts w:hint="eastAsia" w:ascii="宋体" w:hAnsi="宋体" w:eastAsia="宋体" w:cs="宋体"/>
                <w:color w:val="auto"/>
                <w:spacing w:val="-39"/>
                <w:sz w:val="21"/>
                <w:szCs w:val="21"/>
                <w:highlight w:val="none"/>
              </w:rPr>
              <w:t xml:space="preserve"> </w:t>
            </w:r>
            <w:r>
              <w:rPr>
                <w:rFonts w:hint="eastAsia" w:ascii="宋体" w:hAnsi="宋体" w:eastAsia="宋体" w:cs="宋体"/>
                <w:color w:val="auto"/>
                <w:spacing w:val="3"/>
                <w:sz w:val="21"/>
                <w:szCs w:val="21"/>
                <w:highlight w:val="none"/>
              </w:rPr>
              <w:t>元/次违</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约金。</w:t>
            </w:r>
          </w:p>
        </w:tc>
      </w:tr>
      <w:tr w14:paraId="38C48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6032" w:type="dxa"/>
            <w:noWrap w:val="0"/>
            <w:vAlign w:val="top"/>
          </w:tcPr>
          <w:p w14:paraId="4260DA40">
            <w:pPr>
              <w:pStyle w:val="42"/>
              <w:keepNext w:val="0"/>
              <w:keepLines w:val="0"/>
              <w:pageBreakBefore w:val="0"/>
              <w:widowControl w:val="0"/>
              <w:kinsoku/>
              <w:wordWrap/>
              <w:overflowPunct/>
              <w:topLinePunct w:val="0"/>
              <w:autoSpaceDE/>
              <w:autoSpaceDN/>
              <w:bidi w:val="0"/>
              <w:adjustRightInd/>
              <w:snapToGrid/>
              <w:spacing w:line="360" w:lineRule="exact"/>
              <w:ind w:left="117" w:leftChars="0" w:right="289" w:rightChars="0" w:firstLine="13" w:firstLineChars="0"/>
              <w:jc w:val="both"/>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5"/>
                <w:sz w:val="21"/>
                <w:szCs w:val="21"/>
                <w:highlight w:val="none"/>
              </w:rPr>
              <w:t>1.乔木、花灌木修剪：4-11</w:t>
            </w:r>
            <w:r>
              <w:rPr>
                <w:rFonts w:hint="eastAsia" w:ascii="宋体" w:hAnsi="宋体" w:eastAsia="宋体" w:cs="宋体"/>
                <w:color w:val="auto"/>
                <w:spacing w:val="-23"/>
                <w:sz w:val="21"/>
                <w:szCs w:val="21"/>
                <w:highlight w:val="none"/>
              </w:rPr>
              <w:t xml:space="preserve"> </w:t>
            </w:r>
            <w:r>
              <w:rPr>
                <w:rFonts w:hint="eastAsia" w:ascii="宋体" w:hAnsi="宋体" w:eastAsia="宋体" w:cs="宋体"/>
                <w:color w:val="auto"/>
                <w:spacing w:val="5"/>
                <w:sz w:val="21"/>
                <w:szCs w:val="21"/>
                <w:highlight w:val="none"/>
              </w:rPr>
              <w:t>月，每月修剪抹芽、除</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7"/>
                <w:sz w:val="21"/>
                <w:szCs w:val="21"/>
                <w:highlight w:val="none"/>
              </w:rPr>
              <w:t>蘗  不少干</w:t>
            </w:r>
            <w:r>
              <w:rPr>
                <w:rFonts w:hint="eastAsia" w:ascii="宋体" w:hAnsi="宋体" w:eastAsia="宋体" w:cs="宋体"/>
                <w:color w:val="auto"/>
                <w:spacing w:val="-15"/>
                <w:sz w:val="21"/>
                <w:szCs w:val="21"/>
                <w:highlight w:val="none"/>
              </w:rPr>
              <w:t xml:space="preserve"> </w:t>
            </w:r>
            <w:r>
              <w:rPr>
                <w:rFonts w:hint="eastAsia" w:ascii="宋体" w:hAnsi="宋体" w:eastAsia="宋体" w:cs="宋体"/>
                <w:color w:val="auto"/>
                <w:spacing w:val="7"/>
                <w:sz w:val="21"/>
                <w:szCs w:val="21"/>
                <w:highlight w:val="none"/>
              </w:rPr>
              <w:t>1</w:t>
            </w:r>
            <w:r>
              <w:rPr>
                <w:rFonts w:hint="eastAsia" w:ascii="宋体" w:hAnsi="宋体" w:eastAsia="宋体" w:cs="宋体"/>
                <w:color w:val="auto"/>
                <w:spacing w:val="-32"/>
                <w:sz w:val="21"/>
                <w:szCs w:val="21"/>
                <w:highlight w:val="none"/>
              </w:rPr>
              <w:t xml:space="preserve"> </w:t>
            </w:r>
            <w:r>
              <w:rPr>
                <w:rFonts w:hint="eastAsia" w:ascii="宋体" w:hAnsi="宋体" w:eastAsia="宋体" w:cs="宋体"/>
                <w:color w:val="auto"/>
                <w:spacing w:val="7"/>
                <w:sz w:val="21"/>
                <w:szCs w:val="21"/>
                <w:highlight w:val="none"/>
              </w:rPr>
              <w:t>次，每年修剪重叠枝、交叉枝、下垂</w:t>
            </w:r>
            <w:r>
              <w:rPr>
                <w:rFonts w:hint="eastAsia" w:ascii="宋体" w:hAnsi="宋体" w:eastAsia="宋体" w:cs="宋体"/>
                <w:color w:val="auto"/>
                <w:sz w:val="21"/>
                <w:szCs w:val="21"/>
                <w:highlight w:val="none"/>
              </w:rPr>
              <w:t xml:space="preserve"> 枝、徒长枝、</w:t>
            </w:r>
            <w:r>
              <w:rPr>
                <w:rFonts w:hint="eastAsia" w:ascii="宋体" w:hAnsi="宋体" w:eastAsia="宋体" w:cs="宋体"/>
                <w:color w:val="auto"/>
                <w:spacing w:val="-47"/>
                <w:sz w:val="21"/>
                <w:szCs w:val="21"/>
                <w:highlight w:val="none"/>
              </w:rPr>
              <w:t xml:space="preserve"> </w:t>
            </w:r>
            <w:r>
              <w:rPr>
                <w:rFonts w:hint="eastAsia" w:ascii="宋体" w:hAnsi="宋体" w:eastAsia="宋体" w:cs="宋体"/>
                <w:color w:val="auto"/>
                <w:sz w:val="21"/>
                <w:szCs w:val="21"/>
                <w:highlight w:val="none"/>
              </w:rPr>
              <w:t>衰弱枝不少于</w:t>
            </w:r>
            <w:r>
              <w:rPr>
                <w:rFonts w:hint="eastAsia" w:ascii="宋体" w:hAnsi="宋体" w:eastAsia="宋体" w:cs="宋体"/>
                <w:color w:val="auto"/>
                <w:spacing w:val="-34"/>
                <w:sz w:val="21"/>
                <w:szCs w:val="21"/>
                <w:highlight w:val="none"/>
              </w:rPr>
              <w:t xml:space="preserve"> </w:t>
            </w:r>
            <w:r>
              <w:rPr>
                <w:rFonts w:hint="eastAsia" w:ascii="宋体" w:hAnsi="宋体" w:eastAsia="宋体" w:cs="宋体"/>
                <w:color w:val="auto"/>
                <w:sz w:val="21"/>
                <w:szCs w:val="21"/>
                <w:highlight w:val="none"/>
              </w:rPr>
              <w:t>2</w:t>
            </w:r>
            <w:r>
              <w:rPr>
                <w:rFonts w:hint="eastAsia" w:ascii="宋体" w:hAnsi="宋体" w:eastAsia="宋体" w:cs="宋体"/>
                <w:color w:val="auto"/>
                <w:spacing w:val="-33"/>
                <w:sz w:val="21"/>
                <w:szCs w:val="21"/>
                <w:highlight w:val="none"/>
              </w:rPr>
              <w:t xml:space="preserve"> </w:t>
            </w:r>
            <w:r>
              <w:rPr>
                <w:rFonts w:hint="eastAsia" w:ascii="宋体" w:hAnsi="宋体" w:eastAsia="宋体" w:cs="宋体"/>
                <w:color w:val="auto"/>
                <w:sz w:val="21"/>
                <w:szCs w:val="21"/>
                <w:highlight w:val="none"/>
              </w:rPr>
              <w:t>次，随时修剪腐枯</w:t>
            </w:r>
            <w:r>
              <w:rPr>
                <w:rFonts w:hint="eastAsia" w:ascii="宋体" w:hAnsi="宋体" w:eastAsia="宋体" w:cs="宋体"/>
                <w:color w:val="auto"/>
                <w:spacing w:val="-1"/>
                <w:sz w:val="21"/>
                <w:szCs w:val="21"/>
                <w:highlight w:val="none"/>
              </w:rPr>
              <w:t>枝、</w:t>
            </w:r>
          </w:p>
        </w:tc>
        <w:tc>
          <w:tcPr>
            <w:tcW w:w="4483" w:type="dxa"/>
            <w:noWrap w:val="0"/>
            <w:vAlign w:val="top"/>
          </w:tcPr>
          <w:p w14:paraId="5D065F48">
            <w:pPr>
              <w:pStyle w:val="42"/>
              <w:keepNext w:val="0"/>
              <w:keepLines w:val="0"/>
              <w:pageBreakBefore w:val="0"/>
              <w:widowControl w:val="0"/>
              <w:kinsoku/>
              <w:wordWrap/>
              <w:overflowPunct/>
              <w:topLinePunct w:val="0"/>
              <w:autoSpaceDE/>
              <w:autoSpaceDN/>
              <w:bidi w:val="0"/>
              <w:adjustRightInd/>
              <w:snapToGrid/>
              <w:spacing w:line="360" w:lineRule="exact"/>
              <w:ind w:left="117" w:leftChars="0" w:right="108" w:rightChars="0" w:hanging="1" w:firstLineChars="0"/>
              <w:textAlignment w:val="auto"/>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3"/>
                <w:sz w:val="21"/>
                <w:szCs w:val="21"/>
                <w:highlight w:val="none"/>
              </w:rPr>
              <w:t>未达到此标准的，承担</w:t>
            </w:r>
            <w:r>
              <w:rPr>
                <w:rFonts w:hint="eastAsia" w:ascii="宋体" w:hAnsi="宋体" w:eastAsia="宋体" w:cs="宋体"/>
                <w:color w:val="auto"/>
                <w:spacing w:val="-21"/>
                <w:sz w:val="21"/>
                <w:szCs w:val="21"/>
                <w:highlight w:val="none"/>
              </w:rPr>
              <w:t xml:space="preserve"> </w:t>
            </w:r>
            <w:r>
              <w:rPr>
                <w:rFonts w:hint="eastAsia" w:ascii="宋体" w:hAnsi="宋体" w:eastAsia="宋体" w:cs="宋体"/>
                <w:color w:val="auto"/>
                <w:spacing w:val="3"/>
                <w:sz w:val="21"/>
                <w:szCs w:val="21"/>
                <w:highlight w:val="none"/>
              </w:rPr>
              <w:t>500</w:t>
            </w:r>
            <w:r>
              <w:rPr>
                <w:rFonts w:hint="eastAsia" w:ascii="宋体" w:hAnsi="宋体" w:eastAsia="宋体" w:cs="宋体"/>
                <w:color w:val="auto"/>
                <w:spacing w:val="-39"/>
                <w:sz w:val="21"/>
                <w:szCs w:val="21"/>
                <w:highlight w:val="none"/>
              </w:rPr>
              <w:t xml:space="preserve"> </w:t>
            </w:r>
            <w:r>
              <w:rPr>
                <w:rFonts w:hint="eastAsia" w:ascii="宋体" w:hAnsi="宋体" w:eastAsia="宋体" w:cs="宋体"/>
                <w:color w:val="auto"/>
                <w:spacing w:val="3"/>
                <w:sz w:val="21"/>
                <w:szCs w:val="21"/>
                <w:highlight w:val="none"/>
              </w:rPr>
              <w:t>元/次违</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约金。</w:t>
            </w:r>
          </w:p>
        </w:tc>
      </w:tr>
      <w:tr w14:paraId="4C8E2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6032" w:type="dxa"/>
            <w:noWrap w:val="0"/>
            <w:vAlign w:val="top"/>
          </w:tcPr>
          <w:p w14:paraId="674EB9A3">
            <w:pPr>
              <w:pStyle w:val="42"/>
              <w:keepNext w:val="0"/>
              <w:keepLines w:val="0"/>
              <w:pageBreakBefore w:val="0"/>
              <w:widowControl w:val="0"/>
              <w:kinsoku/>
              <w:wordWrap/>
              <w:overflowPunct/>
              <w:topLinePunct w:val="0"/>
              <w:autoSpaceDE/>
              <w:autoSpaceDN/>
              <w:bidi w:val="0"/>
              <w:adjustRightInd/>
              <w:snapToGrid/>
              <w:spacing w:line="360" w:lineRule="exact"/>
              <w:ind w:left="115" w:right="357" w:hanging="1"/>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病虫枝和损伤枝及有 碍交通安全枝条；及时修除花</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7"/>
                <w:sz w:val="21"/>
                <w:szCs w:val="21"/>
                <w:highlight w:val="none"/>
              </w:rPr>
              <w:t>后残花败叶；修剪的剪口或锯</w:t>
            </w:r>
            <w:r>
              <w:rPr>
                <w:rFonts w:hint="eastAsia" w:ascii="宋体" w:hAnsi="宋体" w:eastAsia="宋体" w:cs="宋体"/>
                <w:color w:val="auto"/>
                <w:spacing w:val="33"/>
                <w:sz w:val="21"/>
                <w:szCs w:val="21"/>
                <w:highlight w:val="none"/>
              </w:rPr>
              <w:t xml:space="preserve">  </w:t>
            </w:r>
            <w:r>
              <w:rPr>
                <w:rFonts w:hint="eastAsia" w:ascii="宋体" w:hAnsi="宋体" w:eastAsia="宋体" w:cs="宋体"/>
                <w:color w:val="auto"/>
                <w:spacing w:val="7"/>
                <w:sz w:val="21"/>
                <w:szCs w:val="21"/>
                <w:highlight w:val="none"/>
              </w:rPr>
              <w:t>口要平整光滑，树</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9"/>
                <w:sz w:val="21"/>
                <w:szCs w:val="21"/>
                <w:highlight w:val="none"/>
              </w:rPr>
              <w:t>木损伤创面大于</w:t>
            </w:r>
            <w:r>
              <w:rPr>
                <w:rFonts w:hint="eastAsia" w:ascii="宋体" w:hAnsi="宋体" w:eastAsia="宋体" w:cs="宋体"/>
                <w:color w:val="auto"/>
                <w:spacing w:val="-30"/>
                <w:sz w:val="21"/>
                <w:szCs w:val="21"/>
                <w:highlight w:val="none"/>
              </w:rPr>
              <w:t xml:space="preserve"> </w:t>
            </w:r>
            <w:r>
              <w:rPr>
                <w:rFonts w:hint="eastAsia" w:ascii="宋体" w:hAnsi="宋体" w:eastAsia="宋体" w:cs="宋体"/>
                <w:color w:val="auto"/>
                <w:spacing w:val="9"/>
                <w:sz w:val="21"/>
                <w:szCs w:val="21"/>
                <w:highlight w:val="none"/>
              </w:rPr>
              <w:t>5</w:t>
            </w:r>
            <w:r>
              <w:rPr>
                <w:rFonts w:hint="eastAsia" w:ascii="宋体" w:hAnsi="宋体" w:eastAsia="宋体" w:cs="宋体"/>
                <w:color w:val="auto"/>
                <w:sz w:val="21"/>
                <w:szCs w:val="21"/>
                <w:highlight w:val="none"/>
              </w:rPr>
              <w:t>cm</w:t>
            </w:r>
            <w:r>
              <w:rPr>
                <w:rFonts w:hint="eastAsia" w:ascii="宋体" w:hAnsi="宋体" w:eastAsia="宋体" w:cs="宋体"/>
                <w:color w:val="auto"/>
                <w:spacing w:val="9"/>
                <w:sz w:val="21"/>
                <w:szCs w:val="21"/>
                <w:highlight w:val="none"/>
              </w:rPr>
              <w:t>（直径）或</w:t>
            </w:r>
            <w:r>
              <w:rPr>
                <w:rFonts w:hint="eastAsia" w:ascii="宋体" w:hAnsi="宋体" w:eastAsia="宋体" w:cs="宋体"/>
                <w:color w:val="auto"/>
                <w:spacing w:val="-32"/>
                <w:sz w:val="21"/>
                <w:szCs w:val="21"/>
                <w:highlight w:val="none"/>
              </w:rPr>
              <w:t xml:space="preserve"> </w:t>
            </w:r>
            <w:r>
              <w:rPr>
                <w:rFonts w:hint="eastAsia" w:ascii="宋体" w:hAnsi="宋体" w:eastAsia="宋体" w:cs="宋体"/>
                <w:color w:val="auto"/>
                <w:spacing w:val="9"/>
                <w:sz w:val="21"/>
                <w:szCs w:val="21"/>
                <w:highlight w:val="none"/>
              </w:rPr>
              <w:t>20</w:t>
            </w:r>
            <w:r>
              <w:rPr>
                <w:rFonts w:hint="eastAsia" w:ascii="宋体" w:hAnsi="宋体" w:eastAsia="宋体" w:cs="宋体"/>
                <w:color w:val="auto"/>
                <w:sz w:val="21"/>
                <w:szCs w:val="21"/>
                <w:highlight w:val="none"/>
              </w:rPr>
              <w:t>cm</w:t>
            </w:r>
            <w:r>
              <w:rPr>
                <w:rFonts w:hint="eastAsia" w:ascii="宋体" w:hAnsi="宋体" w:eastAsia="宋体" w:cs="宋体"/>
                <w:color w:val="auto"/>
                <w:spacing w:val="9"/>
                <w:sz w:val="21"/>
                <w:szCs w:val="21"/>
                <w:highlight w:val="none"/>
              </w:rPr>
              <w:t>2</w:t>
            </w:r>
            <w:r>
              <w:rPr>
                <w:rFonts w:hint="eastAsia" w:ascii="宋体" w:hAnsi="宋体" w:eastAsia="宋体" w:cs="宋体"/>
                <w:color w:val="auto"/>
                <w:spacing w:val="-18"/>
                <w:sz w:val="21"/>
                <w:szCs w:val="21"/>
                <w:highlight w:val="none"/>
              </w:rPr>
              <w:t xml:space="preserve"> </w:t>
            </w:r>
            <w:r>
              <w:rPr>
                <w:rFonts w:hint="eastAsia" w:ascii="宋体" w:hAnsi="宋体" w:eastAsia="宋体" w:cs="宋体"/>
                <w:color w:val="auto"/>
                <w:spacing w:val="9"/>
                <w:sz w:val="21"/>
                <w:szCs w:val="21"/>
                <w:highlight w:val="none"/>
              </w:rPr>
              <w:t xml:space="preserve">的必 </w:t>
            </w:r>
            <w:r>
              <w:rPr>
                <w:rFonts w:hint="eastAsia" w:ascii="宋体" w:hAnsi="宋体" w:eastAsia="宋体" w:cs="宋体"/>
                <w:color w:val="auto"/>
                <w:spacing w:val="8"/>
                <w:sz w:val="21"/>
                <w:szCs w:val="21"/>
                <w:highlight w:val="none"/>
              </w:rPr>
              <w:t xml:space="preserve"> 须进</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行防腐处理。</w:t>
            </w:r>
          </w:p>
          <w:p w14:paraId="071A7FAA">
            <w:pPr>
              <w:pStyle w:val="42"/>
              <w:keepNext w:val="0"/>
              <w:keepLines w:val="0"/>
              <w:pageBreakBefore w:val="0"/>
              <w:widowControl w:val="0"/>
              <w:kinsoku/>
              <w:wordWrap/>
              <w:overflowPunct/>
              <w:topLinePunct w:val="0"/>
              <w:autoSpaceDE/>
              <w:autoSpaceDN/>
              <w:bidi w:val="0"/>
              <w:adjustRightInd/>
              <w:snapToGrid/>
              <w:spacing w:line="360" w:lineRule="exact"/>
              <w:ind w:left="114" w:leftChars="0" w:right="357" w:rightChars="0" w:firstLine="3" w:firstLineChars="0"/>
              <w:jc w:val="both"/>
              <w:textAlignment w:val="auto"/>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color w:val="auto"/>
                <w:spacing w:val="9"/>
                <w:sz w:val="21"/>
                <w:szCs w:val="21"/>
                <w:highlight w:val="none"/>
              </w:rPr>
              <w:t>2.整形灌木、种植块、地被修剪：针叶类植物萌条</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9"/>
                <w:sz w:val="21"/>
                <w:szCs w:val="21"/>
                <w:highlight w:val="none"/>
              </w:rPr>
              <w:t>超 过</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pacing w:val="9"/>
                <w:sz w:val="21"/>
                <w:szCs w:val="21"/>
                <w:highlight w:val="none"/>
              </w:rPr>
              <w:t>5</w:t>
            </w:r>
            <w:r>
              <w:rPr>
                <w:rFonts w:hint="eastAsia" w:ascii="宋体" w:hAnsi="宋体" w:eastAsia="宋体" w:cs="宋体"/>
                <w:color w:val="auto"/>
                <w:sz w:val="21"/>
                <w:szCs w:val="21"/>
                <w:highlight w:val="none"/>
              </w:rPr>
              <w:t>cm</w:t>
            </w:r>
            <w:r>
              <w:rPr>
                <w:rFonts w:hint="eastAsia" w:ascii="宋体" w:hAnsi="宋体" w:eastAsia="宋体" w:cs="宋体"/>
                <w:color w:val="auto"/>
                <w:spacing w:val="9"/>
                <w:sz w:val="21"/>
                <w:szCs w:val="21"/>
                <w:highlight w:val="none"/>
              </w:rPr>
              <w:t>、活叶类萌条超过</w:t>
            </w:r>
            <w:r>
              <w:rPr>
                <w:rFonts w:hint="eastAsia" w:ascii="宋体" w:hAnsi="宋体" w:eastAsia="宋体" w:cs="宋体"/>
                <w:color w:val="auto"/>
                <w:spacing w:val="-22"/>
                <w:sz w:val="21"/>
                <w:szCs w:val="21"/>
                <w:highlight w:val="none"/>
              </w:rPr>
              <w:t xml:space="preserve"> </w:t>
            </w:r>
            <w:r>
              <w:rPr>
                <w:rFonts w:hint="eastAsia" w:ascii="宋体" w:hAnsi="宋体" w:eastAsia="宋体" w:cs="宋体"/>
                <w:color w:val="auto"/>
                <w:spacing w:val="9"/>
                <w:sz w:val="21"/>
                <w:szCs w:val="21"/>
                <w:highlight w:val="none"/>
              </w:rPr>
              <w:t>10</w:t>
            </w:r>
            <w:r>
              <w:rPr>
                <w:rFonts w:hint="eastAsia" w:ascii="宋体" w:hAnsi="宋体" w:eastAsia="宋体" w:cs="宋体"/>
                <w:color w:val="auto"/>
                <w:sz w:val="21"/>
                <w:szCs w:val="21"/>
                <w:highlight w:val="none"/>
              </w:rPr>
              <w:t>cm</w:t>
            </w:r>
            <w:r>
              <w:rPr>
                <w:rFonts w:hint="eastAsia" w:ascii="宋体" w:hAnsi="宋体" w:eastAsia="宋体" w:cs="宋体"/>
                <w:color w:val="auto"/>
                <w:spacing w:val="-37"/>
                <w:sz w:val="21"/>
                <w:szCs w:val="21"/>
                <w:highlight w:val="none"/>
              </w:rPr>
              <w:t xml:space="preserve"> </w:t>
            </w:r>
            <w:r>
              <w:rPr>
                <w:rFonts w:hint="eastAsia" w:ascii="宋体" w:hAnsi="宋体" w:eastAsia="宋体" w:cs="宋体"/>
                <w:color w:val="auto"/>
                <w:spacing w:val="9"/>
                <w:sz w:val="21"/>
                <w:szCs w:val="21"/>
                <w:highlight w:val="none"/>
              </w:rPr>
              <w:t>要及时修剪：种</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5"/>
                <w:sz w:val="21"/>
                <w:szCs w:val="21"/>
                <w:highlight w:val="none"/>
              </w:rPr>
              <w:t>植块要带线修 剪，达到线直面平、轮廓清晰：暖季</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15"/>
                <w:sz w:val="21"/>
                <w:szCs w:val="21"/>
                <w:highlight w:val="none"/>
              </w:rPr>
              <w:t>型草坪高度保持在</w:t>
            </w:r>
            <w:r>
              <w:rPr>
                <w:rFonts w:hint="eastAsia" w:ascii="宋体" w:hAnsi="宋体" w:eastAsia="宋体" w:cs="宋体"/>
                <w:color w:val="auto"/>
                <w:spacing w:val="-27"/>
                <w:sz w:val="21"/>
                <w:szCs w:val="21"/>
                <w:highlight w:val="none"/>
              </w:rPr>
              <w:t xml:space="preserve"> </w:t>
            </w:r>
            <w:r>
              <w:rPr>
                <w:rFonts w:hint="eastAsia" w:ascii="宋体" w:hAnsi="宋体" w:eastAsia="宋体" w:cs="宋体"/>
                <w:color w:val="auto"/>
                <w:spacing w:val="15"/>
                <w:sz w:val="21"/>
                <w:szCs w:val="21"/>
                <w:highlight w:val="none"/>
              </w:rPr>
              <w:t>6</w:t>
            </w:r>
            <w:r>
              <w:rPr>
                <w:rFonts w:hint="eastAsia" w:ascii="宋体" w:hAnsi="宋体" w:eastAsia="宋体" w:cs="宋体"/>
                <w:color w:val="auto"/>
                <w:sz w:val="21"/>
                <w:szCs w:val="21"/>
                <w:highlight w:val="none"/>
              </w:rPr>
              <w:t>cm</w:t>
            </w:r>
            <w:r>
              <w:rPr>
                <w:rFonts w:hint="eastAsia" w:ascii="宋体" w:hAnsi="宋体" w:eastAsia="宋体" w:cs="宋体"/>
                <w:color w:val="auto"/>
                <w:spacing w:val="43"/>
                <w:sz w:val="21"/>
                <w:szCs w:val="21"/>
                <w:highlight w:val="none"/>
              </w:rPr>
              <w:t xml:space="preserve"> </w:t>
            </w:r>
            <w:r>
              <w:rPr>
                <w:rFonts w:hint="eastAsia" w:ascii="宋体" w:hAnsi="宋体" w:eastAsia="宋体" w:cs="宋体"/>
                <w:color w:val="auto"/>
                <w:spacing w:val="15"/>
                <w:sz w:val="21"/>
                <w:szCs w:val="21"/>
                <w:highlight w:val="none"/>
              </w:rPr>
              <w:t>以下，冷季型草坪保持在</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8</w:t>
            </w:r>
            <w:r>
              <w:rPr>
                <w:rFonts w:hint="eastAsia" w:ascii="宋体" w:hAnsi="宋体" w:eastAsia="宋体" w:cs="宋体"/>
                <w:color w:val="auto"/>
                <w:sz w:val="21"/>
                <w:szCs w:val="21"/>
                <w:highlight w:val="none"/>
              </w:rPr>
              <w:t>cm</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6"/>
                <w:sz w:val="21"/>
                <w:szCs w:val="21"/>
                <w:highlight w:val="none"/>
              </w:rPr>
              <w:t>以下；及时清除修剪残留物。</w:t>
            </w:r>
          </w:p>
        </w:tc>
        <w:tc>
          <w:tcPr>
            <w:tcW w:w="4483" w:type="dxa"/>
            <w:noWrap w:val="0"/>
            <w:vAlign w:val="top"/>
          </w:tcPr>
          <w:p w14:paraId="3415D07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napToGrid w:val="0"/>
                <w:color w:val="auto"/>
                <w:kern w:val="0"/>
                <w:sz w:val="21"/>
                <w:szCs w:val="21"/>
                <w:highlight w:val="none"/>
                <w:lang w:val="en-US" w:eastAsia="en-US" w:bidi="ar-SA"/>
              </w:rPr>
            </w:pPr>
          </w:p>
        </w:tc>
      </w:tr>
      <w:tr w14:paraId="587A6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6032" w:type="dxa"/>
            <w:noWrap w:val="0"/>
            <w:vAlign w:val="top"/>
          </w:tcPr>
          <w:p w14:paraId="762E3C3D">
            <w:pPr>
              <w:pStyle w:val="42"/>
              <w:keepNext w:val="0"/>
              <w:keepLines w:val="0"/>
              <w:pageBreakBefore w:val="0"/>
              <w:widowControl w:val="0"/>
              <w:kinsoku/>
              <w:wordWrap/>
              <w:overflowPunct/>
              <w:topLinePunct w:val="0"/>
              <w:autoSpaceDE/>
              <w:autoSpaceDN/>
              <w:bidi w:val="0"/>
              <w:adjustRightInd/>
              <w:snapToGrid/>
              <w:spacing w:line="360" w:lineRule="exact"/>
              <w:ind w:left="114" w:leftChars="0" w:right="48" w:rightChars="0"/>
              <w:jc w:val="both"/>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color w:val="auto"/>
                <w:spacing w:val="13"/>
                <w:sz w:val="21"/>
                <w:szCs w:val="21"/>
                <w:highlight w:val="none"/>
              </w:rPr>
              <w:t>施肥量：</w:t>
            </w:r>
            <w:r>
              <w:rPr>
                <w:rFonts w:hint="eastAsia" w:ascii="宋体" w:hAnsi="宋体" w:eastAsia="宋体" w:cs="宋体"/>
                <w:color w:val="auto"/>
                <w:spacing w:val="-29"/>
                <w:sz w:val="21"/>
                <w:szCs w:val="21"/>
                <w:highlight w:val="none"/>
              </w:rPr>
              <w:t xml:space="preserve"> </w:t>
            </w:r>
            <w:r>
              <w:rPr>
                <w:rFonts w:hint="eastAsia" w:ascii="宋体" w:hAnsi="宋体" w:eastAsia="宋体" w:cs="宋体"/>
                <w:color w:val="auto"/>
                <w:spacing w:val="13"/>
                <w:sz w:val="21"/>
                <w:szCs w:val="21"/>
                <w:highlight w:val="none"/>
              </w:rPr>
              <w:t>每年</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13"/>
                <w:sz w:val="21"/>
                <w:szCs w:val="21"/>
                <w:highlight w:val="none"/>
              </w:rPr>
              <w:t>4</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13"/>
                <w:sz w:val="21"/>
                <w:szCs w:val="21"/>
                <w:highlight w:val="none"/>
              </w:rPr>
              <w:t>月</w:t>
            </w:r>
            <w:r>
              <w:rPr>
                <w:rFonts w:hint="eastAsia" w:ascii="宋体" w:hAnsi="宋体" w:eastAsia="宋体" w:cs="宋体"/>
                <w:color w:val="auto"/>
                <w:spacing w:val="-56"/>
                <w:sz w:val="21"/>
                <w:szCs w:val="21"/>
                <w:highlight w:val="none"/>
              </w:rPr>
              <w:t xml:space="preserve"> </w:t>
            </w:r>
            <w:r>
              <w:rPr>
                <w:rFonts w:hint="eastAsia" w:ascii="宋体" w:hAnsi="宋体" w:eastAsia="宋体" w:cs="宋体"/>
                <w:color w:val="auto"/>
                <w:spacing w:val="13"/>
                <w:sz w:val="21"/>
                <w:szCs w:val="21"/>
                <w:highlight w:val="none"/>
              </w:rPr>
              <w:t>、</w:t>
            </w:r>
            <w:r>
              <w:rPr>
                <w:rFonts w:hint="eastAsia" w:ascii="宋体" w:hAnsi="宋体" w:eastAsia="宋体" w:cs="宋体"/>
                <w:color w:val="auto"/>
                <w:spacing w:val="-49"/>
                <w:sz w:val="21"/>
                <w:szCs w:val="21"/>
                <w:highlight w:val="none"/>
              </w:rPr>
              <w:t xml:space="preserve"> </w:t>
            </w:r>
            <w:r>
              <w:rPr>
                <w:rFonts w:hint="eastAsia" w:ascii="宋体" w:hAnsi="宋体" w:eastAsia="宋体" w:cs="宋体"/>
                <w:color w:val="auto"/>
                <w:spacing w:val="13"/>
                <w:sz w:val="21"/>
                <w:szCs w:val="21"/>
                <w:highlight w:val="none"/>
              </w:rPr>
              <w:t>11</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pacing w:val="13"/>
                <w:sz w:val="21"/>
                <w:szCs w:val="21"/>
                <w:highlight w:val="none"/>
              </w:rPr>
              <w:t>月各施一次复合肥</w:t>
            </w:r>
            <w:r>
              <w:rPr>
                <w:rFonts w:hint="eastAsia" w:ascii="宋体" w:hAnsi="宋体" w:eastAsia="宋体" w:cs="宋体"/>
                <w:color w:val="auto"/>
                <w:spacing w:val="-52"/>
                <w:sz w:val="21"/>
                <w:szCs w:val="21"/>
                <w:highlight w:val="none"/>
              </w:rPr>
              <w:t xml:space="preserve"> </w:t>
            </w:r>
            <w:r>
              <w:rPr>
                <w:rFonts w:hint="eastAsia" w:ascii="宋体" w:hAnsi="宋体" w:eastAsia="宋体" w:cs="宋体"/>
                <w:color w:val="auto"/>
                <w:spacing w:val="13"/>
                <w:sz w:val="21"/>
                <w:szCs w:val="21"/>
                <w:highlight w:val="none"/>
              </w:rPr>
              <w:t>。施肥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9"/>
                <w:sz w:val="21"/>
                <w:szCs w:val="21"/>
                <w:highlight w:val="none"/>
              </w:rPr>
              <w:t>量（干</w:t>
            </w:r>
            <w:r>
              <w:rPr>
                <w:rFonts w:hint="eastAsia" w:ascii="宋体" w:hAnsi="宋体" w:eastAsia="宋体" w:cs="宋体"/>
                <w:color w:val="auto"/>
                <w:spacing w:val="27"/>
                <w:sz w:val="21"/>
                <w:szCs w:val="21"/>
                <w:highlight w:val="none"/>
              </w:rPr>
              <w:t xml:space="preserve"> </w:t>
            </w:r>
            <w:r>
              <w:rPr>
                <w:rFonts w:hint="eastAsia" w:ascii="宋体" w:hAnsi="宋体" w:eastAsia="宋体" w:cs="宋体"/>
                <w:color w:val="auto"/>
                <w:spacing w:val="-9"/>
                <w:sz w:val="21"/>
                <w:szCs w:val="21"/>
                <w:highlight w:val="none"/>
              </w:rPr>
              <w:t>施量）乔木250</w:t>
            </w:r>
            <w:r>
              <w:rPr>
                <w:rFonts w:hint="eastAsia" w:ascii="宋体" w:hAnsi="宋体" w:eastAsia="宋体" w:cs="宋体"/>
                <w:color w:val="auto"/>
                <w:spacing w:val="-52"/>
                <w:sz w:val="21"/>
                <w:szCs w:val="21"/>
                <w:highlight w:val="none"/>
              </w:rPr>
              <w:t xml:space="preserve"> </w:t>
            </w:r>
            <w:r>
              <w:rPr>
                <w:rFonts w:hint="eastAsia" w:ascii="宋体" w:hAnsi="宋体" w:eastAsia="宋体" w:cs="宋体"/>
                <w:color w:val="auto"/>
                <w:spacing w:val="-9"/>
                <w:sz w:val="21"/>
                <w:szCs w:val="21"/>
                <w:highlight w:val="none"/>
              </w:rPr>
              <w:t>克/株 ·次，花灌木</w:t>
            </w:r>
            <w:r>
              <w:rPr>
                <w:rFonts w:hint="eastAsia" w:ascii="宋体" w:hAnsi="宋体" w:eastAsia="宋体" w:cs="宋体"/>
                <w:color w:val="auto"/>
                <w:spacing w:val="-45"/>
                <w:sz w:val="21"/>
                <w:szCs w:val="21"/>
                <w:highlight w:val="none"/>
              </w:rPr>
              <w:t xml:space="preserve"> </w:t>
            </w:r>
            <w:r>
              <w:rPr>
                <w:rFonts w:hint="eastAsia" w:ascii="宋体" w:hAnsi="宋体" w:eastAsia="宋体" w:cs="宋体"/>
                <w:color w:val="auto"/>
                <w:spacing w:val="-9"/>
                <w:sz w:val="21"/>
                <w:szCs w:val="21"/>
                <w:highlight w:val="none"/>
              </w:rPr>
              <w:t>150</w:t>
            </w:r>
            <w:r>
              <w:rPr>
                <w:rFonts w:hint="eastAsia" w:ascii="宋体" w:hAnsi="宋体" w:eastAsia="宋体" w:cs="宋体"/>
                <w:color w:val="auto"/>
                <w:spacing w:val="-53"/>
                <w:sz w:val="21"/>
                <w:szCs w:val="21"/>
                <w:highlight w:val="none"/>
              </w:rPr>
              <w:t xml:space="preserve"> </w:t>
            </w:r>
            <w:r>
              <w:rPr>
                <w:rFonts w:hint="eastAsia" w:ascii="宋体" w:hAnsi="宋体" w:eastAsia="宋体" w:cs="宋体"/>
                <w:color w:val="auto"/>
                <w:spacing w:val="-9"/>
                <w:sz w:val="21"/>
                <w:szCs w:val="21"/>
                <w:highlight w:val="none"/>
              </w:rPr>
              <w:t>克/</w:t>
            </w:r>
            <w:r>
              <w:rPr>
                <w:rFonts w:hint="eastAsia" w:ascii="宋体" w:hAnsi="宋体" w:eastAsia="宋体" w:cs="宋体"/>
                <w:color w:val="auto"/>
                <w:spacing w:val="-10"/>
                <w:sz w:val="21"/>
                <w:szCs w:val="21"/>
                <w:highlight w:val="none"/>
              </w:rPr>
              <w:t>株 ·次，</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8"/>
                <w:sz w:val="21"/>
                <w:szCs w:val="21"/>
                <w:highlight w:val="none"/>
              </w:rPr>
              <w:t>种植块</w:t>
            </w:r>
            <w:r>
              <w:rPr>
                <w:rFonts w:hint="eastAsia" w:ascii="宋体" w:hAnsi="宋体" w:eastAsia="宋体" w:cs="宋体"/>
                <w:color w:val="auto"/>
                <w:spacing w:val="-42"/>
                <w:sz w:val="21"/>
                <w:szCs w:val="21"/>
                <w:highlight w:val="none"/>
              </w:rPr>
              <w:t xml:space="preserve"> </w:t>
            </w:r>
            <w:r>
              <w:rPr>
                <w:rFonts w:hint="eastAsia" w:ascii="宋体" w:hAnsi="宋体" w:eastAsia="宋体" w:cs="宋体"/>
                <w:color w:val="auto"/>
                <w:spacing w:val="8"/>
                <w:sz w:val="21"/>
                <w:szCs w:val="21"/>
                <w:highlight w:val="none"/>
              </w:rPr>
              <w:t>30 克/㎡*次</w:t>
            </w:r>
            <w:r>
              <w:rPr>
                <w:rFonts w:hint="eastAsia" w:ascii="宋体" w:hAnsi="宋体" w:eastAsia="宋体" w:cs="宋体"/>
                <w:color w:val="auto"/>
                <w:spacing w:val="-59"/>
                <w:sz w:val="21"/>
                <w:szCs w:val="21"/>
                <w:highlight w:val="none"/>
              </w:rPr>
              <w:t xml:space="preserve"> </w:t>
            </w:r>
            <w:r>
              <w:rPr>
                <w:rFonts w:hint="eastAsia" w:ascii="宋体" w:hAnsi="宋体" w:eastAsia="宋体" w:cs="宋体"/>
                <w:color w:val="auto"/>
                <w:spacing w:val="8"/>
                <w:sz w:val="21"/>
                <w:szCs w:val="21"/>
                <w:highlight w:val="none"/>
              </w:rPr>
              <w:t>，草坪 10</w:t>
            </w:r>
            <w:r>
              <w:rPr>
                <w:rFonts w:hint="eastAsia" w:ascii="宋体" w:hAnsi="宋体" w:eastAsia="宋体" w:cs="宋体"/>
                <w:color w:val="auto"/>
                <w:spacing w:val="-18"/>
                <w:sz w:val="21"/>
                <w:szCs w:val="21"/>
                <w:highlight w:val="none"/>
              </w:rPr>
              <w:t xml:space="preserve"> </w:t>
            </w:r>
            <w:r>
              <w:rPr>
                <w:rFonts w:hint="eastAsia" w:ascii="宋体" w:hAnsi="宋体" w:eastAsia="宋体" w:cs="宋体"/>
                <w:color w:val="auto"/>
                <w:spacing w:val="8"/>
                <w:sz w:val="21"/>
                <w:szCs w:val="21"/>
                <w:highlight w:val="none"/>
              </w:rPr>
              <w:t>克/</w:t>
            </w:r>
            <w:r>
              <w:rPr>
                <w:rFonts w:hint="eastAsia" w:ascii="宋体" w:hAnsi="宋体" w:eastAsia="宋体" w:cs="宋体"/>
                <w:color w:val="auto"/>
                <w:spacing w:val="7"/>
                <w:sz w:val="21"/>
                <w:szCs w:val="21"/>
                <w:highlight w:val="none"/>
              </w:rPr>
              <w:t>㎡*次。</w:t>
            </w:r>
          </w:p>
        </w:tc>
        <w:tc>
          <w:tcPr>
            <w:tcW w:w="4483" w:type="dxa"/>
            <w:noWrap w:val="0"/>
            <w:vAlign w:val="top"/>
          </w:tcPr>
          <w:p w14:paraId="71E49368">
            <w:pPr>
              <w:pStyle w:val="42"/>
              <w:keepNext w:val="0"/>
              <w:keepLines w:val="0"/>
              <w:pageBreakBefore w:val="0"/>
              <w:widowControl w:val="0"/>
              <w:kinsoku/>
              <w:wordWrap/>
              <w:overflowPunct/>
              <w:topLinePunct w:val="0"/>
              <w:autoSpaceDE/>
              <w:autoSpaceDN/>
              <w:bidi w:val="0"/>
              <w:adjustRightInd/>
              <w:snapToGrid/>
              <w:spacing w:line="360" w:lineRule="exact"/>
              <w:ind w:left="117" w:leftChars="0" w:right="108" w:rightChars="0" w:hanging="1" w:firstLineChars="0"/>
              <w:textAlignment w:val="auto"/>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color w:val="auto"/>
                <w:spacing w:val="3"/>
                <w:sz w:val="21"/>
                <w:szCs w:val="21"/>
                <w:highlight w:val="none"/>
              </w:rPr>
              <w:t>未达到此标准的，承担</w:t>
            </w:r>
            <w:r>
              <w:rPr>
                <w:rFonts w:hint="eastAsia" w:ascii="宋体" w:hAnsi="宋体" w:eastAsia="宋体" w:cs="宋体"/>
                <w:color w:val="auto"/>
                <w:spacing w:val="-21"/>
                <w:sz w:val="21"/>
                <w:szCs w:val="21"/>
                <w:highlight w:val="none"/>
              </w:rPr>
              <w:t xml:space="preserve"> </w:t>
            </w:r>
            <w:r>
              <w:rPr>
                <w:rFonts w:hint="eastAsia" w:ascii="宋体" w:hAnsi="宋体" w:eastAsia="宋体" w:cs="宋体"/>
                <w:color w:val="auto"/>
                <w:spacing w:val="3"/>
                <w:sz w:val="21"/>
                <w:szCs w:val="21"/>
                <w:highlight w:val="none"/>
              </w:rPr>
              <w:t>500</w:t>
            </w:r>
            <w:r>
              <w:rPr>
                <w:rFonts w:hint="eastAsia" w:ascii="宋体" w:hAnsi="宋体" w:eastAsia="宋体" w:cs="宋体"/>
                <w:color w:val="auto"/>
                <w:spacing w:val="-39"/>
                <w:sz w:val="21"/>
                <w:szCs w:val="21"/>
                <w:highlight w:val="none"/>
              </w:rPr>
              <w:t xml:space="preserve"> </w:t>
            </w:r>
            <w:r>
              <w:rPr>
                <w:rFonts w:hint="eastAsia" w:ascii="宋体" w:hAnsi="宋体" w:eastAsia="宋体" w:cs="宋体"/>
                <w:color w:val="auto"/>
                <w:spacing w:val="3"/>
                <w:sz w:val="21"/>
                <w:szCs w:val="21"/>
                <w:highlight w:val="none"/>
              </w:rPr>
              <w:t>元/次违</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约金。</w:t>
            </w:r>
          </w:p>
        </w:tc>
      </w:tr>
      <w:tr w14:paraId="71781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6032" w:type="dxa"/>
            <w:noWrap w:val="0"/>
            <w:vAlign w:val="top"/>
          </w:tcPr>
          <w:p w14:paraId="4DAB1D59">
            <w:pPr>
              <w:pStyle w:val="42"/>
              <w:keepNext w:val="0"/>
              <w:keepLines w:val="0"/>
              <w:pageBreakBefore w:val="0"/>
              <w:widowControl w:val="0"/>
              <w:kinsoku/>
              <w:wordWrap/>
              <w:overflowPunct/>
              <w:topLinePunct w:val="0"/>
              <w:autoSpaceDE/>
              <w:autoSpaceDN/>
              <w:bidi w:val="0"/>
              <w:adjustRightInd/>
              <w:snapToGrid/>
              <w:spacing w:line="360" w:lineRule="exact"/>
              <w:ind w:left="116" w:leftChars="0" w:right="108" w:rightChars="0"/>
              <w:jc w:val="both"/>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color w:val="auto"/>
                <w:spacing w:val="11"/>
                <w:sz w:val="21"/>
                <w:szCs w:val="21"/>
                <w:highlight w:val="none"/>
              </w:rPr>
              <w:t>监理单位每月组织一次养护检查，填写养护整改通知</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11"/>
                <w:sz w:val="21"/>
                <w:szCs w:val="21"/>
                <w:highlight w:val="none"/>
              </w:rPr>
              <w:t>单；中标人应按照养护整改通知单提出的问题，在规</w:t>
            </w:r>
            <w:r>
              <w:rPr>
                <w:rFonts w:hint="eastAsia" w:ascii="宋体" w:hAnsi="宋体" w:eastAsia="宋体" w:cs="宋体"/>
                <w:color w:val="auto"/>
                <w:spacing w:val="12"/>
                <w:sz w:val="21"/>
                <w:szCs w:val="21"/>
                <w:highlight w:val="none"/>
              </w:rPr>
              <w:t xml:space="preserve"> </w:t>
            </w:r>
            <w:r>
              <w:rPr>
                <w:rFonts w:hint="eastAsia" w:ascii="宋体" w:hAnsi="宋体" w:eastAsia="宋体" w:cs="宋体"/>
                <w:color w:val="auto"/>
                <w:spacing w:val="8"/>
                <w:sz w:val="21"/>
                <w:szCs w:val="21"/>
                <w:highlight w:val="none"/>
              </w:rPr>
              <w:t>定时间内完成整改并书面回复。</w:t>
            </w:r>
          </w:p>
        </w:tc>
        <w:tc>
          <w:tcPr>
            <w:tcW w:w="4483" w:type="dxa"/>
            <w:noWrap w:val="0"/>
            <w:vAlign w:val="top"/>
          </w:tcPr>
          <w:p w14:paraId="59DAE8C8">
            <w:pPr>
              <w:pStyle w:val="42"/>
              <w:keepNext w:val="0"/>
              <w:keepLines w:val="0"/>
              <w:pageBreakBefore w:val="0"/>
              <w:widowControl w:val="0"/>
              <w:kinsoku/>
              <w:wordWrap/>
              <w:overflowPunct/>
              <w:topLinePunct w:val="0"/>
              <w:autoSpaceDE/>
              <w:autoSpaceDN/>
              <w:bidi w:val="0"/>
              <w:adjustRightInd/>
              <w:snapToGrid/>
              <w:spacing w:line="360" w:lineRule="exact"/>
              <w:ind w:left="114" w:leftChars="0" w:right="107" w:rightChars="0" w:firstLine="2" w:firstLineChars="0"/>
              <w:jc w:val="both"/>
              <w:textAlignment w:val="auto"/>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color w:val="auto"/>
                <w:spacing w:val="12"/>
                <w:sz w:val="21"/>
                <w:szCs w:val="21"/>
                <w:highlight w:val="none"/>
              </w:rPr>
              <w:t>不能按期整改的，中标人第一次承</w:t>
            </w:r>
            <w:r>
              <w:rPr>
                <w:rFonts w:hint="eastAsia" w:ascii="宋体" w:hAnsi="宋体" w:eastAsia="宋体" w:cs="宋体"/>
                <w:color w:val="auto"/>
                <w:spacing w:val="11"/>
                <w:sz w:val="21"/>
                <w:szCs w:val="21"/>
                <w:highlight w:val="none"/>
              </w:rPr>
              <w:t xml:space="preserve"> </w:t>
            </w:r>
            <w:r>
              <w:rPr>
                <w:rFonts w:hint="eastAsia" w:ascii="宋体" w:hAnsi="宋体" w:eastAsia="宋体" w:cs="宋体"/>
                <w:color w:val="auto"/>
                <w:spacing w:val="-1"/>
                <w:sz w:val="21"/>
                <w:szCs w:val="21"/>
                <w:highlight w:val="none"/>
              </w:rPr>
              <w:t>担</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1"/>
                <w:sz w:val="21"/>
                <w:szCs w:val="21"/>
                <w:highlight w:val="none"/>
              </w:rPr>
              <w:t>1000</w:t>
            </w:r>
            <w:r>
              <w:rPr>
                <w:rFonts w:hint="eastAsia" w:ascii="宋体" w:hAnsi="宋体" w:eastAsia="宋体" w:cs="宋体"/>
                <w:color w:val="auto"/>
                <w:spacing w:val="-39"/>
                <w:sz w:val="21"/>
                <w:szCs w:val="21"/>
                <w:highlight w:val="none"/>
              </w:rPr>
              <w:t xml:space="preserve"> </w:t>
            </w:r>
            <w:r>
              <w:rPr>
                <w:rFonts w:hint="eastAsia" w:ascii="宋体" w:hAnsi="宋体" w:eastAsia="宋体" w:cs="宋体"/>
                <w:color w:val="auto"/>
                <w:spacing w:val="-1"/>
                <w:sz w:val="21"/>
                <w:szCs w:val="21"/>
                <w:highlight w:val="none"/>
              </w:rPr>
              <w:t>元违约金，第二次承担</w:t>
            </w:r>
            <w:r>
              <w:rPr>
                <w:rFonts w:hint="eastAsia" w:ascii="宋体" w:hAnsi="宋体" w:eastAsia="宋体" w:cs="宋体"/>
                <w:color w:val="auto"/>
                <w:spacing w:val="-34"/>
                <w:sz w:val="21"/>
                <w:szCs w:val="21"/>
                <w:highlight w:val="none"/>
              </w:rPr>
              <w:t xml:space="preserve"> </w:t>
            </w:r>
            <w:r>
              <w:rPr>
                <w:rFonts w:hint="eastAsia" w:ascii="宋体" w:hAnsi="宋体" w:eastAsia="宋体" w:cs="宋体"/>
                <w:color w:val="auto"/>
                <w:spacing w:val="-1"/>
                <w:sz w:val="21"/>
                <w:szCs w:val="21"/>
                <w:highlight w:val="none"/>
              </w:rPr>
              <w:t>2000</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元违约金，第三次承担</w:t>
            </w:r>
            <w:r>
              <w:rPr>
                <w:rFonts w:hint="eastAsia" w:ascii="宋体" w:hAnsi="宋体" w:eastAsia="宋体" w:cs="宋体"/>
                <w:color w:val="auto"/>
                <w:spacing w:val="-36"/>
                <w:sz w:val="21"/>
                <w:szCs w:val="21"/>
                <w:highlight w:val="none"/>
              </w:rPr>
              <w:t xml:space="preserve"> </w:t>
            </w:r>
            <w:r>
              <w:rPr>
                <w:rFonts w:hint="eastAsia" w:ascii="宋体" w:hAnsi="宋体" w:eastAsia="宋体" w:cs="宋体"/>
                <w:color w:val="auto"/>
                <w:spacing w:val="4"/>
                <w:sz w:val="21"/>
                <w:szCs w:val="21"/>
                <w:highlight w:val="none"/>
              </w:rPr>
              <w:t>4000</w:t>
            </w:r>
            <w:r>
              <w:rPr>
                <w:rFonts w:hint="eastAsia" w:ascii="宋体" w:hAnsi="宋体" w:eastAsia="宋体" w:cs="宋体"/>
                <w:color w:val="auto"/>
                <w:spacing w:val="-38"/>
                <w:sz w:val="21"/>
                <w:szCs w:val="21"/>
                <w:highlight w:val="none"/>
              </w:rPr>
              <w:t xml:space="preserve"> </w:t>
            </w:r>
            <w:r>
              <w:rPr>
                <w:rFonts w:hint="eastAsia" w:ascii="宋体" w:hAnsi="宋体" w:eastAsia="宋体" w:cs="宋体"/>
                <w:color w:val="auto"/>
                <w:spacing w:val="4"/>
                <w:sz w:val="21"/>
                <w:szCs w:val="21"/>
                <w:highlight w:val="none"/>
              </w:rPr>
              <w:t>元违约</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金，</w:t>
            </w:r>
            <w:r>
              <w:rPr>
                <w:rFonts w:hint="eastAsia" w:ascii="宋体" w:hAnsi="宋体" w:eastAsia="宋体" w:cs="宋体"/>
                <w:color w:val="auto"/>
                <w:spacing w:val="-60"/>
                <w:sz w:val="21"/>
                <w:szCs w:val="21"/>
                <w:highlight w:val="none"/>
              </w:rPr>
              <w:t xml:space="preserve"> </w:t>
            </w:r>
            <w:r>
              <w:rPr>
                <w:rFonts w:hint="eastAsia" w:ascii="宋体" w:hAnsi="宋体" w:eastAsia="宋体" w:cs="宋体"/>
                <w:color w:val="auto"/>
                <w:spacing w:val="1"/>
                <w:sz w:val="21"/>
                <w:szCs w:val="21"/>
                <w:highlight w:val="none"/>
              </w:rPr>
              <w:t>以此类推。</w:t>
            </w:r>
          </w:p>
        </w:tc>
      </w:tr>
      <w:tr w14:paraId="71A8E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6032" w:type="dxa"/>
            <w:noWrap w:val="0"/>
            <w:vAlign w:val="top"/>
          </w:tcPr>
          <w:p w14:paraId="26D4B6A9">
            <w:pPr>
              <w:pStyle w:val="42"/>
              <w:keepNext w:val="0"/>
              <w:keepLines w:val="0"/>
              <w:pageBreakBefore w:val="0"/>
              <w:widowControl w:val="0"/>
              <w:kinsoku/>
              <w:wordWrap/>
              <w:overflowPunct/>
              <w:topLinePunct w:val="0"/>
              <w:autoSpaceDE/>
              <w:autoSpaceDN/>
              <w:bidi w:val="0"/>
              <w:adjustRightInd/>
              <w:snapToGrid/>
              <w:spacing w:line="360" w:lineRule="exact"/>
              <w:ind w:left="115" w:leftChars="0" w:right="37" w:rightChars="0"/>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color w:val="auto"/>
                <w:spacing w:val="-1"/>
                <w:sz w:val="21"/>
                <w:szCs w:val="21"/>
                <w:highlight w:val="none"/>
              </w:rPr>
              <w:t>养护期间，每年春季</w:t>
            </w:r>
            <w:r>
              <w:rPr>
                <w:rFonts w:hint="eastAsia" w:ascii="宋体" w:hAnsi="宋体" w:eastAsia="宋体" w:cs="宋体"/>
                <w:color w:val="auto"/>
                <w:spacing w:val="-32"/>
                <w:sz w:val="21"/>
                <w:szCs w:val="21"/>
                <w:highlight w:val="none"/>
              </w:rPr>
              <w:t xml:space="preserve"> </w:t>
            </w:r>
            <w:r>
              <w:rPr>
                <w:rFonts w:hint="eastAsia" w:ascii="宋体" w:hAnsi="宋体" w:eastAsia="宋体" w:cs="宋体"/>
                <w:color w:val="auto"/>
                <w:spacing w:val="-1"/>
                <w:sz w:val="21"/>
                <w:szCs w:val="21"/>
                <w:highlight w:val="none"/>
              </w:rPr>
              <w:t>3</w:t>
            </w:r>
            <w:r>
              <w:rPr>
                <w:rFonts w:hint="eastAsia" w:ascii="宋体" w:hAnsi="宋体" w:eastAsia="宋体" w:cs="宋体"/>
                <w:color w:val="auto"/>
                <w:spacing w:val="-33"/>
                <w:sz w:val="21"/>
                <w:szCs w:val="21"/>
                <w:highlight w:val="none"/>
              </w:rPr>
              <w:t xml:space="preserve"> </w:t>
            </w:r>
            <w:r>
              <w:rPr>
                <w:rFonts w:hint="eastAsia" w:ascii="宋体" w:hAnsi="宋体" w:eastAsia="宋体" w:cs="宋体"/>
                <w:color w:val="auto"/>
                <w:spacing w:val="-1"/>
                <w:sz w:val="21"/>
                <w:szCs w:val="21"/>
                <w:highlight w:val="none"/>
              </w:rPr>
              <w:t>月</w:t>
            </w:r>
            <w:r>
              <w:rPr>
                <w:rFonts w:hint="eastAsia" w:ascii="宋体" w:hAnsi="宋体" w:eastAsia="宋体" w:cs="宋体"/>
                <w:color w:val="auto"/>
                <w:spacing w:val="-24"/>
                <w:sz w:val="21"/>
                <w:szCs w:val="21"/>
                <w:highlight w:val="none"/>
              </w:rPr>
              <w:t xml:space="preserve"> </w:t>
            </w:r>
            <w:r>
              <w:rPr>
                <w:rFonts w:hint="eastAsia" w:ascii="宋体" w:hAnsi="宋体" w:eastAsia="宋体" w:cs="宋体"/>
                <w:color w:val="auto"/>
                <w:spacing w:val="-1"/>
                <w:sz w:val="21"/>
                <w:szCs w:val="21"/>
                <w:highlight w:val="none"/>
              </w:rPr>
              <w:t>1 日-4</w:t>
            </w:r>
            <w:r>
              <w:rPr>
                <w:rFonts w:hint="eastAsia" w:ascii="宋体" w:hAnsi="宋体" w:eastAsia="宋体" w:cs="宋体"/>
                <w:color w:val="auto"/>
                <w:spacing w:val="-33"/>
                <w:sz w:val="21"/>
                <w:szCs w:val="21"/>
                <w:highlight w:val="none"/>
              </w:rPr>
              <w:t xml:space="preserve"> </w:t>
            </w:r>
            <w:r>
              <w:rPr>
                <w:rFonts w:hint="eastAsia" w:ascii="宋体" w:hAnsi="宋体" w:eastAsia="宋体" w:cs="宋体"/>
                <w:color w:val="auto"/>
                <w:spacing w:val="-1"/>
                <w:sz w:val="21"/>
                <w:szCs w:val="21"/>
                <w:highlight w:val="none"/>
              </w:rPr>
              <w:t>月</w:t>
            </w:r>
            <w:r>
              <w:rPr>
                <w:rFonts w:hint="eastAsia" w:ascii="宋体" w:hAnsi="宋体" w:eastAsia="宋体" w:cs="宋体"/>
                <w:color w:val="auto"/>
                <w:spacing w:val="-24"/>
                <w:sz w:val="21"/>
                <w:szCs w:val="21"/>
                <w:highlight w:val="none"/>
              </w:rPr>
              <w:t xml:space="preserve"> </w:t>
            </w:r>
            <w:r>
              <w:rPr>
                <w:rFonts w:hint="eastAsia" w:ascii="宋体" w:hAnsi="宋体" w:eastAsia="宋体" w:cs="宋体"/>
                <w:color w:val="auto"/>
                <w:spacing w:val="-1"/>
                <w:sz w:val="21"/>
                <w:szCs w:val="21"/>
                <w:highlight w:val="none"/>
              </w:rPr>
              <w:t>10 日和秋</w:t>
            </w:r>
            <w:r>
              <w:rPr>
                <w:rFonts w:hint="eastAsia" w:ascii="宋体" w:hAnsi="宋体" w:eastAsia="宋体" w:cs="宋体"/>
                <w:color w:val="auto"/>
                <w:spacing w:val="-2"/>
                <w:sz w:val="21"/>
                <w:szCs w:val="21"/>
                <w:highlight w:val="none"/>
              </w:rPr>
              <w:t>季</w:t>
            </w:r>
            <w:r>
              <w:rPr>
                <w:rFonts w:hint="eastAsia" w:ascii="宋体" w:hAnsi="宋体" w:eastAsia="宋体" w:cs="宋体"/>
                <w:color w:val="auto"/>
                <w:spacing w:val="-21"/>
                <w:sz w:val="21"/>
                <w:szCs w:val="21"/>
                <w:highlight w:val="none"/>
              </w:rPr>
              <w:t xml:space="preserve"> </w:t>
            </w:r>
            <w:r>
              <w:rPr>
                <w:rFonts w:hint="eastAsia" w:ascii="宋体" w:hAnsi="宋体" w:eastAsia="宋体" w:cs="宋体"/>
                <w:color w:val="auto"/>
                <w:spacing w:val="-2"/>
                <w:sz w:val="21"/>
                <w:szCs w:val="21"/>
                <w:highlight w:val="none"/>
              </w:rPr>
              <w:t>11</w:t>
            </w:r>
            <w:r>
              <w:rPr>
                <w:rFonts w:hint="eastAsia" w:ascii="宋体" w:hAnsi="宋体" w:eastAsia="宋体" w:cs="宋体"/>
                <w:color w:val="auto"/>
                <w:spacing w:val="-33"/>
                <w:sz w:val="21"/>
                <w:szCs w:val="21"/>
                <w:highlight w:val="none"/>
              </w:rPr>
              <w:t xml:space="preserve"> </w:t>
            </w:r>
            <w:r>
              <w:rPr>
                <w:rFonts w:hint="eastAsia" w:ascii="宋体" w:hAnsi="宋体" w:eastAsia="宋体" w:cs="宋体"/>
                <w:color w:val="auto"/>
                <w:spacing w:val="-2"/>
                <w:sz w:val="21"/>
                <w:szCs w:val="21"/>
                <w:highlight w:val="none"/>
              </w:rPr>
              <w:t>月</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1 日-12</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4"/>
                <w:sz w:val="21"/>
                <w:szCs w:val="21"/>
                <w:highlight w:val="none"/>
              </w:rPr>
              <w:t>月</w:t>
            </w:r>
            <w:r>
              <w:rPr>
                <w:rFonts w:hint="eastAsia" w:ascii="宋体" w:hAnsi="宋体" w:eastAsia="宋体" w:cs="宋体"/>
                <w:color w:val="auto"/>
                <w:spacing w:val="-21"/>
                <w:sz w:val="21"/>
                <w:szCs w:val="21"/>
                <w:highlight w:val="none"/>
              </w:rPr>
              <w:t xml:space="preserve"> </w:t>
            </w:r>
            <w:r>
              <w:rPr>
                <w:rFonts w:hint="eastAsia" w:ascii="宋体" w:hAnsi="宋体" w:eastAsia="宋体" w:cs="宋体"/>
                <w:color w:val="auto"/>
                <w:spacing w:val="4"/>
                <w:sz w:val="21"/>
                <w:szCs w:val="21"/>
                <w:highlight w:val="none"/>
              </w:rPr>
              <w:t>10 日为苗木集中补植期，对死亡苗木以及</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7"/>
                <w:sz w:val="21"/>
                <w:szCs w:val="21"/>
                <w:highlight w:val="none"/>
              </w:rPr>
              <w:t>不合格苗木（例如：树冠残缺达不到设计要求的</w:t>
            </w:r>
            <w:r>
              <w:rPr>
                <w:rFonts w:hint="eastAsia" w:ascii="宋体" w:hAnsi="宋体" w:eastAsia="宋体" w:cs="宋体"/>
                <w:color w:val="auto"/>
                <w:spacing w:val="-34"/>
                <w:sz w:val="21"/>
                <w:szCs w:val="21"/>
                <w:highlight w:val="none"/>
              </w:rPr>
              <w:t xml:space="preserve"> </w:t>
            </w:r>
            <w:r>
              <w:rPr>
                <w:rFonts w:hint="eastAsia" w:ascii="宋体" w:hAnsi="宋体" w:eastAsia="宋体" w:cs="宋体"/>
                <w:color w:val="auto"/>
                <w:spacing w:val="7"/>
                <w:sz w:val="21"/>
                <w:szCs w:val="21"/>
                <w:highlight w:val="none"/>
              </w:rPr>
              <w:t>2</w:t>
            </w:r>
            <w:r>
              <w:rPr>
                <w:rFonts w:hint="eastAsia" w:ascii="宋体" w:hAnsi="宋体" w:eastAsia="宋体" w:cs="宋体"/>
                <w:color w:val="auto"/>
                <w:spacing w:val="6"/>
                <w:sz w:val="21"/>
                <w:szCs w:val="21"/>
                <w:highlight w:val="none"/>
              </w:rPr>
              <w:t>/3、</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0"/>
                <w:sz w:val="21"/>
                <w:szCs w:val="21"/>
                <w:highlight w:val="none"/>
              </w:rPr>
              <w:t>树皮开裂严重等</w:t>
            </w:r>
            <w:r>
              <w:rPr>
                <w:rFonts w:hint="eastAsia" w:ascii="宋体" w:hAnsi="宋体" w:eastAsia="宋体" w:cs="宋体"/>
                <w:color w:val="auto"/>
                <w:spacing w:val="35"/>
                <w:sz w:val="21"/>
                <w:szCs w:val="21"/>
                <w:highlight w:val="none"/>
              </w:rPr>
              <w:t>），</w:t>
            </w:r>
            <w:r>
              <w:rPr>
                <w:rFonts w:hint="eastAsia" w:ascii="宋体" w:hAnsi="宋体" w:eastAsia="宋体" w:cs="宋体"/>
                <w:color w:val="auto"/>
                <w:spacing w:val="10"/>
                <w:sz w:val="21"/>
                <w:szCs w:val="21"/>
                <w:highlight w:val="none"/>
              </w:rPr>
              <w:t>中标人必须在当季补植期补植、</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8"/>
                <w:sz w:val="21"/>
                <w:szCs w:val="21"/>
                <w:highlight w:val="none"/>
              </w:rPr>
              <w:t>更换完成，并向招标人申请验收。</w:t>
            </w:r>
          </w:p>
        </w:tc>
        <w:tc>
          <w:tcPr>
            <w:tcW w:w="4483" w:type="dxa"/>
            <w:noWrap w:val="0"/>
            <w:vAlign w:val="top"/>
          </w:tcPr>
          <w:p w14:paraId="10C299AE">
            <w:pPr>
              <w:pStyle w:val="42"/>
              <w:keepNext w:val="0"/>
              <w:keepLines w:val="0"/>
              <w:pageBreakBefore w:val="0"/>
              <w:widowControl w:val="0"/>
              <w:kinsoku/>
              <w:wordWrap/>
              <w:overflowPunct/>
              <w:topLinePunct w:val="0"/>
              <w:autoSpaceDE/>
              <w:autoSpaceDN/>
              <w:bidi w:val="0"/>
              <w:adjustRightInd/>
              <w:snapToGrid/>
              <w:spacing w:line="360" w:lineRule="exact"/>
              <w:ind w:left="113" w:leftChars="0" w:right="108" w:rightChars="0"/>
              <w:jc w:val="both"/>
              <w:textAlignment w:val="auto"/>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color w:val="auto"/>
                <w:spacing w:val="13"/>
                <w:sz w:val="21"/>
                <w:szCs w:val="21"/>
                <w:highlight w:val="none"/>
              </w:rPr>
              <w:t>针对验收不合格的，除暂停支付当</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3"/>
                <w:sz w:val="21"/>
                <w:szCs w:val="21"/>
                <w:highlight w:val="none"/>
              </w:rPr>
              <w:t>季度工程款以外，还对需补植、更</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3"/>
                <w:sz w:val="21"/>
                <w:szCs w:val="21"/>
                <w:highlight w:val="none"/>
              </w:rPr>
              <w:t>换的苗木，按招标控制价中相应子</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0"/>
                <w:sz w:val="21"/>
                <w:szCs w:val="21"/>
                <w:highlight w:val="none"/>
              </w:rPr>
              <w:t>项（包含栽植、养护）</w:t>
            </w:r>
            <w:r>
              <w:rPr>
                <w:rFonts w:hint="eastAsia" w:ascii="宋体" w:hAnsi="宋体" w:eastAsia="宋体" w:cs="宋体"/>
                <w:color w:val="auto"/>
                <w:spacing w:val="-56"/>
                <w:sz w:val="21"/>
                <w:szCs w:val="21"/>
                <w:highlight w:val="none"/>
              </w:rPr>
              <w:t xml:space="preserve"> </w:t>
            </w:r>
            <w:r>
              <w:rPr>
                <w:rFonts w:hint="eastAsia" w:ascii="宋体" w:hAnsi="宋体" w:eastAsia="宋体" w:cs="宋体"/>
                <w:color w:val="auto"/>
                <w:spacing w:val="10"/>
                <w:sz w:val="21"/>
                <w:szCs w:val="21"/>
                <w:highlight w:val="none"/>
              </w:rPr>
              <w:t>的综合单价</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5"/>
                <w:sz w:val="21"/>
                <w:szCs w:val="21"/>
                <w:highlight w:val="none"/>
              </w:rPr>
              <w:t>的</w:t>
            </w:r>
            <w:r>
              <w:rPr>
                <w:rFonts w:hint="eastAsia" w:ascii="宋体" w:hAnsi="宋体" w:eastAsia="宋体" w:cs="宋体"/>
                <w:color w:val="auto"/>
                <w:spacing w:val="-33"/>
                <w:sz w:val="21"/>
                <w:szCs w:val="21"/>
                <w:highlight w:val="none"/>
              </w:rPr>
              <w:t xml:space="preserve"> </w:t>
            </w:r>
            <w:r>
              <w:rPr>
                <w:rFonts w:hint="eastAsia" w:ascii="宋体" w:hAnsi="宋体" w:eastAsia="宋体" w:cs="宋体"/>
                <w:color w:val="auto"/>
                <w:spacing w:val="5"/>
                <w:sz w:val="21"/>
                <w:szCs w:val="21"/>
                <w:highlight w:val="none"/>
              </w:rPr>
              <w:t>50%承担违约金。</w:t>
            </w:r>
          </w:p>
        </w:tc>
      </w:tr>
      <w:tr w14:paraId="0407B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6032" w:type="dxa"/>
            <w:noWrap w:val="0"/>
            <w:vAlign w:val="top"/>
          </w:tcPr>
          <w:p w14:paraId="15B9B202">
            <w:pPr>
              <w:pStyle w:val="42"/>
              <w:keepNext w:val="0"/>
              <w:keepLines w:val="0"/>
              <w:pageBreakBefore w:val="0"/>
              <w:widowControl w:val="0"/>
              <w:kinsoku/>
              <w:wordWrap/>
              <w:overflowPunct/>
              <w:topLinePunct w:val="0"/>
              <w:autoSpaceDE/>
              <w:autoSpaceDN/>
              <w:bidi w:val="0"/>
              <w:adjustRightInd/>
              <w:snapToGrid/>
              <w:spacing w:line="360" w:lineRule="exact"/>
              <w:ind w:left="116" w:leftChars="0" w:right="37" w:rightChars="0" w:firstLine="1" w:firstLineChars="0"/>
              <w:jc w:val="both"/>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color w:val="auto"/>
                <w:spacing w:val="5"/>
                <w:sz w:val="21"/>
                <w:szCs w:val="21"/>
                <w:highlight w:val="none"/>
              </w:rPr>
              <w:t>各类养管问题（各级考核通报、自查自纠、督查督办、</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11"/>
                <w:sz w:val="21"/>
                <w:szCs w:val="21"/>
                <w:highlight w:val="none"/>
              </w:rPr>
              <w:t>巡查暗访、群众投诉、市长热线转办、数字城管案件</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9"/>
                <w:sz w:val="21"/>
                <w:szCs w:val="21"/>
                <w:highlight w:val="none"/>
              </w:rPr>
              <w:t>等）处置整改不及时、不到位</w:t>
            </w:r>
          </w:p>
        </w:tc>
        <w:tc>
          <w:tcPr>
            <w:tcW w:w="4483" w:type="dxa"/>
            <w:noWrap w:val="0"/>
            <w:vAlign w:val="top"/>
          </w:tcPr>
          <w:p w14:paraId="0025E912">
            <w:pPr>
              <w:pStyle w:val="42"/>
              <w:keepNext w:val="0"/>
              <w:keepLines w:val="0"/>
              <w:pageBreakBefore w:val="0"/>
              <w:widowControl w:val="0"/>
              <w:kinsoku/>
              <w:wordWrap/>
              <w:overflowPunct/>
              <w:topLinePunct w:val="0"/>
              <w:autoSpaceDE/>
              <w:autoSpaceDN/>
              <w:bidi w:val="0"/>
              <w:adjustRightInd/>
              <w:snapToGrid/>
              <w:spacing w:line="360" w:lineRule="exact"/>
              <w:ind w:left="130" w:right="108" w:hanging="1"/>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1.视情况承担</w:t>
            </w:r>
            <w:r>
              <w:rPr>
                <w:rFonts w:hint="eastAsia" w:ascii="宋体" w:hAnsi="宋体" w:eastAsia="宋体" w:cs="宋体"/>
                <w:color w:val="auto"/>
                <w:spacing w:val="-15"/>
                <w:sz w:val="21"/>
                <w:szCs w:val="21"/>
                <w:highlight w:val="none"/>
              </w:rPr>
              <w:t xml:space="preserve"> </w:t>
            </w:r>
            <w:r>
              <w:rPr>
                <w:rFonts w:hint="eastAsia" w:ascii="宋体" w:hAnsi="宋体" w:eastAsia="宋体" w:cs="宋体"/>
                <w:color w:val="auto"/>
                <w:spacing w:val="8"/>
                <w:sz w:val="21"/>
                <w:szCs w:val="21"/>
                <w:highlight w:val="none"/>
              </w:rPr>
              <w:t>500</w:t>
            </w:r>
            <w:r>
              <w:rPr>
                <w:rFonts w:hint="eastAsia" w:ascii="宋体" w:hAnsi="宋体" w:eastAsia="宋体" w:cs="宋体"/>
                <w:color w:val="auto"/>
                <w:spacing w:val="-29"/>
                <w:sz w:val="21"/>
                <w:szCs w:val="21"/>
                <w:highlight w:val="none"/>
              </w:rPr>
              <w:t xml:space="preserve"> </w:t>
            </w:r>
            <w:r>
              <w:rPr>
                <w:rFonts w:hint="eastAsia" w:ascii="宋体" w:hAnsi="宋体" w:eastAsia="宋体" w:cs="宋体"/>
                <w:color w:val="auto"/>
                <w:spacing w:val="8"/>
                <w:sz w:val="21"/>
                <w:szCs w:val="21"/>
                <w:highlight w:val="none"/>
              </w:rPr>
              <w:t>元—5000</w:t>
            </w:r>
            <w:r>
              <w:rPr>
                <w:rFonts w:hint="eastAsia" w:ascii="宋体" w:hAnsi="宋体" w:eastAsia="宋体" w:cs="宋体"/>
                <w:color w:val="auto"/>
                <w:spacing w:val="-29"/>
                <w:sz w:val="21"/>
                <w:szCs w:val="21"/>
                <w:highlight w:val="none"/>
              </w:rPr>
              <w:t xml:space="preserve"> </w:t>
            </w:r>
            <w:r>
              <w:rPr>
                <w:rFonts w:hint="eastAsia" w:ascii="宋体" w:hAnsi="宋体" w:eastAsia="宋体" w:cs="宋体"/>
                <w:color w:val="auto"/>
                <w:spacing w:val="8"/>
                <w:sz w:val="21"/>
                <w:szCs w:val="21"/>
                <w:highlight w:val="none"/>
              </w:rPr>
              <w:t>元/次</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的违约金；</w:t>
            </w:r>
          </w:p>
          <w:p w14:paraId="4C40D7FF">
            <w:pPr>
              <w:pStyle w:val="42"/>
              <w:keepNext w:val="0"/>
              <w:keepLines w:val="0"/>
              <w:pageBreakBefore w:val="0"/>
              <w:widowControl w:val="0"/>
              <w:kinsoku/>
              <w:wordWrap/>
              <w:overflowPunct/>
              <w:topLinePunct w:val="0"/>
              <w:autoSpaceDE/>
              <w:autoSpaceDN/>
              <w:bidi w:val="0"/>
              <w:adjustRightInd/>
              <w:snapToGrid/>
              <w:spacing w:line="360" w:lineRule="exact"/>
              <w:ind w:left="112" w:leftChars="0" w:right="108" w:rightChars="0" w:firstLine="3" w:firstLineChars="0"/>
              <w:jc w:val="both"/>
              <w:textAlignment w:val="auto"/>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color w:val="auto"/>
                <w:spacing w:val="12"/>
                <w:sz w:val="21"/>
                <w:szCs w:val="21"/>
                <w:highlight w:val="none"/>
              </w:rPr>
              <w:t>2.问题长期整改不力的，采购人有</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3"/>
                <w:sz w:val="21"/>
                <w:szCs w:val="21"/>
                <w:highlight w:val="none"/>
              </w:rPr>
              <w:t>权指定其他单位承担整改工作，费</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3"/>
                <w:sz w:val="21"/>
                <w:szCs w:val="21"/>
                <w:highlight w:val="none"/>
              </w:rPr>
              <w:t>用由该中标人承担（从工程款中直</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7"/>
                <w:sz w:val="21"/>
                <w:szCs w:val="21"/>
                <w:highlight w:val="none"/>
              </w:rPr>
              <w:t>接扣除</w:t>
            </w:r>
            <w:r>
              <w:rPr>
                <w:rFonts w:hint="eastAsia" w:ascii="宋体" w:hAnsi="宋体" w:eastAsia="宋体" w:cs="宋体"/>
                <w:color w:val="auto"/>
                <w:sz w:val="21"/>
                <w:szCs w:val="21"/>
                <w:highlight w:val="none"/>
              </w:rPr>
              <w:t>）；</w:t>
            </w:r>
          </w:p>
        </w:tc>
      </w:tr>
      <w:tr w14:paraId="1B1AE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0515" w:type="dxa"/>
            <w:gridSpan w:val="2"/>
            <w:noWrap w:val="0"/>
            <w:vAlign w:val="top"/>
          </w:tcPr>
          <w:p w14:paraId="5D65A3BD">
            <w:pPr>
              <w:pStyle w:val="42"/>
              <w:keepNext w:val="0"/>
              <w:keepLines w:val="0"/>
              <w:pageBreakBefore w:val="0"/>
              <w:widowControl w:val="0"/>
              <w:kinsoku/>
              <w:wordWrap/>
              <w:overflowPunct/>
              <w:topLinePunct w:val="0"/>
              <w:autoSpaceDE/>
              <w:autoSpaceDN/>
              <w:bidi w:val="0"/>
              <w:adjustRightInd/>
              <w:snapToGrid/>
              <w:spacing w:line="360" w:lineRule="exact"/>
              <w:ind w:left="114" w:leftChars="0" w:right="108" w:rightChars="0" w:firstLine="18" w:firstLineChars="0"/>
              <w:jc w:val="both"/>
              <w:textAlignment w:val="auto"/>
              <w:rPr>
                <w:rFonts w:hint="eastAsia" w:ascii="宋体" w:hAnsi="宋体" w:eastAsia="宋体" w:cs="宋体"/>
                <w:color w:val="auto"/>
                <w:spacing w:val="11"/>
                <w:sz w:val="21"/>
                <w:szCs w:val="21"/>
                <w:highlight w:val="none"/>
              </w:rPr>
            </w:pPr>
            <w:r>
              <w:rPr>
                <w:rFonts w:hint="eastAsia" w:ascii="宋体" w:hAnsi="宋体" w:eastAsia="宋体" w:cs="宋体"/>
                <w:b/>
                <w:bCs/>
                <w:color w:val="auto"/>
                <w:spacing w:val="5"/>
                <w:sz w:val="21"/>
                <w:szCs w:val="21"/>
                <w:highlight w:val="none"/>
                <w:lang w:val="en-US" w:eastAsia="zh-CN"/>
              </w:rPr>
              <w:t>三</w:t>
            </w:r>
            <w:r>
              <w:rPr>
                <w:rFonts w:hint="eastAsia" w:ascii="宋体" w:hAnsi="宋体" w:eastAsia="宋体" w:cs="宋体"/>
                <w:b/>
                <w:bCs/>
                <w:color w:val="auto"/>
                <w:spacing w:val="5"/>
                <w:sz w:val="21"/>
                <w:szCs w:val="21"/>
                <w:highlight w:val="none"/>
              </w:rPr>
              <w:t>、移交</w:t>
            </w:r>
          </w:p>
        </w:tc>
      </w:tr>
      <w:tr w14:paraId="6A4DD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6032" w:type="dxa"/>
            <w:noWrap w:val="0"/>
            <w:vAlign w:val="top"/>
          </w:tcPr>
          <w:p w14:paraId="1A0AFD4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2AA1888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2185F6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52536242">
            <w:pPr>
              <w:pStyle w:val="42"/>
              <w:keepNext w:val="0"/>
              <w:keepLines w:val="0"/>
              <w:pageBreakBefore w:val="0"/>
              <w:widowControl w:val="0"/>
              <w:kinsoku/>
              <w:wordWrap/>
              <w:overflowPunct/>
              <w:topLinePunct w:val="0"/>
              <w:autoSpaceDE/>
              <w:autoSpaceDN/>
              <w:bidi w:val="0"/>
              <w:adjustRightInd/>
              <w:snapToGrid/>
              <w:spacing w:line="360" w:lineRule="exact"/>
              <w:ind w:left="119" w:leftChars="0" w:right="108" w:rightChars="0" w:hanging="3" w:firstLineChars="0"/>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color w:val="auto"/>
                <w:spacing w:val="11"/>
                <w:sz w:val="21"/>
                <w:szCs w:val="21"/>
                <w:highlight w:val="none"/>
              </w:rPr>
              <w:t>养护期满时由招标人组织移交，中标人未及时办理移</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5"/>
                <w:sz w:val="21"/>
                <w:szCs w:val="21"/>
                <w:highlight w:val="none"/>
              </w:rPr>
              <w:t>交手续</w:t>
            </w:r>
          </w:p>
        </w:tc>
        <w:tc>
          <w:tcPr>
            <w:tcW w:w="4483" w:type="dxa"/>
            <w:noWrap w:val="0"/>
            <w:vAlign w:val="top"/>
          </w:tcPr>
          <w:p w14:paraId="39FA5836">
            <w:pPr>
              <w:pStyle w:val="42"/>
              <w:keepNext w:val="0"/>
              <w:keepLines w:val="0"/>
              <w:pageBreakBefore w:val="0"/>
              <w:widowControl w:val="0"/>
              <w:numPr>
                <w:ilvl w:val="0"/>
                <w:numId w:val="6"/>
              </w:numPr>
              <w:kinsoku/>
              <w:wordWrap/>
              <w:overflowPunct/>
              <w:topLinePunct w:val="0"/>
              <w:autoSpaceDE/>
              <w:autoSpaceDN/>
              <w:bidi w:val="0"/>
              <w:adjustRightInd/>
              <w:snapToGrid/>
              <w:spacing w:line="360" w:lineRule="exact"/>
              <w:ind w:left="114" w:leftChars="0" w:right="108" w:rightChars="0" w:firstLine="14"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7"/>
                <w:sz w:val="21"/>
                <w:szCs w:val="21"/>
                <w:highlight w:val="none"/>
              </w:rPr>
              <w:t>移交时新栽植苗木成活率应达</w:t>
            </w:r>
            <w:r>
              <w:rPr>
                <w:rFonts w:hint="eastAsia" w:ascii="宋体" w:hAnsi="宋体" w:eastAsia="宋体" w:cs="宋体"/>
                <w:color w:val="auto"/>
                <w:spacing w:val="7"/>
                <w:sz w:val="21"/>
                <w:szCs w:val="21"/>
                <w:highlight w:val="none"/>
              </w:rPr>
              <w:t xml:space="preserve"> </w:t>
            </w:r>
            <w:r>
              <w:rPr>
                <w:rFonts w:hint="eastAsia" w:ascii="宋体" w:hAnsi="宋体" w:eastAsia="宋体" w:cs="宋体"/>
                <w:color w:val="auto"/>
                <w:spacing w:val="8"/>
                <w:sz w:val="21"/>
                <w:szCs w:val="21"/>
                <w:highlight w:val="none"/>
              </w:rPr>
              <w:t>100%；迁移苗木在</w:t>
            </w:r>
            <w:r>
              <w:rPr>
                <w:rFonts w:hint="eastAsia" w:ascii="宋体" w:hAnsi="宋体" w:eastAsia="宋体" w:cs="宋体"/>
                <w:color w:val="auto"/>
                <w:spacing w:val="-20"/>
                <w:sz w:val="21"/>
                <w:szCs w:val="21"/>
                <w:highlight w:val="none"/>
              </w:rPr>
              <w:t xml:space="preserve"> </w:t>
            </w:r>
            <w:r>
              <w:rPr>
                <w:rFonts w:hint="eastAsia" w:ascii="宋体" w:hAnsi="宋体" w:eastAsia="宋体" w:cs="宋体"/>
                <w:color w:val="auto"/>
                <w:spacing w:val="8"/>
                <w:sz w:val="21"/>
                <w:szCs w:val="21"/>
                <w:highlight w:val="none"/>
              </w:rPr>
              <w:t>6—10</w:t>
            </w:r>
            <w:r>
              <w:rPr>
                <w:rFonts w:hint="eastAsia" w:ascii="宋体" w:hAnsi="宋体" w:eastAsia="宋体" w:cs="宋体"/>
                <w:color w:val="auto"/>
                <w:spacing w:val="-30"/>
                <w:sz w:val="21"/>
                <w:szCs w:val="21"/>
                <w:highlight w:val="none"/>
              </w:rPr>
              <w:t xml:space="preserve"> </w:t>
            </w:r>
            <w:r>
              <w:rPr>
                <w:rFonts w:hint="eastAsia" w:ascii="宋体" w:hAnsi="宋体" w:eastAsia="宋体" w:cs="宋体"/>
                <w:color w:val="auto"/>
                <w:spacing w:val="8"/>
                <w:sz w:val="21"/>
                <w:szCs w:val="21"/>
                <w:highlight w:val="none"/>
              </w:rPr>
              <w:t>月份迁移</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的，成活率应大于</w:t>
            </w:r>
            <w:r>
              <w:rPr>
                <w:rFonts w:hint="eastAsia" w:ascii="宋体" w:hAnsi="宋体" w:eastAsia="宋体" w:cs="宋体"/>
                <w:color w:val="auto"/>
                <w:spacing w:val="-23"/>
                <w:sz w:val="21"/>
                <w:szCs w:val="21"/>
                <w:highlight w:val="none"/>
              </w:rPr>
              <w:t xml:space="preserve"> </w:t>
            </w:r>
            <w:r>
              <w:rPr>
                <w:rFonts w:hint="eastAsia" w:ascii="宋体" w:hAnsi="宋体" w:eastAsia="宋体" w:cs="宋体"/>
                <w:color w:val="auto"/>
                <w:spacing w:val="1"/>
                <w:sz w:val="21"/>
                <w:szCs w:val="21"/>
                <w:highlight w:val="none"/>
              </w:rPr>
              <w:t>85%，其它季节迁</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移的，成活率应大于</w:t>
            </w:r>
            <w:r>
              <w:rPr>
                <w:rFonts w:hint="eastAsia" w:ascii="宋体" w:hAnsi="宋体" w:eastAsia="宋体" w:cs="宋体"/>
                <w:color w:val="auto"/>
                <w:spacing w:val="-23"/>
                <w:sz w:val="21"/>
                <w:szCs w:val="21"/>
                <w:highlight w:val="none"/>
              </w:rPr>
              <w:t xml:space="preserve"> </w:t>
            </w:r>
            <w:r>
              <w:rPr>
                <w:rFonts w:hint="eastAsia" w:ascii="宋体" w:hAnsi="宋体" w:eastAsia="宋体" w:cs="宋体"/>
                <w:color w:val="auto"/>
                <w:spacing w:val="1"/>
                <w:sz w:val="21"/>
                <w:szCs w:val="21"/>
                <w:highlight w:val="none"/>
              </w:rPr>
              <w:t>95%；移交时仍</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3"/>
                <w:sz w:val="21"/>
                <w:szCs w:val="21"/>
                <w:highlight w:val="none"/>
              </w:rPr>
              <w:t>有零星死亡的，扣除死亡苗木清单</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3"/>
                <w:sz w:val="21"/>
                <w:szCs w:val="21"/>
                <w:highlight w:val="none"/>
              </w:rPr>
              <w:t>价的</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3"/>
                <w:sz w:val="21"/>
                <w:szCs w:val="21"/>
                <w:highlight w:val="none"/>
              </w:rPr>
              <w:t>130%后以移交；</w:t>
            </w:r>
            <w:r>
              <w:rPr>
                <w:rFonts w:hint="eastAsia" w:ascii="宋体" w:hAnsi="宋体" w:eastAsia="宋体" w:cs="宋体"/>
                <w:color w:val="auto"/>
                <w:spacing w:val="12"/>
                <w:sz w:val="21"/>
                <w:szCs w:val="21"/>
                <w:highlight w:val="none"/>
              </w:rPr>
              <w:t>限期移交，未及时办理移交导致</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3"/>
                <w:sz w:val="21"/>
                <w:szCs w:val="21"/>
                <w:highlight w:val="none"/>
              </w:rPr>
              <w:t>超期养管所需的经费由中标人自行</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3"/>
                <w:sz w:val="21"/>
                <w:szCs w:val="21"/>
                <w:highlight w:val="none"/>
              </w:rPr>
              <w:t>承担；</w:t>
            </w:r>
          </w:p>
          <w:p w14:paraId="7BB43644">
            <w:pPr>
              <w:pStyle w:val="42"/>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28" w:leftChars="0" w:right="108" w:rightChars="0" w:firstLine="0" w:firstLineChars="0"/>
              <w:jc w:val="both"/>
              <w:textAlignment w:val="auto"/>
              <w:rPr>
                <w:rFonts w:hint="eastAsia" w:ascii="宋体" w:hAnsi="宋体" w:eastAsia="宋体" w:cs="宋体"/>
                <w:color w:val="auto"/>
                <w:spacing w:val="3"/>
                <w:kern w:val="2"/>
                <w:sz w:val="21"/>
                <w:szCs w:val="21"/>
                <w:highlight w:val="none"/>
                <w:lang w:val="en-US" w:eastAsia="en-US" w:bidi="ar-SA"/>
              </w:rPr>
            </w:pPr>
            <w:r>
              <w:rPr>
                <w:rFonts w:hint="eastAsia" w:ascii="宋体" w:hAnsi="宋体" w:eastAsia="宋体" w:cs="宋体"/>
                <w:color w:val="auto"/>
                <w:spacing w:val="7"/>
                <w:sz w:val="21"/>
                <w:szCs w:val="21"/>
                <w:highlight w:val="none"/>
              </w:rPr>
              <w:t>2.停止支付工程款项；</w:t>
            </w:r>
          </w:p>
        </w:tc>
      </w:tr>
      <w:tr w14:paraId="418CF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6032" w:type="dxa"/>
            <w:noWrap w:val="0"/>
            <w:vAlign w:val="top"/>
          </w:tcPr>
          <w:p w14:paraId="1CA3F252">
            <w:pPr>
              <w:pStyle w:val="42"/>
              <w:keepNext w:val="0"/>
              <w:keepLines w:val="0"/>
              <w:pageBreakBefore w:val="0"/>
              <w:widowControl w:val="0"/>
              <w:kinsoku/>
              <w:wordWrap/>
              <w:overflowPunct/>
              <w:topLinePunct w:val="0"/>
              <w:autoSpaceDE/>
              <w:autoSpaceDN/>
              <w:bidi w:val="0"/>
              <w:adjustRightInd/>
              <w:snapToGrid/>
              <w:spacing w:line="360" w:lineRule="exact"/>
              <w:ind w:left="114" w:leftChars="0" w:right="108" w:rightChars="0" w:firstLine="18" w:firstLineChars="0"/>
              <w:jc w:val="both"/>
              <w:textAlignment w:val="auto"/>
              <w:rPr>
                <w:rFonts w:hint="default" w:ascii="宋体" w:hAnsi="宋体" w:eastAsia="宋体" w:cs="宋体"/>
                <w:color w:val="auto"/>
                <w:spacing w:val="10"/>
                <w:sz w:val="21"/>
                <w:szCs w:val="21"/>
                <w:highlight w:val="none"/>
                <w:lang w:val="en-US" w:eastAsia="zh-CN"/>
              </w:rPr>
            </w:pPr>
            <w:r>
              <w:rPr>
                <w:rFonts w:hint="eastAsia" w:ascii="宋体" w:hAnsi="宋体" w:eastAsia="宋体" w:cs="宋体"/>
                <w:b/>
                <w:bCs/>
                <w:color w:val="auto"/>
                <w:spacing w:val="5"/>
                <w:sz w:val="21"/>
                <w:szCs w:val="21"/>
                <w:highlight w:val="none"/>
                <w:lang w:val="en-US" w:eastAsia="zh-CN"/>
              </w:rPr>
              <w:t>四、其他管理</w:t>
            </w:r>
          </w:p>
        </w:tc>
        <w:tc>
          <w:tcPr>
            <w:tcW w:w="4483" w:type="dxa"/>
            <w:noWrap w:val="0"/>
            <w:vAlign w:val="top"/>
          </w:tcPr>
          <w:p w14:paraId="6AC1E7CC">
            <w:pPr>
              <w:pStyle w:val="42"/>
              <w:keepNext w:val="0"/>
              <w:keepLines w:val="0"/>
              <w:pageBreakBefore w:val="0"/>
              <w:widowControl w:val="0"/>
              <w:kinsoku/>
              <w:wordWrap/>
              <w:overflowPunct/>
              <w:topLinePunct w:val="0"/>
              <w:autoSpaceDE/>
              <w:autoSpaceDN/>
              <w:bidi w:val="0"/>
              <w:adjustRightInd/>
              <w:snapToGrid/>
              <w:spacing w:line="360" w:lineRule="exact"/>
              <w:ind w:left="114" w:leftChars="0" w:right="108" w:rightChars="0" w:firstLine="18" w:firstLineChars="0"/>
              <w:jc w:val="both"/>
              <w:textAlignment w:val="auto"/>
              <w:rPr>
                <w:rFonts w:hint="eastAsia" w:ascii="宋体" w:hAnsi="宋体" w:eastAsia="宋体" w:cs="宋体"/>
                <w:color w:val="auto"/>
                <w:spacing w:val="11"/>
                <w:sz w:val="21"/>
                <w:szCs w:val="21"/>
                <w:highlight w:val="none"/>
              </w:rPr>
            </w:pPr>
          </w:p>
        </w:tc>
      </w:tr>
      <w:tr w14:paraId="24BA11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6032" w:type="dxa"/>
            <w:noWrap w:val="0"/>
            <w:vAlign w:val="top"/>
          </w:tcPr>
          <w:p w14:paraId="526577E3">
            <w:pPr>
              <w:pStyle w:val="42"/>
              <w:keepNext w:val="0"/>
              <w:keepLines w:val="0"/>
              <w:pageBreakBefore w:val="0"/>
              <w:widowControl w:val="0"/>
              <w:kinsoku/>
              <w:wordWrap/>
              <w:overflowPunct/>
              <w:topLinePunct w:val="0"/>
              <w:autoSpaceDE/>
              <w:autoSpaceDN/>
              <w:bidi w:val="0"/>
              <w:adjustRightInd/>
              <w:snapToGrid/>
              <w:spacing w:line="360" w:lineRule="exact"/>
              <w:ind w:left="116" w:leftChars="0" w:right="108" w:rightChars="0" w:firstLine="18" w:firstLineChars="0"/>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color w:val="auto"/>
                <w:spacing w:val="10"/>
                <w:sz w:val="21"/>
                <w:szCs w:val="21"/>
                <w:highlight w:val="none"/>
              </w:rPr>
              <w:t>中标人必须服从招标人的调度，做好迎检配合工作及</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8"/>
                <w:sz w:val="21"/>
                <w:szCs w:val="21"/>
                <w:highlight w:val="none"/>
              </w:rPr>
              <w:t>其他有关的协调配合工作。</w:t>
            </w:r>
          </w:p>
        </w:tc>
        <w:tc>
          <w:tcPr>
            <w:tcW w:w="4483" w:type="dxa"/>
            <w:noWrap w:val="0"/>
            <w:vAlign w:val="top"/>
          </w:tcPr>
          <w:p w14:paraId="0CBEF5FD">
            <w:pPr>
              <w:pStyle w:val="42"/>
              <w:keepNext w:val="0"/>
              <w:keepLines w:val="0"/>
              <w:pageBreakBefore w:val="0"/>
              <w:widowControl w:val="0"/>
              <w:kinsoku/>
              <w:wordWrap/>
              <w:overflowPunct/>
              <w:topLinePunct w:val="0"/>
              <w:autoSpaceDE/>
              <w:autoSpaceDN/>
              <w:bidi w:val="0"/>
              <w:adjustRightInd/>
              <w:snapToGrid/>
              <w:spacing w:line="360" w:lineRule="exact"/>
              <w:ind w:left="129" w:leftChars="0" w:right="108" w:rightChars="0" w:firstLine="4" w:firstLineChars="0"/>
              <w:textAlignment w:val="auto"/>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color w:val="auto"/>
                <w:spacing w:val="11"/>
                <w:sz w:val="21"/>
                <w:szCs w:val="21"/>
                <w:highlight w:val="none"/>
              </w:rPr>
              <w:t>中标人拒不执行的，则视情况承担</w:t>
            </w:r>
            <w:r>
              <w:rPr>
                <w:rFonts w:hint="eastAsia" w:ascii="宋体" w:hAnsi="宋体" w:eastAsia="宋体" w:cs="宋体"/>
                <w:color w:val="auto"/>
                <w:spacing w:val="10"/>
                <w:sz w:val="21"/>
                <w:szCs w:val="21"/>
                <w:highlight w:val="none"/>
              </w:rPr>
              <w:t xml:space="preserve"> </w:t>
            </w:r>
            <w:r>
              <w:rPr>
                <w:rFonts w:hint="eastAsia" w:ascii="宋体" w:hAnsi="宋体" w:eastAsia="宋体" w:cs="宋体"/>
                <w:color w:val="auto"/>
                <w:spacing w:val="4"/>
                <w:sz w:val="21"/>
                <w:szCs w:val="21"/>
                <w:highlight w:val="none"/>
              </w:rPr>
              <w:t>10000～50000</w:t>
            </w:r>
            <w:r>
              <w:rPr>
                <w:rFonts w:hint="eastAsia" w:ascii="宋体" w:hAnsi="宋体" w:eastAsia="宋体" w:cs="宋体"/>
                <w:color w:val="auto"/>
                <w:spacing w:val="-25"/>
                <w:sz w:val="21"/>
                <w:szCs w:val="21"/>
                <w:highlight w:val="none"/>
              </w:rPr>
              <w:t xml:space="preserve"> </w:t>
            </w:r>
            <w:r>
              <w:rPr>
                <w:rFonts w:hint="eastAsia" w:ascii="宋体" w:hAnsi="宋体" w:eastAsia="宋体" w:cs="宋体"/>
                <w:color w:val="auto"/>
                <w:spacing w:val="4"/>
                <w:sz w:val="21"/>
                <w:szCs w:val="21"/>
                <w:highlight w:val="none"/>
              </w:rPr>
              <w:t>元/次的违约金。</w:t>
            </w:r>
          </w:p>
        </w:tc>
      </w:tr>
    </w:tbl>
    <w:p w14:paraId="63BD3396">
      <w:pPr>
        <w:rPr>
          <w:rFonts w:hint="eastAsia"/>
          <w:color w:val="auto"/>
          <w:highlight w:val="none"/>
        </w:rPr>
      </w:pPr>
      <w:r>
        <w:rPr>
          <w:rFonts w:hint="eastAsia"/>
          <w:color w:val="auto"/>
          <w:highlight w:val="none"/>
          <w:lang w:val="en-US" w:eastAsia="zh-CN"/>
        </w:rPr>
        <w:br w:type="page"/>
      </w:r>
    </w:p>
    <w:p w14:paraId="02879CEC">
      <w:pPr>
        <w:keepNext/>
        <w:keepLines/>
        <w:spacing w:before="120" w:after="120" w:line="360" w:lineRule="auto"/>
        <w:jc w:val="left"/>
        <w:outlineLvl w:val="2"/>
        <w:rPr>
          <w:rFonts w:hint="eastAsia" w:ascii="宋体" w:hAnsi="宋体" w:cs="宋体"/>
          <w:bCs/>
          <w:color w:val="auto"/>
          <w:sz w:val="24"/>
          <w:highlight w:val="none"/>
        </w:rPr>
      </w:pPr>
      <w:bookmarkStart w:id="1278" w:name="_Toc95223486"/>
      <w:r>
        <w:rPr>
          <w:rFonts w:hint="eastAsia" w:ascii="宋体" w:hAnsi="宋体" w:cs="宋体"/>
          <w:bCs/>
          <w:color w:val="auto"/>
          <w:sz w:val="24"/>
          <w:highlight w:val="none"/>
        </w:rPr>
        <w:t>附件1：承包人承揽工程项目一览表</w:t>
      </w:r>
      <w:bookmarkEnd w:id="1278"/>
    </w:p>
    <w:p w14:paraId="0B583D90">
      <w:pPr>
        <w:spacing w:line="360" w:lineRule="auto"/>
        <w:jc w:val="center"/>
        <w:rPr>
          <w:rFonts w:hint="eastAsia" w:ascii="宋体" w:hAnsi="宋体" w:cs="宋体"/>
          <w:color w:val="auto"/>
          <w:sz w:val="22"/>
          <w:szCs w:val="21"/>
          <w:highlight w:val="none"/>
        </w:rPr>
      </w:pPr>
      <w:r>
        <w:rPr>
          <w:rFonts w:hint="eastAsia" w:ascii="宋体" w:hAnsi="宋体" w:cs="宋体"/>
          <w:color w:val="auto"/>
          <w:sz w:val="22"/>
          <w:szCs w:val="21"/>
          <w:highlight w:val="none"/>
        </w:rPr>
        <w:t>承包人承揽工程项目一览表</w:t>
      </w:r>
    </w:p>
    <w:tbl>
      <w:tblPr>
        <w:tblStyle w:val="20"/>
        <w:tblW w:w="949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134"/>
        <w:gridCol w:w="1134"/>
        <w:gridCol w:w="993"/>
        <w:gridCol w:w="708"/>
        <w:gridCol w:w="1134"/>
        <w:gridCol w:w="1134"/>
        <w:gridCol w:w="993"/>
        <w:gridCol w:w="708"/>
        <w:gridCol w:w="567"/>
      </w:tblGrid>
      <w:tr w14:paraId="614983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center"/>
          </w:tcPr>
          <w:p w14:paraId="51866035">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单位工程名称</w:t>
            </w:r>
          </w:p>
        </w:tc>
        <w:tc>
          <w:tcPr>
            <w:tcW w:w="1134" w:type="dxa"/>
            <w:tcBorders>
              <w:top w:val="single" w:color="auto" w:sz="12" w:space="0"/>
              <w:bottom w:val="double" w:color="auto" w:sz="6" w:space="0"/>
            </w:tcBorders>
            <w:noWrap w:val="0"/>
            <w:vAlign w:val="center"/>
          </w:tcPr>
          <w:p w14:paraId="5A74A8D3">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建设规模</w:t>
            </w:r>
          </w:p>
        </w:tc>
        <w:tc>
          <w:tcPr>
            <w:tcW w:w="1134" w:type="dxa"/>
            <w:tcBorders>
              <w:top w:val="single" w:color="auto" w:sz="12" w:space="0"/>
              <w:bottom w:val="double" w:color="auto" w:sz="6" w:space="0"/>
            </w:tcBorders>
            <w:noWrap w:val="0"/>
            <w:vAlign w:val="center"/>
          </w:tcPr>
          <w:p w14:paraId="0DE4B8B6">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建筑面积(平方米)</w:t>
            </w:r>
          </w:p>
        </w:tc>
        <w:tc>
          <w:tcPr>
            <w:tcW w:w="993" w:type="dxa"/>
            <w:tcBorders>
              <w:top w:val="single" w:color="auto" w:sz="12" w:space="0"/>
              <w:bottom w:val="double" w:color="auto" w:sz="6" w:space="0"/>
            </w:tcBorders>
            <w:noWrap w:val="0"/>
            <w:vAlign w:val="center"/>
          </w:tcPr>
          <w:p w14:paraId="439A81CE">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结构形式</w:t>
            </w:r>
          </w:p>
        </w:tc>
        <w:tc>
          <w:tcPr>
            <w:tcW w:w="708" w:type="dxa"/>
            <w:tcBorders>
              <w:top w:val="single" w:color="auto" w:sz="12" w:space="0"/>
              <w:bottom w:val="double" w:color="auto" w:sz="6" w:space="0"/>
            </w:tcBorders>
            <w:noWrap w:val="0"/>
            <w:vAlign w:val="center"/>
          </w:tcPr>
          <w:p w14:paraId="4AC56B00">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层数</w:t>
            </w:r>
          </w:p>
        </w:tc>
        <w:tc>
          <w:tcPr>
            <w:tcW w:w="1134" w:type="dxa"/>
            <w:tcBorders>
              <w:top w:val="single" w:color="auto" w:sz="12" w:space="0"/>
              <w:bottom w:val="double" w:color="auto" w:sz="6" w:space="0"/>
            </w:tcBorders>
            <w:noWrap w:val="0"/>
            <w:vAlign w:val="center"/>
          </w:tcPr>
          <w:p w14:paraId="6908D105">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生产能力</w:t>
            </w:r>
          </w:p>
        </w:tc>
        <w:tc>
          <w:tcPr>
            <w:tcW w:w="1134" w:type="dxa"/>
            <w:tcBorders>
              <w:top w:val="single" w:color="auto" w:sz="12" w:space="0"/>
              <w:bottom w:val="double" w:color="auto" w:sz="6" w:space="0"/>
            </w:tcBorders>
            <w:noWrap w:val="0"/>
            <w:vAlign w:val="center"/>
          </w:tcPr>
          <w:p w14:paraId="251D6BB0">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设备安装内容</w:t>
            </w:r>
          </w:p>
        </w:tc>
        <w:tc>
          <w:tcPr>
            <w:tcW w:w="993" w:type="dxa"/>
            <w:tcBorders>
              <w:top w:val="single" w:color="auto" w:sz="12" w:space="0"/>
              <w:bottom w:val="double" w:color="auto" w:sz="6" w:space="0"/>
            </w:tcBorders>
            <w:noWrap w:val="0"/>
            <w:vAlign w:val="center"/>
          </w:tcPr>
          <w:p w14:paraId="62DC7DCF">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合同价格（元）</w:t>
            </w:r>
          </w:p>
        </w:tc>
        <w:tc>
          <w:tcPr>
            <w:tcW w:w="708" w:type="dxa"/>
            <w:tcBorders>
              <w:top w:val="single" w:color="auto" w:sz="12" w:space="0"/>
              <w:bottom w:val="double" w:color="auto" w:sz="6" w:space="0"/>
            </w:tcBorders>
            <w:noWrap w:val="0"/>
            <w:vAlign w:val="center"/>
          </w:tcPr>
          <w:p w14:paraId="0D66E25D">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开工日期</w:t>
            </w:r>
          </w:p>
        </w:tc>
        <w:tc>
          <w:tcPr>
            <w:tcW w:w="567" w:type="dxa"/>
            <w:tcBorders>
              <w:top w:val="single" w:color="auto" w:sz="12" w:space="0"/>
              <w:bottom w:val="double" w:color="auto" w:sz="6" w:space="0"/>
            </w:tcBorders>
            <w:noWrap w:val="0"/>
            <w:vAlign w:val="center"/>
          </w:tcPr>
          <w:p w14:paraId="7B56B500">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竣工日期</w:t>
            </w:r>
          </w:p>
        </w:tc>
      </w:tr>
      <w:tr w14:paraId="313713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93" w:type="dxa"/>
            <w:tcBorders>
              <w:top w:val="double" w:color="auto" w:sz="6" w:space="0"/>
            </w:tcBorders>
            <w:noWrap w:val="0"/>
            <w:vAlign w:val="center"/>
          </w:tcPr>
          <w:p w14:paraId="0AE8DB56">
            <w:pPr>
              <w:keepNext/>
              <w:snapToGrid w:val="0"/>
              <w:spacing w:line="360" w:lineRule="auto"/>
              <w:rPr>
                <w:rFonts w:hint="eastAsia" w:ascii="宋体" w:hAnsi="宋体" w:cs="宋体"/>
                <w:color w:val="auto"/>
                <w:sz w:val="22"/>
                <w:szCs w:val="21"/>
                <w:highlight w:val="none"/>
              </w:rPr>
            </w:pPr>
          </w:p>
        </w:tc>
        <w:tc>
          <w:tcPr>
            <w:tcW w:w="1134" w:type="dxa"/>
            <w:tcBorders>
              <w:top w:val="double" w:color="auto" w:sz="6" w:space="0"/>
            </w:tcBorders>
            <w:noWrap w:val="0"/>
            <w:vAlign w:val="center"/>
          </w:tcPr>
          <w:p w14:paraId="1DE4F1C1">
            <w:pPr>
              <w:keepNext/>
              <w:snapToGrid w:val="0"/>
              <w:spacing w:line="360" w:lineRule="auto"/>
              <w:rPr>
                <w:rFonts w:hint="eastAsia" w:ascii="宋体" w:hAnsi="宋体" w:cs="宋体"/>
                <w:color w:val="auto"/>
                <w:sz w:val="22"/>
                <w:szCs w:val="21"/>
                <w:highlight w:val="none"/>
              </w:rPr>
            </w:pPr>
          </w:p>
        </w:tc>
        <w:tc>
          <w:tcPr>
            <w:tcW w:w="1134" w:type="dxa"/>
            <w:tcBorders>
              <w:top w:val="double" w:color="auto" w:sz="6" w:space="0"/>
            </w:tcBorders>
            <w:noWrap w:val="0"/>
            <w:vAlign w:val="center"/>
          </w:tcPr>
          <w:p w14:paraId="4F0F8FB8">
            <w:pPr>
              <w:keepNext/>
              <w:snapToGrid w:val="0"/>
              <w:spacing w:line="360" w:lineRule="auto"/>
              <w:rPr>
                <w:rFonts w:hint="eastAsia" w:ascii="宋体" w:hAnsi="宋体" w:cs="宋体"/>
                <w:color w:val="auto"/>
                <w:sz w:val="22"/>
                <w:szCs w:val="21"/>
                <w:highlight w:val="none"/>
              </w:rPr>
            </w:pPr>
          </w:p>
        </w:tc>
        <w:tc>
          <w:tcPr>
            <w:tcW w:w="993" w:type="dxa"/>
            <w:tcBorders>
              <w:top w:val="double" w:color="auto" w:sz="6" w:space="0"/>
            </w:tcBorders>
            <w:noWrap w:val="0"/>
            <w:vAlign w:val="center"/>
          </w:tcPr>
          <w:p w14:paraId="0C177B7F">
            <w:pPr>
              <w:keepNext/>
              <w:snapToGrid w:val="0"/>
              <w:spacing w:line="360" w:lineRule="auto"/>
              <w:rPr>
                <w:rFonts w:hint="eastAsia" w:ascii="宋体" w:hAnsi="宋体" w:cs="宋体"/>
                <w:color w:val="auto"/>
                <w:sz w:val="22"/>
                <w:szCs w:val="21"/>
                <w:highlight w:val="none"/>
              </w:rPr>
            </w:pPr>
          </w:p>
        </w:tc>
        <w:tc>
          <w:tcPr>
            <w:tcW w:w="708" w:type="dxa"/>
            <w:tcBorders>
              <w:top w:val="double" w:color="auto" w:sz="6" w:space="0"/>
            </w:tcBorders>
            <w:noWrap w:val="0"/>
            <w:vAlign w:val="center"/>
          </w:tcPr>
          <w:p w14:paraId="45D4CFCA">
            <w:pPr>
              <w:keepNext/>
              <w:snapToGrid w:val="0"/>
              <w:spacing w:line="360" w:lineRule="auto"/>
              <w:rPr>
                <w:rFonts w:hint="eastAsia" w:ascii="宋体" w:hAnsi="宋体" w:cs="宋体"/>
                <w:color w:val="auto"/>
                <w:sz w:val="22"/>
                <w:szCs w:val="21"/>
                <w:highlight w:val="none"/>
              </w:rPr>
            </w:pPr>
          </w:p>
        </w:tc>
        <w:tc>
          <w:tcPr>
            <w:tcW w:w="1134" w:type="dxa"/>
            <w:tcBorders>
              <w:top w:val="double" w:color="auto" w:sz="6" w:space="0"/>
            </w:tcBorders>
            <w:noWrap w:val="0"/>
            <w:vAlign w:val="center"/>
          </w:tcPr>
          <w:p w14:paraId="32F345F7">
            <w:pPr>
              <w:keepNext/>
              <w:snapToGrid w:val="0"/>
              <w:spacing w:line="360" w:lineRule="auto"/>
              <w:rPr>
                <w:rFonts w:hint="eastAsia" w:ascii="宋体" w:hAnsi="宋体" w:cs="宋体"/>
                <w:color w:val="auto"/>
                <w:sz w:val="22"/>
                <w:szCs w:val="21"/>
                <w:highlight w:val="none"/>
              </w:rPr>
            </w:pPr>
          </w:p>
        </w:tc>
        <w:tc>
          <w:tcPr>
            <w:tcW w:w="1134" w:type="dxa"/>
            <w:tcBorders>
              <w:top w:val="double" w:color="auto" w:sz="6" w:space="0"/>
            </w:tcBorders>
            <w:noWrap w:val="0"/>
            <w:vAlign w:val="center"/>
          </w:tcPr>
          <w:p w14:paraId="24D19194">
            <w:pPr>
              <w:keepNext/>
              <w:snapToGrid w:val="0"/>
              <w:spacing w:line="360" w:lineRule="auto"/>
              <w:rPr>
                <w:rFonts w:hint="eastAsia" w:ascii="宋体" w:hAnsi="宋体" w:cs="宋体"/>
                <w:color w:val="auto"/>
                <w:sz w:val="22"/>
                <w:szCs w:val="21"/>
                <w:highlight w:val="none"/>
              </w:rPr>
            </w:pPr>
          </w:p>
        </w:tc>
        <w:tc>
          <w:tcPr>
            <w:tcW w:w="993" w:type="dxa"/>
            <w:tcBorders>
              <w:top w:val="double" w:color="auto" w:sz="6" w:space="0"/>
            </w:tcBorders>
            <w:noWrap w:val="0"/>
            <w:vAlign w:val="center"/>
          </w:tcPr>
          <w:p w14:paraId="2758F4C2">
            <w:pPr>
              <w:keepNext/>
              <w:snapToGrid w:val="0"/>
              <w:spacing w:line="360" w:lineRule="auto"/>
              <w:rPr>
                <w:rFonts w:hint="eastAsia" w:ascii="宋体" w:hAnsi="宋体" w:cs="宋体"/>
                <w:color w:val="auto"/>
                <w:sz w:val="22"/>
                <w:szCs w:val="21"/>
                <w:highlight w:val="none"/>
              </w:rPr>
            </w:pPr>
          </w:p>
        </w:tc>
        <w:tc>
          <w:tcPr>
            <w:tcW w:w="708" w:type="dxa"/>
            <w:tcBorders>
              <w:top w:val="double" w:color="auto" w:sz="6" w:space="0"/>
            </w:tcBorders>
            <w:noWrap w:val="0"/>
            <w:vAlign w:val="center"/>
          </w:tcPr>
          <w:p w14:paraId="2491B992">
            <w:pPr>
              <w:keepNext/>
              <w:snapToGrid w:val="0"/>
              <w:spacing w:line="360" w:lineRule="auto"/>
              <w:rPr>
                <w:rFonts w:hint="eastAsia" w:ascii="宋体" w:hAnsi="宋体" w:cs="宋体"/>
                <w:color w:val="auto"/>
                <w:sz w:val="22"/>
                <w:szCs w:val="21"/>
                <w:highlight w:val="none"/>
              </w:rPr>
            </w:pPr>
          </w:p>
        </w:tc>
        <w:tc>
          <w:tcPr>
            <w:tcW w:w="567" w:type="dxa"/>
            <w:tcBorders>
              <w:top w:val="double" w:color="auto" w:sz="6" w:space="0"/>
            </w:tcBorders>
            <w:noWrap w:val="0"/>
            <w:vAlign w:val="center"/>
          </w:tcPr>
          <w:p w14:paraId="59A26F4A">
            <w:pPr>
              <w:keepNext/>
              <w:snapToGrid w:val="0"/>
              <w:spacing w:line="360" w:lineRule="auto"/>
              <w:rPr>
                <w:rFonts w:hint="eastAsia" w:ascii="宋体" w:hAnsi="宋体" w:cs="宋体"/>
                <w:color w:val="auto"/>
                <w:sz w:val="22"/>
                <w:szCs w:val="21"/>
                <w:highlight w:val="none"/>
              </w:rPr>
            </w:pPr>
          </w:p>
        </w:tc>
      </w:tr>
      <w:tr w14:paraId="376438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93" w:type="dxa"/>
            <w:tcBorders>
              <w:top w:val="nil"/>
            </w:tcBorders>
            <w:noWrap w:val="0"/>
            <w:vAlign w:val="center"/>
          </w:tcPr>
          <w:p w14:paraId="7B9706FF">
            <w:pPr>
              <w:keepNext/>
              <w:snapToGrid w:val="0"/>
              <w:spacing w:line="360" w:lineRule="auto"/>
              <w:rPr>
                <w:rFonts w:hint="eastAsia" w:ascii="宋体" w:hAnsi="宋体" w:cs="宋体"/>
                <w:color w:val="auto"/>
                <w:sz w:val="22"/>
                <w:szCs w:val="21"/>
                <w:highlight w:val="none"/>
              </w:rPr>
            </w:pPr>
          </w:p>
        </w:tc>
        <w:tc>
          <w:tcPr>
            <w:tcW w:w="1134" w:type="dxa"/>
            <w:tcBorders>
              <w:top w:val="nil"/>
            </w:tcBorders>
            <w:noWrap w:val="0"/>
            <w:vAlign w:val="center"/>
          </w:tcPr>
          <w:p w14:paraId="56B9BAC1">
            <w:pPr>
              <w:keepNext/>
              <w:snapToGrid w:val="0"/>
              <w:spacing w:line="360" w:lineRule="auto"/>
              <w:rPr>
                <w:rFonts w:hint="eastAsia" w:ascii="宋体" w:hAnsi="宋体" w:cs="宋体"/>
                <w:color w:val="auto"/>
                <w:sz w:val="22"/>
                <w:szCs w:val="21"/>
                <w:highlight w:val="none"/>
              </w:rPr>
            </w:pPr>
          </w:p>
        </w:tc>
        <w:tc>
          <w:tcPr>
            <w:tcW w:w="1134" w:type="dxa"/>
            <w:tcBorders>
              <w:top w:val="nil"/>
            </w:tcBorders>
            <w:noWrap w:val="0"/>
            <w:vAlign w:val="center"/>
          </w:tcPr>
          <w:p w14:paraId="3B2A6878">
            <w:pPr>
              <w:keepNext/>
              <w:snapToGrid w:val="0"/>
              <w:spacing w:line="360" w:lineRule="auto"/>
              <w:rPr>
                <w:rFonts w:hint="eastAsia" w:ascii="宋体" w:hAnsi="宋体" w:cs="宋体"/>
                <w:color w:val="auto"/>
                <w:sz w:val="22"/>
                <w:szCs w:val="21"/>
                <w:highlight w:val="none"/>
              </w:rPr>
            </w:pPr>
          </w:p>
        </w:tc>
        <w:tc>
          <w:tcPr>
            <w:tcW w:w="993" w:type="dxa"/>
            <w:tcBorders>
              <w:top w:val="nil"/>
            </w:tcBorders>
            <w:noWrap w:val="0"/>
            <w:vAlign w:val="center"/>
          </w:tcPr>
          <w:p w14:paraId="60D7AD5A">
            <w:pPr>
              <w:keepNext/>
              <w:snapToGrid w:val="0"/>
              <w:spacing w:line="360" w:lineRule="auto"/>
              <w:rPr>
                <w:rFonts w:hint="eastAsia" w:ascii="宋体" w:hAnsi="宋体" w:cs="宋体"/>
                <w:color w:val="auto"/>
                <w:sz w:val="22"/>
                <w:szCs w:val="21"/>
                <w:highlight w:val="none"/>
              </w:rPr>
            </w:pPr>
          </w:p>
        </w:tc>
        <w:tc>
          <w:tcPr>
            <w:tcW w:w="708" w:type="dxa"/>
            <w:tcBorders>
              <w:top w:val="nil"/>
            </w:tcBorders>
            <w:noWrap w:val="0"/>
            <w:vAlign w:val="center"/>
          </w:tcPr>
          <w:p w14:paraId="615E66FF">
            <w:pPr>
              <w:keepNext/>
              <w:snapToGrid w:val="0"/>
              <w:spacing w:line="360" w:lineRule="auto"/>
              <w:rPr>
                <w:rFonts w:hint="eastAsia" w:ascii="宋体" w:hAnsi="宋体" w:cs="宋体"/>
                <w:color w:val="auto"/>
                <w:sz w:val="22"/>
                <w:szCs w:val="21"/>
                <w:highlight w:val="none"/>
              </w:rPr>
            </w:pPr>
          </w:p>
        </w:tc>
        <w:tc>
          <w:tcPr>
            <w:tcW w:w="1134" w:type="dxa"/>
            <w:tcBorders>
              <w:top w:val="nil"/>
            </w:tcBorders>
            <w:noWrap w:val="0"/>
            <w:vAlign w:val="center"/>
          </w:tcPr>
          <w:p w14:paraId="7A9BBBE3">
            <w:pPr>
              <w:keepNext/>
              <w:snapToGrid w:val="0"/>
              <w:spacing w:line="360" w:lineRule="auto"/>
              <w:rPr>
                <w:rFonts w:hint="eastAsia" w:ascii="宋体" w:hAnsi="宋体" w:cs="宋体"/>
                <w:color w:val="auto"/>
                <w:sz w:val="22"/>
                <w:szCs w:val="21"/>
                <w:highlight w:val="none"/>
              </w:rPr>
            </w:pPr>
          </w:p>
        </w:tc>
        <w:tc>
          <w:tcPr>
            <w:tcW w:w="1134" w:type="dxa"/>
            <w:tcBorders>
              <w:top w:val="nil"/>
            </w:tcBorders>
            <w:noWrap w:val="0"/>
            <w:vAlign w:val="center"/>
          </w:tcPr>
          <w:p w14:paraId="7075F040">
            <w:pPr>
              <w:keepNext/>
              <w:snapToGrid w:val="0"/>
              <w:spacing w:line="360" w:lineRule="auto"/>
              <w:rPr>
                <w:rFonts w:hint="eastAsia" w:ascii="宋体" w:hAnsi="宋体" w:cs="宋体"/>
                <w:color w:val="auto"/>
                <w:sz w:val="22"/>
                <w:szCs w:val="21"/>
                <w:highlight w:val="none"/>
              </w:rPr>
            </w:pPr>
          </w:p>
        </w:tc>
        <w:tc>
          <w:tcPr>
            <w:tcW w:w="993" w:type="dxa"/>
            <w:tcBorders>
              <w:top w:val="nil"/>
            </w:tcBorders>
            <w:noWrap w:val="0"/>
            <w:vAlign w:val="center"/>
          </w:tcPr>
          <w:p w14:paraId="3C07996B">
            <w:pPr>
              <w:keepNext/>
              <w:snapToGrid w:val="0"/>
              <w:spacing w:line="360" w:lineRule="auto"/>
              <w:rPr>
                <w:rFonts w:hint="eastAsia" w:ascii="宋体" w:hAnsi="宋体" w:cs="宋体"/>
                <w:color w:val="auto"/>
                <w:sz w:val="22"/>
                <w:szCs w:val="21"/>
                <w:highlight w:val="none"/>
              </w:rPr>
            </w:pPr>
          </w:p>
        </w:tc>
        <w:tc>
          <w:tcPr>
            <w:tcW w:w="708" w:type="dxa"/>
            <w:tcBorders>
              <w:top w:val="nil"/>
            </w:tcBorders>
            <w:noWrap w:val="0"/>
            <w:vAlign w:val="center"/>
          </w:tcPr>
          <w:p w14:paraId="4FC3B831">
            <w:pPr>
              <w:keepNext/>
              <w:snapToGrid w:val="0"/>
              <w:spacing w:line="360" w:lineRule="auto"/>
              <w:rPr>
                <w:rFonts w:hint="eastAsia" w:ascii="宋体" w:hAnsi="宋体" w:cs="宋体"/>
                <w:color w:val="auto"/>
                <w:sz w:val="22"/>
                <w:szCs w:val="21"/>
                <w:highlight w:val="none"/>
              </w:rPr>
            </w:pPr>
          </w:p>
        </w:tc>
        <w:tc>
          <w:tcPr>
            <w:tcW w:w="567" w:type="dxa"/>
            <w:tcBorders>
              <w:top w:val="nil"/>
            </w:tcBorders>
            <w:noWrap w:val="0"/>
            <w:vAlign w:val="center"/>
          </w:tcPr>
          <w:p w14:paraId="6824DB61">
            <w:pPr>
              <w:keepNext/>
              <w:snapToGrid w:val="0"/>
              <w:spacing w:line="360" w:lineRule="auto"/>
              <w:rPr>
                <w:rFonts w:hint="eastAsia" w:ascii="宋体" w:hAnsi="宋体" w:cs="宋体"/>
                <w:color w:val="auto"/>
                <w:sz w:val="22"/>
                <w:szCs w:val="21"/>
                <w:highlight w:val="none"/>
              </w:rPr>
            </w:pPr>
          </w:p>
        </w:tc>
      </w:tr>
      <w:tr w14:paraId="55F229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93" w:type="dxa"/>
            <w:tcBorders>
              <w:top w:val="nil"/>
            </w:tcBorders>
            <w:noWrap w:val="0"/>
            <w:vAlign w:val="center"/>
          </w:tcPr>
          <w:p w14:paraId="2FA52199">
            <w:pPr>
              <w:keepNext/>
              <w:snapToGrid w:val="0"/>
              <w:spacing w:line="360" w:lineRule="auto"/>
              <w:rPr>
                <w:rFonts w:hint="eastAsia" w:ascii="宋体" w:hAnsi="宋体" w:cs="宋体"/>
                <w:color w:val="auto"/>
                <w:sz w:val="22"/>
                <w:szCs w:val="21"/>
                <w:highlight w:val="none"/>
              </w:rPr>
            </w:pPr>
          </w:p>
        </w:tc>
        <w:tc>
          <w:tcPr>
            <w:tcW w:w="1134" w:type="dxa"/>
            <w:tcBorders>
              <w:top w:val="nil"/>
            </w:tcBorders>
            <w:noWrap w:val="0"/>
            <w:vAlign w:val="center"/>
          </w:tcPr>
          <w:p w14:paraId="32C95274">
            <w:pPr>
              <w:keepNext/>
              <w:snapToGrid w:val="0"/>
              <w:spacing w:line="360" w:lineRule="auto"/>
              <w:rPr>
                <w:rFonts w:hint="eastAsia" w:ascii="宋体" w:hAnsi="宋体" w:cs="宋体"/>
                <w:color w:val="auto"/>
                <w:sz w:val="22"/>
                <w:szCs w:val="21"/>
                <w:highlight w:val="none"/>
              </w:rPr>
            </w:pPr>
          </w:p>
        </w:tc>
        <w:tc>
          <w:tcPr>
            <w:tcW w:w="1134" w:type="dxa"/>
            <w:tcBorders>
              <w:top w:val="nil"/>
            </w:tcBorders>
            <w:noWrap w:val="0"/>
            <w:vAlign w:val="center"/>
          </w:tcPr>
          <w:p w14:paraId="632C16BE">
            <w:pPr>
              <w:keepNext/>
              <w:snapToGrid w:val="0"/>
              <w:spacing w:line="360" w:lineRule="auto"/>
              <w:rPr>
                <w:rFonts w:hint="eastAsia" w:ascii="宋体" w:hAnsi="宋体" w:cs="宋体"/>
                <w:color w:val="auto"/>
                <w:sz w:val="22"/>
                <w:szCs w:val="21"/>
                <w:highlight w:val="none"/>
              </w:rPr>
            </w:pPr>
          </w:p>
        </w:tc>
        <w:tc>
          <w:tcPr>
            <w:tcW w:w="993" w:type="dxa"/>
            <w:tcBorders>
              <w:top w:val="nil"/>
            </w:tcBorders>
            <w:noWrap w:val="0"/>
            <w:vAlign w:val="center"/>
          </w:tcPr>
          <w:p w14:paraId="194294A2">
            <w:pPr>
              <w:keepNext/>
              <w:snapToGrid w:val="0"/>
              <w:spacing w:line="360" w:lineRule="auto"/>
              <w:rPr>
                <w:rFonts w:hint="eastAsia" w:ascii="宋体" w:hAnsi="宋体" w:cs="宋体"/>
                <w:color w:val="auto"/>
                <w:sz w:val="22"/>
                <w:szCs w:val="21"/>
                <w:highlight w:val="none"/>
              </w:rPr>
            </w:pPr>
          </w:p>
        </w:tc>
        <w:tc>
          <w:tcPr>
            <w:tcW w:w="708" w:type="dxa"/>
            <w:tcBorders>
              <w:top w:val="nil"/>
            </w:tcBorders>
            <w:noWrap w:val="0"/>
            <w:vAlign w:val="center"/>
          </w:tcPr>
          <w:p w14:paraId="1B1B5CD3">
            <w:pPr>
              <w:keepNext/>
              <w:snapToGrid w:val="0"/>
              <w:spacing w:line="360" w:lineRule="auto"/>
              <w:rPr>
                <w:rFonts w:hint="eastAsia" w:ascii="宋体" w:hAnsi="宋体" w:cs="宋体"/>
                <w:color w:val="auto"/>
                <w:sz w:val="22"/>
                <w:szCs w:val="21"/>
                <w:highlight w:val="none"/>
              </w:rPr>
            </w:pPr>
          </w:p>
        </w:tc>
        <w:tc>
          <w:tcPr>
            <w:tcW w:w="1134" w:type="dxa"/>
            <w:tcBorders>
              <w:top w:val="nil"/>
            </w:tcBorders>
            <w:noWrap w:val="0"/>
            <w:vAlign w:val="center"/>
          </w:tcPr>
          <w:p w14:paraId="6D028D10">
            <w:pPr>
              <w:keepNext/>
              <w:snapToGrid w:val="0"/>
              <w:spacing w:line="360" w:lineRule="auto"/>
              <w:rPr>
                <w:rFonts w:hint="eastAsia" w:ascii="宋体" w:hAnsi="宋体" w:cs="宋体"/>
                <w:color w:val="auto"/>
                <w:sz w:val="22"/>
                <w:szCs w:val="21"/>
                <w:highlight w:val="none"/>
              </w:rPr>
            </w:pPr>
          </w:p>
        </w:tc>
        <w:tc>
          <w:tcPr>
            <w:tcW w:w="1134" w:type="dxa"/>
            <w:tcBorders>
              <w:top w:val="nil"/>
            </w:tcBorders>
            <w:noWrap w:val="0"/>
            <w:vAlign w:val="center"/>
          </w:tcPr>
          <w:p w14:paraId="4B5663F4">
            <w:pPr>
              <w:keepNext/>
              <w:snapToGrid w:val="0"/>
              <w:spacing w:line="360" w:lineRule="auto"/>
              <w:rPr>
                <w:rFonts w:hint="eastAsia" w:ascii="宋体" w:hAnsi="宋体" w:cs="宋体"/>
                <w:color w:val="auto"/>
                <w:sz w:val="22"/>
                <w:szCs w:val="21"/>
                <w:highlight w:val="none"/>
              </w:rPr>
            </w:pPr>
          </w:p>
        </w:tc>
        <w:tc>
          <w:tcPr>
            <w:tcW w:w="993" w:type="dxa"/>
            <w:tcBorders>
              <w:top w:val="nil"/>
            </w:tcBorders>
            <w:noWrap w:val="0"/>
            <w:vAlign w:val="center"/>
          </w:tcPr>
          <w:p w14:paraId="70B56AFD">
            <w:pPr>
              <w:keepNext/>
              <w:snapToGrid w:val="0"/>
              <w:spacing w:line="360" w:lineRule="auto"/>
              <w:rPr>
                <w:rFonts w:hint="eastAsia" w:ascii="宋体" w:hAnsi="宋体" w:cs="宋体"/>
                <w:color w:val="auto"/>
                <w:sz w:val="22"/>
                <w:szCs w:val="21"/>
                <w:highlight w:val="none"/>
              </w:rPr>
            </w:pPr>
          </w:p>
        </w:tc>
        <w:tc>
          <w:tcPr>
            <w:tcW w:w="708" w:type="dxa"/>
            <w:tcBorders>
              <w:top w:val="nil"/>
            </w:tcBorders>
            <w:noWrap w:val="0"/>
            <w:vAlign w:val="center"/>
          </w:tcPr>
          <w:p w14:paraId="38EF50C9">
            <w:pPr>
              <w:keepNext/>
              <w:snapToGrid w:val="0"/>
              <w:spacing w:line="360" w:lineRule="auto"/>
              <w:rPr>
                <w:rFonts w:hint="eastAsia" w:ascii="宋体" w:hAnsi="宋体" w:cs="宋体"/>
                <w:color w:val="auto"/>
                <w:sz w:val="22"/>
                <w:szCs w:val="21"/>
                <w:highlight w:val="none"/>
              </w:rPr>
            </w:pPr>
          </w:p>
        </w:tc>
        <w:tc>
          <w:tcPr>
            <w:tcW w:w="567" w:type="dxa"/>
            <w:tcBorders>
              <w:top w:val="nil"/>
            </w:tcBorders>
            <w:noWrap w:val="0"/>
            <w:vAlign w:val="center"/>
          </w:tcPr>
          <w:p w14:paraId="69443B71">
            <w:pPr>
              <w:keepNext/>
              <w:snapToGrid w:val="0"/>
              <w:spacing w:line="360" w:lineRule="auto"/>
              <w:rPr>
                <w:rFonts w:hint="eastAsia" w:ascii="宋体" w:hAnsi="宋体" w:cs="宋体"/>
                <w:color w:val="auto"/>
                <w:sz w:val="22"/>
                <w:szCs w:val="21"/>
                <w:highlight w:val="none"/>
              </w:rPr>
            </w:pPr>
          </w:p>
        </w:tc>
      </w:tr>
      <w:tr w14:paraId="4228D6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93" w:type="dxa"/>
            <w:tcBorders>
              <w:bottom w:val="single" w:color="auto" w:sz="12" w:space="0"/>
            </w:tcBorders>
            <w:noWrap w:val="0"/>
            <w:vAlign w:val="center"/>
          </w:tcPr>
          <w:p w14:paraId="1FC187D0">
            <w:pPr>
              <w:keepNext/>
              <w:snapToGrid w:val="0"/>
              <w:spacing w:line="360" w:lineRule="auto"/>
              <w:rPr>
                <w:rFonts w:hint="eastAsia" w:ascii="宋体" w:hAnsi="宋体" w:cs="宋体"/>
                <w:color w:val="auto"/>
                <w:sz w:val="22"/>
                <w:szCs w:val="21"/>
                <w:highlight w:val="none"/>
              </w:rPr>
            </w:pPr>
          </w:p>
        </w:tc>
        <w:tc>
          <w:tcPr>
            <w:tcW w:w="1134" w:type="dxa"/>
            <w:tcBorders>
              <w:bottom w:val="single" w:color="auto" w:sz="12" w:space="0"/>
            </w:tcBorders>
            <w:noWrap w:val="0"/>
            <w:vAlign w:val="center"/>
          </w:tcPr>
          <w:p w14:paraId="5A071CA9">
            <w:pPr>
              <w:keepNext/>
              <w:snapToGrid w:val="0"/>
              <w:spacing w:line="360" w:lineRule="auto"/>
              <w:rPr>
                <w:rFonts w:hint="eastAsia" w:ascii="宋体" w:hAnsi="宋体" w:cs="宋体"/>
                <w:color w:val="auto"/>
                <w:sz w:val="22"/>
                <w:szCs w:val="21"/>
                <w:highlight w:val="none"/>
              </w:rPr>
            </w:pPr>
          </w:p>
        </w:tc>
        <w:tc>
          <w:tcPr>
            <w:tcW w:w="1134" w:type="dxa"/>
            <w:tcBorders>
              <w:bottom w:val="single" w:color="auto" w:sz="12" w:space="0"/>
            </w:tcBorders>
            <w:noWrap w:val="0"/>
            <w:vAlign w:val="center"/>
          </w:tcPr>
          <w:p w14:paraId="16F6E2A8">
            <w:pPr>
              <w:keepNext/>
              <w:snapToGrid w:val="0"/>
              <w:spacing w:line="360" w:lineRule="auto"/>
              <w:rPr>
                <w:rFonts w:hint="eastAsia" w:ascii="宋体" w:hAnsi="宋体" w:cs="宋体"/>
                <w:color w:val="auto"/>
                <w:sz w:val="22"/>
                <w:szCs w:val="21"/>
                <w:highlight w:val="none"/>
              </w:rPr>
            </w:pPr>
          </w:p>
        </w:tc>
        <w:tc>
          <w:tcPr>
            <w:tcW w:w="993" w:type="dxa"/>
            <w:tcBorders>
              <w:bottom w:val="single" w:color="auto" w:sz="12" w:space="0"/>
            </w:tcBorders>
            <w:noWrap w:val="0"/>
            <w:vAlign w:val="center"/>
          </w:tcPr>
          <w:p w14:paraId="062F4305">
            <w:pPr>
              <w:keepNext/>
              <w:snapToGrid w:val="0"/>
              <w:spacing w:line="360" w:lineRule="auto"/>
              <w:rPr>
                <w:rFonts w:hint="eastAsia" w:ascii="宋体" w:hAnsi="宋体" w:cs="宋体"/>
                <w:color w:val="auto"/>
                <w:sz w:val="22"/>
                <w:szCs w:val="21"/>
                <w:highlight w:val="none"/>
              </w:rPr>
            </w:pPr>
          </w:p>
        </w:tc>
        <w:tc>
          <w:tcPr>
            <w:tcW w:w="708" w:type="dxa"/>
            <w:tcBorders>
              <w:bottom w:val="single" w:color="auto" w:sz="12" w:space="0"/>
            </w:tcBorders>
            <w:noWrap w:val="0"/>
            <w:vAlign w:val="center"/>
          </w:tcPr>
          <w:p w14:paraId="498C42CC">
            <w:pPr>
              <w:keepNext/>
              <w:snapToGrid w:val="0"/>
              <w:spacing w:line="360" w:lineRule="auto"/>
              <w:rPr>
                <w:rFonts w:hint="eastAsia" w:ascii="宋体" w:hAnsi="宋体" w:cs="宋体"/>
                <w:color w:val="auto"/>
                <w:sz w:val="22"/>
                <w:szCs w:val="21"/>
                <w:highlight w:val="none"/>
              </w:rPr>
            </w:pPr>
          </w:p>
        </w:tc>
        <w:tc>
          <w:tcPr>
            <w:tcW w:w="1134" w:type="dxa"/>
            <w:tcBorders>
              <w:bottom w:val="single" w:color="auto" w:sz="12" w:space="0"/>
            </w:tcBorders>
            <w:noWrap w:val="0"/>
            <w:vAlign w:val="center"/>
          </w:tcPr>
          <w:p w14:paraId="34EC949F">
            <w:pPr>
              <w:keepNext/>
              <w:snapToGrid w:val="0"/>
              <w:spacing w:line="360" w:lineRule="auto"/>
              <w:rPr>
                <w:rFonts w:hint="eastAsia" w:ascii="宋体" w:hAnsi="宋体" w:cs="宋体"/>
                <w:color w:val="auto"/>
                <w:sz w:val="22"/>
                <w:szCs w:val="21"/>
                <w:highlight w:val="none"/>
              </w:rPr>
            </w:pPr>
          </w:p>
        </w:tc>
        <w:tc>
          <w:tcPr>
            <w:tcW w:w="1134" w:type="dxa"/>
            <w:tcBorders>
              <w:bottom w:val="single" w:color="auto" w:sz="12" w:space="0"/>
            </w:tcBorders>
            <w:noWrap w:val="0"/>
            <w:vAlign w:val="center"/>
          </w:tcPr>
          <w:p w14:paraId="7E542E26">
            <w:pPr>
              <w:keepNext/>
              <w:snapToGrid w:val="0"/>
              <w:spacing w:line="360" w:lineRule="auto"/>
              <w:rPr>
                <w:rFonts w:hint="eastAsia" w:ascii="宋体" w:hAnsi="宋体" w:cs="宋体"/>
                <w:color w:val="auto"/>
                <w:sz w:val="22"/>
                <w:szCs w:val="21"/>
                <w:highlight w:val="none"/>
              </w:rPr>
            </w:pPr>
          </w:p>
        </w:tc>
        <w:tc>
          <w:tcPr>
            <w:tcW w:w="993" w:type="dxa"/>
            <w:tcBorders>
              <w:bottom w:val="single" w:color="auto" w:sz="12" w:space="0"/>
            </w:tcBorders>
            <w:noWrap w:val="0"/>
            <w:vAlign w:val="center"/>
          </w:tcPr>
          <w:p w14:paraId="551487C3">
            <w:pPr>
              <w:keepNext/>
              <w:snapToGrid w:val="0"/>
              <w:spacing w:line="360" w:lineRule="auto"/>
              <w:rPr>
                <w:rFonts w:hint="eastAsia" w:ascii="宋体" w:hAnsi="宋体" w:cs="宋体"/>
                <w:color w:val="auto"/>
                <w:sz w:val="22"/>
                <w:szCs w:val="21"/>
                <w:highlight w:val="none"/>
              </w:rPr>
            </w:pPr>
          </w:p>
        </w:tc>
        <w:tc>
          <w:tcPr>
            <w:tcW w:w="708" w:type="dxa"/>
            <w:tcBorders>
              <w:bottom w:val="single" w:color="auto" w:sz="12" w:space="0"/>
            </w:tcBorders>
            <w:noWrap w:val="0"/>
            <w:vAlign w:val="center"/>
          </w:tcPr>
          <w:p w14:paraId="790200BC">
            <w:pPr>
              <w:keepNext/>
              <w:snapToGrid w:val="0"/>
              <w:spacing w:line="360" w:lineRule="auto"/>
              <w:rPr>
                <w:rFonts w:hint="eastAsia" w:ascii="宋体" w:hAnsi="宋体" w:cs="宋体"/>
                <w:color w:val="auto"/>
                <w:sz w:val="22"/>
                <w:szCs w:val="21"/>
                <w:highlight w:val="none"/>
              </w:rPr>
            </w:pPr>
          </w:p>
        </w:tc>
        <w:tc>
          <w:tcPr>
            <w:tcW w:w="567" w:type="dxa"/>
            <w:tcBorders>
              <w:bottom w:val="single" w:color="auto" w:sz="12" w:space="0"/>
            </w:tcBorders>
            <w:noWrap w:val="0"/>
            <w:vAlign w:val="center"/>
          </w:tcPr>
          <w:p w14:paraId="25C70CBC">
            <w:pPr>
              <w:keepNext/>
              <w:snapToGrid w:val="0"/>
              <w:spacing w:line="360" w:lineRule="auto"/>
              <w:rPr>
                <w:rFonts w:hint="eastAsia" w:ascii="宋体" w:hAnsi="宋体" w:cs="宋体"/>
                <w:color w:val="auto"/>
                <w:sz w:val="22"/>
                <w:szCs w:val="21"/>
                <w:highlight w:val="none"/>
              </w:rPr>
            </w:pPr>
          </w:p>
        </w:tc>
      </w:tr>
    </w:tbl>
    <w:p w14:paraId="7013C260">
      <w:pPr>
        <w:spacing w:line="360" w:lineRule="auto"/>
        <w:rPr>
          <w:rFonts w:hint="eastAsia" w:ascii="宋体" w:hAnsi="宋体" w:cs="宋体"/>
          <w:color w:val="auto"/>
          <w:sz w:val="22"/>
          <w:szCs w:val="21"/>
          <w:highlight w:val="none"/>
        </w:rPr>
      </w:pPr>
    </w:p>
    <w:p w14:paraId="35FC7330">
      <w:pPr>
        <w:spacing w:line="360" w:lineRule="auto"/>
        <w:rPr>
          <w:rFonts w:hint="eastAsia" w:ascii="宋体" w:hAnsi="宋体" w:cs="宋体"/>
          <w:color w:val="auto"/>
          <w:sz w:val="22"/>
          <w:szCs w:val="21"/>
          <w:highlight w:val="none"/>
        </w:rPr>
      </w:pPr>
    </w:p>
    <w:p w14:paraId="237BC306">
      <w:pPr>
        <w:keepNext/>
        <w:keepLines/>
        <w:spacing w:before="120" w:after="120" w:line="360" w:lineRule="auto"/>
        <w:jc w:val="left"/>
        <w:outlineLvl w:val="2"/>
        <w:rPr>
          <w:rFonts w:hint="eastAsia" w:ascii="宋体" w:hAnsi="宋体" w:cs="宋体"/>
          <w:bCs/>
          <w:color w:val="auto"/>
          <w:sz w:val="24"/>
          <w:highlight w:val="none"/>
        </w:rPr>
      </w:pPr>
      <w:bookmarkStart w:id="1279" w:name="_Toc95223487"/>
      <w:r>
        <w:rPr>
          <w:rFonts w:hint="eastAsia" w:ascii="宋体" w:hAnsi="宋体" w:cs="宋体"/>
          <w:bCs/>
          <w:color w:val="auto"/>
          <w:sz w:val="24"/>
          <w:highlight w:val="none"/>
        </w:rPr>
        <w:t>附</w:t>
      </w:r>
      <w:bookmarkStart w:id="1280" w:name="_Toc296891265"/>
      <w:bookmarkStart w:id="1281" w:name="_Toc296503225"/>
      <w:bookmarkStart w:id="1282" w:name="_Toc296891053"/>
      <w:bookmarkStart w:id="1283" w:name="_Toc296347224"/>
      <w:bookmarkStart w:id="1284" w:name="_Toc296944564"/>
      <w:bookmarkStart w:id="1285" w:name="_Toc267261692"/>
      <w:bookmarkStart w:id="1286" w:name="_Toc296346726"/>
      <w:r>
        <w:rPr>
          <w:rFonts w:hint="eastAsia" w:ascii="宋体" w:hAnsi="宋体" w:cs="宋体"/>
          <w:bCs/>
          <w:color w:val="auto"/>
          <w:sz w:val="24"/>
          <w:highlight w:val="none"/>
        </w:rPr>
        <w:t>件2：发包人供应材料设备一览表</w:t>
      </w:r>
      <w:bookmarkEnd w:id="1279"/>
    </w:p>
    <w:bookmarkEnd w:id="1280"/>
    <w:bookmarkEnd w:id="1281"/>
    <w:bookmarkEnd w:id="1282"/>
    <w:bookmarkEnd w:id="1283"/>
    <w:bookmarkEnd w:id="1284"/>
    <w:bookmarkEnd w:id="1285"/>
    <w:bookmarkEnd w:id="1286"/>
    <w:p w14:paraId="7FB24185">
      <w:pPr>
        <w:spacing w:line="360" w:lineRule="auto"/>
        <w:jc w:val="center"/>
        <w:rPr>
          <w:rFonts w:hint="eastAsia" w:ascii="宋体" w:hAnsi="宋体" w:cs="宋体"/>
          <w:color w:val="auto"/>
          <w:sz w:val="22"/>
          <w:szCs w:val="21"/>
          <w:highlight w:val="none"/>
        </w:rPr>
      </w:pPr>
      <w:r>
        <w:rPr>
          <w:rFonts w:hint="eastAsia" w:ascii="宋体" w:hAnsi="宋体" w:cs="宋体"/>
          <w:color w:val="auto"/>
          <w:sz w:val="22"/>
          <w:szCs w:val="21"/>
          <w:highlight w:val="none"/>
        </w:rPr>
        <w:t>发包人供应材料设备一览表</w:t>
      </w:r>
    </w:p>
    <w:tbl>
      <w:tblPr>
        <w:tblStyle w:val="20"/>
        <w:tblW w:w="965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082"/>
        <w:gridCol w:w="940"/>
        <w:gridCol w:w="851"/>
        <w:gridCol w:w="1044"/>
        <w:gridCol w:w="992"/>
        <w:gridCol w:w="851"/>
        <w:gridCol w:w="966"/>
        <w:gridCol w:w="803"/>
      </w:tblGrid>
      <w:tr w14:paraId="3843E3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51" w:type="dxa"/>
            <w:tcBorders>
              <w:top w:val="single" w:color="auto" w:sz="12" w:space="0"/>
              <w:bottom w:val="double" w:color="auto" w:sz="6" w:space="0"/>
            </w:tcBorders>
            <w:noWrap w:val="0"/>
            <w:vAlign w:val="center"/>
          </w:tcPr>
          <w:p w14:paraId="3275F6A0">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序号</w:t>
            </w:r>
          </w:p>
        </w:tc>
        <w:tc>
          <w:tcPr>
            <w:tcW w:w="1276" w:type="dxa"/>
            <w:tcBorders>
              <w:top w:val="single" w:color="auto" w:sz="12" w:space="0"/>
              <w:bottom w:val="double" w:color="auto" w:sz="6" w:space="0"/>
            </w:tcBorders>
            <w:noWrap w:val="0"/>
            <w:vAlign w:val="center"/>
          </w:tcPr>
          <w:p w14:paraId="62EE32D2">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材料、设备品种</w:t>
            </w:r>
          </w:p>
        </w:tc>
        <w:tc>
          <w:tcPr>
            <w:tcW w:w="1082" w:type="dxa"/>
            <w:tcBorders>
              <w:top w:val="single" w:color="auto" w:sz="12" w:space="0"/>
              <w:bottom w:val="double" w:color="auto" w:sz="6" w:space="0"/>
            </w:tcBorders>
            <w:noWrap w:val="0"/>
            <w:vAlign w:val="center"/>
          </w:tcPr>
          <w:p w14:paraId="6B1BAC96">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规格型号</w:t>
            </w:r>
          </w:p>
        </w:tc>
        <w:tc>
          <w:tcPr>
            <w:tcW w:w="940" w:type="dxa"/>
            <w:tcBorders>
              <w:top w:val="single" w:color="auto" w:sz="12" w:space="0"/>
              <w:bottom w:val="double" w:color="auto" w:sz="6" w:space="0"/>
            </w:tcBorders>
            <w:noWrap w:val="0"/>
            <w:vAlign w:val="center"/>
          </w:tcPr>
          <w:p w14:paraId="51D7FA45">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单位</w:t>
            </w:r>
          </w:p>
        </w:tc>
        <w:tc>
          <w:tcPr>
            <w:tcW w:w="851" w:type="dxa"/>
            <w:tcBorders>
              <w:top w:val="single" w:color="auto" w:sz="12" w:space="0"/>
              <w:bottom w:val="double" w:color="auto" w:sz="6" w:space="0"/>
            </w:tcBorders>
            <w:noWrap w:val="0"/>
            <w:vAlign w:val="center"/>
          </w:tcPr>
          <w:p w14:paraId="22DE139C">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数量</w:t>
            </w:r>
          </w:p>
        </w:tc>
        <w:tc>
          <w:tcPr>
            <w:tcW w:w="1044" w:type="dxa"/>
            <w:tcBorders>
              <w:top w:val="single" w:color="auto" w:sz="12" w:space="0"/>
              <w:bottom w:val="double" w:color="auto" w:sz="6" w:space="0"/>
            </w:tcBorders>
            <w:noWrap w:val="0"/>
            <w:vAlign w:val="center"/>
          </w:tcPr>
          <w:p w14:paraId="1A75A8E1">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单价（元）</w:t>
            </w:r>
          </w:p>
        </w:tc>
        <w:tc>
          <w:tcPr>
            <w:tcW w:w="992" w:type="dxa"/>
            <w:tcBorders>
              <w:top w:val="single" w:color="auto" w:sz="12" w:space="0"/>
              <w:bottom w:val="double" w:color="auto" w:sz="6" w:space="0"/>
            </w:tcBorders>
            <w:noWrap w:val="0"/>
            <w:vAlign w:val="center"/>
          </w:tcPr>
          <w:p w14:paraId="0B9A1F88">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质量等级</w:t>
            </w:r>
          </w:p>
        </w:tc>
        <w:tc>
          <w:tcPr>
            <w:tcW w:w="851" w:type="dxa"/>
            <w:tcBorders>
              <w:top w:val="single" w:color="auto" w:sz="12" w:space="0"/>
              <w:bottom w:val="double" w:color="auto" w:sz="6" w:space="0"/>
            </w:tcBorders>
            <w:noWrap w:val="0"/>
            <w:vAlign w:val="center"/>
          </w:tcPr>
          <w:p w14:paraId="081D7150">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供应时间</w:t>
            </w:r>
          </w:p>
        </w:tc>
        <w:tc>
          <w:tcPr>
            <w:tcW w:w="966" w:type="dxa"/>
            <w:tcBorders>
              <w:top w:val="single" w:color="auto" w:sz="12" w:space="0"/>
              <w:bottom w:val="double" w:color="auto" w:sz="6" w:space="0"/>
            </w:tcBorders>
            <w:noWrap w:val="0"/>
            <w:vAlign w:val="center"/>
          </w:tcPr>
          <w:p w14:paraId="64E61E9F">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送达地点</w:t>
            </w:r>
          </w:p>
        </w:tc>
        <w:tc>
          <w:tcPr>
            <w:tcW w:w="803" w:type="dxa"/>
            <w:tcBorders>
              <w:top w:val="single" w:color="auto" w:sz="12" w:space="0"/>
              <w:bottom w:val="double" w:color="auto" w:sz="6" w:space="0"/>
            </w:tcBorders>
            <w:noWrap w:val="0"/>
            <w:vAlign w:val="center"/>
          </w:tcPr>
          <w:p w14:paraId="56D386EF">
            <w:pPr>
              <w:keepNext/>
              <w:snapToGrid w:val="0"/>
              <w:spacing w:line="360" w:lineRule="auto"/>
              <w:rPr>
                <w:rFonts w:hint="eastAsia" w:ascii="宋体" w:hAnsi="宋体" w:cs="宋体"/>
                <w:color w:val="auto"/>
                <w:sz w:val="22"/>
                <w:szCs w:val="21"/>
                <w:highlight w:val="none"/>
              </w:rPr>
            </w:pPr>
            <w:r>
              <w:rPr>
                <w:rFonts w:hint="eastAsia" w:ascii="宋体" w:hAnsi="宋体" w:cs="宋体"/>
                <w:color w:val="auto"/>
                <w:sz w:val="22"/>
                <w:szCs w:val="21"/>
                <w:highlight w:val="none"/>
              </w:rPr>
              <w:t>备注</w:t>
            </w:r>
          </w:p>
        </w:tc>
      </w:tr>
      <w:tr w14:paraId="2AD716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tcBorders>
              <w:top w:val="double" w:color="auto" w:sz="6" w:space="0"/>
            </w:tcBorders>
            <w:noWrap w:val="0"/>
            <w:vAlign w:val="center"/>
          </w:tcPr>
          <w:p w14:paraId="4A91F042">
            <w:pPr>
              <w:keepNext/>
              <w:snapToGrid w:val="0"/>
              <w:spacing w:line="360" w:lineRule="auto"/>
              <w:rPr>
                <w:rFonts w:hint="eastAsia" w:ascii="宋体" w:hAnsi="宋体" w:cs="宋体"/>
                <w:color w:val="auto"/>
                <w:sz w:val="22"/>
                <w:szCs w:val="21"/>
                <w:highlight w:val="none"/>
              </w:rPr>
            </w:pPr>
          </w:p>
        </w:tc>
        <w:tc>
          <w:tcPr>
            <w:tcW w:w="1276" w:type="dxa"/>
            <w:tcBorders>
              <w:top w:val="double" w:color="auto" w:sz="6" w:space="0"/>
            </w:tcBorders>
            <w:noWrap w:val="0"/>
            <w:vAlign w:val="center"/>
          </w:tcPr>
          <w:p w14:paraId="03825FB7">
            <w:pPr>
              <w:keepNext/>
              <w:snapToGrid w:val="0"/>
              <w:spacing w:line="360" w:lineRule="auto"/>
              <w:rPr>
                <w:rFonts w:hint="eastAsia" w:ascii="宋体" w:hAnsi="宋体" w:cs="宋体"/>
                <w:color w:val="auto"/>
                <w:sz w:val="22"/>
                <w:szCs w:val="21"/>
                <w:highlight w:val="none"/>
              </w:rPr>
            </w:pPr>
          </w:p>
        </w:tc>
        <w:tc>
          <w:tcPr>
            <w:tcW w:w="1082" w:type="dxa"/>
            <w:tcBorders>
              <w:top w:val="double" w:color="auto" w:sz="6" w:space="0"/>
            </w:tcBorders>
            <w:noWrap w:val="0"/>
            <w:vAlign w:val="center"/>
          </w:tcPr>
          <w:p w14:paraId="09F528A3">
            <w:pPr>
              <w:keepNext/>
              <w:snapToGrid w:val="0"/>
              <w:spacing w:line="360" w:lineRule="auto"/>
              <w:rPr>
                <w:rFonts w:hint="eastAsia" w:ascii="宋体" w:hAnsi="宋体" w:cs="宋体"/>
                <w:color w:val="auto"/>
                <w:sz w:val="22"/>
                <w:szCs w:val="21"/>
                <w:highlight w:val="none"/>
              </w:rPr>
            </w:pPr>
          </w:p>
        </w:tc>
        <w:tc>
          <w:tcPr>
            <w:tcW w:w="940" w:type="dxa"/>
            <w:tcBorders>
              <w:top w:val="double" w:color="auto" w:sz="6" w:space="0"/>
            </w:tcBorders>
            <w:noWrap w:val="0"/>
            <w:vAlign w:val="center"/>
          </w:tcPr>
          <w:p w14:paraId="7F3FFDEB">
            <w:pPr>
              <w:keepNext/>
              <w:snapToGrid w:val="0"/>
              <w:spacing w:line="360" w:lineRule="auto"/>
              <w:rPr>
                <w:rFonts w:hint="eastAsia" w:ascii="宋体" w:hAnsi="宋体" w:cs="宋体"/>
                <w:color w:val="auto"/>
                <w:sz w:val="22"/>
                <w:szCs w:val="21"/>
                <w:highlight w:val="none"/>
              </w:rPr>
            </w:pPr>
          </w:p>
        </w:tc>
        <w:tc>
          <w:tcPr>
            <w:tcW w:w="851" w:type="dxa"/>
            <w:tcBorders>
              <w:top w:val="double" w:color="auto" w:sz="6" w:space="0"/>
            </w:tcBorders>
            <w:noWrap w:val="0"/>
            <w:vAlign w:val="center"/>
          </w:tcPr>
          <w:p w14:paraId="4B36CDA9">
            <w:pPr>
              <w:keepNext/>
              <w:snapToGrid w:val="0"/>
              <w:spacing w:line="360" w:lineRule="auto"/>
              <w:rPr>
                <w:rFonts w:hint="eastAsia" w:ascii="宋体" w:hAnsi="宋体" w:cs="宋体"/>
                <w:color w:val="auto"/>
                <w:sz w:val="22"/>
                <w:szCs w:val="21"/>
                <w:highlight w:val="none"/>
              </w:rPr>
            </w:pPr>
          </w:p>
        </w:tc>
        <w:tc>
          <w:tcPr>
            <w:tcW w:w="1044" w:type="dxa"/>
            <w:tcBorders>
              <w:top w:val="double" w:color="auto" w:sz="6" w:space="0"/>
            </w:tcBorders>
            <w:noWrap w:val="0"/>
            <w:vAlign w:val="center"/>
          </w:tcPr>
          <w:p w14:paraId="4C117B39">
            <w:pPr>
              <w:keepNext/>
              <w:snapToGrid w:val="0"/>
              <w:spacing w:line="360" w:lineRule="auto"/>
              <w:rPr>
                <w:rFonts w:hint="eastAsia" w:ascii="宋体" w:hAnsi="宋体" w:cs="宋体"/>
                <w:color w:val="auto"/>
                <w:sz w:val="22"/>
                <w:szCs w:val="21"/>
                <w:highlight w:val="none"/>
              </w:rPr>
            </w:pPr>
          </w:p>
        </w:tc>
        <w:tc>
          <w:tcPr>
            <w:tcW w:w="992" w:type="dxa"/>
            <w:tcBorders>
              <w:top w:val="double" w:color="auto" w:sz="6" w:space="0"/>
            </w:tcBorders>
            <w:noWrap w:val="0"/>
            <w:vAlign w:val="center"/>
          </w:tcPr>
          <w:p w14:paraId="2A77DA0A">
            <w:pPr>
              <w:keepNext/>
              <w:snapToGrid w:val="0"/>
              <w:spacing w:line="360" w:lineRule="auto"/>
              <w:rPr>
                <w:rFonts w:hint="eastAsia" w:ascii="宋体" w:hAnsi="宋体" w:cs="宋体"/>
                <w:color w:val="auto"/>
                <w:sz w:val="22"/>
                <w:szCs w:val="21"/>
                <w:highlight w:val="none"/>
              </w:rPr>
            </w:pPr>
          </w:p>
        </w:tc>
        <w:tc>
          <w:tcPr>
            <w:tcW w:w="851" w:type="dxa"/>
            <w:tcBorders>
              <w:top w:val="double" w:color="auto" w:sz="6" w:space="0"/>
            </w:tcBorders>
            <w:noWrap w:val="0"/>
            <w:vAlign w:val="center"/>
          </w:tcPr>
          <w:p w14:paraId="181B6BF5">
            <w:pPr>
              <w:keepNext/>
              <w:snapToGrid w:val="0"/>
              <w:spacing w:line="360" w:lineRule="auto"/>
              <w:rPr>
                <w:rFonts w:hint="eastAsia" w:ascii="宋体" w:hAnsi="宋体" w:cs="宋体"/>
                <w:color w:val="auto"/>
                <w:sz w:val="22"/>
                <w:szCs w:val="21"/>
                <w:highlight w:val="none"/>
              </w:rPr>
            </w:pPr>
          </w:p>
        </w:tc>
        <w:tc>
          <w:tcPr>
            <w:tcW w:w="966" w:type="dxa"/>
            <w:tcBorders>
              <w:top w:val="double" w:color="auto" w:sz="6" w:space="0"/>
            </w:tcBorders>
            <w:noWrap w:val="0"/>
            <w:vAlign w:val="center"/>
          </w:tcPr>
          <w:p w14:paraId="7A8E923E">
            <w:pPr>
              <w:keepNext/>
              <w:snapToGrid w:val="0"/>
              <w:spacing w:line="360" w:lineRule="auto"/>
              <w:rPr>
                <w:rFonts w:hint="eastAsia" w:ascii="宋体" w:hAnsi="宋体" w:cs="宋体"/>
                <w:color w:val="auto"/>
                <w:sz w:val="22"/>
                <w:szCs w:val="21"/>
                <w:highlight w:val="none"/>
              </w:rPr>
            </w:pPr>
          </w:p>
        </w:tc>
        <w:tc>
          <w:tcPr>
            <w:tcW w:w="803" w:type="dxa"/>
            <w:tcBorders>
              <w:top w:val="double" w:color="auto" w:sz="6" w:space="0"/>
            </w:tcBorders>
            <w:noWrap w:val="0"/>
            <w:vAlign w:val="center"/>
          </w:tcPr>
          <w:p w14:paraId="663119C1">
            <w:pPr>
              <w:keepNext/>
              <w:snapToGrid w:val="0"/>
              <w:spacing w:line="360" w:lineRule="auto"/>
              <w:rPr>
                <w:rFonts w:hint="eastAsia" w:ascii="宋体" w:hAnsi="宋体" w:cs="宋体"/>
                <w:color w:val="auto"/>
                <w:sz w:val="22"/>
                <w:szCs w:val="21"/>
                <w:highlight w:val="none"/>
              </w:rPr>
            </w:pPr>
          </w:p>
        </w:tc>
      </w:tr>
      <w:tr w14:paraId="08185B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noWrap w:val="0"/>
            <w:vAlign w:val="center"/>
          </w:tcPr>
          <w:p w14:paraId="626FF8D9">
            <w:pPr>
              <w:snapToGrid w:val="0"/>
              <w:spacing w:line="360" w:lineRule="auto"/>
              <w:rPr>
                <w:rFonts w:hint="eastAsia" w:ascii="宋体" w:hAnsi="宋体" w:cs="宋体"/>
                <w:color w:val="auto"/>
                <w:sz w:val="22"/>
                <w:szCs w:val="21"/>
                <w:highlight w:val="none"/>
              </w:rPr>
            </w:pPr>
          </w:p>
        </w:tc>
        <w:tc>
          <w:tcPr>
            <w:tcW w:w="1276" w:type="dxa"/>
            <w:noWrap w:val="0"/>
            <w:vAlign w:val="center"/>
          </w:tcPr>
          <w:p w14:paraId="02A1EB66">
            <w:pPr>
              <w:snapToGrid w:val="0"/>
              <w:spacing w:line="360" w:lineRule="auto"/>
              <w:rPr>
                <w:rFonts w:hint="eastAsia" w:ascii="宋体" w:hAnsi="宋体" w:cs="宋体"/>
                <w:color w:val="auto"/>
                <w:sz w:val="22"/>
                <w:szCs w:val="21"/>
                <w:highlight w:val="none"/>
              </w:rPr>
            </w:pPr>
          </w:p>
        </w:tc>
        <w:tc>
          <w:tcPr>
            <w:tcW w:w="1082" w:type="dxa"/>
            <w:noWrap w:val="0"/>
            <w:vAlign w:val="center"/>
          </w:tcPr>
          <w:p w14:paraId="3F0CB039">
            <w:pPr>
              <w:snapToGrid w:val="0"/>
              <w:spacing w:line="360" w:lineRule="auto"/>
              <w:rPr>
                <w:rFonts w:hint="eastAsia" w:ascii="宋体" w:hAnsi="宋体" w:cs="宋体"/>
                <w:color w:val="auto"/>
                <w:sz w:val="22"/>
                <w:szCs w:val="21"/>
                <w:highlight w:val="none"/>
              </w:rPr>
            </w:pPr>
          </w:p>
        </w:tc>
        <w:tc>
          <w:tcPr>
            <w:tcW w:w="940" w:type="dxa"/>
            <w:noWrap w:val="0"/>
            <w:vAlign w:val="center"/>
          </w:tcPr>
          <w:p w14:paraId="3E6DE495">
            <w:pPr>
              <w:snapToGrid w:val="0"/>
              <w:spacing w:line="360" w:lineRule="auto"/>
              <w:rPr>
                <w:rFonts w:hint="eastAsia" w:ascii="宋体" w:hAnsi="宋体" w:cs="宋体"/>
                <w:color w:val="auto"/>
                <w:sz w:val="22"/>
                <w:szCs w:val="21"/>
                <w:highlight w:val="none"/>
              </w:rPr>
            </w:pPr>
          </w:p>
        </w:tc>
        <w:tc>
          <w:tcPr>
            <w:tcW w:w="851" w:type="dxa"/>
            <w:noWrap w:val="0"/>
            <w:vAlign w:val="center"/>
          </w:tcPr>
          <w:p w14:paraId="479B4BF2">
            <w:pPr>
              <w:snapToGrid w:val="0"/>
              <w:spacing w:line="360" w:lineRule="auto"/>
              <w:rPr>
                <w:rFonts w:hint="eastAsia" w:ascii="宋体" w:hAnsi="宋体" w:cs="宋体"/>
                <w:color w:val="auto"/>
                <w:sz w:val="22"/>
                <w:szCs w:val="21"/>
                <w:highlight w:val="none"/>
              </w:rPr>
            </w:pPr>
          </w:p>
        </w:tc>
        <w:tc>
          <w:tcPr>
            <w:tcW w:w="1044" w:type="dxa"/>
            <w:noWrap w:val="0"/>
            <w:vAlign w:val="center"/>
          </w:tcPr>
          <w:p w14:paraId="4209517B">
            <w:pPr>
              <w:snapToGrid w:val="0"/>
              <w:spacing w:line="360" w:lineRule="auto"/>
              <w:rPr>
                <w:rFonts w:hint="eastAsia" w:ascii="宋体" w:hAnsi="宋体" w:cs="宋体"/>
                <w:color w:val="auto"/>
                <w:sz w:val="22"/>
                <w:szCs w:val="21"/>
                <w:highlight w:val="none"/>
              </w:rPr>
            </w:pPr>
          </w:p>
        </w:tc>
        <w:tc>
          <w:tcPr>
            <w:tcW w:w="992" w:type="dxa"/>
            <w:noWrap w:val="0"/>
            <w:vAlign w:val="center"/>
          </w:tcPr>
          <w:p w14:paraId="1974D1E3">
            <w:pPr>
              <w:snapToGrid w:val="0"/>
              <w:spacing w:line="360" w:lineRule="auto"/>
              <w:rPr>
                <w:rFonts w:hint="eastAsia" w:ascii="宋体" w:hAnsi="宋体" w:cs="宋体"/>
                <w:color w:val="auto"/>
                <w:sz w:val="22"/>
                <w:szCs w:val="21"/>
                <w:highlight w:val="none"/>
              </w:rPr>
            </w:pPr>
          </w:p>
        </w:tc>
        <w:tc>
          <w:tcPr>
            <w:tcW w:w="851" w:type="dxa"/>
            <w:noWrap w:val="0"/>
            <w:vAlign w:val="center"/>
          </w:tcPr>
          <w:p w14:paraId="0FFE0199">
            <w:pPr>
              <w:snapToGrid w:val="0"/>
              <w:spacing w:line="360" w:lineRule="auto"/>
              <w:rPr>
                <w:rFonts w:hint="eastAsia" w:ascii="宋体" w:hAnsi="宋体" w:cs="宋体"/>
                <w:color w:val="auto"/>
                <w:sz w:val="22"/>
                <w:szCs w:val="21"/>
                <w:highlight w:val="none"/>
              </w:rPr>
            </w:pPr>
          </w:p>
        </w:tc>
        <w:tc>
          <w:tcPr>
            <w:tcW w:w="966" w:type="dxa"/>
            <w:noWrap w:val="0"/>
            <w:vAlign w:val="center"/>
          </w:tcPr>
          <w:p w14:paraId="1A347118">
            <w:pPr>
              <w:snapToGrid w:val="0"/>
              <w:spacing w:line="360" w:lineRule="auto"/>
              <w:rPr>
                <w:rFonts w:hint="eastAsia" w:ascii="宋体" w:hAnsi="宋体" w:cs="宋体"/>
                <w:color w:val="auto"/>
                <w:sz w:val="22"/>
                <w:szCs w:val="21"/>
                <w:highlight w:val="none"/>
              </w:rPr>
            </w:pPr>
          </w:p>
        </w:tc>
        <w:tc>
          <w:tcPr>
            <w:tcW w:w="803" w:type="dxa"/>
            <w:noWrap w:val="0"/>
            <w:vAlign w:val="center"/>
          </w:tcPr>
          <w:p w14:paraId="68472DB8">
            <w:pPr>
              <w:snapToGrid w:val="0"/>
              <w:spacing w:line="360" w:lineRule="auto"/>
              <w:rPr>
                <w:rFonts w:hint="eastAsia" w:ascii="宋体" w:hAnsi="宋体" w:cs="宋体"/>
                <w:color w:val="auto"/>
                <w:sz w:val="22"/>
                <w:szCs w:val="21"/>
                <w:highlight w:val="none"/>
              </w:rPr>
            </w:pPr>
          </w:p>
        </w:tc>
      </w:tr>
      <w:tr w14:paraId="030583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tcBorders>
              <w:bottom w:val="single" w:color="auto" w:sz="12" w:space="0"/>
            </w:tcBorders>
            <w:noWrap w:val="0"/>
            <w:vAlign w:val="center"/>
          </w:tcPr>
          <w:p w14:paraId="49591FD4">
            <w:pPr>
              <w:snapToGrid w:val="0"/>
              <w:spacing w:line="360" w:lineRule="auto"/>
              <w:rPr>
                <w:rFonts w:hint="eastAsia" w:ascii="宋体" w:hAnsi="宋体" w:cs="宋体"/>
                <w:color w:val="auto"/>
                <w:sz w:val="22"/>
                <w:szCs w:val="21"/>
                <w:highlight w:val="none"/>
              </w:rPr>
            </w:pPr>
          </w:p>
        </w:tc>
        <w:tc>
          <w:tcPr>
            <w:tcW w:w="1276" w:type="dxa"/>
            <w:tcBorders>
              <w:bottom w:val="single" w:color="auto" w:sz="12" w:space="0"/>
            </w:tcBorders>
            <w:noWrap w:val="0"/>
            <w:vAlign w:val="center"/>
          </w:tcPr>
          <w:p w14:paraId="2DC0217F">
            <w:pPr>
              <w:snapToGrid w:val="0"/>
              <w:spacing w:line="360" w:lineRule="auto"/>
              <w:rPr>
                <w:rFonts w:hint="eastAsia" w:ascii="宋体" w:hAnsi="宋体" w:cs="宋体"/>
                <w:color w:val="auto"/>
                <w:sz w:val="22"/>
                <w:szCs w:val="21"/>
                <w:highlight w:val="none"/>
              </w:rPr>
            </w:pPr>
          </w:p>
        </w:tc>
        <w:tc>
          <w:tcPr>
            <w:tcW w:w="1082" w:type="dxa"/>
            <w:tcBorders>
              <w:bottom w:val="single" w:color="auto" w:sz="12" w:space="0"/>
            </w:tcBorders>
            <w:noWrap w:val="0"/>
            <w:vAlign w:val="center"/>
          </w:tcPr>
          <w:p w14:paraId="3D243E1D">
            <w:pPr>
              <w:snapToGrid w:val="0"/>
              <w:spacing w:line="360" w:lineRule="auto"/>
              <w:rPr>
                <w:rFonts w:hint="eastAsia" w:ascii="宋体" w:hAnsi="宋体" w:cs="宋体"/>
                <w:color w:val="auto"/>
                <w:sz w:val="22"/>
                <w:szCs w:val="21"/>
                <w:highlight w:val="none"/>
              </w:rPr>
            </w:pPr>
          </w:p>
        </w:tc>
        <w:tc>
          <w:tcPr>
            <w:tcW w:w="940" w:type="dxa"/>
            <w:tcBorders>
              <w:bottom w:val="single" w:color="auto" w:sz="12" w:space="0"/>
            </w:tcBorders>
            <w:noWrap w:val="0"/>
            <w:vAlign w:val="center"/>
          </w:tcPr>
          <w:p w14:paraId="1D04896D">
            <w:pPr>
              <w:snapToGrid w:val="0"/>
              <w:spacing w:line="360" w:lineRule="auto"/>
              <w:rPr>
                <w:rFonts w:hint="eastAsia" w:ascii="宋体" w:hAnsi="宋体" w:cs="宋体"/>
                <w:color w:val="auto"/>
                <w:sz w:val="22"/>
                <w:szCs w:val="21"/>
                <w:highlight w:val="none"/>
              </w:rPr>
            </w:pPr>
          </w:p>
        </w:tc>
        <w:tc>
          <w:tcPr>
            <w:tcW w:w="851" w:type="dxa"/>
            <w:tcBorders>
              <w:bottom w:val="single" w:color="auto" w:sz="12" w:space="0"/>
            </w:tcBorders>
            <w:noWrap w:val="0"/>
            <w:vAlign w:val="center"/>
          </w:tcPr>
          <w:p w14:paraId="25AE53D6">
            <w:pPr>
              <w:snapToGrid w:val="0"/>
              <w:spacing w:line="360" w:lineRule="auto"/>
              <w:rPr>
                <w:rFonts w:hint="eastAsia" w:ascii="宋体" w:hAnsi="宋体" w:cs="宋体"/>
                <w:color w:val="auto"/>
                <w:sz w:val="22"/>
                <w:szCs w:val="21"/>
                <w:highlight w:val="none"/>
              </w:rPr>
            </w:pPr>
          </w:p>
        </w:tc>
        <w:tc>
          <w:tcPr>
            <w:tcW w:w="1044" w:type="dxa"/>
            <w:tcBorders>
              <w:bottom w:val="single" w:color="auto" w:sz="12" w:space="0"/>
            </w:tcBorders>
            <w:noWrap w:val="0"/>
            <w:vAlign w:val="center"/>
          </w:tcPr>
          <w:p w14:paraId="0AC8F777">
            <w:pPr>
              <w:snapToGrid w:val="0"/>
              <w:spacing w:line="360" w:lineRule="auto"/>
              <w:rPr>
                <w:rFonts w:hint="eastAsia" w:ascii="宋体" w:hAnsi="宋体" w:cs="宋体"/>
                <w:color w:val="auto"/>
                <w:sz w:val="22"/>
                <w:szCs w:val="21"/>
                <w:highlight w:val="none"/>
              </w:rPr>
            </w:pPr>
          </w:p>
        </w:tc>
        <w:tc>
          <w:tcPr>
            <w:tcW w:w="992" w:type="dxa"/>
            <w:tcBorders>
              <w:bottom w:val="single" w:color="auto" w:sz="12" w:space="0"/>
            </w:tcBorders>
            <w:noWrap w:val="0"/>
            <w:vAlign w:val="center"/>
          </w:tcPr>
          <w:p w14:paraId="1ACBDD18">
            <w:pPr>
              <w:snapToGrid w:val="0"/>
              <w:spacing w:line="360" w:lineRule="auto"/>
              <w:rPr>
                <w:rFonts w:hint="eastAsia" w:ascii="宋体" w:hAnsi="宋体" w:cs="宋体"/>
                <w:color w:val="auto"/>
                <w:sz w:val="22"/>
                <w:szCs w:val="21"/>
                <w:highlight w:val="none"/>
              </w:rPr>
            </w:pPr>
          </w:p>
        </w:tc>
        <w:tc>
          <w:tcPr>
            <w:tcW w:w="851" w:type="dxa"/>
            <w:tcBorders>
              <w:bottom w:val="single" w:color="auto" w:sz="12" w:space="0"/>
            </w:tcBorders>
            <w:noWrap w:val="0"/>
            <w:vAlign w:val="center"/>
          </w:tcPr>
          <w:p w14:paraId="649C75F2">
            <w:pPr>
              <w:snapToGrid w:val="0"/>
              <w:spacing w:line="360" w:lineRule="auto"/>
              <w:rPr>
                <w:rFonts w:hint="eastAsia" w:ascii="宋体" w:hAnsi="宋体" w:cs="宋体"/>
                <w:color w:val="auto"/>
                <w:sz w:val="22"/>
                <w:szCs w:val="21"/>
                <w:highlight w:val="none"/>
              </w:rPr>
            </w:pPr>
          </w:p>
        </w:tc>
        <w:tc>
          <w:tcPr>
            <w:tcW w:w="966" w:type="dxa"/>
            <w:tcBorders>
              <w:bottom w:val="single" w:color="auto" w:sz="12" w:space="0"/>
            </w:tcBorders>
            <w:noWrap w:val="0"/>
            <w:vAlign w:val="center"/>
          </w:tcPr>
          <w:p w14:paraId="5741BCC9">
            <w:pPr>
              <w:snapToGrid w:val="0"/>
              <w:spacing w:line="360" w:lineRule="auto"/>
              <w:rPr>
                <w:rFonts w:hint="eastAsia" w:ascii="宋体" w:hAnsi="宋体" w:cs="宋体"/>
                <w:color w:val="auto"/>
                <w:sz w:val="22"/>
                <w:szCs w:val="21"/>
                <w:highlight w:val="none"/>
              </w:rPr>
            </w:pPr>
          </w:p>
        </w:tc>
        <w:tc>
          <w:tcPr>
            <w:tcW w:w="803" w:type="dxa"/>
            <w:tcBorders>
              <w:bottom w:val="single" w:color="auto" w:sz="12" w:space="0"/>
            </w:tcBorders>
            <w:noWrap w:val="0"/>
            <w:vAlign w:val="center"/>
          </w:tcPr>
          <w:p w14:paraId="639C3B53">
            <w:pPr>
              <w:snapToGrid w:val="0"/>
              <w:spacing w:line="360" w:lineRule="auto"/>
              <w:rPr>
                <w:rFonts w:hint="eastAsia" w:ascii="宋体" w:hAnsi="宋体" w:cs="宋体"/>
                <w:color w:val="auto"/>
                <w:sz w:val="22"/>
                <w:szCs w:val="21"/>
                <w:highlight w:val="none"/>
              </w:rPr>
            </w:pPr>
          </w:p>
        </w:tc>
      </w:tr>
    </w:tbl>
    <w:p w14:paraId="7A2DC54D">
      <w:pPr>
        <w:pStyle w:val="19"/>
        <w:rPr>
          <w:rFonts w:hint="eastAsia"/>
          <w:color w:val="auto"/>
          <w:highlight w:val="none"/>
        </w:rPr>
      </w:pPr>
    </w:p>
    <w:p w14:paraId="2D2D4DEA">
      <w:pPr>
        <w:rPr>
          <w:rFonts w:hint="eastAsia"/>
          <w:color w:val="auto"/>
          <w:highlight w:val="none"/>
        </w:rPr>
      </w:pPr>
    </w:p>
    <w:p w14:paraId="772DBD13">
      <w:pPr>
        <w:pStyle w:val="19"/>
        <w:rPr>
          <w:rFonts w:hint="eastAsia"/>
          <w:color w:val="auto"/>
          <w:highlight w:val="none"/>
        </w:rPr>
      </w:pPr>
    </w:p>
    <w:p w14:paraId="4C684BCE">
      <w:pPr>
        <w:rPr>
          <w:rFonts w:hint="eastAsia"/>
          <w:color w:val="auto"/>
          <w:highlight w:val="none"/>
        </w:rPr>
      </w:pPr>
    </w:p>
    <w:p w14:paraId="139D6CD0">
      <w:pPr>
        <w:pStyle w:val="19"/>
        <w:rPr>
          <w:rFonts w:hint="eastAsia"/>
          <w:color w:val="auto"/>
          <w:highlight w:val="none"/>
        </w:rPr>
      </w:pPr>
    </w:p>
    <w:p w14:paraId="6EC91A52">
      <w:pPr>
        <w:rPr>
          <w:rFonts w:hint="eastAsia"/>
          <w:color w:val="auto"/>
          <w:highlight w:val="none"/>
        </w:rPr>
      </w:pPr>
    </w:p>
    <w:p w14:paraId="02EF7BED">
      <w:pPr>
        <w:pStyle w:val="19"/>
        <w:rPr>
          <w:rFonts w:hint="eastAsia"/>
          <w:color w:val="auto"/>
          <w:highlight w:val="none"/>
        </w:rPr>
      </w:pPr>
    </w:p>
    <w:p w14:paraId="610AACAE">
      <w:pPr>
        <w:rPr>
          <w:rFonts w:hint="eastAsia"/>
          <w:color w:val="auto"/>
          <w:highlight w:val="none"/>
        </w:rPr>
      </w:pPr>
    </w:p>
    <w:p w14:paraId="23F6BF19">
      <w:pPr>
        <w:pStyle w:val="19"/>
        <w:rPr>
          <w:rFonts w:hint="eastAsia"/>
          <w:color w:val="auto"/>
          <w:highlight w:val="none"/>
        </w:rPr>
      </w:pPr>
    </w:p>
    <w:p w14:paraId="08C89D0C">
      <w:pPr>
        <w:rPr>
          <w:rFonts w:hint="eastAsia"/>
          <w:color w:val="auto"/>
          <w:highlight w:val="none"/>
        </w:rPr>
      </w:pPr>
    </w:p>
    <w:p w14:paraId="61D20E9E">
      <w:pPr>
        <w:pStyle w:val="19"/>
        <w:rPr>
          <w:rFonts w:hint="eastAsia"/>
          <w:color w:val="auto"/>
          <w:highlight w:val="none"/>
        </w:rPr>
      </w:pPr>
    </w:p>
    <w:p w14:paraId="4C8A89C0">
      <w:pPr>
        <w:rPr>
          <w:rFonts w:hint="eastAsia"/>
          <w:color w:val="auto"/>
          <w:highlight w:val="none"/>
        </w:rPr>
      </w:pPr>
    </w:p>
    <w:p w14:paraId="0DF5B4E8">
      <w:pPr>
        <w:pStyle w:val="19"/>
        <w:rPr>
          <w:rFonts w:hint="eastAsia"/>
          <w:color w:val="auto"/>
          <w:highlight w:val="none"/>
        </w:rPr>
      </w:pPr>
    </w:p>
    <w:p w14:paraId="5688C739">
      <w:pPr>
        <w:pStyle w:val="19"/>
        <w:rPr>
          <w:rFonts w:hint="eastAsia"/>
          <w:color w:val="auto"/>
          <w:highlight w:val="none"/>
        </w:rPr>
      </w:pPr>
    </w:p>
    <w:p w14:paraId="2C9E0E24">
      <w:pPr>
        <w:rPr>
          <w:rFonts w:hint="eastAsia"/>
          <w:color w:val="auto"/>
          <w:highlight w:val="none"/>
        </w:rPr>
      </w:pPr>
    </w:p>
    <w:p w14:paraId="56B7B891">
      <w:pPr>
        <w:pStyle w:val="19"/>
        <w:rPr>
          <w:rFonts w:hint="eastAsia"/>
          <w:color w:val="auto"/>
          <w:highlight w:val="none"/>
        </w:rPr>
      </w:pPr>
    </w:p>
    <w:p w14:paraId="787394BB">
      <w:pPr>
        <w:keepNext/>
        <w:keepLines/>
        <w:spacing w:before="120" w:after="120" w:line="360" w:lineRule="auto"/>
        <w:jc w:val="left"/>
        <w:outlineLvl w:val="2"/>
        <w:rPr>
          <w:rFonts w:ascii="宋体" w:hAnsi="宋体" w:cs="宋体"/>
          <w:bCs/>
          <w:color w:val="auto"/>
          <w:sz w:val="24"/>
          <w:highlight w:val="none"/>
        </w:rPr>
        <w:sectPr>
          <w:footnotePr>
            <w:numFmt w:val="decimalEnclosedCircleChinese"/>
            <w:numRestart w:val="eachPage"/>
          </w:footnotePr>
          <w:pgSz w:w="11907" w:h="16840"/>
          <w:pgMar w:top="1474" w:right="1474" w:bottom="1474" w:left="1474" w:header="799" w:footer="907" w:gutter="0"/>
          <w:pgNumType w:fmt="numberInDash"/>
          <w:cols w:space="720" w:num="1"/>
          <w:docGrid w:linePitch="271" w:charSpace="0"/>
        </w:sectPr>
      </w:pPr>
      <w:bookmarkStart w:id="1287" w:name="_Toc95223488"/>
    </w:p>
    <w:p w14:paraId="37CFA98A">
      <w:pPr>
        <w:keepNext/>
        <w:keepLines/>
        <w:spacing w:before="120" w:after="120" w:line="360" w:lineRule="auto"/>
        <w:jc w:val="left"/>
        <w:outlineLvl w:val="2"/>
        <w:rPr>
          <w:rFonts w:hint="eastAsia" w:ascii="宋体" w:hAnsi="宋体" w:cs="宋体"/>
          <w:bCs/>
          <w:color w:val="auto"/>
          <w:sz w:val="24"/>
          <w:highlight w:val="none"/>
        </w:rPr>
      </w:pPr>
      <w:r>
        <w:rPr>
          <w:rFonts w:hint="eastAsia" w:ascii="宋体" w:hAnsi="宋体" w:cs="宋体"/>
          <w:bCs/>
          <w:color w:val="auto"/>
          <w:sz w:val="24"/>
          <w:highlight w:val="none"/>
        </w:rPr>
        <w:t xml:space="preserve">附件3：工程质量保修书 </w:t>
      </w:r>
      <w:bookmarkEnd w:id="1287"/>
    </w:p>
    <w:p w14:paraId="0851FCA5">
      <w:pPr>
        <w:adjustRightInd w:val="0"/>
        <w:snapToGrid w:val="0"/>
        <w:spacing w:before="120" w:beforeLines="50" w:after="120" w:afterLines="50"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工程质量保修书</w:t>
      </w:r>
    </w:p>
    <w:p w14:paraId="14AF7206">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发包人（全称）：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C911642">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承包人（全称）：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70F0A9B5">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发包人和承包人根据《中华人民共和国建筑法》和《建设工程质量管理条例》，经协商一致就_______________（工程全称）签订工程质量保修书。</w:t>
      </w:r>
    </w:p>
    <w:p w14:paraId="30595346">
      <w:pPr>
        <w:adjustRightInd w:val="0"/>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一、工程质量保修范围和内容</w:t>
      </w:r>
    </w:p>
    <w:p w14:paraId="0D4C418D">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承包人在质量保修期内，按照有关法律规定和合同约定，承担工程质量保修责任。</w:t>
      </w:r>
    </w:p>
    <w:p w14:paraId="19919159">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36254C9">
      <w:pPr>
        <w:adjustRightInd w:val="0"/>
        <w:snapToGrid w:val="0"/>
        <w:spacing w:line="360" w:lineRule="auto"/>
        <w:ind w:firstLine="413" w:firstLineChars="196"/>
        <w:rPr>
          <w:rFonts w:hint="eastAsia" w:ascii="宋体" w:hAnsi="宋体" w:cs="宋体"/>
          <w:b/>
          <w:color w:val="auto"/>
          <w:szCs w:val="21"/>
          <w:highlight w:val="none"/>
        </w:rPr>
      </w:pPr>
      <w:r>
        <w:rPr>
          <w:rFonts w:hint="eastAsia" w:ascii="宋体" w:hAnsi="宋体" w:cs="宋体"/>
          <w:b/>
          <w:color w:val="auto"/>
          <w:szCs w:val="21"/>
          <w:highlight w:val="none"/>
        </w:rPr>
        <w:t>二、质量保修期</w:t>
      </w:r>
    </w:p>
    <w:p w14:paraId="3E4BC825">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根据《建设工程质量管理条例》及有关规定，工程的质量保修期如下：</w:t>
      </w:r>
    </w:p>
    <w:p w14:paraId="140CA27C">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地基基础工程和主体结构工程为设计文件规定的工程合理使用年限；</w:t>
      </w:r>
    </w:p>
    <w:p w14:paraId="6C1CB689">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 屋面防水工程、有防水要求的卫生间、房间和外墙面的防渗为</w:t>
      </w:r>
      <w:r>
        <w:rPr>
          <w:rFonts w:hint="eastAsia" w:ascii="宋体" w:hAnsi="宋体" w:cs="宋体"/>
          <w:color w:val="auto"/>
          <w:szCs w:val="21"/>
          <w:highlight w:val="none"/>
          <w:u w:val="single"/>
        </w:rPr>
        <w:t>5</w:t>
      </w:r>
      <w:r>
        <w:rPr>
          <w:rFonts w:hint="eastAsia" w:ascii="宋体" w:hAnsi="宋体" w:cs="宋体"/>
          <w:color w:val="auto"/>
          <w:szCs w:val="21"/>
          <w:highlight w:val="none"/>
        </w:rPr>
        <w:t>年；</w:t>
      </w:r>
    </w:p>
    <w:p w14:paraId="5E1C678A">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 装修工程为</w:t>
      </w:r>
      <w:r>
        <w:rPr>
          <w:rFonts w:hint="eastAsia" w:ascii="宋体" w:hAnsi="宋体" w:cs="宋体"/>
          <w:color w:val="auto"/>
          <w:szCs w:val="21"/>
          <w:highlight w:val="none"/>
          <w:u w:val="single"/>
        </w:rPr>
        <w:t>2</w:t>
      </w:r>
      <w:r>
        <w:rPr>
          <w:rFonts w:hint="eastAsia" w:ascii="宋体" w:hAnsi="宋体" w:cs="宋体"/>
          <w:color w:val="auto"/>
          <w:szCs w:val="21"/>
          <w:highlight w:val="none"/>
        </w:rPr>
        <w:t>年；</w:t>
      </w:r>
    </w:p>
    <w:p w14:paraId="74ED6678">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 电气管线、给排水管道、设备安装工程为</w:t>
      </w:r>
      <w:r>
        <w:rPr>
          <w:rFonts w:hint="eastAsia" w:ascii="宋体" w:hAnsi="宋体" w:cs="宋体"/>
          <w:color w:val="auto"/>
          <w:szCs w:val="21"/>
          <w:highlight w:val="none"/>
          <w:u w:val="single"/>
        </w:rPr>
        <w:t>2</w:t>
      </w:r>
      <w:r>
        <w:rPr>
          <w:rFonts w:hint="eastAsia" w:ascii="宋体" w:hAnsi="宋体" w:cs="宋体"/>
          <w:color w:val="auto"/>
          <w:szCs w:val="21"/>
          <w:highlight w:val="none"/>
        </w:rPr>
        <w:t>年；</w:t>
      </w:r>
    </w:p>
    <w:p w14:paraId="69D86E9B">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 供热与供冷系统为</w:t>
      </w:r>
      <w:r>
        <w:rPr>
          <w:rFonts w:hint="eastAsia" w:ascii="宋体" w:hAnsi="宋体" w:cs="宋体"/>
          <w:color w:val="auto"/>
          <w:szCs w:val="21"/>
          <w:highlight w:val="none"/>
          <w:u w:val="single"/>
        </w:rPr>
        <w:t>2</w:t>
      </w:r>
      <w:r>
        <w:rPr>
          <w:rFonts w:hint="eastAsia" w:ascii="宋体" w:hAnsi="宋体" w:cs="宋体"/>
          <w:color w:val="auto"/>
          <w:szCs w:val="21"/>
          <w:highlight w:val="none"/>
        </w:rPr>
        <w:t>个采暖期、供冷期；</w:t>
      </w:r>
    </w:p>
    <w:p w14:paraId="081241CA">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 住宅小区内的给排水设施、道路等配套工程为</w:t>
      </w:r>
      <w:r>
        <w:rPr>
          <w:rFonts w:hint="eastAsia" w:ascii="宋体" w:hAnsi="宋体" w:cs="宋体"/>
          <w:color w:val="auto"/>
          <w:szCs w:val="21"/>
          <w:highlight w:val="none"/>
          <w:u w:val="single"/>
        </w:rPr>
        <w:t>2</w:t>
      </w:r>
      <w:r>
        <w:rPr>
          <w:rFonts w:hint="eastAsia" w:ascii="宋体" w:hAnsi="宋体" w:cs="宋体"/>
          <w:color w:val="auto"/>
          <w:szCs w:val="21"/>
          <w:highlight w:val="none"/>
        </w:rPr>
        <w:t>年；</w:t>
      </w:r>
    </w:p>
    <w:p w14:paraId="1F74B21B">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 其他项目保修期限约定如下：</w:t>
      </w:r>
      <w:r>
        <w:rPr>
          <w:rFonts w:hint="eastAsia" w:ascii="宋体" w:hAnsi="宋体" w:cs="宋体"/>
          <w:color w:val="auto"/>
          <w:szCs w:val="21"/>
          <w:highlight w:val="none"/>
          <w:u w:val="single"/>
        </w:rPr>
        <w:t>保温工程5年</w:t>
      </w:r>
      <w:r>
        <w:rPr>
          <w:rFonts w:hint="eastAsia" w:ascii="宋体" w:hAnsi="宋体" w:cs="宋体"/>
          <w:color w:val="auto"/>
          <w:szCs w:val="21"/>
          <w:highlight w:val="none"/>
        </w:rPr>
        <w:t>。</w:t>
      </w:r>
    </w:p>
    <w:p w14:paraId="52FF7A85">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质量保修期自工程竣工验收合格之日起计算。</w:t>
      </w:r>
    </w:p>
    <w:p w14:paraId="5BDF7EC5">
      <w:pPr>
        <w:adjustRightInd w:val="0"/>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三、缺陷责任期</w:t>
      </w:r>
    </w:p>
    <w:p w14:paraId="4C97003A">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工程缺陷责任期为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24个月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，缺陷责任期自工程竣工验收合格之日起计算。单位工程先于全部工程进行验收，单位工程缺陷责任期自单位工程验收合格之日起算。</w:t>
      </w:r>
    </w:p>
    <w:p w14:paraId="5D35660F">
      <w:pPr>
        <w:adjustRightInd w:val="0"/>
        <w:snapToGrid w:val="0"/>
        <w:spacing w:line="360" w:lineRule="auto"/>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rPr>
        <w:t>缺陷责任期终止后，发包人应退还剩余的质量保证金。</w:t>
      </w:r>
    </w:p>
    <w:p w14:paraId="66EB4757">
      <w:pPr>
        <w:adjustRightInd w:val="0"/>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四、质量保修责任</w:t>
      </w:r>
    </w:p>
    <w:p w14:paraId="2B764680">
      <w:pPr>
        <w:adjustRightInd w:val="0"/>
        <w:snapToGrid w:val="0"/>
        <w:spacing w:line="360" w:lineRule="auto"/>
        <w:ind w:firstLine="430" w:firstLineChars="205"/>
        <w:rPr>
          <w:rFonts w:hint="eastAsia" w:ascii="宋体" w:hAnsi="宋体" w:cs="宋体"/>
          <w:color w:val="auto"/>
          <w:szCs w:val="21"/>
          <w:highlight w:val="none"/>
        </w:rPr>
      </w:pPr>
      <w:r>
        <w:rPr>
          <w:rFonts w:hint="eastAsia" w:ascii="宋体" w:hAnsi="宋体" w:cs="宋体"/>
          <w:color w:val="auto"/>
          <w:szCs w:val="21"/>
          <w:highlight w:val="none"/>
        </w:rPr>
        <w:t>1. 属于保修范围、内容的项目，承包人应当在接到保修通知之日起7天内派人保修。承包人不在约定期限内派人保修的，发包人可以委托他人修理。</w:t>
      </w:r>
    </w:p>
    <w:p w14:paraId="7210ADE8">
      <w:pPr>
        <w:adjustRightInd w:val="0"/>
        <w:snapToGrid w:val="0"/>
        <w:spacing w:line="360" w:lineRule="auto"/>
        <w:ind w:firstLine="430" w:firstLineChars="205"/>
        <w:rPr>
          <w:rFonts w:hint="eastAsia" w:ascii="宋体" w:hAnsi="宋体" w:cs="宋体"/>
          <w:color w:val="auto"/>
          <w:szCs w:val="21"/>
          <w:highlight w:val="none"/>
        </w:rPr>
      </w:pPr>
      <w:r>
        <w:rPr>
          <w:rFonts w:hint="eastAsia" w:ascii="宋体" w:hAnsi="宋体" w:cs="宋体"/>
          <w:color w:val="auto"/>
          <w:szCs w:val="21"/>
          <w:highlight w:val="none"/>
        </w:rPr>
        <w:t>2. 发生紧急事故需抢修的，承包人在接到事故通知后，应当立即到达事故现场抢修。</w:t>
      </w:r>
    </w:p>
    <w:p w14:paraId="474478CA">
      <w:pPr>
        <w:adjustRightInd w:val="0"/>
        <w:snapToGrid w:val="0"/>
        <w:spacing w:line="360" w:lineRule="auto"/>
        <w:ind w:firstLine="430" w:firstLineChars="205"/>
        <w:rPr>
          <w:rFonts w:hint="eastAsia" w:ascii="宋体" w:hAnsi="宋体" w:cs="宋体"/>
          <w:color w:val="auto"/>
          <w:szCs w:val="21"/>
          <w:highlight w:val="none"/>
        </w:rPr>
      </w:pPr>
      <w:r>
        <w:rPr>
          <w:rFonts w:hint="eastAsia" w:ascii="宋体" w:hAnsi="宋体" w:cs="宋体"/>
          <w:color w:val="auto"/>
          <w:szCs w:val="21"/>
          <w:highlight w:val="none"/>
        </w:rPr>
        <w:t>3. 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7F20E91C">
      <w:pPr>
        <w:adjustRightInd w:val="0"/>
        <w:snapToGrid w:val="0"/>
        <w:spacing w:line="360" w:lineRule="auto"/>
        <w:ind w:firstLine="430" w:firstLineChars="205"/>
        <w:rPr>
          <w:rFonts w:hint="eastAsia" w:ascii="宋体" w:hAnsi="宋体" w:cs="宋体"/>
          <w:color w:val="auto"/>
          <w:szCs w:val="21"/>
          <w:highlight w:val="none"/>
        </w:rPr>
      </w:pPr>
      <w:r>
        <w:rPr>
          <w:rFonts w:hint="eastAsia" w:ascii="宋体" w:hAnsi="宋体" w:cs="宋体"/>
          <w:color w:val="auto"/>
          <w:szCs w:val="21"/>
          <w:highlight w:val="none"/>
        </w:rPr>
        <w:t>4. 质量保修完成后，由发包人组织验收。</w:t>
      </w:r>
    </w:p>
    <w:p w14:paraId="2BB3C8E9">
      <w:pPr>
        <w:adjustRightInd w:val="0"/>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五、保修费用</w:t>
      </w:r>
    </w:p>
    <w:p w14:paraId="04AD950F">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保修费用由造成质量缺陷的责任方承担。</w:t>
      </w:r>
    </w:p>
    <w:p w14:paraId="28E01A35">
      <w:pPr>
        <w:pStyle w:val="19"/>
        <w:numPr>
          <w:ilvl w:val="0"/>
          <w:numId w:val="0"/>
        </w:numPr>
        <w:spacing w:after="0" w:line="440" w:lineRule="exact"/>
        <w:ind w:leftChars="0" w:firstLine="422" w:firstLineChars="200"/>
        <w:jc w:val="left"/>
        <w:rPr>
          <w:rFonts w:hint="eastAsia" w:ascii="宋体" w:hAnsi="宋体" w:cs="宋体"/>
          <w:color w:val="auto"/>
          <w:szCs w:val="21"/>
          <w:highlight w:val="none"/>
        </w:rPr>
      </w:pPr>
      <w:r>
        <w:rPr>
          <w:rFonts w:hint="eastAsia" w:ascii="宋体" w:hAnsi="宋体" w:cs="宋体"/>
          <w:b/>
          <w:color w:val="auto"/>
          <w:szCs w:val="21"/>
          <w:highlight w:val="none"/>
        </w:rPr>
        <w:t>六、双方约定的其他工程质量保修事项：</w:t>
      </w:r>
      <w:r>
        <w:rPr>
          <w:rFonts w:hint="eastAsia" w:ascii="宋体" w:hAnsi="宋体" w:cs="宋体"/>
          <w:b/>
          <w:color w:val="auto"/>
          <w:szCs w:val="21"/>
          <w:highlight w:val="none"/>
          <w:u w:val="single"/>
        </w:rPr>
        <w:t xml:space="preserve"> </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在</w:t>
      </w:r>
      <w:r>
        <w:rPr>
          <w:rFonts w:hint="eastAsia" w:ascii="宋体" w:hAnsi="宋体" w:cs="宋体"/>
          <w:color w:val="auto"/>
          <w:szCs w:val="21"/>
          <w:highlight w:val="none"/>
        </w:rPr>
        <w:t>质量保修期内，承包人必须固定现场维修负责人及安排必要的现场维修人员，本项目维保负责人为：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联系地址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，电子邮件：</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，传真：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该负责人负责本工程保修事宜。该负责人如有变动，应报请发包人批准，并将变动后的人员及联系方式报发包人备案。未经发包人同意，承包人不得擅自更换维保负责人，否则，视为承包人未按约履行保修义务。该负责人通讯在每天8小时工作时间内必须保证畅通，</w:t>
      </w:r>
      <w:r>
        <w:rPr>
          <w:rFonts w:hint="eastAsia" w:ascii="宋体" w:hAnsi="宋体" w:cs="宋体"/>
          <w:color w:val="auto"/>
          <w:szCs w:val="21"/>
          <w:highlight w:val="none"/>
          <w:lang w:eastAsia="zh-CN"/>
        </w:rPr>
        <w:t>发包人</w:t>
      </w:r>
      <w:r>
        <w:rPr>
          <w:rFonts w:hint="eastAsia" w:ascii="宋体" w:hAnsi="宋体" w:cs="宋体"/>
          <w:color w:val="auto"/>
          <w:szCs w:val="21"/>
          <w:highlight w:val="none"/>
        </w:rPr>
        <w:t>或</w:t>
      </w:r>
      <w:r>
        <w:rPr>
          <w:rFonts w:hint="eastAsia" w:ascii="宋体" w:hAnsi="宋体" w:cs="宋体"/>
          <w:color w:val="auto"/>
          <w:szCs w:val="21"/>
          <w:highlight w:val="none"/>
          <w:lang w:eastAsia="zh-CN"/>
        </w:rPr>
        <w:t>发包人</w:t>
      </w:r>
      <w:r>
        <w:rPr>
          <w:rFonts w:hint="eastAsia" w:ascii="宋体" w:hAnsi="宋体" w:cs="宋体"/>
          <w:color w:val="auto"/>
          <w:szCs w:val="21"/>
          <w:highlight w:val="none"/>
        </w:rPr>
        <w:t>选聘的物业管理公司接到报修后24小时内无法联系该负责人的，视为承包人未按约履行维修义务。属于保修范围和内容的项目，承包人应在接到发包人保修通知之日后24小时内派人至现场勘察修理并在发包人指定的期限内修复。承包人认为保修通知要求的修复期限不合理的，应接到报修通知后1天内书面向发包人提出保修通知要求的修复期限不合理的理由和依据并申报延长修复期限，由发包人审核确认是否延长修复期限。发包人审核确认延长修复期限的，承包人应在发包人审核确认的修复期限内修复，否则，应在保修通知要求的期限内修复。</w:t>
      </w:r>
      <w:r>
        <w:rPr>
          <w:rFonts w:hint="eastAsia"/>
          <w:color w:val="auto"/>
          <w:highlight w:val="none"/>
          <w:lang w:val="en-US" w:eastAsia="zh-CN"/>
        </w:rPr>
        <w:t>如未在规定时间内进行维修的，每发现一次将处以10000元/次违约金，直接从质保金中扣除。</w:t>
      </w:r>
    </w:p>
    <w:p w14:paraId="71D00394">
      <w:pPr>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发生须紧急抢修事故(如上下跑水、暖气漏水漏气、燃气漏气等)，承包人接到事故通知后，应立即到达事故现场抢修并在发包人指定的期限内修复。承包人认为保修通知要求的修复期限不合理的，应接到报修通知后1天内书面向发包人提出保修通知要求的修复期限不合理的理由和依据并申报延长修复期限，由发包人审核确认是否延长修复期限。发包人审核确认延长修复期限的，承包人应在发包人审核确认的修复期限内修复，否则，应在保修通知要求的期限内修复。</w:t>
      </w:r>
    </w:p>
    <w:p w14:paraId="09A1FE74">
      <w:pPr>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在国家规定的工程合理使用期限内，承包人确保地基基础工程和主体结构的质量。因承包人原因致使工程在合理使用期限内造成人身和财产损害，承包人应承担损害赔偿责任。</w:t>
      </w:r>
    </w:p>
    <w:p w14:paraId="7BF5C278">
      <w:pPr>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承包人不在上述约定期限内派人保修或在发包人指定或承包人报请并经发包人确认的期限内不修复完毕，或同一质量问题经承包人两次维修仍未能彻底解决的，或承包人有其它未按约履行保修义务情形，且在发包人书面催告的期限内仍未整改的，发包人可以在确定缺陷的范围后委托第三方维修，维修费用由承包人承担，维修费用具体金额以发包人和第三方施工单位签字盖章确认金额为准，承包人无条件接受。发包人有权从质量保修金或应支付给承包人的任何款项中直接扣除前述第三方维修费用，并有权追偿不足部分因承包人原因致使工程在合理使用期限内造成人身和财产损害，承包人应承担损害赔偿责任。</w:t>
      </w:r>
    </w:p>
    <w:p w14:paraId="66A480A4">
      <w:pPr>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因承包人施工质量或未按约履行保修义务或实施维修工作等原因导致发包人或第三方损失的，承包人应承担发包人因此遭受的违约金、赔偿金、律师费、诉讼费、仲裁费、鉴定费及其它费用等损失的赔偿责任。前述发包人向第三方支付的违约金、赔偿金等以发包人与相关第三方签订的赔偿协议及支付凭证为准，承包人无条件接受。发包人有权直接从质量保证金或任何其它应付给承包人的款项扣除上述款项并向承包人追偿不足部分。</w:t>
      </w:r>
    </w:p>
    <w:p w14:paraId="5C6369B2">
      <w:pPr>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承包人认为发包人通知保修的质量问题不属承包人原因造成的，承包人必须在该质量问题保修通知后1天内提供充分有效证据证明自己无责任，承包人未按时提供有效证据或者提供的证据不充分或者提供的证据无效的，视为该质量问题属承包人原因造成的，承包人必须无条件依约承担保修责任。</w:t>
      </w:r>
    </w:p>
    <w:p w14:paraId="5392500F">
      <w:pPr>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7</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承包人保修维修过程中应做好现场保护并做好标识，维修完毕，应恢复其原样。每次质量保修工作完成，且承包人将施工现场清理干净后，由发包人组织验收，承包人应取得发包人签字盖章确认该次质量保修工作通过验收的书面文件，方视为承包人履行完毕该次质量保修义务。</w:t>
      </w:r>
    </w:p>
    <w:p w14:paraId="53C2AFF0">
      <w:pPr>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8</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发包人因在质保金中扣除或追偿本质量保修书项下应由承包人承担的违约金、赔偿金、损失及相关费用而发生的诉讼费、律师费、鉴定费等费用由承包人承担。</w:t>
      </w:r>
    </w:p>
    <w:p w14:paraId="7149D179">
      <w:pPr>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9</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本质量保修书中所指的发包人保修通知方式包括：直接送交、电话、传真、邮寄、手机短信、电子邮件等，采用其中任意一种方式进行通知均为有效。前述通知方式的收讫确认为：</w:t>
      </w:r>
    </w:p>
    <w:p w14:paraId="6177EF2F">
      <w:pPr>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直接送交的，以承包人相关工作人员签收时为收讫；如发包人将通知送到承包人办公地址后，承包人相关工作人员拒绝签收的，发包人将该通知留在承包人办公场所后，视为该通知内容已送达给承包人，由此造成的一切责任及后果由承包人承担。</w:t>
      </w:r>
    </w:p>
    <w:p w14:paraId="7DBD701B">
      <w:pPr>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电话、传真、电子邮件、手机短信等以确认发出时为收讫；如发包人按承包人提供的联系电话、传真、电子邮件地址拨打电话或发出传真、电子邮件、手机短信，而联系电话、传真、电子邮件地址不通或者被拒绝接收的，视为该通知内容已送达给承包人，由此造成的一切责任及后果由承包人承担。前述事实的确认发包人可以采用但不限于照相、录像、录音、电话记录、传真记录、电话清单、邮件保存、短信保存等任何一种方式进行均为有效。</w:t>
      </w:r>
    </w:p>
    <w:p w14:paraId="39AAEB1B">
      <w:pPr>
        <w:adjustRightInd w:val="0"/>
        <w:snapToGrid w:val="0"/>
        <w:spacing w:line="360" w:lineRule="auto"/>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rPr>
        <w:t>（3）邮寄以承包人相关工作人员签收之时或发出邮件（以邮戳为准）后第三日的中午12时为收讫（以先到达的时间为准）；如发包人按联络地址向承包人发出邮件后，而邮件被退回或者被拒收的，自发出邮件（以邮戳为准）后第三日的中午12时即视为该邮件内容已送达给承包人，由此造成的一切责任及后果由承包人承担。</w:t>
      </w:r>
    </w:p>
    <w:p w14:paraId="4E8D3A4A">
      <w:pPr>
        <w:adjustRightInd w:val="0"/>
        <w:snapToGrid w:val="0"/>
        <w:spacing w:line="360" w:lineRule="auto"/>
        <w:ind w:firstLine="399" w:firstLineChars="190"/>
        <w:rPr>
          <w:rFonts w:hint="eastAsia" w:ascii="宋体" w:hAnsi="宋体" w:cs="宋体"/>
          <w:color w:val="auto"/>
          <w:szCs w:val="21"/>
          <w:highlight w:val="none"/>
        </w:rPr>
      </w:pPr>
      <w:r>
        <w:rPr>
          <w:rFonts w:hint="eastAsia" w:ascii="宋体" w:hAnsi="宋体" w:cs="宋体"/>
          <w:color w:val="auto"/>
          <w:szCs w:val="21"/>
          <w:highlight w:val="none"/>
        </w:rPr>
        <w:t>工程质量保修书由发包人、承包人在工程竣工验收前共同签署，作为施工合同附件，其有效期限至保修期满。</w:t>
      </w:r>
    </w:p>
    <w:p w14:paraId="1C415F61">
      <w:pPr>
        <w:adjustRightInd w:val="0"/>
        <w:snapToGrid w:val="0"/>
        <w:spacing w:line="360" w:lineRule="auto"/>
        <w:ind w:firstLine="420"/>
        <w:rPr>
          <w:rFonts w:hint="eastAsia" w:ascii="宋体" w:hAnsi="宋体" w:cs="宋体"/>
          <w:color w:val="auto"/>
          <w:szCs w:val="21"/>
          <w:highlight w:val="none"/>
        </w:rPr>
      </w:pPr>
    </w:p>
    <w:p w14:paraId="70C319C5">
      <w:pPr>
        <w:adjustRightInd w:val="0"/>
        <w:snapToGrid w:val="0"/>
        <w:spacing w:line="360" w:lineRule="auto"/>
        <w:ind w:firstLine="420"/>
        <w:rPr>
          <w:rFonts w:hint="eastAsia" w:ascii="宋体" w:hAnsi="宋体" w:cs="宋体"/>
          <w:color w:val="auto"/>
          <w:szCs w:val="21"/>
          <w:highlight w:val="none"/>
        </w:rPr>
      </w:pPr>
    </w:p>
    <w:p w14:paraId="6BDA0674">
      <w:pPr>
        <w:adjustRightInd w:val="0"/>
        <w:snapToGrid w:val="0"/>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发包人(公章)：</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 xml:space="preserve">                     承包人(公章)：</w:t>
      </w:r>
      <w:r>
        <w:rPr>
          <w:rFonts w:hint="eastAsia" w:ascii="宋体" w:hAnsi="宋体" w:cs="宋体"/>
          <w:color w:val="auto"/>
          <w:szCs w:val="21"/>
          <w:highlight w:val="none"/>
          <w:u w:val="single"/>
        </w:rPr>
        <w:t xml:space="preserve">           </w:t>
      </w:r>
    </w:p>
    <w:p w14:paraId="43191AD1">
      <w:pPr>
        <w:adjustRightInd w:val="0"/>
        <w:snapToGrid w:val="0"/>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地  址：</w:t>
      </w:r>
      <w:r>
        <w:rPr>
          <w:rFonts w:hint="eastAsia" w:ascii="宋体" w:hAnsi="宋体" w:cs="宋体"/>
          <w:color w:val="auto"/>
          <w:szCs w:val="21"/>
          <w:highlight w:val="none"/>
          <w:u w:val="single"/>
        </w:rPr>
        <w:t xml:space="preserve">                    </w:t>
      </w:r>
    </w:p>
    <w:p w14:paraId="2BAB6E85">
      <w:pPr>
        <w:adjustRightInd w:val="0"/>
        <w:snapToGrid w:val="0"/>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法定代表人(签字)：</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法定代表人(签字)：</w:t>
      </w:r>
      <w:r>
        <w:rPr>
          <w:rFonts w:hint="eastAsia" w:ascii="宋体" w:hAnsi="宋体" w:cs="宋体"/>
          <w:color w:val="auto"/>
          <w:szCs w:val="21"/>
          <w:highlight w:val="none"/>
          <w:u w:val="single"/>
        </w:rPr>
        <w:t xml:space="preserve">           </w:t>
      </w:r>
    </w:p>
    <w:p w14:paraId="5740AE83">
      <w:pPr>
        <w:adjustRightInd w:val="0"/>
        <w:snapToGrid w:val="0"/>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委托代理人(签字)：</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委托代理人(签字)：</w:t>
      </w:r>
      <w:r>
        <w:rPr>
          <w:rFonts w:hint="eastAsia" w:ascii="宋体" w:hAnsi="宋体" w:cs="宋体"/>
          <w:color w:val="auto"/>
          <w:szCs w:val="21"/>
          <w:highlight w:val="none"/>
          <w:u w:val="single"/>
        </w:rPr>
        <w:t xml:space="preserve">            </w:t>
      </w:r>
    </w:p>
    <w:p w14:paraId="6426C898">
      <w:pPr>
        <w:adjustRightInd w:val="0"/>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电  话：</w:t>
      </w:r>
      <w:r>
        <w:rPr>
          <w:rFonts w:hint="eastAsia" w:ascii="宋体" w:hAnsi="宋体" w:cs="宋体"/>
          <w:color w:val="auto"/>
          <w:szCs w:val="21"/>
          <w:highlight w:val="none"/>
          <w:u w:val="single"/>
        </w:rPr>
        <w:t xml:space="preserve">                     </w:t>
      </w:r>
    </w:p>
    <w:p w14:paraId="578B8E75">
      <w:pPr>
        <w:adjustRightInd w:val="0"/>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传  真：</w:t>
      </w:r>
      <w:r>
        <w:rPr>
          <w:rFonts w:hint="eastAsia" w:ascii="宋体" w:hAnsi="宋体" w:cs="宋体"/>
          <w:color w:val="auto"/>
          <w:szCs w:val="21"/>
          <w:highlight w:val="none"/>
          <w:u w:val="single"/>
        </w:rPr>
        <w:t xml:space="preserve">                   </w:t>
      </w:r>
    </w:p>
    <w:p w14:paraId="5CEFE390">
      <w:pPr>
        <w:adjustRightInd w:val="0"/>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开户银行：</w:t>
      </w:r>
      <w:r>
        <w:rPr>
          <w:rFonts w:hint="eastAsia" w:ascii="宋体" w:hAnsi="宋体" w:cs="宋体"/>
          <w:color w:val="auto"/>
          <w:szCs w:val="21"/>
          <w:highlight w:val="none"/>
          <w:u w:val="single"/>
        </w:rPr>
        <w:t xml:space="preserve">                   </w:t>
      </w:r>
    </w:p>
    <w:p w14:paraId="0EC3F580">
      <w:pPr>
        <w:adjustRightInd w:val="0"/>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账  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账  号：</w:t>
      </w:r>
      <w:r>
        <w:rPr>
          <w:rFonts w:hint="eastAsia" w:ascii="宋体" w:hAnsi="宋体" w:cs="宋体"/>
          <w:color w:val="auto"/>
          <w:szCs w:val="21"/>
          <w:highlight w:val="none"/>
          <w:u w:val="single"/>
        </w:rPr>
        <w:t xml:space="preserve">                     </w:t>
      </w:r>
    </w:p>
    <w:p w14:paraId="547E4003">
      <w:pPr>
        <w:adjustRightInd w:val="0"/>
        <w:snapToGrid w:val="0"/>
        <w:spacing w:line="360" w:lineRule="auto"/>
        <w:rPr>
          <w:rFonts w:hint="eastAsia" w:ascii="宋体" w:hAnsi="宋体" w:cs="宋体"/>
          <w:color w:val="auto"/>
          <w:sz w:val="24"/>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邮政编码：</w:t>
      </w:r>
      <w:r>
        <w:rPr>
          <w:rFonts w:hint="eastAsia" w:ascii="宋体" w:hAnsi="宋体" w:cs="宋体"/>
          <w:color w:val="auto"/>
          <w:szCs w:val="21"/>
          <w:highlight w:val="none"/>
          <w:u w:val="single"/>
        </w:rPr>
        <w:t xml:space="preserve">                   </w:t>
      </w:r>
    </w:p>
    <w:p w14:paraId="6E8197EE">
      <w:pPr>
        <w:widowControl/>
        <w:jc w:val="left"/>
        <w:rPr>
          <w:rFonts w:hint="eastAsia" w:ascii="宋体" w:hAnsi="宋体" w:cs="宋体"/>
          <w:b/>
          <w:color w:val="auto"/>
          <w:sz w:val="24"/>
          <w:highlight w:val="none"/>
        </w:rPr>
      </w:pPr>
    </w:p>
    <w:p w14:paraId="3F0D786A">
      <w:pPr>
        <w:pStyle w:val="19"/>
        <w:rPr>
          <w:rFonts w:hint="eastAsia"/>
          <w:color w:val="auto"/>
          <w:highlight w:val="none"/>
        </w:rPr>
      </w:pPr>
    </w:p>
    <w:p w14:paraId="06254084">
      <w:pPr>
        <w:rPr>
          <w:rFonts w:hint="eastAsia"/>
          <w:color w:val="auto"/>
          <w:highlight w:val="none"/>
        </w:rPr>
      </w:pPr>
    </w:p>
    <w:p w14:paraId="5A3A02F1">
      <w:pPr>
        <w:pStyle w:val="19"/>
        <w:rPr>
          <w:rFonts w:hint="eastAsia"/>
          <w:color w:val="auto"/>
          <w:highlight w:val="none"/>
        </w:rPr>
      </w:pPr>
    </w:p>
    <w:p w14:paraId="48FA330D">
      <w:pPr>
        <w:rPr>
          <w:rFonts w:hint="eastAsia"/>
          <w:color w:val="auto"/>
          <w:highlight w:val="none"/>
        </w:rPr>
      </w:pPr>
    </w:p>
    <w:p w14:paraId="1BC31D80">
      <w:pPr>
        <w:pStyle w:val="19"/>
        <w:rPr>
          <w:rFonts w:hint="eastAsia"/>
          <w:color w:val="auto"/>
          <w:highlight w:val="none"/>
        </w:rPr>
      </w:pPr>
    </w:p>
    <w:p w14:paraId="51775396">
      <w:pPr>
        <w:rPr>
          <w:rFonts w:hint="eastAsia"/>
          <w:color w:val="auto"/>
          <w:highlight w:val="none"/>
        </w:rPr>
      </w:pPr>
    </w:p>
    <w:p w14:paraId="1B3EADBA">
      <w:pPr>
        <w:pStyle w:val="19"/>
        <w:rPr>
          <w:rFonts w:hint="eastAsia"/>
          <w:color w:val="auto"/>
          <w:highlight w:val="none"/>
        </w:rPr>
      </w:pPr>
    </w:p>
    <w:p w14:paraId="1C88F66C">
      <w:pPr>
        <w:rPr>
          <w:rFonts w:hint="eastAsia"/>
          <w:color w:val="auto"/>
          <w:highlight w:val="none"/>
        </w:rPr>
      </w:pPr>
    </w:p>
    <w:p w14:paraId="65DECA00">
      <w:pPr>
        <w:pStyle w:val="19"/>
        <w:rPr>
          <w:rFonts w:hint="eastAsia"/>
          <w:color w:val="auto"/>
          <w:highlight w:val="none"/>
        </w:rPr>
      </w:pPr>
    </w:p>
    <w:p w14:paraId="2411C71D">
      <w:pPr>
        <w:rPr>
          <w:rFonts w:hint="eastAsia"/>
          <w:color w:val="auto"/>
          <w:highlight w:val="none"/>
        </w:rPr>
      </w:pPr>
    </w:p>
    <w:p w14:paraId="3525E272">
      <w:pPr>
        <w:pStyle w:val="19"/>
        <w:rPr>
          <w:rFonts w:hint="eastAsia"/>
          <w:color w:val="auto"/>
          <w:highlight w:val="none"/>
        </w:rPr>
      </w:pPr>
    </w:p>
    <w:p w14:paraId="44EFDB37">
      <w:pPr>
        <w:rPr>
          <w:rFonts w:hint="eastAsia"/>
          <w:color w:val="auto"/>
          <w:highlight w:val="none"/>
        </w:rPr>
      </w:pPr>
    </w:p>
    <w:p w14:paraId="6EFB2D65">
      <w:pPr>
        <w:pStyle w:val="19"/>
        <w:rPr>
          <w:rFonts w:hint="eastAsia"/>
          <w:color w:val="auto"/>
          <w:highlight w:val="none"/>
        </w:rPr>
      </w:pPr>
    </w:p>
    <w:p w14:paraId="17F87395">
      <w:pPr>
        <w:rPr>
          <w:rFonts w:hint="eastAsia"/>
          <w:color w:val="auto"/>
          <w:highlight w:val="none"/>
        </w:rPr>
      </w:pPr>
    </w:p>
    <w:p w14:paraId="6BCB259C">
      <w:pPr>
        <w:pStyle w:val="19"/>
        <w:rPr>
          <w:rFonts w:hint="eastAsia"/>
          <w:color w:val="auto"/>
          <w:highlight w:val="none"/>
        </w:rPr>
      </w:pPr>
    </w:p>
    <w:p w14:paraId="3AB36425">
      <w:pPr>
        <w:rPr>
          <w:rFonts w:hint="eastAsia"/>
          <w:color w:val="auto"/>
          <w:highlight w:val="none"/>
        </w:rPr>
      </w:pPr>
    </w:p>
    <w:p w14:paraId="6D1DE0FC">
      <w:pPr>
        <w:pStyle w:val="19"/>
        <w:rPr>
          <w:rFonts w:hint="eastAsia"/>
          <w:color w:val="auto"/>
          <w:highlight w:val="none"/>
        </w:rPr>
      </w:pPr>
    </w:p>
    <w:p w14:paraId="30DA6F93">
      <w:pPr>
        <w:rPr>
          <w:rFonts w:hint="eastAsia"/>
          <w:color w:val="auto"/>
          <w:highlight w:val="none"/>
        </w:rPr>
      </w:pPr>
    </w:p>
    <w:p w14:paraId="7C9C2577">
      <w:pPr>
        <w:pStyle w:val="19"/>
        <w:rPr>
          <w:rFonts w:hint="eastAsia"/>
          <w:color w:val="auto"/>
          <w:highlight w:val="none"/>
        </w:rPr>
      </w:pPr>
    </w:p>
    <w:p w14:paraId="759CC15C">
      <w:pPr>
        <w:rPr>
          <w:rFonts w:hint="eastAsia"/>
          <w:color w:val="auto"/>
          <w:highlight w:val="none"/>
        </w:rPr>
      </w:pPr>
    </w:p>
    <w:p w14:paraId="349C7C8B">
      <w:pPr>
        <w:pStyle w:val="19"/>
        <w:rPr>
          <w:rFonts w:hint="eastAsia"/>
          <w:color w:val="auto"/>
          <w:highlight w:val="none"/>
        </w:rPr>
      </w:pPr>
    </w:p>
    <w:p w14:paraId="2D7EE93D">
      <w:pPr>
        <w:keepNext/>
        <w:keepLines/>
        <w:spacing w:before="120" w:after="120" w:line="360" w:lineRule="auto"/>
        <w:jc w:val="left"/>
        <w:outlineLvl w:val="2"/>
        <w:rPr>
          <w:rFonts w:ascii="宋体" w:hAnsi="宋体" w:cs="宋体"/>
          <w:bCs/>
          <w:color w:val="auto"/>
          <w:sz w:val="24"/>
          <w:highlight w:val="none"/>
        </w:rPr>
        <w:sectPr>
          <w:footnotePr>
            <w:numFmt w:val="decimalEnclosedCircleChinese"/>
            <w:numRestart w:val="eachPage"/>
          </w:footnotePr>
          <w:pgSz w:w="11907" w:h="16840"/>
          <w:pgMar w:top="1474" w:right="1474" w:bottom="1474" w:left="1474" w:header="799" w:footer="907" w:gutter="0"/>
          <w:pgNumType w:fmt="numberInDash"/>
          <w:cols w:space="720" w:num="1"/>
          <w:docGrid w:linePitch="271" w:charSpace="0"/>
        </w:sectPr>
      </w:pPr>
      <w:bookmarkStart w:id="1288" w:name="_Toc95223489"/>
    </w:p>
    <w:bookmarkEnd w:id="1288"/>
    <w:p w14:paraId="3E756BFB">
      <w:pPr>
        <w:keepNext/>
        <w:keepLines/>
        <w:spacing w:before="120" w:after="120" w:line="360" w:lineRule="auto"/>
        <w:jc w:val="left"/>
        <w:outlineLvl w:val="2"/>
        <w:rPr>
          <w:rFonts w:hint="eastAsia" w:ascii="宋体" w:hAnsi="宋体" w:cs="宋体"/>
          <w:bCs/>
          <w:color w:val="auto"/>
          <w:sz w:val="24"/>
          <w:highlight w:val="none"/>
        </w:rPr>
      </w:pPr>
      <w:bookmarkStart w:id="1289" w:name="_Toc95223490"/>
      <w:r>
        <w:rPr>
          <w:rFonts w:hint="eastAsia" w:ascii="宋体" w:hAnsi="宋体" w:cs="宋体"/>
          <w:bCs/>
          <w:color w:val="auto"/>
          <w:sz w:val="24"/>
          <w:highlight w:val="none"/>
        </w:rPr>
        <w:t>附件4：主要建设工程文件目录</w:t>
      </w:r>
      <w:bookmarkEnd w:id="1289"/>
    </w:p>
    <w:p w14:paraId="31702C5C">
      <w:pPr>
        <w:spacing w:before="120" w:beforeLines="50" w:after="120" w:afterLines="50"/>
        <w:jc w:val="center"/>
        <w:rPr>
          <w:rFonts w:hint="eastAsia" w:ascii="宋体" w:hAnsi="宋体" w:cs="宋体"/>
          <w:color w:val="auto"/>
          <w:szCs w:val="21"/>
          <w:highlight w:val="none"/>
        </w:rPr>
      </w:pPr>
      <w:r>
        <w:rPr>
          <w:rFonts w:hint="eastAsia" w:ascii="宋体" w:hAnsi="宋体" w:cs="宋体"/>
          <w:color w:val="auto"/>
          <w:szCs w:val="21"/>
          <w:highlight w:val="none"/>
        </w:rPr>
        <w:t>主要建设工程文件目录</w:t>
      </w:r>
    </w:p>
    <w:tbl>
      <w:tblPr>
        <w:tblStyle w:val="2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363367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953" w:type="dxa"/>
            <w:tcBorders>
              <w:top w:val="single" w:color="auto" w:sz="12" w:space="0"/>
              <w:bottom w:val="double" w:color="auto" w:sz="6" w:space="0"/>
            </w:tcBorders>
            <w:noWrap w:val="0"/>
            <w:vAlign w:val="center"/>
          </w:tcPr>
          <w:p w14:paraId="0D0DFD33">
            <w:pPr>
              <w:keepNext/>
              <w:rPr>
                <w:rFonts w:hint="eastAsia" w:ascii="宋体" w:hAnsi="宋体" w:cs="宋体"/>
                <w:color w:val="auto"/>
                <w:szCs w:val="21"/>
                <w:highlight w:val="none"/>
              </w:rPr>
            </w:pPr>
            <w:r>
              <w:rPr>
                <w:rFonts w:hint="eastAsia" w:ascii="宋体" w:hAnsi="宋体" w:cs="宋体"/>
                <w:color w:val="auto"/>
                <w:szCs w:val="21"/>
                <w:highlight w:val="none"/>
              </w:rPr>
              <w:t>文件名称</w:t>
            </w:r>
          </w:p>
        </w:tc>
        <w:tc>
          <w:tcPr>
            <w:tcW w:w="1276" w:type="dxa"/>
            <w:tcBorders>
              <w:top w:val="single" w:color="auto" w:sz="12" w:space="0"/>
              <w:bottom w:val="double" w:color="auto" w:sz="6" w:space="0"/>
            </w:tcBorders>
            <w:noWrap w:val="0"/>
            <w:vAlign w:val="center"/>
          </w:tcPr>
          <w:p w14:paraId="0A43F1A7">
            <w:pPr>
              <w:keepNext/>
              <w:rPr>
                <w:rFonts w:hint="eastAsia" w:ascii="宋体" w:hAnsi="宋体" w:cs="宋体"/>
                <w:color w:val="auto"/>
                <w:szCs w:val="21"/>
                <w:highlight w:val="none"/>
              </w:rPr>
            </w:pPr>
            <w:r>
              <w:rPr>
                <w:rFonts w:hint="eastAsia" w:ascii="宋体" w:hAnsi="宋体" w:cs="宋体"/>
                <w:color w:val="auto"/>
                <w:szCs w:val="21"/>
                <w:highlight w:val="none"/>
              </w:rPr>
              <w:t>套数</w:t>
            </w:r>
          </w:p>
        </w:tc>
        <w:tc>
          <w:tcPr>
            <w:tcW w:w="1450" w:type="dxa"/>
            <w:tcBorders>
              <w:top w:val="single" w:color="auto" w:sz="12" w:space="0"/>
              <w:bottom w:val="double" w:color="auto" w:sz="6" w:space="0"/>
            </w:tcBorders>
            <w:noWrap w:val="0"/>
            <w:vAlign w:val="center"/>
          </w:tcPr>
          <w:p w14:paraId="6A176563">
            <w:pPr>
              <w:keepNext/>
              <w:rPr>
                <w:rFonts w:hint="eastAsia" w:ascii="宋体" w:hAnsi="宋体" w:cs="宋体"/>
                <w:color w:val="auto"/>
                <w:szCs w:val="21"/>
                <w:highlight w:val="none"/>
              </w:rPr>
            </w:pPr>
            <w:r>
              <w:rPr>
                <w:rFonts w:hint="eastAsia" w:ascii="宋体" w:hAnsi="宋体" w:cs="宋体"/>
                <w:color w:val="auto"/>
                <w:szCs w:val="21"/>
                <w:highlight w:val="none"/>
              </w:rPr>
              <w:t>费用（元）</w:t>
            </w:r>
          </w:p>
        </w:tc>
        <w:tc>
          <w:tcPr>
            <w:tcW w:w="1243" w:type="dxa"/>
            <w:tcBorders>
              <w:top w:val="single" w:color="auto" w:sz="12" w:space="0"/>
              <w:bottom w:val="double" w:color="auto" w:sz="6" w:space="0"/>
            </w:tcBorders>
            <w:noWrap w:val="0"/>
            <w:vAlign w:val="center"/>
          </w:tcPr>
          <w:p w14:paraId="18A5FA8C">
            <w:pPr>
              <w:keepNext/>
              <w:rPr>
                <w:rFonts w:hint="eastAsia" w:ascii="宋体" w:hAnsi="宋体" w:cs="宋体"/>
                <w:color w:val="auto"/>
                <w:szCs w:val="21"/>
                <w:highlight w:val="none"/>
              </w:rPr>
            </w:pPr>
            <w:r>
              <w:rPr>
                <w:rFonts w:hint="eastAsia" w:ascii="宋体" w:hAnsi="宋体" w:cs="宋体"/>
                <w:color w:val="auto"/>
                <w:szCs w:val="21"/>
                <w:highlight w:val="none"/>
              </w:rPr>
              <w:t>质量</w:t>
            </w:r>
          </w:p>
        </w:tc>
        <w:tc>
          <w:tcPr>
            <w:tcW w:w="1450" w:type="dxa"/>
            <w:tcBorders>
              <w:top w:val="single" w:color="auto" w:sz="12" w:space="0"/>
              <w:bottom w:val="double" w:color="auto" w:sz="6" w:space="0"/>
            </w:tcBorders>
            <w:noWrap w:val="0"/>
            <w:vAlign w:val="top"/>
          </w:tcPr>
          <w:p w14:paraId="41377AD7">
            <w:pPr>
              <w:rPr>
                <w:rFonts w:hint="eastAsia" w:ascii="宋体" w:hAnsi="宋体" w:cs="宋体"/>
                <w:color w:val="auto"/>
                <w:szCs w:val="21"/>
                <w:highlight w:val="none"/>
              </w:rPr>
            </w:pPr>
            <w:r>
              <w:rPr>
                <w:rFonts w:hint="eastAsia" w:ascii="宋体" w:hAnsi="宋体" w:cs="宋体"/>
                <w:color w:val="auto"/>
                <w:szCs w:val="21"/>
                <w:highlight w:val="none"/>
              </w:rPr>
              <w:t>移交时间</w:t>
            </w:r>
          </w:p>
        </w:tc>
        <w:tc>
          <w:tcPr>
            <w:tcW w:w="1667" w:type="dxa"/>
            <w:tcBorders>
              <w:top w:val="single" w:color="auto" w:sz="12" w:space="0"/>
              <w:bottom w:val="double" w:color="auto" w:sz="6" w:space="0"/>
            </w:tcBorders>
            <w:noWrap w:val="0"/>
            <w:vAlign w:val="top"/>
          </w:tcPr>
          <w:p w14:paraId="1FC636E7">
            <w:pPr>
              <w:rPr>
                <w:rFonts w:hint="eastAsia" w:ascii="宋体" w:hAnsi="宋体" w:cs="宋体"/>
                <w:color w:val="auto"/>
                <w:szCs w:val="21"/>
                <w:highlight w:val="none"/>
              </w:rPr>
            </w:pPr>
            <w:r>
              <w:rPr>
                <w:rFonts w:hint="eastAsia" w:ascii="宋体" w:hAnsi="宋体" w:cs="宋体"/>
                <w:color w:val="auto"/>
                <w:szCs w:val="21"/>
                <w:highlight w:val="none"/>
              </w:rPr>
              <w:t>责任人</w:t>
            </w:r>
          </w:p>
        </w:tc>
      </w:tr>
      <w:tr w14:paraId="07874E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double" w:color="auto" w:sz="6" w:space="0"/>
            </w:tcBorders>
            <w:noWrap w:val="0"/>
            <w:vAlign w:val="center"/>
          </w:tcPr>
          <w:p w14:paraId="2979160B">
            <w:pPr>
              <w:keepNext/>
              <w:rPr>
                <w:rFonts w:hint="eastAsia" w:ascii="宋体" w:hAnsi="宋体" w:cs="宋体"/>
                <w:color w:val="auto"/>
                <w:szCs w:val="21"/>
                <w:highlight w:val="none"/>
              </w:rPr>
            </w:pPr>
          </w:p>
        </w:tc>
        <w:tc>
          <w:tcPr>
            <w:tcW w:w="1276" w:type="dxa"/>
            <w:tcBorders>
              <w:top w:val="double" w:color="auto" w:sz="6" w:space="0"/>
            </w:tcBorders>
            <w:noWrap w:val="0"/>
            <w:vAlign w:val="center"/>
          </w:tcPr>
          <w:p w14:paraId="056E4DE2">
            <w:pPr>
              <w:keepNext/>
              <w:rPr>
                <w:rFonts w:hint="eastAsia" w:ascii="宋体" w:hAnsi="宋体" w:cs="宋体"/>
                <w:color w:val="auto"/>
                <w:szCs w:val="21"/>
                <w:highlight w:val="none"/>
              </w:rPr>
            </w:pPr>
          </w:p>
        </w:tc>
        <w:tc>
          <w:tcPr>
            <w:tcW w:w="1450" w:type="dxa"/>
            <w:tcBorders>
              <w:top w:val="double" w:color="auto" w:sz="6" w:space="0"/>
            </w:tcBorders>
            <w:noWrap w:val="0"/>
            <w:vAlign w:val="center"/>
          </w:tcPr>
          <w:p w14:paraId="7181C1E2">
            <w:pPr>
              <w:keepNext/>
              <w:rPr>
                <w:rFonts w:hint="eastAsia" w:ascii="宋体" w:hAnsi="宋体" w:cs="宋体"/>
                <w:color w:val="auto"/>
                <w:szCs w:val="21"/>
                <w:highlight w:val="none"/>
              </w:rPr>
            </w:pPr>
          </w:p>
        </w:tc>
        <w:tc>
          <w:tcPr>
            <w:tcW w:w="1243" w:type="dxa"/>
            <w:tcBorders>
              <w:top w:val="double" w:color="auto" w:sz="6" w:space="0"/>
            </w:tcBorders>
            <w:noWrap w:val="0"/>
            <w:vAlign w:val="center"/>
          </w:tcPr>
          <w:p w14:paraId="15360AFC">
            <w:pPr>
              <w:keepNext/>
              <w:rPr>
                <w:rFonts w:hint="eastAsia" w:ascii="宋体" w:hAnsi="宋体" w:cs="宋体"/>
                <w:color w:val="auto"/>
                <w:szCs w:val="21"/>
                <w:highlight w:val="none"/>
              </w:rPr>
            </w:pPr>
          </w:p>
        </w:tc>
        <w:tc>
          <w:tcPr>
            <w:tcW w:w="1450" w:type="dxa"/>
            <w:tcBorders>
              <w:top w:val="double" w:color="auto" w:sz="6" w:space="0"/>
            </w:tcBorders>
            <w:noWrap w:val="0"/>
            <w:vAlign w:val="center"/>
          </w:tcPr>
          <w:p w14:paraId="4B58E8FD">
            <w:pPr>
              <w:keepNext/>
              <w:rPr>
                <w:rFonts w:hint="eastAsia" w:ascii="宋体" w:hAnsi="宋体" w:cs="宋体"/>
                <w:color w:val="auto"/>
                <w:szCs w:val="21"/>
                <w:highlight w:val="none"/>
              </w:rPr>
            </w:pPr>
          </w:p>
        </w:tc>
        <w:tc>
          <w:tcPr>
            <w:tcW w:w="1667" w:type="dxa"/>
            <w:tcBorders>
              <w:top w:val="double" w:color="auto" w:sz="6" w:space="0"/>
            </w:tcBorders>
            <w:noWrap w:val="0"/>
            <w:vAlign w:val="center"/>
          </w:tcPr>
          <w:p w14:paraId="6057C33E">
            <w:pPr>
              <w:keepNext/>
              <w:rPr>
                <w:rFonts w:hint="eastAsia" w:ascii="宋体" w:hAnsi="宋体" w:cs="宋体"/>
                <w:color w:val="auto"/>
                <w:szCs w:val="21"/>
                <w:highlight w:val="none"/>
              </w:rPr>
            </w:pPr>
          </w:p>
        </w:tc>
      </w:tr>
      <w:tr w14:paraId="176526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nil"/>
            </w:tcBorders>
            <w:noWrap w:val="0"/>
            <w:vAlign w:val="center"/>
          </w:tcPr>
          <w:p w14:paraId="2CB03CB4">
            <w:pPr>
              <w:keepNext/>
              <w:rPr>
                <w:rFonts w:hint="eastAsia" w:ascii="宋体" w:hAnsi="宋体" w:cs="宋体"/>
                <w:color w:val="auto"/>
                <w:szCs w:val="21"/>
                <w:highlight w:val="none"/>
              </w:rPr>
            </w:pPr>
          </w:p>
        </w:tc>
        <w:tc>
          <w:tcPr>
            <w:tcW w:w="1276" w:type="dxa"/>
            <w:tcBorders>
              <w:top w:val="nil"/>
            </w:tcBorders>
            <w:noWrap w:val="0"/>
            <w:vAlign w:val="center"/>
          </w:tcPr>
          <w:p w14:paraId="5A561891">
            <w:pPr>
              <w:keepNext/>
              <w:rPr>
                <w:rFonts w:hint="eastAsia" w:ascii="宋体" w:hAnsi="宋体" w:cs="宋体"/>
                <w:color w:val="auto"/>
                <w:szCs w:val="21"/>
                <w:highlight w:val="none"/>
              </w:rPr>
            </w:pPr>
          </w:p>
        </w:tc>
        <w:tc>
          <w:tcPr>
            <w:tcW w:w="1450" w:type="dxa"/>
            <w:tcBorders>
              <w:top w:val="nil"/>
            </w:tcBorders>
            <w:noWrap w:val="0"/>
            <w:vAlign w:val="center"/>
          </w:tcPr>
          <w:p w14:paraId="79D20F01">
            <w:pPr>
              <w:keepNext/>
              <w:rPr>
                <w:rFonts w:hint="eastAsia" w:ascii="宋体" w:hAnsi="宋体" w:cs="宋体"/>
                <w:color w:val="auto"/>
                <w:szCs w:val="21"/>
                <w:highlight w:val="none"/>
              </w:rPr>
            </w:pPr>
          </w:p>
        </w:tc>
        <w:tc>
          <w:tcPr>
            <w:tcW w:w="1243" w:type="dxa"/>
            <w:tcBorders>
              <w:top w:val="nil"/>
            </w:tcBorders>
            <w:noWrap w:val="0"/>
            <w:vAlign w:val="center"/>
          </w:tcPr>
          <w:p w14:paraId="3E2372CB">
            <w:pPr>
              <w:keepNext/>
              <w:rPr>
                <w:rFonts w:hint="eastAsia" w:ascii="宋体" w:hAnsi="宋体" w:cs="宋体"/>
                <w:color w:val="auto"/>
                <w:szCs w:val="21"/>
                <w:highlight w:val="none"/>
              </w:rPr>
            </w:pPr>
          </w:p>
        </w:tc>
        <w:tc>
          <w:tcPr>
            <w:tcW w:w="1450" w:type="dxa"/>
            <w:tcBorders>
              <w:top w:val="nil"/>
            </w:tcBorders>
            <w:noWrap w:val="0"/>
            <w:vAlign w:val="center"/>
          </w:tcPr>
          <w:p w14:paraId="627A37B4">
            <w:pPr>
              <w:keepNext/>
              <w:rPr>
                <w:rFonts w:hint="eastAsia" w:ascii="宋体" w:hAnsi="宋体" w:cs="宋体"/>
                <w:color w:val="auto"/>
                <w:szCs w:val="21"/>
                <w:highlight w:val="none"/>
              </w:rPr>
            </w:pPr>
          </w:p>
        </w:tc>
        <w:tc>
          <w:tcPr>
            <w:tcW w:w="1667" w:type="dxa"/>
            <w:tcBorders>
              <w:top w:val="nil"/>
            </w:tcBorders>
            <w:noWrap w:val="0"/>
            <w:vAlign w:val="center"/>
          </w:tcPr>
          <w:p w14:paraId="1BE2CEBB">
            <w:pPr>
              <w:keepNext/>
              <w:rPr>
                <w:rFonts w:hint="eastAsia" w:ascii="宋体" w:hAnsi="宋体" w:cs="宋体"/>
                <w:color w:val="auto"/>
                <w:szCs w:val="21"/>
                <w:highlight w:val="none"/>
              </w:rPr>
            </w:pPr>
          </w:p>
        </w:tc>
      </w:tr>
      <w:tr w14:paraId="5818FB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7EB02023">
            <w:pPr>
              <w:rPr>
                <w:rFonts w:hint="eastAsia" w:ascii="宋体" w:hAnsi="宋体" w:cs="宋体"/>
                <w:color w:val="auto"/>
                <w:szCs w:val="21"/>
                <w:highlight w:val="none"/>
              </w:rPr>
            </w:pPr>
          </w:p>
        </w:tc>
        <w:tc>
          <w:tcPr>
            <w:tcW w:w="1276" w:type="dxa"/>
            <w:noWrap w:val="0"/>
            <w:vAlign w:val="top"/>
          </w:tcPr>
          <w:p w14:paraId="1942460C">
            <w:pPr>
              <w:rPr>
                <w:rFonts w:hint="eastAsia" w:ascii="宋体" w:hAnsi="宋体" w:cs="宋体"/>
                <w:color w:val="auto"/>
                <w:szCs w:val="21"/>
                <w:highlight w:val="none"/>
              </w:rPr>
            </w:pPr>
          </w:p>
        </w:tc>
        <w:tc>
          <w:tcPr>
            <w:tcW w:w="1450" w:type="dxa"/>
            <w:noWrap w:val="0"/>
            <w:vAlign w:val="top"/>
          </w:tcPr>
          <w:p w14:paraId="02EC20FA">
            <w:pPr>
              <w:rPr>
                <w:rFonts w:hint="eastAsia" w:ascii="宋体" w:hAnsi="宋体" w:cs="宋体"/>
                <w:color w:val="auto"/>
                <w:szCs w:val="21"/>
                <w:highlight w:val="none"/>
              </w:rPr>
            </w:pPr>
          </w:p>
        </w:tc>
        <w:tc>
          <w:tcPr>
            <w:tcW w:w="1243" w:type="dxa"/>
            <w:noWrap w:val="0"/>
            <w:vAlign w:val="top"/>
          </w:tcPr>
          <w:p w14:paraId="24CD6A3B">
            <w:pPr>
              <w:rPr>
                <w:rFonts w:hint="eastAsia" w:ascii="宋体" w:hAnsi="宋体" w:cs="宋体"/>
                <w:color w:val="auto"/>
                <w:szCs w:val="21"/>
                <w:highlight w:val="none"/>
              </w:rPr>
            </w:pPr>
          </w:p>
        </w:tc>
        <w:tc>
          <w:tcPr>
            <w:tcW w:w="1450" w:type="dxa"/>
            <w:noWrap w:val="0"/>
            <w:vAlign w:val="top"/>
          </w:tcPr>
          <w:p w14:paraId="16056CE3">
            <w:pPr>
              <w:rPr>
                <w:rFonts w:hint="eastAsia" w:ascii="宋体" w:hAnsi="宋体" w:cs="宋体"/>
                <w:color w:val="auto"/>
                <w:szCs w:val="21"/>
                <w:highlight w:val="none"/>
              </w:rPr>
            </w:pPr>
          </w:p>
        </w:tc>
        <w:tc>
          <w:tcPr>
            <w:tcW w:w="1667" w:type="dxa"/>
            <w:noWrap w:val="0"/>
            <w:vAlign w:val="top"/>
          </w:tcPr>
          <w:p w14:paraId="58F762B0">
            <w:pPr>
              <w:rPr>
                <w:rFonts w:hint="eastAsia" w:ascii="宋体" w:hAnsi="宋体" w:cs="宋体"/>
                <w:color w:val="auto"/>
                <w:szCs w:val="21"/>
                <w:highlight w:val="none"/>
              </w:rPr>
            </w:pPr>
          </w:p>
        </w:tc>
      </w:tr>
      <w:tr w14:paraId="60D31F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7A11F490">
            <w:pPr>
              <w:rPr>
                <w:rFonts w:hint="eastAsia" w:ascii="宋体" w:hAnsi="宋体" w:cs="宋体"/>
                <w:color w:val="auto"/>
                <w:szCs w:val="21"/>
                <w:highlight w:val="none"/>
              </w:rPr>
            </w:pPr>
          </w:p>
        </w:tc>
        <w:tc>
          <w:tcPr>
            <w:tcW w:w="1276" w:type="dxa"/>
            <w:noWrap w:val="0"/>
            <w:vAlign w:val="top"/>
          </w:tcPr>
          <w:p w14:paraId="4E5D8ECD">
            <w:pPr>
              <w:rPr>
                <w:rFonts w:hint="eastAsia" w:ascii="宋体" w:hAnsi="宋体" w:cs="宋体"/>
                <w:color w:val="auto"/>
                <w:szCs w:val="21"/>
                <w:highlight w:val="none"/>
              </w:rPr>
            </w:pPr>
          </w:p>
        </w:tc>
        <w:tc>
          <w:tcPr>
            <w:tcW w:w="1450" w:type="dxa"/>
            <w:noWrap w:val="0"/>
            <w:vAlign w:val="top"/>
          </w:tcPr>
          <w:p w14:paraId="3CBFEA3D">
            <w:pPr>
              <w:rPr>
                <w:rFonts w:hint="eastAsia" w:ascii="宋体" w:hAnsi="宋体" w:cs="宋体"/>
                <w:color w:val="auto"/>
                <w:szCs w:val="21"/>
                <w:highlight w:val="none"/>
              </w:rPr>
            </w:pPr>
          </w:p>
        </w:tc>
        <w:tc>
          <w:tcPr>
            <w:tcW w:w="1243" w:type="dxa"/>
            <w:noWrap w:val="0"/>
            <w:vAlign w:val="top"/>
          </w:tcPr>
          <w:p w14:paraId="320F3311">
            <w:pPr>
              <w:rPr>
                <w:rFonts w:hint="eastAsia" w:ascii="宋体" w:hAnsi="宋体" w:cs="宋体"/>
                <w:color w:val="auto"/>
                <w:szCs w:val="21"/>
                <w:highlight w:val="none"/>
              </w:rPr>
            </w:pPr>
          </w:p>
        </w:tc>
        <w:tc>
          <w:tcPr>
            <w:tcW w:w="1450" w:type="dxa"/>
            <w:noWrap w:val="0"/>
            <w:vAlign w:val="top"/>
          </w:tcPr>
          <w:p w14:paraId="20163F79">
            <w:pPr>
              <w:rPr>
                <w:rFonts w:hint="eastAsia" w:ascii="宋体" w:hAnsi="宋体" w:cs="宋体"/>
                <w:color w:val="auto"/>
                <w:szCs w:val="21"/>
                <w:highlight w:val="none"/>
              </w:rPr>
            </w:pPr>
          </w:p>
        </w:tc>
        <w:tc>
          <w:tcPr>
            <w:tcW w:w="1667" w:type="dxa"/>
            <w:noWrap w:val="0"/>
            <w:vAlign w:val="top"/>
          </w:tcPr>
          <w:p w14:paraId="618A0F33">
            <w:pPr>
              <w:rPr>
                <w:rFonts w:hint="eastAsia" w:ascii="宋体" w:hAnsi="宋体" w:cs="宋体"/>
                <w:color w:val="auto"/>
                <w:szCs w:val="21"/>
                <w:highlight w:val="none"/>
              </w:rPr>
            </w:pPr>
          </w:p>
        </w:tc>
      </w:tr>
      <w:tr w14:paraId="7B5A83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bottom w:val="single" w:color="auto" w:sz="12" w:space="0"/>
            </w:tcBorders>
            <w:noWrap w:val="0"/>
            <w:vAlign w:val="top"/>
          </w:tcPr>
          <w:p w14:paraId="00825BE8">
            <w:pPr>
              <w:rPr>
                <w:rFonts w:hint="eastAsia" w:ascii="宋体" w:hAnsi="宋体" w:cs="宋体"/>
                <w:color w:val="auto"/>
                <w:szCs w:val="21"/>
                <w:highlight w:val="none"/>
              </w:rPr>
            </w:pPr>
          </w:p>
        </w:tc>
        <w:tc>
          <w:tcPr>
            <w:tcW w:w="1276" w:type="dxa"/>
            <w:tcBorders>
              <w:bottom w:val="single" w:color="auto" w:sz="12" w:space="0"/>
            </w:tcBorders>
            <w:noWrap w:val="0"/>
            <w:vAlign w:val="top"/>
          </w:tcPr>
          <w:p w14:paraId="391755F5">
            <w:pPr>
              <w:rPr>
                <w:rFonts w:hint="eastAsia" w:ascii="宋体" w:hAnsi="宋体" w:cs="宋体"/>
                <w:color w:val="auto"/>
                <w:szCs w:val="21"/>
                <w:highlight w:val="none"/>
              </w:rPr>
            </w:pPr>
          </w:p>
        </w:tc>
        <w:tc>
          <w:tcPr>
            <w:tcW w:w="1450" w:type="dxa"/>
            <w:tcBorders>
              <w:bottom w:val="single" w:color="auto" w:sz="12" w:space="0"/>
            </w:tcBorders>
            <w:noWrap w:val="0"/>
            <w:vAlign w:val="top"/>
          </w:tcPr>
          <w:p w14:paraId="277E1590">
            <w:pPr>
              <w:rPr>
                <w:rFonts w:hint="eastAsia" w:ascii="宋体" w:hAnsi="宋体" w:cs="宋体"/>
                <w:color w:val="auto"/>
                <w:szCs w:val="21"/>
                <w:highlight w:val="none"/>
              </w:rPr>
            </w:pPr>
          </w:p>
        </w:tc>
        <w:tc>
          <w:tcPr>
            <w:tcW w:w="1243" w:type="dxa"/>
            <w:tcBorders>
              <w:bottom w:val="single" w:color="auto" w:sz="12" w:space="0"/>
            </w:tcBorders>
            <w:noWrap w:val="0"/>
            <w:vAlign w:val="top"/>
          </w:tcPr>
          <w:p w14:paraId="2648D5CC">
            <w:pPr>
              <w:rPr>
                <w:rFonts w:hint="eastAsia" w:ascii="宋体" w:hAnsi="宋体" w:cs="宋体"/>
                <w:color w:val="auto"/>
                <w:szCs w:val="21"/>
                <w:highlight w:val="none"/>
              </w:rPr>
            </w:pPr>
          </w:p>
        </w:tc>
        <w:tc>
          <w:tcPr>
            <w:tcW w:w="1450" w:type="dxa"/>
            <w:tcBorders>
              <w:bottom w:val="single" w:color="auto" w:sz="12" w:space="0"/>
            </w:tcBorders>
            <w:noWrap w:val="0"/>
            <w:vAlign w:val="top"/>
          </w:tcPr>
          <w:p w14:paraId="44830843">
            <w:pPr>
              <w:rPr>
                <w:rFonts w:hint="eastAsia" w:ascii="宋体" w:hAnsi="宋体" w:cs="宋体"/>
                <w:color w:val="auto"/>
                <w:szCs w:val="21"/>
                <w:highlight w:val="none"/>
              </w:rPr>
            </w:pPr>
          </w:p>
        </w:tc>
        <w:tc>
          <w:tcPr>
            <w:tcW w:w="1667" w:type="dxa"/>
            <w:tcBorders>
              <w:bottom w:val="single" w:color="auto" w:sz="12" w:space="0"/>
            </w:tcBorders>
            <w:noWrap w:val="0"/>
            <w:vAlign w:val="top"/>
          </w:tcPr>
          <w:p w14:paraId="74071B82">
            <w:pPr>
              <w:rPr>
                <w:rFonts w:hint="eastAsia" w:ascii="宋体" w:hAnsi="宋体" w:cs="宋体"/>
                <w:color w:val="auto"/>
                <w:szCs w:val="21"/>
                <w:highlight w:val="none"/>
              </w:rPr>
            </w:pPr>
          </w:p>
        </w:tc>
      </w:tr>
    </w:tbl>
    <w:p w14:paraId="5C50A6CF">
      <w:pPr>
        <w:rPr>
          <w:rFonts w:hint="eastAsia" w:ascii="宋体" w:hAnsi="宋体" w:cs="宋体"/>
          <w:color w:val="auto"/>
          <w:szCs w:val="21"/>
          <w:highlight w:val="none"/>
        </w:rPr>
      </w:pPr>
    </w:p>
    <w:p w14:paraId="49465EC5">
      <w:pPr>
        <w:keepNext/>
        <w:keepLines/>
        <w:spacing w:before="120" w:after="120" w:line="360" w:lineRule="auto"/>
        <w:jc w:val="left"/>
        <w:outlineLvl w:val="2"/>
        <w:rPr>
          <w:rFonts w:hint="eastAsia" w:ascii="宋体" w:hAnsi="宋体" w:cs="宋体"/>
          <w:bCs/>
          <w:color w:val="auto"/>
          <w:sz w:val="24"/>
          <w:highlight w:val="none"/>
        </w:rPr>
      </w:pPr>
      <w:bookmarkStart w:id="1290" w:name="_Toc95223491"/>
      <w:r>
        <w:rPr>
          <w:rFonts w:hint="eastAsia" w:ascii="宋体" w:hAnsi="宋体" w:cs="宋体"/>
          <w:bCs/>
          <w:color w:val="auto"/>
          <w:sz w:val="24"/>
          <w:highlight w:val="none"/>
        </w:rPr>
        <w:t>附</w:t>
      </w:r>
      <w:bookmarkStart w:id="1291" w:name="_Toc296346728"/>
      <w:bookmarkStart w:id="1292" w:name="_Toc296503227"/>
      <w:bookmarkStart w:id="1293" w:name="_Toc296347226"/>
      <w:bookmarkStart w:id="1294" w:name="_Toc267261698"/>
      <w:bookmarkStart w:id="1295" w:name="_Toc296891267"/>
      <w:bookmarkStart w:id="1296" w:name="_Toc296891055"/>
      <w:bookmarkStart w:id="1297" w:name="_Toc296944566"/>
      <w:r>
        <w:rPr>
          <w:rFonts w:hint="eastAsia" w:ascii="宋体" w:hAnsi="宋体" w:cs="宋体"/>
          <w:bCs/>
          <w:color w:val="auto"/>
          <w:sz w:val="24"/>
          <w:highlight w:val="none"/>
        </w:rPr>
        <w:t>件5：承包人用于本工程施工的机械设备表</w:t>
      </w:r>
      <w:bookmarkEnd w:id="1290"/>
    </w:p>
    <w:bookmarkEnd w:id="1291"/>
    <w:bookmarkEnd w:id="1292"/>
    <w:bookmarkEnd w:id="1293"/>
    <w:bookmarkEnd w:id="1294"/>
    <w:bookmarkEnd w:id="1295"/>
    <w:bookmarkEnd w:id="1296"/>
    <w:bookmarkEnd w:id="1297"/>
    <w:p w14:paraId="2961BAB4">
      <w:pPr>
        <w:spacing w:before="120" w:beforeLines="50" w:after="120" w:afterLines="50"/>
        <w:jc w:val="center"/>
        <w:rPr>
          <w:rFonts w:hint="eastAsia" w:ascii="宋体" w:hAnsi="宋体" w:cs="宋体"/>
          <w:color w:val="auto"/>
          <w:szCs w:val="21"/>
          <w:highlight w:val="none"/>
        </w:rPr>
      </w:pPr>
      <w:r>
        <w:rPr>
          <w:rFonts w:hint="eastAsia" w:ascii="宋体" w:hAnsi="宋体" w:cs="宋体"/>
          <w:color w:val="auto"/>
          <w:szCs w:val="21"/>
          <w:highlight w:val="none"/>
        </w:rPr>
        <w:t>承包人用于本工程施工的机械设备表</w:t>
      </w:r>
    </w:p>
    <w:tbl>
      <w:tblPr>
        <w:tblStyle w:val="20"/>
        <w:tblW w:w="895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37"/>
        <w:gridCol w:w="1418"/>
        <w:gridCol w:w="850"/>
        <w:gridCol w:w="709"/>
        <w:gridCol w:w="850"/>
        <w:gridCol w:w="963"/>
        <w:gridCol w:w="1480"/>
        <w:gridCol w:w="1020"/>
        <w:gridCol w:w="932"/>
      </w:tblGrid>
      <w:tr w14:paraId="174F05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737" w:type="dxa"/>
            <w:tcBorders>
              <w:top w:val="single" w:color="auto" w:sz="12" w:space="0"/>
              <w:bottom w:val="double" w:color="auto" w:sz="6" w:space="0"/>
            </w:tcBorders>
            <w:noWrap w:val="0"/>
            <w:vAlign w:val="center"/>
          </w:tcPr>
          <w:p w14:paraId="03E5C5D5">
            <w:pPr>
              <w:keepNext/>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418" w:type="dxa"/>
            <w:tcBorders>
              <w:top w:val="single" w:color="auto" w:sz="12" w:space="0"/>
              <w:bottom w:val="double" w:color="auto" w:sz="6" w:space="0"/>
            </w:tcBorders>
            <w:noWrap w:val="0"/>
            <w:vAlign w:val="center"/>
          </w:tcPr>
          <w:p w14:paraId="74BFA566">
            <w:pPr>
              <w:keepNext/>
              <w:rPr>
                <w:rFonts w:hint="eastAsia" w:ascii="宋体" w:hAnsi="宋体" w:cs="宋体"/>
                <w:color w:val="auto"/>
                <w:szCs w:val="21"/>
                <w:highlight w:val="none"/>
              </w:rPr>
            </w:pPr>
            <w:r>
              <w:rPr>
                <w:rFonts w:hint="eastAsia" w:ascii="宋体" w:hAnsi="宋体" w:cs="宋体"/>
                <w:color w:val="auto"/>
                <w:szCs w:val="21"/>
                <w:highlight w:val="none"/>
              </w:rPr>
              <w:t>机械或设备名称</w:t>
            </w:r>
          </w:p>
        </w:tc>
        <w:tc>
          <w:tcPr>
            <w:tcW w:w="850" w:type="dxa"/>
            <w:tcBorders>
              <w:top w:val="single" w:color="auto" w:sz="12" w:space="0"/>
              <w:bottom w:val="double" w:color="auto" w:sz="6" w:space="0"/>
            </w:tcBorders>
            <w:noWrap w:val="0"/>
            <w:vAlign w:val="center"/>
          </w:tcPr>
          <w:p w14:paraId="2B3103DB">
            <w:pPr>
              <w:keepNext/>
              <w:rPr>
                <w:rFonts w:hint="eastAsia" w:ascii="宋体" w:hAnsi="宋体" w:cs="宋体"/>
                <w:color w:val="auto"/>
                <w:szCs w:val="21"/>
                <w:highlight w:val="none"/>
              </w:rPr>
            </w:pPr>
            <w:r>
              <w:rPr>
                <w:rFonts w:hint="eastAsia" w:ascii="宋体" w:hAnsi="宋体" w:cs="宋体"/>
                <w:color w:val="auto"/>
                <w:szCs w:val="21"/>
                <w:highlight w:val="none"/>
              </w:rPr>
              <w:t>规格型号</w:t>
            </w:r>
          </w:p>
        </w:tc>
        <w:tc>
          <w:tcPr>
            <w:tcW w:w="709" w:type="dxa"/>
            <w:tcBorders>
              <w:top w:val="single" w:color="auto" w:sz="12" w:space="0"/>
              <w:bottom w:val="double" w:color="auto" w:sz="6" w:space="0"/>
            </w:tcBorders>
            <w:noWrap w:val="0"/>
            <w:vAlign w:val="center"/>
          </w:tcPr>
          <w:p w14:paraId="7D117FAF">
            <w:pPr>
              <w:keepNext/>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850" w:type="dxa"/>
            <w:tcBorders>
              <w:top w:val="single" w:color="auto" w:sz="12" w:space="0"/>
              <w:bottom w:val="double" w:color="auto" w:sz="6" w:space="0"/>
            </w:tcBorders>
            <w:noWrap w:val="0"/>
            <w:vAlign w:val="center"/>
          </w:tcPr>
          <w:p w14:paraId="3C2E16C6">
            <w:pPr>
              <w:keepNext/>
              <w:rPr>
                <w:rFonts w:hint="eastAsia" w:ascii="宋体" w:hAnsi="宋体" w:cs="宋体"/>
                <w:color w:val="auto"/>
                <w:szCs w:val="21"/>
                <w:highlight w:val="none"/>
              </w:rPr>
            </w:pPr>
            <w:r>
              <w:rPr>
                <w:rFonts w:hint="eastAsia" w:ascii="宋体" w:hAnsi="宋体" w:cs="宋体"/>
                <w:color w:val="auto"/>
                <w:szCs w:val="21"/>
                <w:highlight w:val="none"/>
              </w:rPr>
              <w:t>产地</w:t>
            </w:r>
          </w:p>
        </w:tc>
        <w:tc>
          <w:tcPr>
            <w:tcW w:w="963" w:type="dxa"/>
            <w:tcBorders>
              <w:top w:val="single" w:color="auto" w:sz="12" w:space="0"/>
              <w:bottom w:val="double" w:color="auto" w:sz="6" w:space="0"/>
            </w:tcBorders>
            <w:noWrap w:val="0"/>
            <w:vAlign w:val="center"/>
          </w:tcPr>
          <w:p w14:paraId="62C75B29">
            <w:pPr>
              <w:keepNext/>
              <w:rPr>
                <w:rFonts w:hint="eastAsia" w:ascii="宋体" w:hAnsi="宋体" w:cs="宋体"/>
                <w:color w:val="auto"/>
                <w:szCs w:val="21"/>
                <w:highlight w:val="none"/>
              </w:rPr>
            </w:pPr>
            <w:r>
              <w:rPr>
                <w:rFonts w:hint="eastAsia" w:ascii="宋体" w:hAnsi="宋体" w:cs="宋体"/>
                <w:color w:val="auto"/>
                <w:szCs w:val="21"/>
                <w:highlight w:val="none"/>
              </w:rPr>
              <w:t>制造年份</w:t>
            </w:r>
          </w:p>
        </w:tc>
        <w:tc>
          <w:tcPr>
            <w:tcW w:w="1480" w:type="dxa"/>
            <w:tcBorders>
              <w:top w:val="single" w:color="auto" w:sz="12" w:space="0"/>
              <w:bottom w:val="double" w:color="auto" w:sz="6" w:space="0"/>
            </w:tcBorders>
            <w:noWrap w:val="0"/>
            <w:vAlign w:val="center"/>
          </w:tcPr>
          <w:p w14:paraId="33F33FC2">
            <w:pPr>
              <w:keepNext/>
              <w:rPr>
                <w:rFonts w:hint="eastAsia" w:ascii="宋体" w:hAnsi="宋体" w:cs="宋体"/>
                <w:color w:val="auto"/>
                <w:szCs w:val="21"/>
                <w:highlight w:val="none"/>
              </w:rPr>
            </w:pPr>
            <w:r>
              <w:rPr>
                <w:rFonts w:hint="eastAsia" w:ascii="宋体" w:hAnsi="宋体" w:cs="宋体"/>
                <w:color w:val="auto"/>
                <w:szCs w:val="21"/>
                <w:highlight w:val="none"/>
              </w:rPr>
              <w:t>额定功率(kW)</w:t>
            </w:r>
          </w:p>
        </w:tc>
        <w:tc>
          <w:tcPr>
            <w:tcW w:w="1020" w:type="dxa"/>
            <w:tcBorders>
              <w:top w:val="single" w:color="auto" w:sz="12" w:space="0"/>
              <w:bottom w:val="double" w:color="auto" w:sz="6" w:space="0"/>
            </w:tcBorders>
            <w:noWrap w:val="0"/>
            <w:vAlign w:val="center"/>
          </w:tcPr>
          <w:p w14:paraId="4E7430C0">
            <w:pPr>
              <w:keepNext/>
              <w:rPr>
                <w:rFonts w:hint="eastAsia" w:ascii="宋体" w:hAnsi="宋体" w:cs="宋体"/>
                <w:color w:val="auto"/>
                <w:szCs w:val="21"/>
                <w:highlight w:val="none"/>
              </w:rPr>
            </w:pPr>
            <w:r>
              <w:rPr>
                <w:rFonts w:hint="eastAsia" w:ascii="宋体" w:hAnsi="宋体" w:cs="宋体"/>
                <w:color w:val="auto"/>
                <w:szCs w:val="21"/>
                <w:highlight w:val="none"/>
              </w:rPr>
              <w:t>生产能力</w:t>
            </w:r>
          </w:p>
        </w:tc>
        <w:tc>
          <w:tcPr>
            <w:tcW w:w="932" w:type="dxa"/>
            <w:tcBorders>
              <w:top w:val="single" w:color="auto" w:sz="12" w:space="0"/>
              <w:bottom w:val="double" w:color="auto" w:sz="6" w:space="0"/>
            </w:tcBorders>
            <w:noWrap w:val="0"/>
            <w:vAlign w:val="center"/>
          </w:tcPr>
          <w:p w14:paraId="2657C243">
            <w:pPr>
              <w:keepNext/>
              <w:rPr>
                <w:rFonts w:hint="eastAsia" w:ascii="宋体" w:hAnsi="宋体" w:cs="宋体"/>
                <w:color w:val="auto"/>
                <w:szCs w:val="21"/>
                <w:highlight w:val="none"/>
              </w:rPr>
            </w:pPr>
            <w:r>
              <w:rPr>
                <w:rFonts w:hint="eastAsia" w:ascii="宋体" w:hAnsi="宋体" w:cs="宋体"/>
                <w:color w:val="auto"/>
                <w:szCs w:val="21"/>
                <w:highlight w:val="none"/>
              </w:rPr>
              <w:t>备注</w:t>
            </w:r>
          </w:p>
        </w:tc>
      </w:tr>
      <w:tr w14:paraId="262BDF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tcBorders>
              <w:top w:val="double" w:color="auto" w:sz="6" w:space="0"/>
            </w:tcBorders>
            <w:noWrap w:val="0"/>
            <w:vAlign w:val="center"/>
          </w:tcPr>
          <w:p w14:paraId="02673310">
            <w:pPr>
              <w:keepNext/>
              <w:rPr>
                <w:rFonts w:hint="eastAsia" w:ascii="宋体" w:hAnsi="宋体" w:cs="宋体"/>
                <w:color w:val="auto"/>
                <w:szCs w:val="21"/>
                <w:highlight w:val="none"/>
              </w:rPr>
            </w:pPr>
          </w:p>
        </w:tc>
        <w:tc>
          <w:tcPr>
            <w:tcW w:w="1418" w:type="dxa"/>
            <w:tcBorders>
              <w:top w:val="double" w:color="auto" w:sz="6" w:space="0"/>
            </w:tcBorders>
            <w:noWrap w:val="0"/>
            <w:vAlign w:val="center"/>
          </w:tcPr>
          <w:p w14:paraId="07E42290">
            <w:pPr>
              <w:keepNext/>
              <w:rPr>
                <w:rFonts w:hint="eastAsia" w:ascii="宋体" w:hAnsi="宋体" w:cs="宋体"/>
                <w:color w:val="auto"/>
                <w:szCs w:val="21"/>
                <w:highlight w:val="none"/>
              </w:rPr>
            </w:pPr>
          </w:p>
        </w:tc>
        <w:tc>
          <w:tcPr>
            <w:tcW w:w="850" w:type="dxa"/>
            <w:tcBorders>
              <w:top w:val="double" w:color="auto" w:sz="6" w:space="0"/>
            </w:tcBorders>
            <w:noWrap w:val="0"/>
            <w:vAlign w:val="center"/>
          </w:tcPr>
          <w:p w14:paraId="1166BB7C">
            <w:pPr>
              <w:keepNext/>
              <w:rPr>
                <w:rFonts w:hint="eastAsia" w:ascii="宋体" w:hAnsi="宋体" w:cs="宋体"/>
                <w:color w:val="auto"/>
                <w:szCs w:val="21"/>
                <w:highlight w:val="none"/>
              </w:rPr>
            </w:pPr>
          </w:p>
        </w:tc>
        <w:tc>
          <w:tcPr>
            <w:tcW w:w="709" w:type="dxa"/>
            <w:tcBorders>
              <w:top w:val="double" w:color="auto" w:sz="6" w:space="0"/>
            </w:tcBorders>
            <w:noWrap w:val="0"/>
            <w:vAlign w:val="center"/>
          </w:tcPr>
          <w:p w14:paraId="77E06897">
            <w:pPr>
              <w:keepNext/>
              <w:rPr>
                <w:rFonts w:hint="eastAsia" w:ascii="宋体" w:hAnsi="宋体" w:cs="宋体"/>
                <w:color w:val="auto"/>
                <w:szCs w:val="21"/>
                <w:highlight w:val="none"/>
              </w:rPr>
            </w:pPr>
          </w:p>
        </w:tc>
        <w:tc>
          <w:tcPr>
            <w:tcW w:w="850" w:type="dxa"/>
            <w:tcBorders>
              <w:top w:val="double" w:color="auto" w:sz="6" w:space="0"/>
            </w:tcBorders>
            <w:noWrap w:val="0"/>
            <w:vAlign w:val="center"/>
          </w:tcPr>
          <w:p w14:paraId="24AC51DC">
            <w:pPr>
              <w:keepNext/>
              <w:rPr>
                <w:rFonts w:hint="eastAsia" w:ascii="宋体" w:hAnsi="宋体" w:cs="宋体"/>
                <w:color w:val="auto"/>
                <w:szCs w:val="21"/>
                <w:highlight w:val="none"/>
              </w:rPr>
            </w:pPr>
          </w:p>
        </w:tc>
        <w:tc>
          <w:tcPr>
            <w:tcW w:w="963" w:type="dxa"/>
            <w:tcBorders>
              <w:top w:val="double" w:color="auto" w:sz="6" w:space="0"/>
            </w:tcBorders>
            <w:noWrap w:val="0"/>
            <w:vAlign w:val="center"/>
          </w:tcPr>
          <w:p w14:paraId="13BDF9D9">
            <w:pPr>
              <w:keepNext/>
              <w:rPr>
                <w:rFonts w:hint="eastAsia" w:ascii="宋体" w:hAnsi="宋体" w:cs="宋体"/>
                <w:color w:val="auto"/>
                <w:szCs w:val="21"/>
                <w:highlight w:val="none"/>
              </w:rPr>
            </w:pPr>
          </w:p>
        </w:tc>
        <w:tc>
          <w:tcPr>
            <w:tcW w:w="1480" w:type="dxa"/>
            <w:tcBorders>
              <w:top w:val="double" w:color="auto" w:sz="6" w:space="0"/>
            </w:tcBorders>
            <w:noWrap w:val="0"/>
            <w:vAlign w:val="center"/>
          </w:tcPr>
          <w:p w14:paraId="534371AE">
            <w:pPr>
              <w:keepNext/>
              <w:rPr>
                <w:rFonts w:hint="eastAsia" w:ascii="宋体" w:hAnsi="宋体" w:cs="宋体"/>
                <w:color w:val="auto"/>
                <w:szCs w:val="21"/>
                <w:highlight w:val="none"/>
              </w:rPr>
            </w:pPr>
          </w:p>
        </w:tc>
        <w:tc>
          <w:tcPr>
            <w:tcW w:w="1020" w:type="dxa"/>
            <w:tcBorders>
              <w:top w:val="double" w:color="auto" w:sz="6" w:space="0"/>
            </w:tcBorders>
            <w:noWrap w:val="0"/>
            <w:vAlign w:val="center"/>
          </w:tcPr>
          <w:p w14:paraId="39E6F71E">
            <w:pPr>
              <w:keepNext/>
              <w:rPr>
                <w:rFonts w:hint="eastAsia" w:ascii="宋体" w:hAnsi="宋体" w:cs="宋体"/>
                <w:color w:val="auto"/>
                <w:szCs w:val="21"/>
                <w:highlight w:val="none"/>
              </w:rPr>
            </w:pPr>
          </w:p>
        </w:tc>
        <w:tc>
          <w:tcPr>
            <w:tcW w:w="932" w:type="dxa"/>
            <w:tcBorders>
              <w:top w:val="double" w:color="auto" w:sz="6" w:space="0"/>
            </w:tcBorders>
            <w:noWrap w:val="0"/>
            <w:vAlign w:val="center"/>
          </w:tcPr>
          <w:p w14:paraId="558E7864">
            <w:pPr>
              <w:keepNext/>
              <w:rPr>
                <w:rFonts w:hint="eastAsia" w:ascii="宋体" w:hAnsi="宋体" w:cs="宋体"/>
                <w:color w:val="auto"/>
                <w:szCs w:val="21"/>
                <w:highlight w:val="none"/>
              </w:rPr>
            </w:pPr>
          </w:p>
        </w:tc>
      </w:tr>
      <w:tr w14:paraId="4E0AC8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tcBorders>
              <w:top w:val="nil"/>
            </w:tcBorders>
            <w:noWrap w:val="0"/>
            <w:vAlign w:val="center"/>
          </w:tcPr>
          <w:p w14:paraId="4D406736">
            <w:pPr>
              <w:keepNext/>
              <w:rPr>
                <w:rFonts w:hint="eastAsia" w:ascii="宋体" w:hAnsi="宋体" w:cs="宋体"/>
                <w:color w:val="auto"/>
                <w:szCs w:val="21"/>
                <w:highlight w:val="none"/>
              </w:rPr>
            </w:pPr>
          </w:p>
        </w:tc>
        <w:tc>
          <w:tcPr>
            <w:tcW w:w="1418" w:type="dxa"/>
            <w:tcBorders>
              <w:top w:val="nil"/>
            </w:tcBorders>
            <w:noWrap w:val="0"/>
            <w:vAlign w:val="center"/>
          </w:tcPr>
          <w:p w14:paraId="508CE587">
            <w:pPr>
              <w:keepNext/>
              <w:rPr>
                <w:rFonts w:hint="eastAsia" w:ascii="宋体" w:hAnsi="宋体" w:cs="宋体"/>
                <w:color w:val="auto"/>
                <w:szCs w:val="21"/>
                <w:highlight w:val="none"/>
              </w:rPr>
            </w:pPr>
          </w:p>
        </w:tc>
        <w:tc>
          <w:tcPr>
            <w:tcW w:w="850" w:type="dxa"/>
            <w:tcBorders>
              <w:top w:val="nil"/>
            </w:tcBorders>
            <w:noWrap w:val="0"/>
            <w:vAlign w:val="center"/>
          </w:tcPr>
          <w:p w14:paraId="779B197C">
            <w:pPr>
              <w:keepNext/>
              <w:rPr>
                <w:rFonts w:hint="eastAsia" w:ascii="宋体" w:hAnsi="宋体" w:cs="宋体"/>
                <w:color w:val="auto"/>
                <w:szCs w:val="21"/>
                <w:highlight w:val="none"/>
              </w:rPr>
            </w:pPr>
          </w:p>
        </w:tc>
        <w:tc>
          <w:tcPr>
            <w:tcW w:w="709" w:type="dxa"/>
            <w:tcBorders>
              <w:top w:val="nil"/>
            </w:tcBorders>
            <w:noWrap w:val="0"/>
            <w:vAlign w:val="center"/>
          </w:tcPr>
          <w:p w14:paraId="0A937A2D">
            <w:pPr>
              <w:keepNext/>
              <w:rPr>
                <w:rFonts w:hint="eastAsia" w:ascii="宋体" w:hAnsi="宋体" w:cs="宋体"/>
                <w:color w:val="auto"/>
                <w:szCs w:val="21"/>
                <w:highlight w:val="none"/>
              </w:rPr>
            </w:pPr>
          </w:p>
        </w:tc>
        <w:tc>
          <w:tcPr>
            <w:tcW w:w="850" w:type="dxa"/>
            <w:tcBorders>
              <w:top w:val="nil"/>
            </w:tcBorders>
            <w:noWrap w:val="0"/>
            <w:vAlign w:val="center"/>
          </w:tcPr>
          <w:p w14:paraId="3A9897E6">
            <w:pPr>
              <w:keepNext/>
              <w:rPr>
                <w:rFonts w:hint="eastAsia" w:ascii="宋体" w:hAnsi="宋体" w:cs="宋体"/>
                <w:color w:val="auto"/>
                <w:szCs w:val="21"/>
                <w:highlight w:val="none"/>
              </w:rPr>
            </w:pPr>
          </w:p>
        </w:tc>
        <w:tc>
          <w:tcPr>
            <w:tcW w:w="963" w:type="dxa"/>
            <w:tcBorders>
              <w:top w:val="nil"/>
            </w:tcBorders>
            <w:noWrap w:val="0"/>
            <w:vAlign w:val="center"/>
          </w:tcPr>
          <w:p w14:paraId="3100DED8">
            <w:pPr>
              <w:keepNext/>
              <w:rPr>
                <w:rFonts w:hint="eastAsia" w:ascii="宋体" w:hAnsi="宋体" w:cs="宋体"/>
                <w:color w:val="auto"/>
                <w:szCs w:val="21"/>
                <w:highlight w:val="none"/>
              </w:rPr>
            </w:pPr>
          </w:p>
        </w:tc>
        <w:tc>
          <w:tcPr>
            <w:tcW w:w="1480" w:type="dxa"/>
            <w:tcBorders>
              <w:top w:val="nil"/>
            </w:tcBorders>
            <w:noWrap w:val="0"/>
            <w:vAlign w:val="center"/>
          </w:tcPr>
          <w:p w14:paraId="1EF162D6">
            <w:pPr>
              <w:keepNext/>
              <w:rPr>
                <w:rFonts w:hint="eastAsia" w:ascii="宋体" w:hAnsi="宋体" w:cs="宋体"/>
                <w:color w:val="auto"/>
                <w:szCs w:val="21"/>
                <w:highlight w:val="none"/>
              </w:rPr>
            </w:pPr>
          </w:p>
        </w:tc>
        <w:tc>
          <w:tcPr>
            <w:tcW w:w="1020" w:type="dxa"/>
            <w:tcBorders>
              <w:top w:val="nil"/>
            </w:tcBorders>
            <w:noWrap w:val="0"/>
            <w:vAlign w:val="center"/>
          </w:tcPr>
          <w:p w14:paraId="0856CDCF">
            <w:pPr>
              <w:keepNext/>
              <w:rPr>
                <w:rFonts w:hint="eastAsia" w:ascii="宋体" w:hAnsi="宋体" w:cs="宋体"/>
                <w:color w:val="auto"/>
                <w:szCs w:val="21"/>
                <w:highlight w:val="none"/>
              </w:rPr>
            </w:pPr>
          </w:p>
        </w:tc>
        <w:tc>
          <w:tcPr>
            <w:tcW w:w="932" w:type="dxa"/>
            <w:tcBorders>
              <w:top w:val="nil"/>
            </w:tcBorders>
            <w:noWrap w:val="0"/>
            <w:vAlign w:val="center"/>
          </w:tcPr>
          <w:p w14:paraId="4C6FB437">
            <w:pPr>
              <w:keepNext/>
              <w:rPr>
                <w:rFonts w:hint="eastAsia" w:ascii="宋体" w:hAnsi="宋体" w:cs="宋体"/>
                <w:color w:val="auto"/>
                <w:szCs w:val="21"/>
                <w:highlight w:val="none"/>
              </w:rPr>
            </w:pPr>
          </w:p>
        </w:tc>
      </w:tr>
      <w:tr w14:paraId="2A8936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noWrap w:val="0"/>
            <w:vAlign w:val="top"/>
          </w:tcPr>
          <w:p w14:paraId="5C9815E7">
            <w:pPr>
              <w:rPr>
                <w:rFonts w:hint="eastAsia" w:ascii="宋体" w:hAnsi="宋体" w:cs="宋体"/>
                <w:color w:val="auto"/>
                <w:szCs w:val="21"/>
                <w:highlight w:val="none"/>
              </w:rPr>
            </w:pPr>
          </w:p>
        </w:tc>
        <w:tc>
          <w:tcPr>
            <w:tcW w:w="1418" w:type="dxa"/>
            <w:noWrap w:val="0"/>
            <w:vAlign w:val="top"/>
          </w:tcPr>
          <w:p w14:paraId="649416BC">
            <w:pPr>
              <w:rPr>
                <w:rFonts w:hint="eastAsia" w:ascii="宋体" w:hAnsi="宋体" w:cs="宋体"/>
                <w:color w:val="auto"/>
                <w:szCs w:val="21"/>
                <w:highlight w:val="none"/>
              </w:rPr>
            </w:pPr>
          </w:p>
        </w:tc>
        <w:tc>
          <w:tcPr>
            <w:tcW w:w="850" w:type="dxa"/>
            <w:noWrap w:val="0"/>
            <w:vAlign w:val="top"/>
          </w:tcPr>
          <w:p w14:paraId="1A771D4D">
            <w:pPr>
              <w:rPr>
                <w:rFonts w:hint="eastAsia" w:ascii="宋体" w:hAnsi="宋体" w:cs="宋体"/>
                <w:color w:val="auto"/>
                <w:szCs w:val="21"/>
                <w:highlight w:val="none"/>
              </w:rPr>
            </w:pPr>
          </w:p>
        </w:tc>
        <w:tc>
          <w:tcPr>
            <w:tcW w:w="709" w:type="dxa"/>
            <w:noWrap w:val="0"/>
            <w:vAlign w:val="top"/>
          </w:tcPr>
          <w:p w14:paraId="5D043038">
            <w:pPr>
              <w:rPr>
                <w:rFonts w:hint="eastAsia" w:ascii="宋体" w:hAnsi="宋体" w:cs="宋体"/>
                <w:color w:val="auto"/>
                <w:szCs w:val="21"/>
                <w:highlight w:val="none"/>
              </w:rPr>
            </w:pPr>
          </w:p>
        </w:tc>
        <w:tc>
          <w:tcPr>
            <w:tcW w:w="850" w:type="dxa"/>
            <w:noWrap w:val="0"/>
            <w:vAlign w:val="top"/>
          </w:tcPr>
          <w:p w14:paraId="137D481A">
            <w:pPr>
              <w:rPr>
                <w:rFonts w:hint="eastAsia" w:ascii="宋体" w:hAnsi="宋体" w:cs="宋体"/>
                <w:color w:val="auto"/>
                <w:szCs w:val="21"/>
                <w:highlight w:val="none"/>
              </w:rPr>
            </w:pPr>
          </w:p>
        </w:tc>
        <w:tc>
          <w:tcPr>
            <w:tcW w:w="963" w:type="dxa"/>
            <w:noWrap w:val="0"/>
            <w:vAlign w:val="top"/>
          </w:tcPr>
          <w:p w14:paraId="6B2A9120">
            <w:pPr>
              <w:rPr>
                <w:rFonts w:hint="eastAsia" w:ascii="宋体" w:hAnsi="宋体" w:cs="宋体"/>
                <w:color w:val="auto"/>
                <w:szCs w:val="21"/>
                <w:highlight w:val="none"/>
              </w:rPr>
            </w:pPr>
          </w:p>
        </w:tc>
        <w:tc>
          <w:tcPr>
            <w:tcW w:w="1480" w:type="dxa"/>
            <w:noWrap w:val="0"/>
            <w:vAlign w:val="top"/>
          </w:tcPr>
          <w:p w14:paraId="7B0ACE7E">
            <w:pPr>
              <w:rPr>
                <w:rFonts w:hint="eastAsia" w:ascii="宋体" w:hAnsi="宋体" w:cs="宋体"/>
                <w:color w:val="auto"/>
                <w:szCs w:val="21"/>
                <w:highlight w:val="none"/>
              </w:rPr>
            </w:pPr>
          </w:p>
        </w:tc>
        <w:tc>
          <w:tcPr>
            <w:tcW w:w="1020" w:type="dxa"/>
            <w:noWrap w:val="0"/>
            <w:vAlign w:val="top"/>
          </w:tcPr>
          <w:p w14:paraId="0D83CB55">
            <w:pPr>
              <w:rPr>
                <w:rFonts w:hint="eastAsia" w:ascii="宋体" w:hAnsi="宋体" w:cs="宋体"/>
                <w:color w:val="auto"/>
                <w:szCs w:val="21"/>
                <w:highlight w:val="none"/>
              </w:rPr>
            </w:pPr>
          </w:p>
        </w:tc>
        <w:tc>
          <w:tcPr>
            <w:tcW w:w="932" w:type="dxa"/>
            <w:noWrap w:val="0"/>
            <w:vAlign w:val="top"/>
          </w:tcPr>
          <w:p w14:paraId="3E2C1370">
            <w:pPr>
              <w:rPr>
                <w:rFonts w:hint="eastAsia" w:ascii="宋体" w:hAnsi="宋体" w:cs="宋体"/>
                <w:color w:val="auto"/>
                <w:szCs w:val="21"/>
                <w:highlight w:val="none"/>
              </w:rPr>
            </w:pPr>
          </w:p>
        </w:tc>
      </w:tr>
      <w:tr w14:paraId="1DD660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noWrap w:val="0"/>
            <w:vAlign w:val="top"/>
          </w:tcPr>
          <w:p w14:paraId="4D109815">
            <w:pPr>
              <w:rPr>
                <w:rFonts w:hint="eastAsia" w:ascii="宋体" w:hAnsi="宋体" w:cs="宋体"/>
                <w:color w:val="auto"/>
                <w:szCs w:val="21"/>
                <w:highlight w:val="none"/>
              </w:rPr>
            </w:pPr>
          </w:p>
        </w:tc>
        <w:tc>
          <w:tcPr>
            <w:tcW w:w="1418" w:type="dxa"/>
            <w:noWrap w:val="0"/>
            <w:vAlign w:val="top"/>
          </w:tcPr>
          <w:p w14:paraId="7A71E3BC">
            <w:pPr>
              <w:rPr>
                <w:rFonts w:hint="eastAsia" w:ascii="宋体" w:hAnsi="宋体" w:cs="宋体"/>
                <w:color w:val="auto"/>
                <w:szCs w:val="21"/>
                <w:highlight w:val="none"/>
              </w:rPr>
            </w:pPr>
          </w:p>
        </w:tc>
        <w:tc>
          <w:tcPr>
            <w:tcW w:w="850" w:type="dxa"/>
            <w:noWrap w:val="0"/>
            <w:vAlign w:val="top"/>
          </w:tcPr>
          <w:p w14:paraId="2E7CFCC4">
            <w:pPr>
              <w:rPr>
                <w:rFonts w:hint="eastAsia" w:ascii="宋体" w:hAnsi="宋体" w:cs="宋体"/>
                <w:color w:val="auto"/>
                <w:szCs w:val="21"/>
                <w:highlight w:val="none"/>
              </w:rPr>
            </w:pPr>
          </w:p>
        </w:tc>
        <w:tc>
          <w:tcPr>
            <w:tcW w:w="709" w:type="dxa"/>
            <w:noWrap w:val="0"/>
            <w:vAlign w:val="top"/>
          </w:tcPr>
          <w:p w14:paraId="24693CC0">
            <w:pPr>
              <w:rPr>
                <w:rFonts w:hint="eastAsia" w:ascii="宋体" w:hAnsi="宋体" w:cs="宋体"/>
                <w:color w:val="auto"/>
                <w:szCs w:val="21"/>
                <w:highlight w:val="none"/>
              </w:rPr>
            </w:pPr>
          </w:p>
        </w:tc>
        <w:tc>
          <w:tcPr>
            <w:tcW w:w="850" w:type="dxa"/>
            <w:noWrap w:val="0"/>
            <w:vAlign w:val="top"/>
          </w:tcPr>
          <w:p w14:paraId="191071D1">
            <w:pPr>
              <w:rPr>
                <w:rFonts w:hint="eastAsia" w:ascii="宋体" w:hAnsi="宋体" w:cs="宋体"/>
                <w:color w:val="auto"/>
                <w:szCs w:val="21"/>
                <w:highlight w:val="none"/>
              </w:rPr>
            </w:pPr>
          </w:p>
        </w:tc>
        <w:tc>
          <w:tcPr>
            <w:tcW w:w="963" w:type="dxa"/>
            <w:noWrap w:val="0"/>
            <w:vAlign w:val="top"/>
          </w:tcPr>
          <w:p w14:paraId="07D82D7A">
            <w:pPr>
              <w:rPr>
                <w:rFonts w:hint="eastAsia" w:ascii="宋体" w:hAnsi="宋体" w:cs="宋体"/>
                <w:color w:val="auto"/>
                <w:szCs w:val="21"/>
                <w:highlight w:val="none"/>
              </w:rPr>
            </w:pPr>
          </w:p>
        </w:tc>
        <w:tc>
          <w:tcPr>
            <w:tcW w:w="1480" w:type="dxa"/>
            <w:noWrap w:val="0"/>
            <w:vAlign w:val="top"/>
          </w:tcPr>
          <w:p w14:paraId="200A184F">
            <w:pPr>
              <w:rPr>
                <w:rFonts w:hint="eastAsia" w:ascii="宋体" w:hAnsi="宋体" w:cs="宋体"/>
                <w:color w:val="auto"/>
                <w:szCs w:val="21"/>
                <w:highlight w:val="none"/>
              </w:rPr>
            </w:pPr>
          </w:p>
        </w:tc>
        <w:tc>
          <w:tcPr>
            <w:tcW w:w="1020" w:type="dxa"/>
            <w:noWrap w:val="0"/>
            <w:vAlign w:val="top"/>
          </w:tcPr>
          <w:p w14:paraId="085E7DCC">
            <w:pPr>
              <w:rPr>
                <w:rFonts w:hint="eastAsia" w:ascii="宋体" w:hAnsi="宋体" w:cs="宋体"/>
                <w:color w:val="auto"/>
                <w:szCs w:val="21"/>
                <w:highlight w:val="none"/>
              </w:rPr>
            </w:pPr>
          </w:p>
        </w:tc>
        <w:tc>
          <w:tcPr>
            <w:tcW w:w="932" w:type="dxa"/>
            <w:noWrap w:val="0"/>
            <w:vAlign w:val="top"/>
          </w:tcPr>
          <w:p w14:paraId="14E73D99">
            <w:pPr>
              <w:rPr>
                <w:rFonts w:hint="eastAsia" w:ascii="宋体" w:hAnsi="宋体" w:cs="宋体"/>
                <w:color w:val="auto"/>
                <w:szCs w:val="21"/>
                <w:highlight w:val="none"/>
              </w:rPr>
            </w:pPr>
          </w:p>
        </w:tc>
      </w:tr>
      <w:tr w14:paraId="617DC5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tcBorders>
              <w:bottom w:val="single" w:color="auto" w:sz="12" w:space="0"/>
            </w:tcBorders>
            <w:noWrap w:val="0"/>
            <w:vAlign w:val="top"/>
          </w:tcPr>
          <w:p w14:paraId="02C5DBF7">
            <w:pPr>
              <w:rPr>
                <w:rFonts w:hint="eastAsia" w:ascii="宋体" w:hAnsi="宋体" w:cs="宋体"/>
                <w:color w:val="auto"/>
                <w:szCs w:val="21"/>
                <w:highlight w:val="none"/>
              </w:rPr>
            </w:pPr>
          </w:p>
        </w:tc>
        <w:tc>
          <w:tcPr>
            <w:tcW w:w="1418" w:type="dxa"/>
            <w:tcBorders>
              <w:bottom w:val="single" w:color="auto" w:sz="12" w:space="0"/>
            </w:tcBorders>
            <w:noWrap w:val="0"/>
            <w:vAlign w:val="top"/>
          </w:tcPr>
          <w:p w14:paraId="28B4E449">
            <w:pPr>
              <w:rPr>
                <w:rFonts w:hint="eastAsia" w:ascii="宋体" w:hAnsi="宋体" w:cs="宋体"/>
                <w:color w:val="auto"/>
                <w:szCs w:val="21"/>
                <w:highlight w:val="none"/>
              </w:rPr>
            </w:pPr>
          </w:p>
        </w:tc>
        <w:tc>
          <w:tcPr>
            <w:tcW w:w="850" w:type="dxa"/>
            <w:tcBorders>
              <w:bottom w:val="single" w:color="auto" w:sz="12" w:space="0"/>
            </w:tcBorders>
            <w:noWrap w:val="0"/>
            <w:vAlign w:val="top"/>
          </w:tcPr>
          <w:p w14:paraId="08863A68">
            <w:pPr>
              <w:rPr>
                <w:rFonts w:hint="eastAsia" w:ascii="宋体" w:hAnsi="宋体" w:cs="宋体"/>
                <w:color w:val="auto"/>
                <w:szCs w:val="21"/>
                <w:highlight w:val="none"/>
              </w:rPr>
            </w:pPr>
          </w:p>
        </w:tc>
        <w:tc>
          <w:tcPr>
            <w:tcW w:w="709" w:type="dxa"/>
            <w:tcBorders>
              <w:bottom w:val="single" w:color="auto" w:sz="12" w:space="0"/>
            </w:tcBorders>
            <w:noWrap w:val="0"/>
            <w:vAlign w:val="top"/>
          </w:tcPr>
          <w:p w14:paraId="6F33A206">
            <w:pPr>
              <w:rPr>
                <w:rFonts w:hint="eastAsia" w:ascii="宋体" w:hAnsi="宋体" w:cs="宋体"/>
                <w:color w:val="auto"/>
                <w:szCs w:val="21"/>
                <w:highlight w:val="none"/>
              </w:rPr>
            </w:pPr>
          </w:p>
        </w:tc>
        <w:tc>
          <w:tcPr>
            <w:tcW w:w="850" w:type="dxa"/>
            <w:tcBorders>
              <w:bottom w:val="single" w:color="auto" w:sz="12" w:space="0"/>
            </w:tcBorders>
            <w:noWrap w:val="0"/>
            <w:vAlign w:val="top"/>
          </w:tcPr>
          <w:p w14:paraId="7D874C72">
            <w:pPr>
              <w:rPr>
                <w:rFonts w:hint="eastAsia" w:ascii="宋体" w:hAnsi="宋体" w:cs="宋体"/>
                <w:color w:val="auto"/>
                <w:szCs w:val="21"/>
                <w:highlight w:val="none"/>
              </w:rPr>
            </w:pPr>
          </w:p>
        </w:tc>
        <w:tc>
          <w:tcPr>
            <w:tcW w:w="963" w:type="dxa"/>
            <w:tcBorders>
              <w:bottom w:val="single" w:color="auto" w:sz="12" w:space="0"/>
            </w:tcBorders>
            <w:noWrap w:val="0"/>
            <w:vAlign w:val="top"/>
          </w:tcPr>
          <w:p w14:paraId="0F8399C6">
            <w:pPr>
              <w:rPr>
                <w:rFonts w:hint="eastAsia" w:ascii="宋体" w:hAnsi="宋体" w:cs="宋体"/>
                <w:color w:val="auto"/>
                <w:szCs w:val="21"/>
                <w:highlight w:val="none"/>
              </w:rPr>
            </w:pPr>
          </w:p>
        </w:tc>
        <w:tc>
          <w:tcPr>
            <w:tcW w:w="1480" w:type="dxa"/>
            <w:tcBorders>
              <w:bottom w:val="single" w:color="auto" w:sz="12" w:space="0"/>
            </w:tcBorders>
            <w:noWrap w:val="0"/>
            <w:vAlign w:val="top"/>
          </w:tcPr>
          <w:p w14:paraId="336AD196">
            <w:pPr>
              <w:rPr>
                <w:rFonts w:hint="eastAsia" w:ascii="宋体" w:hAnsi="宋体" w:cs="宋体"/>
                <w:color w:val="auto"/>
                <w:szCs w:val="21"/>
                <w:highlight w:val="none"/>
              </w:rPr>
            </w:pPr>
          </w:p>
        </w:tc>
        <w:tc>
          <w:tcPr>
            <w:tcW w:w="1020" w:type="dxa"/>
            <w:tcBorders>
              <w:bottom w:val="single" w:color="auto" w:sz="12" w:space="0"/>
            </w:tcBorders>
            <w:noWrap w:val="0"/>
            <w:vAlign w:val="top"/>
          </w:tcPr>
          <w:p w14:paraId="61F098DA">
            <w:pPr>
              <w:rPr>
                <w:rFonts w:hint="eastAsia" w:ascii="宋体" w:hAnsi="宋体" w:cs="宋体"/>
                <w:color w:val="auto"/>
                <w:szCs w:val="21"/>
                <w:highlight w:val="none"/>
              </w:rPr>
            </w:pPr>
          </w:p>
        </w:tc>
        <w:tc>
          <w:tcPr>
            <w:tcW w:w="932" w:type="dxa"/>
            <w:tcBorders>
              <w:bottom w:val="single" w:color="auto" w:sz="12" w:space="0"/>
            </w:tcBorders>
            <w:noWrap w:val="0"/>
            <w:vAlign w:val="top"/>
          </w:tcPr>
          <w:p w14:paraId="616F428F">
            <w:pPr>
              <w:rPr>
                <w:rFonts w:hint="eastAsia" w:ascii="宋体" w:hAnsi="宋体" w:cs="宋体"/>
                <w:color w:val="auto"/>
                <w:szCs w:val="21"/>
                <w:highlight w:val="none"/>
              </w:rPr>
            </w:pPr>
          </w:p>
        </w:tc>
      </w:tr>
    </w:tbl>
    <w:p w14:paraId="2A4412A7">
      <w:pPr>
        <w:rPr>
          <w:rFonts w:hint="eastAsia" w:ascii="宋体" w:hAnsi="宋体" w:cs="宋体"/>
          <w:color w:val="auto"/>
          <w:szCs w:val="21"/>
          <w:highlight w:val="none"/>
        </w:rPr>
      </w:pPr>
    </w:p>
    <w:p w14:paraId="4E3E9687">
      <w:pPr>
        <w:widowControl/>
        <w:spacing w:line="360" w:lineRule="auto"/>
        <w:rPr>
          <w:rFonts w:hint="eastAsia" w:ascii="宋体" w:hAnsi="宋体" w:cs="宋体"/>
          <w:color w:val="auto"/>
          <w:szCs w:val="21"/>
          <w:highlight w:val="none"/>
        </w:rPr>
      </w:pPr>
    </w:p>
    <w:p w14:paraId="4C2F13E4">
      <w:pPr>
        <w:widowControl/>
        <w:spacing w:line="360" w:lineRule="auto"/>
        <w:rPr>
          <w:rFonts w:hint="eastAsia" w:ascii="宋体" w:hAnsi="宋体" w:cs="宋体"/>
          <w:color w:val="auto"/>
          <w:szCs w:val="21"/>
          <w:highlight w:val="none"/>
        </w:rPr>
      </w:pPr>
    </w:p>
    <w:p w14:paraId="6807330A">
      <w:pPr>
        <w:widowControl/>
        <w:spacing w:line="360" w:lineRule="auto"/>
        <w:rPr>
          <w:rFonts w:hint="eastAsia" w:ascii="宋体" w:hAnsi="宋体" w:cs="宋体"/>
          <w:color w:val="auto"/>
          <w:szCs w:val="21"/>
          <w:highlight w:val="none"/>
        </w:rPr>
      </w:pPr>
    </w:p>
    <w:p w14:paraId="05D44E55">
      <w:pPr>
        <w:widowControl/>
        <w:spacing w:line="360" w:lineRule="auto"/>
        <w:rPr>
          <w:rFonts w:hint="eastAsia" w:ascii="宋体" w:hAnsi="宋体" w:cs="宋体"/>
          <w:color w:val="auto"/>
          <w:szCs w:val="21"/>
          <w:highlight w:val="none"/>
        </w:rPr>
      </w:pPr>
    </w:p>
    <w:p w14:paraId="5B879984">
      <w:pPr>
        <w:widowControl/>
        <w:spacing w:line="360" w:lineRule="auto"/>
        <w:rPr>
          <w:rFonts w:hint="eastAsia" w:ascii="宋体" w:hAnsi="宋体" w:cs="宋体"/>
          <w:color w:val="auto"/>
          <w:szCs w:val="21"/>
          <w:highlight w:val="none"/>
        </w:rPr>
      </w:pPr>
    </w:p>
    <w:p w14:paraId="595BCFD4">
      <w:pPr>
        <w:widowControl/>
        <w:spacing w:line="360" w:lineRule="auto"/>
        <w:rPr>
          <w:rFonts w:hint="eastAsia" w:ascii="宋体" w:hAnsi="宋体" w:cs="宋体"/>
          <w:color w:val="auto"/>
          <w:szCs w:val="21"/>
          <w:highlight w:val="none"/>
        </w:rPr>
      </w:pPr>
    </w:p>
    <w:p w14:paraId="37D7AC24">
      <w:pPr>
        <w:widowControl/>
        <w:spacing w:line="360" w:lineRule="auto"/>
        <w:rPr>
          <w:rFonts w:hint="eastAsia" w:ascii="宋体" w:hAnsi="宋体" w:cs="宋体"/>
          <w:color w:val="auto"/>
          <w:szCs w:val="21"/>
          <w:highlight w:val="none"/>
        </w:rPr>
      </w:pPr>
    </w:p>
    <w:p w14:paraId="2B22FAD5">
      <w:pPr>
        <w:widowControl/>
        <w:spacing w:line="360" w:lineRule="auto"/>
        <w:rPr>
          <w:rFonts w:hint="eastAsia" w:ascii="宋体" w:hAnsi="宋体" w:cs="宋体"/>
          <w:color w:val="auto"/>
          <w:sz w:val="24"/>
          <w:highlight w:val="none"/>
        </w:rPr>
      </w:pPr>
    </w:p>
    <w:p w14:paraId="7DDCDC81">
      <w:pPr>
        <w:rPr>
          <w:rFonts w:hint="eastAsia" w:ascii="宋体" w:hAnsi="宋体" w:cs="宋体"/>
          <w:bCs/>
          <w:color w:val="auto"/>
          <w:sz w:val="24"/>
          <w:highlight w:val="none"/>
        </w:rPr>
      </w:pPr>
      <w:bookmarkStart w:id="1298" w:name="_Toc95223492"/>
      <w:r>
        <w:rPr>
          <w:rFonts w:hint="eastAsia" w:ascii="宋体" w:hAnsi="宋体" w:cs="宋体"/>
          <w:bCs/>
          <w:color w:val="auto"/>
          <w:sz w:val="24"/>
          <w:highlight w:val="none"/>
        </w:rPr>
        <w:br w:type="page"/>
      </w:r>
    </w:p>
    <w:p w14:paraId="17851A79">
      <w:pPr>
        <w:keepNext/>
        <w:keepLines/>
        <w:spacing w:before="120" w:after="120" w:line="360" w:lineRule="auto"/>
        <w:jc w:val="left"/>
        <w:outlineLvl w:val="2"/>
        <w:rPr>
          <w:rFonts w:hint="eastAsia" w:ascii="宋体" w:hAnsi="宋体" w:cs="宋体"/>
          <w:bCs/>
          <w:color w:val="auto"/>
          <w:sz w:val="24"/>
          <w:highlight w:val="none"/>
        </w:rPr>
      </w:pPr>
      <w:r>
        <w:rPr>
          <w:rFonts w:hint="eastAsia" w:ascii="宋体" w:hAnsi="宋体" w:cs="宋体"/>
          <w:bCs/>
          <w:color w:val="auto"/>
          <w:sz w:val="24"/>
          <w:highlight w:val="none"/>
        </w:rPr>
        <w:t>附</w:t>
      </w:r>
      <w:bookmarkStart w:id="1299" w:name="_Toc296346729"/>
      <w:bookmarkStart w:id="1300" w:name="_Toc296503228"/>
      <w:bookmarkStart w:id="1301" w:name="_Toc296347227"/>
      <w:bookmarkStart w:id="1302" w:name="_Toc267261699"/>
      <w:bookmarkStart w:id="1303" w:name="_Toc296891268"/>
      <w:bookmarkStart w:id="1304" w:name="_Toc296944567"/>
      <w:bookmarkStart w:id="1305" w:name="_Toc296891056"/>
      <w:r>
        <w:rPr>
          <w:rFonts w:hint="eastAsia" w:ascii="宋体" w:hAnsi="宋体" w:cs="宋体"/>
          <w:bCs/>
          <w:color w:val="auto"/>
          <w:sz w:val="24"/>
          <w:highlight w:val="none"/>
        </w:rPr>
        <w:t>件</w:t>
      </w:r>
      <w:bookmarkEnd w:id="1299"/>
      <w:bookmarkEnd w:id="1300"/>
      <w:bookmarkEnd w:id="1301"/>
      <w:bookmarkEnd w:id="1302"/>
      <w:bookmarkEnd w:id="1303"/>
      <w:bookmarkEnd w:id="1304"/>
      <w:bookmarkEnd w:id="1305"/>
      <w:r>
        <w:rPr>
          <w:rFonts w:hint="eastAsia" w:ascii="宋体" w:hAnsi="宋体" w:cs="宋体"/>
          <w:bCs/>
          <w:color w:val="auto"/>
          <w:sz w:val="24"/>
          <w:highlight w:val="none"/>
        </w:rPr>
        <w:t>6：承包人主要施工管理人员表</w:t>
      </w:r>
      <w:bookmarkEnd w:id="1298"/>
    </w:p>
    <w:p w14:paraId="72CDFFF5">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承包人主要施工管理人员表</w:t>
      </w:r>
    </w:p>
    <w:tbl>
      <w:tblPr>
        <w:tblStyle w:val="20"/>
        <w:tblW w:w="511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729"/>
        <w:gridCol w:w="1156"/>
        <w:gridCol w:w="926"/>
        <w:gridCol w:w="926"/>
        <w:gridCol w:w="2358"/>
        <w:gridCol w:w="2124"/>
      </w:tblGrid>
      <w:tr w14:paraId="3E5F5A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938" w:type="pct"/>
            <w:tcBorders>
              <w:top w:val="single" w:color="auto" w:sz="12" w:space="0"/>
              <w:bottom w:val="double" w:color="auto" w:sz="6" w:space="0"/>
            </w:tcBorders>
            <w:noWrap w:val="0"/>
            <w:vAlign w:val="center"/>
          </w:tcPr>
          <w:p w14:paraId="0441C50B">
            <w:pPr>
              <w:keepNext/>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名    称</w:t>
            </w:r>
          </w:p>
        </w:tc>
        <w:tc>
          <w:tcPr>
            <w:tcW w:w="627" w:type="pct"/>
            <w:tcBorders>
              <w:top w:val="single" w:color="auto" w:sz="12" w:space="0"/>
              <w:bottom w:val="double" w:color="auto" w:sz="6" w:space="0"/>
            </w:tcBorders>
            <w:noWrap w:val="0"/>
            <w:vAlign w:val="center"/>
          </w:tcPr>
          <w:p w14:paraId="09EB9137">
            <w:pPr>
              <w:keepNext/>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姓名</w:t>
            </w:r>
          </w:p>
        </w:tc>
        <w:tc>
          <w:tcPr>
            <w:tcW w:w="502" w:type="pct"/>
            <w:tcBorders>
              <w:top w:val="single" w:color="auto" w:sz="12" w:space="0"/>
              <w:bottom w:val="double" w:color="auto" w:sz="6" w:space="0"/>
            </w:tcBorders>
            <w:noWrap w:val="0"/>
            <w:vAlign w:val="center"/>
          </w:tcPr>
          <w:p w14:paraId="036CB93B">
            <w:pPr>
              <w:keepNext/>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职务</w:t>
            </w:r>
          </w:p>
        </w:tc>
        <w:tc>
          <w:tcPr>
            <w:tcW w:w="502" w:type="pct"/>
            <w:tcBorders>
              <w:top w:val="single" w:color="auto" w:sz="12" w:space="0"/>
              <w:bottom w:val="double" w:color="auto" w:sz="6" w:space="0"/>
            </w:tcBorders>
            <w:noWrap w:val="0"/>
            <w:vAlign w:val="center"/>
          </w:tcPr>
          <w:p w14:paraId="3C172D1E">
            <w:pPr>
              <w:keepNext/>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职称</w:t>
            </w:r>
          </w:p>
        </w:tc>
        <w:tc>
          <w:tcPr>
            <w:tcW w:w="1279" w:type="pct"/>
            <w:tcBorders>
              <w:top w:val="single" w:color="auto" w:sz="12" w:space="0"/>
              <w:bottom w:val="double" w:color="auto" w:sz="6" w:space="0"/>
            </w:tcBorders>
            <w:noWrap w:val="0"/>
            <w:vAlign w:val="center"/>
          </w:tcPr>
          <w:p w14:paraId="4EE6D116">
            <w:pPr>
              <w:keepNext/>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主要资历、经验及承担过的项目</w:t>
            </w:r>
          </w:p>
        </w:tc>
        <w:tc>
          <w:tcPr>
            <w:tcW w:w="1153" w:type="pct"/>
            <w:tcBorders>
              <w:top w:val="single" w:color="auto" w:sz="12" w:space="0"/>
              <w:bottom w:val="double" w:color="auto" w:sz="6" w:space="0"/>
            </w:tcBorders>
            <w:noWrap w:val="0"/>
            <w:vAlign w:val="top"/>
          </w:tcPr>
          <w:p w14:paraId="79E7A4E3">
            <w:pPr>
              <w:keepNext/>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身份证号码</w:t>
            </w:r>
          </w:p>
        </w:tc>
      </w:tr>
      <w:tr w14:paraId="706BE8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847" w:type="pct"/>
            <w:gridSpan w:val="5"/>
            <w:tcBorders>
              <w:top w:val="double" w:color="auto" w:sz="6" w:space="0"/>
            </w:tcBorders>
            <w:noWrap w:val="0"/>
            <w:vAlign w:val="center"/>
          </w:tcPr>
          <w:p w14:paraId="6AA87D3F">
            <w:pPr>
              <w:keepNext/>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一、总部人员</w:t>
            </w:r>
          </w:p>
        </w:tc>
        <w:tc>
          <w:tcPr>
            <w:tcW w:w="1153" w:type="pct"/>
            <w:tcBorders>
              <w:top w:val="double" w:color="auto" w:sz="6" w:space="0"/>
            </w:tcBorders>
            <w:noWrap w:val="0"/>
            <w:vAlign w:val="top"/>
          </w:tcPr>
          <w:p w14:paraId="51480D2A">
            <w:pPr>
              <w:keepNext/>
              <w:spacing w:line="360" w:lineRule="auto"/>
              <w:jc w:val="center"/>
              <w:rPr>
                <w:rFonts w:hint="eastAsia" w:ascii="宋体" w:hAnsi="宋体" w:cs="宋体"/>
                <w:color w:val="auto"/>
                <w:szCs w:val="21"/>
                <w:highlight w:val="none"/>
              </w:rPr>
            </w:pPr>
          </w:p>
        </w:tc>
      </w:tr>
      <w:tr w14:paraId="7EC33F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tcBorders>
              <w:top w:val="nil"/>
              <w:bottom w:val="nil"/>
            </w:tcBorders>
            <w:noWrap w:val="0"/>
            <w:vAlign w:val="center"/>
          </w:tcPr>
          <w:p w14:paraId="598EFE23">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项目主管</w:t>
            </w:r>
          </w:p>
        </w:tc>
        <w:tc>
          <w:tcPr>
            <w:tcW w:w="627" w:type="pct"/>
            <w:tcBorders>
              <w:top w:val="nil"/>
            </w:tcBorders>
            <w:noWrap w:val="0"/>
            <w:vAlign w:val="center"/>
          </w:tcPr>
          <w:p w14:paraId="101654A9">
            <w:pPr>
              <w:keepNext/>
              <w:spacing w:line="360" w:lineRule="auto"/>
              <w:jc w:val="center"/>
              <w:rPr>
                <w:rFonts w:hint="eastAsia" w:ascii="宋体" w:hAnsi="宋体" w:cs="宋体"/>
                <w:color w:val="auto"/>
                <w:szCs w:val="21"/>
                <w:highlight w:val="none"/>
              </w:rPr>
            </w:pPr>
          </w:p>
        </w:tc>
        <w:tc>
          <w:tcPr>
            <w:tcW w:w="502" w:type="pct"/>
            <w:tcBorders>
              <w:top w:val="nil"/>
            </w:tcBorders>
            <w:noWrap w:val="0"/>
            <w:vAlign w:val="center"/>
          </w:tcPr>
          <w:p w14:paraId="708C60C6">
            <w:pPr>
              <w:keepNext/>
              <w:spacing w:line="360" w:lineRule="auto"/>
              <w:jc w:val="center"/>
              <w:rPr>
                <w:rFonts w:hint="eastAsia" w:ascii="宋体" w:hAnsi="宋体" w:cs="宋体"/>
                <w:color w:val="auto"/>
                <w:szCs w:val="21"/>
                <w:highlight w:val="none"/>
              </w:rPr>
            </w:pPr>
          </w:p>
        </w:tc>
        <w:tc>
          <w:tcPr>
            <w:tcW w:w="502" w:type="pct"/>
            <w:tcBorders>
              <w:top w:val="nil"/>
            </w:tcBorders>
            <w:noWrap w:val="0"/>
            <w:vAlign w:val="center"/>
          </w:tcPr>
          <w:p w14:paraId="181D1003">
            <w:pPr>
              <w:keepNext/>
              <w:spacing w:line="360" w:lineRule="auto"/>
              <w:jc w:val="center"/>
              <w:rPr>
                <w:rFonts w:hint="eastAsia" w:ascii="宋体" w:hAnsi="宋体" w:cs="宋体"/>
                <w:color w:val="auto"/>
                <w:szCs w:val="21"/>
                <w:highlight w:val="none"/>
              </w:rPr>
            </w:pPr>
          </w:p>
        </w:tc>
        <w:tc>
          <w:tcPr>
            <w:tcW w:w="1279" w:type="pct"/>
            <w:tcBorders>
              <w:top w:val="nil"/>
            </w:tcBorders>
            <w:noWrap w:val="0"/>
            <w:vAlign w:val="center"/>
          </w:tcPr>
          <w:p w14:paraId="0E54E01D">
            <w:pPr>
              <w:keepNext/>
              <w:spacing w:line="360" w:lineRule="auto"/>
              <w:jc w:val="center"/>
              <w:rPr>
                <w:rFonts w:hint="eastAsia" w:ascii="宋体" w:hAnsi="宋体" w:cs="宋体"/>
                <w:color w:val="auto"/>
                <w:szCs w:val="21"/>
                <w:highlight w:val="none"/>
              </w:rPr>
            </w:pPr>
          </w:p>
        </w:tc>
        <w:tc>
          <w:tcPr>
            <w:tcW w:w="1153" w:type="pct"/>
            <w:tcBorders>
              <w:top w:val="nil"/>
            </w:tcBorders>
            <w:noWrap w:val="0"/>
            <w:vAlign w:val="top"/>
          </w:tcPr>
          <w:p w14:paraId="30A8A2B0">
            <w:pPr>
              <w:keepNext/>
              <w:spacing w:line="360" w:lineRule="auto"/>
              <w:jc w:val="center"/>
              <w:rPr>
                <w:rFonts w:hint="eastAsia" w:ascii="宋体" w:hAnsi="宋体" w:cs="宋体"/>
                <w:color w:val="auto"/>
                <w:szCs w:val="21"/>
                <w:highlight w:val="none"/>
              </w:rPr>
            </w:pPr>
          </w:p>
        </w:tc>
      </w:tr>
      <w:tr w14:paraId="25B3F2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tcBorders>
              <w:bottom w:val="nil"/>
            </w:tcBorders>
            <w:noWrap w:val="0"/>
            <w:vAlign w:val="center"/>
          </w:tcPr>
          <w:p w14:paraId="1B43B7F6">
            <w:pPr>
              <w:spacing w:line="360" w:lineRule="auto"/>
              <w:jc w:val="center"/>
              <w:rPr>
                <w:rFonts w:hint="eastAsia" w:ascii="宋体" w:hAnsi="宋体" w:cs="宋体"/>
                <w:color w:val="auto"/>
                <w:szCs w:val="21"/>
                <w:highlight w:val="none"/>
              </w:rPr>
            </w:pPr>
          </w:p>
        </w:tc>
        <w:tc>
          <w:tcPr>
            <w:tcW w:w="627" w:type="pct"/>
            <w:noWrap w:val="0"/>
            <w:vAlign w:val="center"/>
          </w:tcPr>
          <w:p w14:paraId="097FA0BC">
            <w:pPr>
              <w:keepNext/>
              <w:spacing w:line="360" w:lineRule="auto"/>
              <w:jc w:val="center"/>
              <w:rPr>
                <w:rFonts w:hint="eastAsia" w:ascii="宋体" w:hAnsi="宋体" w:cs="宋体"/>
                <w:color w:val="auto"/>
                <w:szCs w:val="21"/>
                <w:highlight w:val="none"/>
              </w:rPr>
            </w:pPr>
          </w:p>
        </w:tc>
        <w:tc>
          <w:tcPr>
            <w:tcW w:w="502" w:type="pct"/>
            <w:noWrap w:val="0"/>
            <w:vAlign w:val="center"/>
          </w:tcPr>
          <w:p w14:paraId="66FBF3F0">
            <w:pPr>
              <w:keepNext/>
              <w:spacing w:line="360" w:lineRule="auto"/>
              <w:jc w:val="center"/>
              <w:rPr>
                <w:rFonts w:hint="eastAsia" w:ascii="宋体" w:hAnsi="宋体" w:cs="宋体"/>
                <w:color w:val="auto"/>
                <w:szCs w:val="21"/>
                <w:highlight w:val="none"/>
              </w:rPr>
            </w:pPr>
          </w:p>
        </w:tc>
        <w:tc>
          <w:tcPr>
            <w:tcW w:w="502" w:type="pct"/>
            <w:noWrap w:val="0"/>
            <w:vAlign w:val="center"/>
          </w:tcPr>
          <w:p w14:paraId="0D353195">
            <w:pPr>
              <w:keepNext/>
              <w:spacing w:line="360" w:lineRule="auto"/>
              <w:jc w:val="center"/>
              <w:rPr>
                <w:rFonts w:hint="eastAsia" w:ascii="宋体" w:hAnsi="宋体" w:cs="宋体"/>
                <w:color w:val="auto"/>
                <w:szCs w:val="21"/>
                <w:highlight w:val="none"/>
              </w:rPr>
            </w:pPr>
          </w:p>
        </w:tc>
        <w:tc>
          <w:tcPr>
            <w:tcW w:w="1279" w:type="pct"/>
            <w:noWrap w:val="0"/>
            <w:vAlign w:val="center"/>
          </w:tcPr>
          <w:p w14:paraId="238ABC49">
            <w:pPr>
              <w:keepNext/>
              <w:spacing w:line="360" w:lineRule="auto"/>
              <w:jc w:val="center"/>
              <w:rPr>
                <w:rFonts w:hint="eastAsia" w:ascii="宋体" w:hAnsi="宋体" w:cs="宋体"/>
                <w:color w:val="auto"/>
                <w:szCs w:val="21"/>
                <w:highlight w:val="none"/>
              </w:rPr>
            </w:pPr>
          </w:p>
        </w:tc>
        <w:tc>
          <w:tcPr>
            <w:tcW w:w="1153" w:type="pct"/>
            <w:noWrap w:val="0"/>
            <w:vAlign w:val="top"/>
          </w:tcPr>
          <w:p w14:paraId="42D02C0B">
            <w:pPr>
              <w:keepNext/>
              <w:spacing w:line="360" w:lineRule="auto"/>
              <w:jc w:val="center"/>
              <w:rPr>
                <w:rFonts w:hint="eastAsia" w:ascii="宋体" w:hAnsi="宋体" w:cs="宋体"/>
                <w:color w:val="auto"/>
                <w:szCs w:val="21"/>
                <w:highlight w:val="none"/>
              </w:rPr>
            </w:pPr>
          </w:p>
        </w:tc>
      </w:tr>
      <w:tr w14:paraId="3F9584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tcBorders>
              <w:top w:val="nil"/>
              <w:bottom w:val="nil"/>
            </w:tcBorders>
            <w:noWrap w:val="0"/>
            <w:vAlign w:val="center"/>
          </w:tcPr>
          <w:p w14:paraId="71CF0FF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其他人员</w:t>
            </w:r>
          </w:p>
        </w:tc>
        <w:tc>
          <w:tcPr>
            <w:tcW w:w="627" w:type="pct"/>
            <w:noWrap w:val="0"/>
            <w:vAlign w:val="center"/>
          </w:tcPr>
          <w:p w14:paraId="42B2EA76">
            <w:pPr>
              <w:keepNext/>
              <w:spacing w:line="360" w:lineRule="auto"/>
              <w:jc w:val="center"/>
              <w:rPr>
                <w:rFonts w:hint="eastAsia" w:ascii="宋体" w:hAnsi="宋体" w:cs="宋体"/>
                <w:color w:val="auto"/>
                <w:szCs w:val="21"/>
                <w:highlight w:val="none"/>
              </w:rPr>
            </w:pPr>
          </w:p>
        </w:tc>
        <w:tc>
          <w:tcPr>
            <w:tcW w:w="502" w:type="pct"/>
            <w:noWrap w:val="0"/>
            <w:vAlign w:val="center"/>
          </w:tcPr>
          <w:p w14:paraId="6B5B9328">
            <w:pPr>
              <w:keepNext/>
              <w:spacing w:line="360" w:lineRule="auto"/>
              <w:jc w:val="center"/>
              <w:rPr>
                <w:rFonts w:hint="eastAsia" w:ascii="宋体" w:hAnsi="宋体" w:cs="宋体"/>
                <w:color w:val="auto"/>
                <w:szCs w:val="21"/>
                <w:highlight w:val="none"/>
              </w:rPr>
            </w:pPr>
          </w:p>
        </w:tc>
        <w:tc>
          <w:tcPr>
            <w:tcW w:w="502" w:type="pct"/>
            <w:noWrap w:val="0"/>
            <w:vAlign w:val="center"/>
          </w:tcPr>
          <w:p w14:paraId="0FC7C047">
            <w:pPr>
              <w:keepNext/>
              <w:spacing w:line="360" w:lineRule="auto"/>
              <w:jc w:val="center"/>
              <w:rPr>
                <w:rFonts w:hint="eastAsia" w:ascii="宋体" w:hAnsi="宋体" w:cs="宋体"/>
                <w:color w:val="auto"/>
                <w:szCs w:val="21"/>
                <w:highlight w:val="none"/>
              </w:rPr>
            </w:pPr>
          </w:p>
        </w:tc>
        <w:tc>
          <w:tcPr>
            <w:tcW w:w="1279" w:type="pct"/>
            <w:noWrap w:val="0"/>
            <w:vAlign w:val="center"/>
          </w:tcPr>
          <w:p w14:paraId="491A17AA">
            <w:pPr>
              <w:keepNext/>
              <w:spacing w:line="360" w:lineRule="auto"/>
              <w:jc w:val="center"/>
              <w:rPr>
                <w:rFonts w:hint="eastAsia" w:ascii="宋体" w:hAnsi="宋体" w:cs="宋体"/>
                <w:color w:val="auto"/>
                <w:szCs w:val="21"/>
                <w:highlight w:val="none"/>
              </w:rPr>
            </w:pPr>
          </w:p>
        </w:tc>
        <w:tc>
          <w:tcPr>
            <w:tcW w:w="1153" w:type="pct"/>
            <w:noWrap w:val="0"/>
            <w:vAlign w:val="top"/>
          </w:tcPr>
          <w:p w14:paraId="2686F1C1">
            <w:pPr>
              <w:keepNext/>
              <w:spacing w:line="360" w:lineRule="auto"/>
              <w:jc w:val="center"/>
              <w:rPr>
                <w:rFonts w:hint="eastAsia" w:ascii="宋体" w:hAnsi="宋体" w:cs="宋体"/>
                <w:color w:val="auto"/>
                <w:szCs w:val="21"/>
                <w:highlight w:val="none"/>
              </w:rPr>
            </w:pPr>
          </w:p>
        </w:tc>
      </w:tr>
      <w:tr w14:paraId="051656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tcBorders>
              <w:top w:val="nil"/>
              <w:bottom w:val="nil"/>
            </w:tcBorders>
            <w:noWrap w:val="0"/>
            <w:vAlign w:val="center"/>
          </w:tcPr>
          <w:p w14:paraId="1AC4264C">
            <w:pPr>
              <w:spacing w:line="360" w:lineRule="auto"/>
              <w:jc w:val="center"/>
              <w:rPr>
                <w:rFonts w:hint="eastAsia" w:ascii="宋体" w:hAnsi="宋体" w:cs="宋体"/>
                <w:color w:val="auto"/>
                <w:szCs w:val="21"/>
                <w:highlight w:val="none"/>
              </w:rPr>
            </w:pPr>
          </w:p>
        </w:tc>
        <w:tc>
          <w:tcPr>
            <w:tcW w:w="627" w:type="pct"/>
            <w:noWrap w:val="0"/>
            <w:vAlign w:val="center"/>
          </w:tcPr>
          <w:p w14:paraId="75908F9F">
            <w:pPr>
              <w:keepNext/>
              <w:spacing w:line="360" w:lineRule="auto"/>
              <w:jc w:val="center"/>
              <w:rPr>
                <w:rFonts w:hint="eastAsia" w:ascii="宋体" w:hAnsi="宋体" w:cs="宋体"/>
                <w:color w:val="auto"/>
                <w:szCs w:val="21"/>
                <w:highlight w:val="none"/>
              </w:rPr>
            </w:pPr>
          </w:p>
        </w:tc>
        <w:tc>
          <w:tcPr>
            <w:tcW w:w="502" w:type="pct"/>
            <w:noWrap w:val="0"/>
            <w:vAlign w:val="center"/>
          </w:tcPr>
          <w:p w14:paraId="564CA3AE">
            <w:pPr>
              <w:keepNext/>
              <w:spacing w:line="360" w:lineRule="auto"/>
              <w:jc w:val="center"/>
              <w:rPr>
                <w:rFonts w:hint="eastAsia" w:ascii="宋体" w:hAnsi="宋体" w:cs="宋体"/>
                <w:color w:val="auto"/>
                <w:szCs w:val="21"/>
                <w:highlight w:val="none"/>
              </w:rPr>
            </w:pPr>
          </w:p>
        </w:tc>
        <w:tc>
          <w:tcPr>
            <w:tcW w:w="502" w:type="pct"/>
            <w:noWrap w:val="0"/>
            <w:vAlign w:val="center"/>
          </w:tcPr>
          <w:p w14:paraId="4D6E469B">
            <w:pPr>
              <w:keepNext/>
              <w:spacing w:line="360" w:lineRule="auto"/>
              <w:jc w:val="center"/>
              <w:rPr>
                <w:rFonts w:hint="eastAsia" w:ascii="宋体" w:hAnsi="宋体" w:cs="宋体"/>
                <w:color w:val="auto"/>
                <w:szCs w:val="21"/>
                <w:highlight w:val="none"/>
              </w:rPr>
            </w:pPr>
          </w:p>
        </w:tc>
        <w:tc>
          <w:tcPr>
            <w:tcW w:w="1279" w:type="pct"/>
            <w:noWrap w:val="0"/>
            <w:vAlign w:val="center"/>
          </w:tcPr>
          <w:p w14:paraId="48DEDBBA">
            <w:pPr>
              <w:keepNext/>
              <w:spacing w:line="360" w:lineRule="auto"/>
              <w:jc w:val="center"/>
              <w:rPr>
                <w:rFonts w:hint="eastAsia" w:ascii="宋体" w:hAnsi="宋体" w:cs="宋体"/>
                <w:color w:val="auto"/>
                <w:szCs w:val="21"/>
                <w:highlight w:val="none"/>
              </w:rPr>
            </w:pPr>
          </w:p>
        </w:tc>
        <w:tc>
          <w:tcPr>
            <w:tcW w:w="1153" w:type="pct"/>
            <w:noWrap w:val="0"/>
            <w:vAlign w:val="top"/>
          </w:tcPr>
          <w:p w14:paraId="5C6406A2">
            <w:pPr>
              <w:keepNext/>
              <w:spacing w:line="360" w:lineRule="auto"/>
              <w:jc w:val="center"/>
              <w:rPr>
                <w:rFonts w:hint="eastAsia" w:ascii="宋体" w:hAnsi="宋体" w:cs="宋体"/>
                <w:color w:val="auto"/>
                <w:szCs w:val="21"/>
                <w:highlight w:val="none"/>
              </w:rPr>
            </w:pPr>
          </w:p>
        </w:tc>
      </w:tr>
      <w:tr w14:paraId="7D0D09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847" w:type="pct"/>
            <w:gridSpan w:val="5"/>
            <w:noWrap w:val="0"/>
            <w:vAlign w:val="center"/>
          </w:tcPr>
          <w:p w14:paraId="0548F51C">
            <w:pPr>
              <w:keepNext/>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二、现场人员</w:t>
            </w:r>
          </w:p>
        </w:tc>
        <w:tc>
          <w:tcPr>
            <w:tcW w:w="1153" w:type="pct"/>
            <w:noWrap w:val="0"/>
            <w:vAlign w:val="top"/>
          </w:tcPr>
          <w:p w14:paraId="119F6A2E">
            <w:pPr>
              <w:keepNext/>
              <w:spacing w:line="360" w:lineRule="auto"/>
              <w:jc w:val="center"/>
              <w:rPr>
                <w:rFonts w:hint="eastAsia" w:ascii="宋体" w:hAnsi="宋体" w:cs="宋体"/>
                <w:color w:val="auto"/>
                <w:szCs w:val="21"/>
                <w:highlight w:val="none"/>
              </w:rPr>
            </w:pPr>
          </w:p>
        </w:tc>
      </w:tr>
      <w:tr w14:paraId="3BB954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noWrap w:val="0"/>
            <w:vAlign w:val="center"/>
          </w:tcPr>
          <w:p w14:paraId="46E7D00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项目经理</w:t>
            </w:r>
          </w:p>
        </w:tc>
        <w:tc>
          <w:tcPr>
            <w:tcW w:w="627" w:type="pct"/>
            <w:noWrap w:val="0"/>
            <w:vAlign w:val="center"/>
          </w:tcPr>
          <w:p w14:paraId="2869FA08">
            <w:pPr>
              <w:keepNext/>
              <w:spacing w:line="360" w:lineRule="auto"/>
              <w:jc w:val="center"/>
              <w:rPr>
                <w:rFonts w:hint="eastAsia" w:ascii="宋体" w:hAnsi="宋体" w:cs="宋体"/>
                <w:color w:val="auto"/>
                <w:szCs w:val="21"/>
                <w:highlight w:val="none"/>
              </w:rPr>
            </w:pPr>
          </w:p>
        </w:tc>
        <w:tc>
          <w:tcPr>
            <w:tcW w:w="502" w:type="pct"/>
            <w:noWrap w:val="0"/>
            <w:vAlign w:val="center"/>
          </w:tcPr>
          <w:p w14:paraId="0720B97C">
            <w:pPr>
              <w:keepNext/>
              <w:spacing w:line="360" w:lineRule="auto"/>
              <w:jc w:val="center"/>
              <w:rPr>
                <w:rFonts w:hint="eastAsia" w:ascii="宋体" w:hAnsi="宋体" w:cs="宋体"/>
                <w:color w:val="auto"/>
                <w:szCs w:val="21"/>
                <w:highlight w:val="none"/>
              </w:rPr>
            </w:pPr>
          </w:p>
        </w:tc>
        <w:tc>
          <w:tcPr>
            <w:tcW w:w="502" w:type="pct"/>
            <w:noWrap w:val="0"/>
            <w:vAlign w:val="center"/>
          </w:tcPr>
          <w:p w14:paraId="780DF9A4">
            <w:pPr>
              <w:keepNext/>
              <w:spacing w:line="360" w:lineRule="auto"/>
              <w:jc w:val="center"/>
              <w:rPr>
                <w:rFonts w:hint="eastAsia" w:ascii="宋体" w:hAnsi="宋体" w:cs="宋体"/>
                <w:color w:val="auto"/>
                <w:szCs w:val="21"/>
                <w:highlight w:val="none"/>
              </w:rPr>
            </w:pPr>
          </w:p>
        </w:tc>
        <w:tc>
          <w:tcPr>
            <w:tcW w:w="1279" w:type="pct"/>
            <w:noWrap w:val="0"/>
            <w:vAlign w:val="center"/>
          </w:tcPr>
          <w:p w14:paraId="12A84E7D">
            <w:pPr>
              <w:keepNext/>
              <w:spacing w:line="360" w:lineRule="auto"/>
              <w:jc w:val="center"/>
              <w:rPr>
                <w:rFonts w:hint="eastAsia" w:ascii="宋体" w:hAnsi="宋体" w:cs="宋体"/>
                <w:color w:val="auto"/>
                <w:szCs w:val="21"/>
                <w:highlight w:val="none"/>
              </w:rPr>
            </w:pPr>
          </w:p>
        </w:tc>
        <w:tc>
          <w:tcPr>
            <w:tcW w:w="1153" w:type="pct"/>
            <w:noWrap w:val="0"/>
            <w:vAlign w:val="top"/>
          </w:tcPr>
          <w:p w14:paraId="32B185D5">
            <w:pPr>
              <w:keepNext/>
              <w:spacing w:line="360" w:lineRule="auto"/>
              <w:jc w:val="center"/>
              <w:rPr>
                <w:rFonts w:hint="eastAsia" w:ascii="宋体" w:hAnsi="宋体" w:cs="宋体"/>
                <w:color w:val="auto"/>
                <w:szCs w:val="21"/>
                <w:highlight w:val="none"/>
              </w:rPr>
            </w:pPr>
          </w:p>
        </w:tc>
      </w:tr>
      <w:tr w14:paraId="5C420D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noWrap w:val="0"/>
            <w:vAlign w:val="center"/>
          </w:tcPr>
          <w:p w14:paraId="51FA4AC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项目副经理</w:t>
            </w:r>
          </w:p>
        </w:tc>
        <w:tc>
          <w:tcPr>
            <w:tcW w:w="627" w:type="pct"/>
            <w:noWrap w:val="0"/>
            <w:vAlign w:val="center"/>
          </w:tcPr>
          <w:p w14:paraId="53F14D50">
            <w:pPr>
              <w:keepNext/>
              <w:spacing w:line="360" w:lineRule="auto"/>
              <w:jc w:val="center"/>
              <w:rPr>
                <w:rFonts w:hint="eastAsia" w:ascii="宋体" w:hAnsi="宋体" w:cs="宋体"/>
                <w:color w:val="auto"/>
                <w:szCs w:val="21"/>
                <w:highlight w:val="none"/>
              </w:rPr>
            </w:pPr>
          </w:p>
        </w:tc>
        <w:tc>
          <w:tcPr>
            <w:tcW w:w="502" w:type="pct"/>
            <w:noWrap w:val="0"/>
            <w:vAlign w:val="center"/>
          </w:tcPr>
          <w:p w14:paraId="2AD0EB3A">
            <w:pPr>
              <w:keepNext/>
              <w:spacing w:line="360" w:lineRule="auto"/>
              <w:jc w:val="center"/>
              <w:rPr>
                <w:rFonts w:hint="eastAsia" w:ascii="宋体" w:hAnsi="宋体" w:cs="宋体"/>
                <w:color w:val="auto"/>
                <w:szCs w:val="21"/>
                <w:highlight w:val="none"/>
              </w:rPr>
            </w:pPr>
          </w:p>
        </w:tc>
        <w:tc>
          <w:tcPr>
            <w:tcW w:w="502" w:type="pct"/>
            <w:noWrap w:val="0"/>
            <w:vAlign w:val="center"/>
          </w:tcPr>
          <w:p w14:paraId="546BD468">
            <w:pPr>
              <w:keepNext/>
              <w:spacing w:line="360" w:lineRule="auto"/>
              <w:jc w:val="center"/>
              <w:rPr>
                <w:rFonts w:hint="eastAsia" w:ascii="宋体" w:hAnsi="宋体" w:cs="宋体"/>
                <w:color w:val="auto"/>
                <w:szCs w:val="21"/>
                <w:highlight w:val="none"/>
              </w:rPr>
            </w:pPr>
          </w:p>
        </w:tc>
        <w:tc>
          <w:tcPr>
            <w:tcW w:w="1279" w:type="pct"/>
            <w:noWrap w:val="0"/>
            <w:vAlign w:val="center"/>
          </w:tcPr>
          <w:p w14:paraId="7C1404A5">
            <w:pPr>
              <w:keepNext/>
              <w:spacing w:line="360" w:lineRule="auto"/>
              <w:jc w:val="center"/>
              <w:rPr>
                <w:rFonts w:hint="eastAsia" w:ascii="宋体" w:hAnsi="宋体" w:cs="宋体"/>
                <w:color w:val="auto"/>
                <w:szCs w:val="21"/>
                <w:highlight w:val="none"/>
              </w:rPr>
            </w:pPr>
          </w:p>
        </w:tc>
        <w:tc>
          <w:tcPr>
            <w:tcW w:w="1153" w:type="pct"/>
            <w:noWrap w:val="0"/>
            <w:vAlign w:val="top"/>
          </w:tcPr>
          <w:p w14:paraId="203890FC">
            <w:pPr>
              <w:keepNext/>
              <w:spacing w:line="360" w:lineRule="auto"/>
              <w:jc w:val="center"/>
              <w:rPr>
                <w:rFonts w:hint="eastAsia" w:ascii="宋体" w:hAnsi="宋体" w:cs="宋体"/>
                <w:color w:val="auto"/>
                <w:szCs w:val="21"/>
                <w:highlight w:val="none"/>
              </w:rPr>
            </w:pPr>
          </w:p>
        </w:tc>
      </w:tr>
      <w:tr w14:paraId="3E03FA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noWrap w:val="0"/>
            <w:vAlign w:val="center"/>
          </w:tcPr>
          <w:p w14:paraId="6C339C0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项目技术负责人</w:t>
            </w:r>
          </w:p>
        </w:tc>
        <w:tc>
          <w:tcPr>
            <w:tcW w:w="627" w:type="pct"/>
            <w:noWrap w:val="0"/>
            <w:vAlign w:val="center"/>
          </w:tcPr>
          <w:p w14:paraId="37ED4363">
            <w:pPr>
              <w:keepNext/>
              <w:spacing w:line="360" w:lineRule="auto"/>
              <w:jc w:val="center"/>
              <w:rPr>
                <w:rFonts w:hint="eastAsia" w:ascii="宋体" w:hAnsi="宋体" w:cs="宋体"/>
                <w:color w:val="auto"/>
                <w:szCs w:val="21"/>
                <w:highlight w:val="none"/>
              </w:rPr>
            </w:pPr>
          </w:p>
        </w:tc>
        <w:tc>
          <w:tcPr>
            <w:tcW w:w="502" w:type="pct"/>
            <w:noWrap w:val="0"/>
            <w:vAlign w:val="center"/>
          </w:tcPr>
          <w:p w14:paraId="0A2CB121">
            <w:pPr>
              <w:keepNext/>
              <w:spacing w:line="360" w:lineRule="auto"/>
              <w:jc w:val="center"/>
              <w:rPr>
                <w:rFonts w:hint="eastAsia" w:ascii="宋体" w:hAnsi="宋体" w:cs="宋体"/>
                <w:color w:val="auto"/>
                <w:szCs w:val="21"/>
                <w:highlight w:val="none"/>
              </w:rPr>
            </w:pPr>
          </w:p>
        </w:tc>
        <w:tc>
          <w:tcPr>
            <w:tcW w:w="502" w:type="pct"/>
            <w:noWrap w:val="0"/>
            <w:vAlign w:val="center"/>
          </w:tcPr>
          <w:p w14:paraId="549F2850">
            <w:pPr>
              <w:keepNext/>
              <w:spacing w:line="360" w:lineRule="auto"/>
              <w:jc w:val="center"/>
              <w:rPr>
                <w:rFonts w:hint="eastAsia" w:ascii="宋体" w:hAnsi="宋体" w:cs="宋体"/>
                <w:color w:val="auto"/>
                <w:szCs w:val="21"/>
                <w:highlight w:val="none"/>
              </w:rPr>
            </w:pPr>
          </w:p>
        </w:tc>
        <w:tc>
          <w:tcPr>
            <w:tcW w:w="1279" w:type="pct"/>
            <w:noWrap w:val="0"/>
            <w:vAlign w:val="center"/>
          </w:tcPr>
          <w:p w14:paraId="414039E5">
            <w:pPr>
              <w:keepNext/>
              <w:spacing w:line="360" w:lineRule="auto"/>
              <w:jc w:val="center"/>
              <w:rPr>
                <w:rFonts w:hint="eastAsia" w:ascii="宋体" w:hAnsi="宋体" w:cs="宋体"/>
                <w:color w:val="auto"/>
                <w:szCs w:val="21"/>
                <w:highlight w:val="none"/>
              </w:rPr>
            </w:pPr>
          </w:p>
        </w:tc>
        <w:tc>
          <w:tcPr>
            <w:tcW w:w="1153" w:type="pct"/>
            <w:noWrap w:val="0"/>
            <w:vAlign w:val="top"/>
          </w:tcPr>
          <w:p w14:paraId="20599C17">
            <w:pPr>
              <w:keepNext/>
              <w:spacing w:line="360" w:lineRule="auto"/>
              <w:jc w:val="center"/>
              <w:rPr>
                <w:rFonts w:hint="eastAsia" w:ascii="宋体" w:hAnsi="宋体" w:cs="宋体"/>
                <w:color w:val="auto"/>
                <w:szCs w:val="21"/>
                <w:highlight w:val="none"/>
              </w:rPr>
            </w:pPr>
          </w:p>
        </w:tc>
      </w:tr>
      <w:tr w14:paraId="61CE7A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noWrap w:val="0"/>
            <w:vAlign w:val="center"/>
          </w:tcPr>
          <w:p w14:paraId="6065F60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施工员</w:t>
            </w:r>
          </w:p>
        </w:tc>
        <w:tc>
          <w:tcPr>
            <w:tcW w:w="627" w:type="pct"/>
            <w:noWrap w:val="0"/>
            <w:vAlign w:val="center"/>
          </w:tcPr>
          <w:p w14:paraId="53B31E4A">
            <w:pPr>
              <w:keepNext/>
              <w:spacing w:line="360" w:lineRule="auto"/>
              <w:jc w:val="center"/>
              <w:rPr>
                <w:rFonts w:hint="eastAsia" w:ascii="宋体" w:hAnsi="宋体" w:cs="宋体"/>
                <w:color w:val="auto"/>
                <w:szCs w:val="21"/>
                <w:highlight w:val="none"/>
              </w:rPr>
            </w:pPr>
          </w:p>
        </w:tc>
        <w:tc>
          <w:tcPr>
            <w:tcW w:w="502" w:type="pct"/>
            <w:noWrap w:val="0"/>
            <w:vAlign w:val="center"/>
          </w:tcPr>
          <w:p w14:paraId="523A2B72">
            <w:pPr>
              <w:keepNext/>
              <w:spacing w:line="360" w:lineRule="auto"/>
              <w:jc w:val="center"/>
              <w:rPr>
                <w:rFonts w:hint="eastAsia" w:ascii="宋体" w:hAnsi="宋体" w:cs="宋体"/>
                <w:color w:val="auto"/>
                <w:szCs w:val="21"/>
                <w:highlight w:val="none"/>
              </w:rPr>
            </w:pPr>
          </w:p>
        </w:tc>
        <w:tc>
          <w:tcPr>
            <w:tcW w:w="502" w:type="pct"/>
            <w:noWrap w:val="0"/>
            <w:vAlign w:val="center"/>
          </w:tcPr>
          <w:p w14:paraId="3777FB96">
            <w:pPr>
              <w:keepNext/>
              <w:spacing w:line="360" w:lineRule="auto"/>
              <w:jc w:val="center"/>
              <w:rPr>
                <w:rFonts w:hint="eastAsia" w:ascii="宋体" w:hAnsi="宋体" w:cs="宋体"/>
                <w:color w:val="auto"/>
                <w:szCs w:val="21"/>
                <w:highlight w:val="none"/>
              </w:rPr>
            </w:pPr>
          </w:p>
        </w:tc>
        <w:tc>
          <w:tcPr>
            <w:tcW w:w="1279" w:type="pct"/>
            <w:noWrap w:val="0"/>
            <w:vAlign w:val="center"/>
          </w:tcPr>
          <w:p w14:paraId="443DD697">
            <w:pPr>
              <w:keepNext/>
              <w:spacing w:line="360" w:lineRule="auto"/>
              <w:jc w:val="center"/>
              <w:rPr>
                <w:rFonts w:hint="eastAsia" w:ascii="宋体" w:hAnsi="宋体" w:cs="宋体"/>
                <w:color w:val="auto"/>
                <w:szCs w:val="21"/>
                <w:highlight w:val="none"/>
              </w:rPr>
            </w:pPr>
          </w:p>
        </w:tc>
        <w:tc>
          <w:tcPr>
            <w:tcW w:w="1153" w:type="pct"/>
            <w:noWrap w:val="0"/>
            <w:vAlign w:val="top"/>
          </w:tcPr>
          <w:p w14:paraId="54FAFDA6">
            <w:pPr>
              <w:keepNext/>
              <w:spacing w:line="360" w:lineRule="auto"/>
              <w:jc w:val="center"/>
              <w:rPr>
                <w:rFonts w:hint="eastAsia" w:ascii="宋体" w:hAnsi="宋体" w:cs="宋体"/>
                <w:color w:val="auto"/>
                <w:szCs w:val="21"/>
                <w:highlight w:val="none"/>
              </w:rPr>
            </w:pPr>
          </w:p>
        </w:tc>
      </w:tr>
      <w:tr w14:paraId="3A1D82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noWrap w:val="0"/>
            <w:vAlign w:val="center"/>
          </w:tcPr>
          <w:p w14:paraId="302ED65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质检员（质量员）</w:t>
            </w:r>
          </w:p>
        </w:tc>
        <w:tc>
          <w:tcPr>
            <w:tcW w:w="627" w:type="pct"/>
            <w:noWrap w:val="0"/>
            <w:vAlign w:val="center"/>
          </w:tcPr>
          <w:p w14:paraId="0E438FB4">
            <w:pPr>
              <w:keepNext/>
              <w:spacing w:line="360" w:lineRule="auto"/>
              <w:jc w:val="center"/>
              <w:rPr>
                <w:rFonts w:hint="eastAsia" w:ascii="宋体" w:hAnsi="宋体" w:cs="宋体"/>
                <w:color w:val="auto"/>
                <w:szCs w:val="21"/>
                <w:highlight w:val="none"/>
              </w:rPr>
            </w:pPr>
          </w:p>
        </w:tc>
        <w:tc>
          <w:tcPr>
            <w:tcW w:w="502" w:type="pct"/>
            <w:noWrap w:val="0"/>
            <w:vAlign w:val="center"/>
          </w:tcPr>
          <w:p w14:paraId="2FA9B733">
            <w:pPr>
              <w:keepNext/>
              <w:spacing w:line="360" w:lineRule="auto"/>
              <w:jc w:val="center"/>
              <w:rPr>
                <w:rFonts w:hint="eastAsia" w:ascii="宋体" w:hAnsi="宋体" w:cs="宋体"/>
                <w:color w:val="auto"/>
                <w:szCs w:val="21"/>
                <w:highlight w:val="none"/>
              </w:rPr>
            </w:pPr>
          </w:p>
        </w:tc>
        <w:tc>
          <w:tcPr>
            <w:tcW w:w="502" w:type="pct"/>
            <w:noWrap w:val="0"/>
            <w:vAlign w:val="center"/>
          </w:tcPr>
          <w:p w14:paraId="2DBBE355">
            <w:pPr>
              <w:keepNext/>
              <w:spacing w:line="360" w:lineRule="auto"/>
              <w:jc w:val="center"/>
              <w:rPr>
                <w:rFonts w:hint="eastAsia" w:ascii="宋体" w:hAnsi="宋体" w:cs="宋体"/>
                <w:color w:val="auto"/>
                <w:szCs w:val="21"/>
                <w:highlight w:val="none"/>
              </w:rPr>
            </w:pPr>
          </w:p>
        </w:tc>
        <w:tc>
          <w:tcPr>
            <w:tcW w:w="1279" w:type="pct"/>
            <w:noWrap w:val="0"/>
            <w:vAlign w:val="center"/>
          </w:tcPr>
          <w:p w14:paraId="3AAA8EFD">
            <w:pPr>
              <w:keepNext/>
              <w:spacing w:line="360" w:lineRule="auto"/>
              <w:jc w:val="center"/>
              <w:rPr>
                <w:rFonts w:hint="eastAsia" w:ascii="宋体" w:hAnsi="宋体" w:cs="宋体"/>
                <w:color w:val="auto"/>
                <w:szCs w:val="21"/>
                <w:highlight w:val="none"/>
              </w:rPr>
            </w:pPr>
          </w:p>
        </w:tc>
        <w:tc>
          <w:tcPr>
            <w:tcW w:w="1153" w:type="pct"/>
            <w:noWrap w:val="0"/>
            <w:vAlign w:val="top"/>
          </w:tcPr>
          <w:p w14:paraId="35ED78C1">
            <w:pPr>
              <w:keepNext/>
              <w:spacing w:line="360" w:lineRule="auto"/>
              <w:jc w:val="center"/>
              <w:rPr>
                <w:rFonts w:hint="eastAsia" w:ascii="宋体" w:hAnsi="宋体" w:cs="宋体"/>
                <w:color w:val="auto"/>
                <w:szCs w:val="21"/>
                <w:highlight w:val="none"/>
              </w:rPr>
            </w:pPr>
          </w:p>
        </w:tc>
      </w:tr>
      <w:tr w14:paraId="58C850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noWrap w:val="0"/>
            <w:vAlign w:val="center"/>
          </w:tcPr>
          <w:p w14:paraId="20D9D923">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安全员</w:t>
            </w:r>
          </w:p>
        </w:tc>
        <w:tc>
          <w:tcPr>
            <w:tcW w:w="627" w:type="pct"/>
            <w:noWrap w:val="0"/>
            <w:vAlign w:val="center"/>
          </w:tcPr>
          <w:p w14:paraId="1A9A0069">
            <w:pPr>
              <w:keepNext/>
              <w:spacing w:line="360" w:lineRule="auto"/>
              <w:jc w:val="center"/>
              <w:rPr>
                <w:rFonts w:hint="eastAsia" w:ascii="宋体" w:hAnsi="宋体" w:cs="宋体"/>
                <w:color w:val="auto"/>
                <w:szCs w:val="21"/>
                <w:highlight w:val="none"/>
              </w:rPr>
            </w:pPr>
          </w:p>
        </w:tc>
        <w:tc>
          <w:tcPr>
            <w:tcW w:w="502" w:type="pct"/>
            <w:noWrap w:val="0"/>
            <w:vAlign w:val="center"/>
          </w:tcPr>
          <w:p w14:paraId="378800FF">
            <w:pPr>
              <w:keepNext/>
              <w:spacing w:line="360" w:lineRule="auto"/>
              <w:jc w:val="center"/>
              <w:rPr>
                <w:rFonts w:hint="eastAsia" w:ascii="宋体" w:hAnsi="宋体" w:cs="宋体"/>
                <w:color w:val="auto"/>
                <w:szCs w:val="21"/>
                <w:highlight w:val="none"/>
              </w:rPr>
            </w:pPr>
          </w:p>
        </w:tc>
        <w:tc>
          <w:tcPr>
            <w:tcW w:w="502" w:type="pct"/>
            <w:noWrap w:val="0"/>
            <w:vAlign w:val="center"/>
          </w:tcPr>
          <w:p w14:paraId="2AF57565">
            <w:pPr>
              <w:keepNext/>
              <w:spacing w:line="360" w:lineRule="auto"/>
              <w:jc w:val="center"/>
              <w:rPr>
                <w:rFonts w:hint="eastAsia" w:ascii="宋体" w:hAnsi="宋体" w:cs="宋体"/>
                <w:color w:val="auto"/>
                <w:szCs w:val="21"/>
                <w:highlight w:val="none"/>
              </w:rPr>
            </w:pPr>
          </w:p>
        </w:tc>
        <w:tc>
          <w:tcPr>
            <w:tcW w:w="1279" w:type="pct"/>
            <w:noWrap w:val="0"/>
            <w:vAlign w:val="center"/>
          </w:tcPr>
          <w:p w14:paraId="5FCEECEE">
            <w:pPr>
              <w:keepNext/>
              <w:spacing w:line="360" w:lineRule="auto"/>
              <w:jc w:val="center"/>
              <w:rPr>
                <w:rFonts w:hint="eastAsia" w:ascii="宋体" w:hAnsi="宋体" w:cs="宋体"/>
                <w:color w:val="auto"/>
                <w:szCs w:val="21"/>
                <w:highlight w:val="none"/>
              </w:rPr>
            </w:pPr>
          </w:p>
        </w:tc>
        <w:tc>
          <w:tcPr>
            <w:tcW w:w="1153" w:type="pct"/>
            <w:noWrap w:val="0"/>
            <w:vAlign w:val="top"/>
          </w:tcPr>
          <w:p w14:paraId="1A06FC93">
            <w:pPr>
              <w:keepNext/>
              <w:spacing w:line="360" w:lineRule="auto"/>
              <w:jc w:val="center"/>
              <w:rPr>
                <w:rFonts w:hint="eastAsia" w:ascii="宋体" w:hAnsi="宋体" w:cs="宋体"/>
                <w:color w:val="auto"/>
                <w:szCs w:val="21"/>
                <w:highlight w:val="none"/>
              </w:rPr>
            </w:pPr>
          </w:p>
        </w:tc>
      </w:tr>
      <w:tr w14:paraId="3DF4F7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noWrap w:val="0"/>
            <w:vAlign w:val="center"/>
          </w:tcPr>
          <w:p w14:paraId="7A2AC4C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资料员</w:t>
            </w:r>
          </w:p>
        </w:tc>
        <w:tc>
          <w:tcPr>
            <w:tcW w:w="627" w:type="pct"/>
            <w:noWrap w:val="0"/>
            <w:vAlign w:val="center"/>
          </w:tcPr>
          <w:p w14:paraId="4F2C325A">
            <w:pPr>
              <w:keepNext/>
              <w:spacing w:line="360" w:lineRule="auto"/>
              <w:jc w:val="center"/>
              <w:rPr>
                <w:rFonts w:hint="eastAsia" w:ascii="宋体" w:hAnsi="宋体" w:cs="宋体"/>
                <w:color w:val="auto"/>
                <w:szCs w:val="21"/>
                <w:highlight w:val="none"/>
              </w:rPr>
            </w:pPr>
          </w:p>
        </w:tc>
        <w:tc>
          <w:tcPr>
            <w:tcW w:w="502" w:type="pct"/>
            <w:noWrap w:val="0"/>
            <w:vAlign w:val="center"/>
          </w:tcPr>
          <w:p w14:paraId="23A420BF">
            <w:pPr>
              <w:keepNext/>
              <w:spacing w:line="360" w:lineRule="auto"/>
              <w:jc w:val="center"/>
              <w:rPr>
                <w:rFonts w:hint="eastAsia" w:ascii="宋体" w:hAnsi="宋体" w:cs="宋体"/>
                <w:color w:val="auto"/>
                <w:szCs w:val="21"/>
                <w:highlight w:val="none"/>
              </w:rPr>
            </w:pPr>
          </w:p>
        </w:tc>
        <w:tc>
          <w:tcPr>
            <w:tcW w:w="502" w:type="pct"/>
            <w:noWrap w:val="0"/>
            <w:vAlign w:val="center"/>
          </w:tcPr>
          <w:p w14:paraId="5FDC3A12">
            <w:pPr>
              <w:keepNext/>
              <w:spacing w:line="360" w:lineRule="auto"/>
              <w:jc w:val="center"/>
              <w:rPr>
                <w:rFonts w:hint="eastAsia" w:ascii="宋体" w:hAnsi="宋体" w:cs="宋体"/>
                <w:color w:val="auto"/>
                <w:szCs w:val="21"/>
                <w:highlight w:val="none"/>
              </w:rPr>
            </w:pPr>
          </w:p>
        </w:tc>
        <w:tc>
          <w:tcPr>
            <w:tcW w:w="1279" w:type="pct"/>
            <w:noWrap w:val="0"/>
            <w:vAlign w:val="center"/>
          </w:tcPr>
          <w:p w14:paraId="73ECA994">
            <w:pPr>
              <w:keepNext/>
              <w:spacing w:line="360" w:lineRule="auto"/>
              <w:jc w:val="center"/>
              <w:rPr>
                <w:rFonts w:hint="eastAsia" w:ascii="宋体" w:hAnsi="宋体" w:cs="宋体"/>
                <w:color w:val="auto"/>
                <w:szCs w:val="21"/>
                <w:highlight w:val="none"/>
              </w:rPr>
            </w:pPr>
          </w:p>
        </w:tc>
        <w:tc>
          <w:tcPr>
            <w:tcW w:w="1153" w:type="pct"/>
            <w:noWrap w:val="0"/>
            <w:vAlign w:val="top"/>
          </w:tcPr>
          <w:p w14:paraId="4D404BCA">
            <w:pPr>
              <w:keepNext/>
              <w:spacing w:line="360" w:lineRule="auto"/>
              <w:jc w:val="center"/>
              <w:rPr>
                <w:rFonts w:hint="eastAsia" w:ascii="宋体" w:hAnsi="宋体" w:cs="宋体"/>
                <w:color w:val="auto"/>
                <w:szCs w:val="21"/>
                <w:highlight w:val="none"/>
              </w:rPr>
            </w:pPr>
          </w:p>
        </w:tc>
      </w:tr>
      <w:tr w14:paraId="5AF041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vMerge w:val="restart"/>
            <w:noWrap w:val="0"/>
            <w:vAlign w:val="center"/>
          </w:tcPr>
          <w:p w14:paraId="562CD15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其他人员</w:t>
            </w:r>
          </w:p>
        </w:tc>
        <w:tc>
          <w:tcPr>
            <w:tcW w:w="627" w:type="pct"/>
            <w:noWrap w:val="0"/>
            <w:vAlign w:val="center"/>
          </w:tcPr>
          <w:p w14:paraId="32D83E89">
            <w:pPr>
              <w:keepNext/>
              <w:spacing w:line="360" w:lineRule="auto"/>
              <w:jc w:val="center"/>
              <w:rPr>
                <w:rFonts w:hint="eastAsia" w:ascii="宋体" w:hAnsi="宋体" w:cs="宋体"/>
                <w:color w:val="auto"/>
                <w:szCs w:val="21"/>
                <w:highlight w:val="none"/>
              </w:rPr>
            </w:pPr>
          </w:p>
        </w:tc>
        <w:tc>
          <w:tcPr>
            <w:tcW w:w="502" w:type="pct"/>
            <w:noWrap w:val="0"/>
            <w:vAlign w:val="center"/>
          </w:tcPr>
          <w:p w14:paraId="3459E21F">
            <w:pPr>
              <w:keepNext/>
              <w:spacing w:line="360" w:lineRule="auto"/>
              <w:jc w:val="center"/>
              <w:rPr>
                <w:rFonts w:hint="eastAsia" w:ascii="宋体" w:hAnsi="宋体" w:cs="宋体"/>
                <w:color w:val="auto"/>
                <w:szCs w:val="21"/>
                <w:highlight w:val="none"/>
              </w:rPr>
            </w:pPr>
          </w:p>
        </w:tc>
        <w:tc>
          <w:tcPr>
            <w:tcW w:w="502" w:type="pct"/>
            <w:noWrap w:val="0"/>
            <w:vAlign w:val="center"/>
          </w:tcPr>
          <w:p w14:paraId="4906B729">
            <w:pPr>
              <w:keepNext/>
              <w:spacing w:line="360" w:lineRule="auto"/>
              <w:jc w:val="center"/>
              <w:rPr>
                <w:rFonts w:hint="eastAsia" w:ascii="宋体" w:hAnsi="宋体" w:cs="宋体"/>
                <w:color w:val="auto"/>
                <w:szCs w:val="21"/>
                <w:highlight w:val="none"/>
              </w:rPr>
            </w:pPr>
          </w:p>
        </w:tc>
        <w:tc>
          <w:tcPr>
            <w:tcW w:w="1279" w:type="pct"/>
            <w:noWrap w:val="0"/>
            <w:vAlign w:val="center"/>
          </w:tcPr>
          <w:p w14:paraId="04008C32">
            <w:pPr>
              <w:keepNext/>
              <w:spacing w:line="360" w:lineRule="auto"/>
              <w:jc w:val="center"/>
              <w:rPr>
                <w:rFonts w:hint="eastAsia" w:ascii="宋体" w:hAnsi="宋体" w:cs="宋体"/>
                <w:color w:val="auto"/>
                <w:szCs w:val="21"/>
                <w:highlight w:val="none"/>
              </w:rPr>
            </w:pPr>
          </w:p>
        </w:tc>
        <w:tc>
          <w:tcPr>
            <w:tcW w:w="1153" w:type="pct"/>
            <w:noWrap w:val="0"/>
            <w:vAlign w:val="top"/>
          </w:tcPr>
          <w:p w14:paraId="4070AA60">
            <w:pPr>
              <w:keepNext/>
              <w:spacing w:line="360" w:lineRule="auto"/>
              <w:jc w:val="center"/>
              <w:rPr>
                <w:rFonts w:hint="eastAsia" w:ascii="宋体" w:hAnsi="宋体" w:cs="宋体"/>
                <w:color w:val="auto"/>
                <w:szCs w:val="21"/>
                <w:highlight w:val="none"/>
              </w:rPr>
            </w:pPr>
          </w:p>
        </w:tc>
      </w:tr>
      <w:tr w14:paraId="60B283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vMerge w:val="continue"/>
            <w:noWrap w:val="0"/>
            <w:vAlign w:val="center"/>
          </w:tcPr>
          <w:p w14:paraId="1425CD94">
            <w:pPr>
              <w:keepNext/>
              <w:spacing w:line="360" w:lineRule="auto"/>
              <w:jc w:val="center"/>
              <w:rPr>
                <w:rFonts w:hint="eastAsia" w:ascii="宋体" w:hAnsi="宋体" w:cs="宋体"/>
                <w:color w:val="auto"/>
                <w:szCs w:val="21"/>
                <w:highlight w:val="none"/>
              </w:rPr>
            </w:pPr>
          </w:p>
        </w:tc>
        <w:tc>
          <w:tcPr>
            <w:tcW w:w="627" w:type="pct"/>
            <w:tcBorders>
              <w:bottom w:val="nil"/>
            </w:tcBorders>
            <w:noWrap w:val="0"/>
            <w:vAlign w:val="center"/>
          </w:tcPr>
          <w:p w14:paraId="29061126">
            <w:pPr>
              <w:keepNext/>
              <w:spacing w:line="360" w:lineRule="auto"/>
              <w:jc w:val="center"/>
              <w:rPr>
                <w:rFonts w:hint="eastAsia" w:ascii="宋体" w:hAnsi="宋体" w:cs="宋体"/>
                <w:color w:val="auto"/>
                <w:szCs w:val="21"/>
                <w:highlight w:val="none"/>
              </w:rPr>
            </w:pPr>
          </w:p>
        </w:tc>
        <w:tc>
          <w:tcPr>
            <w:tcW w:w="502" w:type="pct"/>
            <w:tcBorders>
              <w:bottom w:val="nil"/>
            </w:tcBorders>
            <w:noWrap w:val="0"/>
            <w:vAlign w:val="center"/>
          </w:tcPr>
          <w:p w14:paraId="14497F5D">
            <w:pPr>
              <w:keepNext/>
              <w:spacing w:line="360" w:lineRule="auto"/>
              <w:jc w:val="center"/>
              <w:rPr>
                <w:rFonts w:hint="eastAsia" w:ascii="宋体" w:hAnsi="宋体" w:cs="宋体"/>
                <w:color w:val="auto"/>
                <w:szCs w:val="21"/>
                <w:highlight w:val="none"/>
              </w:rPr>
            </w:pPr>
          </w:p>
        </w:tc>
        <w:tc>
          <w:tcPr>
            <w:tcW w:w="502" w:type="pct"/>
            <w:tcBorders>
              <w:bottom w:val="nil"/>
            </w:tcBorders>
            <w:noWrap w:val="0"/>
            <w:vAlign w:val="center"/>
          </w:tcPr>
          <w:p w14:paraId="280BB2E3">
            <w:pPr>
              <w:keepNext/>
              <w:spacing w:line="360" w:lineRule="auto"/>
              <w:jc w:val="center"/>
              <w:rPr>
                <w:rFonts w:hint="eastAsia" w:ascii="宋体" w:hAnsi="宋体" w:cs="宋体"/>
                <w:color w:val="auto"/>
                <w:szCs w:val="21"/>
                <w:highlight w:val="none"/>
              </w:rPr>
            </w:pPr>
          </w:p>
        </w:tc>
        <w:tc>
          <w:tcPr>
            <w:tcW w:w="1279" w:type="pct"/>
            <w:tcBorders>
              <w:bottom w:val="nil"/>
            </w:tcBorders>
            <w:noWrap w:val="0"/>
            <w:vAlign w:val="center"/>
          </w:tcPr>
          <w:p w14:paraId="64DF2E06">
            <w:pPr>
              <w:keepNext/>
              <w:spacing w:line="360" w:lineRule="auto"/>
              <w:jc w:val="center"/>
              <w:rPr>
                <w:rFonts w:hint="eastAsia" w:ascii="宋体" w:hAnsi="宋体" w:cs="宋体"/>
                <w:color w:val="auto"/>
                <w:szCs w:val="21"/>
                <w:highlight w:val="none"/>
              </w:rPr>
            </w:pPr>
          </w:p>
        </w:tc>
        <w:tc>
          <w:tcPr>
            <w:tcW w:w="1153" w:type="pct"/>
            <w:tcBorders>
              <w:bottom w:val="nil"/>
            </w:tcBorders>
            <w:noWrap w:val="0"/>
            <w:vAlign w:val="top"/>
          </w:tcPr>
          <w:p w14:paraId="66DE54E1">
            <w:pPr>
              <w:keepNext/>
              <w:spacing w:line="360" w:lineRule="auto"/>
              <w:jc w:val="center"/>
              <w:rPr>
                <w:rFonts w:hint="eastAsia" w:ascii="宋体" w:hAnsi="宋体" w:cs="宋体"/>
                <w:color w:val="auto"/>
                <w:szCs w:val="21"/>
                <w:highlight w:val="none"/>
              </w:rPr>
            </w:pPr>
          </w:p>
        </w:tc>
      </w:tr>
      <w:tr w14:paraId="625014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vMerge w:val="continue"/>
            <w:noWrap w:val="0"/>
            <w:vAlign w:val="center"/>
          </w:tcPr>
          <w:p w14:paraId="2F5A9330">
            <w:pPr>
              <w:keepNext/>
              <w:spacing w:line="360" w:lineRule="auto"/>
              <w:jc w:val="center"/>
              <w:rPr>
                <w:rFonts w:hint="eastAsia" w:ascii="宋体" w:hAnsi="宋体" w:cs="宋体"/>
                <w:color w:val="auto"/>
                <w:szCs w:val="21"/>
                <w:highlight w:val="none"/>
              </w:rPr>
            </w:pPr>
          </w:p>
        </w:tc>
        <w:tc>
          <w:tcPr>
            <w:tcW w:w="627" w:type="pct"/>
            <w:noWrap w:val="0"/>
            <w:vAlign w:val="center"/>
          </w:tcPr>
          <w:p w14:paraId="5CDC4771">
            <w:pPr>
              <w:keepNext/>
              <w:spacing w:line="360" w:lineRule="auto"/>
              <w:jc w:val="center"/>
              <w:rPr>
                <w:rFonts w:hint="eastAsia" w:ascii="宋体" w:hAnsi="宋体" w:cs="宋体"/>
                <w:color w:val="auto"/>
                <w:szCs w:val="21"/>
                <w:highlight w:val="none"/>
              </w:rPr>
            </w:pPr>
          </w:p>
        </w:tc>
        <w:tc>
          <w:tcPr>
            <w:tcW w:w="502" w:type="pct"/>
            <w:noWrap w:val="0"/>
            <w:vAlign w:val="center"/>
          </w:tcPr>
          <w:p w14:paraId="08653FA6">
            <w:pPr>
              <w:keepNext/>
              <w:spacing w:line="360" w:lineRule="auto"/>
              <w:jc w:val="center"/>
              <w:rPr>
                <w:rFonts w:hint="eastAsia" w:ascii="宋体" w:hAnsi="宋体" w:cs="宋体"/>
                <w:color w:val="auto"/>
                <w:szCs w:val="21"/>
                <w:highlight w:val="none"/>
              </w:rPr>
            </w:pPr>
          </w:p>
        </w:tc>
        <w:tc>
          <w:tcPr>
            <w:tcW w:w="502" w:type="pct"/>
            <w:noWrap w:val="0"/>
            <w:vAlign w:val="center"/>
          </w:tcPr>
          <w:p w14:paraId="33758A76">
            <w:pPr>
              <w:keepNext/>
              <w:spacing w:line="360" w:lineRule="auto"/>
              <w:jc w:val="center"/>
              <w:rPr>
                <w:rFonts w:hint="eastAsia" w:ascii="宋体" w:hAnsi="宋体" w:cs="宋体"/>
                <w:color w:val="auto"/>
                <w:szCs w:val="21"/>
                <w:highlight w:val="none"/>
              </w:rPr>
            </w:pPr>
          </w:p>
        </w:tc>
        <w:tc>
          <w:tcPr>
            <w:tcW w:w="1279" w:type="pct"/>
            <w:noWrap w:val="0"/>
            <w:vAlign w:val="center"/>
          </w:tcPr>
          <w:p w14:paraId="4EAA05CE">
            <w:pPr>
              <w:keepNext/>
              <w:spacing w:line="360" w:lineRule="auto"/>
              <w:jc w:val="center"/>
              <w:rPr>
                <w:rFonts w:hint="eastAsia" w:ascii="宋体" w:hAnsi="宋体" w:cs="宋体"/>
                <w:color w:val="auto"/>
                <w:szCs w:val="21"/>
                <w:highlight w:val="none"/>
              </w:rPr>
            </w:pPr>
          </w:p>
        </w:tc>
        <w:tc>
          <w:tcPr>
            <w:tcW w:w="1153" w:type="pct"/>
            <w:noWrap w:val="0"/>
            <w:vAlign w:val="top"/>
          </w:tcPr>
          <w:p w14:paraId="0641718E">
            <w:pPr>
              <w:keepNext/>
              <w:spacing w:line="360" w:lineRule="auto"/>
              <w:jc w:val="center"/>
              <w:rPr>
                <w:rFonts w:hint="eastAsia" w:ascii="宋体" w:hAnsi="宋体" w:cs="宋体"/>
                <w:color w:val="auto"/>
                <w:szCs w:val="21"/>
                <w:highlight w:val="none"/>
              </w:rPr>
            </w:pPr>
          </w:p>
        </w:tc>
      </w:tr>
      <w:tr w14:paraId="639BC2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vMerge w:val="continue"/>
            <w:noWrap w:val="0"/>
            <w:vAlign w:val="center"/>
          </w:tcPr>
          <w:p w14:paraId="7B58D5E7">
            <w:pPr>
              <w:keepNext/>
              <w:spacing w:line="360" w:lineRule="auto"/>
              <w:jc w:val="center"/>
              <w:rPr>
                <w:rFonts w:hint="eastAsia" w:ascii="宋体" w:hAnsi="宋体" w:cs="宋体"/>
                <w:color w:val="auto"/>
                <w:szCs w:val="21"/>
                <w:highlight w:val="none"/>
              </w:rPr>
            </w:pPr>
          </w:p>
        </w:tc>
        <w:tc>
          <w:tcPr>
            <w:tcW w:w="627" w:type="pct"/>
            <w:noWrap w:val="0"/>
            <w:vAlign w:val="center"/>
          </w:tcPr>
          <w:p w14:paraId="10F6543E">
            <w:pPr>
              <w:keepNext/>
              <w:spacing w:line="360" w:lineRule="auto"/>
              <w:jc w:val="center"/>
              <w:rPr>
                <w:rFonts w:hint="eastAsia" w:ascii="宋体" w:hAnsi="宋体" w:cs="宋体"/>
                <w:color w:val="auto"/>
                <w:szCs w:val="21"/>
                <w:highlight w:val="none"/>
              </w:rPr>
            </w:pPr>
          </w:p>
        </w:tc>
        <w:tc>
          <w:tcPr>
            <w:tcW w:w="502" w:type="pct"/>
            <w:noWrap w:val="0"/>
            <w:vAlign w:val="center"/>
          </w:tcPr>
          <w:p w14:paraId="28FD127C">
            <w:pPr>
              <w:keepNext/>
              <w:spacing w:line="360" w:lineRule="auto"/>
              <w:jc w:val="center"/>
              <w:rPr>
                <w:rFonts w:hint="eastAsia" w:ascii="宋体" w:hAnsi="宋体" w:cs="宋体"/>
                <w:color w:val="auto"/>
                <w:szCs w:val="21"/>
                <w:highlight w:val="none"/>
              </w:rPr>
            </w:pPr>
          </w:p>
        </w:tc>
        <w:tc>
          <w:tcPr>
            <w:tcW w:w="502" w:type="pct"/>
            <w:noWrap w:val="0"/>
            <w:vAlign w:val="center"/>
          </w:tcPr>
          <w:p w14:paraId="6DB370A4">
            <w:pPr>
              <w:keepNext/>
              <w:spacing w:line="360" w:lineRule="auto"/>
              <w:jc w:val="center"/>
              <w:rPr>
                <w:rFonts w:hint="eastAsia" w:ascii="宋体" w:hAnsi="宋体" w:cs="宋体"/>
                <w:color w:val="auto"/>
                <w:szCs w:val="21"/>
                <w:highlight w:val="none"/>
              </w:rPr>
            </w:pPr>
          </w:p>
        </w:tc>
        <w:tc>
          <w:tcPr>
            <w:tcW w:w="1279" w:type="pct"/>
            <w:noWrap w:val="0"/>
            <w:vAlign w:val="center"/>
          </w:tcPr>
          <w:p w14:paraId="2D9B4E09">
            <w:pPr>
              <w:keepNext/>
              <w:spacing w:line="360" w:lineRule="auto"/>
              <w:jc w:val="center"/>
              <w:rPr>
                <w:rFonts w:hint="eastAsia" w:ascii="宋体" w:hAnsi="宋体" w:cs="宋体"/>
                <w:color w:val="auto"/>
                <w:szCs w:val="21"/>
                <w:highlight w:val="none"/>
              </w:rPr>
            </w:pPr>
          </w:p>
        </w:tc>
        <w:tc>
          <w:tcPr>
            <w:tcW w:w="1153" w:type="pct"/>
            <w:noWrap w:val="0"/>
            <w:vAlign w:val="top"/>
          </w:tcPr>
          <w:p w14:paraId="7EEE62B0">
            <w:pPr>
              <w:keepNext/>
              <w:spacing w:line="360" w:lineRule="auto"/>
              <w:jc w:val="center"/>
              <w:rPr>
                <w:rFonts w:hint="eastAsia" w:ascii="宋体" w:hAnsi="宋体" w:cs="宋体"/>
                <w:color w:val="auto"/>
                <w:szCs w:val="21"/>
                <w:highlight w:val="none"/>
              </w:rPr>
            </w:pPr>
          </w:p>
        </w:tc>
      </w:tr>
      <w:tr w14:paraId="2BFCD9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vMerge w:val="continue"/>
            <w:noWrap w:val="0"/>
            <w:vAlign w:val="center"/>
          </w:tcPr>
          <w:p w14:paraId="604EB080">
            <w:pPr>
              <w:keepNext/>
              <w:spacing w:line="360" w:lineRule="auto"/>
              <w:jc w:val="center"/>
              <w:rPr>
                <w:rFonts w:hint="eastAsia" w:ascii="宋体" w:hAnsi="宋体" w:cs="宋体"/>
                <w:color w:val="auto"/>
                <w:szCs w:val="21"/>
                <w:highlight w:val="none"/>
              </w:rPr>
            </w:pPr>
          </w:p>
        </w:tc>
        <w:tc>
          <w:tcPr>
            <w:tcW w:w="627" w:type="pct"/>
            <w:noWrap w:val="0"/>
            <w:vAlign w:val="center"/>
          </w:tcPr>
          <w:p w14:paraId="77737EFE">
            <w:pPr>
              <w:keepNext/>
              <w:spacing w:line="360" w:lineRule="auto"/>
              <w:jc w:val="center"/>
              <w:rPr>
                <w:rFonts w:hint="eastAsia" w:ascii="宋体" w:hAnsi="宋体" w:cs="宋体"/>
                <w:color w:val="auto"/>
                <w:szCs w:val="21"/>
                <w:highlight w:val="none"/>
              </w:rPr>
            </w:pPr>
          </w:p>
        </w:tc>
        <w:tc>
          <w:tcPr>
            <w:tcW w:w="502" w:type="pct"/>
            <w:noWrap w:val="0"/>
            <w:vAlign w:val="center"/>
          </w:tcPr>
          <w:p w14:paraId="759A48B3">
            <w:pPr>
              <w:keepNext/>
              <w:spacing w:line="360" w:lineRule="auto"/>
              <w:jc w:val="center"/>
              <w:rPr>
                <w:rFonts w:hint="eastAsia" w:ascii="宋体" w:hAnsi="宋体" w:cs="宋体"/>
                <w:color w:val="auto"/>
                <w:szCs w:val="21"/>
                <w:highlight w:val="none"/>
              </w:rPr>
            </w:pPr>
          </w:p>
        </w:tc>
        <w:tc>
          <w:tcPr>
            <w:tcW w:w="502" w:type="pct"/>
            <w:noWrap w:val="0"/>
            <w:vAlign w:val="center"/>
          </w:tcPr>
          <w:p w14:paraId="2DC76FB4">
            <w:pPr>
              <w:keepNext/>
              <w:spacing w:line="360" w:lineRule="auto"/>
              <w:jc w:val="center"/>
              <w:rPr>
                <w:rFonts w:hint="eastAsia" w:ascii="宋体" w:hAnsi="宋体" w:cs="宋体"/>
                <w:color w:val="auto"/>
                <w:szCs w:val="21"/>
                <w:highlight w:val="none"/>
              </w:rPr>
            </w:pPr>
          </w:p>
        </w:tc>
        <w:tc>
          <w:tcPr>
            <w:tcW w:w="1279" w:type="pct"/>
            <w:noWrap w:val="0"/>
            <w:vAlign w:val="center"/>
          </w:tcPr>
          <w:p w14:paraId="12C91454">
            <w:pPr>
              <w:keepNext/>
              <w:spacing w:line="360" w:lineRule="auto"/>
              <w:jc w:val="center"/>
              <w:rPr>
                <w:rFonts w:hint="eastAsia" w:ascii="宋体" w:hAnsi="宋体" w:cs="宋体"/>
                <w:color w:val="auto"/>
                <w:szCs w:val="21"/>
                <w:highlight w:val="none"/>
              </w:rPr>
            </w:pPr>
          </w:p>
        </w:tc>
        <w:tc>
          <w:tcPr>
            <w:tcW w:w="1153" w:type="pct"/>
            <w:noWrap w:val="0"/>
            <w:vAlign w:val="top"/>
          </w:tcPr>
          <w:p w14:paraId="5865960A">
            <w:pPr>
              <w:keepNext/>
              <w:spacing w:line="360" w:lineRule="auto"/>
              <w:jc w:val="center"/>
              <w:rPr>
                <w:rFonts w:hint="eastAsia" w:ascii="宋体" w:hAnsi="宋体" w:cs="宋体"/>
                <w:color w:val="auto"/>
                <w:szCs w:val="21"/>
                <w:highlight w:val="none"/>
              </w:rPr>
            </w:pPr>
          </w:p>
        </w:tc>
      </w:tr>
      <w:tr w14:paraId="52E543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vMerge w:val="continue"/>
            <w:tcBorders>
              <w:bottom w:val="single" w:color="auto" w:sz="12" w:space="0"/>
            </w:tcBorders>
            <w:noWrap w:val="0"/>
            <w:vAlign w:val="center"/>
          </w:tcPr>
          <w:p w14:paraId="156CA310">
            <w:pPr>
              <w:keepNext/>
              <w:spacing w:line="360" w:lineRule="auto"/>
              <w:jc w:val="center"/>
              <w:rPr>
                <w:rFonts w:hint="eastAsia" w:ascii="宋体" w:hAnsi="宋体" w:cs="宋体"/>
                <w:color w:val="auto"/>
                <w:szCs w:val="21"/>
                <w:highlight w:val="none"/>
              </w:rPr>
            </w:pPr>
          </w:p>
        </w:tc>
        <w:tc>
          <w:tcPr>
            <w:tcW w:w="627" w:type="pct"/>
            <w:tcBorders>
              <w:bottom w:val="single" w:color="auto" w:sz="12" w:space="0"/>
            </w:tcBorders>
            <w:noWrap w:val="0"/>
            <w:vAlign w:val="center"/>
          </w:tcPr>
          <w:p w14:paraId="1788A713">
            <w:pPr>
              <w:keepNext/>
              <w:spacing w:line="360" w:lineRule="auto"/>
              <w:jc w:val="center"/>
              <w:rPr>
                <w:rFonts w:hint="eastAsia" w:ascii="宋体" w:hAnsi="宋体" w:cs="宋体"/>
                <w:color w:val="auto"/>
                <w:szCs w:val="21"/>
                <w:highlight w:val="none"/>
              </w:rPr>
            </w:pPr>
          </w:p>
        </w:tc>
        <w:tc>
          <w:tcPr>
            <w:tcW w:w="502" w:type="pct"/>
            <w:tcBorders>
              <w:bottom w:val="single" w:color="auto" w:sz="12" w:space="0"/>
            </w:tcBorders>
            <w:noWrap w:val="0"/>
            <w:vAlign w:val="center"/>
          </w:tcPr>
          <w:p w14:paraId="354649AF">
            <w:pPr>
              <w:keepNext/>
              <w:spacing w:line="360" w:lineRule="auto"/>
              <w:jc w:val="center"/>
              <w:rPr>
                <w:rFonts w:hint="eastAsia" w:ascii="宋体" w:hAnsi="宋体" w:cs="宋体"/>
                <w:color w:val="auto"/>
                <w:szCs w:val="21"/>
                <w:highlight w:val="none"/>
              </w:rPr>
            </w:pPr>
          </w:p>
        </w:tc>
        <w:tc>
          <w:tcPr>
            <w:tcW w:w="502" w:type="pct"/>
            <w:tcBorders>
              <w:bottom w:val="single" w:color="auto" w:sz="12" w:space="0"/>
            </w:tcBorders>
            <w:noWrap w:val="0"/>
            <w:vAlign w:val="center"/>
          </w:tcPr>
          <w:p w14:paraId="2BCC4F55">
            <w:pPr>
              <w:keepNext/>
              <w:spacing w:line="360" w:lineRule="auto"/>
              <w:jc w:val="center"/>
              <w:rPr>
                <w:rFonts w:hint="eastAsia" w:ascii="宋体" w:hAnsi="宋体" w:cs="宋体"/>
                <w:color w:val="auto"/>
                <w:szCs w:val="21"/>
                <w:highlight w:val="none"/>
              </w:rPr>
            </w:pPr>
          </w:p>
        </w:tc>
        <w:tc>
          <w:tcPr>
            <w:tcW w:w="1279" w:type="pct"/>
            <w:tcBorders>
              <w:bottom w:val="single" w:color="auto" w:sz="12" w:space="0"/>
            </w:tcBorders>
            <w:noWrap w:val="0"/>
            <w:vAlign w:val="center"/>
          </w:tcPr>
          <w:p w14:paraId="3A9E331F">
            <w:pPr>
              <w:keepNext/>
              <w:spacing w:line="360" w:lineRule="auto"/>
              <w:jc w:val="center"/>
              <w:rPr>
                <w:rFonts w:hint="eastAsia" w:ascii="宋体" w:hAnsi="宋体" w:cs="宋体"/>
                <w:color w:val="auto"/>
                <w:szCs w:val="21"/>
                <w:highlight w:val="none"/>
              </w:rPr>
            </w:pPr>
          </w:p>
        </w:tc>
        <w:tc>
          <w:tcPr>
            <w:tcW w:w="1153" w:type="pct"/>
            <w:tcBorders>
              <w:bottom w:val="single" w:color="auto" w:sz="12" w:space="0"/>
            </w:tcBorders>
            <w:noWrap w:val="0"/>
            <w:vAlign w:val="top"/>
          </w:tcPr>
          <w:p w14:paraId="05B3F663">
            <w:pPr>
              <w:keepNext/>
              <w:spacing w:line="360" w:lineRule="auto"/>
              <w:jc w:val="center"/>
              <w:rPr>
                <w:rFonts w:hint="eastAsia" w:ascii="宋体" w:hAnsi="宋体" w:cs="宋体"/>
                <w:color w:val="auto"/>
                <w:szCs w:val="21"/>
                <w:highlight w:val="none"/>
              </w:rPr>
            </w:pPr>
          </w:p>
        </w:tc>
      </w:tr>
    </w:tbl>
    <w:p w14:paraId="68664847">
      <w:pPr>
        <w:keepNext/>
        <w:keepLines/>
        <w:spacing w:before="120" w:after="120" w:line="360" w:lineRule="auto"/>
        <w:jc w:val="left"/>
        <w:outlineLvl w:val="2"/>
        <w:rPr>
          <w:rFonts w:hint="eastAsia" w:ascii="宋体" w:hAnsi="宋体" w:cs="宋体"/>
          <w:bCs/>
          <w:color w:val="auto"/>
          <w:sz w:val="24"/>
          <w:highlight w:val="none"/>
        </w:rPr>
      </w:pPr>
      <w:r>
        <w:rPr>
          <w:rFonts w:hint="eastAsia" w:ascii="宋体" w:hAnsi="宋体" w:cs="宋体"/>
          <w:bCs/>
          <w:color w:val="auto"/>
          <w:sz w:val="24"/>
          <w:highlight w:val="none"/>
        </w:rPr>
        <w:br w:type="page"/>
      </w:r>
      <w:bookmarkStart w:id="1306" w:name="_Toc95223493"/>
      <w:r>
        <w:rPr>
          <w:rFonts w:hint="eastAsia" w:ascii="宋体" w:hAnsi="宋体" w:cs="宋体"/>
          <w:bCs/>
          <w:color w:val="auto"/>
          <w:sz w:val="24"/>
          <w:highlight w:val="none"/>
        </w:rPr>
        <w:t>附</w:t>
      </w:r>
      <w:bookmarkStart w:id="1307" w:name="_Toc296346730"/>
      <w:bookmarkStart w:id="1308" w:name="_Toc296347228"/>
      <w:bookmarkStart w:id="1309" w:name="_Toc296891057"/>
      <w:bookmarkStart w:id="1310" w:name="_Toc296944568"/>
      <w:bookmarkStart w:id="1311" w:name="_Toc296503229"/>
      <w:bookmarkStart w:id="1312" w:name="_Toc296891269"/>
      <w:r>
        <w:rPr>
          <w:rFonts w:hint="eastAsia" w:ascii="宋体" w:hAnsi="宋体" w:cs="宋体"/>
          <w:bCs/>
          <w:color w:val="auto"/>
          <w:sz w:val="24"/>
          <w:highlight w:val="none"/>
        </w:rPr>
        <w:t>件7：分包人主要施工管理人员表</w:t>
      </w:r>
      <w:bookmarkEnd w:id="1306"/>
    </w:p>
    <w:bookmarkEnd w:id="1307"/>
    <w:bookmarkEnd w:id="1308"/>
    <w:bookmarkEnd w:id="1309"/>
    <w:bookmarkEnd w:id="1310"/>
    <w:bookmarkEnd w:id="1311"/>
    <w:bookmarkEnd w:id="1312"/>
    <w:p w14:paraId="071272D5">
      <w:pPr>
        <w:spacing w:before="120" w:beforeLines="50" w:after="120" w:afterLines="50" w:line="360" w:lineRule="auto"/>
        <w:jc w:val="center"/>
        <w:rPr>
          <w:rFonts w:hint="eastAsia" w:ascii="宋体" w:hAnsi="宋体" w:cs="宋体"/>
          <w:b/>
          <w:color w:val="auto"/>
          <w:szCs w:val="21"/>
          <w:highlight w:val="none"/>
        </w:rPr>
      </w:pPr>
      <w:bookmarkStart w:id="1313" w:name="_Toc22101"/>
      <w:bookmarkStart w:id="1314" w:name="_Toc179"/>
      <w:bookmarkStart w:id="1315" w:name="_Toc95223494"/>
      <w:r>
        <w:rPr>
          <w:rFonts w:hint="eastAsia" w:ascii="宋体" w:hAnsi="宋体" w:cs="宋体"/>
          <w:b/>
          <w:color w:val="auto"/>
          <w:szCs w:val="21"/>
          <w:highlight w:val="none"/>
        </w:rPr>
        <w:t>分包人主要施工管理人员表</w:t>
      </w:r>
      <w:bookmarkEnd w:id="1313"/>
      <w:bookmarkEnd w:id="1314"/>
      <w:bookmarkEnd w:id="1315"/>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525"/>
        <w:gridCol w:w="1156"/>
        <w:gridCol w:w="925"/>
        <w:gridCol w:w="674"/>
        <w:gridCol w:w="3119"/>
        <w:gridCol w:w="1616"/>
      </w:tblGrid>
      <w:tr w14:paraId="515229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tcBorders>
              <w:top w:val="single" w:color="auto" w:sz="12" w:space="0"/>
              <w:bottom w:val="double" w:color="auto" w:sz="6" w:space="0"/>
            </w:tcBorders>
            <w:noWrap w:val="0"/>
            <w:vAlign w:val="center"/>
          </w:tcPr>
          <w:p w14:paraId="5A3AF36B">
            <w:pPr>
              <w:keepNext/>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名    称</w:t>
            </w:r>
          </w:p>
        </w:tc>
        <w:tc>
          <w:tcPr>
            <w:tcW w:w="641" w:type="pct"/>
            <w:tcBorders>
              <w:top w:val="single" w:color="auto" w:sz="12" w:space="0"/>
              <w:bottom w:val="double" w:color="auto" w:sz="6" w:space="0"/>
            </w:tcBorders>
            <w:noWrap w:val="0"/>
            <w:vAlign w:val="center"/>
          </w:tcPr>
          <w:p w14:paraId="50C7C96A">
            <w:pPr>
              <w:keepNext/>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姓名</w:t>
            </w:r>
          </w:p>
        </w:tc>
        <w:tc>
          <w:tcPr>
            <w:tcW w:w="513" w:type="pct"/>
            <w:tcBorders>
              <w:top w:val="single" w:color="auto" w:sz="12" w:space="0"/>
              <w:bottom w:val="double" w:color="auto" w:sz="6" w:space="0"/>
            </w:tcBorders>
            <w:noWrap w:val="0"/>
            <w:vAlign w:val="center"/>
          </w:tcPr>
          <w:p w14:paraId="21769042">
            <w:pPr>
              <w:keepNext/>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职务</w:t>
            </w:r>
          </w:p>
        </w:tc>
        <w:tc>
          <w:tcPr>
            <w:tcW w:w="374" w:type="pct"/>
            <w:tcBorders>
              <w:top w:val="single" w:color="auto" w:sz="12" w:space="0"/>
              <w:bottom w:val="double" w:color="auto" w:sz="6" w:space="0"/>
            </w:tcBorders>
            <w:noWrap w:val="0"/>
            <w:vAlign w:val="center"/>
          </w:tcPr>
          <w:p w14:paraId="05A3E614">
            <w:pPr>
              <w:keepNext/>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职称</w:t>
            </w:r>
          </w:p>
        </w:tc>
        <w:tc>
          <w:tcPr>
            <w:tcW w:w="1730" w:type="pct"/>
            <w:tcBorders>
              <w:top w:val="single" w:color="auto" w:sz="12" w:space="0"/>
              <w:bottom w:val="double" w:color="auto" w:sz="6" w:space="0"/>
            </w:tcBorders>
            <w:noWrap w:val="0"/>
            <w:vAlign w:val="center"/>
          </w:tcPr>
          <w:p w14:paraId="47889A1D">
            <w:pPr>
              <w:keepNext/>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主要资历、经验及承担过的项目</w:t>
            </w:r>
          </w:p>
        </w:tc>
        <w:tc>
          <w:tcPr>
            <w:tcW w:w="896" w:type="pct"/>
            <w:tcBorders>
              <w:top w:val="single" w:color="auto" w:sz="12" w:space="0"/>
              <w:bottom w:val="double" w:color="auto" w:sz="6" w:space="0"/>
            </w:tcBorders>
            <w:noWrap w:val="0"/>
            <w:vAlign w:val="center"/>
          </w:tcPr>
          <w:p w14:paraId="3F20FA6F">
            <w:pPr>
              <w:keepNext/>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身份证号码</w:t>
            </w:r>
          </w:p>
        </w:tc>
      </w:tr>
      <w:tr w14:paraId="6470A4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104" w:type="pct"/>
            <w:gridSpan w:val="5"/>
            <w:tcBorders>
              <w:top w:val="double" w:color="auto" w:sz="6" w:space="0"/>
            </w:tcBorders>
            <w:noWrap w:val="0"/>
            <w:vAlign w:val="center"/>
          </w:tcPr>
          <w:p w14:paraId="50785EDE">
            <w:pPr>
              <w:keepNext/>
              <w:spacing w:line="360" w:lineRule="auto"/>
              <w:rPr>
                <w:rFonts w:hint="eastAsia" w:ascii="宋体" w:hAnsi="宋体" w:cs="宋体"/>
                <w:color w:val="auto"/>
                <w:szCs w:val="21"/>
                <w:highlight w:val="none"/>
              </w:rPr>
            </w:pPr>
            <w:r>
              <w:rPr>
                <w:rFonts w:hint="eastAsia" w:ascii="宋体" w:hAnsi="宋体" w:cs="宋体"/>
                <w:color w:val="auto"/>
                <w:szCs w:val="21"/>
                <w:highlight w:val="none"/>
              </w:rPr>
              <w:t>一、总部人员</w:t>
            </w:r>
          </w:p>
        </w:tc>
        <w:tc>
          <w:tcPr>
            <w:tcW w:w="896" w:type="pct"/>
            <w:tcBorders>
              <w:top w:val="double" w:color="auto" w:sz="6" w:space="0"/>
            </w:tcBorders>
            <w:noWrap w:val="0"/>
            <w:vAlign w:val="top"/>
          </w:tcPr>
          <w:p w14:paraId="7ACB4F65">
            <w:pPr>
              <w:keepNext/>
              <w:spacing w:line="360" w:lineRule="auto"/>
              <w:rPr>
                <w:rFonts w:hint="eastAsia" w:ascii="宋体" w:hAnsi="宋体" w:cs="宋体"/>
                <w:color w:val="auto"/>
                <w:szCs w:val="21"/>
                <w:highlight w:val="none"/>
              </w:rPr>
            </w:pPr>
          </w:p>
        </w:tc>
      </w:tr>
      <w:tr w14:paraId="621412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tcBorders>
              <w:top w:val="nil"/>
              <w:bottom w:val="nil"/>
            </w:tcBorders>
            <w:noWrap w:val="0"/>
            <w:vAlign w:val="center"/>
          </w:tcPr>
          <w:p w14:paraId="58C416FC">
            <w:pPr>
              <w:keepNext/>
              <w:spacing w:line="360" w:lineRule="auto"/>
              <w:rPr>
                <w:rFonts w:hint="eastAsia" w:ascii="宋体" w:hAnsi="宋体" w:cs="宋体"/>
                <w:color w:val="auto"/>
                <w:szCs w:val="21"/>
                <w:highlight w:val="none"/>
              </w:rPr>
            </w:pPr>
            <w:r>
              <w:rPr>
                <w:rFonts w:hint="eastAsia" w:ascii="宋体" w:hAnsi="宋体" w:cs="宋体"/>
                <w:color w:val="auto"/>
                <w:szCs w:val="21"/>
                <w:highlight w:val="none"/>
              </w:rPr>
              <w:t>项目主管</w:t>
            </w:r>
          </w:p>
        </w:tc>
        <w:tc>
          <w:tcPr>
            <w:tcW w:w="641" w:type="pct"/>
            <w:tcBorders>
              <w:top w:val="nil"/>
            </w:tcBorders>
            <w:noWrap w:val="0"/>
            <w:vAlign w:val="center"/>
          </w:tcPr>
          <w:p w14:paraId="7CB9C6E6">
            <w:pPr>
              <w:keepNext/>
              <w:spacing w:line="360" w:lineRule="auto"/>
              <w:rPr>
                <w:rFonts w:hint="eastAsia" w:ascii="宋体" w:hAnsi="宋体" w:cs="宋体"/>
                <w:color w:val="auto"/>
                <w:szCs w:val="21"/>
                <w:highlight w:val="none"/>
              </w:rPr>
            </w:pPr>
          </w:p>
        </w:tc>
        <w:tc>
          <w:tcPr>
            <w:tcW w:w="513" w:type="pct"/>
            <w:tcBorders>
              <w:top w:val="nil"/>
            </w:tcBorders>
            <w:noWrap w:val="0"/>
            <w:vAlign w:val="center"/>
          </w:tcPr>
          <w:p w14:paraId="30D7B21E">
            <w:pPr>
              <w:keepNext/>
              <w:spacing w:line="360" w:lineRule="auto"/>
              <w:rPr>
                <w:rFonts w:hint="eastAsia" w:ascii="宋体" w:hAnsi="宋体" w:cs="宋体"/>
                <w:color w:val="auto"/>
                <w:szCs w:val="21"/>
                <w:highlight w:val="none"/>
              </w:rPr>
            </w:pPr>
          </w:p>
        </w:tc>
        <w:tc>
          <w:tcPr>
            <w:tcW w:w="374" w:type="pct"/>
            <w:tcBorders>
              <w:top w:val="nil"/>
            </w:tcBorders>
            <w:noWrap w:val="0"/>
            <w:vAlign w:val="center"/>
          </w:tcPr>
          <w:p w14:paraId="36F9A2F5">
            <w:pPr>
              <w:keepNext/>
              <w:spacing w:line="360" w:lineRule="auto"/>
              <w:rPr>
                <w:rFonts w:hint="eastAsia" w:ascii="宋体" w:hAnsi="宋体" w:cs="宋体"/>
                <w:color w:val="auto"/>
                <w:szCs w:val="21"/>
                <w:highlight w:val="none"/>
              </w:rPr>
            </w:pPr>
          </w:p>
        </w:tc>
        <w:tc>
          <w:tcPr>
            <w:tcW w:w="1730" w:type="pct"/>
            <w:tcBorders>
              <w:top w:val="nil"/>
            </w:tcBorders>
            <w:noWrap w:val="0"/>
            <w:vAlign w:val="center"/>
          </w:tcPr>
          <w:p w14:paraId="3788EEA1">
            <w:pPr>
              <w:keepNext/>
              <w:spacing w:line="360" w:lineRule="auto"/>
              <w:rPr>
                <w:rFonts w:hint="eastAsia" w:ascii="宋体" w:hAnsi="宋体" w:cs="宋体"/>
                <w:color w:val="auto"/>
                <w:szCs w:val="21"/>
                <w:highlight w:val="none"/>
              </w:rPr>
            </w:pPr>
          </w:p>
        </w:tc>
        <w:tc>
          <w:tcPr>
            <w:tcW w:w="896" w:type="pct"/>
            <w:tcBorders>
              <w:top w:val="nil"/>
            </w:tcBorders>
            <w:noWrap w:val="0"/>
            <w:vAlign w:val="top"/>
          </w:tcPr>
          <w:p w14:paraId="690B6AEF">
            <w:pPr>
              <w:keepNext/>
              <w:spacing w:line="360" w:lineRule="auto"/>
              <w:rPr>
                <w:rFonts w:hint="eastAsia" w:ascii="宋体" w:hAnsi="宋体" w:cs="宋体"/>
                <w:color w:val="auto"/>
                <w:szCs w:val="21"/>
                <w:highlight w:val="none"/>
              </w:rPr>
            </w:pPr>
          </w:p>
        </w:tc>
      </w:tr>
      <w:tr w14:paraId="4DE1E8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tcBorders>
              <w:bottom w:val="nil"/>
            </w:tcBorders>
            <w:noWrap w:val="0"/>
            <w:vAlign w:val="center"/>
          </w:tcPr>
          <w:p w14:paraId="1BDDC6AD">
            <w:pPr>
              <w:keepNext/>
              <w:spacing w:line="360" w:lineRule="auto"/>
              <w:rPr>
                <w:rFonts w:hint="eastAsia" w:ascii="宋体" w:hAnsi="宋体" w:cs="宋体"/>
                <w:color w:val="auto"/>
                <w:szCs w:val="21"/>
                <w:highlight w:val="none"/>
              </w:rPr>
            </w:pPr>
          </w:p>
        </w:tc>
        <w:tc>
          <w:tcPr>
            <w:tcW w:w="641" w:type="pct"/>
            <w:noWrap w:val="0"/>
            <w:vAlign w:val="center"/>
          </w:tcPr>
          <w:p w14:paraId="7A096D42">
            <w:pPr>
              <w:keepNext/>
              <w:spacing w:line="360" w:lineRule="auto"/>
              <w:rPr>
                <w:rFonts w:hint="eastAsia" w:ascii="宋体" w:hAnsi="宋体" w:cs="宋体"/>
                <w:color w:val="auto"/>
                <w:szCs w:val="21"/>
                <w:highlight w:val="none"/>
              </w:rPr>
            </w:pPr>
          </w:p>
        </w:tc>
        <w:tc>
          <w:tcPr>
            <w:tcW w:w="513" w:type="pct"/>
            <w:noWrap w:val="0"/>
            <w:vAlign w:val="center"/>
          </w:tcPr>
          <w:p w14:paraId="2A402535">
            <w:pPr>
              <w:keepNext/>
              <w:spacing w:line="360" w:lineRule="auto"/>
              <w:rPr>
                <w:rFonts w:hint="eastAsia" w:ascii="宋体" w:hAnsi="宋体" w:cs="宋体"/>
                <w:color w:val="auto"/>
                <w:szCs w:val="21"/>
                <w:highlight w:val="none"/>
              </w:rPr>
            </w:pPr>
          </w:p>
        </w:tc>
        <w:tc>
          <w:tcPr>
            <w:tcW w:w="374" w:type="pct"/>
            <w:noWrap w:val="0"/>
            <w:vAlign w:val="center"/>
          </w:tcPr>
          <w:p w14:paraId="6F671839">
            <w:pPr>
              <w:keepNext/>
              <w:spacing w:line="360" w:lineRule="auto"/>
              <w:rPr>
                <w:rFonts w:hint="eastAsia" w:ascii="宋体" w:hAnsi="宋体" w:cs="宋体"/>
                <w:color w:val="auto"/>
                <w:szCs w:val="21"/>
                <w:highlight w:val="none"/>
              </w:rPr>
            </w:pPr>
          </w:p>
        </w:tc>
        <w:tc>
          <w:tcPr>
            <w:tcW w:w="1730" w:type="pct"/>
            <w:noWrap w:val="0"/>
            <w:vAlign w:val="center"/>
          </w:tcPr>
          <w:p w14:paraId="74E06EE9">
            <w:pPr>
              <w:keepNext/>
              <w:spacing w:line="360" w:lineRule="auto"/>
              <w:rPr>
                <w:rFonts w:hint="eastAsia" w:ascii="宋体" w:hAnsi="宋体" w:cs="宋体"/>
                <w:color w:val="auto"/>
                <w:szCs w:val="21"/>
                <w:highlight w:val="none"/>
              </w:rPr>
            </w:pPr>
          </w:p>
        </w:tc>
        <w:tc>
          <w:tcPr>
            <w:tcW w:w="896" w:type="pct"/>
            <w:noWrap w:val="0"/>
            <w:vAlign w:val="top"/>
          </w:tcPr>
          <w:p w14:paraId="6EE296FD">
            <w:pPr>
              <w:keepNext/>
              <w:spacing w:line="360" w:lineRule="auto"/>
              <w:rPr>
                <w:rFonts w:hint="eastAsia" w:ascii="宋体" w:hAnsi="宋体" w:cs="宋体"/>
                <w:color w:val="auto"/>
                <w:szCs w:val="21"/>
                <w:highlight w:val="none"/>
              </w:rPr>
            </w:pPr>
          </w:p>
        </w:tc>
      </w:tr>
      <w:tr w14:paraId="43613C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tcBorders>
              <w:top w:val="nil"/>
              <w:bottom w:val="nil"/>
            </w:tcBorders>
            <w:noWrap w:val="0"/>
            <w:vAlign w:val="center"/>
          </w:tcPr>
          <w:p w14:paraId="580D1DF5">
            <w:pPr>
              <w:keepNext/>
              <w:spacing w:line="360" w:lineRule="auto"/>
              <w:rPr>
                <w:rFonts w:hint="eastAsia" w:ascii="宋体" w:hAnsi="宋体" w:cs="宋体"/>
                <w:color w:val="auto"/>
                <w:szCs w:val="21"/>
                <w:highlight w:val="none"/>
              </w:rPr>
            </w:pPr>
            <w:r>
              <w:rPr>
                <w:rFonts w:hint="eastAsia" w:ascii="宋体" w:hAnsi="宋体" w:cs="宋体"/>
                <w:color w:val="auto"/>
                <w:szCs w:val="21"/>
                <w:highlight w:val="none"/>
              </w:rPr>
              <w:t>其他人员</w:t>
            </w:r>
          </w:p>
        </w:tc>
        <w:tc>
          <w:tcPr>
            <w:tcW w:w="641" w:type="pct"/>
            <w:noWrap w:val="0"/>
            <w:vAlign w:val="center"/>
          </w:tcPr>
          <w:p w14:paraId="7FDCAFBD">
            <w:pPr>
              <w:keepNext/>
              <w:spacing w:line="360" w:lineRule="auto"/>
              <w:rPr>
                <w:rFonts w:hint="eastAsia" w:ascii="宋体" w:hAnsi="宋体" w:cs="宋体"/>
                <w:color w:val="auto"/>
                <w:szCs w:val="21"/>
                <w:highlight w:val="none"/>
              </w:rPr>
            </w:pPr>
          </w:p>
        </w:tc>
        <w:tc>
          <w:tcPr>
            <w:tcW w:w="513" w:type="pct"/>
            <w:noWrap w:val="0"/>
            <w:vAlign w:val="center"/>
          </w:tcPr>
          <w:p w14:paraId="04E9F06D">
            <w:pPr>
              <w:keepNext/>
              <w:spacing w:line="360" w:lineRule="auto"/>
              <w:rPr>
                <w:rFonts w:hint="eastAsia" w:ascii="宋体" w:hAnsi="宋体" w:cs="宋体"/>
                <w:color w:val="auto"/>
                <w:szCs w:val="21"/>
                <w:highlight w:val="none"/>
              </w:rPr>
            </w:pPr>
          </w:p>
        </w:tc>
        <w:tc>
          <w:tcPr>
            <w:tcW w:w="374" w:type="pct"/>
            <w:noWrap w:val="0"/>
            <w:vAlign w:val="center"/>
          </w:tcPr>
          <w:p w14:paraId="694C7181">
            <w:pPr>
              <w:keepNext/>
              <w:spacing w:line="360" w:lineRule="auto"/>
              <w:rPr>
                <w:rFonts w:hint="eastAsia" w:ascii="宋体" w:hAnsi="宋体" w:cs="宋体"/>
                <w:color w:val="auto"/>
                <w:szCs w:val="21"/>
                <w:highlight w:val="none"/>
              </w:rPr>
            </w:pPr>
          </w:p>
        </w:tc>
        <w:tc>
          <w:tcPr>
            <w:tcW w:w="1730" w:type="pct"/>
            <w:noWrap w:val="0"/>
            <w:vAlign w:val="center"/>
          </w:tcPr>
          <w:p w14:paraId="6F0F6DFE">
            <w:pPr>
              <w:keepNext/>
              <w:spacing w:line="360" w:lineRule="auto"/>
              <w:rPr>
                <w:rFonts w:hint="eastAsia" w:ascii="宋体" w:hAnsi="宋体" w:cs="宋体"/>
                <w:color w:val="auto"/>
                <w:szCs w:val="21"/>
                <w:highlight w:val="none"/>
              </w:rPr>
            </w:pPr>
          </w:p>
        </w:tc>
        <w:tc>
          <w:tcPr>
            <w:tcW w:w="896" w:type="pct"/>
            <w:noWrap w:val="0"/>
            <w:vAlign w:val="top"/>
          </w:tcPr>
          <w:p w14:paraId="7E6BB823">
            <w:pPr>
              <w:keepNext/>
              <w:spacing w:line="360" w:lineRule="auto"/>
              <w:rPr>
                <w:rFonts w:hint="eastAsia" w:ascii="宋体" w:hAnsi="宋体" w:cs="宋体"/>
                <w:color w:val="auto"/>
                <w:szCs w:val="21"/>
                <w:highlight w:val="none"/>
              </w:rPr>
            </w:pPr>
          </w:p>
        </w:tc>
      </w:tr>
      <w:tr w14:paraId="689B5F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tcBorders>
              <w:top w:val="nil"/>
              <w:bottom w:val="nil"/>
            </w:tcBorders>
            <w:noWrap w:val="0"/>
            <w:vAlign w:val="center"/>
          </w:tcPr>
          <w:p w14:paraId="0ED2BE9A">
            <w:pPr>
              <w:keepNext/>
              <w:spacing w:line="360" w:lineRule="auto"/>
              <w:rPr>
                <w:rFonts w:hint="eastAsia" w:ascii="宋体" w:hAnsi="宋体" w:cs="宋体"/>
                <w:color w:val="auto"/>
                <w:szCs w:val="21"/>
                <w:highlight w:val="none"/>
              </w:rPr>
            </w:pPr>
          </w:p>
        </w:tc>
        <w:tc>
          <w:tcPr>
            <w:tcW w:w="641" w:type="pct"/>
            <w:noWrap w:val="0"/>
            <w:vAlign w:val="center"/>
          </w:tcPr>
          <w:p w14:paraId="3807FC0F">
            <w:pPr>
              <w:keepNext/>
              <w:spacing w:line="360" w:lineRule="auto"/>
              <w:rPr>
                <w:rFonts w:hint="eastAsia" w:ascii="宋体" w:hAnsi="宋体" w:cs="宋体"/>
                <w:color w:val="auto"/>
                <w:szCs w:val="21"/>
                <w:highlight w:val="none"/>
              </w:rPr>
            </w:pPr>
          </w:p>
        </w:tc>
        <w:tc>
          <w:tcPr>
            <w:tcW w:w="513" w:type="pct"/>
            <w:noWrap w:val="0"/>
            <w:vAlign w:val="center"/>
          </w:tcPr>
          <w:p w14:paraId="128EC792">
            <w:pPr>
              <w:keepNext/>
              <w:spacing w:line="360" w:lineRule="auto"/>
              <w:rPr>
                <w:rFonts w:hint="eastAsia" w:ascii="宋体" w:hAnsi="宋体" w:cs="宋体"/>
                <w:color w:val="auto"/>
                <w:szCs w:val="21"/>
                <w:highlight w:val="none"/>
              </w:rPr>
            </w:pPr>
          </w:p>
        </w:tc>
        <w:tc>
          <w:tcPr>
            <w:tcW w:w="374" w:type="pct"/>
            <w:noWrap w:val="0"/>
            <w:vAlign w:val="center"/>
          </w:tcPr>
          <w:p w14:paraId="632FC293">
            <w:pPr>
              <w:keepNext/>
              <w:spacing w:line="360" w:lineRule="auto"/>
              <w:rPr>
                <w:rFonts w:hint="eastAsia" w:ascii="宋体" w:hAnsi="宋体" w:cs="宋体"/>
                <w:color w:val="auto"/>
                <w:szCs w:val="21"/>
                <w:highlight w:val="none"/>
              </w:rPr>
            </w:pPr>
          </w:p>
        </w:tc>
        <w:tc>
          <w:tcPr>
            <w:tcW w:w="1730" w:type="pct"/>
            <w:noWrap w:val="0"/>
            <w:vAlign w:val="center"/>
          </w:tcPr>
          <w:p w14:paraId="3F76AEC2">
            <w:pPr>
              <w:keepNext/>
              <w:spacing w:line="360" w:lineRule="auto"/>
              <w:rPr>
                <w:rFonts w:hint="eastAsia" w:ascii="宋体" w:hAnsi="宋体" w:cs="宋体"/>
                <w:color w:val="auto"/>
                <w:szCs w:val="21"/>
                <w:highlight w:val="none"/>
              </w:rPr>
            </w:pPr>
          </w:p>
        </w:tc>
        <w:tc>
          <w:tcPr>
            <w:tcW w:w="896" w:type="pct"/>
            <w:noWrap w:val="0"/>
            <w:vAlign w:val="top"/>
          </w:tcPr>
          <w:p w14:paraId="4CF41EF4">
            <w:pPr>
              <w:keepNext/>
              <w:spacing w:line="360" w:lineRule="auto"/>
              <w:rPr>
                <w:rFonts w:hint="eastAsia" w:ascii="宋体" w:hAnsi="宋体" w:cs="宋体"/>
                <w:color w:val="auto"/>
                <w:szCs w:val="21"/>
                <w:highlight w:val="none"/>
              </w:rPr>
            </w:pPr>
          </w:p>
        </w:tc>
      </w:tr>
      <w:tr w14:paraId="080882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104" w:type="pct"/>
            <w:gridSpan w:val="5"/>
            <w:noWrap w:val="0"/>
            <w:vAlign w:val="center"/>
          </w:tcPr>
          <w:p w14:paraId="24DE79E9">
            <w:pPr>
              <w:keepNext/>
              <w:spacing w:line="360" w:lineRule="auto"/>
              <w:rPr>
                <w:rFonts w:hint="eastAsia" w:ascii="宋体" w:hAnsi="宋体" w:cs="宋体"/>
                <w:color w:val="auto"/>
                <w:szCs w:val="21"/>
                <w:highlight w:val="none"/>
              </w:rPr>
            </w:pPr>
            <w:r>
              <w:rPr>
                <w:rFonts w:hint="eastAsia" w:ascii="宋体" w:hAnsi="宋体" w:cs="宋体"/>
                <w:color w:val="auto"/>
                <w:szCs w:val="21"/>
                <w:highlight w:val="none"/>
              </w:rPr>
              <w:t>二、现场人员</w:t>
            </w:r>
          </w:p>
        </w:tc>
        <w:tc>
          <w:tcPr>
            <w:tcW w:w="896" w:type="pct"/>
            <w:noWrap w:val="0"/>
            <w:vAlign w:val="top"/>
          </w:tcPr>
          <w:p w14:paraId="15B46924">
            <w:pPr>
              <w:keepNext/>
              <w:spacing w:line="360" w:lineRule="auto"/>
              <w:rPr>
                <w:rFonts w:hint="eastAsia" w:ascii="宋体" w:hAnsi="宋体" w:cs="宋体"/>
                <w:color w:val="auto"/>
                <w:szCs w:val="21"/>
                <w:highlight w:val="none"/>
              </w:rPr>
            </w:pPr>
          </w:p>
        </w:tc>
      </w:tr>
      <w:tr w14:paraId="2C891C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noWrap w:val="0"/>
            <w:vAlign w:val="top"/>
          </w:tcPr>
          <w:p w14:paraId="3FD3C45B">
            <w:pPr>
              <w:spacing w:line="360" w:lineRule="auto"/>
              <w:rPr>
                <w:rFonts w:hint="eastAsia" w:ascii="宋体" w:hAnsi="宋体" w:cs="宋体"/>
                <w:color w:val="auto"/>
                <w:szCs w:val="22"/>
                <w:highlight w:val="none"/>
              </w:rPr>
            </w:pPr>
            <w:r>
              <w:rPr>
                <w:rFonts w:hint="eastAsia" w:ascii="宋体" w:hAnsi="宋体" w:cs="宋体"/>
                <w:color w:val="auto"/>
                <w:szCs w:val="22"/>
                <w:highlight w:val="none"/>
              </w:rPr>
              <w:t>项目经理</w:t>
            </w:r>
          </w:p>
        </w:tc>
        <w:tc>
          <w:tcPr>
            <w:tcW w:w="641" w:type="pct"/>
            <w:noWrap w:val="0"/>
            <w:vAlign w:val="center"/>
          </w:tcPr>
          <w:p w14:paraId="43CD1A3B">
            <w:pPr>
              <w:keepNext/>
              <w:spacing w:line="360" w:lineRule="auto"/>
              <w:rPr>
                <w:rFonts w:hint="eastAsia" w:ascii="宋体" w:hAnsi="宋体" w:cs="宋体"/>
                <w:color w:val="auto"/>
                <w:szCs w:val="21"/>
                <w:highlight w:val="none"/>
              </w:rPr>
            </w:pPr>
          </w:p>
        </w:tc>
        <w:tc>
          <w:tcPr>
            <w:tcW w:w="513" w:type="pct"/>
            <w:noWrap w:val="0"/>
            <w:vAlign w:val="center"/>
          </w:tcPr>
          <w:p w14:paraId="2FD74A79">
            <w:pPr>
              <w:keepNext/>
              <w:spacing w:line="360" w:lineRule="auto"/>
              <w:rPr>
                <w:rFonts w:hint="eastAsia" w:ascii="宋体" w:hAnsi="宋体" w:cs="宋体"/>
                <w:color w:val="auto"/>
                <w:szCs w:val="21"/>
                <w:highlight w:val="none"/>
              </w:rPr>
            </w:pPr>
          </w:p>
        </w:tc>
        <w:tc>
          <w:tcPr>
            <w:tcW w:w="374" w:type="pct"/>
            <w:noWrap w:val="0"/>
            <w:vAlign w:val="center"/>
          </w:tcPr>
          <w:p w14:paraId="6B3BFB5A">
            <w:pPr>
              <w:keepNext/>
              <w:spacing w:line="360" w:lineRule="auto"/>
              <w:rPr>
                <w:rFonts w:hint="eastAsia" w:ascii="宋体" w:hAnsi="宋体" w:cs="宋体"/>
                <w:color w:val="auto"/>
                <w:szCs w:val="21"/>
                <w:highlight w:val="none"/>
              </w:rPr>
            </w:pPr>
          </w:p>
        </w:tc>
        <w:tc>
          <w:tcPr>
            <w:tcW w:w="1730" w:type="pct"/>
            <w:noWrap w:val="0"/>
            <w:vAlign w:val="center"/>
          </w:tcPr>
          <w:p w14:paraId="486DE898">
            <w:pPr>
              <w:keepNext/>
              <w:spacing w:line="360" w:lineRule="auto"/>
              <w:rPr>
                <w:rFonts w:hint="eastAsia" w:ascii="宋体" w:hAnsi="宋体" w:cs="宋体"/>
                <w:color w:val="auto"/>
                <w:szCs w:val="21"/>
                <w:highlight w:val="none"/>
              </w:rPr>
            </w:pPr>
          </w:p>
        </w:tc>
        <w:tc>
          <w:tcPr>
            <w:tcW w:w="896" w:type="pct"/>
            <w:noWrap w:val="0"/>
            <w:vAlign w:val="top"/>
          </w:tcPr>
          <w:p w14:paraId="0D0600AF">
            <w:pPr>
              <w:keepNext/>
              <w:spacing w:line="360" w:lineRule="auto"/>
              <w:rPr>
                <w:rFonts w:hint="eastAsia" w:ascii="宋体" w:hAnsi="宋体" w:cs="宋体"/>
                <w:color w:val="auto"/>
                <w:szCs w:val="21"/>
                <w:highlight w:val="none"/>
              </w:rPr>
            </w:pPr>
          </w:p>
        </w:tc>
      </w:tr>
      <w:tr w14:paraId="00D0F9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noWrap w:val="0"/>
            <w:vAlign w:val="top"/>
          </w:tcPr>
          <w:p w14:paraId="3E067181">
            <w:pPr>
              <w:spacing w:line="360" w:lineRule="auto"/>
              <w:rPr>
                <w:rFonts w:hint="eastAsia" w:ascii="宋体" w:hAnsi="宋体" w:cs="宋体"/>
                <w:color w:val="auto"/>
                <w:szCs w:val="22"/>
                <w:highlight w:val="none"/>
              </w:rPr>
            </w:pPr>
            <w:r>
              <w:rPr>
                <w:rFonts w:hint="eastAsia" w:ascii="宋体" w:hAnsi="宋体" w:cs="宋体"/>
                <w:color w:val="auto"/>
                <w:szCs w:val="22"/>
                <w:highlight w:val="none"/>
              </w:rPr>
              <w:t>项目副经理</w:t>
            </w:r>
          </w:p>
        </w:tc>
        <w:tc>
          <w:tcPr>
            <w:tcW w:w="641" w:type="pct"/>
            <w:noWrap w:val="0"/>
            <w:vAlign w:val="center"/>
          </w:tcPr>
          <w:p w14:paraId="0CD53670">
            <w:pPr>
              <w:keepNext/>
              <w:spacing w:line="360" w:lineRule="auto"/>
              <w:rPr>
                <w:rFonts w:hint="eastAsia" w:ascii="宋体" w:hAnsi="宋体" w:cs="宋体"/>
                <w:color w:val="auto"/>
                <w:szCs w:val="21"/>
                <w:highlight w:val="none"/>
              </w:rPr>
            </w:pPr>
          </w:p>
        </w:tc>
        <w:tc>
          <w:tcPr>
            <w:tcW w:w="513" w:type="pct"/>
            <w:noWrap w:val="0"/>
            <w:vAlign w:val="center"/>
          </w:tcPr>
          <w:p w14:paraId="342AB737">
            <w:pPr>
              <w:keepNext/>
              <w:spacing w:line="360" w:lineRule="auto"/>
              <w:rPr>
                <w:rFonts w:hint="eastAsia" w:ascii="宋体" w:hAnsi="宋体" w:cs="宋体"/>
                <w:color w:val="auto"/>
                <w:szCs w:val="21"/>
                <w:highlight w:val="none"/>
              </w:rPr>
            </w:pPr>
          </w:p>
        </w:tc>
        <w:tc>
          <w:tcPr>
            <w:tcW w:w="374" w:type="pct"/>
            <w:noWrap w:val="0"/>
            <w:vAlign w:val="center"/>
          </w:tcPr>
          <w:p w14:paraId="3FD60324">
            <w:pPr>
              <w:keepNext/>
              <w:spacing w:line="360" w:lineRule="auto"/>
              <w:rPr>
                <w:rFonts w:hint="eastAsia" w:ascii="宋体" w:hAnsi="宋体" w:cs="宋体"/>
                <w:color w:val="auto"/>
                <w:szCs w:val="21"/>
                <w:highlight w:val="none"/>
              </w:rPr>
            </w:pPr>
          </w:p>
        </w:tc>
        <w:tc>
          <w:tcPr>
            <w:tcW w:w="1730" w:type="pct"/>
            <w:noWrap w:val="0"/>
            <w:vAlign w:val="center"/>
          </w:tcPr>
          <w:p w14:paraId="519AEFA5">
            <w:pPr>
              <w:keepNext/>
              <w:spacing w:line="360" w:lineRule="auto"/>
              <w:rPr>
                <w:rFonts w:hint="eastAsia" w:ascii="宋体" w:hAnsi="宋体" w:cs="宋体"/>
                <w:color w:val="auto"/>
                <w:szCs w:val="21"/>
                <w:highlight w:val="none"/>
              </w:rPr>
            </w:pPr>
          </w:p>
        </w:tc>
        <w:tc>
          <w:tcPr>
            <w:tcW w:w="896" w:type="pct"/>
            <w:noWrap w:val="0"/>
            <w:vAlign w:val="top"/>
          </w:tcPr>
          <w:p w14:paraId="1CCCA7F2">
            <w:pPr>
              <w:keepNext/>
              <w:spacing w:line="360" w:lineRule="auto"/>
              <w:rPr>
                <w:rFonts w:hint="eastAsia" w:ascii="宋体" w:hAnsi="宋体" w:cs="宋体"/>
                <w:color w:val="auto"/>
                <w:szCs w:val="21"/>
                <w:highlight w:val="none"/>
              </w:rPr>
            </w:pPr>
          </w:p>
        </w:tc>
      </w:tr>
      <w:tr w14:paraId="6E8277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noWrap w:val="0"/>
            <w:vAlign w:val="top"/>
          </w:tcPr>
          <w:p w14:paraId="2A5AFF94">
            <w:pPr>
              <w:spacing w:line="360" w:lineRule="auto"/>
              <w:rPr>
                <w:rFonts w:hint="eastAsia" w:ascii="宋体" w:hAnsi="宋体" w:cs="宋体"/>
                <w:color w:val="auto"/>
                <w:szCs w:val="22"/>
                <w:highlight w:val="none"/>
              </w:rPr>
            </w:pPr>
            <w:r>
              <w:rPr>
                <w:rFonts w:hint="eastAsia" w:ascii="宋体" w:hAnsi="宋体" w:cs="宋体"/>
                <w:color w:val="auto"/>
                <w:szCs w:val="22"/>
                <w:highlight w:val="none"/>
              </w:rPr>
              <w:t>项目技术负责人</w:t>
            </w:r>
          </w:p>
        </w:tc>
        <w:tc>
          <w:tcPr>
            <w:tcW w:w="641" w:type="pct"/>
            <w:noWrap w:val="0"/>
            <w:vAlign w:val="center"/>
          </w:tcPr>
          <w:p w14:paraId="5C6D3527">
            <w:pPr>
              <w:keepNext/>
              <w:spacing w:line="360" w:lineRule="auto"/>
              <w:rPr>
                <w:rFonts w:hint="eastAsia" w:ascii="宋体" w:hAnsi="宋体" w:cs="宋体"/>
                <w:color w:val="auto"/>
                <w:szCs w:val="21"/>
                <w:highlight w:val="none"/>
              </w:rPr>
            </w:pPr>
          </w:p>
        </w:tc>
        <w:tc>
          <w:tcPr>
            <w:tcW w:w="513" w:type="pct"/>
            <w:noWrap w:val="0"/>
            <w:vAlign w:val="center"/>
          </w:tcPr>
          <w:p w14:paraId="633614C5">
            <w:pPr>
              <w:keepNext/>
              <w:spacing w:line="360" w:lineRule="auto"/>
              <w:rPr>
                <w:rFonts w:hint="eastAsia" w:ascii="宋体" w:hAnsi="宋体" w:cs="宋体"/>
                <w:color w:val="auto"/>
                <w:szCs w:val="21"/>
                <w:highlight w:val="none"/>
              </w:rPr>
            </w:pPr>
          </w:p>
        </w:tc>
        <w:tc>
          <w:tcPr>
            <w:tcW w:w="374" w:type="pct"/>
            <w:noWrap w:val="0"/>
            <w:vAlign w:val="center"/>
          </w:tcPr>
          <w:p w14:paraId="2F878A1C">
            <w:pPr>
              <w:keepNext/>
              <w:spacing w:line="360" w:lineRule="auto"/>
              <w:rPr>
                <w:rFonts w:hint="eastAsia" w:ascii="宋体" w:hAnsi="宋体" w:cs="宋体"/>
                <w:color w:val="auto"/>
                <w:szCs w:val="21"/>
                <w:highlight w:val="none"/>
              </w:rPr>
            </w:pPr>
          </w:p>
        </w:tc>
        <w:tc>
          <w:tcPr>
            <w:tcW w:w="1730" w:type="pct"/>
            <w:noWrap w:val="0"/>
            <w:vAlign w:val="center"/>
          </w:tcPr>
          <w:p w14:paraId="7971C801">
            <w:pPr>
              <w:keepNext/>
              <w:spacing w:line="360" w:lineRule="auto"/>
              <w:rPr>
                <w:rFonts w:hint="eastAsia" w:ascii="宋体" w:hAnsi="宋体" w:cs="宋体"/>
                <w:color w:val="auto"/>
                <w:szCs w:val="21"/>
                <w:highlight w:val="none"/>
              </w:rPr>
            </w:pPr>
          </w:p>
        </w:tc>
        <w:tc>
          <w:tcPr>
            <w:tcW w:w="896" w:type="pct"/>
            <w:noWrap w:val="0"/>
            <w:vAlign w:val="top"/>
          </w:tcPr>
          <w:p w14:paraId="42EB8E38">
            <w:pPr>
              <w:keepNext/>
              <w:spacing w:line="360" w:lineRule="auto"/>
              <w:rPr>
                <w:rFonts w:hint="eastAsia" w:ascii="宋体" w:hAnsi="宋体" w:cs="宋体"/>
                <w:color w:val="auto"/>
                <w:szCs w:val="21"/>
                <w:highlight w:val="none"/>
              </w:rPr>
            </w:pPr>
          </w:p>
        </w:tc>
      </w:tr>
      <w:tr w14:paraId="24BE76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noWrap w:val="0"/>
            <w:vAlign w:val="top"/>
          </w:tcPr>
          <w:p w14:paraId="360E3ACA">
            <w:pPr>
              <w:spacing w:line="360" w:lineRule="auto"/>
              <w:rPr>
                <w:rFonts w:hint="eastAsia" w:ascii="宋体" w:hAnsi="宋体" w:cs="宋体"/>
                <w:color w:val="auto"/>
                <w:szCs w:val="22"/>
                <w:highlight w:val="none"/>
              </w:rPr>
            </w:pPr>
            <w:r>
              <w:rPr>
                <w:rFonts w:hint="eastAsia" w:ascii="宋体" w:hAnsi="宋体" w:cs="宋体"/>
                <w:color w:val="auto"/>
                <w:szCs w:val="22"/>
                <w:highlight w:val="none"/>
              </w:rPr>
              <w:t>施工员</w:t>
            </w:r>
          </w:p>
        </w:tc>
        <w:tc>
          <w:tcPr>
            <w:tcW w:w="641" w:type="pct"/>
            <w:noWrap w:val="0"/>
            <w:vAlign w:val="center"/>
          </w:tcPr>
          <w:p w14:paraId="03BD8B7D">
            <w:pPr>
              <w:keepNext/>
              <w:spacing w:line="360" w:lineRule="auto"/>
              <w:rPr>
                <w:rFonts w:hint="eastAsia" w:ascii="宋体" w:hAnsi="宋体" w:cs="宋体"/>
                <w:color w:val="auto"/>
                <w:szCs w:val="21"/>
                <w:highlight w:val="none"/>
              </w:rPr>
            </w:pPr>
          </w:p>
        </w:tc>
        <w:tc>
          <w:tcPr>
            <w:tcW w:w="513" w:type="pct"/>
            <w:noWrap w:val="0"/>
            <w:vAlign w:val="center"/>
          </w:tcPr>
          <w:p w14:paraId="08E2DA80">
            <w:pPr>
              <w:keepNext/>
              <w:spacing w:line="360" w:lineRule="auto"/>
              <w:rPr>
                <w:rFonts w:hint="eastAsia" w:ascii="宋体" w:hAnsi="宋体" w:cs="宋体"/>
                <w:color w:val="auto"/>
                <w:szCs w:val="21"/>
                <w:highlight w:val="none"/>
              </w:rPr>
            </w:pPr>
          </w:p>
        </w:tc>
        <w:tc>
          <w:tcPr>
            <w:tcW w:w="374" w:type="pct"/>
            <w:noWrap w:val="0"/>
            <w:vAlign w:val="center"/>
          </w:tcPr>
          <w:p w14:paraId="226FAEA9">
            <w:pPr>
              <w:keepNext/>
              <w:spacing w:line="360" w:lineRule="auto"/>
              <w:rPr>
                <w:rFonts w:hint="eastAsia" w:ascii="宋体" w:hAnsi="宋体" w:cs="宋体"/>
                <w:color w:val="auto"/>
                <w:szCs w:val="21"/>
                <w:highlight w:val="none"/>
              </w:rPr>
            </w:pPr>
          </w:p>
        </w:tc>
        <w:tc>
          <w:tcPr>
            <w:tcW w:w="1730" w:type="pct"/>
            <w:noWrap w:val="0"/>
            <w:vAlign w:val="center"/>
          </w:tcPr>
          <w:p w14:paraId="5B8BC725">
            <w:pPr>
              <w:keepNext/>
              <w:spacing w:line="360" w:lineRule="auto"/>
              <w:rPr>
                <w:rFonts w:hint="eastAsia" w:ascii="宋体" w:hAnsi="宋体" w:cs="宋体"/>
                <w:color w:val="auto"/>
                <w:szCs w:val="21"/>
                <w:highlight w:val="none"/>
              </w:rPr>
            </w:pPr>
          </w:p>
        </w:tc>
        <w:tc>
          <w:tcPr>
            <w:tcW w:w="896" w:type="pct"/>
            <w:noWrap w:val="0"/>
            <w:vAlign w:val="top"/>
          </w:tcPr>
          <w:p w14:paraId="2A24A635">
            <w:pPr>
              <w:keepNext/>
              <w:spacing w:line="360" w:lineRule="auto"/>
              <w:rPr>
                <w:rFonts w:hint="eastAsia" w:ascii="宋体" w:hAnsi="宋体" w:cs="宋体"/>
                <w:color w:val="auto"/>
                <w:szCs w:val="21"/>
                <w:highlight w:val="none"/>
              </w:rPr>
            </w:pPr>
          </w:p>
        </w:tc>
      </w:tr>
      <w:tr w14:paraId="510D6D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noWrap w:val="0"/>
            <w:vAlign w:val="top"/>
          </w:tcPr>
          <w:p w14:paraId="7A63E307">
            <w:pPr>
              <w:spacing w:line="360" w:lineRule="auto"/>
              <w:rPr>
                <w:rFonts w:hint="eastAsia" w:ascii="宋体" w:hAnsi="宋体" w:cs="宋体"/>
                <w:color w:val="auto"/>
                <w:szCs w:val="22"/>
                <w:highlight w:val="none"/>
              </w:rPr>
            </w:pPr>
            <w:r>
              <w:rPr>
                <w:rFonts w:hint="eastAsia" w:ascii="宋体" w:hAnsi="宋体" w:cs="宋体"/>
                <w:color w:val="auto"/>
                <w:szCs w:val="22"/>
                <w:highlight w:val="none"/>
              </w:rPr>
              <w:t>质检员（质量员）</w:t>
            </w:r>
          </w:p>
        </w:tc>
        <w:tc>
          <w:tcPr>
            <w:tcW w:w="641" w:type="pct"/>
            <w:noWrap w:val="0"/>
            <w:vAlign w:val="center"/>
          </w:tcPr>
          <w:p w14:paraId="419A36C7">
            <w:pPr>
              <w:keepNext/>
              <w:spacing w:line="360" w:lineRule="auto"/>
              <w:rPr>
                <w:rFonts w:hint="eastAsia" w:ascii="宋体" w:hAnsi="宋体" w:cs="宋体"/>
                <w:color w:val="auto"/>
                <w:szCs w:val="21"/>
                <w:highlight w:val="none"/>
              </w:rPr>
            </w:pPr>
          </w:p>
        </w:tc>
        <w:tc>
          <w:tcPr>
            <w:tcW w:w="513" w:type="pct"/>
            <w:noWrap w:val="0"/>
            <w:vAlign w:val="center"/>
          </w:tcPr>
          <w:p w14:paraId="67512B09">
            <w:pPr>
              <w:keepNext/>
              <w:spacing w:line="360" w:lineRule="auto"/>
              <w:rPr>
                <w:rFonts w:hint="eastAsia" w:ascii="宋体" w:hAnsi="宋体" w:cs="宋体"/>
                <w:color w:val="auto"/>
                <w:szCs w:val="21"/>
                <w:highlight w:val="none"/>
              </w:rPr>
            </w:pPr>
          </w:p>
        </w:tc>
        <w:tc>
          <w:tcPr>
            <w:tcW w:w="374" w:type="pct"/>
            <w:noWrap w:val="0"/>
            <w:vAlign w:val="center"/>
          </w:tcPr>
          <w:p w14:paraId="5D35DE83">
            <w:pPr>
              <w:keepNext/>
              <w:spacing w:line="360" w:lineRule="auto"/>
              <w:rPr>
                <w:rFonts w:hint="eastAsia" w:ascii="宋体" w:hAnsi="宋体" w:cs="宋体"/>
                <w:color w:val="auto"/>
                <w:szCs w:val="21"/>
                <w:highlight w:val="none"/>
              </w:rPr>
            </w:pPr>
          </w:p>
        </w:tc>
        <w:tc>
          <w:tcPr>
            <w:tcW w:w="1730" w:type="pct"/>
            <w:noWrap w:val="0"/>
            <w:vAlign w:val="center"/>
          </w:tcPr>
          <w:p w14:paraId="46B5E773">
            <w:pPr>
              <w:keepNext/>
              <w:spacing w:line="360" w:lineRule="auto"/>
              <w:rPr>
                <w:rFonts w:hint="eastAsia" w:ascii="宋体" w:hAnsi="宋体" w:cs="宋体"/>
                <w:color w:val="auto"/>
                <w:szCs w:val="21"/>
                <w:highlight w:val="none"/>
              </w:rPr>
            </w:pPr>
          </w:p>
        </w:tc>
        <w:tc>
          <w:tcPr>
            <w:tcW w:w="896" w:type="pct"/>
            <w:noWrap w:val="0"/>
            <w:vAlign w:val="top"/>
          </w:tcPr>
          <w:p w14:paraId="0F4A773B">
            <w:pPr>
              <w:keepNext/>
              <w:spacing w:line="360" w:lineRule="auto"/>
              <w:rPr>
                <w:rFonts w:hint="eastAsia" w:ascii="宋体" w:hAnsi="宋体" w:cs="宋体"/>
                <w:color w:val="auto"/>
                <w:szCs w:val="21"/>
                <w:highlight w:val="none"/>
              </w:rPr>
            </w:pPr>
          </w:p>
        </w:tc>
      </w:tr>
      <w:tr w14:paraId="3AC6E6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noWrap w:val="0"/>
            <w:vAlign w:val="top"/>
          </w:tcPr>
          <w:p w14:paraId="10470744">
            <w:pPr>
              <w:spacing w:line="360" w:lineRule="auto"/>
              <w:rPr>
                <w:rFonts w:hint="eastAsia" w:ascii="宋体" w:hAnsi="宋体" w:cs="宋体"/>
                <w:color w:val="auto"/>
                <w:szCs w:val="22"/>
                <w:highlight w:val="none"/>
              </w:rPr>
            </w:pPr>
            <w:r>
              <w:rPr>
                <w:rFonts w:hint="eastAsia" w:ascii="宋体" w:hAnsi="宋体" w:cs="宋体"/>
                <w:color w:val="auto"/>
                <w:szCs w:val="22"/>
                <w:highlight w:val="none"/>
              </w:rPr>
              <w:t>安全员</w:t>
            </w:r>
          </w:p>
        </w:tc>
        <w:tc>
          <w:tcPr>
            <w:tcW w:w="641" w:type="pct"/>
            <w:noWrap w:val="0"/>
            <w:vAlign w:val="center"/>
          </w:tcPr>
          <w:p w14:paraId="724A9FBF">
            <w:pPr>
              <w:keepNext/>
              <w:spacing w:line="360" w:lineRule="auto"/>
              <w:rPr>
                <w:rFonts w:hint="eastAsia" w:ascii="宋体" w:hAnsi="宋体" w:cs="宋体"/>
                <w:color w:val="auto"/>
                <w:szCs w:val="21"/>
                <w:highlight w:val="none"/>
              </w:rPr>
            </w:pPr>
          </w:p>
        </w:tc>
        <w:tc>
          <w:tcPr>
            <w:tcW w:w="513" w:type="pct"/>
            <w:noWrap w:val="0"/>
            <w:vAlign w:val="center"/>
          </w:tcPr>
          <w:p w14:paraId="34A3C73B">
            <w:pPr>
              <w:keepNext/>
              <w:spacing w:line="360" w:lineRule="auto"/>
              <w:rPr>
                <w:rFonts w:hint="eastAsia" w:ascii="宋体" w:hAnsi="宋体" w:cs="宋体"/>
                <w:color w:val="auto"/>
                <w:szCs w:val="21"/>
                <w:highlight w:val="none"/>
              </w:rPr>
            </w:pPr>
          </w:p>
        </w:tc>
        <w:tc>
          <w:tcPr>
            <w:tcW w:w="374" w:type="pct"/>
            <w:noWrap w:val="0"/>
            <w:vAlign w:val="center"/>
          </w:tcPr>
          <w:p w14:paraId="519F4274">
            <w:pPr>
              <w:keepNext/>
              <w:spacing w:line="360" w:lineRule="auto"/>
              <w:rPr>
                <w:rFonts w:hint="eastAsia" w:ascii="宋体" w:hAnsi="宋体" w:cs="宋体"/>
                <w:color w:val="auto"/>
                <w:szCs w:val="21"/>
                <w:highlight w:val="none"/>
              </w:rPr>
            </w:pPr>
          </w:p>
        </w:tc>
        <w:tc>
          <w:tcPr>
            <w:tcW w:w="1730" w:type="pct"/>
            <w:noWrap w:val="0"/>
            <w:vAlign w:val="center"/>
          </w:tcPr>
          <w:p w14:paraId="44C77F3F">
            <w:pPr>
              <w:keepNext/>
              <w:spacing w:line="360" w:lineRule="auto"/>
              <w:rPr>
                <w:rFonts w:hint="eastAsia" w:ascii="宋体" w:hAnsi="宋体" w:cs="宋体"/>
                <w:color w:val="auto"/>
                <w:szCs w:val="21"/>
                <w:highlight w:val="none"/>
              </w:rPr>
            </w:pPr>
          </w:p>
        </w:tc>
        <w:tc>
          <w:tcPr>
            <w:tcW w:w="896" w:type="pct"/>
            <w:noWrap w:val="0"/>
            <w:vAlign w:val="top"/>
          </w:tcPr>
          <w:p w14:paraId="4503E858">
            <w:pPr>
              <w:keepNext/>
              <w:spacing w:line="360" w:lineRule="auto"/>
              <w:rPr>
                <w:rFonts w:hint="eastAsia" w:ascii="宋体" w:hAnsi="宋体" w:cs="宋体"/>
                <w:color w:val="auto"/>
                <w:szCs w:val="21"/>
                <w:highlight w:val="none"/>
              </w:rPr>
            </w:pPr>
          </w:p>
        </w:tc>
      </w:tr>
      <w:tr w14:paraId="49B91A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noWrap w:val="0"/>
            <w:vAlign w:val="top"/>
          </w:tcPr>
          <w:p w14:paraId="543D3992">
            <w:pPr>
              <w:spacing w:line="360" w:lineRule="auto"/>
              <w:rPr>
                <w:rFonts w:hint="eastAsia" w:ascii="宋体" w:hAnsi="宋体" w:cs="宋体"/>
                <w:color w:val="auto"/>
                <w:szCs w:val="22"/>
                <w:highlight w:val="none"/>
              </w:rPr>
            </w:pPr>
            <w:r>
              <w:rPr>
                <w:rFonts w:hint="eastAsia" w:ascii="宋体" w:hAnsi="宋体" w:cs="宋体"/>
                <w:color w:val="auto"/>
                <w:szCs w:val="22"/>
                <w:highlight w:val="none"/>
              </w:rPr>
              <w:t>资料员</w:t>
            </w:r>
          </w:p>
        </w:tc>
        <w:tc>
          <w:tcPr>
            <w:tcW w:w="641" w:type="pct"/>
            <w:noWrap w:val="0"/>
            <w:vAlign w:val="center"/>
          </w:tcPr>
          <w:p w14:paraId="1AB3DBB9">
            <w:pPr>
              <w:keepNext/>
              <w:spacing w:line="360" w:lineRule="auto"/>
              <w:rPr>
                <w:rFonts w:hint="eastAsia" w:ascii="宋体" w:hAnsi="宋体" w:cs="宋体"/>
                <w:color w:val="auto"/>
                <w:szCs w:val="21"/>
                <w:highlight w:val="none"/>
              </w:rPr>
            </w:pPr>
          </w:p>
        </w:tc>
        <w:tc>
          <w:tcPr>
            <w:tcW w:w="513" w:type="pct"/>
            <w:noWrap w:val="0"/>
            <w:vAlign w:val="center"/>
          </w:tcPr>
          <w:p w14:paraId="2B996BCA">
            <w:pPr>
              <w:keepNext/>
              <w:spacing w:line="360" w:lineRule="auto"/>
              <w:rPr>
                <w:rFonts w:hint="eastAsia" w:ascii="宋体" w:hAnsi="宋体" w:cs="宋体"/>
                <w:color w:val="auto"/>
                <w:szCs w:val="21"/>
                <w:highlight w:val="none"/>
              </w:rPr>
            </w:pPr>
          </w:p>
        </w:tc>
        <w:tc>
          <w:tcPr>
            <w:tcW w:w="374" w:type="pct"/>
            <w:noWrap w:val="0"/>
            <w:vAlign w:val="center"/>
          </w:tcPr>
          <w:p w14:paraId="79FE92E8">
            <w:pPr>
              <w:keepNext/>
              <w:spacing w:line="360" w:lineRule="auto"/>
              <w:rPr>
                <w:rFonts w:hint="eastAsia" w:ascii="宋体" w:hAnsi="宋体" w:cs="宋体"/>
                <w:color w:val="auto"/>
                <w:szCs w:val="21"/>
                <w:highlight w:val="none"/>
              </w:rPr>
            </w:pPr>
          </w:p>
        </w:tc>
        <w:tc>
          <w:tcPr>
            <w:tcW w:w="1730" w:type="pct"/>
            <w:noWrap w:val="0"/>
            <w:vAlign w:val="center"/>
          </w:tcPr>
          <w:p w14:paraId="06B7A241">
            <w:pPr>
              <w:keepNext/>
              <w:spacing w:line="360" w:lineRule="auto"/>
              <w:rPr>
                <w:rFonts w:hint="eastAsia" w:ascii="宋体" w:hAnsi="宋体" w:cs="宋体"/>
                <w:color w:val="auto"/>
                <w:szCs w:val="21"/>
                <w:highlight w:val="none"/>
              </w:rPr>
            </w:pPr>
          </w:p>
        </w:tc>
        <w:tc>
          <w:tcPr>
            <w:tcW w:w="896" w:type="pct"/>
            <w:noWrap w:val="0"/>
            <w:vAlign w:val="top"/>
          </w:tcPr>
          <w:p w14:paraId="621E096E">
            <w:pPr>
              <w:keepNext/>
              <w:spacing w:line="360" w:lineRule="auto"/>
              <w:rPr>
                <w:rFonts w:hint="eastAsia" w:ascii="宋体" w:hAnsi="宋体" w:cs="宋体"/>
                <w:color w:val="auto"/>
                <w:szCs w:val="21"/>
                <w:highlight w:val="none"/>
              </w:rPr>
            </w:pPr>
          </w:p>
        </w:tc>
      </w:tr>
      <w:tr w14:paraId="4D6DCE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vMerge w:val="restart"/>
            <w:noWrap w:val="0"/>
            <w:vAlign w:val="center"/>
          </w:tcPr>
          <w:p w14:paraId="4DBF51AF">
            <w:pPr>
              <w:keepNext/>
              <w:spacing w:line="360" w:lineRule="auto"/>
              <w:rPr>
                <w:rFonts w:hint="eastAsia" w:ascii="宋体" w:hAnsi="宋体" w:cs="宋体"/>
                <w:color w:val="auto"/>
                <w:szCs w:val="21"/>
                <w:highlight w:val="none"/>
              </w:rPr>
            </w:pPr>
            <w:r>
              <w:rPr>
                <w:rFonts w:hint="eastAsia" w:ascii="宋体" w:hAnsi="宋体" w:cs="宋体"/>
                <w:color w:val="auto"/>
                <w:szCs w:val="21"/>
                <w:highlight w:val="none"/>
              </w:rPr>
              <w:t>其他人员</w:t>
            </w:r>
          </w:p>
        </w:tc>
        <w:tc>
          <w:tcPr>
            <w:tcW w:w="641" w:type="pct"/>
            <w:noWrap w:val="0"/>
            <w:vAlign w:val="center"/>
          </w:tcPr>
          <w:p w14:paraId="3D4F2DC8">
            <w:pPr>
              <w:keepNext/>
              <w:spacing w:line="360" w:lineRule="auto"/>
              <w:rPr>
                <w:rFonts w:hint="eastAsia" w:ascii="宋体" w:hAnsi="宋体" w:cs="宋体"/>
                <w:color w:val="auto"/>
                <w:szCs w:val="21"/>
                <w:highlight w:val="none"/>
              </w:rPr>
            </w:pPr>
          </w:p>
        </w:tc>
        <w:tc>
          <w:tcPr>
            <w:tcW w:w="513" w:type="pct"/>
            <w:noWrap w:val="0"/>
            <w:vAlign w:val="center"/>
          </w:tcPr>
          <w:p w14:paraId="773E1D3A">
            <w:pPr>
              <w:keepNext/>
              <w:spacing w:line="360" w:lineRule="auto"/>
              <w:rPr>
                <w:rFonts w:hint="eastAsia" w:ascii="宋体" w:hAnsi="宋体" w:cs="宋体"/>
                <w:color w:val="auto"/>
                <w:szCs w:val="21"/>
                <w:highlight w:val="none"/>
              </w:rPr>
            </w:pPr>
          </w:p>
        </w:tc>
        <w:tc>
          <w:tcPr>
            <w:tcW w:w="374" w:type="pct"/>
            <w:noWrap w:val="0"/>
            <w:vAlign w:val="center"/>
          </w:tcPr>
          <w:p w14:paraId="6C8088DB">
            <w:pPr>
              <w:keepNext/>
              <w:spacing w:line="360" w:lineRule="auto"/>
              <w:rPr>
                <w:rFonts w:hint="eastAsia" w:ascii="宋体" w:hAnsi="宋体" w:cs="宋体"/>
                <w:color w:val="auto"/>
                <w:szCs w:val="21"/>
                <w:highlight w:val="none"/>
              </w:rPr>
            </w:pPr>
          </w:p>
        </w:tc>
        <w:tc>
          <w:tcPr>
            <w:tcW w:w="1730" w:type="pct"/>
            <w:noWrap w:val="0"/>
            <w:vAlign w:val="center"/>
          </w:tcPr>
          <w:p w14:paraId="66DE372B">
            <w:pPr>
              <w:keepNext/>
              <w:spacing w:line="360" w:lineRule="auto"/>
              <w:rPr>
                <w:rFonts w:hint="eastAsia" w:ascii="宋体" w:hAnsi="宋体" w:cs="宋体"/>
                <w:color w:val="auto"/>
                <w:szCs w:val="21"/>
                <w:highlight w:val="none"/>
              </w:rPr>
            </w:pPr>
          </w:p>
        </w:tc>
        <w:tc>
          <w:tcPr>
            <w:tcW w:w="896" w:type="pct"/>
            <w:noWrap w:val="0"/>
            <w:vAlign w:val="top"/>
          </w:tcPr>
          <w:p w14:paraId="1BFDA8FF">
            <w:pPr>
              <w:keepNext/>
              <w:spacing w:line="360" w:lineRule="auto"/>
              <w:rPr>
                <w:rFonts w:hint="eastAsia" w:ascii="宋体" w:hAnsi="宋体" w:cs="宋体"/>
                <w:color w:val="auto"/>
                <w:szCs w:val="21"/>
                <w:highlight w:val="none"/>
              </w:rPr>
            </w:pPr>
          </w:p>
        </w:tc>
      </w:tr>
      <w:tr w14:paraId="584904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vMerge w:val="continue"/>
            <w:noWrap w:val="0"/>
            <w:vAlign w:val="center"/>
          </w:tcPr>
          <w:p w14:paraId="4F954DB6">
            <w:pPr>
              <w:keepNext/>
              <w:spacing w:line="360" w:lineRule="auto"/>
              <w:rPr>
                <w:rFonts w:hint="eastAsia" w:ascii="宋体" w:hAnsi="宋体" w:cs="宋体"/>
                <w:color w:val="auto"/>
                <w:szCs w:val="21"/>
                <w:highlight w:val="none"/>
              </w:rPr>
            </w:pPr>
          </w:p>
        </w:tc>
        <w:tc>
          <w:tcPr>
            <w:tcW w:w="641" w:type="pct"/>
            <w:tcBorders>
              <w:bottom w:val="nil"/>
            </w:tcBorders>
            <w:noWrap w:val="0"/>
            <w:vAlign w:val="center"/>
          </w:tcPr>
          <w:p w14:paraId="1E4C6B00">
            <w:pPr>
              <w:keepNext/>
              <w:spacing w:line="360" w:lineRule="auto"/>
              <w:rPr>
                <w:rFonts w:hint="eastAsia" w:ascii="宋体" w:hAnsi="宋体" w:cs="宋体"/>
                <w:color w:val="auto"/>
                <w:szCs w:val="21"/>
                <w:highlight w:val="none"/>
              </w:rPr>
            </w:pPr>
          </w:p>
        </w:tc>
        <w:tc>
          <w:tcPr>
            <w:tcW w:w="513" w:type="pct"/>
            <w:tcBorders>
              <w:bottom w:val="nil"/>
            </w:tcBorders>
            <w:noWrap w:val="0"/>
            <w:vAlign w:val="center"/>
          </w:tcPr>
          <w:p w14:paraId="3F24B6CA">
            <w:pPr>
              <w:keepNext/>
              <w:spacing w:line="360" w:lineRule="auto"/>
              <w:rPr>
                <w:rFonts w:hint="eastAsia" w:ascii="宋体" w:hAnsi="宋体" w:cs="宋体"/>
                <w:color w:val="auto"/>
                <w:szCs w:val="21"/>
                <w:highlight w:val="none"/>
              </w:rPr>
            </w:pPr>
          </w:p>
        </w:tc>
        <w:tc>
          <w:tcPr>
            <w:tcW w:w="374" w:type="pct"/>
            <w:tcBorders>
              <w:bottom w:val="nil"/>
            </w:tcBorders>
            <w:noWrap w:val="0"/>
            <w:vAlign w:val="center"/>
          </w:tcPr>
          <w:p w14:paraId="164CF617">
            <w:pPr>
              <w:keepNext/>
              <w:spacing w:line="360" w:lineRule="auto"/>
              <w:rPr>
                <w:rFonts w:hint="eastAsia" w:ascii="宋体" w:hAnsi="宋体" w:cs="宋体"/>
                <w:color w:val="auto"/>
                <w:szCs w:val="21"/>
                <w:highlight w:val="none"/>
              </w:rPr>
            </w:pPr>
          </w:p>
        </w:tc>
        <w:tc>
          <w:tcPr>
            <w:tcW w:w="1730" w:type="pct"/>
            <w:tcBorders>
              <w:bottom w:val="nil"/>
            </w:tcBorders>
            <w:noWrap w:val="0"/>
            <w:vAlign w:val="center"/>
          </w:tcPr>
          <w:p w14:paraId="18F34DF4">
            <w:pPr>
              <w:keepNext/>
              <w:spacing w:line="360" w:lineRule="auto"/>
              <w:rPr>
                <w:rFonts w:hint="eastAsia" w:ascii="宋体" w:hAnsi="宋体" w:cs="宋体"/>
                <w:color w:val="auto"/>
                <w:szCs w:val="21"/>
                <w:highlight w:val="none"/>
              </w:rPr>
            </w:pPr>
          </w:p>
        </w:tc>
        <w:tc>
          <w:tcPr>
            <w:tcW w:w="896" w:type="pct"/>
            <w:tcBorders>
              <w:bottom w:val="nil"/>
            </w:tcBorders>
            <w:noWrap w:val="0"/>
            <w:vAlign w:val="top"/>
          </w:tcPr>
          <w:p w14:paraId="2B958694">
            <w:pPr>
              <w:keepNext/>
              <w:spacing w:line="360" w:lineRule="auto"/>
              <w:rPr>
                <w:rFonts w:hint="eastAsia" w:ascii="宋体" w:hAnsi="宋体" w:cs="宋体"/>
                <w:color w:val="auto"/>
                <w:szCs w:val="21"/>
                <w:highlight w:val="none"/>
              </w:rPr>
            </w:pPr>
          </w:p>
        </w:tc>
      </w:tr>
      <w:tr w14:paraId="45B445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vMerge w:val="continue"/>
            <w:noWrap w:val="0"/>
            <w:vAlign w:val="center"/>
          </w:tcPr>
          <w:p w14:paraId="59C50910">
            <w:pPr>
              <w:keepNext/>
              <w:spacing w:line="360" w:lineRule="auto"/>
              <w:rPr>
                <w:rFonts w:hint="eastAsia" w:ascii="宋体" w:hAnsi="宋体" w:cs="宋体"/>
                <w:color w:val="auto"/>
                <w:szCs w:val="21"/>
                <w:highlight w:val="none"/>
              </w:rPr>
            </w:pPr>
          </w:p>
        </w:tc>
        <w:tc>
          <w:tcPr>
            <w:tcW w:w="641" w:type="pct"/>
            <w:noWrap w:val="0"/>
            <w:vAlign w:val="center"/>
          </w:tcPr>
          <w:p w14:paraId="5A18B110">
            <w:pPr>
              <w:keepNext/>
              <w:spacing w:line="360" w:lineRule="auto"/>
              <w:rPr>
                <w:rFonts w:hint="eastAsia" w:ascii="宋体" w:hAnsi="宋体" w:cs="宋体"/>
                <w:color w:val="auto"/>
                <w:szCs w:val="21"/>
                <w:highlight w:val="none"/>
              </w:rPr>
            </w:pPr>
          </w:p>
        </w:tc>
        <w:tc>
          <w:tcPr>
            <w:tcW w:w="513" w:type="pct"/>
            <w:noWrap w:val="0"/>
            <w:vAlign w:val="center"/>
          </w:tcPr>
          <w:p w14:paraId="28860B1B">
            <w:pPr>
              <w:keepNext/>
              <w:spacing w:line="360" w:lineRule="auto"/>
              <w:rPr>
                <w:rFonts w:hint="eastAsia" w:ascii="宋体" w:hAnsi="宋体" w:cs="宋体"/>
                <w:color w:val="auto"/>
                <w:szCs w:val="21"/>
                <w:highlight w:val="none"/>
              </w:rPr>
            </w:pPr>
          </w:p>
        </w:tc>
        <w:tc>
          <w:tcPr>
            <w:tcW w:w="374" w:type="pct"/>
            <w:noWrap w:val="0"/>
            <w:vAlign w:val="center"/>
          </w:tcPr>
          <w:p w14:paraId="2497F822">
            <w:pPr>
              <w:keepNext/>
              <w:spacing w:line="360" w:lineRule="auto"/>
              <w:rPr>
                <w:rFonts w:hint="eastAsia" w:ascii="宋体" w:hAnsi="宋体" w:cs="宋体"/>
                <w:color w:val="auto"/>
                <w:szCs w:val="21"/>
                <w:highlight w:val="none"/>
              </w:rPr>
            </w:pPr>
          </w:p>
        </w:tc>
        <w:tc>
          <w:tcPr>
            <w:tcW w:w="1730" w:type="pct"/>
            <w:noWrap w:val="0"/>
            <w:vAlign w:val="center"/>
          </w:tcPr>
          <w:p w14:paraId="5B3790B0">
            <w:pPr>
              <w:keepNext/>
              <w:spacing w:line="360" w:lineRule="auto"/>
              <w:rPr>
                <w:rFonts w:hint="eastAsia" w:ascii="宋体" w:hAnsi="宋体" w:cs="宋体"/>
                <w:color w:val="auto"/>
                <w:szCs w:val="21"/>
                <w:highlight w:val="none"/>
              </w:rPr>
            </w:pPr>
          </w:p>
        </w:tc>
        <w:tc>
          <w:tcPr>
            <w:tcW w:w="896" w:type="pct"/>
            <w:noWrap w:val="0"/>
            <w:vAlign w:val="top"/>
          </w:tcPr>
          <w:p w14:paraId="38AE0E0A">
            <w:pPr>
              <w:keepNext/>
              <w:spacing w:line="360" w:lineRule="auto"/>
              <w:rPr>
                <w:rFonts w:hint="eastAsia" w:ascii="宋体" w:hAnsi="宋体" w:cs="宋体"/>
                <w:color w:val="auto"/>
                <w:szCs w:val="21"/>
                <w:highlight w:val="none"/>
              </w:rPr>
            </w:pPr>
          </w:p>
        </w:tc>
      </w:tr>
      <w:tr w14:paraId="539717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vMerge w:val="continue"/>
            <w:noWrap w:val="0"/>
            <w:vAlign w:val="center"/>
          </w:tcPr>
          <w:p w14:paraId="0C746D85">
            <w:pPr>
              <w:keepNext/>
              <w:spacing w:line="360" w:lineRule="auto"/>
              <w:rPr>
                <w:rFonts w:hint="eastAsia" w:ascii="宋体" w:hAnsi="宋体" w:cs="宋体"/>
                <w:color w:val="auto"/>
                <w:szCs w:val="21"/>
                <w:highlight w:val="none"/>
              </w:rPr>
            </w:pPr>
          </w:p>
        </w:tc>
        <w:tc>
          <w:tcPr>
            <w:tcW w:w="641" w:type="pct"/>
            <w:noWrap w:val="0"/>
            <w:vAlign w:val="center"/>
          </w:tcPr>
          <w:p w14:paraId="4ACD4D6C">
            <w:pPr>
              <w:keepNext/>
              <w:spacing w:line="360" w:lineRule="auto"/>
              <w:rPr>
                <w:rFonts w:hint="eastAsia" w:ascii="宋体" w:hAnsi="宋体" w:cs="宋体"/>
                <w:color w:val="auto"/>
                <w:szCs w:val="21"/>
                <w:highlight w:val="none"/>
              </w:rPr>
            </w:pPr>
          </w:p>
        </w:tc>
        <w:tc>
          <w:tcPr>
            <w:tcW w:w="513" w:type="pct"/>
            <w:noWrap w:val="0"/>
            <w:vAlign w:val="center"/>
          </w:tcPr>
          <w:p w14:paraId="78EDC79F">
            <w:pPr>
              <w:keepNext/>
              <w:spacing w:line="360" w:lineRule="auto"/>
              <w:rPr>
                <w:rFonts w:hint="eastAsia" w:ascii="宋体" w:hAnsi="宋体" w:cs="宋体"/>
                <w:color w:val="auto"/>
                <w:szCs w:val="21"/>
                <w:highlight w:val="none"/>
              </w:rPr>
            </w:pPr>
          </w:p>
        </w:tc>
        <w:tc>
          <w:tcPr>
            <w:tcW w:w="374" w:type="pct"/>
            <w:noWrap w:val="0"/>
            <w:vAlign w:val="center"/>
          </w:tcPr>
          <w:p w14:paraId="14350280">
            <w:pPr>
              <w:keepNext/>
              <w:spacing w:line="360" w:lineRule="auto"/>
              <w:rPr>
                <w:rFonts w:hint="eastAsia" w:ascii="宋体" w:hAnsi="宋体" w:cs="宋体"/>
                <w:color w:val="auto"/>
                <w:szCs w:val="21"/>
                <w:highlight w:val="none"/>
              </w:rPr>
            </w:pPr>
          </w:p>
        </w:tc>
        <w:tc>
          <w:tcPr>
            <w:tcW w:w="1730" w:type="pct"/>
            <w:noWrap w:val="0"/>
            <w:vAlign w:val="center"/>
          </w:tcPr>
          <w:p w14:paraId="5390B75B">
            <w:pPr>
              <w:keepNext/>
              <w:spacing w:line="360" w:lineRule="auto"/>
              <w:rPr>
                <w:rFonts w:hint="eastAsia" w:ascii="宋体" w:hAnsi="宋体" w:cs="宋体"/>
                <w:color w:val="auto"/>
                <w:szCs w:val="21"/>
                <w:highlight w:val="none"/>
              </w:rPr>
            </w:pPr>
          </w:p>
        </w:tc>
        <w:tc>
          <w:tcPr>
            <w:tcW w:w="896" w:type="pct"/>
            <w:noWrap w:val="0"/>
            <w:vAlign w:val="top"/>
          </w:tcPr>
          <w:p w14:paraId="10E60C16">
            <w:pPr>
              <w:keepNext/>
              <w:spacing w:line="360" w:lineRule="auto"/>
              <w:rPr>
                <w:rFonts w:hint="eastAsia" w:ascii="宋体" w:hAnsi="宋体" w:cs="宋体"/>
                <w:color w:val="auto"/>
                <w:szCs w:val="21"/>
                <w:highlight w:val="none"/>
              </w:rPr>
            </w:pPr>
          </w:p>
        </w:tc>
      </w:tr>
      <w:tr w14:paraId="4112AC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vMerge w:val="continue"/>
            <w:noWrap w:val="0"/>
            <w:vAlign w:val="center"/>
          </w:tcPr>
          <w:p w14:paraId="57B0AA7B">
            <w:pPr>
              <w:keepNext/>
              <w:spacing w:line="360" w:lineRule="auto"/>
              <w:rPr>
                <w:rFonts w:hint="eastAsia" w:ascii="宋体" w:hAnsi="宋体" w:cs="宋体"/>
                <w:color w:val="auto"/>
                <w:szCs w:val="21"/>
                <w:highlight w:val="none"/>
              </w:rPr>
            </w:pPr>
          </w:p>
        </w:tc>
        <w:tc>
          <w:tcPr>
            <w:tcW w:w="641" w:type="pct"/>
            <w:noWrap w:val="0"/>
            <w:vAlign w:val="center"/>
          </w:tcPr>
          <w:p w14:paraId="2A01B063">
            <w:pPr>
              <w:keepNext/>
              <w:spacing w:line="360" w:lineRule="auto"/>
              <w:rPr>
                <w:rFonts w:hint="eastAsia" w:ascii="宋体" w:hAnsi="宋体" w:cs="宋体"/>
                <w:color w:val="auto"/>
                <w:szCs w:val="21"/>
                <w:highlight w:val="none"/>
              </w:rPr>
            </w:pPr>
          </w:p>
        </w:tc>
        <w:tc>
          <w:tcPr>
            <w:tcW w:w="513" w:type="pct"/>
            <w:noWrap w:val="0"/>
            <w:vAlign w:val="center"/>
          </w:tcPr>
          <w:p w14:paraId="675ADCCB">
            <w:pPr>
              <w:keepNext/>
              <w:spacing w:line="360" w:lineRule="auto"/>
              <w:rPr>
                <w:rFonts w:hint="eastAsia" w:ascii="宋体" w:hAnsi="宋体" w:cs="宋体"/>
                <w:color w:val="auto"/>
                <w:szCs w:val="21"/>
                <w:highlight w:val="none"/>
              </w:rPr>
            </w:pPr>
          </w:p>
        </w:tc>
        <w:tc>
          <w:tcPr>
            <w:tcW w:w="374" w:type="pct"/>
            <w:noWrap w:val="0"/>
            <w:vAlign w:val="center"/>
          </w:tcPr>
          <w:p w14:paraId="155D92CD">
            <w:pPr>
              <w:keepNext/>
              <w:spacing w:line="360" w:lineRule="auto"/>
              <w:rPr>
                <w:rFonts w:hint="eastAsia" w:ascii="宋体" w:hAnsi="宋体" w:cs="宋体"/>
                <w:color w:val="auto"/>
                <w:szCs w:val="21"/>
                <w:highlight w:val="none"/>
              </w:rPr>
            </w:pPr>
          </w:p>
        </w:tc>
        <w:tc>
          <w:tcPr>
            <w:tcW w:w="1730" w:type="pct"/>
            <w:noWrap w:val="0"/>
            <w:vAlign w:val="center"/>
          </w:tcPr>
          <w:p w14:paraId="2C772012">
            <w:pPr>
              <w:keepNext/>
              <w:spacing w:line="360" w:lineRule="auto"/>
              <w:rPr>
                <w:rFonts w:hint="eastAsia" w:ascii="宋体" w:hAnsi="宋体" w:cs="宋体"/>
                <w:color w:val="auto"/>
                <w:szCs w:val="21"/>
                <w:highlight w:val="none"/>
              </w:rPr>
            </w:pPr>
          </w:p>
        </w:tc>
        <w:tc>
          <w:tcPr>
            <w:tcW w:w="896" w:type="pct"/>
            <w:noWrap w:val="0"/>
            <w:vAlign w:val="top"/>
          </w:tcPr>
          <w:p w14:paraId="1858427B">
            <w:pPr>
              <w:keepNext/>
              <w:spacing w:line="360" w:lineRule="auto"/>
              <w:rPr>
                <w:rFonts w:hint="eastAsia" w:ascii="宋体" w:hAnsi="宋体" w:cs="宋体"/>
                <w:color w:val="auto"/>
                <w:szCs w:val="21"/>
                <w:highlight w:val="none"/>
              </w:rPr>
            </w:pPr>
          </w:p>
        </w:tc>
      </w:tr>
      <w:tr w14:paraId="63C413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vMerge w:val="continue"/>
            <w:tcBorders>
              <w:bottom w:val="single" w:color="auto" w:sz="12" w:space="0"/>
            </w:tcBorders>
            <w:noWrap w:val="0"/>
            <w:vAlign w:val="center"/>
          </w:tcPr>
          <w:p w14:paraId="56CE99F7">
            <w:pPr>
              <w:keepNext/>
              <w:spacing w:line="360" w:lineRule="auto"/>
              <w:rPr>
                <w:rFonts w:hint="eastAsia" w:ascii="宋体" w:hAnsi="宋体" w:cs="宋体"/>
                <w:color w:val="auto"/>
                <w:szCs w:val="21"/>
                <w:highlight w:val="none"/>
              </w:rPr>
            </w:pPr>
          </w:p>
        </w:tc>
        <w:tc>
          <w:tcPr>
            <w:tcW w:w="641" w:type="pct"/>
            <w:tcBorders>
              <w:bottom w:val="single" w:color="auto" w:sz="12" w:space="0"/>
            </w:tcBorders>
            <w:noWrap w:val="0"/>
            <w:vAlign w:val="center"/>
          </w:tcPr>
          <w:p w14:paraId="0FD62FEA">
            <w:pPr>
              <w:keepNext/>
              <w:spacing w:line="360" w:lineRule="auto"/>
              <w:rPr>
                <w:rFonts w:hint="eastAsia" w:ascii="宋体" w:hAnsi="宋体" w:cs="宋体"/>
                <w:color w:val="auto"/>
                <w:szCs w:val="21"/>
                <w:highlight w:val="none"/>
              </w:rPr>
            </w:pPr>
          </w:p>
        </w:tc>
        <w:tc>
          <w:tcPr>
            <w:tcW w:w="513" w:type="pct"/>
            <w:tcBorders>
              <w:bottom w:val="single" w:color="auto" w:sz="12" w:space="0"/>
            </w:tcBorders>
            <w:noWrap w:val="0"/>
            <w:vAlign w:val="center"/>
          </w:tcPr>
          <w:p w14:paraId="5DB641AB">
            <w:pPr>
              <w:keepNext/>
              <w:spacing w:line="360" w:lineRule="auto"/>
              <w:rPr>
                <w:rFonts w:hint="eastAsia" w:ascii="宋体" w:hAnsi="宋体" w:cs="宋体"/>
                <w:color w:val="auto"/>
                <w:szCs w:val="21"/>
                <w:highlight w:val="none"/>
              </w:rPr>
            </w:pPr>
          </w:p>
        </w:tc>
        <w:tc>
          <w:tcPr>
            <w:tcW w:w="374" w:type="pct"/>
            <w:tcBorders>
              <w:bottom w:val="single" w:color="auto" w:sz="12" w:space="0"/>
            </w:tcBorders>
            <w:noWrap w:val="0"/>
            <w:vAlign w:val="center"/>
          </w:tcPr>
          <w:p w14:paraId="6334F87B">
            <w:pPr>
              <w:keepNext/>
              <w:spacing w:line="360" w:lineRule="auto"/>
              <w:rPr>
                <w:rFonts w:hint="eastAsia" w:ascii="宋体" w:hAnsi="宋体" w:cs="宋体"/>
                <w:color w:val="auto"/>
                <w:szCs w:val="21"/>
                <w:highlight w:val="none"/>
              </w:rPr>
            </w:pPr>
          </w:p>
        </w:tc>
        <w:tc>
          <w:tcPr>
            <w:tcW w:w="1730" w:type="pct"/>
            <w:tcBorders>
              <w:bottom w:val="single" w:color="auto" w:sz="12" w:space="0"/>
            </w:tcBorders>
            <w:noWrap w:val="0"/>
            <w:vAlign w:val="center"/>
          </w:tcPr>
          <w:p w14:paraId="13D40F39">
            <w:pPr>
              <w:keepNext/>
              <w:spacing w:line="360" w:lineRule="auto"/>
              <w:rPr>
                <w:rFonts w:hint="eastAsia" w:ascii="宋体" w:hAnsi="宋体" w:cs="宋体"/>
                <w:color w:val="auto"/>
                <w:szCs w:val="21"/>
                <w:highlight w:val="none"/>
              </w:rPr>
            </w:pPr>
          </w:p>
        </w:tc>
        <w:tc>
          <w:tcPr>
            <w:tcW w:w="896" w:type="pct"/>
            <w:tcBorders>
              <w:bottom w:val="single" w:color="auto" w:sz="12" w:space="0"/>
            </w:tcBorders>
            <w:noWrap w:val="0"/>
            <w:vAlign w:val="top"/>
          </w:tcPr>
          <w:p w14:paraId="31A9FA4B">
            <w:pPr>
              <w:keepNext/>
              <w:spacing w:line="360" w:lineRule="auto"/>
              <w:rPr>
                <w:rFonts w:hint="eastAsia" w:ascii="宋体" w:hAnsi="宋体" w:cs="宋体"/>
                <w:color w:val="auto"/>
                <w:szCs w:val="21"/>
                <w:highlight w:val="none"/>
              </w:rPr>
            </w:pPr>
          </w:p>
        </w:tc>
      </w:tr>
    </w:tbl>
    <w:p w14:paraId="5EE60387">
      <w:pPr>
        <w:keepNext/>
        <w:keepLines/>
        <w:spacing w:before="120" w:after="120" w:line="360" w:lineRule="auto"/>
        <w:jc w:val="left"/>
        <w:outlineLvl w:val="2"/>
        <w:rPr>
          <w:rFonts w:hint="eastAsia" w:ascii="宋体" w:hAnsi="宋体" w:cs="宋体"/>
          <w:bCs/>
          <w:color w:val="auto"/>
          <w:sz w:val="24"/>
          <w:highlight w:val="none"/>
        </w:rPr>
      </w:pPr>
      <w:r>
        <w:rPr>
          <w:rFonts w:hint="eastAsia" w:ascii="宋体" w:hAnsi="宋体" w:cs="宋体"/>
          <w:bCs/>
          <w:color w:val="auto"/>
          <w:sz w:val="24"/>
          <w:highlight w:val="none"/>
        </w:rPr>
        <w:br w:type="page"/>
      </w:r>
      <w:bookmarkStart w:id="1316" w:name="_Toc25726"/>
      <w:bookmarkStart w:id="1317" w:name="_Toc95223495"/>
      <w:bookmarkStart w:id="1318" w:name="_Toc7655"/>
      <w:r>
        <w:rPr>
          <w:rFonts w:hint="eastAsia" w:ascii="宋体" w:hAnsi="宋体" w:cs="宋体"/>
          <w:bCs/>
          <w:color w:val="auto"/>
          <w:sz w:val="24"/>
          <w:highlight w:val="none"/>
        </w:rPr>
        <w:t>附</w:t>
      </w:r>
      <w:bookmarkStart w:id="1319" w:name="_Toc296346732"/>
      <w:bookmarkStart w:id="1320" w:name="_Toc296503231"/>
      <w:bookmarkStart w:id="1321" w:name="_Toc296891271"/>
      <w:bookmarkStart w:id="1322" w:name="_Toc296891059"/>
      <w:bookmarkStart w:id="1323" w:name="_Toc296944570"/>
      <w:bookmarkStart w:id="1324" w:name="_Toc296347230"/>
      <w:r>
        <w:rPr>
          <w:rFonts w:hint="eastAsia" w:ascii="宋体" w:hAnsi="宋体" w:cs="宋体"/>
          <w:bCs/>
          <w:color w:val="auto"/>
          <w:sz w:val="24"/>
          <w:highlight w:val="none"/>
        </w:rPr>
        <w:t>件8：廉政协议</w:t>
      </w:r>
      <w:bookmarkEnd w:id="1316"/>
      <w:bookmarkEnd w:id="1317"/>
      <w:bookmarkEnd w:id="1318"/>
    </w:p>
    <w:bookmarkEnd w:id="1319"/>
    <w:bookmarkEnd w:id="1320"/>
    <w:bookmarkEnd w:id="1321"/>
    <w:bookmarkEnd w:id="1322"/>
    <w:bookmarkEnd w:id="1323"/>
    <w:bookmarkEnd w:id="1324"/>
    <w:p w14:paraId="1DA90A67">
      <w:pPr>
        <w:widowControl/>
        <w:spacing w:line="360" w:lineRule="auto"/>
        <w:ind w:firstLine="641"/>
        <w:jc w:val="center"/>
        <w:rPr>
          <w:rFonts w:hint="eastAsia" w:ascii="宋体" w:hAnsi="宋体" w:cs="宋体"/>
          <w:b/>
          <w:bCs/>
          <w:color w:val="auto"/>
          <w:kern w:val="0"/>
          <w:sz w:val="32"/>
          <w:szCs w:val="32"/>
          <w:highlight w:val="none"/>
        </w:rPr>
      </w:pPr>
      <w:bookmarkStart w:id="1325" w:name="_Toc95223496"/>
      <w:bookmarkStart w:id="1326" w:name="_Toc9808"/>
      <w:bookmarkStart w:id="1327" w:name="_Toc7607"/>
      <w:r>
        <w:rPr>
          <w:rFonts w:hint="eastAsia" w:ascii="宋体" w:hAnsi="宋体" w:cs="宋体"/>
          <w:b/>
          <w:bCs/>
          <w:color w:val="auto"/>
          <w:kern w:val="0"/>
          <w:sz w:val="32"/>
          <w:szCs w:val="32"/>
          <w:highlight w:val="none"/>
        </w:rPr>
        <w:t>廉 政 协 议</w:t>
      </w:r>
      <w:bookmarkEnd w:id="1325"/>
      <w:bookmarkEnd w:id="1326"/>
      <w:bookmarkEnd w:id="1327"/>
    </w:p>
    <w:p w14:paraId="4F25658D">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为促进双方诚信经营、廉洁从业，防范商业贿赂，保护国家、集体和当事人的合法权益，根据国家有关法律法规和安徽省、项目所在地廉政建设的规定，</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(以下称甲方)与</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(以下称乙方)，特此订立本协议共同遵照执行。</w:t>
      </w:r>
    </w:p>
    <w:p w14:paraId="5E4C5798">
      <w:pPr>
        <w:widowControl/>
        <w:spacing w:line="360" w:lineRule="auto"/>
        <w:ind w:firstLine="420" w:firstLineChars="200"/>
        <w:jc w:val="left"/>
        <w:rPr>
          <w:rFonts w:hint="eastAsia" w:ascii="宋体" w:hAnsi="宋体" w:cs="宋体"/>
          <w:color w:val="auto"/>
          <w:kern w:val="0"/>
          <w:szCs w:val="21"/>
          <w:highlight w:val="none"/>
        </w:rPr>
      </w:pPr>
      <w:bookmarkStart w:id="1328" w:name="_Toc21306"/>
      <w:bookmarkStart w:id="1329" w:name="_Toc95223497"/>
      <w:bookmarkStart w:id="1330" w:name="_Toc9888"/>
      <w:r>
        <w:rPr>
          <w:rFonts w:hint="eastAsia" w:ascii="宋体" w:hAnsi="宋体" w:cs="宋体"/>
          <w:color w:val="auto"/>
          <w:kern w:val="0"/>
          <w:szCs w:val="21"/>
          <w:highlight w:val="none"/>
        </w:rPr>
        <w:t>第一条 甲乙双方的权利和义务</w:t>
      </w:r>
      <w:bookmarkEnd w:id="1328"/>
      <w:bookmarkEnd w:id="1329"/>
      <w:bookmarkEnd w:id="1330"/>
    </w:p>
    <w:p w14:paraId="5205C340">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一）甲乙双方自觉遵守《中华人民共和国反不正当竞争法》、国家工商行政管理局《关于禁止商业贿赂行为的暂行规定》、国家最高人民检察院、最高人民法院《关于办理受贿刑事案件适用法律若干问题的意见》及相关法律法规和廉政建设的规定。</w:t>
      </w:r>
    </w:p>
    <w:p w14:paraId="0644BA3D">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（二）严格执行</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的合同要求，自觉履行合同约定的相关义务。</w:t>
      </w:r>
    </w:p>
    <w:p w14:paraId="0FAE2040">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（三）在业务活动中坚持公开、公正、诚信、透明的原则，不得损害国家、集体利益。</w:t>
      </w:r>
    </w:p>
    <w:p w14:paraId="57F2D05B">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（四）建立健全廉政制度，开展廉政教育，公布举报电话，监督并认真查处违法违纪行为。</w:t>
      </w:r>
    </w:p>
    <w:p w14:paraId="2C36D4F4">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（五）发现对方在业务活动中有违反廉政规定的行为，应及时提醒对方纠正。情节严重的，应向其上级有关部门举报、建议给予处理，并有权要求告知处理结果。</w:t>
      </w:r>
    </w:p>
    <w:p w14:paraId="3610F3CF">
      <w:pPr>
        <w:widowControl/>
        <w:spacing w:line="360" w:lineRule="auto"/>
        <w:ind w:firstLine="420" w:firstLineChars="200"/>
        <w:jc w:val="left"/>
        <w:rPr>
          <w:rFonts w:hint="eastAsia" w:ascii="宋体" w:hAnsi="宋体" w:cs="宋体"/>
          <w:color w:val="auto"/>
          <w:kern w:val="0"/>
          <w:szCs w:val="21"/>
          <w:highlight w:val="none"/>
        </w:rPr>
      </w:pPr>
      <w:bookmarkStart w:id="1331" w:name="_Toc95223498"/>
      <w:bookmarkStart w:id="1332" w:name="_Toc1917"/>
      <w:bookmarkStart w:id="1333" w:name="_Toc3866"/>
      <w:r>
        <w:rPr>
          <w:rFonts w:hint="eastAsia" w:ascii="宋体" w:hAnsi="宋体" w:cs="宋体"/>
          <w:color w:val="auto"/>
          <w:kern w:val="0"/>
          <w:szCs w:val="21"/>
          <w:highlight w:val="none"/>
        </w:rPr>
        <w:t>第二条 甲方的义务</w:t>
      </w:r>
      <w:bookmarkEnd w:id="1331"/>
      <w:bookmarkEnd w:id="1332"/>
      <w:bookmarkEnd w:id="1333"/>
    </w:p>
    <w:p w14:paraId="24831FDC">
      <w:pPr>
        <w:widowControl/>
        <w:spacing w:line="360" w:lineRule="auto"/>
        <w:ind w:firstLine="525" w:firstLineChars="25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(一)甲方及其工作人员不得索要或接受乙方的礼金、有价证券和贵重物品，不得在乙方报销任何应由甲方单位或个人支付的费用等。</w:t>
      </w:r>
    </w:p>
    <w:p w14:paraId="7D71B853">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14:paraId="152F8AB4">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（三） 甲方及其工作人员不得要求或者接受乙方为其住房装修、婚丧嫁娶活动、配偶子女工作安排以及出国出境、旅游等提供方便等。</w:t>
      </w:r>
    </w:p>
    <w:p w14:paraId="67BFBA0D">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（四） 甲方工作人员不得在乙方有股权关联的企业兼职，不得向乙方介绍家属或者亲友从事与甲方业务有关的经济活动。</w:t>
      </w:r>
    </w:p>
    <w:p w14:paraId="5F032A96">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（五）甲方工作人员不得以明显低于市场的价格向乙方购买房屋、汽车等物品；不得以明显高于市场的价格向乙方出售房屋、汽车等物品；不得以其他交易形式非法收受请托人财物。</w:t>
      </w:r>
    </w:p>
    <w:p w14:paraId="3B49B064">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（六）甲方工作人员不得利用职务之便收受乙方以回扣、手续费、加班费、咨询费、劳务费、协调费、辛苦费等各种名义给予或赠送的钱物。</w:t>
      </w:r>
    </w:p>
    <w:p w14:paraId="6CC6FB63">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（七）甲方工作人员不得接受乙方给予或赠送的干股或红利。</w:t>
      </w:r>
    </w:p>
    <w:p w14:paraId="2CDF9258">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（八）甲方任何人不得以个人的名义向乙方推荐设备、部件等供货商以及其他合作单位。</w:t>
      </w:r>
    </w:p>
    <w:p w14:paraId="54B255E1">
      <w:pPr>
        <w:widowControl/>
        <w:spacing w:line="360" w:lineRule="auto"/>
        <w:ind w:firstLine="420" w:firstLineChars="200"/>
        <w:jc w:val="left"/>
        <w:rPr>
          <w:rFonts w:hint="eastAsia" w:ascii="宋体" w:hAnsi="宋体" w:cs="宋体"/>
          <w:color w:val="auto"/>
          <w:kern w:val="0"/>
          <w:szCs w:val="21"/>
          <w:highlight w:val="none"/>
        </w:rPr>
      </w:pPr>
      <w:bookmarkStart w:id="1334" w:name="_Toc20831"/>
      <w:bookmarkStart w:id="1335" w:name="_Toc10556"/>
      <w:bookmarkStart w:id="1336" w:name="_Toc95223499"/>
      <w:r>
        <w:rPr>
          <w:rFonts w:hint="eastAsia" w:ascii="宋体" w:hAnsi="宋体" w:cs="宋体"/>
          <w:color w:val="auto"/>
          <w:kern w:val="0"/>
          <w:szCs w:val="21"/>
          <w:highlight w:val="none"/>
        </w:rPr>
        <w:t>第三条 乙方的义务</w:t>
      </w:r>
      <w:bookmarkEnd w:id="1334"/>
      <w:bookmarkEnd w:id="1335"/>
      <w:bookmarkEnd w:id="1336"/>
    </w:p>
    <w:p w14:paraId="483A6FA2">
      <w:pPr>
        <w:widowControl/>
        <w:spacing w:line="360" w:lineRule="auto"/>
        <w:ind w:firstLine="525" w:firstLineChars="25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(一)乙方不得以任何理由向甲方及其工作人员行贿或馈赠礼金、有价证券、贵重礼品。</w:t>
      </w:r>
    </w:p>
    <w:p w14:paraId="1922FE62">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（二)乙方不得以任何名义为甲方及其工作人员报销应由甲方单位或个人支付的任何费用。</w:t>
      </w:r>
    </w:p>
    <w:p w14:paraId="33E97E87">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(三)乙方不得以任何理由安排甲方工作人员参加可能影响相关业务公开、公正、公平性的宴请及娱乐活动。</w:t>
      </w:r>
    </w:p>
    <w:p w14:paraId="00980D48">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（四）乙方不得为甲方单位和个人购置或提供通讯工具和高档办公用品等物品，也不得为甲方提供与工作无关的房屋、汽车等。</w:t>
      </w:r>
    </w:p>
    <w:p w14:paraId="4D9A2F6F">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（五）乙方不得与甲方工作人员就合同中的质量、数量、价格、工程量、验收等条款进行私下商谈或者达成默契。</w:t>
      </w:r>
    </w:p>
    <w:p w14:paraId="61FB7DF6">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（六）乙方不得以回扣、手续费、加班费、咨询费、劳务费、协调费、辛苦费等各种名义向甲方工作人员给予或赠送钱物。</w:t>
      </w:r>
    </w:p>
    <w:p w14:paraId="24739E07">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（七）乙方不得向甲方工作人员提供干股或红利。</w:t>
      </w:r>
    </w:p>
    <w:p w14:paraId="10853D95">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（八）乙方须按</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专项纪检监察工作组(如有)要求开展相关工作。</w:t>
      </w:r>
    </w:p>
    <w:p w14:paraId="0CE8BD22">
      <w:pPr>
        <w:widowControl/>
        <w:spacing w:line="360" w:lineRule="auto"/>
        <w:ind w:firstLine="420" w:firstLineChars="200"/>
        <w:jc w:val="left"/>
        <w:rPr>
          <w:rFonts w:hint="eastAsia" w:ascii="宋体" w:hAnsi="宋体" w:cs="宋体"/>
          <w:color w:val="auto"/>
          <w:kern w:val="0"/>
          <w:szCs w:val="21"/>
          <w:highlight w:val="none"/>
        </w:rPr>
      </w:pPr>
      <w:bookmarkStart w:id="1337" w:name="_Toc95223500"/>
      <w:bookmarkStart w:id="1338" w:name="_Toc2198"/>
      <w:bookmarkStart w:id="1339" w:name="_Toc14507"/>
      <w:r>
        <w:rPr>
          <w:rFonts w:hint="eastAsia" w:ascii="宋体" w:hAnsi="宋体" w:cs="宋体"/>
          <w:color w:val="auto"/>
          <w:kern w:val="0"/>
          <w:szCs w:val="21"/>
          <w:highlight w:val="none"/>
        </w:rPr>
        <w:t>第四条 违约责任</w:t>
      </w:r>
      <w:bookmarkEnd w:id="1337"/>
      <w:bookmarkEnd w:id="1338"/>
      <w:bookmarkEnd w:id="1339"/>
    </w:p>
    <w:p w14:paraId="716D00CC">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一）甲方及其工作人员违反本协议第一、二条规定。甲方按管理权限，对相关责任人依据有关规定给予党纪、政纪处分或组织处理；涉嫌犯罪的，移交司法机关追究刑事责任；给乙方单位造成经济损失的，应予以赔偿。</w:t>
      </w:r>
    </w:p>
    <w:p w14:paraId="3412BBD9">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甲方投诉联系部门：</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，联系电话：</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793DFBDA">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（二）乙方及其工作人员违反本协议第一、三条规定。根据具体情节和造成的后果，甲方有权对乙方采取以下一种或多种处理办法：</w:t>
      </w:r>
    </w:p>
    <w:p w14:paraId="42BCBAFC">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1. 全额收取乙方合同履约保证金不予退还； </w:t>
      </w:r>
    </w:p>
    <w:p w14:paraId="633C2723">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 追究乙方其他违约责任；</w:t>
      </w:r>
    </w:p>
    <w:p w14:paraId="65981312">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 终止或解除双方已签订的包括本合同在内的所有合同；</w:t>
      </w:r>
    </w:p>
    <w:p w14:paraId="50211175">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 乙方一定期限内（6个月至3年，具体由甲方根据情况而定）不得参与甲方作为发包人（业主）的工程项目投标。</w:t>
      </w:r>
    </w:p>
    <w:p w14:paraId="2C1DE2D7">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甲方作出的处理意见，乙方应无条件接受并承担给甲方造成的损失，全额返还通过不正当手段从甲方获取的非法所得，并承担相应的法律责任。</w:t>
      </w:r>
    </w:p>
    <w:p w14:paraId="1B1527B9">
      <w:pPr>
        <w:widowControl/>
        <w:spacing w:line="360" w:lineRule="auto"/>
        <w:ind w:firstLine="420" w:firstLineChars="200"/>
        <w:jc w:val="left"/>
        <w:rPr>
          <w:rFonts w:hint="eastAsia" w:ascii="宋体" w:hAnsi="宋体" w:cs="宋体"/>
          <w:color w:val="auto"/>
          <w:kern w:val="0"/>
          <w:szCs w:val="21"/>
          <w:highlight w:val="none"/>
        </w:rPr>
      </w:pPr>
      <w:bookmarkStart w:id="1340" w:name="_Toc10228"/>
      <w:bookmarkStart w:id="1341" w:name="_Toc2334"/>
      <w:bookmarkStart w:id="1342" w:name="_Toc95223501"/>
      <w:r>
        <w:rPr>
          <w:rFonts w:hint="eastAsia" w:ascii="宋体" w:hAnsi="宋体" w:cs="宋体"/>
          <w:color w:val="auto"/>
          <w:kern w:val="0"/>
          <w:szCs w:val="21"/>
          <w:highlight w:val="none"/>
        </w:rPr>
        <w:t>第五条 双方约定</w:t>
      </w:r>
      <w:bookmarkEnd w:id="1340"/>
      <w:bookmarkEnd w:id="1341"/>
      <w:bookmarkEnd w:id="1342"/>
    </w:p>
    <w:p w14:paraId="5E96C32C">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本协议由双方或双方上级单位负责监督。可由甲方或甲方上级单位的纪检监察部门约请乙方或乙方上级单位的纪检监察部门对本协议履行情况进行检查，提出在本协议规定范围内的裁定意见。</w:t>
      </w:r>
    </w:p>
    <w:p w14:paraId="178FA5DA">
      <w:pPr>
        <w:widowControl/>
        <w:spacing w:line="360" w:lineRule="auto"/>
        <w:ind w:firstLine="420" w:firstLineChars="200"/>
        <w:jc w:val="left"/>
        <w:rPr>
          <w:rFonts w:hint="eastAsia" w:ascii="宋体" w:hAnsi="宋体" w:cs="宋体"/>
          <w:color w:val="auto"/>
          <w:kern w:val="0"/>
          <w:szCs w:val="21"/>
          <w:highlight w:val="none"/>
        </w:rPr>
      </w:pPr>
      <w:bookmarkStart w:id="1343" w:name="_Toc95223502"/>
      <w:bookmarkStart w:id="1344" w:name="_Toc32140"/>
      <w:bookmarkStart w:id="1345" w:name="_Toc17717"/>
      <w:r>
        <w:rPr>
          <w:rFonts w:hint="eastAsia" w:ascii="宋体" w:hAnsi="宋体" w:cs="宋体"/>
          <w:color w:val="auto"/>
          <w:kern w:val="0"/>
          <w:szCs w:val="21"/>
          <w:highlight w:val="none"/>
        </w:rPr>
        <w:t>第六条  本协议有效期为甲乙双方签署之日起至合同终止。</w:t>
      </w:r>
      <w:bookmarkEnd w:id="1343"/>
      <w:bookmarkEnd w:id="1344"/>
      <w:bookmarkEnd w:id="1345"/>
      <w:r>
        <w:rPr>
          <w:rFonts w:hint="eastAsia" w:ascii="宋体" w:hAnsi="宋体" w:cs="宋体"/>
          <w:color w:val="auto"/>
          <w:kern w:val="0"/>
          <w:szCs w:val="21"/>
          <w:highlight w:val="none"/>
        </w:rPr>
        <w:t xml:space="preserve">  </w:t>
      </w:r>
    </w:p>
    <w:p w14:paraId="1C07AE48">
      <w:pPr>
        <w:widowControl/>
        <w:spacing w:line="360" w:lineRule="auto"/>
        <w:ind w:firstLine="420" w:firstLineChars="200"/>
        <w:jc w:val="left"/>
        <w:rPr>
          <w:rFonts w:hint="eastAsia" w:ascii="宋体" w:hAnsi="宋体" w:cs="宋体"/>
          <w:color w:val="auto"/>
          <w:kern w:val="0"/>
          <w:szCs w:val="21"/>
          <w:highlight w:val="none"/>
        </w:rPr>
      </w:pPr>
      <w:bookmarkStart w:id="1346" w:name="_Toc24032"/>
      <w:bookmarkStart w:id="1347" w:name="_Toc1871"/>
      <w:bookmarkStart w:id="1348" w:name="_Toc95223503"/>
      <w:r>
        <w:rPr>
          <w:rFonts w:hint="eastAsia" w:ascii="宋体" w:hAnsi="宋体" w:cs="宋体"/>
          <w:color w:val="auto"/>
          <w:kern w:val="0"/>
          <w:szCs w:val="21"/>
          <w:highlight w:val="none"/>
        </w:rPr>
        <w:t>第七条  本协议作为合同的附件，与本合同具有同等法律效力。</w:t>
      </w:r>
      <w:bookmarkEnd w:id="1346"/>
      <w:bookmarkEnd w:id="1347"/>
      <w:bookmarkEnd w:id="1348"/>
    </w:p>
    <w:p w14:paraId="48B4BFA8">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 </w:t>
      </w:r>
    </w:p>
    <w:p w14:paraId="7B2330F0">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甲方（盖章）：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乙方（盖章）：</w:t>
      </w:r>
      <w:r>
        <w:rPr>
          <w:rFonts w:hint="eastAsia" w:ascii="宋体" w:hAnsi="宋体" w:cs="宋体"/>
          <w:color w:val="auto"/>
          <w:kern w:val="0"/>
          <w:szCs w:val="21"/>
          <w:highlight w:val="none"/>
          <w:u w:val="single"/>
        </w:rPr>
        <w:t xml:space="preserve">                      </w:t>
      </w:r>
    </w:p>
    <w:p w14:paraId="63349F9A">
      <w:pPr>
        <w:widowControl/>
        <w:spacing w:line="360" w:lineRule="auto"/>
        <w:ind w:firstLine="420" w:firstLineChars="200"/>
        <w:jc w:val="left"/>
        <w:rPr>
          <w:rFonts w:hint="eastAsia" w:ascii="宋体" w:hAnsi="宋体" w:cs="宋体"/>
          <w:color w:val="auto"/>
          <w:kern w:val="0"/>
          <w:szCs w:val="21"/>
          <w:highlight w:val="none"/>
        </w:rPr>
      </w:pPr>
    </w:p>
    <w:p w14:paraId="47F88720">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法定代表人或                                法定代表人或</w:t>
      </w:r>
    </w:p>
    <w:p w14:paraId="0B35591B">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授权代表：</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(职务)              授权代表：</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(职务)</w:t>
      </w:r>
    </w:p>
    <w:p w14:paraId="4115D2E8">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姓名：</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姓名：</w:t>
      </w:r>
      <w:r>
        <w:rPr>
          <w:rFonts w:hint="eastAsia" w:ascii="宋体" w:hAnsi="宋体" w:cs="宋体"/>
          <w:color w:val="auto"/>
          <w:kern w:val="0"/>
          <w:szCs w:val="21"/>
          <w:highlight w:val="none"/>
          <w:u w:val="single"/>
        </w:rPr>
        <w:t xml:space="preserve">             </w:t>
      </w:r>
    </w:p>
    <w:p w14:paraId="2B3AC7C7">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签字：</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签字：</w:t>
      </w:r>
      <w:r>
        <w:rPr>
          <w:rFonts w:hint="eastAsia" w:ascii="宋体" w:hAnsi="宋体" w:cs="宋体"/>
          <w:color w:val="auto"/>
          <w:kern w:val="0"/>
          <w:szCs w:val="21"/>
          <w:highlight w:val="none"/>
          <w:u w:val="single"/>
        </w:rPr>
        <w:t xml:space="preserve">             </w:t>
      </w:r>
    </w:p>
    <w:p w14:paraId="39C2D75D">
      <w:pPr>
        <w:widowControl/>
        <w:spacing w:line="360" w:lineRule="auto"/>
        <w:ind w:firstLine="420" w:firstLineChars="200"/>
        <w:jc w:val="left"/>
        <w:rPr>
          <w:rFonts w:hint="eastAsia" w:ascii="宋体" w:hAnsi="宋体" w:cs="宋体"/>
          <w:color w:val="auto"/>
          <w:kern w:val="0"/>
          <w:szCs w:val="21"/>
          <w:highlight w:val="none"/>
        </w:rPr>
      </w:pPr>
    </w:p>
    <w:p w14:paraId="4B3C686B">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廉政监督联系人                              廉政监督联系人</w:t>
      </w:r>
    </w:p>
    <w:p w14:paraId="14920FAC">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姓名：</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姓名：</w:t>
      </w:r>
      <w:r>
        <w:rPr>
          <w:rFonts w:hint="eastAsia" w:ascii="宋体" w:hAnsi="宋体" w:cs="宋体"/>
          <w:color w:val="auto"/>
          <w:kern w:val="0"/>
          <w:szCs w:val="21"/>
          <w:highlight w:val="none"/>
          <w:u w:val="single"/>
        </w:rPr>
        <w:t xml:space="preserve">                       </w:t>
      </w:r>
    </w:p>
    <w:p w14:paraId="14661683">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签字：</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签字：</w:t>
      </w:r>
      <w:r>
        <w:rPr>
          <w:rFonts w:hint="eastAsia" w:ascii="宋体" w:hAnsi="宋体" w:cs="宋体"/>
          <w:color w:val="auto"/>
          <w:kern w:val="0"/>
          <w:szCs w:val="21"/>
          <w:highlight w:val="none"/>
          <w:u w:val="single"/>
        </w:rPr>
        <w:t xml:space="preserve">                       </w:t>
      </w:r>
    </w:p>
    <w:p w14:paraId="7FFCD2E2">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电话：</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电话：</w:t>
      </w:r>
      <w:r>
        <w:rPr>
          <w:rFonts w:hint="eastAsia" w:ascii="宋体" w:hAnsi="宋体" w:cs="宋体"/>
          <w:color w:val="auto"/>
          <w:kern w:val="0"/>
          <w:szCs w:val="21"/>
          <w:highlight w:val="none"/>
          <w:u w:val="single"/>
        </w:rPr>
        <w:t xml:space="preserve">                       </w:t>
      </w:r>
    </w:p>
    <w:p w14:paraId="48D2E51E">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地址：</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地址：</w:t>
      </w:r>
      <w:r>
        <w:rPr>
          <w:rFonts w:hint="eastAsia" w:ascii="宋体" w:hAnsi="宋体" w:cs="宋体"/>
          <w:color w:val="auto"/>
          <w:kern w:val="0"/>
          <w:szCs w:val="21"/>
          <w:highlight w:val="none"/>
          <w:u w:val="single"/>
        </w:rPr>
        <w:t xml:space="preserve">                       </w:t>
      </w:r>
    </w:p>
    <w:p w14:paraId="508F6E5C">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日期：</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日期：</w:t>
      </w:r>
      <w:r>
        <w:rPr>
          <w:rFonts w:hint="eastAsia" w:ascii="宋体" w:hAnsi="宋体" w:cs="宋体"/>
          <w:color w:val="auto"/>
          <w:kern w:val="0"/>
          <w:szCs w:val="21"/>
          <w:highlight w:val="none"/>
          <w:u w:val="single"/>
        </w:rPr>
        <w:t xml:space="preserve">                       </w:t>
      </w:r>
    </w:p>
    <w:p w14:paraId="703B1721">
      <w:pPr>
        <w:keepNext/>
        <w:keepLines/>
        <w:spacing w:before="120" w:after="120" w:line="360" w:lineRule="auto"/>
        <w:jc w:val="left"/>
        <w:outlineLvl w:val="2"/>
        <w:rPr>
          <w:rFonts w:hint="eastAsia" w:ascii="宋体" w:hAnsi="宋体" w:cs="宋体"/>
          <w:color w:val="auto"/>
          <w:szCs w:val="21"/>
          <w:highlight w:val="none"/>
        </w:rPr>
      </w:pPr>
      <w:r>
        <w:rPr>
          <w:rFonts w:hint="eastAsia" w:ascii="宋体" w:hAnsi="宋体" w:cs="宋体"/>
          <w:bCs/>
          <w:color w:val="auto"/>
          <w:kern w:val="0"/>
          <w:sz w:val="24"/>
          <w:szCs w:val="21"/>
          <w:highlight w:val="none"/>
        </w:rPr>
        <w:br w:type="page"/>
      </w:r>
      <w:bookmarkStart w:id="1349" w:name="_Toc95223504"/>
      <w:r>
        <w:rPr>
          <w:rFonts w:hint="eastAsia" w:ascii="宋体" w:hAnsi="宋体" w:cs="宋体"/>
          <w:bCs/>
          <w:color w:val="auto"/>
          <w:sz w:val="24"/>
          <w:highlight w:val="none"/>
        </w:rPr>
        <w:t>附件9：履约保证金</w:t>
      </w:r>
      <w:bookmarkEnd w:id="1349"/>
    </w:p>
    <w:p w14:paraId="6A4B5A85">
      <w:pPr>
        <w:adjustRightInd w:val="0"/>
        <w:snapToGrid w:val="0"/>
        <w:spacing w:line="360" w:lineRule="auto"/>
        <w:jc w:val="center"/>
        <w:rPr>
          <w:rFonts w:hint="eastAsia" w:ascii="宋体" w:hAnsi="宋体" w:cs="宋体"/>
          <w:b/>
          <w:bCs/>
          <w:color w:val="auto"/>
          <w:sz w:val="32"/>
          <w:szCs w:val="32"/>
          <w:highlight w:val="none"/>
        </w:rPr>
      </w:pPr>
      <w:bookmarkStart w:id="1350" w:name="_Toc95223505"/>
      <w:bookmarkStart w:id="1351" w:name="_Toc25855"/>
      <w:bookmarkStart w:id="1352" w:name="_Toc8655"/>
      <w:r>
        <w:rPr>
          <w:rFonts w:hint="eastAsia" w:ascii="宋体" w:hAnsi="宋体" w:cs="宋体"/>
          <w:b/>
          <w:bCs/>
          <w:color w:val="auto"/>
          <w:sz w:val="32"/>
          <w:szCs w:val="32"/>
          <w:highlight w:val="none"/>
        </w:rPr>
        <w:t>履约保函示范文本</w:t>
      </w:r>
      <w:bookmarkEnd w:id="1350"/>
      <w:bookmarkEnd w:id="1351"/>
      <w:bookmarkEnd w:id="1352"/>
    </w:p>
    <w:p w14:paraId="1A2CBAA2">
      <w:pPr>
        <w:wordWrap w:val="0"/>
        <w:adjustRightInd w:val="0"/>
        <w:snapToGrid w:val="0"/>
        <w:spacing w:line="360" w:lineRule="auto"/>
        <w:jc w:val="right"/>
        <w:rPr>
          <w:rFonts w:hint="eastAsia" w:ascii="宋体" w:hAnsi="宋体" w:cs="宋体"/>
          <w:color w:val="auto"/>
          <w:szCs w:val="21"/>
          <w:highlight w:val="none"/>
        </w:rPr>
      </w:pPr>
      <w:r>
        <w:rPr>
          <w:rFonts w:hint="eastAsia" w:ascii="宋体" w:hAnsi="宋体" w:cs="宋体"/>
          <w:color w:val="auto"/>
          <w:szCs w:val="21"/>
          <w:highlight w:val="none"/>
        </w:rPr>
        <w:t xml:space="preserve">编号：           </w:t>
      </w:r>
    </w:p>
    <w:p w14:paraId="736C87A2">
      <w:pPr>
        <w:adjustRightInd w:val="0"/>
        <w:snapToGrid w:val="0"/>
        <w:spacing w:line="360" w:lineRule="auto"/>
        <w:rPr>
          <w:rFonts w:hint="eastAsia" w:ascii="宋体" w:hAnsi="宋体" w:cs="宋体"/>
          <w:color w:val="auto"/>
          <w:szCs w:val="21"/>
          <w:highlight w:val="none"/>
        </w:rPr>
      </w:pPr>
    </w:p>
    <w:p w14:paraId="6BE91FD9">
      <w:pPr>
        <w:adjustRightInd w:val="0"/>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（受益人名称）： </w:t>
      </w:r>
    </w:p>
    <w:p w14:paraId="1C09236B">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鉴于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（以下简称“受益人”）与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（以下简称“申请人”）于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日就</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（标段编号）的</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（标段名称）</w:t>
      </w:r>
      <w:r>
        <w:rPr>
          <w:rFonts w:hint="eastAsia" w:ascii="宋体" w:hAnsi="宋体" w:cs="宋体"/>
          <w:color w:val="auto"/>
          <w:szCs w:val="21"/>
          <w:highlight w:val="none"/>
        </w:rPr>
        <w:t>有关事项协商一致共同签订</w:t>
      </w:r>
      <w:r>
        <w:rPr>
          <w:rFonts w:hint="eastAsia" w:ascii="宋体" w:hAnsi="宋体" w:cs="宋体"/>
          <w:color w:val="auto"/>
          <w:szCs w:val="21"/>
          <w:highlight w:val="none"/>
          <w:u w:val="single"/>
        </w:rPr>
        <w:t>《        》</w:t>
      </w:r>
      <w:r>
        <w:rPr>
          <w:rFonts w:hint="eastAsia" w:ascii="宋体" w:hAnsi="宋体" w:cs="宋体"/>
          <w:color w:val="auto"/>
          <w:szCs w:val="21"/>
          <w:highlight w:val="none"/>
        </w:rPr>
        <w:t xml:space="preserve">（以下简称“基础合同”），开立人根据基础合同了解到申请人为基础合同项下之承包人，受益人为基础合同项下之发包人，基于申请人的请求，开立人同意就申请人履行与受益人签订的基础合同项下的义务，向受益人提供不可撤销、不可转让的见索即付独立保函（以下简称“本保函”）。 </w:t>
      </w:r>
    </w:p>
    <w:p w14:paraId="19452FE3">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一、本保函担保范围：承包人未按照基础合同的约定履行义务，应当向受益人承担的违约责任和赔偿因此造成的损失、利息、律师费、诉讼费用等实现债权的费用。</w:t>
      </w:r>
    </w:p>
    <w:p w14:paraId="6AE640ED">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二、本保函担保金额最高不超过人民币（大写）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24A13EE">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三、本保函有效期自开立之日起至基础合同约定的缺陷责任期满之日止。 </w:t>
      </w:r>
    </w:p>
    <w:p w14:paraId="7AA55E4F">
      <w:pPr>
        <w:adjustRightInd w:val="0"/>
        <w:snapToGrid w:val="0"/>
        <w:spacing w:line="360" w:lineRule="auto"/>
        <w:ind w:firstLine="480"/>
        <w:rPr>
          <w:rFonts w:hint="eastAsia" w:ascii="宋体" w:hAnsi="宋体" w:cs="宋体"/>
          <w:color w:val="auto"/>
          <w:szCs w:val="21"/>
          <w:highlight w:val="none"/>
        </w:rPr>
      </w:pPr>
      <w:bookmarkStart w:id="1353" w:name="_Hlk40302764"/>
      <w:r>
        <w:rPr>
          <w:rFonts w:hint="eastAsia" w:ascii="宋体" w:hAnsi="宋体" w:cs="宋体"/>
          <w:color w:val="auto"/>
          <w:szCs w:val="21"/>
          <w:highlight w:val="none"/>
        </w:rPr>
        <w:t>四、开立人承诺，在收到受益人发来的书面付款通知后的七日内无条件支付，前述书面付款通知即为付款要求之单据，且应满足以下要求：</w:t>
      </w:r>
    </w:p>
    <w:bookmarkEnd w:id="1353"/>
    <w:p w14:paraId="33769490">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（1）付款通知到达的日期在本保函的有效期内；</w:t>
      </w:r>
    </w:p>
    <w:p w14:paraId="2CE9F4F9">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（2）载明要求支付的金额；</w:t>
      </w:r>
    </w:p>
    <w:p w14:paraId="7EF88161">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（3）载明申请人违反合同义务的条款和内容；</w:t>
      </w:r>
    </w:p>
    <w:p w14:paraId="5900B3B4">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（4）声明不存在合同文件约定或我国法律规定免除申请人或开立人支付责任的情形；</w:t>
      </w:r>
    </w:p>
    <w:p w14:paraId="2E3D6B6B">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（5）付款通知应在本保函有效期内到达的地址是：</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418B6FF">
      <w:pPr>
        <w:adjustRightInd w:val="0"/>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w:t>
      </w:r>
      <w:bookmarkStart w:id="1354" w:name="_Hlk40303486"/>
      <w:r>
        <w:rPr>
          <w:rFonts w:hint="eastAsia" w:ascii="宋体" w:hAnsi="宋体" w:cs="宋体"/>
          <w:color w:val="auto"/>
          <w:szCs w:val="21"/>
          <w:highlight w:val="none"/>
        </w:rPr>
        <w:t>受益人发出的书面付款通知应由其法定代表人（负责人）或授权代理人签字并加盖公章。</w:t>
      </w:r>
      <w:bookmarkEnd w:id="1354"/>
    </w:p>
    <w:p w14:paraId="7F0064DD">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五、本保函项下的权利不得转让，不得设定担保。受益人未经我方书面同意转 让本保函或其项下任何权利，对我方不发生法律效力。 </w:t>
      </w:r>
    </w:p>
    <w:p w14:paraId="6EC0CA8D">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六、与本保函有关的基础合同不成立、不生效、无效、被撤销、被解除，不影响本保函的独立有效。 </w:t>
      </w:r>
    </w:p>
    <w:p w14:paraId="12C1989B">
      <w:pPr>
        <w:adjustRightInd w:val="0"/>
        <w:snapToGrid w:val="0"/>
        <w:spacing w:line="360" w:lineRule="auto"/>
        <w:ind w:firstLine="420" w:firstLineChars="200"/>
        <w:rPr>
          <w:rFonts w:hint="eastAsia" w:ascii="宋体" w:hAnsi="宋体" w:cs="宋体"/>
          <w:color w:val="auto"/>
          <w:szCs w:val="21"/>
          <w:highlight w:val="none"/>
        </w:rPr>
      </w:pPr>
      <w:bookmarkStart w:id="1355" w:name="_Hlk40303383"/>
      <w:bookmarkStart w:id="1356" w:name="_Hlk40354981"/>
      <w:r>
        <w:rPr>
          <w:rFonts w:hint="eastAsia" w:ascii="宋体" w:hAnsi="宋体" w:cs="宋体"/>
          <w:color w:val="auto"/>
          <w:szCs w:val="21"/>
          <w:highlight w:val="none"/>
        </w:rPr>
        <w:t xml:space="preserve">七、本保函项下的义务和责任均在保函有效期到期后自动消灭。 </w:t>
      </w:r>
    </w:p>
    <w:p w14:paraId="788DE170">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八、本保函适用的法律为中华人民共和国法律，因本保函产生的纠纷案件，</w:t>
      </w:r>
      <w:bookmarkEnd w:id="1355"/>
      <w:r>
        <w:rPr>
          <w:rFonts w:hint="eastAsia" w:ascii="宋体" w:hAnsi="宋体" w:cs="宋体"/>
          <w:color w:val="auto"/>
          <w:szCs w:val="21"/>
          <w:highlight w:val="none"/>
        </w:rPr>
        <w:t xml:space="preserve">由受益人所在地人民法院管辖。 </w:t>
      </w:r>
    </w:p>
    <w:bookmarkEnd w:id="1356"/>
    <w:p w14:paraId="790B0987">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九、本保函自我方法定代表人或授权代表签字并加盖公章之日起生效。 </w:t>
      </w:r>
    </w:p>
    <w:p w14:paraId="3CA42B8B">
      <w:pPr>
        <w:adjustRightInd w:val="0"/>
        <w:snapToGrid w:val="0"/>
        <w:spacing w:line="360" w:lineRule="auto"/>
        <w:ind w:firstLine="420" w:firstLineChars="200"/>
        <w:rPr>
          <w:rFonts w:hint="eastAsia" w:ascii="宋体" w:hAnsi="宋体" w:cs="宋体"/>
          <w:color w:val="auto"/>
          <w:szCs w:val="21"/>
          <w:highlight w:val="none"/>
        </w:rPr>
      </w:pPr>
    </w:p>
    <w:p w14:paraId="17C55B59">
      <w:pPr>
        <w:adjustRightInd w:val="0"/>
        <w:snapToGrid w:val="0"/>
        <w:spacing w:line="360" w:lineRule="auto"/>
        <w:ind w:firstLine="420" w:firstLineChars="200"/>
        <w:rPr>
          <w:rFonts w:hint="eastAsia" w:ascii="宋体" w:hAnsi="宋体" w:cs="宋体"/>
          <w:color w:val="auto"/>
          <w:szCs w:val="21"/>
          <w:highlight w:val="none"/>
        </w:rPr>
      </w:pPr>
    </w:p>
    <w:p w14:paraId="2F968949">
      <w:pPr>
        <w:adjustRightInd w:val="0"/>
        <w:snapToGrid w:val="0"/>
        <w:spacing w:line="360" w:lineRule="auto"/>
        <w:ind w:firstLine="420" w:firstLineChars="200"/>
        <w:rPr>
          <w:rFonts w:hint="eastAsia" w:ascii="宋体" w:hAnsi="宋体" w:cs="宋体"/>
          <w:color w:val="auto"/>
          <w:szCs w:val="21"/>
          <w:highlight w:val="none"/>
        </w:rPr>
      </w:pPr>
    </w:p>
    <w:p w14:paraId="337F37D8">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开 立 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（公章） </w:t>
      </w:r>
    </w:p>
    <w:p w14:paraId="26ED97C4">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法定代表人（或授权代表）：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（签字） </w:t>
      </w:r>
    </w:p>
    <w:p w14:paraId="601D3C8F">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10573CB8">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p>
    <w:p w14:paraId="1AD58997">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p>
    <w:p w14:paraId="09A9C876">
      <w:pPr>
        <w:adjustRightInd w:val="0"/>
        <w:snapToGrid w:val="0"/>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p>
    <w:p w14:paraId="1BF1F6CB">
      <w:pPr>
        <w:adjustRightInd w:val="0"/>
        <w:snapToGrid w:val="0"/>
        <w:spacing w:line="360" w:lineRule="auto"/>
        <w:ind w:left="1323" w:leftChars="200" w:hanging="903" w:hangingChars="430"/>
        <w:rPr>
          <w:rFonts w:hint="eastAsia" w:ascii="宋体" w:hAnsi="宋体" w:cs="宋体"/>
          <w:color w:val="auto"/>
          <w:szCs w:val="21"/>
          <w:highlight w:val="none"/>
        </w:rPr>
      </w:pPr>
      <w:r>
        <w:rPr>
          <w:rFonts w:hint="eastAsia" w:ascii="宋体" w:hAnsi="宋体" w:cs="宋体"/>
          <w:color w:val="auto"/>
          <w:szCs w:val="21"/>
          <w:highlight w:val="none"/>
        </w:rPr>
        <w:t>开立时间：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3CBDD169">
      <w:pPr>
        <w:spacing w:line="360" w:lineRule="auto"/>
        <w:ind w:left="1329" w:hanging="1329" w:hangingChars="633"/>
        <w:rPr>
          <w:rFonts w:hint="eastAsia" w:ascii="宋体" w:hAnsi="宋体" w:cs="宋体"/>
          <w:color w:val="auto"/>
          <w:szCs w:val="21"/>
          <w:highlight w:val="none"/>
        </w:rPr>
      </w:pPr>
    </w:p>
    <w:p w14:paraId="5D644268">
      <w:pPr>
        <w:pStyle w:val="19"/>
        <w:rPr>
          <w:rFonts w:hint="eastAsia"/>
          <w:color w:val="auto"/>
          <w:highlight w:val="none"/>
        </w:rPr>
      </w:pPr>
    </w:p>
    <w:p w14:paraId="4D40A861">
      <w:pPr>
        <w:rPr>
          <w:rFonts w:hint="eastAsia"/>
          <w:color w:val="auto"/>
          <w:highlight w:val="none"/>
        </w:rPr>
      </w:pPr>
    </w:p>
    <w:p w14:paraId="3C48E3B0">
      <w:pPr>
        <w:pStyle w:val="19"/>
        <w:rPr>
          <w:rFonts w:hint="eastAsia"/>
          <w:color w:val="auto"/>
          <w:highlight w:val="none"/>
        </w:rPr>
      </w:pPr>
    </w:p>
    <w:p w14:paraId="1B7A9391">
      <w:pPr>
        <w:rPr>
          <w:rFonts w:hint="eastAsia"/>
          <w:color w:val="auto"/>
          <w:highlight w:val="none"/>
        </w:rPr>
      </w:pPr>
    </w:p>
    <w:p w14:paraId="30872000">
      <w:pPr>
        <w:pStyle w:val="19"/>
        <w:rPr>
          <w:rFonts w:hint="eastAsia"/>
          <w:color w:val="auto"/>
          <w:highlight w:val="none"/>
        </w:rPr>
      </w:pPr>
    </w:p>
    <w:p w14:paraId="4D58B1B1">
      <w:pPr>
        <w:rPr>
          <w:rFonts w:hint="eastAsia"/>
          <w:color w:val="auto"/>
          <w:highlight w:val="none"/>
        </w:rPr>
      </w:pPr>
    </w:p>
    <w:p w14:paraId="4BFCFC13">
      <w:pPr>
        <w:pStyle w:val="19"/>
        <w:rPr>
          <w:rFonts w:hint="eastAsia"/>
          <w:color w:val="auto"/>
          <w:highlight w:val="none"/>
        </w:rPr>
      </w:pPr>
    </w:p>
    <w:p w14:paraId="6EF72C96">
      <w:pPr>
        <w:rPr>
          <w:rFonts w:hint="eastAsia"/>
          <w:color w:val="auto"/>
          <w:highlight w:val="none"/>
        </w:rPr>
      </w:pPr>
    </w:p>
    <w:p w14:paraId="524BDDB6">
      <w:pPr>
        <w:pStyle w:val="19"/>
        <w:rPr>
          <w:rFonts w:hint="eastAsia"/>
          <w:color w:val="auto"/>
          <w:highlight w:val="none"/>
        </w:rPr>
      </w:pPr>
    </w:p>
    <w:p w14:paraId="39DB0928">
      <w:pPr>
        <w:rPr>
          <w:rFonts w:hint="eastAsia"/>
          <w:color w:val="auto"/>
          <w:highlight w:val="none"/>
        </w:rPr>
      </w:pPr>
    </w:p>
    <w:p w14:paraId="175048F3">
      <w:pPr>
        <w:pStyle w:val="19"/>
        <w:rPr>
          <w:rFonts w:hint="eastAsia"/>
          <w:color w:val="auto"/>
          <w:highlight w:val="none"/>
        </w:rPr>
      </w:pPr>
    </w:p>
    <w:p w14:paraId="50830132">
      <w:pPr>
        <w:rPr>
          <w:rFonts w:hint="eastAsia"/>
          <w:color w:val="auto"/>
          <w:highlight w:val="none"/>
        </w:rPr>
      </w:pPr>
    </w:p>
    <w:p w14:paraId="604C24C4">
      <w:pPr>
        <w:pStyle w:val="19"/>
        <w:rPr>
          <w:rFonts w:hint="eastAsia"/>
          <w:color w:val="auto"/>
          <w:highlight w:val="none"/>
        </w:rPr>
      </w:pPr>
    </w:p>
    <w:p w14:paraId="273E127A">
      <w:pPr>
        <w:rPr>
          <w:rFonts w:hint="eastAsia"/>
          <w:color w:val="auto"/>
          <w:highlight w:val="none"/>
        </w:rPr>
      </w:pPr>
    </w:p>
    <w:p w14:paraId="1E5F3831">
      <w:pPr>
        <w:pStyle w:val="19"/>
        <w:rPr>
          <w:rFonts w:hint="eastAsia"/>
          <w:color w:val="auto"/>
          <w:highlight w:val="none"/>
        </w:rPr>
      </w:pPr>
    </w:p>
    <w:p w14:paraId="548F73C4">
      <w:pPr>
        <w:rPr>
          <w:rFonts w:hint="eastAsia"/>
          <w:color w:val="auto"/>
          <w:highlight w:val="none"/>
        </w:rPr>
      </w:pPr>
    </w:p>
    <w:p w14:paraId="262973E6">
      <w:pPr>
        <w:pStyle w:val="19"/>
        <w:rPr>
          <w:rFonts w:hint="eastAsia"/>
          <w:color w:val="auto"/>
          <w:highlight w:val="none"/>
        </w:rPr>
      </w:pPr>
    </w:p>
    <w:p w14:paraId="5B35CFF6">
      <w:pPr>
        <w:rPr>
          <w:rFonts w:hint="eastAsia"/>
          <w:color w:val="auto"/>
          <w:highlight w:val="none"/>
        </w:rPr>
      </w:pPr>
    </w:p>
    <w:p w14:paraId="569DB6AC">
      <w:pPr>
        <w:pStyle w:val="19"/>
        <w:rPr>
          <w:rFonts w:hint="eastAsia"/>
          <w:color w:val="auto"/>
          <w:highlight w:val="none"/>
        </w:rPr>
      </w:pPr>
    </w:p>
    <w:p w14:paraId="599590B4">
      <w:pPr>
        <w:rPr>
          <w:rFonts w:hint="eastAsia"/>
          <w:color w:val="auto"/>
          <w:highlight w:val="none"/>
        </w:rPr>
      </w:pPr>
    </w:p>
    <w:p w14:paraId="484AD6BF">
      <w:pPr>
        <w:pStyle w:val="19"/>
        <w:rPr>
          <w:rFonts w:hint="eastAsia"/>
          <w:color w:val="auto"/>
          <w:highlight w:val="none"/>
        </w:rPr>
      </w:pPr>
    </w:p>
    <w:p w14:paraId="06AD0968">
      <w:pPr>
        <w:rPr>
          <w:rFonts w:hint="eastAsia"/>
          <w:color w:val="auto"/>
          <w:highlight w:val="none"/>
        </w:rPr>
      </w:pPr>
    </w:p>
    <w:p w14:paraId="22941FE6">
      <w:pPr>
        <w:pStyle w:val="19"/>
        <w:rPr>
          <w:rFonts w:hint="eastAsia"/>
          <w:color w:val="auto"/>
          <w:highlight w:val="none"/>
        </w:rPr>
      </w:pPr>
    </w:p>
    <w:p w14:paraId="7015D518">
      <w:pPr>
        <w:pStyle w:val="19"/>
        <w:ind w:left="0" w:leftChars="0" w:firstLine="0" w:firstLineChars="0"/>
        <w:rPr>
          <w:rFonts w:hint="eastAsia"/>
          <w:color w:val="auto"/>
          <w:highlight w:val="none"/>
        </w:rPr>
      </w:pPr>
    </w:p>
    <w:p w14:paraId="3BD92A67">
      <w:pPr>
        <w:pStyle w:val="19"/>
        <w:rPr>
          <w:rFonts w:hint="eastAsia"/>
          <w:color w:val="auto"/>
          <w:highlight w:val="none"/>
        </w:rPr>
      </w:pPr>
    </w:p>
    <w:p w14:paraId="7A5EABDB">
      <w:pPr>
        <w:rPr>
          <w:rFonts w:hint="eastAsia"/>
          <w:color w:val="auto"/>
          <w:highlight w:val="none"/>
        </w:rPr>
      </w:pPr>
    </w:p>
    <w:p w14:paraId="575112C0">
      <w:pPr>
        <w:pStyle w:val="19"/>
        <w:rPr>
          <w:rFonts w:hint="eastAsia"/>
          <w:color w:val="auto"/>
          <w:highlight w:val="none"/>
        </w:rPr>
      </w:pPr>
    </w:p>
    <w:p w14:paraId="06E495EB">
      <w:pPr>
        <w:rPr>
          <w:rFonts w:hint="eastAsia"/>
          <w:color w:val="auto"/>
          <w:highlight w:val="none"/>
        </w:rPr>
      </w:pPr>
    </w:p>
    <w:p w14:paraId="3CFDC096">
      <w:pPr>
        <w:pStyle w:val="19"/>
        <w:rPr>
          <w:rFonts w:hint="eastAsia"/>
          <w:color w:val="auto"/>
          <w:highlight w:val="none"/>
        </w:rPr>
      </w:pPr>
    </w:p>
    <w:p w14:paraId="042BAB58">
      <w:pPr>
        <w:rPr>
          <w:rFonts w:hint="eastAsia"/>
          <w:color w:val="auto"/>
          <w:highlight w:val="none"/>
        </w:rPr>
      </w:pPr>
    </w:p>
    <w:p w14:paraId="3060123A">
      <w:pPr>
        <w:pStyle w:val="19"/>
        <w:rPr>
          <w:rFonts w:hint="eastAsia"/>
          <w:color w:val="auto"/>
          <w:highlight w:val="none"/>
        </w:rPr>
      </w:pPr>
    </w:p>
    <w:p w14:paraId="179167A7">
      <w:pPr>
        <w:rPr>
          <w:rFonts w:hint="eastAsia"/>
          <w:color w:val="auto"/>
          <w:highlight w:val="none"/>
        </w:rPr>
      </w:pPr>
    </w:p>
    <w:p w14:paraId="47169063">
      <w:pPr>
        <w:pStyle w:val="19"/>
        <w:rPr>
          <w:rFonts w:hint="eastAsia"/>
          <w:color w:val="auto"/>
          <w:highlight w:val="none"/>
        </w:rPr>
      </w:pPr>
    </w:p>
    <w:p w14:paraId="10C80204">
      <w:pPr>
        <w:spacing w:line="360" w:lineRule="auto"/>
        <w:rPr>
          <w:rFonts w:hint="eastAsia" w:ascii="宋体" w:hAnsi="宋体" w:cs="宋体"/>
          <w:color w:val="auto"/>
          <w:szCs w:val="21"/>
          <w:highlight w:val="none"/>
        </w:rPr>
      </w:pPr>
    </w:p>
    <w:p w14:paraId="450BE25C">
      <w:pPr>
        <w:keepNext/>
        <w:keepLines/>
        <w:spacing w:before="120" w:after="120" w:line="360" w:lineRule="auto"/>
        <w:jc w:val="left"/>
        <w:outlineLvl w:val="2"/>
        <w:rPr>
          <w:rFonts w:ascii="宋体" w:hAnsi="宋体" w:cs="宋体"/>
          <w:bCs/>
          <w:color w:val="auto"/>
          <w:sz w:val="24"/>
          <w:highlight w:val="none"/>
        </w:rPr>
        <w:sectPr>
          <w:footnotePr>
            <w:numFmt w:val="decimalEnclosedCircleChinese"/>
            <w:numRestart w:val="eachPage"/>
          </w:footnotePr>
          <w:pgSz w:w="11907" w:h="16840"/>
          <w:pgMar w:top="1474" w:right="1474" w:bottom="1474" w:left="1474" w:header="799" w:footer="907" w:gutter="0"/>
          <w:pgNumType w:fmt="numberInDash"/>
          <w:cols w:space="720" w:num="1"/>
          <w:docGrid w:linePitch="271" w:charSpace="0"/>
        </w:sectPr>
      </w:pPr>
      <w:bookmarkStart w:id="1357" w:name="_Toc95223508"/>
    </w:p>
    <w:p w14:paraId="20858844">
      <w:pPr>
        <w:keepNext/>
        <w:keepLines/>
        <w:spacing w:before="120" w:after="120" w:line="360" w:lineRule="auto"/>
        <w:jc w:val="left"/>
        <w:outlineLvl w:val="2"/>
        <w:rPr>
          <w:rFonts w:hint="eastAsia" w:ascii="宋体" w:hAnsi="宋体" w:cs="宋体"/>
          <w:bCs/>
          <w:color w:val="auto"/>
          <w:sz w:val="24"/>
          <w:highlight w:val="none"/>
        </w:rPr>
      </w:pPr>
      <w:r>
        <w:rPr>
          <w:rFonts w:hint="eastAsia" w:ascii="宋体" w:hAnsi="宋体" w:cs="宋体"/>
          <w:bCs/>
          <w:color w:val="auto"/>
          <w:sz w:val="24"/>
          <w:highlight w:val="none"/>
        </w:rPr>
        <w:t>附</w:t>
      </w:r>
      <w:bookmarkStart w:id="1358" w:name="_Toc296346734"/>
      <w:bookmarkStart w:id="1359" w:name="_Toc296891061"/>
      <w:bookmarkStart w:id="1360" w:name="_Toc296347232"/>
      <w:bookmarkStart w:id="1361" w:name="_Toc296503233"/>
      <w:bookmarkStart w:id="1362" w:name="_Toc296944572"/>
      <w:bookmarkStart w:id="1363" w:name="_Toc296891273"/>
      <w:r>
        <w:rPr>
          <w:rFonts w:hint="eastAsia" w:ascii="宋体" w:hAnsi="宋体" w:cs="宋体"/>
          <w:bCs/>
          <w:color w:val="auto"/>
          <w:sz w:val="24"/>
          <w:highlight w:val="none"/>
        </w:rPr>
        <w:t>件10：支付担保</w:t>
      </w:r>
      <w:bookmarkEnd w:id="1357"/>
      <w:bookmarkEnd w:id="1358"/>
      <w:bookmarkEnd w:id="1359"/>
      <w:bookmarkEnd w:id="1360"/>
      <w:bookmarkEnd w:id="1361"/>
      <w:bookmarkEnd w:id="1362"/>
      <w:bookmarkEnd w:id="1363"/>
    </w:p>
    <w:p w14:paraId="1CAFDF2A">
      <w:pPr>
        <w:adjustRightInd w:val="0"/>
        <w:snapToGrid w:val="0"/>
        <w:spacing w:line="360" w:lineRule="auto"/>
        <w:jc w:val="center"/>
        <w:rPr>
          <w:rFonts w:hint="eastAsia" w:ascii="宋体" w:hAnsi="宋体" w:cs="宋体"/>
          <w:b/>
          <w:bCs/>
          <w:color w:val="auto"/>
          <w:sz w:val="32"/>
          <w:szCs w:val="32"/>
          <w:highlight w:val="none"/>
        </w:rPr>
      </w:pPr>
      <w:bookmarkStart w:id="1364" w:name="_Toc95223509"/>
      <w:bookmarkStart w:id="1365" w:name="_Toc3562"/>
      <w:bookmarkStart w:id="1366" w:name="_Toc8319"/>
      <w:r>
        <w:rPr>
          <w:rFonts w:hint="eastAsia" w:ascii="宋体" w:hAnsi="宋体" w:cs="宋体"/>
          <w:b/>
          <w:bCs/>
          <w:color w:val="auto"/>
          <w:sz w:val="32"/>
          <w:szCs w:val="32"/>
          <w:highlight w:val="none"/>
        </w:rPr>
        <w:t>支付保函示范文本</w:t>
      </w:r>
      <w:bookmarkEnd w:id="1364"/>
      <w:bookmarkEnd w:id="1365"/>
      <w:bookmarkEnd w:id="1366"/>
    </w:p>
    <w:p w14:paraId="6319BA9E">
      <w:pPr>
        <w:wordWrap w:val="0"/>
        <w:adjustRightInd w:val="0"/>
        <w:snapToGrid w:val="0"/>
        <w:spacing w:line="360" w:lineRule="auto"/>
        <w:jc w:val="right"/>
        <w:rPr>
          <w:rFonts w:hint="eastAsia" w:ascii="宋体" w:hAnsi="宋体" w:cs="宋体"/>
          <w:color w:val="auto"/>
          <w:szCs w:val="21"/>
          <w:highlight w:val="none"/>
        </w:rPr>
      </w:pPr>
      <w:r>
        <w:rPr>
          <w:rFonts w:hint="eastAsia" w:ascii="宋体" w:hAnsi="宋体" w:cs="宋体"/>
          <w:color w:val="auto"/>
          <w:szCs w:val="21"/>
          <w:highlight w:val="none"/>
        </w:rPr>
        <w:t xml:space="preserve">编号：           </w:t>
      </w:r>
    </w:p>
    <w:p w14:paraId="56A7E422">
      <w:pPr>
        <w:adjustRightInd w:val="0"/>
        <w:snapToGrid w:val="0"/>
        <w:spacing w:line="360" w:lineRule="auto"/>
        <w:rPr>
          <w:rFonts w:hint="eastAsia" w:ascii="宋体" w:hAnsi="宋体" w:cs="宋体"/>
          <w:color w:val="auto"/>
          <w:szCs w:val="21"/>
          <w:highlight w:val="none"/>
        </w:rPr>
      </w:pPr>
    </w:p>
    <w:p w14:paraId="3EA269A5">
      <w:pPr>
        <w:adjustRightInd w:val="0"/>
        <w:snapToGrid w:val="0"/>
        <w:spacing w:line="360" w:lineRule="auto"/>
        <w:rPr>
          <w:rFonts w:hint="eastAsia" w:ascii="宋体" w:hAnsi="宋体" w:cs="宋体"/>
          <w:color w:val="auto"/>
          <w:szCs w:val="21"/>
          <w:highlight w:val="none"/>
        </w:rPr>
      </w:pPr>
      <w:bookmarkStart w:id="1367" w:name="_Hlk40355074"/>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（受益人名称）： </w:t>
      </w:r>
    </w:p>
    <w:bookmarkEnd w:id="1367"/>
    <w:p w14:paraId="78A4EB1B">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鉴于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（以下简称“受益人”）与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（以下简称“申请人”）于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日就</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（标段编号）的</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（标段名称）</w:t>
      </w:r>
      <w:r>
        <w:rPr>
          <w:rFonts w:hint="eastAsia" w:ascii="宋体" w:hAnsi="宋体" w:cs="宋体"/>
          <w:color w:val="auto"/>
          <w:szCs w:val="21"/>
          <w:highlight w:val="none"/>
        </w:rPr>
        <w:t>有关事项协商一致共同签订</w:t>
      </w:r>
      <w:r>
        <w:rPr>
          <w:rFonts w:hint="eastAsia" w:ascii="宋体" w:hAnsi="宋体" w:cs="宋体"/>
          <w:color w:val="auto"/>
          <w:szCs w:val="21"/>
          <w:highlight w:val="none"/>
          <w:u w:val="single"/>
        </w:rPr>
        <w:t>《        》</w:t>
      </w:r>
      <w:r>
        <w:rPr>
          <w:rFonts w:hint="eastAsia" w:ascii="宋体" w:hAnsi="宋体" w:cs="宋体"/>
          <w:color w:val="auto"/>
          <w:szCs w:val="21"/>
          <w:highlight w:val="none"/>
        </w:rPr>
        <w:t xml:space="preserve">（以下简称基础合同”），开立人根据基础合同了解到申请人为基础合同项下之发包人，受益人为基础合同项下之承包人，基于申请人的请求，开立人同意就申请人履行与受益人签订的基础合同项下的工程款（指基础合同约定的除工程质量保修金以外的工程款）付款义务，向受益人提供不可撤销、不可转让的见索即付独立保函（以下简称“本保函”）。 </w:t>
      </w:r>
    </w:p>
    <w:p w14:paraId="5815EF11">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一、本保函担保范围：申请人未履行基础合同约定的工程款支付义务，应当向受益人承担的违约责任和赔偿因此造成的损失、利息、律师费、诉讼费用等实现债权的费用。</w:t>
      </w:r>
    </w:p>
    <w:p w14:paraId="263C5C86">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二、本保函担保金额最高不超过人民币（大写）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4425B3D3">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三、本保函有效期自开立之日起至基础合同约定的除工程质量保修金以外的全部工程结算款项支付之日后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日止。 </w:t>
      </w:r>
    </w:p>
    <w:p w14:paraId="6895F40B">
      <w:pPr>
        <w:adjustRightInd w:val="0"/>
        <w:snapToGrid w:val="0"/>
        <w:spacing w:line="360" w:lineRule="auto"/>
        <w:ind w:firstLine="480"/>
        <w:rPr>
          <w:rFonts w:hint="eastAsia" w:ascii="宋体" w:hAnsi="宋体" w:cs="宋体"/>
          <w:color w:val="auto"/>
          <w:szCs w:val="21"/>
          <w:highlight w:val="none"/>
        </w:rPr>
      </w:pPr>
      <w:r>
        <w:rPr>
          <w:rFonts w:hint="eastAsia" w:ascii="宋体" w:hAnsi="宋体" w:cs="宋体"/>
          <w:color w:val="auto"/>
          <w:szCs w:val="21"/>
          <w:highlight w:val="none"/>
        </w:rPr>
        <w:t>四、开立人承诺，在收到受益人发来的书面付款通知后的七日内无条件支付，前述书面付款通知即为付款要求之单据，且应满足以下要求：</w:t>
      </w:r>
    </w:p>
    <w:p w14:paraId="3FF4C58A">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（1）付款通知到达的日期在本保函的有效期内；</w:t>
      </w:r>
    </w:p>
    <w:p w14:paraId="79A88D17">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（2）载明要求支付的金额；</w:t>
      </w:r>
    </w:p>
    <w:p w14:paraId="208EADFD">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（3）载明申请人违反合同义务的条款和内容；</w:t>
      </w:r>
    </w:p>
    <w:p w14:paraId="0CAA4D50">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（4）声明不存在合同文件约定或我国法律规定免除申请人或开立人支付责任的情形；</w:t>
      </w:r>
    </w:p>
    <w:p w14:paraId="1328EA03">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（5）付款通知应在本保函有效期内到达的地址是：</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133E9C1">
      <w:pPr>
        <w:adjustRightInd w:val="0"/>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受益人发出的书面付款通知应由其法定代表人（负责人）或授权代理人签字并加盖公章。</w:t>
      </w:r>
    </w:p>
    <w:p w14:paraId="0CC5C85B">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五、本保函项下的权利不得转让，不得设定担保。受益人未经开立人书面同意转让本保函或其项下任何权利，对开立人不发生法律效力。 </w:t>
      </w:r>
    </w:p>
    <w:p w14:paraId="70DC32EA">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六、本保函项下的基础交易不成立、不生效、无效、被撤销、被解除，不影响本保函的独立有效。</w:t>
      </w:r>
    </w:p>
    <w:p w14:paraId="62057194">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七、本保函项下的义务和责任均在保函有效期到期后自动消灭。 </w:t>
      </w:r>
    </w:p>
    <w:p w14:paraId="67DF32E3">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八、本保函适用的法律为中华人民共和国法律，因本保函产生的纠纷案件，由申请人所在地人民法院管辖。 </w:t>
      </w:r>
    </w:p>
    <w:p w14:paraId="432BF484">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九、本保函自我方法定代表人或授权代表签字并加盖公章之日起生效。 </w:t>
      </w:r>
    </w:p>
    <w:p w14:paraId="08AED77E">
      <w:pPr>
        <w:adjustRightInd w:val="0"/>
        <w:snapToGrid w:val="0"/>
        <w:spacing w:line="360" w:lineRule="auto"/>
        <w:ind w:firstLine="420" w:firstLineChars="200"/>
        <w:rPr>
          <w:rFonts w:hint="eastAsia" w:ascii="宋体" w:hAnsi="宋体" w:cs="宋体"/>
          <w:color w:val="auto"/>
          <w:szCs w:val="21"/>
          <w:highlight w:val="none"/>
        </w:rPr>
      </w:pPr>
    </w:p>
    <w:p w14:paraId="230BFFAF">
      <w:pPr>
        <w:adjustRightInd w:val="0"/>
        <w:snapToGrid w:val="0"/>
        <w:spacing w:line="360" w:lineRule="auto"/>
        <w:ind w:firstLine="420" w:firstLineChars="200"/>
        <w:rPr>
          <w:rFonts w:hint="eastAsia" w:ascii="宋体" w:hAnsi="宋体" w:cs="宋体"/>
          <w:color w:val="auto"/>
          <w:szCs w:val="21"/>
          <w:highlight w:val="none"/>
        </w:rPr>
      </w:pPr>
    </w:p>
    <w:p w14:paraId="0593692A">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开 立 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（公章） </w:t>
      </w:r>
    </w:p>
    <w:p w14:paraId="112F0359">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法定代表人（或授权代表）：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（签字） </w:t>
      </w:r>
    </w:p>
    <w:p w14:paraId="4ABF6B88">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40AAF8E0">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p>
    <w:p w14:paraId="4FE69241">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p>
    <w:p w14:paraId="2BD42533">
      <w:pPr>
        <w:adjustRightInd w:val="0"/>
        <w:snapToGrid w:val="0"/>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p>
    <w:p w14:paraId="43A17926">
      <w:pPr>
        <w:adjustRightInd w:val="0"/>
        <w:snapToGrid w:val="0"/>
        <w:spacing w:line="360" w:lineRule="auto"/>
        <w:ind w:left="1323" w:leftChars="200" w:hanging="903" w:hangingChars="430"/>
        <w:rPr>
          <w:rFonts w:hint="eastAsia" w:ascii="宋体" w:hAnsi="宋体" w:cs="宋体"/>
          <w:color w:val="auto"/>
          <w:szCs w:val="21"/>
          <w:highlight w:val="none"/>
        </w:rPr>
      </w:pPr>
      <w:r>
        <w:rPr>
          <w:rFonts w:hint="eastAsia" w:ascii="宋体" w:hAnsi="宋体" w:cs="宋体"/>
          <w:color w:val="auto"/>
          <w:szCs w:val="21"/>
          <w:highlight w:val="none"/>
        </w:rPr>
        <w:t>开立时间：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6F66D96">
      <w:pPr>
        <w:adjustRightInd w:val="0"/>
        <w:snapToGrid w:val="0"/>
        <w:spacing w:line="360" w:lineRule="auto"/>
        <w:rPr>
          <w:rFonts w:hint="eastAsia" w:ascii="宋体" w:hAnsi="宋体" w:cs="宋体"/>
          <w:color w:val="auto"/>
          <w:szCs w:val="21"/>
          <w:highlight w:val="none"/>
        </w:rPr>
      </w:pPr>
    </w:p>
    <w:p w14:paraId="2B254F3A">
      <w:pPr>
        <w:adjustRightInd w:val="0"/>
        <w:snapToGrid w:val="0"/>
        <w:spacing w:line="360" w:lineRule="auto"/>
        <w:rPr>
          <w:rFonts w:hint="eastAsia" w:ascii="宋体" w:hAnsi="宋体" w:cs="宋体"/>
          <w:color w:val="auto"/>
          <w:szCs w:val="21"/>
          <w:highlight w:val="none"/>
        </w:rPr>
      </w:pPr>
    </w:p>
    <w:p w14:paraId="5A110EFF">
      <w:pPr>
        <w:adjustRightInd w:val="0"/>
        <w:snapToGrid w:val="0"/>
        <w:spacing w:line="360" w:lineRule="auto"/>
        <w:rPr>
          <w:rFonts w:hint="eastAsia" w:ascii="宋体" w:hAnsi="宋体" w:cs="宋体"/>
          <w:color w:val="auto"/>
          <w:szCs w:val="21"/>
          <w:highlight w:val="none"/>
        </w:rPr>
      </w:pPr>
    </w:p>
    <w:p w14:paraId="2530C7BB">
      <w:pPr>
        <w:keepNext/>
        <w:keepLines/>
        <w:adjustRightInd w:val="0"/>
        <w:snapToGrid w:val="0"/>
        <w:spacing w:line="360" w:lineRule="auto"/>
        <w:jc w:val="left"/>
        <w:outlineLvl w:val="2"/>
        <w:rPr>
          <w:rFonts w:hint="eastAsia" w:ascii="宋体" w:hAnsi="宋体" w:cs="宋体"/>
          <w:bCs/>
          <w:color w:val="auto"/>
          <w:sz w:val="24"/>
          <w:highlight w:val="none"/>
        </w:rPr>
      </w:pPr>
      <w:r>
        <w:rPr>
          <w:rFonts w:hint="eastAsia" w:ascii="宋体" w:hAnsi="宋体" w:cs="宋体"/>
          <w:bCs/>
          <w:color w:val="auto"/>
          <w:sz w:val="24"/>
          <w:highlight w:val="none"/>
        </w:rPr>
        <w:br w:type="page"/>
      </w:r>
      <w:bookmarkStart w:id="1368" w:name="_Toc95223510"/>
      <w:r>
        <w:rPr>
          <w:rFonts w:hint="eastAsia" w:ascii="宋体" w:hAnsi="宋体" w:cs="宋体"/>
          <w:bCs/>
          <w:color w:val="auto"/>
          <w:sz w:val="24"/>
          <w:highlight w:val="none"/>
        </w:rPr>
        <w:t>附件11：暂估价一览表</w:t>
      </w:r>
      <w:bookmarkEnd w:id="1368"/>
    </w:p>
    <w:p w14:paraId="046C3593">
      <w:pPr>
        <w:spacing w:before="120" w:beforeLines="50" w:after="120"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12-1：材料暂估价表</w:t>
      </w:r>
    </w:p>
    <w:tbl>
      <w:tblPr>
        <w:tblStyle w:val="20"/>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15F60D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4F8BC511">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984" w:type="dxa"/>
            <w:tcBorders>
              <w:top w:val="single" w:color="auto" w:sz="12" w:space="0"/>
              <w:bottom w:val="double" w:color="auto" w:sz="6" w:space="0"/>
            </w:tcBorders>
            <w:noWrap w:val="0"/>
            <w:vAlign w:val="top"/>
          </w:tcPr>
          <w:p w14:paraId="6A0FED20">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名称</w:t>
            </w:r>
          </w:p>
        </w:tc>
        <w:tc>
          <w:tcPr>
            <w:tcW w:w="851" w:type="dxa"/>
            <w:tcBorders>
              <w:top w:val="single" w:color="auto" w:sz="12" w:space="0"/>
              <w:bottom w:val="double" w:color="auto" w:sz="6" w:space="0"/>
            </w:tcBorders>
            <w:noWrap w:val="0"/>
            <w:vAlign w:val="top"/>
          </w:tcPr>
          <w:p w14:paraId="31262257">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774" w:type="dxa"/>
            <w:tcBorders>
              <w:top w:val="single" w:color="auto" w:sz="12" w:space="0"/>
              <w:bottom w:val="double" w:color="auto" w:sz="6" w:space="0"/>
            </w:tcBorders>
            <w:noWrap w:val="0"/>
            <w:vAlign w:val="top"/>
          </w:tcPr>
          <w:p w14:paraId="0780EBF5">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1352" w:type="dxa"/>
            <w:tcBorders>
              <w:top w:val="single" w:color="auto" w:sz="12" w:space="0"/>
              <w:bottom w:val="double" w:color="auto" w:sz="6" w:space="0"/>
            </w:tcBorders>
            <w:noWrap w:val="0"/>
            <w:vAlign w:val="top"/>
          </w:tcPr>
          <w:p w14:paraId="301F2AA2">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单价（元）</w:t>
            </w:r>
          </w:p>
        </w:tc>
        <w:tc>
          <w:tcPr>
            <w:tcW w:w="1418" w:type="dxa"/>
            <w:tcBorders>
              <w:top w:val="single" w:color="auto" w:sz="12" w:space="0"/>
              <w:bottom w:val="double" w:color="auto" w:sz="6" w:space="0"/>
            </w:tcBorders>
            <w:noWrap w:val="0"/>
            <w:vAlign w:val="top"/>
          </w:tcPr>
          <w:p w14:paraId="072E06E7">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合价（元）</w:t>
            </w:r>
          </w:p>
        </w:tc>
        <w:tc>
          <w:tcPr>
            <w:tcW w:w="1701" w:type="dxa"/>
            <w:tcBorders>
              <w:top w:val="single" w:color="auto" w:sz="12" w:space="0"/>
              <w:bottom w:val="double" w:color="auto" w:sz="6" w:space="0"/>
            </w:tcBorders>
            <w:noWrap w:val="0"/>
            <w:vAlign w:val="top"/>
          </w:tcPr>
          <w:p w14:paraId="45D4AB29">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备注</w:t>
            </w:r>
          </w:p>
        </w:tc>
      </w:tr>
      <w:tr w14:paraId="2A5E59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tcBorders>
            <w:noWrap w:val="0"/>
            <w:vAlign w:val="top"/>
          </w:tcPr>
          <w:p w14:paraId="0573B94D">
            <w:pPr>
              <w:keepNext/>
              <w:spacing w:line="440" w:lineRule="exact"/>
              <w:rPr>
                <w:rFonts w:hint="eastAsia" w:ascii="宋体" w:hAnsi="宋体" w:cs="宋体"/>
                <w:color w:val="auto"/>
                <w:szCs w:val="21"/>
                <w:highlight w:val="none"/>
              </w:rPr>
            </w:pPr>
          </w:p>
        </w:tc>
        <w:tc>
          <w:tcPr>
            <w:tcW w:w="1984" w:type="dxa"/>
            <w:tcBorders>
              <w:top w:val="double" w:color="auto" w:sz="6" w:space="0"/>
            </w:tcBorders>
            <w:noWrap w:val="0"/>
            <w:vAlign w:val="top"/>
          </w:tcPr>
          <w:p w14:paraId="3F9F4909">
            <w:pPr>
              <w:keepNext/>
              <w:spacing w:line="440" w:lineRule="exact"/>
              <w:rPr>
                <w:rFonts w:hint="eastAsia" w:ascii="宋体" w:hAnsi="宋体" w:cs="宋体"/>
                <w:color w:val="auto"/>
                <w:szCs w:val="21"/>
                <w:highlight w:val="none"/>
              </w:rPr>
            </w:pPr>
          </w:p>
        </w:tc>
        <w:tc>
          <w:tcPr>
            <w:tcW w:w="851" w:type="dxa"/>
            <w:tcBorders>
              <w:top w:val="double" w:color="auto" w:sz="6" w:space="0"/>
            </w:tcBorders>
            <w:noWrap w:val="0"/>
            <w:vAlign w:val="top"/>
          </w:tcPr>
          <w:p w14:paraId="5D70DF6C">
            <w:pPr>
              <w:keepNext/>
              <w:spacing w:line="440" w:lineRule="exact"/>
              <w:rPr>
                <w:rFonts w:hint="eastAsia" w:ascii="宋体" w:hAnsi="宋体" w:cs="宋体"/>
                <w:color w:val="auto"/>
                <w:szCs w:val="21"/>
                <w:highlight w:val="none"/>
              </w:rPr>
            </w:pPr>
          </w:p>
        </w:tc>
        <w:tc>
          <w:tcPr>
            <w:tcW w:w="774" w:type="dxa"/>
            <w:tcBorders>
              <w:top w:val="double" w:color="auto" w:sz="6" w:space="0"/>
            </w:tcBorders>
            <w:noWrap w:val="0"/>
            <w:vAlign w:val="top"/>
          </w:tcPr>
          <w:p w14:paraId="4B40ED66">
            <w:pPr>
              <w:keepNext/>
              <w:spacing w:line="440" w:lineRule="exact"/>
              <w:rPr>
                <w:rFonts w:hint="eastAsia" w:ascii="宋体" w:hAnsi="宋体" w:cs="宋体"/>
                <w:color w:val="auto"/>
                <w:szCs w:val="21"/>
                <w:highlight w:val="none"/>
              </w:rPr>
            </w:pPr>
          </w:p>
        </w:tc>
        <w:tc>
          <w:tcPr>
            <w:tcW w:w="1352" w:type="dxa"/>
            <w:tcBorders>
              <w:top w:val="double" w:color="auto" w:sz="6" w:space="0"/>
            </w:tcBorders>
            <w:noWrap w:val="0"/>
            <w:vAlign w:val="top"/>
          </w:tcPr>
          <w:p w14:paraId="110479DE">
            <w:pPr>
              <w:keepNext/>
              <w:spacing w:line="440" w:lineRule="exact"/>
              <w:rPr>
                <w:rFonts w:hint="eastAsia" w:ascii="宋体" w:hAnsi="宋体" w:cs="宋体"/>
                <w:color w:val="auto"/>
                <w:szCs w:val="21"/>
                <w:highlight w:val="none"/>
              </w:rPr>
            </w:pPr>
          </w:p>
        </w:tc>
        <w:tc>
          <w:tcPr>
            <w:tcW w:w="1418" w:type="dxa"/>
            <w:tcBorders>
              <w:top w:val="double" w:color="auto" w:sz="6" w:space="0"/>
            </w:tcBorders>
            <w:noWrap w:val="0"/>
            <w:vAlign w:val="top"/>
          </w:tcPr>
          <w:p w14:paraId="6D475C45">
            <w:pPr>
              <w:keepNext/>
              <w:spacing w:line="440" w:lineRule="exact"/>
              <w:rPr>
                <w:rFonts w:hint="eastAsia" w:ascii="宋体" w:hAnsi="宋体" w:cs="宋体"/>
                <w:color w:val="auto"/>
                <w:szCs w:val="21"/>
                <w:highlight w:val="none"/>
              </w:rPr>
            </w:pPr>
          </w:p>
        </w:tc>
        <w:tc>
          <w:tcPr>
            <w:tcW w:w="1701" w:type="dxa"/>
            <w:tcBorders>
              <w:top w:val="double" w:color="auto" w:sz="6" w:space="0"/>
            </w:tcBorders>
            <w:noWrap w:val="0"/>
            <w:vAlign w:val="top"/>
          </w:tcPr>
          <w:p w14:paraId="550B65A3">
            <w:pPr>
              <w:keepNext/>
              <w:spacing w:line="440" w:lineRule="exact"/>
              <w:rPr>
                <w:rFonts w:hint="eastAsia" w:ascii="宋体" w:hAnsi="宋体" w:cs="宋体"/>
                <w:color w:val="auto"/>
                <w:szCs w:val="21"/>
                <w:highlight w:val="none"/>
              </w:rPr>
            </w:pPr>
          </w:p>
        </w:tc>
      </w:tr>
      <w:tr w14:paraId="45DCE3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1F084A03">
            <w:pPr>
              <w:keepNext/>
              <w:spacing w:line="440" w:lineRule="exact"/>
              <w:rPr>
                <w:rFonts w:hint="eastAsia" w:ascii="宋体" w:hAnsi="宋体" w:cs="宋体"/>
                <w:color w:val="auto"/>
                <w:szCs w:val="21"/>
                <w:highlight w:val="none"/>
              </w:rPr>
            </w:pPr>
          </w:p>
        </w:tc>
        <w:tc>
          <w:tcPr>
            <w:tcW w:w="1984" w:type="dxa"/>
            <w:tcBorders>
              <w:top w:val="nil"/>
            </w:tcBorders>
            <w:noWrap w:val="0"/>
            <w:vAlign w:val="top"/>
          </w:tcPr>
          <w:p w14:paraId="787A8E9A">
            <w:pPr>
              <w:keepNext/>
              <w:spacing w:line="440" w:lineRule="exact"/>
              <w:rPr>
                <w:rFonts w:hint="eastAsia" w:ascii="宋体" w:hAnsi="宋体" w:cs="宋体"/>
                <w:color w:val="auto"/>
                <w:szCs w:val="21"/>
                <w:highlight w:val="none"/>
              </w:rPr>
            </w:pPr>
          </w:p>
        </w:tc>
        <w:tc>
          <w:tcPr>
            <w:tcW w:w="851" w:type="dxa"/>
            <w:tcBorders>
              <w:top w:val="nil"/>
            </w:tcBorders>
            <w:noWrap w:val="0"/>
            <w:vAlign w:val="top"/>
          </w:tcPr>
          <w:p w14:paraId="6E0CB42B">
            <w:pPr>
              <w:keepNext/>
              <w:spacing w:line="440" w:lineRule="exact"/>
              <w:rPr>
                <w:rFonts w:hint="eastAsia" w:ascii="宋体" w:hAnsi="宋体" w:cs="宋体"/>
                <w:color w:val="auto"/>
                <w:szCs w:val="21"/>
                <w:highlight w:val="none"/>
              </w:rPr>
            </w:pPr>
          </w:p>
        </w:tc>
        <w:tc>
          <w:tcPr>
            <w:tcW w:w="774" w:type="dxa"/>
            <w:tcBorders>
              <w:top w:val="nil"/>
            </w:tcBorders>
            <w:noWrap w:val="0"/>
            <w:vAlign w:val="top"/>
          </w:tcPr>
          <w:p w14:paraId="688935E6">
            <w:pPr>
              <w:keepNext/>
              <w:spacing w:line="440" w:lineRule="exact"/>
              <w:rPr>
                <w:rFonts w:hint="eastAsia" w:ascii="宋体" w:hAnsi="宋体" w:cs="宋体"/>
                <w:color w:val="auto"/>
                <w:szCs w:val="21"/>
                <w:highlight w:val="none"/>
              </w:rPr>
            </w:pPr>
          </w:p>
        </w:tc>
        <w:tc>
          <w:tcPr>
            <w:tcW w:w="1352" w:type="dxa"/>
            <w:tcBorders>
              <w:top w:val="nil"/>
            </w:tcBorders>
            <w:noWrap w:val="0"/>
            <w:vAlign w:val="top"/>
          </w:tcPr>
          <w:p w14:paraId="0D9DCE00">
            <w:pPr>
              <w:keepNext/>
              <w:spacing w:line="440" w:lineRule="exact"/>
              <w:rPr>
                <w:rFonts w:hint="eastAsia" w:ascii="宋体" w:hAnsi="宋体" w:cs="宋体"/>
                <w:color w:val="auto"/>
                <w:szCs w:val="21"/>
                <w:highlight w:val="none"/>
              </w:rPr>
            </w:pPr>
          </w:p>
        </w:tc>
        <w:tc>
          <w:tcPr>
            <w:tcW w:w="1418" w:type="dxa"/>
            <w:tcBorders>
              <w:top w:val="nil"/>
            </w:tcBorders>
            <w:noWrap w:val="0"/>
            <w:vAlign w:val="top"/>
          </w:tcPr>
          <w:p w14:paraId="10CFA351">
            <w:pPr>
              <w:keepNext/>
              <w:spacing w:line="440" w:lineRule="exact"/>
              <w:rPr>
                <w:rFonts w:hint="eastAsia" w:ascii="宋体" w:hAnsi="宋体" w:cs="宋体"/>
                <w:color w:val="auto"/>
                <w:szCs w:val="21"/>
                <w:highlight w:val="none"/>
              </w:rPr>
            </w:pPr>
          </w:p>
        </w:tc>
        <w:tc>
          <w:tcPr>
            <w:tcW w:w="1701" w:type="dxa"/>
            <w:tcBorders>
              <w:top w:val="nil"/>
            </w:tcBorders>
            <w:noWrap w:val="0"/>
            <w:vAlign w:val="top"/>
          </w:tcPr>
          <w:p w14:paraId="24E2FF1A">
            <w:pPr>
              <w:keepNext/>
              <w:spacing w:line="440" w:lineRule="exact"/>
              <w:rPr>
                <w:rFonts w:hint="eastAsia" w:ascii="宋体" w:hAnsi="宋体" w:cs="宋体"/>
                <w:color w:val="auto"/>
                <w:szCs w:val="21"/>
                <w:highlight w:val="none"/>
              </w:rPr>
            </w:pPr>
          </w:p>
        </w:tc>
      </w:tr>
      <w:tr w14:paraId="47950F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7F5B55D">
            <w:pPr>
              <w:keepNext/>
              <w:spacing w:line="440" w:lineRule="exact"/>
              <w:rPr>
                <w:rFonts w:hint="eastAsia" w:ascii="宋体" w:hAnsi="宋体" w:cs="宋体"/>
                <w:color w:val="auto"/>
                <w:szCs w:val="21"/>
                <w:highlight w:val="none"/>
              </w:rPr>
            </w:pPr>
          </w:p>
        </w:tc>
        <w:tc>
          <w:tcPr>
            <w:tcW w:w="1984" w:type="dxa"/>
            <w:noWrap w:val="0"/>
            <w:vAlign w:val="top"/>
          </w:tcPr>
          <w:p w14:paraId="7B57592B">
            <w:pPr>
              <w:keepNext/>
              <w:spacing w:line="440" w:lineRule="exact"/>
              <w:rPr>
                <w:rFonts w:hint="eastAsia" w:ascii="宋体" w:hAnsi="宋体" w:cs="宋体"/>
                <w:color w:val="auto"/>
                <w:szCs w:val="21"/>
                <w:highlight w:val="none"/>
              </w:rPr>
            </w:pPr>
          </w:p>
        </w:tc>
        <w:tc>
          <w:tcPr>
            <w:tcW w:w="851" w:type="dxa"/>
            <w:noWrap w:val="0"/>
            <w:vAlign w:val="top"/>
          </w:tcPr>
          <w:p w14:paraId="2D117F74">
            <w:pPr>
              <w:keepNext/>
              <w:spacing w:line="440" w:lineRule="exact"/>
              <w:rPr>
                <w:rFonts w:hint="eastAsia" w:ascii="宋体" w:hAnsi="宋体" w:cs="宋体"/>
                <w:color w:val="auto"/>
                <w:szCs w:val="21"/>
                <w:highlight w:val="none"/>
              </w:rPr>
            </w:pPr>
          </w:p>
        </w:tc>
        <w:tc>
          <w:tcPr>
            <w:tcW w:w="774" w:type="dxa"/>
            <w:noWrap w:val="0"/>
            <w:vAlign w:val="top"/>
          </w:tcPr>
          <w:p w14:paraId="55C42457">
            <w:pPr>
              <w:keepNext/>
              <w:spacing w:line="440" w:lineRule="exact"/>
              <w:rPr>
                <w:rFonts w:hint="eastAsia" w:ascii="宋体" w:hAnsi="宋体" w:cs="宋体"/>
                <w:color w:val="auto"/>
                <w:szCs w:val="21"/>
                <w:highlight w:val="none"/>
              </w:rPr>
            </w:pPr>
          </w:p>
        </w:tc>
        <w:tc>
          <w:tcPr>
            <w:tcW w:w="1352" w:type="dxa"/>
            <w:noWrap w:val="0"/>
            <w:vAlign w:val="top"/>
          </w:tcPr>
          <w:p w14:paraId="0130C837">
            <w:pPr>
              <w:keepNext/>
              <w:spacing w:line="440" w:lineRule="exact"/>
              <w:rPr>
                <w:rFonts w:hint="eastAsia" w:ascii="宋体" w:hAnsi="宋体" w:cs="宋体"/>
                <w:color w:val="auto"/>
                <w:szCs w:val="21"/>
                <w:highlight w:val="none"/>
              </w:rPr>
            </w:pPr>
          </w:p>
        </w:tc>
        <w:tc>
          <w:tcPr>
            <w:tcW w:w="1418" w:type="dxa"/>
            <w:noWrap w:val="0"/>
            <w:vAlign w:val="top"/>
          </w:tcPr>
          <w:p w14:paraId="09DF89AC">
            <w:pPr>
              <w:keepNext/>
              <w:spacing w:line="440" w:lineRule="exact"/>
              <w:rPr>
                <w:rFonts w:hint="eastAsia" w:ascii="宋体" w:hAnsi="宋体" w:cs="宋体"/>
                <w:color w:val="auto"/>
                <w:szCs w:val="21"/>
                <w:highlight w:val="none"/>
              </w:rPr>
            </w:pPr>
          </w:p>
        </w:tc>
        <w:tc>
          <w:tcPr>
            <w:tcW w:w="1701" w:type="dxa"/>
            <w:noWrap w:val="0"/>
            <w:vAlign w:val="top"/>
          </w:tcPr>
          <w:p w14:paraId="03B027A5">
            <w:pPr>
              <w:keepNext/>
              <w:spacing w:line="440" w:lineRule="exact"/>
              <w:rPr>
                <w:rFonts w:hint="eastAsia" w:ascii="宋体" w:hAnsi="宋体" w:cs="宋体"/>
                <w:color w:val="auto"/>
                <w:szCs w:val="21"/>
                <w:highlight w:val="none"/>
              </w:rPr>
            </w:pPr>
          </w:p>
        </w:tc>
      </w:tr>
      <w:tr w14:paraId="4FA71A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5BB3237">
            <w:pPr>
              <w:keepNext/>
              <w:spacing w:line="440" w:lineRule="exact"/>
              <w:rPr>
                <w:rFonts w:hint="eastAsia" w:ascii="宋体" w:hAnsi="宋体" w:cs="宋体"/>
                <w:color w:val="auto"/>
                <w:szCs w:val="21"/>
                <w:highlight w:val="none"/>
              </w:rPr>
            </w:pPr>
          </w:p>
        </w:tc>
        <w:tc>
          <w:tcPr>
            <w:tcW w:w="1984" w:type="dxa"/>
            <w:noWrap w:val="0"/>
            <w:vAlign w:val="top"/>
          </w:tcPr>
          <w:p w14:paraId="0A7FE1F8">
            <w:pPr>
              <w:keepNext/>
              <w:spacing w:line="440" w:lineRule="exact"/>
              <w:rPr>
                <w:rFonts w:hint="eastAsia" w:ascii="宋体" w:hAnsi="宋体" w:cs="宋体"/>
                <w:color w:val="auto"/>
                <w:szCs w:val="21"/>
                <w:highlight w:val="none"/>
              </w:rPr>
            </w:pPr>
          </w:p>
        </w:tc>
        <w:tc>
          <w:tcPr>
            <w:tcW w:w="851" w:type="dxa"/>
            <w:noWrap w:val="0"/>
            <w:vAlign w:val="top"/>
          </w:tcPr>
          <w:p w14:paraId="77B42E8C">
            <w:pPr>
              <w:keepNext/>
              <w:spacing w:line="440" w:lineRule="exact"/>
              <w:rPr>
                <w:rFonts w:hint="eastAsia" w:ascii="宋体" w:hAnsi="宋体" w:cs="宋体"/>
                <w:color w:val="auto"/>
                <w:szCs w:val="21"/>
                <w:highlight w:val="none"/>
              </w:rPr>
            </w:pPr>
          </w:p>
        </w:tc>
        <w:tc>
          <w:tcPr>
            <w:tcW w:w="774" w:type="dxa"/>
            <w:noWrap w:val="0"/>
            <w:vAlign w:val="top"/>
          </w:tcPr>
          <w:p w14:paraId="6087BC21">
            <w:pPr>
              <w:keepNext/>
              <w:spacing w:line="440" w:lineRule="exact"/>
              <w:rPr>
                <w:rFonts w:hint="eastAsia" w:ascii="宋体" w:hAnsi="宋体" w:cs="宋体"/>
                <w:color w:val="auto"/>
                <w:szCs w:val="21"/>
                <w:highlight w:val="none"/>
              </w:rPr>
            </w:pPr>
          </w:p>
        </w:tc>
        <w:tc>
          <w:tcPr>
            <w:tcW w:w="1352" w:type="dxa"/>
            <w:noWrap w:val="0"/>
            <w:vAlign w:val="top"/>
          </w:tcPr>
          <w:p w14:paraId="12B6492A">
            <w:pPr>
              <w:keepNext/>
              <w:spacing w:line="440" w:lineRule="exact"/>
              <w:rPr>
                <w:rFonts w:hint="eastAsia" w:ascii="宋体" w:hAnsi="宋体" w:cs="宋体"/>
                <w:color w:val="auto"/>
                <w:szCs w:val="21"/>
                <w:highlight w:val="none"/>
              </w:rPr>
            </w:pPr>
          </w:p>
        </w:tc>
        <w:tc>
          <w:tcPr>
            <w:tcW w:w="1418" w:type="dxa"/>
            <w:noWrap w:val="0"/>
            <w:vAlign w:val="top"/>
          </w:tcPr>
          <w:p w14:paraId="2EF1D19B">
            <w:pPr>
              <w:keepNext/>
              <w:spacing w:line="440" w:lineRule="exact"/>
              <w:rPr>
                <w:rFonts w:hint="eastAsia" w:ascii="宋体" w:hAnsi="宋体" w:cs="宋体"/>
                <w:color w:val="auto"/>
                <w:szCs w:val="21"/>
                <w:highlight w:val="none"/>
              </w:rPr>
            </w:pPr>
          </w:p>
        </w:tc>
        <w:tc>
          <w:tcPr>
            <w:tcW w:w="1701" w:type="dxa"/>
            <w:noWrap w:val="0"/>
            <w:vAlign w:val="top"/>
          </w:tcPr>
          <w:p w14:paraId="1A452363">
            <w:pPr>
              <w:keepNext/>
              <w:spacing w:line="440" w:lineRule="exact"/>
              <w:rPr>
                <w:rFonts w:hint="eastAsia" w:ascii="宋体" w:hAnsi="宋体" w:cs="宋体"/>
                <w:color w:val="auto"/>
                <w:szCs w:val="21"/>
                <w:highlight w:val="none"/>
              </w:rPr>
            </w:pPr>
          </w:p>
        </w:tc>
      </w:tr>
      <w:tr w14:paraId="6483DC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bottom w:val="single" w:color="auto" w:sz="12" w:space="0"/>
            </w:tcBorders>
            <w:noWrap w:val="0"/>
            <w:vAlign w:val="top"/>
          </w:tcPr>
          <w:p w14:paraId="346D07B2">
            <w:pPr>
              <w:keepNext/>
              <w:spacing w:line="440" w:lineRule="exact"/>
              <w:rPr>
                <w:rFonts w:hint="eastAsia" w:ascii="宋体" w:hAnsi="宋体" w:cs="宋体"/>
                <w:color w:val="auto"/>
                <w:szCs w:val="21"/>
                <w:highlight w:val="none"/>
              </w:rPr>
            </w:pPr>
          </w:p>
        </w:tc>
        <w:tc>
          <w:tcPr>
            <w:tcW w:w="1984" w:type="dxa"/>
            <w:tcBorders>
              <w:bottom w:val="single" w:color="auto" w:sz="12" w:space="0"/>
            </w:tcBorders>
            <w:noWrap w:val="0"/>
            <w:vAlign w:val="top"/>
          </w:tcPr>
          <w:p w14:paraId="192BAC0B">
            <w:pPr>
              <w:keepNext/>
              <w:spacing w:line="440" w:lineRule="exact"/>
              <w:rPr>
                <w:rFonts w:hint="eastAsia" w:ascii="宋体" w:hAnsi="宋体" w:cs="宋体"/>
                <w:color w:val="auto"/>
                <w:szCs w:val="21"/>
                <w:highlight w:val="none"/>
              </w:rPr>
            </w:pPr>
          </w:p>
        </w:tc>
        <w:tc>
          <w:tcPr>
            <w:tcW w:w="851" w:type="dxa"/>
            <w:tcBorders>
              <w:bottom w:val="single" w:color="auto" w:sz="12" w:space="0"/>
            </w:tcBorders>
            <w:noWrap w:val="0"/>
            <w:vAlign w:val="top"/>
          </w:tcPr>
          <w:p w14:paraId="1F76DAC3">
            <w:pPr>
              <w:keepNext/>
              <w:spacing w:line="440" w:lineRule="exact"/>
              <w:rPr>
                <w:rFonts w:hint="eastAsia" w:ascii="宋体" w:hAnsi="宋体" w:cs="宋体"/>
                <w:color w:val="auto"/>
                <w:szCs w:val="21"/>
                <w:highlight w:val="none"/>
              </w:rPr>
            </w:pPr>
          </w:p>
        </w:tc>
        <w:tc>
          <w:tcPr>
            <w:tcW w:w="774" w:type="dxa"/>
            <w:tcBorders>
              <w:bottom w:val="single" w:color="auto" w:sz="12" w:space="0"/>
            </w:tcBorders>
            <w:noWrap w:val="0"/>
            <w:vAlign w:val="top"/>
          </w:tcPr>
          <w:p w14:paraId="2685BCB6">
            <w:pPr>
              <w:keepNext/>
              <w:spacing w:line="440" w:lineRule="exact"/>
              <w:rPr>
                <w:rFonts w:hint="eastAsia" w:ascii="宋体" w:hAnsi="宋体" w:cs="宋体"/>
                <w:color w:val="auto"/>
                <w:szCs w:val="21"/>
                <w:highlight w:val="none"/>
              </w:rPr>
            </w:pPr>
          </w:p>
        </w:tc>
        <w:tc>
          <w:tcPr>
            <w:tcW w:w="1352" w:type="dxa"/>
            <w:tcBorders>
              <w:bottom w:val="single" w:color="auto" w:sz="12" w:space="0"/>
            </w:tcBorders>
            <w:noWrap w:val="0"/>
            <w:vAlign w:val="top"/>
          </w:tcPr>
          <w:p w14:paraId="7CE8B7EB">
            <w:pPr>
              <w:keepNext/>
              <w:spacing w:line="440" w:lineRule="exact"/>
              <w:rPr>
                <w:rFonts w:hint="eastAsia" w:ascii="宋体" w:hAnsi="宋体" w:cs="宋体"/>
                <w:color w:val="auto"/>
                <w:szCs w:val="21"/>
                <w:highlight w:val="none"/>
              </w:rPr>
            </w:pPr>
          </w:p>
        </w:tc>
        <w:tc>
          <w:tcPr>
            <w:tcW w:w="1418" w:type="dxa"/>
            <w:tcBorders>
              <w:bottom w:val="single" w:color="auto" w:sz="12" w:space="0"/>
            </w:tcBorders>
            <w:noWrap w:val="0"/>
            <w:vAlign w:val="top"/>
          </w:tcPr>
          <w:p w14:paraId="575A647D">
            <w:pPr>
              <w:keepNext/>
              <w:spacing w:line="440" w:lineRule="exact"/>
              <w:rPr>
                <w:rFonts w:hint="eastAsia" w:ascii="宋体" w:hAnsi="宋体" w:cs="宋体"/>
                <w:color w:val="auto"/>
                <w:szCs w:val="21"/>
                <w:highlight w:val="none"/>
              </w:rPr>
            </w:pPr>
          </w:p>
        </w:tc>
        <w:tc>
          <w:tcPr>
            <w:tcW w:w="1701" w:type="dxa"/>
            <w:tcBorders>
              <w:bottom w:val="single" w:color="auto" w:sz="12" w:space="0"/>
            </w:tcBorders>
            <w:noWrap w:val="0"/>
            <w:vAlign w:val="top"/>
          </w:tcPr>
          <w:p w14:paraId="46A616E8">
            <w:pPr>
              <w:keepNext/>
              <w:spacing w:line="440" w:lineRule="exact"/>
              <w:rPr>
                <w:rFonts w:hint="eastAsia" w:ascii="宋体" w:hAnsi="宋体" w:cs="宋体"/>
                <w:color w:val="auto"/>
                <w:szCs w:val="21"/>
                <w:highlight w:val="none"/>
              </w:rPr>
            </w:pPr>
          </w:p>
        </w:tc>
      </w:tr>
    </w:tbl>
    <w:p w14:paraId="4DB44EC6">
      <w:pPr>
        <w:spacing w:before="120" w:beforeLines="50" w:after="120" w:afterLines="50" w:line="440" w:lineRule="exact"/>
        <w:rPr>
          <w:rFonts w:hint="eastAsia" w:ascii="宋体" w:hAnsi="宋体" w:cs="宋体"/>
          <w:color w:val="auto"/>
          <w:szCs w:val="21"/>
          <w:highlight w:val="none"/>
        </w:rPr>
      </w:pPr>
    </w:p>
    <w:p w14:paraId="3D89E262">
      <w:pPr>
        <w:spacing w:before="120" w:beforeLines="50" w:after="120"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12-2：工程设备暂估价表</w:t>
      </w:r>
    </w:p>
    <w:tbl>
      <w:tblPr>
        <w:tblStyle w:val="20"/>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7D9E09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715B1828">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984" w:type="dxa"/>
            <w:tcBorders>
              <w:top w:val="single" w:color="auto" w:sz="12" w:space="0"/>
              <w:bottom w:val="double" w:color="auto" w:sz="6" w:space="0"/>
            </w:tcBorders>
            <w:noWrap w:val="0"/>
            <w:vAlign w:val="top"/>
          </w:tcPr>
          <w:p w14:paraId="709DC589">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名称</w:t>
            </w:r>
          </w:p>
        </w:tc>
        <w:tc>
          <w:tcPr>
            <w:tcW w:w="851" w:type="dxa"/>
            <w:tcBorders>
              <w:top w:val="single" w:color="auto" w:sz="12" w:space="0"/>
              <w:bottom w:val="double" w:color="auto" w:sz="6" w:space="0"/>
            </w:tcBorders>
            <w:noWrap w:val="0"/>
            <w:vAlign w:val="top"/>
          </w:tcPr>
          <w:p w14:paraId="54E245BB">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774" w:type="dxa"/>
            <w:tcBorders>
              <w:top w:val="single" w:color="auto" w:sz="12" w:space="0"/>
              <w:bottom w:val="double" w:color="auto" w:sz="6" w:space="0"/>
            </w:tcBorders>
            <w:noWrap w:val="0"/>
            <w:vAlign w:val="top"/>
          </w:tcPr>
          <w:p w14:paraId="3C0CE486">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1352" w:type="dxa"/>
            <w:tcBorders>
              <w:top w:val="single" w:color="auto" w:sz="12" w:space="0"/>
              <w:bottom w:val="double" w:color="auto" w:sz="6" w:space="0"/>
            </w:tcBorders>
            <w:noWrap w:val="0"/>
            <w:vAlign w:val="top"/>
          </w:tcPr>
          <w:p w14:paraId="73A42808">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单价（元）</w:t>
            </w:r>
          </w:p>
        </w:tc>
        <w:tc>
          <w:tcPr>
            <w:tcW w:w="1418" w:type="dxa"/>
            <w:tcBorders>
              <w:top w:val="single" w:color="auto" w:sz="12" w:space="0"/>
              <w:bottom w:val="double" w:color="auto" w:sz="6" w:space="0"/>
            </w:tcBorders>
            <w:noWrap w:val="0"/>
            <w:vAlign w:val="top"/>
          </w:tcPr>
          <w:p w14:paraId="65156736">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合价（元）</w:t>
            </w:r>
          </w:p>
        </w:tc>
        <w:tc>
          <w:tcPr>
            <w:tcW w:w="1701" w:type="dxa"/>
            <w:tcBorders>
              <w:top w:val="single" w:color="auto" w:sz="12" w:space="0"/>
              <w:bottom w:val="double" w:color="auto" w:sz="6" w:space="0"/>
            </w:tcBorders>
            <w:noWrap w:val="0"/>
            <w:vAlign w:val="top"/>
          </w:tcPr>
          <w:p w14:paraId="79CBF605">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备注</w:t>
            </w:r>
          </w:p>
        </w:tc>
      </w:tr>
      <w:tr w14:paraId="46724A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tcBorders>
            <w:noWrap w:val="0"/>
            <w:vAlign w:val="top"/>
          </w:tcPr>
          <w:p w14:paraId="647E257A">
            <w:pPr>
              <w:keepNext/>
              <w:spacing w:line="440" w:lineRule="exact"/>
              <w:rPr>
                <w:rFonts w:hint="eastAsia" w:ascii="宋体" w:hAnsi="宋体" w:cs="宋体"/>
                <w:color w:val="auto"/>
                <w:szCs w:val="21"/>
                <w:highlight w:val="none"/>
              </w:rPr>
            </w:pPr>
          </w:p>
        </w:tc>
        <w:tc>
          <w:tcPr>
            <w:tcW w:w="1984" w:type="dxa"/>
            <w:tcBorders>
              <w:top w:val="double" w:color="auto" w:sz="6" w:space="0"/>
            </w:tcBorders>
            <w:noWrap w:val="0"/>
            <w:vAlign w:val="top"/>
          </w:tcPr>
          <w:p w14:paraId="1D5DA816">
            <w:pPr>
              <w:keepNext/>
              <w:spacing w:line="440" w:lineRule="exact"/>
              <w:rPr>
                <w:rFonts w:hint="eastAsia" w:ascii="宋体" w:hAnsi="宋体" w:cs="宋体"/>
                <w:color w:val="auto"/>
                <w:szCs w:val="21"/>
                <w:highlight w:val="none"/>
              </w:rPr>
            </w:pPr>
          </w:p>
        </w:tc>
        <w:tc>
          <w:tcPr>
            <w:tcW w:w="851" w:type="dxa"/>
            <w:tcBorders>
              <w:top w:val="double" w:color="auto" w:sz="6" w:space="0"/>
            </w:tcBorders>
            <w:noWrap w:val="0"/>
            <w:vAlign w:val="top"/>
          </w:tcPr>
          <w:p w14:paraId="178A26CA">
            <w:pPr>
              <w:keepNext/>
              <w:spacing w:line="440" w:lineRule="exact"/>
              <w:rPr>
                <w:rFonts w:hint="eastAsia" w:ascii="宋体" w:hAnsi="宋体" w:cs="宋体"/>
                <w:color w:val="auto"/>
                <w:szCs w:val="21"/>
                <w:highlight w:val="none"/>
              </w:rPr>
            </w:pPr>
          </w:p>
        </w:tc>
        <w:tc>
          <w:tcPr>
            <w:tcW w:w="774" w:type="dxa"/>
            <w:tcBorders>
              <w:top w:val="double" w:color="auto" w:sz="6" w:space="0"/>
            </w:tcBorders>
            <w:noWrap w:val="0"/>
            <w:vAlign w:val="top"/>
          </w:tcPr>
          <w:p w14:paraId="41FB6158">
            <w:pPr>
              <w:keepNext/>
              <w:spacing w:line="440" w:lineRule="exact"/>
              <w:rPr>
                <w:rFonts w:hint="eastAsia" w:ascii="宋体" w:hAnsi="宋体" w:cs="宋体"/>
                <w:color w:val="auto"/>
                <w:szCs w:val="21"/>
                <w:highlight w:val="none"/>
              </w:rPr>
            </w:pPr>
          </w:p>
        </w:tc>
        <w:tc>
          <w:tcPr>
            <w:tcW w:w="1352" w:type="dxa"/>
            <w:tcBorders>
              <w:top w:val="double" w:color="auto" w:sz="6" w:space="0"/>
            </w:tcBorders>
            <w:noWrap w:val="0"/>
            <w:vAlign w:val="top"/>
          </w:tcPr>
          <w:p w14:paraId="58B906B7">
            <w:pPr>
              <w:keepNext/>
              <w:spacing w:line="440" w:lineRule="exact"/>
              <w:rPr>
                <w:rFonts w:hint="eastAsia" w:ascii="宋体" w:hAnsi="宋体" w:cs="宋体"/>
                <w:color w:val="auto"/>
                <w:szCs w:val="21"/>
                <w:highlight w:val="none"/>
              </w:rPr>
            </w:pPr>
          </w:p>
        </w:tc>
        <w:tc>
          <w:tcPr>
            <w:tcW w:w="1418" w:type="dxa"/>
            <w:tcBorders>
              <w:top w:val="double" w:color="auto" w:sz="6" w:space="0"/>
            </w:tcBorders>
            <w:noWrap w:val="0"/>
            <w:vAlign w:val="top"/>
          </w:tcPr>
          <w:p w14:paraId="0B51D1D6">
            <w:pPr>
              <w:keepNext/>
              <w:spacing w:line="440" w:lineRule="exact"/>
              <w:rPr>
                <w:rFonts w:hint="eastAsia" w:ascii="宋体" w:hAnsi="宋体" w:cs="宋体"/>
                <w:color w:val="auto"/>
                <w:szCs w:val="21"/>
                <w:highlight w:val="none"/>
              </w:rPr>
            </w:pPr>
          </w:p>
        </w:tc>
        <w:tc>
          <w:tcPr>
            <w:tcW w:w="1701" w:type="dxa"/>
            <w:tcBorders>
              <w:top w:val="double" w:color="auto" w:sz="6" w:space="0"/>
            </w:tcBorders>
            <w:noWrap w:val="0"/>
            <w:vAlign w:val="top"/>
          </w:tcPr>
          <w:p w14:paraId="53F48C8A">
            <w:pPr>
              <w:keepNext/>
              <w:spacing w:line="440" w:lineRule="exact"/>
              <w:rPr>
                <w:rFonts w:hint="eastAsia" w:ascii="宋体" w:hAnsi="宋体" w:cs="宋体"/>
                <w:color w:val="auto"/>
                <w:szCs w:val="21"/>
                <w:highlight w:val="none"/>
              </w:rPr>
            </w:pPr>
          </w:p>
        </w:tc>
      </w:tr>
      <w:tr w14:paraId="1982CF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5A793980">
            <w:pPr>
              <w:keepNext/>
              <w:spacing w:line="440" w:lineRule="exact"/>
              <w:rPr>
                <w:rFonts w:hint="eastAsia" w:ascii="宋体" w:hAnsi="宋体" w:cs="宋体"/>
                <w:color w:val="auto"/>
                <w:szCs w:val="21"/>
                <w:highlight w:val="none"/>
              </w:rPr>
            </w:pPr>
          </w:p>
        </w:tc>
        <w:tc>
          <w:tcPr>
            <w:tcW w:w="1984" w:type="dxa"/>
            <w:tcBorders>
              <w:top w:val="nil"/>
            </w:tcBorders>
            <w:noWrap w:val="0"/>
            <w:vAlign w:val="top"/>
          </w:tcPr>
          <w:p w14:paraId="502179ED">
            <w:pPr>
              <w:keepNext/>
              <w:spacing w:line="440" w:lineRule="exact"/>
              <w:rPr>
                <w:rFonts w:hint="eastAsia" w:ascii="宋体" w:hAnsi="宋体" w:cs="宋体"/>
                <w:color w:val="auto"/>
                <w:szCs w:val="21"/>
                <w:highlight w:val="none"/>
              </w:rPr>
            </w:pPr>
          </w:p>
        </w:tc>
        <w:tc>
          <w:tcPr>
            <w:tcW w:w="851" w:type="dxa"/>
            <w:tcBorders>
              <w:top w:val="nil"/>
            </w:tcBorders>
            <w:noWrap w:val="0"/>
            <w:vAlign w:val="top"/>
          </w:tcPr>
          <w:p w14:paraId="551E5A95">
            <w:pPr>
              <w:keepNext/>
              <w:spacing w:line="440" w:lineRule="exact"/>
              <w:rPr>
                <w:rFonts w:hint="eastAsia" w:ascii="宋体" w:hAnsi="宋体" w:cs="宋体"/>
                <w:color w:val="auto"/>
                <w:szCs w:val="21"/>
                <w:highlight w:val="none"/>
              </w:rPr>
            </w:pPr>
          </w:p>
        </w:tc>
        <w:tc>
          <w:tcPr>
            <w:tcW w:w="774" w:type="dxa"/>
            <w:tcBorders>
              <w:top w:val="nil"/>
            </w:tcBorders>
            <w:noWrap w:val="0"/>
            <w:vAlign w:val="top"/>
          </w:tcPr>
          <w:p w14:paraId="0F61649E">
            <w:pPr>
              <w:keepNext/>
              <w:spacing w:line="440" w:lineRule="exact"/>
              <w:rPr>
                <w:rFonts w:hint="eastAsia" w:ascii="宋体" w:hAnsi="宋体" w:cs="宋体"/>
                <w:color w:val="auto"/>
                <w:szCs w:val="21"/>
                <w:highlight w:val="none"/>
              </w:rPr>
            </w:pPr>
          </w:p>
        </w:tc>
        <w:tc>
          <w:tcPr>
            <w:tcW w:w="1352" w:type="dxa"/>
            <w:tcBorders>
              <w:top w:val="nil"/>
            </w:tcBorders>
            <w:noWrap w:val="0"/>
            <w:vAlign w:val="top"/>
          </w:tcPr>
          <w:p w14:paraId="1ADDFE91">
            <w:pPr>
              <w:keepNext/>
              <w:spacing w:line="440" w:lineRule="exact"/>
              <w:rPr>
                <w:rFonts w:hint="eastAsia" w:ascii="宋体" w:hAnsi="宋体" w:cs="宋体"/>
                <w:color w:val="auto"/>
                <w:szCs w:val="21"/>
                <w:highlight w:val="none"/>
              </w:rPr>
            </w:pPr>
          </w:p>
        </w:tc>
        <w:tc>
          <w:tcPr>
            <w:tcW w:w="1418" w:type="dxa"/>
            <w:tcBorders>
              <w:top w:val="nil"/>
            </w:tcBorders>
            <w:noWrap w:val="0"/>
            <w:vAlign w:val="top"/>
          </w:tcPr>
          <w:p w14:paraId="2B1C1D70">
            <w:pPr>
              <w:keepNext/>
              <w:spacing w:line="440" w:lineRule="exact"/>
              <w:rPr>
                <w:rFonts w:hint="eastAsia" w:ascii="宋体" w:hAnsi="宋体" w:cs="宋体"/>
                <w:color w:val="auto"/>
                <w:szCs w:val="21"/>
                <w:highlight w:val="none"/>
              </w:rPr>
            </w:pPr>
          </w:p>
        </w:tc>
        <w:tc>
          <w:tcPr>
            <w:tcW w:w="1701" w:type="dxa"/>
            <w:tcBorders>
              <w:top w:val="nil"/>
            </w:tcBorders>
            <w:noWrap w:val="0"/>
            <w:vAlign w:val="top"/>
          </w:tcPr>
          <w:p w14:paraId="70FF2557">
            <w:pPr>
              <w:keepNext/>
              <w:spacing w:line="440" w:lineRule="exact"/>
              <w:rPr>
                <w:rFonts w:hint="eastAsia" w:ascii="宋体" w:hAnsi="宋体" w:cs="宋体"/>
                <w:color w:val="auto"/>
                <w:szCs w:val="21"/>
                <w:highlight w:val="none"/>
              </w:rPr>
            </w:pPr>
          </w:p>
        </w:tc>
      </w:tr>
      <w:tr w14:paraId="0FF31A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A21B49E">
            <w:pPr>
              <w:keepNext/>
              <w:spacing w:line="440" w:lineRule="exact"/>
              <w:rPr>
                <w:rFonts w:hint="eastAsia" w:ascii="宋体" w:hAnsi="宋体" w:cs="宋体"/>
                <w:color w:val="auto"/>
                <w:szCs w:val="21"/>
                <w:highlight w:val="none"/>
              </w:rPr>
            </w:pPr>
          </w:p>
        </w:tc>
        <w:tc>
          <w:tcPr>
            <w:tcW w:w="1984" w:type="dxa"/>
            <w:noWrap w:val="0"/>
            <w:vAlign w:val="top"/>
          </w:tcPr>
          <w:p w14:paraId="1D3D0E50">
            <w:pPr>
              <w:keepNext/>
              <w:spacing w:line="440" w:lineRule="exact"/>
              <w:rPr>
                <w:rFonts w:hint="eastAsia" w:ascii="宋体" w:hAnsi="宋体" w:cs="宋体"/>
                <w:color w:val="auto"/>
                <w:szCs w:val="21"/>
                <w:highlight w:val="none"/>
              </w:rPr>
            </w:pPr>
          </w:p>
        </w:tc>
        <w:tc>
          <w:tcPr>
            <w:tcW w:w="851" w:type="dxa"/>
            <w:noWrap w:val="0"/>
            <w:vAlign w:val="top"/>
          </w:tcPr>
          <w:p w14:paraId="46352D2B">
            <w:pPr>
              <w:keepNext/>
              <w:spacing w:line="440" w:lineRule="exact"/>
              <w:rPr>
                <w:rFonts w:hint="eastAsia" w:ascii="宋体" w:hAnsi="宋体" w:cs="宋体"/>
                <w:color w:val="auto"/>
                <w:szCs w:val="21"/>
                <w:highlight w:val="none"/>
              </w:rPr>
            </w:pPr>
          </w:p>
        </w:tc>
        <w:tc>
          <w:tcPr>
            <w:tcW w:w="774" w:type="dxa"/>
            <w:noWrap w:val="0"/>
            <w:vAlign w:val="top"/>
          </w:tcPr>
          <w:p w14:paraId="3A0A44FB">
            <w:pPr>
              <w:keepNext/>
              <w:spacing w:line="440" w:lineRule="exact"/>
              <w:rPr>
                <w:rFonts w:hint="eastAsia" w:ascii="宋体" w:hAnsi="宋体" w:cs="宋体"/>
                <w:color w:val="auto"/>
                <w:szCs w:val="21"/>
                <w:highlight w:val="none"/>
              </w:rPr>
            </w:pPr>
          </w:p>
        </w:tc>
        <w:tc>
          <w:tcPr>
            <w:tcW w:w="1352" w:type="dxa"/>
            <w:noWrap w:val="0"/>
            <w:vAlign w:val="top"/>
          </w:tcPr>
          <w:p w14:paraId="28B0122E">
            <w:pPr>
              <w:keepNext/>
              <w:spacing w:line="440" w:lineRule="exact"/>
              <w:rPr>
                <w:rFonts w:hint="eastAsia" w:ascii="宋体" w:hAnsi="宋体" w:cs="宋体"/>
                <w:color w:val="auto"/>
                <w:szCs w:val="21"/>
                <w:highlight w:val="none"/>
              </w:rPr>
            </w:pPr>
          </w:p>
        </w:tc>
        <w:tc>
          <w:tcPr>
            <w:tcW w:w="1418" w:type="dxa"/>
            <w:noWrap w:val="0"/>
            <w:vAlign w:val="top"/>
          </w:tcPr>
          <w:p w14:paraId="07A03315">
            <w:pPr>
              <w:keepNext/>
              <w:spacing w:line="440" w:lineRule="exact"/>
              <w:rPr>
                <w:rFonts w:hint="eastAsia" w:ascii="宋体" w:hAnsi="宋体" w:cs="宋体"/>
                <w:color w:val="auto"/>
                <w:szCs w:val="21"/>
                <w:highlight w:val="none"/>
              </w:rPr>
            </w:pPr>
          </w:p>
        </w:tc>
        <w:tc>
          <w:tcPr>
            <w:tcW w:w="1701" w:type="dxa"/>
            <w:noWrap w:val="0"/>
            <w:vAlign w:val="top"/>
          </w:tcPr>
          <w:p w14:paraId="0A637034">
            <w:pPr>
              <w:keepNext/>
              <w:spacing w:line="440" w:lineRule="exact"/>
              <w:rPr>
                <w:rFonts w:hint="eastAsia" w:ascii="宋体" w:hAnsi="宋体" w:cs="宋体"/>
                <w:color w:val="auto"/>
                <w:szCs w:val="21"/>
                <w:highlight w:val="none"/>
              </w:rPr>
            </w:pPr>
          </w:p>
        </w:tc>
      </w:tr>
      <w:tr w14:paraId="0AC28A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bottom w:val="single" w:color="auto" w:sz="12" w:space="0"/>
            </w:tcBorders>
            <w:noWrap w:val="0"/>
            <w:vAlign w:val="top"/>
          </w:tcPr>
          <w:p w14:paraId="03CBB1A4">
            <w:pPr>
              <w:keepNext/>
              <w:spacing w:line="440" w:lineRule="exact"/>
              <w:rPr>
                <w:rFonts w:hint="eastAsia" w:ascii="宋体" w:hAnsi="宋体" w:cs="宋体"/>
                <w:color w:val="auto"/>
                <w:szCs w:val="21"/>
                <w:highlight w:val="none"/>
              </w:rPr>
            </w:pPr>
          </w:p>
        </w:tc>
        <w:tc>
          <w:tcPr>
            <w:tcW w:w="1984" w:type="dxa"/>
            <w:tcBorders>
              <w:bottom w:val="single" w:color="auto" w:sz="12" w:space="0"/>
            </w:tcBorders>
            <w:noWrap w:val="0"/>
            <w:vAlign w:val="top"/>
          </w:tcPr>
          <w:p w14:paraId="1E39A9E5">
            <w:pPr>
              <w:keepNext/>
              <w:spacing w:line="440" w:lineRule="exact"/>
              <w:rPr>
                <w:rFonts w:hint="eastAsia" w:ascii="宋体" w:hAnsi="宋体" w:cs="宋体"/>
                <w:color w:val="auto"/>
                <w:szCs w:val="21"/>
                <w:highlight w:val="none"/>
              </w:rPr>
            </w:pPr>
          </w:p>
        </w:tc>
        <w:tc>
          <w:tcPr>
            <w:tcW w:w="851" w:type="dxa"/>
            <w:tcBorders>
              <w:bottom w:val="single" w:color="auto" w:sz="12" w:space="0"/>
            </w:tcBorders>
            <w:noWrap w:val="0"/>
            <w:vAlign w:val="top"/>
          </w:tcPr>
          <w:p w14:paraId="3736A0C1">
            <w:pPr>
              <w:keepNext/>
              <w:spacing w:line="440" w:lineRule="exact"/>
              <w:rPr>
                <w:rFonts w:hint="eastAsia" w:ascii="宋体" w:hAnsi="宋体" w:cs="宋体"/>
                <w:color w:val="auto"/>
                <w:szCs w:val="21"/>
                <w:highlight w:val="none"/>
              </w:rPr>
            </w:pPr>
          </w:p>
        </w:tc>
        <w:tc>
          <w:tcPr>
            <w:tcW w:w="774" w:type="dxa"/>
            <w:tcBorders>
              <w:bottom w:val="single" w:color="auto" w:sz="12" w:space="0"/>
            </w:tcBorders>
            <w:noWrap w:val="0"/>
            <w:vAlign w:val="top"/>
          </w:tcPr>
          <w:p w14:paraId="7CF56FB5">
            <w:pPr>
              <w:keepNext/>
              <w:spacing w:line="440" w:lineRule="exact"/>
              <w:rPr>
                <w:rFonts w:hint="eastAsia" w:ascii="宋体" w:hAnsi="宋体" w:cs="宋体"/>
                <w:color w:val="auto"/>
                <w:szCs w:val="21"/>
                <w:highlight w:val="none"/>
              </w:rPr>
            </w:pPr>
          </w:p>
        </w:tc>
        <w:tc>
          <w:tcPr>
            <w:tcW w:w="1352" w:type="dxa"/>
            <w:tcBorders>
              <w:bottom w:val="single" w:color="auto" w:sz="12" w:space="0"/>
            </w:tcBorders>
            <w:noWrap w:val="0"/>
            <w:vAlign w:val="top"/>
          </w:tcPr>
          <w:p w14:paraId="0EEDFA0F">
            <w:pPr>
              <w:keepNext/>
              <w:spacing w:line="440" w:lineRule="exact"/>
              <w:rPr>
                <w:rFonts w:hint="eastAsia" w:ascii="宋体" w:hAnsi="宋体" w:cs="宋体"/>
                <w:color w:val="auto"/>
                <w:szCs w:val="21"/>
                <w:highlight w:val="none"/>
              </w:rPr>
            </w:pPr>
          </w:p>
        </w:tc>
        <w:tc>
          <w:tcPr>
            <w:tcW w:w="1418" w:type="dxa"/>
            <w:tcBorders>
              <w:bottom w:val="single" w:color="auto" w:sz="12" w:space="0"/>
            </w:tcBorders>
            <w:noWrap w:val="0"/>
            <w:vAlign w:val="top"/>
          </w:tcPr>
          <w:p w14:paraId="4B257135">
            <w:pPr>
              <w:keepNext/>
              <w:spacing w:line="440" w:lineRule="exact"/>
              <w:rPr>
                <w:rFonts w:hint="eastAsia" w:ascii="宋体" w:hAnsi="宋体" w:cs="宋体"/>
                <w:color w:val="auto"/>
                <w:szCs w:val="21"/>
                <w:highlight w:val="none"/>
              </w:rPr>
            </w:pPr>
          </w:p>
        </w:tc>
        <w:tc>
          <w:tcPr>
            <w:tcW w:w="1701" w:type="dxa"/>
            <w:tcBorders>
              <w:bottom w:val="single" w:color="auto" w:sz="12" w:space="0"/>
            </w:tcBorders>
            <w:noWrap w:val="0"/>
            <w:vAlign w:val="top"/>
          </w:tcPr>
          <w:p w14:paraId="6289E3AB">
            <w:pPr>
              <w:keepNext/>
              <w:spacing w:line="440" w:lineRule="exact"/>
              <w:rPr>
                <w:rFonts w:hint="eastAsia" w:ascii="宋体" w:hAnsi="宋体" w:cs="宋体"/>
                <w:color w:val="auto"/>
                <w:szCs w:val="21"/>
                <w:highlight w:val="none"/>
              </w:rPr>
            </w:pPr>
          </w:p>
        </w:tc>
      </w:tr>
    </w:tbl>
    <w:p w14:paraId="318E95EA">
      <w:pPr>
        <w:spacing w:line="440" w:lineRule="exact"/>
        <w:rPr>
          <w:rFonts w:hint="eastAsia" w:ascii="宋体" w:hAnsi="宋体" w:cs="宋体"/>
          <w:color w:val="auto"/>
          <w:szCs w:val="21"/>
          <w:highlight w:val="none"/>
        </w:rPr>
      </w:pPr>
    </w:p>
    <w:p w14:paraId="1E89A510">
      <w:pPr>
        <w:spacing w:before="120" w:beforeLines="50" w:after="120"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12-3：专业工程暂估价表</w:t>
      </w:r>
    </w:p>
    <w:tbl>
      <w:tblPr>
        <w:tblStyle w:val="20"/>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5D890B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50750D62">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984" w:type="dxa"/>
            <w:tcBorders>
              <w:top w:val="single" w:color="auto" w:sz="12" w:space="0"/>
              <w:bottom w:val="double" w:color="auto" w:sz="6" w:space="0"/>
            </w:tcBorders>
            <w:noWrap w:val="0"/>
            <w:vAlign w:val="top"/>
          </w:tcPr>
          <w:p w14:paraId="64E5546E">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名称</w:t>
            </w:r>
          </w:p>
        </w:tc>
        <w:tc>
          <w:tcPr>
            <w:tcW w:w="851" w:type="dxa"/>
            <w:tcBorders>
              <w:top w:val="single" w:color="auto" w:sz="12" w:space="0"/>
              <w:bottom w:val="double" w:color="auto" w:sz="6" w:space="0"/>
            </w:tcBorders>
            <w:noWrap w:val="0"/>
            <w:vAlign w:val="top"/>
          </w:tcPr>
          <w:p w14:paraId="262CDBF1">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774" w:type="dxa"/>
            <w:tcBorders>
              <w:top w:val="single" w:color="auto" w:sz="12" w:space="0"/>
              <w:bottom w:val="double" w:color="auto" w:sz="6" w:space="0"/>
            </w:tcBorders>
            <w:noWrap w:val="0"/>
            <w:vAlign w:val="top"/>
          </w:tcPr>
          <w:p w14:paraId="3906C033">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1352" w:type="dxa"/>
            <w:tcBorders>
              <w:top w:val="single" w:color="auto" w:sz="12" w:space="0"/>
              <w:bottom w:val="double" w:color="auto" w:sz="6" w:space="0"/>
            </w:tcBorders>
            <w:noWrap w:val="0"/>
            <w:vAlign w:val="top"/>
          </w:tcPr>
          <w:p w14:paraId="643E0E99">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单价（元）</w:t>
            </w:r>
          </w:p>
        </w:tc>
        <w:tc>
          <w:tcPr>
            <w:tcW w:w="1418" w:type="dxa"/>
            <w:tcBorders>
              <w:top w:val="single" w:color="auto" w:sz="12" w:space="0"/>
              <w:bottom w:val="double" w:color="auto" w:sz="6" w:space="0"/>
            </w:tcBorders>
            <w:noWrap w:val="0"/>
            <w:vAlign w:val="top"/>
          </w:tcPr>
          <w:p w14:paraId="0279F1BD">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合价（元）</w:t>
            </w:r>
          </w:p>
        </w:tc>
        <w:tc>
          <w:tcPr>
            <w:tcW w:w="1701" w:type="dxa"/>
            <w:tcBorders>
              <w:top w:val="single" w:color="auto" w:sz="12" w:space="0"/>
              <w:bottom w:val="double" w:color="auto" w:sz="6" w:space="0"/>
            </w:tcBorders>
            <w:noWrap w:val="0"/>
            <w:vAlign w:val="top"/>
          </w:tcPr>
          <w:p w14:paraId="49CECA8C">
            <w:pPr>
              <w:keepNext/>
              <w:spacing w:line="440" w:lineRule="exact"/>
              <w:rPr>
                <w:rFonts w:hint="eastAsia" w:ascii="宋体" w:hAnsi="宋体" w:cs="宋体"/>
                <w:color w:val="auto"/>
                <w:szCs w:val="21"/>
                <w:highlight w:val="none"/>
              </w:rPr>
            </w:pPr>
            <w:r>
              <w:rPr>
                <w:rFonts w:hint="eastAsia" w:ascii="宋体" w:hAnsi="宋体" w:cs="宋体"/>
                <w:color w:val="auto"/>
                <w:szCs w:val="21"/>
                <w:highlight w:val="none"/>
              </w:rPr>
              <w:t>备注</w:t>
            </w:r>
          </w:p>
        </w:tc>
      </w:tr>
      <w:tr w14:paraId="2693CF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tcBorders>
            <w:noWrap w:val="0"/>
            <w:vAlign w:val="top"/>
          </w:tcPr>
          <w:p w14:paraId="2D28CEFC">
            <w:pPr>
              <w:keepNext/>
              <w:spacing w:line="440" w:lineRule="exact"/>
              <w:rPr>
                <w:rFonts w:hint="eastAsia" w:ascii="宋体" w:hAnsi="宋体" w:cs="宋体"/>
                <w:color w:val="auto"/>
                <w:szCs w:val="21"/>
                <w:highlight w:val="none"/>
              </w:rPr>
            </w:pPr>
          </w:p>
        </w:tc>
        <w:tc>
          <w:tcPr>
            <w:tcW w:w="1984" w:type="dxa"/>
            <w:tcBorders>
              <w:top w:val="double" w:color="auto" w:sz="6" w:space="0"/>
            </w:tcBorders>
            <w:noWrap w:val="0"/>
            <w:vAlign w:val="top"/>
          </w:tcPr>
          <w:p w14:paraId="4115400B">
            <w:pPr>
              <w:keepNext/>
              <w:spacing w:line="440" w:lineRule="exact"/>
              <w:rPr>
                <w:rFonts w:hint="eastAsia" w:ascii="宋体" w:hAnsi="宋体" w:cs="宋体"/>
                <w:color w:val="auto"/>
                <w:szCs w:val="21"/>
                <w:highlight w:val="none"/>
              </w:rPr>
            </w:pPr>
          </w:p>
        </w:tc>
        <w:tc>
          <w:tcPr>
            <w:tcW w:w="851" w:type="dxa"/>
            <w:tcBorders>
              <w:top w:val="double" w:color="auto" w:sz="6" w:space="0"/>
            </w:tcBorders>
            <w:noWrap w:val="0"/>
            <w:vAlign w:val="top"/>
          </w:tcPr>
          <w:p w14:paraId="76DAA1EC">
            <w:pPr>
              <w:keepNext/>
              <w:spacing w:line="440" w:lineRule="exact"/>
              <w:rPr>
                <w:rFonts w:hint="eastAsia" w:ascii="宋体" w:hAnsi="宋体" w:cs="宋体"/>
                <w:color w:val="auto"/>
                <w:szCs w:val="21"/>
                <w:highlight w:val="none"/>
              </w:rPr>
            </w:pPr>
          </w:p>
        </w:tc>
        <w:tc>
          <w:tcPr>
            <w:tcW w:w="774" w:type="dxa"/>
            <w:tcBorders>
              <w:top w:val="double" w:color="auto" w:sz="6" w:space="0"/>
            </w:tcBorders>
            <w:noWrap w:val="0"/>
            <w:vAlign w:val="top"/>
          </w:tcPr>
          <w:p w14:paraId="2A09DC0E">
            <w:pPr>
              <w:keepNext/>
              <w:spacing w:line="440" w:lineRule="exact"/>
              <w:rPr>
                <w:rFonts w:hint="eastAsia" w:ascii="宋体" w:hAnsi="宋体" w:cs="宋体"/>
                <w:color w:val="auto"/>
                <w:szCs w:val="21"/>
                <w:highlight w:val="none"/>
              </w:rPr>
            </w:pPr>
          </w:p>
        </w:tc>
        <w:tc>
          <w:tcPr>
            <w:tcW w:w="1352" w:type="dxa"/>
            <w:tcBorders>
              <w:top w:val="double" w:color="auto" w:sz="6" w:space="0"/>
            </w:tcBorders>
            <w:noWrap w:val="0"/>
            <w:vAlign w:val="top"/>
          </w:tcPr>
          <w:p w14:paraId="168BF48F">
            <w:pPr>
              <w:keepNext/>
              <w:spacing w:line="440" w:lineRule="exact"/>
              <w:rPr>
                <w:rFonts w:hint="eastAsia" w:ascii="宋体" w:hAnsi="宋体" w:cs="宋体"/>
                <w:color w:val="auto"/>
                <w:szCs w:val="21"/>
                <w:highlight w:val="none"/>
              </w:rPr>
            </w:pPr>
          </w:p>
        </w:tc>
        <w:tc>
          <w:tcPr>
            <w:tcW w:w="1418" w:type="dxa"/>
            <w:tcBorders>
              <w:top w:val="double" w:color="auto" w:sz="6" w:space="0"/>
            </w:tcBorders>
            <w:noWrap w:val="0"/>
            <w:vAlign w:val="top"/>
          </w:tcPr>
          <w:p w14:paraId="0BE45C7C">
            <w:pPr>
              <w:keepNext/>
              <w:spacing w:line="440" w:lineRule="exact"/>
              <w:rPr>
                <w:rFonts w:hint="eastAsia" w:ascii="宋体" w:hAnsi="宋体" w:cs="宋体"/>
                <w:color w:val="auto"/>
                <w:szCs w:val="21"/>
                <w:highlight w:val="none"/>
              </w:rPr>
            </w:pPr>
          </w:p>
        </w:tc>
        <w:tc>
          <w:tcPr>
            <w:tcW w:w="1701" w:type="dxa"/>
            <w:tcBorders>
              <w:top w:val="double" w:color="auto" w:sz="6" w:space="0"/>
            </w:tcBorders>
            <w:noWrap w:val="0"/>
            <w:vAlign w:val="top"/>
          </w:tcPr>
          <w:p w14:paraId="1D15CAA6">
            <w:pPr>
              <w:keepNext/>
              <w:spacing w:line="440" w:lineRule="exact"/>
              <w:rPr>
                <w:rFonts w:hint="eastAsia" w:ascii="宋体" w:hAnsi="宋体" w:cs="宋体"/>
                <w:color w:val="auto"/>
                <w:szCs w:val="21"/>
                <w:highlight w:val="none"/>
              </w:rPr>
            </w:pPr>
          </w:p>
        </w:tc>
      </w:tr>
      <w:tr w14:paraId="080A94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5AE26F14">
            <w:pPr>
              <w:keepNext/>
              <w:spacing w:line="440" w:lineRule="exact"/>
              <w:rPr>
                <w:rFonts w:hint="eastAsia" w:ascii="宋体" w:hAnsi="宋体" w:cs="宋体"/>
                <w:color w:val="auto"/>
                <w:szCs w:val="21"/>
                <w:highlight w:val="none"/>
              </w:rPr>
            </w:pPr>
          </w:p>
        </w:tc>
        <w:tc>
          <w:tcPr>
            <w:tcW w:w="1984" w:type="dxa"/>
            <w:tcBorders>
              <w:top w:val="nil"/>
            </w:tcBorders>
            <w:noWrap w:val="0"/>
            <w:vAlign w:val="top"/>
          </w:tcPr>
          <w:p w14:paraId="1658CABA">
            <w:pPr>
              <w:keepNext/>
              <w:spacing w:line="440" w:lineRule="exact"/>
              <w:rPr>
                <w:rFonts w:hint="eastAsia" w:ascii="宋体" w:hAnsi="宋体" w:cs="宋体"/>
                <w:color w:val="auto"/>
                <w:szCs w:val="21"/>
                <w:highlight w:val="none"/>
              </w:rPr>
            </w:pPr>
          </w:p>
        </w:tc>
        <w:tc>
          <w:tcPr>
            <w:tcW w:w="851" w:type="dxa"/>
            <w:tcBorders>
              <w:top w:val="nil"/>
            </w:tcBorders>
            <w:noWrap w:val="0"/>
            <w:vAlign w:val="top"/>
          </w:tcPr>
          <w:p w14:paraId="28E95AA6">
            <w:pPr>
              <w:keepNext/>
              <w:spacing w:line="440" w:lineRule="exact"/>
              <w:rPr>
                <w:rFonts w:hint="eastAsia" w:ascii="宋体" w:hAnsi="宋体" w:cs="宋体"/>
                <w:color w:val="auto"/>
                <w:szCs w:val="21"/>
                <w:highlight w:val="none"/>
              </w:rPr>
            </w:pPr>
          </w:p>
        </w:tc>
        <w:tc>
          <w:tcPr>
            <w:tcW w:w="774" w:type="dxa"/>
            <w:tcBorders>
              <w:top w:val="nil"/>
            </w:tcBorders>
            <w:noWrap w:val="0"/>
            <w:vAlign w:val="top"/>
          </w:tcPr>
          <w:p w14:paraId="147FD0B6">
            <w:pPr>
              <w:keepNext/>
              <w:spacing w:line="440" w:lineRule="exact"/>
              <w:rPr>
                <w:rFonts w:hint="eastAsia" w:ascii="宋体" w:hAnsi="宋体" w:cs="宋体"/>
                <w:color w:val="auto"/>
                <w:szCs w:val="21"/>
                <w:highlight w:val="none"/>
              </w:rPr>
            </w:pPr>
          </w:p>
        </w:tc>
        <w:tc>
          <w:tcPr>
            <w:tcW w:w="1352" w:type="dxa"/>
            <w:tcBorders>
              <w:top w:val="nil"/>
            </w:tcBorders>
            <w:noWrap w:val="0"/>
            <w:vAlign w:val="top"/>
          </w:tcPr>
          <w:p w14:paraId="2241B0B7">
            <w:pPr>
              <w:keepNext/>
              <w:spacing w:line="440" w:lineRule="exact"/>
              <w:rPr>
                <w:rFonts w:hint="eastAsia" w:ascii="宋体" w:hAnsi="宋体" w:cs="宋体"/>
                <w:color w:val="auto"/>
                <w:szCs w:val="21"/>
                <w:highlight w:val="none"/>
              </w:rPr>
            </w:pPr>
          </w:p>
        </w:tc>
        <w:tc>
          <w:tcPr>
            <w:tcW w:w="1418" w:type="dxa"/>
            <w:tcBorders>
              <w:top w:val="nil"/>
            </w:tcBorders>
            <w:noWrap w:val="0"/>
            <w:vAlign w:val="top"/>
          </w:tcPr>
          <w:p w14:paraId="04E4503D">
            <w:pPr>
              <w:keepNext/>
              <w:spacing w:line="440" w:lineRule="exact"/>
              <w:rPr>
                <w:rFonts w:hint="eastAsia" w:ascii="宋体" w:hAnsi="宋体" w:cs="宋体"/>
                <w:color w:val="auto"/>
                <w:szCs w:val="21"/>
                <w:highlight w:val="none"/>
              </w:rPr>
            </w:pPr>
          </w:p>
        </w:tc>
        <w:tc>
          <w:tcPr>
            <w:tcW w:w="1701" w:type="dxa"/>
            <w:tcBorders>
              <w:top w:val="nil"/>
            </w:tcBorders>
            <w:noWrap w:val="0"/>
            <w:vAlign w:val="top"/>
          </w:tcPr>
          <w:p w14:paraId="0877A425">
            <w:pPr>
              <w:keepNext/>
              <w:spacing w:line="440" w:lineRule="exact"/>
              <w:rPr>
                <w:rFonts w:hint="eastAsia" w:ascii="宋体" w:hAnsi="宋体" w:cs="宋体"/>
                <w:color w:val="auto"/>
                <w:szCs w:val="21"/>
                <w:highlight w:val="none"/>
              </w:rPr>
            </w:pPr>
          </w:p>
        </w:tc>
      </w:tr>
      <w:tr w14:paraId="5CBBB4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664D1FA">
            <w:pPr>
              <w:keepNext/>
              <w:spacing w:line="440" w:lineRule="exact"/>
              <w:rPr>
                <w:rFonts w:hint="eastAsia" w:ascii="宋体" w:hAnsi="宋体" w:cs="宋体"/>
                <w:color w:val="auto"/>
                <w:szCs w:val="21"/>
                <w:highlight w:val="none"/>
              </w:rPr>
            </w:pPr>
          </w:p>
        </w:tc>
        <w:tc>
          <w:tcPr>
            <w:tcW w:w="1984" w:type="dxa"/>
            <w:noWrap w:val="0"/>
            <w:vAlign w:val="top"/>
          </w:tcPr>
          <w:p w14:paraId="29263AF0">
            <w:pPr>
              <w:keepNext/>
              <w:spacing w:line="440" w:lineRule="exact"/>
              <w:rPr>
                <w:rFonts w:hint="eastAsia" w:ascii="宋体" w:hAnsi="宋体" w:cs="宋体"/>
                <w:color w:val="auto"/>
                <w:szCs w:val="21"/>
                <w:highlight w:val="none"/>
              </w:rPr>
            </w:pPr>
          </w:p>
        </w:tc>
        <w:tc>
          <w:tcPr>
            <w:tcW w:w="851" w:type="dxa"/>
            <w:noWrap w:val="0"/>
            <w:vAlign w:val="top"/>
          </w:tcPr>
          <w:p w14:paraId="3ABF7A05">
            <w:pPr>
              <w:keepNext/>
              <w:spacing w:line="440" w:lineRule="exact"/>
              <w:rPr>
                <w:rFonts w:hint="eastAsia" w:ascii="宋体" w:hAnsi="宋体" w:cs="宋体"/>
                <w:color w:val="auto"/>
                <w:szCs w:val="21"/>
                <w:highlight w:val="none"/>
              </w:rPr>
            </w:pPr>
          </w:p>
        </w:tc>
        <w:tc>
          <w:tcPr>
            <w:tcW w:w="774" w:type="dxa"/>
            <w:noWrap w:val="0"/>
            <w:vAlign w:val="top"/>
          </w:tcPr>
          <w:p w14:paraId="6110351A">
            <w:pPr>
              <w:keepNext/>
              <w:spacing w:line="440" w:lineRule="exact"/>
              <w:rPr>
                <w:rFonts w:hint="eastAsia" w:ascii="宋体" w:hAnsi="宋体" w:cs="宋体"/>
                <w:color w:val="auto"/>
                <w:szCs w:val="21"/>
                <w:highlight w:val="none"/>
              </w:rPr>
            </w:pPr>
          </w:p>
        </w:tc>
        <w:tc>
          <w:tcPr>
            <w:tcW w:w="1352" w:type="dxa"/>
            <w:noWrap w:val="0"/>
            <w:vAlign w:val="top"/>
          </w:tcPr>
          <w:p w14:paraId="002207FD">
            <w:pPr>
              <w:keepNext/>
              <w:spacing w:line="440" w:lineRule="exact"/>
              <w:rPr>
                <w:rFonts w:hint="eastAsia" w:ascii="宋体" w:hAnsi="宋体" w:cs="宋体"/>
                <w:color w:val="auto"/>
                <w:szCs w:val="21"/>
                <w:highlight w:val="none"/>
              </w:rPr>
            </w:pPr>
          </w:p>
        </w:tc>
        <w:tc>
          <w:tcPr>
            <w:tcW w:w="1418" w:type="dxa"/>
            <w:noWrap w:val="0"/>
            <w:vAlign w:val="top"/>
          </w:tcPr>
          <w:p w14:paraId="0CC2F9C0">
            <w:pPr>
              <w:keepNext/>
              <w:spacing w:line="440" w:lineRule="exact"/>
              <w:rPr>
                <w:rFonts w:hint="eastAsia" w:ascii="宋体" w:hAnsi="宋体" w:cs="宋体"/>
                <w:color w:val="auto"/>
                <w:szCs w:val="21"/>
                <w:highlight w:val="none"/>
              </w:rPr>
            </w:pPr>
          </w:p>
        </w:tc>
        <w:tc>
          <w:tcPr>
            <w:tcW w:w="1701" w:type="dxa"/>
            <w:noWrap w:val="0"/>
            <w:vAlign w:val="top"/>
          </w:tcPr>
          <w:p w14:paraId="1A996763">
            <w:pPr>
              <w:keepNext/>
              <w:spacing w:line="440" w:lineRule="exact"/>
              <w:rPr>
                <w:rFonts w:hint="eastAsia" w:ascii="宋体" w:hAnsi="宋体" w:cs="宋体"/>
                <w:color w:val="auto"/>
                <w:szCs w:val="21"/>
                <w:highlight w:val="none"/>
              </w:rPr>
            </w:pPr>
          </w:p>
        </w:tc>
      </w:tr>
      <w:tr w14:paraId="5096D7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bottom w:val="single" w:color="auto" w:sz="12" w:space="0"/>
            </w:tcBorders>
            <w:noWrap w:val="0"/>
            <w:vAlign w:val="top"/>
          </w:tcPr>
          <w:p w14:paraId="3533861F">
            <w:pPr>
              <w:keepNext/>
              <w:spacing w:line="440" w:lineRule="exact"/>
              <w:rPr>
                <w:rFonts w:hint="eastAsia" w:ascii="宋体" w:hAnsi="宋体" w:cs="宋体"/>
                <w:color w:val="auto"/>
                <w:szCs w:val="21"/>
                <w:highlight w:val="none"/>
              </w:rPr>
            </w:pPr>
          </w:p>
        </w:tc>
        <w:tc>
          <w:tcPr>
            <w:tcW w:w="1984" w:type="dxa"/>
            <w:tcBorders>
              <w:bottom w:val="single" w:color="auto" w:sz="12" w:space="0"/>
            </w:tcBorders>
            <w:noWrap w:val="0"/>
            <w:vAlign w:val="top"/>
          </w:tcPr>
          <w:p w14:paraId="15C36AC5">
            <w:pPr>
              <w:keepNext/>
              <w:spacing w:line="440" w:lineRule="exact"/>
              <w:rPr>
                <w:rFonts w:hint="eastAsia" w:ascii="宋体" w:hAnsi="宋体" w:cs="宋体"/>
                <w:color w:val="auto"/>
                <w:szCs w:val="21"/>
                <w:highlight w:val="none"/>
              </w:rPr>
            </w:pPr>
          </w:p>
        </w:tc>
        <w:tc>
          <w:tcPr>
            <w:tcW w:w="851" w:type="dxa"/>
            <w:tcBorders>
              <w:bottom w:val="single" w:color="auto" w:sz="12" w:space="0"/>
            </w:tcBorders>
            <w:noWrap w:val="0"/>
            <w:vAlign w:val="top"/>
          </w:tcPr>
          <w:p w14:paraId="5B3B00FE">
            <w:pPr>
              <w:keepNext/>
              <w:spacing w:line="440" w:lineRule="exact"/>
              <w:rPr>
                <w:rFonts w:hint="eastAsia" w:ascii="宋体" w:hAnsi="宋体" w:cs="宋体"/>
                <w:color w:val="auto"/>
                <w:szCs w:val="21"/>
                <w:highlight w:val="none"/>
              </w:rPr>
            </w:pPr>
          </w:p>
        </w:tc>
        <w:tc>
          <w:tcPr>
            <w:tcW w:w="774" w:type="dxa"/>
            <w:tcBorders>
              <w:bottom w:val="single" w:color="auto" w:sz="12" w:space="0"/>
            </w:tcBorders>
            <w:noWrap w:val="0"/>
            <w:vAlign w:val="top"/>
          </w:tcPr>
          <w:p w14:paraId="023D331B">
            <w:pPr>
              <w:keepNext/>
              <w:spacing w:line="440" w:lineRule="exact"/>
              <w:rPr>
                <w:rFonts w:hint="eastAsia" w:ascii="宋体" w:hAnsi="宋体" w:cs="宋体"/>
                <w:color w:val="auto"/>
                <w:szCs w:val="21"/>
                <w:highlight w:val="none"/>
              </w:rPr>
            </w:pPr>
          </w:p>
        </w:tc>
        <w:tc>
          <w:tcPr>
            <w:tcW w:w="1352" w:type="dxa"/>
            <w:tcBorders>
              <w:bottom w:val="single" w:color="auto" w:sz="12" w:space="0"/>
            </w:tcBorders>
            <w:noWrap w:val="0"/>
            <w:vAlign w:val="top"/>
          </w:tcPr>
          <w:p w14:paraId="3F53F8A2">
            <w:pPr>
              <w:keepNext/>
              <w:spacing w:line="440" w:lineRule="exact"/>
              <w:rPr>
                <w:rFonts w:hint="eastAsia" w:ascii="宋体" w:hAnsi="宋体" w:cs="宋体"/>
                <w:color w:val="auto"/>
                <w:szCs w:val="21"/>
                <w:highlight w:val="none"/>
              </w:rPr>
            </w:pPr>
          </w:p>
        </w:tc>
        <w:tc>
          <w:tcPr>
            <w:tcW w:w="1418" w:type="dxa"/>
            <w:tcBorders>
              <w:bottom w:val="single" w:color="auto" w:sz="12" w:space="0"/>
            </w:tcBorders>
            <w:noWrap w:val="0"/>
            <w:vAlign w:val="top"/>
          </w:tcPr>
          <w:p w14:paraId="52E82535">
            <w:pPr>
              <w:keepNext/>
              <w:spacing w:line="440" w:lineRule="exact"/>
              <w:rPr>
                <w:rFonts w:hint="eastAsia" w:ascii="宋体" w:hAnsi="宋体" w:cs="宋体"/>
                <w:color w:val="auto"/>
                <w:szCs w:val="21"/>
                <w:highlight w:val="none"/>
              </w:rPr>
            </w:pPr>
          </w:p>
        </w:tc>
        <w:tc>
          <w:tcPr>
            <w:tcW w:w="1701" w:type="dxa"/>
            <w:tcBorders>
              <w:bottom w:val="single" w:color="auto" w:sz="12" w:space="0"/>
            </w:tcBorders>
            <w:noWrap w:val="0"/>
            <w:vAlign w:val="top"/>
          </w:tcPr>
          <w:p w14:paraId="409B7718">
            <w:pPr>
              <w:keepNext/>
              <w:spacing w:line="440" w:lineRule="exact"/>
              <w:rPr>
                <w:rFonts w:hint="eastAsia" w:ascii="宋体" w:hAnsi="宋体" w:cs="宋体"/>
                <w:color w:val="auto"/>
                <w:szCs w:val="21"/>
                <w:highlight w:val="none"/>
              </w:rPr>
            </w:pPr>
          </w:p>
        </w:tc>
      </w:tr>
    </w:tbl>
    <w:p w14:paraId="6A566EFC">
      <w:pPr>
        <w:rPr>
          <w:rFonts w:hint="eastAsia" w:ascii="宋体" w:hAnsi="宋体" w:cs="宋体"/>
          <w:color w:val="auto"/>
          <w:szCs w:val="21"/>
          <w:highlight w:val="none"/>
        </w:rPr>
      </w:pPr>
    </w:p>
    <w:p w14:paraId="1F63C1EB">
      <w:pPr>
        <w:rPr>
          <w:rFonts w:hint="eastAsia" w:ascii="宋体" w:hAnsi="宋体" w:cs="宋体"/>
          <w:color w:val="auto"/>
          <w:szCs w:val="22"/>
          <w:highlight w:val="none"/>
        </w:rPr>
      </w:pPr>
    </w:p>
    <w:p w14:paraId="7D4216DD">
      <w:pPr>
        <w:rPr>
          <w:rFonts w:hint="eastAsia" w:ascii="宋体" w:hAnsi="宋体" w:cs="宋体"/>
          <w:color w:val="auto"/>
          <w:szCs w:val="22"/>
          <w:highlight w:val="none"/>
        </w:rPr>
      </w:pPr>
    </w:p>
    <w:p w14:paraId="49D7BD39">
      <w:pPr>
        <w:keepNext/>
        <w:keepLines/>
        <w:spacing w:before="120" w:after="120" w:line="360" w:lineRule="auto"/>
        <w:jc w:val="left"/>
        <w:outlineLvl w:val="2"/>
        <w:rPr>
          <w:rFonts w:hint="eastAsia" w:ascii="宋体" w:hAnsi="宋体" w:cs="宋体"/>
          <w:color w:val="auto"/>
          <w:highlight w:val="none"/>
        </w:rPr>
        <w:sectPr>
          <w:footnotePr>
            <w:numFmt w:val="decimalEnclosedCircleChinese"/>
            <w:numRestart w:val="eachPage"/>
          </w:footnotePr>
          <w:pgSz w:w="11907" w:h="16840"/>
          <w:pgMar w:top="1474" w:right="1474" w:bottom="1474" w:left="1474" w:header="799" w:footer="907" w:gutter="0"/>
          <w:pgNumType w:fmt="numberInDash"/>
          <w:cols w:space="720" w:num="1"/>
          <w:docGrid w:linePitch="271" w:charSpace="0"/>
        </w:sectPr>
      </w:pPr>
    </w:p>
    <w:p w14:paraId="2358D80B">
      <w:pPr>
        <w:keepNext/>
        <w:keepLines/>
        <w:spacing w:before="120" w:after="120" w:line="360" w:lineRule="auto"/>
        <w:jc w:val="left"/>
        <w:outlineLvl w:val="2"/>
        <w:rPr>
          <w:rFonts w:hint="eastAsia" w:ascii="宋体" w:hAnsi="宋体" w:cs="宋体"/>
          <w:bCs/>
          <w:color w:val="auto"/>
          <w:sz w:val="24"/>
          <w:highlight w:val="none"/>
        </w:rPr>
      </w:pPr>
      <w:bookmarkStart w:id="1369" w:name="_Toc95223511"/>
      <w:r>
        <w:rPr>
          <w:rFonts w:hint="eastAsia" w:ascii="宋体" w:hAnsi="宋体" w:cs="宋体"/>
          <w:bCs/>
          <w:color w:val="auto"/>
          <w:sz w:val="24"/>
          <w:highlight w:val="none"/>
        </w:rPr>
        <w:t>附件12：安全生产合同</w:t>
      </w:r>
      <w:bookmarkEnd w:id="1369"/>
    </w:p>
    <w:p w14:paraId="2AD9EFDE">
      <w:pPr>
        <w:adjustRightInd w:val="0"/>
        <w:snapToGrid w:val="0"/>
        <w:spacing w:line="360" w:lineRule="auto"/>
        <w:jc w:val="center"/>
        <w:rPr>
          <w:rFonts w:hint="eastAsia" w:ascii="宋体" w:hAnsi="宋体" w:cs="宋体"/>
          <w:b/>
          <w:color w:val="auto"/>
          <w:sz w:val="32"/>
          <w:szCs w:val="32"/>
          <w:highlight w:val="none"/>
        </w:rPr>
      </w:pPr>
      <w:bookmarkStart w:id="1370" w:name="_Toc95223512"/>
      <w:bookmarkStart w:id="1371" w:name="_Toc32439"/>
      <w:bookmarkStart w:id="1372" w:name="_Toc16956"/>
      <w:r>
        <w:rPr>
          <w:rFonts w:hint="eastAsia" w:ascii="宋体" w:hAnsi="宋体" w:cs="宋体"/>
          <w:b/>
          <w:color w:val="auto"/>
          <w:sz w:val="32"/>
          <w:szCs w:val="32"/>
          <w:highlight w:val="none"/>
        </w:rPr>
        <w:t>安全生产合同</w:t>
      </w:r>
      <w:bookmarkEnd w:id="1370"/>
      <w:bookmarkEnd w:id="1371"/>
      <w:bookmarkEnd w:id="1372"/>
    </w:p>
    <w:p w14:paraId="6022BE8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为在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（标段）施工合同的实施过程中创造安全、高效的施工环境，切实搞好本项目的安全管理工作，本项目发包人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（发包人名称，以下简称“发包人”）与承包人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（承包人名称，以下简称“承包人”）特此签订安全生产合同：</w:t>
      </w:r>
    </w:p>
    <w:p w14:paraId="49B091E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1.发包人职责</w:t>
      </w:r>
    </w:p>
    <w:p w14:paraId="63B92A5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（1）严格遵守国家有关安全生产的法律法规，认真执行工程承包合同中的有关安全要求。</w:t>
      </w:r>
    </w:p>
    <w:p w14:paraId="2B9A3C4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（2）按照“安全第一、预防为主”和坚持“管生产必须管安全”的原则进行安全生产管理，做到生产与安全工作同时计划、布置、检查、总结和评比。</w:t>
      </w:r>
    </w:p>
    <w:p w14:paraId="7DD136C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（3）重要的安全设施必须坚持与主体工程“三同时”的原则，即：同时设计、审批，同时施工，同时验收，投入使用。</w:t>
      </w:r>
    </w:p>
    <w:p w14:paraId="47CFCAE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（4）定期召开安全生产调度会，及时传达中央及地方有关安全生产的精神。</w:t>
      </w:r>
    </w:p>
    <w:p w14:paraId="02F5623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（5）组织对承包人施工现场安全生产检查，监督承包人及时处理发现的各种安全隐患。</w:t>
      </w:r>
    </w:p>
    <w:p w14:paraId="1706889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2.承包人职责</w:t>
      </w:r>
    </w:p>
    <w:p w14:paraId="0F6F1EC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严格遵守《中华人民共和国安全生产法》、《建设工程安全生产管理条例》等国家有关安全生产的法律法规、《建设项目安全设施“三同时”监督管理办法》等有关安全生产的规定。认真执行工程承包合同中的有关安全要求。</w:t>
      </w:r>
    </w:p>
    <w:p w14:paraId="4FEA7E9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3D65097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建立健全安全生产责任制。从派往项目实施的项目经理到生产工人（包括临时雇请的民工）的安全生产管理系统必须做到纵向到底，—环不漏；各职能部门、人员的安全生产责任制做到横向到边，人人有责。项目经理是安全生产的第一责任人。现场设置的安全机构，应按《建设工程安全生产管理条例》及有关规定的配备专职安全生产管理人员，专职负责所有员工的安全和治安保卫工作及预防事故的发生。安全机构人员有权按有关规定发布指令，并采取保护性措施防止事故发生。</w:t>
      </w:r>
    </w:p>
    <w:p w14:paraId="78ADC81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（4）承包人在任何时候都应采取各种合理的预防措施，防止其员工发生任何违法、违禁、暴力或妨碍治安的行为。</w:t>
      </w:r>
    </w:p>
    <w:p w14:paraId="07BDC07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6AB1FD6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47C9889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（7）操作人员上岗，必须按规定穿戴防护用品。施工负责人和安全检查员应随时检查劳动防护用品的穿戴情况，不按规定穿戴防护用品的人员不得上岗。</w:t>
      </w:r>
    </w:p>
    <w:p w14:paraId="4549707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（8）所有施工机具设备和高空作业的设备均应定期检查，并有安全员的签字记录，保证其经常处于完好状态；不合格的机具、设备和劳动保护用品严禁使用：</w:t>
      </w:r>
    </w:p>
    <w:p w14:paraId="1BE118E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（9）施工中采用新技术、新工艺、新设备、新材料时，必须制定相应的安全技术措施，施工现场必须具有相关的安全标志牌。</w:t>
      </w:r>
    </w:p>
    <w:p w14:paraId="54E76B8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承包人必须按照本工程项目特点，组织制定本工程实施中的生产安全事故应急救援预案；如果发生安全事故，应按照《国务院关于特大安全事故行政责任追究的规定》以及其他有关规定，及时上报有关部门，并坚持“四不放过”的原则．严肃处理相关责任人。</w:t>
      </w:r>
    </w:p>
    <w:p w14:paraId="17A21C6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（11）安全生产费用按照《建设工程安全生产管理条例》的相关规定使用和管理。</w:t>
      </w:r>
    </w:p>
    <w:p w14:paraId="114EB4D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3.违约责任</w:t>
      </w:r>
    </w:p>
    <w:p w14:paraId="38EE774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如因发包人或承包人违约造成安全事故，将依法追究责任。</w:t>
      </w:r>
    </w:p>
    <w:p w14:paraId="4123479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4.本合同由双方法定代表人或其授权的代理人签署并加盖单位章后生效，全部工程竣工验收后失效。</w:t>
      </w:r>
    </w:p>
    <w:p w14:paraId="11B4687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5.本合同正本—式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份，副本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份，合同双方各执正本—份，副本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份，当正本与副本的内容不一致时，以正本为准。</w:t>
      </w:r>
    </w:p>
    <w:p w14:paraId="4C1DA855">
      <w:pPr>
        <w:spacing w:line="360" w:lineRule="auto"/>
        <w:rPr>
          <w:rFonts w:hint="eastAsia" w:ascii="宋体" w:hAnsi="宋体" w:cs="宋体"/>
          <w:color w:val="auto"/>
          <w:szCs w:val="21"/>
          <w:highlight w:val="none"/>
        </w:rPr>
      </w:pPr>
    </w:p>
    <w:p w14:paraId="19C11466">
      <w:pPr>
        <w:spacing w:line="360" w:lineRule="auto"/>
        <w:rPr>
          <w:rFonts w:hint="eastAsia" w:ascii="宋体" w:hAnsi="宋体" w:cs="宋体"/>
          <w:color w:val="auto"/>
          <w:szCs w:val="21"/>
          <w:highlight w:val="none"/>
        </w:rPr>
      </w:pPr>
    </w:p>
    <w:p w14:paraId="24B2D32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发包人：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           承包人：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14:paraId="41B5CC44">
      <w:pPr>
        <w:spacing w:line="360" w:lineRule="auto"/>
        <w:rPr>
          <w:rFonts w:hint="eastAsia" w:ascii="宋体" w:hAnsi="宋体" w:cs="宋体"/>
          <w:color w:val="auto"/>
          <w:szCs w:val="21"/>
          <w:highlight w:val="none"/>
        </w:rPr>
      </w:pPr>
    </w:p>
    <w:p w14:paraId="649CF7E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           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3ABA7647">
      <w:pPr>
        <w:spacing w:line="360" w:lineRule="auto"/>
        <w:rPr>
          <w:rFonts w:hint="eastAsia" w:ascii="宋体" w:hAnsi="宋体" w:cs="宋体"/>
          <w:color w:val="auto"/>
          <w:szCs w:val="21"/>
          <w:highlight w:val="none"/>
        </w:rPr>
      </w:pPr>
    </w:p>
    <w:p w14:paraId="0336D3CA">
      <w:pPr>
        <w:spacing w:line="360" w:lineRule="auto"/>
        <w:ind w:firstLine="840"/>
        <w:rPr>
          <w:rFonts w:ascii="宋体" w:hAnsi="宋体" w:cs="宋体"/>
          <w:bCs/>
          <w:color w:val="auto"/>
          <w:kern w:val="44"/>
          <w:sz w:val="32"/>
          <w:szCs w:val="44"/>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日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0286B66C">
      <w:pPr>
        <w:rPr>
          <w:rFonts w:ascii="宋体" w:hAnsi="宋体" w:cs="宋体"/>
          <w:color w:val="auto"/>
          <w:sz w:val="32"/>
          <w:szCs w:val="44"/>
          <w:highlight w:val="none"/>
        </w:rPr>
      </w:pPr>
    </w:p>
    <w:p w14:paraId="57448070">
      <w:pPr>
        <w:rPr>
          <w:rFonts w:ascii="宋体" w:hAnsi="宋体" w:cs="宋体"/>
          <w:color w:val="auto"/>
          <w:sz w:val="32"/>
          <w:szCs w:val="44"/>
          <w:highlight w:val="none"/>
        </w:rPr>
      </w:pPr>
    </w:p>
    <w:p w14:paraId="445977C2">
      <w:pPr>
        <w:tabs>
          <w:tab w:val="left" w:pos="2820"/>
        </w:tabs>
        <w:outlineLvl w:val="2"/>
        <w:rPr>
          <w:rFonts w:hint="eastAsia" w:ascii="宋体" w:hAnsi="宋体" w:cs="宋体"/>
          <w:color w:val="auto"/>
          <w:sz w:val="32"/>
          <w:szCs w:val="44"/>
          <w:highlight w:val="none"/>
        </w:rPr>
      </w:pPr>
      <w:r>
        <w:rPr>
          <w:rFonts w:hint="eastAsia" w:ascii="宋体" w:hAnsi="宋体" w:cs="宋体"/>
          <w:color w:val="auto"/>
          <w:sz w:val="32"/>
          <w:szCs w:val="44"/>
          <w:highlight w:val="none"/>
        </w:rPr>
        <w:br w:type="page"/>
      </w:r>
      <w:bookmarkStart w:id="1373" w:name="_Toc95223513"/>
      <w:r>
        <w:rPr>
          <w:rFonts w:hint="eastAsia" w:ascii="宋体" w:hAnsi="宋体" w:cs="宋体"/>
          <w:bCs/>
          <w:color w:val="auto"/>
          <w:sz w:val="24"/>
          <w:highlight w:val="none"/>
        </w:rPr>
        <w:t>附件14：项目经理质量终身责任制承诺</w:t>
      </w:r>
      <w:bookmarkEnd w:id="1373"/>
    </w:p>
    <w:p w14:paraId="5EFD773C">
      <w:pPr>
        <w:adjustRightInd w:val="0"/>
        <w:snapToGrid w:val="0"/>
        <w:spacing w:line="360" w:lineRule="auto"/>
        <w:jc w:val="center"/>
        <w:rPr>
          <w:rFonts w:hint="eastAsia" w:ascii="宋体" w:hAnsi="宋体" w:cs="宋体"/>
          <w:b/>
          <w:color w:val="auto"/>
          <w:sz w:val="32"/>
          <w:szCs w:val="32"/>
          <w:highlight w:val="none"/>
        </w:rPr>
      </w:pPr>
      <w:bookmarkStart w:id="1374" w:name="_Toc95223514"/>
      <w:bookmarkStart w:id="1375" w:name="_Toc19059"/>
      <w:bookmarkStart w:id="1376" w:name="_Toc20282"/>
      <w:r>
        <w:rPr>
          <w:rFonts w:hint="eastAsia" w:ascii="宋体" w:hAnsi="宋体" w:cs="宋体"/>
          <w:b/>
          <w:color w:val="auto"/>
          <w:sz w:val="32"/>
          <w:szCs w:val="32"/>
          <w:highlight w:val="none"/>
        </w:rPr>
        <w:t>项目经理质量终身责任制承诺</w:t>
      </w:r>
      <w:bookmarkEnd w:id="1374"/>
      <w:bookmarkEnd w:id="1375"/>
      <w:bookmarkEnd w:id="1376"/>
    </w:p>
    <w:p w14:paraId="4B106EEA">
      <w:pPr>
        <w:adjustRightInd w:val="0"/>
        <w:snapToGrid w:val="0"/>
        <w:spacing w:line="360" w:lineRule="auto"/>
        <w:rPr>
          <w:rFonts w:hint="eastAsia" w:ascii="宋体" w:hAnsi="宋体" w:cs="宋体"/>
          <w:bCs/>
          <w:color w:val="auto"/>
          <w:sz w:val="24"/>
          <w:szCs w:val="21"/>
          <w:highlight w:val="none"/>
        </w:rPr>
      </w:pPr>
      <w:r>
        <w:rPr>
          <w:rFonts w:hint="eastAsia" w:ascii="宋体" w:hAnsi="宋体" w:cs="宋体"/>
          <w:bCs/>
          <w:color w:val="auto"/>
          <w:sz w:val="24"/>
          <w:szCs w:val="21"/>
          <w:highlight w:val="none"/>
        </w:rPr>
        <w:t>致：______________(招标人名称)</w:t>
      </w:r>
    </w:p>
    <w:p w14:paraId="5BDCDC99">
      <w:pPr>
        <w:adjustRightInd w:val="0"/>
        <w:snapToGrid w:val="0"/>
        <w:spacing w:line="360" w:lineRule="auto"/>
        <w:ind w:firstLine="480" w:firstLineChars="200"/>
        <w:rPr>
          <w:rFonts w:hint="eastAsia" w:ascii="宋体" w:hAnsi="宋体" w:cs="宋体"/>
          <w:bCs/>
          <w:color w:val="auto"/>
          <w:sz w:val="24"/>
          <w:szCs w:val="21"/>
          <w:highlight w:val="none"/>
        </w:rPr>
      </w:pPr>
      <w:r>
        <w:rPr>
          <w:rFonts w:hint="eastAsia" w:ascii="宋体" w:hAnsi="宋体" w:cs="宋体"/>
          <w:bCs/>
          <w:color w:val="auto"/>
          <w:sz w:val="24"/>
          <w:szCs w:val="21"/>
          <w:highlight w:val="none"/>
        </w:rPr>
        <w:t>本人作为拟委任的施工项目经理，承担相关质量终身责任，现郑重承诺如下：</w:t>
      </w:r>
    </w:p>
    <w:p w14:paraId="0190E946">
      <w:pPr>
        <w:adjustRightInd w:val="0"/>
        <w:snapToGrid w:val="0"/>
        <w:spacing w:line="360" w:lineRule="auto"/>
        <w:ind w:firstLine="480" w:firstLineChars="200"/>
        <w:rPr>
          <w:rFonts w:hint="eastAsia" w:ascii="宋体" w:hAnsi="宋体" w:cs="宋体"/>
          <w:bCs/>
          <w:color w:val="auto"/>
          <w:sz w:val="24"/>
          <w:szCs w:val="21"/>
          <w:highlight w:val="none"/>
        </w:rPr>
      </w:pPr>
      <w:r>
        <w:rPr>
          <w:rFonts w:hint="eastAsia" w:ascii="宋体" w:hAnsi="宋体" w:cs="宋体"/>
          <w:bCs/>
          <w:color w:val="auto"/>
          <w:sz w:val="24"/>
          <w:szCs w:val="21"/>
          <w:highlight w:val="none"/>
        </w:rPr>
        <w:t>一、在取得施工许可证后进行施工。</w:t>
      </w:r>
    </w:p>
    <w:p w14:paraId="2D984A3D">
      <w:pPr>
        <w:adjustRightInd w:val="0"/>
        <w:snapToGrid w:val="0"/>
        <w:spacing w:line="360" w:lineRule="auto"/>
        <w:ind w:firstLine="480" w:firstLineChars="200"/>
        <w:rPr>
          <w:rFonts w:hint="eastAsia" w:ascii="宋体" w:hAnsi="宋体" w:cs="宋体"/>
          <w:bCs/>
          <w:color w:val="auto"/>
          <w:sz w:val="24"/>
          <w:szCs w:val="21"/>
          <w:highlight w:val="none"/>
        </w:rPr>
      </w:pPr>
      <w:r>
        <w:rPr>
          <w:rFonts w:hint="eastAsia" w:ascii="宋体" w:hAnsi="宋体" w:cs="宋体"/>
          <w:bCs/>
          <w:color w:val="auto"/>
          <w:sz w:val="24"/>
          <w:szCs w:val="21"/>
          <w:highlight w:val="none"/>
        </w:rPr>
        <w:t>二、严格执行施工规范及标准。</w:t>
      </w:r>
    </w:p>
    <w:p w14:paraId="32520AEE">
      <w:pPr>
        <w:adjustRightInd w:val="0"/>
        <w:snapToGrid w:val="0"/>
        <w:spacing w:line="360" w:lineRule="auto"/>
        <w:ind w:firstLine="480" w:firstLineChars="200"/>
        <w:rPr>
          <w:rFonts w:hint="eastAsia" w:ascii="宋体" w:hAnsi="宋体" w:cs="宋体"/>
          <w:bCs/>
          <w:color w:val="auto"/>
          <w:sz w:val="24"/>
          <w:szCs w:val="21"/>
          <w:highlight w:val="none"/>
        </w:rPr>
      </w:pPr>
      <w:r>
        <w:rPr>
          <w:rFonts w:hint="eastAsia" w:ascii="宋体" w:hAnsi="宋体" w:cs="宋体"/>
          <w:bCs/>
          <w:color w:val="auto"/>
          <w:sz w:val="24"/>
          <w:szCs w:val="21"/>
          <w:highlight w:val="none"/>
        </w:rPr>
        <w:t>三、严格按规定配备施工项目部关键岗位人员，并确保所有人员到岗履职。</w:t>
      </w:r>
    </w:p>
    <w:p w14:paraId="44BAC2E3">
      <w:pPr>
        <w:adjustRightInd w:val="0"/>
        <w:snapToGrid w:val="0"/>
        <w:spacing w:line="360" w:lineRule="auto"/>
        <w:ind w:firstLine="480" w:firstLineChars="200"/>
        <w:rPr>
          <w:rFonts w:hint="eastAsia" w:ascii="宋体" w:hAnsi="宋体" w:cs="宋体"/>
          <w:bCs/>
          <w:color w:val="auto"/>
          <w:sz w:val="24"/>
          <w:szCs w:val="21"/>
          <w:highlight w:val="none"/>
        </w:rPr>
      </w:pPr>
      <w:r>
        <w:rPr>
          <w:rFonts w:hint="eastAsia" w:ascii="宋体" w:hAnsi="宋体" w:cs="宋体"/>
          <w:bCs/>
          <w:color w:val="auto"/>
          <w:sz w:val="24"/>
          <w:szCs w:val="21"/>
          <w:highlight w:val="none"/>
        </w:rPr>
        <w:t>四、严格按照经施工图审查机构审查合格的工程设计文件及合同约定的质量标准精心组织施工。</w:t>
      </w:r>
    </w:p>
    <w:p w14:paraId="6DC49E91">
      <w:pPr>
        <w:adjustRightInd w:val="0"/>
        <w:snapToGrid w:val="0"/>
        <w:spacing w:line="360" w:lineRule="auto"/>
        <w:ind w:firstLine="480" w:firstLineChars="200"/>
        <w:rPr>
          <w:rFonts w:hint="eastAsia" w:ascii="宋体" w:hAnsi="宋体" w:cs="宋体"/>
          <w:bCs/>
          <w:color w:val="auto"/>
          <w:sz w:val="24"/>
          <w:szCs w:val="21"/>
          <w:highlight w:val="none"/>
        </w:rPr>
      </w:pPr>
      <w:r>
        <w:rPr>
          <w:rFonts w:hint="eastAsia" w:ascii="宋体" w:hAnsi="宋体" w:cs="宋体"/>
          <w:bCs/>
          <w:color w:val="auto"/>
          <w:sz w:val="24"/>
          <w:szCs w:val="21"/>
          <w:highlight w:val="none"/>
        </w:rPr>
        <w:t>五、施工中采用合格的建筑材料、建筑构配件和设备等，并严格按规定执行见证取样制度。</w:t>
      </w:r>
    </w:p>
    <w:p w14:paraId="185284AE">
      <w:pPr>
        <w:adjustRightInd w:val="0"/>
        <w:snapToGrid w:val="0"/>
        <w:spacing w:line="360" w:lineRule="auto"/>
        <w:ind w:firstLine="480" w:firstLineChars="200"/>
        <w:rPr>
          <w:rFonts w:hint="eastAsia" w:ascii="宋体" w:hAnsi="宋体" w:cs="宋体"/>
          <w:bCs/>
          <w:color w:val="auto"/>
          <w:sz w:val="24"/>
          <w:szCs w:val="21"/>
          <w:highlight w:val="none"/>
        </w:rPr>
      </w:pPr>
      <w:r>
        <w:rPr>
          <w:rFonts w:hint="eastAsia" w:ascii="宋体" w:hAnsi="宋体" w:cs="宋体"/>
          <w:bCs/>
          <w:color w:val="auto"/>
          <w:sz w:val="24"/>
          <w:szCs w:val="21"/>
          <w:highlight w:val="none"/>
        </w:rPr>
        <w:t>六、建立、健全质量检查、验收制度，严格工序管理，做好隐蔽工程质量的检查和记录。</w:t>
      </w:r>
    </w:p>
    <w:p w14:paraId="7B827D4B">
      <w:pPr>
        <w:adjustRightInd w:val="0"/>
        <w:snapToGrid w:val="0"/>
        <w:spacing w:line="360" w:lineRule="auto"/>
        <w:ind w:firstLine="480" w:firstLineChars="200"/>
        <w:rPr>
          <w:rFonts w:hint="eastAsia" w:ascii="宋体" w:hAnsi="宋体" w:cs="宋体"/>
          <w:bCs/>
          <w:color w:val="auto"/>
          <w:sz w:val="24"/>
          <w:szCs w:val="21"/>
          <w:highlight w:val="none"/>
        </w:rPr>
      </w:pPr>
      <w:r>
        <w:rPr>
          <w:rFonts w:hint="eastAsia" w:ascii="宋体" w:hAnsi="宋体" w:cs="宋体"/>
          <w:bCs/>
          <w:color w:val="auto"/>
          <w:sz w:val="24"/>
          <w:szCs w:val="21"/>
          <w:highlight w:val="none"/>
        </w:rPr>
        <w:t>七、对施工中出现的质量问题，及时进行整改。严格依法依规履行义务。</w:t>
      </w:r>
    </w:p>
    <w:p w14:paraId="7E1BBEC8">
      <w:pPr>
        <w:adjustRightInd w:val="0"/>
        <w:snapToGrid w:val="0"/>
        <w:spacing w:line="360" w:lineRule="auto"/>
        <w:ind w:firstLine="480" w:firstLineChars="200"/>
        <w:rPr>
          <w:rFonts w:hint="eastAsia" w:ascii="宋体" w:hAnsi="宋体" w:cs="宋体"/>
          <w:bCs/>
          <w:color w:val="auto"/>
          <w:sz w:val="24"/>
          <w:szCs w:val="21"/>
          <w:highlight w:val="none"/>
        </w:rPr>
      </w:pPr>
      <w:r>
        <w:rPr>
          <w:rFonts w:hint="eastAsia" w:ascii="宋体" w:hAnsi="宋体" w:cs="宋体"/>
          <w:bCs/>
          <w:color w:val="auto"/>
          <w:sz w:val="24"/>
          <w:szCs w:val="21"/>
          <w:highlight w:val="none"/>
        </w:rPr>
        <w:t>八、履行相关工程质量检查、验收及事故处理等职责。</w:t>
      </w:r>
    </w:p>
    <w:p w14:paraId="5DDFE239">
      <w:pPr>
        <w:adjustRightInd w:val="0"/>
        <w:snapToGrid w:val="0"/>
        <w:spacing w:line="360" w:lineRule="auto"/>
        <w:ind w:firstLine="480" w:firstLineChars="200"/>
        <w:rPr>
          <w:rFonts w:hint="eastAsia" w:ascii="宋体" w:hAnsi="宋体" w:cs="宋体"/>
          <w:bCs/>
          <w:color w:val="auto"/>
          <w:sz w:val="24"/>
          <w:szCs w:val="21"/>
          <w:highlight w:val="none"/>
        </w:rPr>
      </w:pPr>
      <w:r>
        <w:rPr>
          <w:rFonts w:hint="eastAsia" w:ascii="宋体" w:hAnsi="宋体" w:cs="宋体"/>
          <w:bCs/>
          <w:color w:val="auto"/>
          <w:sz w:val="24"/>
          <w:szCs w:val="21"/>
          <w:highlight w:val="none"/>
        </w:rPr>
        <w:t>九、履行其他法律法规规定的职责。</w:t>
      </w:r>
    </w:p>
    <w:p w14:paraId="2CC5BD5F">
      <w:pPr>
        <w:spacing w:line="360" w:lineRule="auto"/>
        <w:ind w:left="359" w:leftChars="171" w:firstLine="720" w:firstLineChars="300"/>
        <w:rPr>
          <w:rFonts w:hint="eastAsia" w:ascii="宋体" w:hAnsi="宋体" w:cs="宋体"/>
          <w:bCs/>
          <w:color w:val="auto"/>
          <w:sz w:val="24"/>
          <w:szCs w:val="21"/>
          <w:highlight w:val="none"/>
        </w:rPr>
      </w:pPr>
    </w:p>
    <w:p w14:paraId="505CEE99">
      <w:pPr>
        <w:spacing w:line="360" w:lineRule="auto"/>
        <w:ind w:left="359" w:leftChars="171" w:firstLine="720" w:firstLineChars="300"/>
        <w:rPr>
          <w:rFonts w:hint="eastAsia" w:ascii="宋体" w:hAnsi="宋体" w:cs="宋体"/>
          <w:bCs/>
          <w:color w:val="auto"/>
          <w:sz w:val="24"/>
          <w:szCs w:val="21"/>
          <w:highlight w:val="none"/>
        </w:rPr>
      </w:pPr>
    </w:p>
    <w:p w14:paraId="3F75BFF4">
      <w:pPr>
        <w:spacing w:line="360" w:lineRule="auto"/>
        <w:ind w:left="359" w:leftChars="171" w:firstLine="720" w:firstLineChars="300"/>
        <w:rPr>
          <w:rFonts w:hint="eastAsia" w:ascii="宋体" w:hAnsi="宋体" w:cs="宋体"/>
          <w:bCs/>
          <w:color w:val="auto"/>
          <w:sz w:val="24"/>
          <w:szCs w:val="21"/>
          <w:highlight w:val="none"/>
        </w:rPr>
      </w:pPr>
      <w:r>
        <w:rPr>
          <w:rFonts w:hint="eastAsia" w:ascii="宋体" w:hAnsi="宋体" w:cs="宋体"/>
          <w:bCs/>
          <w:color w:val="auto"/>
          <w:sz w:val="24"/>
          <w:szCs w:val="21"/>
          <w:highlight w:val="none"/>
        </w:rPr>
        <w:t>项目经理：</w:t>
      </w:r>
      <w:r>
        <w:rPr>
          <w:rFonts w:hint="eastAsia" w:ascii="宋体" w:hAnsi="宋体" w:cs="宋体"/>
          <w:bCs/>
          <w:color w:val="auto"/>
          <w:sz w:val="24"/>
          <w:szCs w:val="21"/>
          <w:highlight w:val="none"/>
          <w:u w:val="single"/>
        </w:rPr>
        <w:t xml:space="preserve">                   </w:t>
      </w:r>
      <w:r>
        <w:rPr>
          <w:rFonts w:hint="eastAsia" w:ascii="宋体" w:hAnsi="宋体" w:cs="宋体"/>
          <w:bCs/>
          <w:color w:val="auto"/>
          <w:sz w:val="24"/>
          <w:szCs w:val="21"/>
          <w:highlight w:val="none"/>
        </w:rPr>
        <w:t>（签字）</w:t>
      </w:r>
    </w:p>
    <w:p w14:paraId="2B6F2F51">
      <w:pPr>
        <w:spacing w:line="360" w:lineRule="auto"/>
        <w:ind w:left="359" w:leftChars="171" w:firstLine="720" w:firstLineChars="300"/>
        <w:rPr>
          <w:rFonts w:hint="eastAsia" w:ascii="宋体" w:hAnsi="宋体" w:cs="宋体"/>
          <w:bCs/>
          <w:color w:val="auto"/>
          <w:sz w:val="24"/>
          <w:szCs w:val="21"/>
          <w:highlight w:val="none"/>
        </w:rPr>
      </w:pPr>
      <w:r>
        <w:rPr>
          <w:rFonts w:hint="eastAsia" w:ascii="宋体" w:hAnsi="宋体" w:cs="宋体"/>
          <w:bCs/>
          <w:color w:val="auto"/>
          <w:sz w:val="24"/>
          <w:szCs w:val="21"/>
          <w:highlight w:val="none"/>
        </w:rPr>
        <w:t>日期：_____年____月____日</w:t>
      </w:r>
    </w:p>
    <w:p w14:paraId="461BEB2B">
      <w:pPr>
        <w:pStyle w:val="19"/>
        <w:rPr>
          <w:rFonts w:hint="eastAsia"/>
          <w:color w:val="auto"/>
          <w:highlight w:val="none"/>
        </w:rPr>
      </w:pPr>
    </w:p>
    <w:p w14:paraId="1B2607F5">
      <w:pPr>
        <w:ind w:firstLine="630"/>
        <w:rPr>
          <w:rFonts w:hint="eastAsia"/>
          <w:color w:val="auto"/>
          <w:highlight w:val="none"/>
        </w:rPr>
      </w:pPr>
    </w:p>
    <w:p w14:paraId="4C7FD3D1">
      <w:pPr>
        <w:pStyle w:val="19"/>
        <w:rPr>
          <w:rFonts w:hint="eastAsia"/>
          <w:color w:val="auto"/>
          <w:highlight w:val="none"/>
        </w:rPr>
      </w:pPr>
    </w:p>
    <w:p w14:paraId="0EB1315B">
      <w:pPr>
        <w:ind w:firstLine="630"/>
        <w:rPr>
          <w:rFonts w:hint="eastAsia"/>
          <w:color w:val="auto"/>
          <w:highlight w:val="none"/>
        </w:rPr>
      </w:pPr>
    </w:p>
    <w:p w14:paraId="1076E1C1">
      <w:pPr>
        <w:pStyle w:val="19"/>
        <w:ind w:left="0" w:leftChars="0" w:firstLine="0" w:firstLineChars="0"/>
        <w:outlineLvl w:val="2"/>
        <w:rPr>
          <w:rFonts w:hint="eastAsia"/>
          <w:color w:val="auto"/>
          <w:highlight w:val="none"/>
        </w:rPr>
      </w:pPr>
      <w:r>
        <w:rPr>
          <w:rFonts w:hint="eastAsia"/>
          <w:color w:val="auto"/>
          <w:highlight w:val="none"/>
        </w:rPr>
        <w:t>其他需要补充的材料</w:t>
      </w:r>
    </w:p>
    <w:p w14:paraId="379D7DB0">
      <w:pPr>
        <w:pStyle w:val="19"/>
        <w:ind w:left="0" w:leftChars="0" w:firstLine="0" w:firstLineChars="0"/>
        <w:jc w:val="center"/>
        <w:outlineLvl w:val="0"/>
        <w:rPr>
          <w:rFonts w:hint="eastAsia"/>
          <w:color w:val="auto"/>
          <w:highlight w:val="none"/>
        </w:rPr>
      </w:pPr>
      <w:r>
        <w:rPr>
          <w:rFonts w:hint="eastAsia" w:ascii="宋体" w:hAnsi="宋体" w:cs="宋体"/>
          <w:color w:val="auto"/>
          <w:szCs w:val="21"/>
          <w:highlight w:val="none"/>
        </w:rPr>
        <w:br w:type="page"/>
      </w:r>
      <w:bookmarkStart w:id="1377" w:name="_Toc4767"/>
      <w:bookmarkStart w:id="1378" w:name="_Toc95223515"/>
      <w:r>
        <w:rPr>
          <w:rFonts w:hint="eastAsia" w:ascii="宋体" w:hAnsi="宋体" w:cs="宋体"/>
          <w:bCs/>
          <w:color w:val="auto"/>
          <w:kern w:val="44"/>
          <w:sz w:val="36"/>
          <w:szCs w:val="36"/>
          <w:highlight w:val="none"/>
        </w:rPr>
        <w:t>第六章  工程量清单</w:t>
      </w:r>
      <w:bookmarkEnd w:id="1377"/>
      <w:bookmarkEnd w:id="1378"/>
    </w:p>
    <w:p w14:paraId="645ED2C4">
      <w:pPr>
        <w:keepNext/>
        <w:keepLines/>
        <w:adjustRightInd w:val="0"/>
        <w:snapToGrid w:val="0"/>
        <w:spacing w:line="480" w:lineRule="auto"/>
        <w:outlineLvl w:val="1"/>
        <w:rPr>
          <w:rFonts w:hint="eastAsia" w:ascii="宋体" w:hAnsi="宋体" w:cs="宋体"/>
          <w:b/>
          <w:bCs/>
          <w:color w:val="auto"/>
          <w:sz w:val="32"/>
          <w:szCs w:val="32"/>
          <w:highlight w:val="none"/>
        </w:rPr>
      </w:pPr>
      <w:bookmarkStart w:id="1379" w:name="_Toc95223516"/>
      <w:bookmarkStart w:id="1380" w:name="_Toc1620"/>
      <w:r>
        <w:rPr>
          <w:rFonts w:hint="eastAsia" w:ascii="宋体" w:hAnsi="宋体" w:cs="宋体"/>
          <w:b/>
          <w:bCs/>
          <w:color w:val="auto"/>
          <w:sz w:val="32"/>
          <w:szCs w:val="32"/>
          <w:highlight w:val="none"/>
        </w:rPr>
        <w:t>1. 计价依据</w:t>
      </w:r>
      <w:bookmarkEnd w:id="1379"/>
      <w:bookmarkEnd w:id="1380"/>
    </w:p>
    <w:p w14:paraId="1BE40AC0">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 计价依据的确定符合国家法律法规、现行有关标准与规范，工程所在地的省、市工程定额和工程造价的规定以及工程造价信息要求。</w:t>
      </w:r>
    </w:p>
    <w:p w14:paraId="648ADBB5">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1.2 安全文明施工费按下表执行： </w:t>
      </w:r>
    </w:p>
    <w:tbl>
      <w:tblPr>
        <w:tblStyle w:val="20"/>
        <w:tblW w:w="4751" w:type="pct"/>
        <w:tblInd w:w="2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15"/>
        <w:gridCol w:w="3254"/>
        <w:gridCol w:w="2395"/>
        <w:gridCol w:w="2267"/>
      </w:tblGrid>
      <w:tr w14:paraId="27F38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974" w:type="pct"/>
            <w:vMerge w:val="restart"/>
            <w:tcBorders>
              <w:top w:val="single" w:color="auto" w:sz="4" w:space="0"/>
              <w:left w:val="single" w:color="auto" w:sz="4" w:space="0"/>
              <w:bottom w:val="single" w:color="auto" w:sz="4" w:space="0"/>
              <w:right w:val="single" w:color="auto" w:sz="4" w:space="0"/>
            </w:tcBorders>
            <w:noWrap w:val="0"/>
            <w:vAlign w:val="center"/>
          </w:tcPr>
          <w:p w14:paraId="447942F7">
            <w:pPr>
              <w:adjustRightInd w:val="0"/>
              <w:snapToGrid w:val="0"/>
              <w:spacing w:line="360" w:lineRule="auto"/>
              <w:jc w:val="center"/>
              <w:rPr>
                <w:color w:val="auto"/>
                <w:kern w:val="0"/>
                <w:sz w:val="24"/>
                <w:highlight w:val="none"/>
              </w:rPr>
            </w:pPr>
            <w:r>
              <w:rPr>
                <w:rFonts w:hint="eastAsia"/>
                <w:color w:val="auto"/>
                <w:kern w:val="0"/>
                <w:sz w:val="24"/>
                <w:highlight w:val="none"/>
              </w:rPr>
              <w:t>项目名称</w:t>
            </w:r>
          </w:p>
        </w:tc>
        <w:tc>
          <w:tcPr>
            <w:tcW w:w="1655" w:type="pct"/>
            <w:vMerge w:val="restart"/>
            <w:tcBorders>
              <w:top w:val="single" w:color="auto" w:sz="4" w:space="0"/>
              <w:left w:val="single" w:color="auto" w:sz="4" w:space="0"/>
              <w:bottom w:val="single" w:color="auto" w:sz="4" w:space="0"/>
              <w:right w:val="single" w:color="auto" w:sz="4" w:space="0"/>
            </w:tcBorders>
            <w:noWrap w:val="0"/>
            <w:vAlign w:val="center"/>
          </w:tcPr>
          <w:p w14:paraId="50F90102">
            <w:pPr>
              <w:adjustRightInd w:val="0"/>
              <w:snapToGrid w:val="0"/>
              <w:spacing w:line="360" w:lineRule="auto"/>
              <w:jc w:val="center"/>
              <w:rPr>
                <w:color w:val="auto"/>
                <w:kern w:val="0"/>
                <w:sz w:val="24"/>
                <w:highlight w:val="none"/>
              </w:rPr>
            </w:pPr>
            <w:r>
              <w:rPr>
                <w:rFonts w:hint="eastAsia"/>
                <w:color w:val="auto"/>
                <w:kern w:val="0"/>
                <w:sz w:val="24"/>
                <w:highlight w:val="none"/>
              </w:rPr>
              <w:t>计费基础</w:t>
            </w:r>
          </w:p>
        </w:tc>
        <w:tc>
          <w:tcPr>
            <w:tcW w:w="2372" w:type="pct"/>
            <w:gridSpan w:val="2"/>
            <w:tcBorders>
              <w:top w:val="single" w:color="auto" w:sz="4" w:space="0"/>
              <w:left w:val="single" w:color="auto" w:sz="4" w:space="0"/>
              <w:bottom w:val="single" w:color="auto" w:sz="4" w:space="0"/>
              <w:right w:val="single" w:color="auto" w:sz="4" w:space="0"/>
            </w:tcBorders>
            <w:noWrap w:val="0"/>
            <w:vAlign w:val="center"/>
          </w:tcPr>
          <w:p w14:paraId="4693D932">
            <w:pPr>
              <w:adjustRightInd w:val="0"/>
              <w:snapToGrid w:val="0"/>
              <w:spacing w:line="360" w:lineRule="auto"/>
              <w:jc w:val="center"/>
              <w:rPr>
                <w:color w:val="auto"/>
                <w:kern w:val="0"/>
                <w:sz w:val="24"/>
                <w:highlight w:val="none"/>
              </w:rPr>
            </w:pPr>
            <w:r>
              <w:rPr>
                <w:rFonts w:hint="eastAsia"/>
                <w:color w:val="auto"/>
                <w:kern w:val="0"/>
                <w:sz w:val="24"/>
                <w:highlight w:val="none"/>
              </w:rPr>
              <w:t>费率（%）</w:t>
            </w:r>
          </w:p>
        </w:tc>
      </w:tr>
      <w:tr w14:paraId="0D527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74" w:type="pct"/>
            <w:vMerge w:val="continue"/>
            <w:tcBorders>
              <w:top w:val="single" w:color="auto" w:sz="4" w:space="0"/>
              <w:left w:val="single" w:color="auto" w:sz="4" w:space="0"/>
              <w:bottom w:val="single" w:color="auto" w:sz="4" w:space="0"/>
              <w:right w:val="single" w:color="auto" w:sz="4" w:space="0"/>
            </w:tcBorders>
            <w:noWrap w:val="0"/>
            <w:vAlign w:val="center"/>
          </w:tcPr>
          <w:p w14:paraId="6ED4F6AF">
            <w:pPr>
              <w:widowControl/>
              <w:snapToGrid w:val="0"/>
              <w:spacing w:line="360" w:lineRule="auto"/>
              <w:jc w:val="center"/>
              <w:rPr>
                <w:color w:val="auto"/>
                <w:kern w:val="0"/>
                <w:sz w:val="24"/>
                <w:highlight w:val="none"/>
              </w:rPr>
            </w:pPr>
          </w:p>
        </w:tc>
        <w:tc>
          <w:tcPr>
            <w:tcW w:w="1655" w:type="pct"/>
            <w:vMerge w:val="continue"/>
            <w:tcBorders>
              <w:top w:val="single" w:color="auto" w:sz="4" w:space="0"/>
              <w:left w:val="single" w:color="auto" w:sz="4" w:space="0"/>
              <w:bottom w:val="single" w:color="auto" w:sz="4" w:space="0"/>
              <w:right w:val="single" w:color="auto" w:sz="4" w:space="0"/>
            </w:tcBorders>
            <w:noWrap w:val="0"/>
            <w:vAlign w:val="center"/>
          </w:tcPr>
          <w:p w14:paraId="0FB13A22">
            <w:pPr>
              <w:widowControl/>
              <w:snapToGrid w:val="0"/>
              <w:spacing w:line="360" w:lineRule="auto"/>
              <w:jc w:val="center"/>
              <w:rPr>
                <w:color w:val="auto"/>
                <w:kern w:val="0"/>
                <w:sz w:val="24"/>
                <w:highlight w:val="none"/>
              </w:rPr>
            </w:pPr>
          </w:p>
        </w:tc>
        <w:tc>
          <w:tcPr>
            <w:tcW w:w="1218" w:type="pct"/>
            <w:vMerge w:val="restart"/>
            <w:tcBorders>
              <w:top w:val="single" w:color="auto" w:sz="4" w:space="0"/>
              <w:left w:val="single" w:color="auto" w:sz="4" w:space="0"/>
              <w:bottom w:val="single" w:color="000000" w:sz="4" w:space="0"/>
              <w:right w:val="single" w:color="auto" w:sz="4" w:space="0"/>
            </w:tcBorders>
            <w:noWrap w:val="0"/>
            <w:vAlign w:val="center"/>
          </w:tcPr>
          <w:p w14:paraId="4878DF1E">
            <w:pPr>
              <w:adjustRightInd w:val="0"/>
              <w:snapToGrid w:val="0"/>
              <w:spacing w:line="360" w:lineRule="auto"/>
              <w:jc w:val="center"/>
              <w:rPr>
                <w:color w:val="auto"/>
                <w:kern w:val="0"/>
                <w:sz w:val="24"/>
                <w:highlight w:val="none"/>
              </w:rPr>
            </w:pPr>
            <w:r>
              <w:rPr>
                <w:rFonts w:hint="eastAsia"/>
                <w:color w:val="auto"/>
                <w:kern w:val="0"/>
                <w:sz w:val="24"/>
                <w:highlight w:val="none"/>
              </w:rPr>
              <w:t>建筑工程</w:t>
            </w:r>
          </w:p>
        </w:tc>
        <w:tc>
          <w:tcPr>
            <w:tcW w:w="1154" w:type="pct"/>
            <w:vMerge w:val="restart"/>
            <w:tcBorders>
              <w:top w:val="single" w:color="auto" w:sz="4" w:space="0"/>
              <w:left w:val="single" w:color="auto" w:sz="4" w:space="0"/>
              <w:right w:val="single" w:color="auto" w:sz="4" w:space="0"/>
            </w:tcBorders>
            <w:noWrap w:val="0"/>
            <w:vAlign w:val="center"/>
          </w:tcPr>
          <w:p w14:paraId="1E12816D">
            <w:pPr>
              <w:adjustRightInd w:val="0"/>
              <w:snapToGrid w:val="0"/>
              <w:spacing w:line="360" w:lineRule="auto"/>
              <w:jc w:val="center"/>
              <w:rPr>
                <w:rFonts w:eastAsia="仿宋"/>
                <w:color w:val="auto"/>
                <w:kern w:val="0"/>
                <w:sz w:val="24"/>
                <w:highlight w:val="none"/>
              </w:rPr>
            </w:pPr>
            <w:r>
              <w:rPr>
                <w:rFonts w:hint="eastAsia"/>
                <w:color w:val="auto"/>
                <w:kern w:val="0"/>
                <w:sz w:val="24"/>
                <w:highlight w:val="none"/>
              </w:rPr>
              <w:t>市政公用工程</w:t>
            </w:r>
          </w:p>
        </w:tc>
      </w:tr>
      <w:tr w14:paraId="487E5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974" w:type="pct"/>
            <w:vMerge w:val="continue"/>
            <w:tcBorders>
              <w:top w:val="single" w:color="000000" w:sz="4" w:space="0"/>
              <w:left w:val="single" w:color="auto" w:sz="4" w:space="0"/>
              <w:bottom w:val="single" w:color="auto" w:sz="4" w:space="0"/>
              <w:right w:val="single" w:color="auto" w:sz="4" w:space="0"/>
            </w:tcBorders>
            <w:noWrap w:val="0"/>
            <w:vAlign w:val="center"/>
          </w:tcPr>
          <w:p w14:paraId="2B70E0F8">
            <w:pPr>
              <w:widowControl/>
              <w:snapToGrid w:val="0"/>
              <w:spacing w:line="360" w:lineRule="auto"/>
              <w:jc w:val="center"/>
              <w:rPr>
                <w:color w:val="auto"/>
                <w:kern w:val="0"/>
                <w:sz w:val="24"/>
                <w:highlight w:val="none"/>
              </w:rPr>
            </w:pPr>
          </w:p>
        </w:tc>
        <w:tc>
          <w:tcPr>
            <w:tcW w:w="1655" w:type="pct"/>
            <w:vMerge w:val="continue"/>
            <w:tcBorders>
              <w:top w:val="single" w:color="000000" w:sz="4" w:space="0"/>
              <w:left w:val="single" w:color="auto" w:sz="4" w:space="0"/>
              <w:bottom w:val="single" w:color="auto" w:sz="4" w:space="0"/>
              <w:right w:val="single" w:color="auto" w:sz="4" w:space="0"/>
            </w:tcBorders>
            <w:noWrap w:val="0"/>
            <w:vAlign w:val="center"/>
          </w:tcPr>
          <w:p w14:paraId="6307D155">
            <w:pPr>
              <w:widowControl/>
              <w:snapToGrid w:val="0"/>
              <w:spacing w:line="360" w:lineRule="auto"/>
              <w:jc w:val="center"/>
              <w:rPr>
                <w:color w:val="auto"/>
                <w:kern w:val="0"/>
                <w:sz w:val="24"/>
                <w:highlight w:val="none"/>
              </w:rPr>
            </w:pPr>
          </w:p>
        </w:tc>
        <w:tc>
          <w:tcPr>
            <w:tcW w:w="1218" w:type="pct"/>
            <w:vMerge w:val="continue"/>
            <w:tcBorders>
              <w:top w:val="single" w:color="000000" w:sz="4" w:space="0"/>
              <w:left w:val="single" w:color="auto" w:sz="4" w:space="0"/>
              <w:bottom w:val="single" w:color="auto" w:sz="4" w:space="0"/>
              <w:right w:val="single" w:color="auto" w:sz="4" w:space="0"/>
            </w:tcBorders>
            <w:noWrap w:val="0"/>
            <w:vAlign w:val="center"/>
          </w:tcPr>
          <w:p w14:paraId="7AEDBAD2">
            <w:pPr>
              <w:adjustRightInd w:val="0"/>
              <w:snapToGrid w:val="0"/>
              <w:spacing w:line="360" w:lineRule="auto"/>
              <w:jc w:val="center"/>
              <w:rPr>
                <w:color w:val="auto"/>
                <w:kern w:val="0"/>
                <w:sz w:val="24"/>
                <w:highlight w:val="none"/>
              </w:rPr>
            </w:pPr>
          </w:p>
        </w:tc>
        <w:tc>
          <w:tcPr>
            <w:tcW w:w="1154" w:type="pct"/>
            <w:vMerge w:val="continue"/>
            <w:tcBorders>
              <w:left w:val="single" w:color="auto" w:sz="4" w:space="0"/>
              <w:bottom w:val="single" w:color="auto" w:sz="4" w:space="0"/>
              <w:right w:val="single" w:color="auto" w:sz="4" w:space="0"/>
            </w:tcBorders>
            <w:noWrap w:val="0"/>
            <w:vAlign w:val="center"/>
          </w:tcPr>
          <w:p w14:paraId="63FF21E3">
            <w:pPr>
              <w:adjustRightInd w:val="0"/>
              <w:snapToGrid w:val="0"/>
              <w:spacing w:line="360" w:lineRule="auto"/>
              <w:jc w:val="center"/>
              <w:rPr>
                <w:color w:val="auto"/>
                <w:kern w:val="0"/>
                <w:sz w:val="24"/>
                <w:highlight w:val="none"/>
              </w:rPr>
            </w:pPr>
          </w:p>
        </w:tc>
      </w:tr>
      <w:tr w14:paraId="66EA2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74" w:type="pct"/>
            <w:tcBorders>
              <w:top w:val="single" w:color="auto" w:sz="4" w:space="0"/>
              <w:left w:val="single" w:color="auto" w:sz="4" w:space="0"/>
              <w:bottom w:val="single" w:color="000000" w:sz="4" w:space="0"/>
              <w:right w:val="single" w:color="auto" w:sz="4" w:space="0"/>
            </w:tcBorders>
            <w:noWrap w:val="0"/>
            <w:vAlign w:val="center"/>
          </w:tcPr>
          <w:p w14:paraId="0EA6F7D5">
            <w:pPr>
              <w:adjustRightInd w:val="0"/>
              <w:snapToGrid w:val="0"/>
              <w:spacing w:line="360" w:lineRule="auto"/>
              <w:jc w:val="center"/>
              <w:rPr>
                <w:color w:val="auto"/>
                <w:kern w:val="0"/>
                <w:sz w:val="24"/>
                <w:highlight w:val="none"/>
              </w:rPr>
            </w:pPr>
            <w:r>
              <w:rPr>
                <w:rFonts w:hint="eastAsia"/>
                <w:color w:val="auto"/>
                <w:kern w:val="0"/>
                <w:sz w:val="24"/>
                <w:highlight w:val="none"/>
              </w:rPr>
              <w:t>环境保护费</w:t>
            </w:r>
          </w:p>
        </w:tc>
        <w:tc>
          <w:tcPr>
            <w:tcW w:w="1655" w:type="pct"/>
            <w:vMerge w:val="restart"/>
            <w:tcBorders>
              <w:top w:val="single" w:color="auto" w:sz="4" w:space="0"/>
              <w:left w:val="single" w:color="auto" w:sz="4" w:space="0"/>
              <w:bottom w:val="single" w:color="auto" w:sz="4" w:space="0"/>
              <w:right w:val="single" w:color="auto" w:sz="4" w:space="0"/>
            </w:tcBorders>
            <w:noWrap w:val="0"/>
            <w:vAlign w:val="center"/>
          </w:tcPr>
          <w:p w14:paraId="05190D8F">
            <w:pPr>
              <w:adjustRightInd w:val="0"/>
              <w:snapToGrid w:val="0"/>
              <w:spacing w:line="360" w:lineRule="auto"/>
              <w:jc w:val="center"/>
              <w:rPr>
                <w:color w:val="auto"/>
                <w:kern w:val="0"/>
                <w:sz w:val="24"/>
                <w:highlight w:val="none"/>
              </w:rPr>
            </w:pPr>
            <w:r>
              <w:rPr>
                <w:rFonts w:hint="eastAsia"/>
                <w:color w:val="auto"/>
                <w:kern w:val="0"/>
                <w:sz w:val="24"/>
                <w:highlight w:val="none"/>
              </w:rPr>
              <w:t>定额人工费+定额机械费</w:t>
            </w:r>
          </w:p>
        </w:tc>
        <w:tc>
          <w:tcPr>
            <w:tcW w:w="1218" w:type="pct"/>
            <w:tcBorders>
              <w:top w:val="single" w:color="auto" w:sz="4" w:space="0"/>
              <w:left w:val="single" w:color="auto" w:sz="4" w:space="0"/>
              <w:bottom w:val="single" w:color="auto" w:sz="4" w:space="0"/>
              <w:right w:val="single" w:color="auto" w:sz="4" w:space="0"/>
            </w:tcBorders>
            <w:noWrap w:val="0"/>
            <w:vAlign w:val="center"/>
          </w:tcPr>
          <w:p w14:paraId="471D425A">
            <w:pPr>
              <w:adjustRightInd w:val="0"/>
              <w:snapToGrid w:val="0"/>
              <w:spacing w:line="360" w:lineRule="auto"/>
              <w:jc w:val="center"/>
              <w:rPr>
                <w:color w:val="auto"/>
                <w:kern w:val="0"/>
                <w:sz w:val="24"/>
                <w:highlight w:val="none"/>
              </w:rPr>
            </w:pPr>
            <w:r>
              <w:rPr>
                <w:rFonts w:hint="eastAsia"/>
                <w:color w:val="auto"/>
                <w:kern w:val="0"/>
                <w:sz w:val="24"/>
                <w:highlight w:val="none"/>
              </w:rPr>
              <w:t>3.28</w:t>
            </w:r>
          </w:p>
        </w:tc>
        <w:tc>
          <w:tcPr>
            <w:tcW w:w="1154" w:type="pct"/>
            <w:tcBorders>
              <w:top w:val="single" w:color="auto" w:sz="4" w:space="0"/>
              <w:left w:val="single" w:color="auto" w:sz="4" w:space="0"/>
              <w:bottom w:val="single" w:color="auto" w:sz="4" w:space="0"/>
              <w:right w:val="single" w:color="auto" w:sz="4" w:space="0"/>
            </w:tcBorders>
            <w:noWrap w:val="0"/>
            <w:vAlign w:val="center"/>
          </w:tcPr>
          <w:p w14:paraId="51A5EC8C">
            <w:pPr>
              <w:adjustRightInd w:val="0"/>
              <w:snapToGrid w:val="0"/>
              <w:spacing w:line="360" w:lineRule="auto"/>
              <w:jc w:val="center"/>
              <w:rPr>
                <w:rFonts w:eastAsia="仿宋"/>
                <w:color w:val="auto"/>
                <w:kern w:val="0"/>
                <w:sz w:val="24"/>
                <w:highlight w:val="none"/>
              </w:rPr>
            </w:pPr>
            <w:r>
              <w:rPr>
                <w:rFonts w:hint="eastAsia"/>
                <w:color w:val="auto"/>
                <w:kern w:val="0"/>
                <w:sz w:val="24"/>
                <w:highlight w:val="none"/>
              </w:rPr>
              <w:t>3.57</w:t>
            </w:r>
          </w:p>
        </w:tc>
      </w:tr>
      <w:tr w14:paraId="728A5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74" w:type="pct"/>
            <w:tcBorders>
              <w:top w:val="single" w:color="auto" w:sz="4" w:space="0"/>
              <w:left w:val="single" w:color="auto" w:sz="4" w:space="0"/>
              <w:bottom w:val="single" w:color="auto" w:sz="4" w:space="0"/>
              <w:right w:val="single" w:color="auto" w:sz="4" w:space="0"/>
            </w:tcBorders>
            <w:noWrap w:val="0"/>
            <w:vAlign w:val="center"/>
          </w:tcPr>
          <w:p w14:paraId="0C2E45D8">
            <w:pPr>
              <w:adjustRightInd w:val="0"/>
              <w:snapToGrid w:val="0"/>
              <w:spacing w:line="360" w:lineRule="auto"/>
              <w:jc w:val="center"/>
              <w:rPr>
                <w:color w:val="auto"/>
                <w:kern w:val="0"/>
                <w:sz w:val="24"/>
                <w:highlight w:val="none"/>
              </w:rPr>
            </w:pPr>
            <w:r>
              <w:rPr>
                <w:rFonts w:hint="eastAsia"/>
                <w:color w:val="auto"/>
                <w:kern w:val="0"/>
                <w:sz w:val="24"/>
                <w:highlight w:val="none"/>
              </w:rPr>
              <w:t>文明施工费</w:t>
            </w:r>
          </w:p>
        </w:tc>
        <w:tc>
          <w:tcPr>
            <w:tcW w:w="1655" w:type="pct"/>
            <w:vMerge w:val="continue"/>
            <w:tcBorders>
              <w:top w:val="single" w:color="auto" w:sz="4" w:space="0"/>
              <w:left w:val="single" w:color="auto" w:sz="4" w:space="0"/>
              <w:bottom w:val="single" w:color="auto" w:sz="4" w:space="0"/>
              <w:right w:val="single" w:color="auto" w:sz="4" w:space="0"/>
            </w:tcBorders>
            <w:noWrap w:val="0"/>
            <w:vAlign w:val="center"/>
          </w:tcPr>
          <w:p w14:paraId="1D5560FD">
            <w:pPr>
              <w:widowControl/>
              <w:snapToGrid w:val="0"/>
              <w:spacing w:line="360" w:lineRule="auto"/>
              <w:jc w:val="center"/>
              <w:rPr>
                <w:color w:val="auto"/>
                <w:kern w:val="0"/>
                <w:sz w:val="24"/>
                <w:highlight w:val="none"/>
              </w:rPr>
            </w:pPr>
          </w:p>
        </w:tc>
        <w:tc>
          <w:tcPr>
            <w:tcW w:w="1218" w:type="pct"/>
            <w:tcBorders>
              <w:top w:val="single" w:color="auto" w:sz="4" w:space="0"/>
              <w:left w:val="single" w:color="auto" w:sz="4" w:space="0"/>
              <w:bottom w:val="single" w:color="auto" w:sz="4" w:space="0"/>
              <w:right w:val="single" w:color="auto" w:sz="4" w:space="0"/>
            </w:tcBorders>
            <w:noWrap w:val="0"/>
            <w:vAlign w:val="center"/>
          </w:tcPr>
          <w:p w14:paraId="0175B3AD">
            <w:pPr>
              <w:adjustRightInd w:val="0"/>
              <w:snapToGrid w:val="0"/>
              <w:spacing w:line="360" w:lineRule="auto"/>
              <w:jc w:val="center"/>
              <w:rPr>
                <w:color w:val="auto"/>
                <w:kern w:val="0"/>
                <w:sz w:val="24"/>
                <w:highlight w:val="none"/>
              </w:rPr>
            </w:pPr>
            <w:r>
              <w:rPr>
                <w:rFonts w:hint="eastAsia"/>
                <w:color w:val="auto"/>
                <w:kern w:val="0"/>
                <w:sz w:val="24"/>
                <w:highlight w:val="none"/>
              </w:rPr>
              <w:t>5.12</w:t>
            </w:r>
          </w:p>
        </w:tc>
        <w:tc>
          <w:tcPr>
            <w:tcW w:w="1154" w:type="pct"/>
            <w:tcBorders>
              <w:top w:val="single" w:color="auto" w:sz="4" w:space="0"/>
              <w:left w:val="single" w:color="auto" w:sz="4" w:space="0"/>
              <w:bottom w:val="single" w:color="auto" w:sz="4" w:space="0"/>
              <w:right w:val="single" w:color="auto" w:sz="4" w:space="0"/>
            </w:tcBorders>
            <w:noWrap w:val="0"/>
            <w:vAlign w:val="center"/>
          </w:tcPr>
          <w:p w14:paraId="57F3A165">
            <w:pPr>
              <w:adjustRightInd w:val="0"/>
              <w:snapToGrid w:val="0"/>
              <w:spacing w:line="360" w:lineRule="auto"/>
              <w:jc w:val="center"/>
              <w:rPr>
                <w:rFonts w:eastAsia="仿宋"/>
                <w:color w:val="auto"/>
                <w:kern w:val="0"/>
                <w:sz w:val="24"/>
                <w:highlight w:val="none"/>
              </w:rPr>
            </w:pPr>
            <w:r>
              <w:rPr>
                <w:rFonts w:hint="eastAsia"/>
                <w:color w:val="auto"/>
                <w:kern w:val="0"/>
                <w:sz w:val="24"/>
                <w:highlight w:val="none"/>
              </w:rPr>
              <w:t>7.33</w:t>
            </w:r>
          </w:p>
        </w:tc>
      </w:tr>
      <w:tr w14:paraId="49584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74" w:type="pct"/>
            <w:tcBorders>
              <w:top w:val="single" w:color="auto" w:sz="4" w:space="0"/>
              <w:left w:val="single" w:color="auto" w:sz="4" w:space="0"/>
              <w:bottom w:val="single" w:color="auto" w:sz="4" w:space="0"/>
              <w:right w:val="single" w:color="auto" w:sz="4" w:space="0"/>
            </w:tcBorders>
            <w:noWrap w:val="0"/>
            <w:vAlign w:val="center"/>
          </w:tcPr>
          <w:p w14:paraId="5F142F0D">
            <w:pPr>
              <w:adjustRightInd w:val="0"/>
              <w:snapToGrid w:val="0"/>
              <w:spacing w:line="360" w:lineRule="auto"/>
              <w:jc w:val="center"/>
              <w:rPr>
                <w:color w:val="auto"/>
                <w:kern w:val="0"/>
                <w:sz w:val="24"/>
                <w:highlight w:val="none"/>
              </w:rPr>
            </w:pPr>
            <w:r>
              <w:rPr>
                <w:rFonts w:hint="eastAsia"/>
                <w:color w:val="auto"/>
                <w:kern w:val="0"/>
                <w:sz w:val="24"/>
                <w:highlight w:val="none"/>
              </w:rPr>
              <w:t>安全施工费</w:t>
            </w:r>
          </w:p>
        </w:tc>
        <w:tc>
          <w:tcPr>
            <w:tcW w:w="1655" w:type="pct"/>
            <w:vMerge w:val="continue"/>
            <w:tcBorders>
              <w:top w:val="single" w:color="auto" w:sz="4" w:space="0"/>
              <w:left w:val="single" w:color="auto" w:sz="4" w:space="0"/>
              <w:bottom w:val="single" w:color="auto" w:sz="4" w:space="0"/>
              <w:right w:val="single" w:color="auto" w:sz="4" w:space="0"/>
            </w:tcBorders>
            <w:noWrap w:val="0"/>
            <w:vAlign w:val="center"/>
          </w:tcPr>
          <w:p w14:paraId="6E9D59B9">
            <w:pPr>
              <w:widowControl/>
              <w:snapToGrid w:val="0"/>
              <w:spacing w:line="360" w:lineRule="auto"/>
              <w:jc w:val="center"/>
              <w:rPr>
                <w:color w:val="auto"/>
                <w:kern w:val="0"/>
                <w:sz w:val="24"/>
                <w:highlight w:val="none"/>
              </w:rPr>
            </w:pPr>
          </w:p>
        </w:tc>
        <w:tc>
          <w:tcPr>
            <w:tcW w:w="1218" w:type="pct"/>
            <w:tcBorders>
              <w:top w:val="single" w:color="auto" w:sz="4" w:space="0"/>
              <w:left w:val="single" w:color="auto" w:sz="4" w:space="0"/>
              <w:bottom w:val="single" w:color="auto" w:sz="4" w:space="0"/>
              <w:right w:val="single" w:color="auto" w:sz="4" w:space="0"/>
            </w:tcBorders>
            <w:noWrap w:val="0"/>
            <w:vAlign w:val="center"/>
          </w:tcPr>
          <w:p w14:paraId="63A8A38D">
            <w:pPr>
              <w:adjustRightInd w:val="0"/>
              <w:snapToGrid w:val="0"/>
              <w:spacing w:line="360" w:lineRule="auto"/>
              <w:jc w:val="center"/>
              <w:rPr>
                <w:color w:val="auto"/>
                <w:kern w:val="0"/>
                <w:sz w:val="24"/>
                <w:highlight w:val="none"/>
              </w:rPr>
            </w:pPr>
            <w:r>
              <w:rPr>
                <w:rFonts w:hint="eastAsia"/>
                <w:color w:val="auto"/>
                <w:kern w:val="0"/>
                <w:sz w:val="24"/>
                <w:highlight w:val="none"/>
              </w:rPr>
              <w:t>4.13</w:t>
            </w:r>
          </w:p>
        </w:tc>
        <w:tc>
          <w:tcPr>
            <w:tcW w:w="1154" w:type="pct"/>
            <w:tcBorders>
              <w:top w:val="single" w:color="auto" w:sz="4" w:space="0"/>
              <w:left w:val="single" w:color="auto" w:sz="4" w:space="0"/>
              <w:bottom w:val="single" w:color="auto" w:sz="4" w:space="0"/>
              <w:right w:val="single" w:color="auto" w:sz="4" w:space="0"/>
            </w:tcBorders>
            <w:noWrap w:val="0"/>
            <w:vAlign w:val="center"/>
          </w:tcPr>
          <w:p w14:paraId="05F28428">
            <w:pPr>
              <w:adjustRightInd w:val="0"/>
              <w:snapToGrid w:val="0"/>
              <w:spacing w:line="360" w:lineRule="auto"/>
              <w:jc w:val="center"/>
              <w:rPr>
                <w:rFonts w:eastAsia="仿宋"/>
                <w:color w:val="auto"/>
                <w:kern w:val="0"/>
                <w:sz w:val="24"/>
                <w:highlight w:val="none"/>
              </w:rPr>
            </w:pPr>
            <w:r>
              <w:rPr>
                <w:rFonts w:hint="eastAsia"/>
                <w:color w:val="auto"/>
                <w:kern w:val="0"/>
                <w:sz w:val="24"/>
                <w:highlight w:val="none"/>
              </w:rPr>
              <w:t>5.28</w:t>
            </w:r>
          </w:p>
        </w:tc>
      </w:tr>
      <w:tr w14:paraId="7D6EE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74" w:type="pct"/>
            <w:tcBorders>
              <w:top w:val="single" w:color="auto" w:sz="4" w:space="0"/>
              <w:left w:val="single" w:color="auto" w:sz="4" w:space="0"/>
              <w:bottom w:val="single" w:color="auto" w:sz="4" w:space="0"/>
              <w:right w:val="single" w:color="auto" w:sz="4" w:space="0"/>
            </w:tcBorders>
            <w:noWrap w:val="0"/>
            <w:vAlign w:val="center"/>
          </w:tcPr>
          <w:p w14:paraId="66722478">
            <w:pPr>
              <w:adjustRightInd w:val="0"/>
              <w:snapToGrid w:val="0"/>
              <w:spacing w:line="360" w:lineRule="auto"/>
              <w:jc w:val="center"/>
              <w:rPr>
                <w:color w:val="auto"/>
                <w:kern w:val="0"/>
                <w:sz w:val="24"/>
                <w:highlight w:val="none"/>
              </w:rPr>
            </w:pPr>
            <w:r>
              <w:rPr>
                <w:rFonts w:hint="eastAsia"/>
                <w:color w:val="auto"/>
                <w:kern w:val="0"/>
                <w:sz w:val="24"/>
                <w:highlight w:val="none"/>
              </w:rPr>
              <w:t>临时设施费</w:t>
            </w:r>
          </w:p>
        </w:tc>
        <w:tc>
          <w:tcPr>
            <w:tcW w:w="1655" w:type="pct"/>
            <w:vMerge w:val="continue"/>
            <w:tcBorders>
              <w:top w:val="single" w:color="auto" w:sz="4" w:space="0"/>
              <w:left w:val="single" w:color="auto" w:sz="4" w:space="0"/>
              <w:bottom w:val="single" w:color="auto" w:sz="4" w:space="0"/>
              <w:right w:val="single" w:color="auto" w:sz="4" w:space="0"/>
            </w:tcBorders>
            <w:noWrap w:val="0"/>
            <w:vAlign w:val="center"/>
          </w:tcPr>
          <w:p w14:paraId="715756FE">
            <w:pPr>
              <w:widowControl/>
              <w:snapToGrid w:val="0"/>
              <w:spacing w:line="360" w:lineRule="auto"/>
              <w:jc w:val="center"/>
              <w:rPr>
                <w:color w:val="auto"/>
                <w:kern w:val="0"/>
                <w:sz w:val="24"/>
                <w:highlight w:val="none"/>
              </w:rPr>
            </w:pPr>
          </w:p>
        </w:tc>
        <w:tc>
          <w:tcPr>
            <w:tcW w:w="1218" w:type="pct"/>
            <w:tcBorders>
              <w:top w:val="single" w:color="auto" w:sz="4" w:space="0"/>
              <w:left w:val="single" w:color="auto" w:sz="4" w:space="0"/>
              <w:bottom w:val="single" w:color="auto" w:sz="4" w:space="0"/>
              <w:right w:val="single" w:color="auto" w:sz="4" w:space="0"/>
            </w:tcBorders>
            <w:noWrap w:val="0"/>
            <w:vAlign w:val="center"/>
          </w:tcPr>
          <w:p w14:paraId="51546BEF">
            <w:pPr>
              <w:adjustRightInd w:val="0"/>
              <w:snapToGrid w:val="0"/>
              <w:spacing w:line="360" w:lineRule="auto"/>
              <w:jc w:val="center"/>
              <w:rPr>
                <w:color w:val="auto"/>
                <w:kern w:val="0"/>
                <w:sz w:val="24"/>
                <w:highlight w:val="none"/>
              </w:rPr>
            </w:pPr>
            <w:r>
              <w:rPr>
                <w:rFonts w:hint="eastAsia"/>
                <w:color w:val="auto"/>
                <w:kern w:val="0"/>
                <w:sz w:val="24"/>
                <w:highlight w:val="none"/>
              </w:rPr>
              <w:t>8.10</w:t>
            </w:r>
          </w:p>
        </w:tc>
        <w:tc>
          <w:tcPr>
            <w:tcW w:w="1154" w:type="pct"/>
            <w:tcBorders>
              <w:top w:val="single" w:color="auto" w:sz="4" w:space="0"/>
              <w:left w:val="single" w:color="auto" w:sz="4" w:space="0"/>
              <w:bottom w:val="single" w:color="auto" w:sz="4" w:space="0"/>
              <w:right w:val="single" w:color="auto" w:sz="4" w:space="0"/>
            </w:tcBorders>
            <w:noWrap w:val="0"/>
            <w:vAlign w:val="center"/>
          </w:tcPr>
          <w:p w14:paraId="0B9A6675">
            <w:pPr>
              <w:adjustRightInd w:val="0"/>
              <w:snapToGrid w:val="0"/>
              <w:spacing w:line="360" w:lineRule="auto"/>
              <w:jc w:val="center"/>
              <w:rPr>
                <w:rFonts w:eastAsia="仿宋"/>
                <w:color w:val="auto"/>
                <w:kern w:val="0"/>
                <w:sz w:val="24"/>
                <w:highlight w:val="none"/>
              </w:rPr>
            </w:pPr>
            <w:r>
              <w:rPr>
                <w:rFonts w:hint="eastAsia"/>
                <w:color w:val="auto"/>
                <w:kern w:val="0"/>
                <w:sz w:val="24"/>
                <w:highlight w:val="none"/>
              </w:rPr>
              <w:t>9.99</w:t>
            </w:r>
          </w:p>
        </w:tc>
      </w:tr>
    </w:tbl>
    <w:p w14:paraId="458BA74A">
      <w:pPr>
        <w:pStyle w:val="19"/>
        <w:ind w:left="0" w:leftChars="0" w:firstLine="0" w:firstLineChars="0"/>
        <w:rPr>
          <w:rFonts w:hint="eastAsia"/>
          <w:color w:val="auto"/>
          <w:highlight w:val="none"/>
        </w:rPr>
      </w:pPr>
    </w:p>
    <w:p w14:paraId="271A2966">
      <w:pPr>
        <w:keepNext/>
        <w:keepLines/>
        <w:adjustRightInd w:val="0"/>
        <w:snapToGrid w:val="0"/>
        <w:spacing w:line="480" w:lineRule="exact"/>
        <w:outlineLvl w:val="1"/>
        <w:rPr>
          <w:rFonts w:hint="eastAsia" w:ascii="宋体" w:hAnsi="宋体" w:cs="宋体"/>
          <w:b/>
          <w:bCs/>
          <w:color w:val="auto"/>
          <w:sz w:val="32"/>
          <w:szCs w:val="32"/>
          <w:highlight w:val="none"/>
        </w:rPr>
      </w:pPr>
      <w:bookmarkStart w:id="1381" w:name="_Toc7039"/>
      <w:bookmarkStart w:id="1382" w:name="_Toc95223517"/>
      <w:r>
        <w:rPr>
          <w:rFonts w:hint="eastAsia" w:ascii="宋体" w:hAnsi="宋体" w:cs="宋体"/>
          <w:b/>
          <w:bCs/>
          <w:color w:val="auto"/>
          <w:sz w:val="32"/>
          <w:szCs w:val="32"/>
          <w:highlight w:val="none"/>
        </w:rPr>
        <w:t>2. 工程造价确定</w:t>
      </w:r>
      <w:bookmarkEnd w:id="1381"/>
      <w:bookmarkEnd w:id="1382"/>
    </w:p>
    <w:p w14:paraId="72BA330B">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 本项目采用工程量清单计价。</w:t>
      </w:r>
    </w:p>
    <w:p w14:paraId="718BBA2F">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 除招标文件另有约定外，本项目计税采用增值税一般计税方法。</w:t>
      </w:r>
    </w:p>
    <w:p w14:paraId="28346419">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 建设工程造价由分部分项工程费、措施项目费、不可竞争费、其他项目费、安全生产责任保险费和增值税构成。</w:t>
      </w:r>
    </w:p>
    <w:p w14:paraId="52A5C194">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 分部分项工程项目清单采用综合单价计价。综合单价是指完成一个规定计量单位的分部分项工程和措施清单项目所需的人工费、材料和工程设备费、施工机具使用费和综合费（企业管理费和利润）以及一定范围内的风险费用。</w:t>
      </w:r>
    </w:p>
    <w:p w14:paraId="4CDB0B2D">
      <w:pPr>
        <w:keepNext/>
        <w:keepLines/>
        <w:adjustRightInd w:val="0"/>
        <w:snapToGrid w:val="0"/>
        <w:spacing w:line="360" w:lineRule="auto"/>
        <w:outlineLvl w:val="1"/>
        <w:rPr>
          <w:rFonts w:hint="eastAsia" w:ascii="宋体" w:hAnsi="宋体" w:cs="宋体"/>
          <w:b/>
          <w:bCs/>
          <w:color w:val="auto"/>
          <w:sz w:val="32"/>
          <w:szCs w:val="32"/>
          <w:highlight w:val="none"/>
        </w:rPr>
      </w:pPr>
      <w:bookmarkStart w:id="1383" w:name="_Toc95223518"/>
      <w:bookmarkStart w:id="1384" w:name="_Toc19788"/>
      <w:r>
        <w:rPr>
          <w:rFonts w:hint="eastAsia" w:ascii="宋体" w:hAnsi="宋体" w:cs="宋体"/>
          <w:b/>
          <w:bCs/>
          <w:color w:val="auto"/>
          <w:sz w:val="32"/>
          <w:szCs w:val="32"/>
          <w:highlight w:val="none"/>
        </w:rPr>
        <w:t>3. 招标工程量清单编制要求</w:t>
      </w:r>
      <w:bookmarkEnd w:id="1383"/>
      <w:bookmarkEnd w:id="1384"/>
    </w:p>
    <w:p w14:paraId="60434FBF">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 招标工程量清单编制依据如下：</w:t>
      </w:r>
    </w:p>
    <w:p w14:paraId="117059F2">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（1）2018版安徽省建设工程工程量清单计价办法；</w:t>
      </w:r>
    </w:p>
    <w:p w14:paraId="4E42682C">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（2）《关于调整安徽省建设工程不可竞争费构成及计费标准的通知》（建标〔2021〕42号）； </w:t>
      </w:r>
    </w:p>
    <w:p w14:paraId="4A85DBE7">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（3）建设工程设计文件及相关资料；</w:t>
      </w:r>
    </w:p>
    <w:p w14:paraId="53272B9F">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（4）与建设项目有关的标准、规范、技术资料；</w:t>
      </w:r>
    </w:p>
    <w:p w14:paraId="07D1BB09">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（5）拟定的招标文件及其补充通知答疑纪要； </w:t>
      </w:r>
    </w:p>
    <w:p w14:paraId="20A568BF">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（6）施工现场情况、地勘水文资料、工程特点及常规施工方案；</w:t>
      </w:r>
    </w:p>
    <w:p w14:paraId="4D77E0A1">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（7）招标人对项目其他相关要求文件。</w:t>
      </w:r>
    </w:p>
    <w:p w14:paraId="6B9EDB24">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 招标工程量清单作为招标文件的组成部分，是编制最高投标限价、投标报价、计算工程量、调整合同价款、办理工程竣工结算以及工程索赔等的依据。</w:t>
      </w:r>
    </w:p>
    <w:p w14:paraId="2FC6434C">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3.3投标人在投标报价过程中有责任和义务对招标人提供的工程量清单进行分析和核对,发现问题应按招标文件要求以书面形式告知招标人。</w:t>
      </w:r>
    </w:p>
    <w:p w14:paraId="26A94062">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3.4工程量清单由分部分项工程量清单、措施项目清单、不可竞争项目清单、其他项目清单、税金项目清单组成。采用统一格式和表格，具体构成内容见“工程量清单”。</w:t>
      </w:r>
    </w:p>
    <w:p w14:paraId="18238E42">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3.5分部分项工程量清单项目特征是结合本工程项目的实际情况予以描述的，对清单项目的技术和质量有要求的，见招标文件技术部分。措施项目清单中通用部分遵循计价规范编制，专业工程措施项目按规定和工程实际情况确定。</w:t>
      </w:r>
    </w:p>
    <w:p w14:paraId="5377D8CA">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3.6招标工程量清单编制范围应与招标文件中明确的工程招标范围一致。工程量清单的组成内容应当完整、项目特征描述应准确全面，与施工图纸保持一致。</w:t>
      </w:r>
    </w:p>
    <w:p w14:paraId="5BBC1485">
      <w:pPr>
        <w:keepNext/>
        <w:keepLines/>
        <w:adjustRightInd w:val="0"/>
        <w:snapToGrid w:val="0"/>
        <w:spacing w:line="360" w:lineRule="auto"/>
        <w:outlineLvl w:val="1"/>
        <w:rPr>
          <w:rFonts w:hint="eastAsia" w:ascii="宋体" w:hAnsi="宋体" w:cs="宋体"/>
          <w:b/>
          <w:bCs/>
          <w:color w:val="auto"/>
          <w:sz w:val="32"/>
          <w:szCs w:val="32"/>
          <w:highlight w:val="none"/>
        </w:rPr>
      </w:pPr>
      <w:bookmarkStart w:id="1385" w:name="_Toc23910"/>
      <w:bookmarkStart w:id="1386" w:name="_Toc95223519"/>
      <w:r>
        <w:rPr>
          <w:rFonts w:hint="eastAsia" w:ascii="宋体" w:hAnsi="宋体" w:cs="宋体"/>
          <w:b/>
          <w:bCs/>
          <w:color w:val="auto"/>
          <w:sz w:val="32"/>
          <w:szCs w:val="32"/>
          <w:highlight w:val="none"/>
        </w:rPr>
        <w:t>4. 最高投标限价编制要求</w:t>
      </w:r>
      <w:bookmarkEnd w:id="1385"/>
      <w:bookmarkEnd w:id="1386"/>
    </w:p>
    <w:p w14:paraId="30DBC068">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4.1 最高投标限价编制依据如下：</w:t>
      </w:r>
    </w:p>
    <w:p w14:paraId="40364DEA">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（1）2018版安徽省建设工程费用定额；</w:t>
      </w:r>
    </w:p>
    <w:p w14:paraId="20C1C19E">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（2）2018版安徽省建设工程施工机械台班费用编制规则；</w:t>
      </w:r>
    </w:p>
    <w:p w14:paraId="77A809E0">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（3）2018版安徽省配套计价定额；</w:t>
      </w:r>
    </w:p>
    <w:p w14:paraId="76C14519">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（4）《关于调整安徽省建设工程不可竞争费构成及计费标准的通知》（建标〔2021〕42号）； </w:t>
      </w:r>
    </w:p>
    <w:p w14:paraId="7DD63A32">
      <w:pPr>
        <w:adjustRightInd w:val="0"/>
        <w:snapToGrid w:val="0"/>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（5）关于发布《安徽省建设工程计价依据动态调整(第</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期)》的公告</w:t>
      </w:r>
      <w:r>
        <w:rPr>
          <w:rFonts w:hint="eastAsia" w:ascii="宋体" w:hAnsi="宋体" w:cs="宋体"/>
          <w:color w:val="auto"/>
          <w:szCs w:val="21"/>
          <w:highlight w:val="none"/>
          <w:lang w:eastAsia="zh-CN"/>
        </w:rPr>
        <w:t>；</w:t>
      </w:r>
    </w:p>
    <w:p w14:paraId="7A9CED04">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（6）建设工程设计文件及相关资料；</w:t>
      </w:r>
    </w:p>
    <w:p w14:paraId="1A8DCCB9">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（7）与建设项目有关的标准、规范、技术资料；</w:t>
      </w:r>
    </w:p>
    <w:p w14:paraId="54CB2E43">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（8）招标文件及招标工程量清单及其补充通知答疑纪要； </w:t>
      </w:r>
    </w:p>
    <w:p w14:paraId="262E96E9">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（9）施工现场情况、工程特点及常规施工方案；</w:t>
      </w:r>
    </w:p>
    <w:p w14:paraId="2A7027F9">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（10）工程造价管理机构发布的工程造价信息（</w:t>
      </w:r>
      <w:r>
        <w:rPr>
          <w:rFonts w:hint="eastAsia" w:ascii="宋体" w:hAnsi="宋体" w:cs="宋体"/>
          <w:color w:val="auto"/>
          <w:szCs w:val="21"/>
          <w:highlight w:val="none"/>
          <w:lang w:val="en-US" w:eastAsia="zh-CN"/>
        </w:rPr>
        <w:t>《滁州市工程造价信息》（2026年第2期）中相对应的不含税价格</w:t>
      </w:r>
      <w:r>
        <w:rPr>
          <w:rFonts w:hint="eastAsia" w:ascii="宋体" w:hAnsi="宋体" w:cs="宋体"/>
          <w:color w:val="auto"/>
          <w:szCs w:val="21"/>
          <w:highlight w:val="none"/>
        </w:rPr>
        <w:t>））；</w:t>
      </w:r>
    </w:p>
    <w:p w14:paraId="7C5FE83D">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（11）施工期间的风险因素；</w:t>
      </w:r>
    </w:p>
    <w:p w14:paraId="3B91912E">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（12）其他相关材料。</w:t>
      </w:r>
    </w:p>
    <w:p w14:paraId="1D43841B">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 最高投标限价为本次招标工程限定的最高投标限价，应当在工程所在地建设主管部门备案。最高投标限价不做上调或下浮。如最高投标限价超过批准的概算，招标人应将其报原概算审批部门审核。</w:t>
      </w:r>
    </w:p>
    <w:p w14:paraId="3392B0D4">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4.3 最高投标限价应采用工程单价计价，正确、全面地使用国家、省市标准、计价定额以及相关文件，成果文件质量应符合相关标准及规程的规定。最高投标限价包括分部分项工程费、措施项目费、不可竞争费、其他项目费和税金。</w:t>
      </w:r>
    </w:p>
    <w:p w14:paraId="00AAAA30">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4.4 分部分项工程费按本招标文件的分部分项工程量清单的特征描述及有关要求，结合第4.1款编制依据确定。</w:t>
      </w:r>
    </w:p>
    <w:p w14:paraId="378800FB">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（1）综合单价中人工和施工机械台班单价按省级和工程所在地的市级工程造价管理机构公布的单价计算；</w:t>
      </w:r>
    </w:p>
    <w:p w14:paraId="19D7B0CE">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（2）综合单价中材料、工程设备单价按省级和工程所在地的市级工程造价管理机构公布的单价以及本招标文件规定的暂估价、市场调查价格计算；</w:t>
      </w:r>
    </w:p>
    <w:p w14:paraId="67060F98">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（3）本招标文件中列有材料、设备暂估价的，按暂估价计算；</w:t>
      </w:r>
    </w:p>
    <w:p w14:paraId="3C8DDDD2">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（4）综合单价中人工、材料和施工机械台班消耗量均按2018版安徽省定额消耗量计算；</w:t>
      </w:r>
    </w:p>
    <w:p w14:paraId="0202687D">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（5）综合单价中综合费费率按2018版安徽省建设工程计价依据；</w:t>
      </w:r>
    </w:p>
    <w:p w14:paraId="0A53503B">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（6）综合单价中应包括招标文件约定的应由投标人承担的风险范围及其费用，风险按本招标文件第4.1款约定计算。</w:t>
      </w:r>
    </w:p>
    <w:p w14:paraId="4332DBE7">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4.5 措施项目费按本招标文件中的措施项目清单，根据拟定的招标文件和常规施工方案确定。对于施工机械设备的选型根据工程特点和施工条件，本着经济实用、先进高效的原则确定。措施项目费依据项目具体情况进行合理确定，复杂项目需按专家论证后的方案编制。</w:t>
      </w:r>
    </w:p>
    <w:p w14:paraId="20A91B64">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4.6 不可竞争费（含安全文明施工费、</w:t>
      </w:r>
      <w:r>
        <w:rPr>
          <w:rFonts w:hint="eastAsia"/>
          <w:color w:val="auto"/>
          <w:highlight w:val="none"/>
        </w:rPr>
        <w:t>环境保护税</w:t>
      </w:r>
      <w:r>
        <w:rPr>
          <w:rFonts w:hint="eastAsia" w:ascii="宋体" w:hAnsi="宋体" w:cs="宋体"/>
          <w:color w:val="auto"/>
          <w:szCs w:val="21"/>
          <w:highlight w:val="none"/>
        </w:rPr>
        <w:t>）按本招标文件中的不可竞争项目清单编制确定。</w:t>
      </w:r>
    </w:p>
    <w:p w14:paraId="075094EC">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4.7 其他项目费用应按照下列规定计价:</w:t>
      </w:r>
    </w:p>
    <w:p w14:paraId="2F217DED">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（1）暂列金额按招标工程量清单中列出的金额填写；</w:t>
      </w:r>
    </w:p>
    <w:p w14:paraId="5D700800">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（2）专业工程暂估价按招标工程量清单中列出的金额填写；</w:t>
      </w:r>
    </w:p>
    <w:p w14:paraId="39EE9A10">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（3）计日工按招标人列出项目和数量，结合第4.1款编制依据的要求确定综合单价并计算费用； </w:t>
      </w:r>
    </w:p>
    <w:p w14:paraId="1AFD391C">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（4）总承包服务费根据招标文件列出的内容和要求计算。</w:t>
      </w:r>
    </w:p>
    <w:p w14:paraId="6130C4C1">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4.8 税金（增值税）按税金项目清单，结合第4.1款编制依据的要求编制，不得降低标准。</w:t>
      </w:r>
    </w:p>
    <w:p w14:paraId="4D968F47">
      <w:pPr>
        <w:keepNext/>
        <w:keepLines/>
        <w:adjustRightInd w:val="0"/>
        <w:snapToGrid w:val="0"/>
        <w:spacing w:line="360" w:lineRule="auto"/>
        <w:outlineLvl w:val="1"/>
        <w:rPr>
          <w:rFonts w:hint="eastAsia" w:ascii="宋体" w:hAnsi="宋体" w:cs="宋体"/>
          <w:b/>
          <w:bCs/>
          <w:color w:val="auto"/>
          <w:sz w:val="32"/>
          <w:szCs w:val="32"/>
          <w:highlight w:val="none"/>
        </w:rPr>
      </w:pPr>
      <w:bookmarkStart w:id="1387" w:name="_Toc4166"/>
      <w:bookmarkStart w:id="1388" w:name="_Toc95223520"/>
      <w:r>
        <w:rPr>
          <w:rFonts w:hint="eastAsia" w:ascii="宋体" w:hAnsi="宋体" w:cs="宋体"/>
          <w:b/>
          <w:bCs/>
          <w:color w:val="auto"/>
          <w:sz w:val="32"/>
          <w:szCs w:val="32"/>
          <w:highlight w:val="none"/>
        </w:rPr>
        <w:t>5. 投标报价参考编制要求</w:t>
      </w:r>
      <w:bookmarkEnd w:id="1387"/>
      <w:bookmarkEnd w:id="1388"/>
    </w:p>
    <w:p w14:paraId="3C7D1B3A">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 投标报价编制参考依据如下：</w:t>
      </w:r>
    </w:p>
    <w:p w14:paraId="5DC205DD">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（1）2018版安徽省建设工程费用定额；</w:t>
      </w:r>
    </w:p>
    <w:p w14:paraId="6BC01A95">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（2）2018版安徽省建设工程施工机械台班费用编制规则；</w:t>
      </w:r>
    </w:p>
    <w:p w14:paraId="22D27384">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（3）2018版安徽省配套计价定额；</w:t>
      </w:r>
    </w:p>
    <w:p w14:paraId="191B2ED8">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（4）《关于调整安徽省建设工程不可竞争费构成及计费标准的通知》（建标〔2021〕42号）； </w:t>
      </w:r>
    </w:p>
    <w:p w14:paraId="49B3DBB7">
      <w:pPr>
        <w:adjustRightInd w:val="0"/>
        <w:snapToGrid w:val="0"/>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（5）关于发布《安徽省建设工程计价依据动态调整(第</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期)》的公告</w:t>
      </w:r>
      <w:r>
        <w:rPr>
          <w:rFonts w:hint="eastAsia" w:ascii="宋体" w:hAnsi="宋体" w:cs="宋体"/>
          <w:color w:val="auto"/>
          <w:szCs w:val="21"/>
          <w:highlight w:val="none"/>
          <w:lang w:eastAsia="zh-CN"/>
        </w:rPr>
        <w:t>；</w:t>
      </w:r>
    </w:p>
    <w:p w14:paraId="10D09B68">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（6）建设工程设计文件及相关资料；</w:t>
      </w:r>
    </w:p>
    <w:p w14:paraId="5EB8C657">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（7）与建设项目有关的标准、规范、技术资料；</w:t>
      </w:r>
    </w:p>
    <w:p w14:paraId="6A4FC34E">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（8）招标文件及招标工程量清单及其补充通知答疑纪要； </w:t>
      </w:r>
    </w:p>
    <w:p w14:paraId="2A641F7A">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（9）施工现场情况、工程特点及常规施工方案；</w:t>
      </w:r>
    </w:p>
    <w:p w14:paraId="210A8DD2">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（10）工程造价管理机构发布的工程造价信息（</w:t>
      </w:r>
      <w:r>
        <w:rPr>
          <w:rFonts w:hint="eastAsia" w:ascii="宋体" w:hAnsi="宋体" w:cs="宋体"/>
          <w:color w:val="auto"/>
          <w:szCs w:val="21"/>
          <w:highlight w:val="none"/>
          <w:lang w:val="en-US" w:eastAsia="zh-CN"/>
        </w:rPr>
        <w:t>《滁州市工程造价信息》（2026年第2期）中相对应的不含税价格</w:t>
      </w:r>
      <w:r>
        <w:rPr>
          <w:rFonts w:hint="eastAsia" w:ascii="宋体" w:hAnsi="宋体" w:cs="宋体"/>
          <w:color w:val="auto"/>
          <w:szCs w:val="21"/>
          <w:highlight w:val="none"/>
        </w:rPr>
        <w:t>））；</w:t>
      </w:r>
    </w:p>
    <w:p w14:paraId="3728741F">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（11）施工期间的风险因素；</w:t>
      </w:r>
    </w:p>
    <w:p w14:paraId="18DAFF8A">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（12）其他相关材料。</w:t>
      </w:r>
    </w:p>
    <w:p w14:paraId="0282BDCE">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 投标人应仔细阅读招标文件，了解拟投标合同段的全部工程内容。投标人的投标报价应是招标文件所确定的招标范围内全部工程内容的价格体现，但其投标报价不得低于投标人个别成本价。</w:t>
      </w:r>
    </w:p>
    <w:p w14:paraId="3268DA74">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 投标人应按招标人提供的招标工程量清单填报综合单价和合价，未填报的综合单价和合价，视为此项费用已合在工程量清单的其他综合单价和合价中。</w:t>
      </w:r>
    </w:p>
    <w:p w14:paraId="3684EFBD">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5.4 分部分项工程费根据招标文件中的工程量清单项目及项目特征描述等确定综合单价。其中综合单价是指完成一个规定清单项目所需的人工费、材料和工程设备费、施工机具使用费和综合费（企业管理费和利润）以及一定范围内投标人承担的风险费用。</w:t>
      </w:r>
    </w:p>
    <w:p w14:paraId="17558238">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5.5 措施项目费根据招标文件中的工程量清单措施项目，结合第5.1款编制依据确定。投标人对招标人所列的措施项目可根据工程实际情况结合施工组织设计进行增补。</w:t>
      </w:r>
    </w:p>
    <w:p w14:paraId="74182A91">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5.6 不可竞争费（含安全文明施工费、</w:t>
      </w:r>
      <w:r>
        <w:rPr>
          <w:rFonts w:hint="eastAsia"/>
          <w:color w:val="auto"/>
          <w:highlight w:val="none"/>
        </w:rPr>
        <w:t>环境保护税</w:t>
      </w:r>
      <w:r>
        <w:rPr>
          <w:rFonts w:hint="eastAsia" w:ascii="宋体" w:hAnsi="宋体" w:cs="宋体"/>
          <w:color w:val="auto"/>
          <w:szCs w:val="21"/>
          <w:highlight w:val="none"/>
        </w:rPr>
        <w:t>）根据工程量清单不可竞争项目，结合第5.1款编制依据确定，安全文明施工费费率不得调整。</w:t>
      </w:r>
    </w:p>
    <w:p w14:paraId="046FF3E9">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5.7 其他项目费用应按照下列规定计价:</w:t>
      </w:r>
    </w:p>
    <w:p w14:paraId="2D00D990">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（1）暂列金额按招标工程量清单中列出的金额填写，不得更改；</w:t>
      </w:r>
    </w:p>
    <w:p w14:paraId="5254F0B8">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（2）专业工程暂估价按招标工程量清单中列出的金额填写，不得更改；</w:t>
      </w:r>
    </w:p>
    <w:p w14:paraId="15B80459">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（3）计日工按招标人列出项目和数量，结合第5.1款编制依据的要求确定综合单价并计算费用； </w:t>
      </w:r>
    </w:p>
    <w:p w14:paraId="137AE1E5">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（4）总承包服务费根据招标文件列出的内容和要求计算。</w:t>
      </w:r>
    </w:p>
    <w:p w14:paraId="51529C70">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5.8 税金（增值税）按税金项目清单，结合第5.1款编制依据的要求编制，不得调整。</w:t>
      </w:r>
    </w:p>
    <w:p w14:paraId="4C95069C">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5.9 投标报价编制注意事项</w:t>
      </w:r>
    </w:p>
    <w:p w14:paraId="6D1C7526">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除可调整价格的主要材料和甲供材及实行暂估价的材料及设备以外，其他由投标人自行采购的材料确定投标报价时应充分考虑材料价格上涨等市场风险因素，中标后不作调整，综合单价中的材料费应包含材料运杂费、采保费等一切应有费用；</w:t>
      </w:r>
    </w:p>
    <w:p w14:paraId="2372BC43">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（2）结算时实行暂估价的材料和设备的价差仅计取税金，不再计取其他费用；</w:t>
      </w:r>
    </w:p>
    <w:p w14:paraId="0F9F2512">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本招标工程的施工地点为本须知前附表所述，投标人应自行到施工现场踏勘以充分了解工地位置、情况、道路、储存空间、装卸限制及任何其他足以影响投标报价的情况，任何因忽视或误解施工场地情况而导致的索赔或工期延长申请将不被批准。对于受施工现场场地限制，如需要另外寻找场地解决临时住宿、材料及设备堆放，由此所产生的费用应包含在投标报价范围内，招标人不再承担该费用；</w:t>
      </w:r>
    </w:p>
    <w:p w14:paraId="18A93C43">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开标前，投标人应认真对照施工设计图纸等文件核对招标人提供的工程量清单，发现工程量存在项目划分误差、计量单位误差、数量误差、遗漏项目的，必须在招标文件规定的时间内向招标人提出异议或修正要求，否则招标人可不予答复；</w:t>
      </w:r>
    </w:p>
    <w:p w14:paraId="265B2EC4">
      <w:pPr>
        <w:adjustRightInd w:val="0"/>
        <w:snapToGrid w:val="0"/>
        <w:spacing w:line="360" w:lineRule="auto"/>
        <w:ind w:firstLine="420" w:firstLineChars="200"/>
        <w:rPr>
          <w:rFonts w:hint="eastAsia" w:ascii="宋体" w:hAnsi="宋体" w:cs="宋体"/>
          <w:b/>
          <w:bCs/>
          <w:color w:val="auto"/>
          <w:szCs w:val="21"/>
          <w:highlight w:val="none"/>
        </w:rPr>
      </w:pPr>
      <w:r>
        <w:rPr>
          <w:rFonts w:hint="eastAsia" w:ascii="宋体" w:hAnsi="宋体" w:cs="宋体"/>
          <w:color w:val="auto"/>
          <w:szCs w:val="21"/>
          <w:highlight w:val="none"/>
        </w:rPr>
        <w:t>（5）招标人对异议或修正要求应进行核实，确认工程量单项子目误差在±3%（含±3%）以内的，招标人可不予调整工程量，投标人应将其误差考虑在综合单价内；若有遗漏项目或单项子目工</w:t>
      </w:r>
      <w:r>
        <w:rPr>
          <w:rFonts w:hint="eastAsia" w:ascii="宋体" w:hAnsi="宋体" w:cs="宋体"/>
          <w:b/>
          <w:bCs/>
          <w:color w:val="auto"/>
          <w:szCs w:val="21"/>
          <w:highlight w:val="none"/>
        </w:rPr>
        <w:t>程量误差超过±3%的，招标人应进行修正并重新公布准确的工程量清单；</w:t>
      </w:r>
    </w:p>
    <w:p w14:paraId="1DD954DA">
      <w:pPr>
        <w:adjustRightInd w:val="0"/>
        <w:snapToGrid w:val="0"/>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（6） 除合同另有约定外，中标人在工程量清单报价书中所报的综合单价在施工图纸和合同约定范围一律不予调整；</w:t>
      </w:r>
    </w:p>
    <w:p w14:paraId="08C2C8F8">
      <w:pPr>
        <w:adjustRightInd w:val="0"/>
        <w:snapToGrid w:val="0"/>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（7）本招标工程不接受恶意不平衡报价，不保证最低价中标。</w:t>
      </w:r>
    </w:p>
    <w:p w14:paraId="542CE806">
      <w:pPr>
        <w:keepNext/>
        <w:keepLines/>
        <w:adjustRightInd w:val="0"/>
        <w:snapToGrid w:val="0"/>
        <w:spacing w:line="360" w:lineRule="auto"/>
        <w:outlineLvl w:val="1"/>
        <w:rPr>
          <w:rFonts w:hint="eastAsia" w:ascii="宋体" w:hAnsi="宋体" w:cs="宋体"/>
          <w:b/>
          <w:bCs/>
          <w:color w:val="auto"/>
          <w:sz w:val="32"/>
          <w:szCs w:val="32"/>
          <w:highlight w:val="none"/>
        </w:rPr>
      </w:pPr>
      <w:bookmarkStart w:id="1389" w:name="_Toc4881"/>
      <w:bookmarkStart w:id="1390" w:name="_Toc95223521"/>
      <w:r>
        <w:rPr>
          <w:rFonts w:hint="eastAsia" w:ascii="宋体" w:hAnsi="宋体" w:cs="宋体"/>
          <w:b/>
          <w:bCs/>
          <w:color w:val="auto"/>
          <w:sz w:val="32"/>
          <w:szCs w:val="32"/>
          <w:highlight w:val="none"/>
        </w:rPr>
        <w:t>6. 工程量清单</w:t>
      </w:r>
      <w:bookmarkEnd w:id="1389"/>
      <w:bookmarkEnd w:id="1390"/>
    </w:p>
    <w:p w14:paraId="4A8DF9AE">
      <w:pPr>
        <w:adjustRightInd w:val="0"/>
        <w:snapToGrid w:val="0"/>
        <w:spacing w:line="360" w:lineRule="auto"/>
        <w:ind w:firstLine="840" w:firstLineChars="400"/>
        <w:rPr>
          <w:rFonts w:hint="eastAsia" w:ascii="宋体" w:hAnsi="宋体" w:cs="宋体"/>
          <w:bCs/>
          <w:color w:val="auto"/>
          <w:kern w:val="44"/>
          <w:sz w:val="32"/>
          <w:szCs w:val="44"/>
          <w:highlight w:val="none"/>
        </w:rPr>
      </w:pPr>
      <w:r>
        <w:rPr>
          <w:rFonts w:hint="eastAsia" w:ascii="宋体" w:hAnsi="宋体" w:cs="宋体"/>
          <w:color w:val="auto"/>
          <w:szCs w:val="21"/>
          <w:highlight w:val="none"/>
        </w:rPr>
        <w:t>另册。</w:t>
      </w:r>
    </w:p>
    <w:p w14:paraId="5F7E65CF">
      <w:pPr>
        <w:rPr>
          <w:rFonts w:hint="eastAsia" w:ascii="宋体" w:hAnsi="宋体" w:cs="宋体"/>
          <w:b/>
          <w:color w:val="auto"/>
          <w:highlight w:val="none"/>
        </w:rPr>
      </w:pPr>
    </w:p>
    <w:p w14:paraId="769C288B">
      <w:pPr>
        <w:rPr>
          <w:rFonts w:hint="eastAsia" w:ascii="宋体" w:hAnsi="宋体" w:cs="宋体"/>
          <w:b/>
          <w:bCs/>
          <w:color w:val="auto"/>
          <w:kern w:val="44"/>
          <w:sz w:val="32"/>
          <w:szCs w:val="44"/>
          <w:highlight w:val="none"/>
        </w:rPr>
      </w:pPr>
      <w:bookmarkStart w:id="1391" w:name="_Toc95223522"/>
      <w:r>
        <w:rPr>
          <w:rFonts w:hint="eastAsia" w:ascii="宋体" w:hAnsi="宋体" w:cs="宋体"/>
          <w:b/>
          <w:bCs/>
          <w:color w:val="auto"/>
          <w:kern w:val="44"/>
          <w:sz w:val="32"/>
          <w:szCs w:val="44"/>
          <w:highlight w:val="none"/>
        </w:rPr>
        <w:br w:type="page"/>
      </w:r>
    </w:p>
    <w:p w14:paraId="7979D2CA">
      <w:pPr>
        <w:keepNext/>
        <w:keepLines/>
        <w:spacing w:line="360" w:lineRule="auto"/>
        <w:jc w:val="center"/>
        <w:outlineLvl w:val="0"/>
        <w:rPr>
          <w:rFonts w:hint="eastAsia" w:ascii="宋体" w:hAnsi="宋体" w:cs="宋体"/>
          <w:b/>
          <w:bCs/>
          <w:color w:val="auto"/>
          <w:kern w:val="44"/>
          <w:sz w:val="32"/>
          <w:szCs w:val="44"/>
          <w:highlight w:val="none"/>
        </w:rPr>
      </w:pPr>
      <w:r>
        <w:rPr>
          <w:rFonts w:hint="eastAsia" w:ascii="宋体" w:hAnsi="宋体" w:cs="宋体"/>
          <w:b/>
          <w:bCs/>
          <w:color w:val="auto"/>
          <w:kern w:val="44"/>
          <w:sz w:val="32"/>
          <w:szCs w:val="44"/>
          <w:highlight w:val="none"/>
        </w:rPr>
        <w:t xml:space="preserve">第七章 </w:t>
      </w:r>
      <w:bookmarkStart w:id="1392" w:name="_Toc10656"/>
      <w:r>
        <w:rPr>
          <w:rFonts w:hint="eastAsia" w:ascii="宋体" w:hAnsi="宋体" w:cs="宋体"/>
          <w:b/>
          <w:bCs/>
          <w:color w:val="auto"/>
          <w:kern w:val="44"/>
          <w:sz w:val="32"/>
          <w:szCs w:val="44"/>
          <w:highlight w:val="none"/>
        </w:rPr>
        <w:t>图  纸</w:t>
      </w:r>
      <w:bookmarkEnd w:id="1391"/>
      <w:bookmarkEnd w:id="1392"/>
    </w:p>
    <w:p w14:paraId="1CACD96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图纸已经审查合格，设计深度符合施工要求。技术标准符合国家、行业以及地方标准、规范和规程，具体内容见下表。</w:t>
      </w:r>
    </w:p>
    <w:p w14:paraId="7BE5C2DF">
      <w:pPr>
        <w:keepNext/>
        <w:keepLines/>
        <w:adjustRightInd w:val="0"/>
        <w:snapToGrid w:val="0"/>
        <w:spacing w:before="120" w:after="120" w:line="360" w:lineRule="auto"/>
        <w:outlineLvl w:val="1"/>
        <w:rPr>
          <w:rFonts w:hint="eastAsia" w:ascii="宋体" w:hAnsi="宋体" w:cs="宋体"/>
          <w:bCs/>
          <w:color w:val="auto"/>
          <w:szCs w:val="21"/>
          <w:highlight w:val="none"/>
        </w:rPr>
      </w:pPr>
      <w:bookmarkStart w:id="1393" w:name="_Toc95223523"/>
      <w:bookmarkStart w:id="1394" w:name="_Toc30096"/>
      <w:r>
        <w:rPr>
          <w:rFonts w:hint="eastAsia" w:ascii="宋体" w:hAnsi="宋体" w:cs="宋体"/>
          <w:bCs/>
          <w:color w:val="auto"/>
          <w:szCs w:val="21"/>
          <w:highlight w:val="none"/>
        </w:rPr>
        <w:t>1</w:t>
      </w:r>
      <w:r>
        <w:rPr>
          <w:rFonts w:hint="eastAsia" w:ascii="宋体" w:hAnsi="宋体" w:cs="宋体"/>
          <w:color w:val="auto"/>
          <w:sz w:val="24"/>
          <w:szCs w:val="21"/>
          <w:highlight w:val="none"/>
        </w:rPr>
        <w:t>.</w:t>
      </w:r>
      <w:r>
        <w:rPr>
          <w:rFonts w:hint="eastAsia" w:ascii="宋体" w:hAnsi="宋体" w:cs="宋体"/>
          <w:bCs/>
          <w:color w:val="auto"/>
          <w:szCs w:val="21"/>
          <w:highlight w:val="none"/>
        </w:rPr>
        <w:t>图纸目录（表6-1）</w:t>
      </w:r>
      <w:bookmarkEnd w:id="1393"/>
      <w:bookmarkEnd w:id="1394"/>
    </w:p>
    <w:p w14:paraId="6889E2BE">
      <w:pPr>
        <w:rPr>
          <w:rFonts w:hint="eastAsia" w:ascii="宋体" w:hAnsi="宋体" w:cs="宋体"/>
          <w:color w:val="auto"/>
          <w:highlight w:val="none"/>
        </w:rPr>
      </w:pPr>
    </w:p>
    <w:tbl>
      <w:tblPr>
        <w:tblStyle w:val="20"/>
        <w:tblW w:w="9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2160"/>
        <w:gridCol w:w="1344"/>
        <w:gridCol w:w="1588"/>
        <w:gridCol w:w="1588"/>
        <w:gridCol w:w="1589"/>
      </w:tblGrid>
      <w:tr w14:paraId="13696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260" w:type="dxa"/>
            <w:noWrap w:val="0"/>
            <w:vAlign w:val="center"/>
          </w:tcPr>
          <w:p w14:paraId="56EB2658">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序号</w:t>
            </w:r>
          </w:p>
        </w:tc>
        <w:tc>
          <w:tcPr>
            <w:tcW w:w="2160" w:type="dxa"/>
            <w:noWrap w:val="0"/>
            <w:vAlign w:val="center"/>
          </w:tcPr>
          <w:p w14:paraId="0AB81100">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图名</w:t>
            </w:r>
          </w:p>
        </w:tc>
        <w:tc>
          <w:tcPr>
            <w:tcW w:w="1344" w:type="dxa"/>
            <w:noWrap w:val="0"/>
            <w:vAlign w:val="center"/>
          </w:tcPr>
          <w:p w14:paraId="2720237E">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图号</w:t>
            </w:r>
          </w:p>
        </w:tc>
        <w:tc>
          <w:tcPr>
            <w:tcW w:w="1588" w:type="dxa"/>
            <w:noWrap w:val="0"/>
            <w:vAlign w:val="center"/>
          </w:tcPr>
          <w:p w14:paraId="1DB1084D">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版本</w:t>
            </w:r>
          </w:p>
        </w:tc>
        <w:tc>
          <w:tcPr>
            <w:tcW w:w="1588" w:type="dxa"/>
            <w:noWrap w:val="0"/>
            <w:vAlign w:val="center"/>
          </w:tcPr>
          <w:p w14:paraId="371A0C09">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出图日期</w:t>
            </w:r>
          </w:p>
        </w:tc>
        <w:tc>
          <w:tcPr>
            <w:tcW w:w="1589" w:type="dxa"/>
            <w:noWrap w:val="0"/>
            <w:vAlign w:val="center"/>
          </w:tcPr>
          <w:p w14:paraId="6462B7FF">
            <w:pPr>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备注</w:t>
            </w:r>
          </w:p>
        </w:tc>
      </w:tr>
      <w:tr w14:paraId="1CC0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260" w:type="dxa"/>
            <w:noWrap w:val="0"/>
            <w:vAlign w:val="top"/>
          </w:tcPr>
          <w:p w14:paraId="2E72A6E7">
            <w:pPr>
              <w:rPr>
                <w:rFonts w:hint="eastAsia" w:ascii="宋体" w:hAnsi="宋体" w:cs="宋体"/>
                <w:color w:val="auto"/>
                <w:highlight w:val="none"/>
              </w:rPr>
            </w:pPr>
          </w:p>
        </w:tc>
        <w:tc>
          <w:tcPr>
            <w:tcW w:w="2160" w:type="dxa"/>
            <w:noWrap w:val="0"/>
            <w:vAlign w:val="top"/>
          </w:tcPr>
          <w:p w14:paraId="7F563A3E">
            <w:pPr>
              <w:keepNext/>
              <w:keepLines/>
              <w:spacing w:before="120" w:after="120" w:line="360" w:lineRule="auto"/>
              <w:jc w:val="left"/>
              <w:outlineLvl w:val="2"/>
              <w:rPr>
                <w:rFonts w:hint="eastAsia" w:ascii="宋体" w:hAnsi="宋体" w:cs="宋体"/>
                <w:bCs/>
                <w:color w:val="auto"/>
                <w:sz w:val="24"/>
                <w:highlight w:val="none"/>
              </w:rPr>
            </w:pPr>
          </w:p>
        </w:tc>
        <w:tc>
          <w:tcPr>
            <w:tcW w:w="1344" w:type="dxa"/>
            <w:noWrap w:val="0"/>
            <w:vAlign w:val="top"/>
          </w:tcPr>
          <w:p w14:paraId="15A09FA8">
            <w:pPr>
              <w:rPr>
                <w:rFonts w:hint="eastAsia" w:ascii="宋体" w:hAnsi="宋体" w:cs="宋体"/>
                <w:color w:val="auto"/>
                <w:highlight w:val="none"/>
              </w:rPr>
            </w:pPr>
          </w:p>
        </w:tc>
        <w:tc>
          <w:tcPr>
            <w:tcW w:w="1588" w:type="dxa"/>
            <w:noWrap w:val="0"/>
            <w:vAlign w:val="top"/>
          </w:tcPr>
          <w:p w14:paraId="3A3AA127">
            <w:pPr>
              <w:rPr>
                <w:rFonts w:hint="eastAsia" w:ascii="宋体" w:hAnsi="宋体" w:cs="宋体"/>
                <w:color w:val="auto"/>
                <w:highlight w:val="none"/>
              </w:rPr>
            </w:pPr>
          </w:p>
        </w:tc>
        <w:tc>
          <w:tcPr>
            <w:tcW w:w="1588" w:type="dxa"/>
            <w:noWrap w:val="0"/>
            <w:vAlign w:val="top"/>
          </w:tcPr>
          <w:p w14:paraId="7EA979C4">
            <w:pPr>
              <w:rPr>
                <w:rFonts w:hint="eastAsia" w:ascii="宋体" w:hAnsi="宋体" w:cs="宋体"/>
                <w:color w:val="auto"/>
                <w:highlight w:val="none"/>
              </w:rPr>
            </w:pPr>
          </w:p>
        </w:tc>
        <w:tc>
          <w:tcPr>
            <w:tcW w:w="1589" w:type="dxa"/>
            <w:noWrap w:val="0"/>
            <w:vAlign w:val="top"/>
          </w:tcPr>
          <w:p w14:paraId="2784E7E3">
            <w:pPr>
              <w:rPr>
                <w:rFonts w:hint="eastAsia" w:ascii="宋体" w:hAnsi="宋体" w:cs="宋体"/>
                <w:color w:val="auto"/>
                <w:highlight w:val="none"/>
              </w:rPr>
            </w:pPr>
          </w:p>
        </w:tc>
      </w:tr>
      <w:tr w14:paraId="23683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260" w:type="dxa"/>
            <w:noWrap w:val="0"/>
            <w:vAlign w:val="top"/>
          </w:tcPr>
          <w:p w14:paraId="514AA8C0">
            <w:pPr>
              <w:spacing w:line="360" w:lineRule="auto"/>
              <w:ind w:firstLine="420" w:firstLineChars="200"/>
              <w:rPr>
                <w:rFonts w:hint="eastAsia" w:ascii="宋体" w:hAnsi="宋体" w:cs="宋体"/>
                <w:color w:val="auto"/>
                <w:highlight w:val="none"/>
              </w:rPr>
            </w:pPr>
          </w:p>
        </w:tc>
        <w:tc>
          <w:tcPr>
            <w:tcW w:w="2160" w:type="dxa"/>
            <w:noWrap w:val="0"/>
            <w:vAlign w:val="top"/>
          </w:tcPr>
          <w:p w14:paraId="07654D6B">
            <w:pPr>
              <w:rPr>
                <w:rFonts w:hint="eastAsia" w:ascii="宋体" w:hAnsi="宋体" w:cs="宋体"/>
                <w:color w:val="auto"/>
                <w:highlight w:val="none"/>
              </w:rPr>
            </w:pPr>
          </w:p>
        </w:tc>
        <w:tc>
          <w:tcPr>
            <w:tcW w:w="1344" w:type="dxa"/>
            <w:noWrap w:val="0"/>
            <w:vAlign w:val="top"/>
          </w:tcPr>
          <w:p w14:paraId="21FF83CF">
            <w:pPr>
              <w:rPr>
                <w:rFonts w:hint="eastAsia" w:ascii="宋体" w:hAnsi="宋体" w:cs="宋体"/>
                <w:color w:val="auto"/>
                <w:highlight w:val="none"/>
              </w:rPr>
            </w:pPr>
          </w:p>
        </w:tc>
        <w:tc>
          <w:tcPr>
            <w:tcW w:w="1588" w:type="dxa"/>
            <w:noWrap w:val="0"/>
            <w:vAlign w:val="top"/>
          </w:tcPr>
          <w:p w14:paraId="03553408">
            <w:pPr>
              <w:rPr>
                <w:rFonts w:hint="eastAsia" w:ascii="宋体" w:hAnsi="宋体" w:cs="宋体"/>
                <w:color w:val="auto"/>
                <w:highlight w:val="none"/>
              </w:rPr>
            </w:pPr>
          </w:p>
        </w:tc>
        <w:tc>
          <w:tcPr>
            <w:tcW w:w="1588" w:type="dxa"/>
            <w:noWrap w:val="0"/>
            <w:vAlign w:val="top"/>
          </w:tcPr>
          <w:p w14:paraId="13FF9873">
            <w:pPr>
              <w:rPr>
                <w:rFonts w:hint="eastAsia" w:ascii="宋体" w:hAnsi="宋体" w:cs="宋体"/>
                <w:color w:val="auto"/>
                <w:highlight w:val="none"/>
              </w:rPr>
            </w:pPr>
          </w:p>
        </w:tc>
        <w:tc>
          <w:tcPr>
            <w:tcW w:w="1589" w:type="dxa"/>
            <w:noWrap w:val="0"/>
            <w:vAlign w:val="top"/>
          </w:tcPr>
          <w:p w14:paraId="26A27DFB">
            <w:pPr>
              <w:rPr>
                <w:rFonts w:hint="eastAsia" w:ascii="宋体" w:hAnsi="宋体" w:cs="宋体"/>
                <w:color w:val="auto"/>
                <w:highlight w:val="none"/>
              </w:rPr>
            </w:pPr>
          </w:p>
        </w:tc>
      </w:tr>
      <w:tr w14:paraId="1426B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260" w:type="dxa"/>
            <w:noWrap w:val="0"/>
            <w:vAlign w:val="top"/>
          </w:tcPr>
          <w:p w14:paraId="04297684">
            <w:pPr>
              <w:rPr>
                <w:rFonts w:hint="eastAsia" w:ascii="宋体" w:hAnsi="宋体" w:cs="宋体"/>
                <w:color w:val="auto"/>
                <w:highlight w:val="none"/>
              </w:rPr>
            </w:pPr>
          </w:p>
        </w:tc>
        <w:tc>
          <w:tcPr>
            <w:tcW w:w="2160" w:type="dxa"/>
            <w:noWrap w:val="0"/>
            <w:vAlign w:val="top"/>
          </w:tcPr>
          <w:p w14:paraId="38DF86EC">
            <w:pPr>
              <w:rPr>
                <w:rFonts w:hint="eastAsia" w:ascii="宋体" w:hAnsi="宋体" w:cs="宋体"/>
                <w:color w:val="auto"/>
                <w:highlight w:val="none"/>
              </w:rPr>
            </w:pPr>
          </w:p>
        </w:tc>
        <w:tc>
          <w:tcPr>
            <w:tcW w:w="1344" w:type="dxa"/>
            <w:noWrap w:val="0"/>
            <w:vAlign w:val="top"/>
          </w:tcPr>
          <w:p w14:paraId="0701F867">
            <w:pPr>
              <w:rPr>
                <w:rFonts w:hint="eastAsia" w:ascii="宋体" w:hAnsi="宋体" w:cs="宋体"/>
                <w:color w:val="auto"/>
                <w:highlight w:val="none"/>
              </w:rPr>
            </w:pPr>
          </w:p>
        </w:tc>
        <w:tc>
          <w:tcPr>
            <w:tcW w:w="1588" w:type="dxa"/>
            <w:noWrap w:val="0"/>
            <w:vAlign w:val="top"/>
          </w:tcPr>
          <w:p w14:paraId="4CA6FC79">
            <w:pPr>
              <w:rPr>
                <w:rFonts w:hint="eastAsia" w:ascii="宋体" w:hAnsi="宋体" w:cs="宋体"/>
                <w:color w:val="auto"/>
                <w:highlight w:val="none"/>
              </w:rPr>
            </w:pPr>
          </w:p>
        </w:tc>
        <w:tc>
          <w:tcPr>
            <w:tcW w:w="1588" w:type="dxa"/>
            <w:noWrap w:val="0"/>
            <w:vAlign w:val="top"/>
          </w:tcPr>
          <w:p w14:paraId="754517E1">
            <w:pPr>
              <w:rPr>
                <w:rFonts w:hint="eastAsia" w:ascii="宋体" w:hAnsi="宋体" w:cs="宋体"/>
                <w:color w:val="auto"/>
                <w:highlight w:val="none"/>
              </w:rPr>
            </w:pPr>
          </w:p>
        </w:tc>
        <w:tc>
          <w:tcPr>
            <w:tcW w:w="1589" w:type="dxa"/>
            <w:noWrap w:val="0"/>
            <w:vAlign w:val="top"/>
          </w:tcPr>
          <w:p w14:paraId="36A5CF79">
            <w:pPr>
              <w:rPr>
                <w:rFonts w:hint="eastAsia" w:ascii="宋体" w:hAnsi="宋体" w:cs="宋体"/>
                <w:color w:val="auto"/>
                <w:highlight w:val="none"/>
              </w:rPr>
            </w:pPr>
          </w:p>
        </w:tc>
      </w:tr>
      <w:tr w14:paraId="2A7E7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260" w:type="dxa"/>
            <w:noWrap w:val="0"/>
            <w:vAlign w:val="top"/>
          </w:tcPr>
          <w:p w14:paraId="33D3D9C5">
            <w:pPr>
              <w:rPr>
                <w:rFonts w:hint="eastAsia" w:ascii="宋体" w:hAnsi="宋体" w:cs="宋体"/>
                <w:color w:val="auto"/>
                <w:highlight w:val="none"/>
              </w:rPr>
            </w:pPr>
          </w:p>
        </w:tc>
        <w:tc>
          <w:tcPr>
            <w:tcW w:w="2160" w:type="dxa"/>
            <w:noWrap w:val="0"/>
            <w:vAlign w:val="top"/>
          </w:tcPr>
          <w:p w14:paraId="6BCA8B88">
            <w:pPr>
              <w:rPr>
                <w:rFonts w:hint="eastAsia" w:ascii="宋体" w:hAnsi="宋体" w:cs="宋体"/>
                <w:color w:val="auto"/>
                <w:highlight w:val="none"/>
              </w:rPr>
            </w:pPr>
          </w:p>
        </w:tc>
        <w:tc>
          <w:tcPr>
            <w:tcW w:w="1344" w:type="dxa"/>
            <w:noWrap w:val="0"/>
            <w:vAlign w:val="top"/>
          </w:tcPr>
          <w:p w14:paraId="20179C32">
            <w:pPr>
              <w:rPr>
                <w:rFonts w:hint="eastAsia" w:ascii="宋体" w:hAnsi="宋体" w:cs="宋体"/>
                <w:color w:val="auto"/>
                <w:highlight w:val="none"/>
              </w:rPr>
            </w:pPr>
          </w:p>
        </w:tc>
        <w:tc>
          <w:tcPr>
            <w:tcW w:w="1588" w:type="dxa"/>
            <w:noWrap w:val="0"/>
            <w:vAlign w:val="top"/>
          </w:tcPr>
          <w:p w14:paraId="5FA8B681">
            <w:pPr>
              <w:rPr>
                <w:rFonts w:hint="eastAsia" w:ascii="宋体" w:hAnsi="宋体" w:cs="宋体"/>
                <w:color w:val="auto"/>
                <w:highlight w:val="none"/>
              </w:rPr>
            </w:pPr>
          </w:p>
        </w:tc>
        <w:tc>
          <w:tcPr>
            <w:tcW w:w="1588" w:type="dxa"/>
            <w:noWrap w:val="0"/>
            <w:vAlign w:val="top"/>
          </w:tcPr>
          <w:p w14:paraId="7C333401">
            <w:pPr>
              <w:rPr>
                <w:rFonts w:hint="eastAsia" w:ascii="宋体" w:hAnsi="宋体" w:cs="宋体"/>
                <w:color w:val="auto"/>
                <w:highlight w:val="none"/>
              </w:rPr>
            </w:pPr>
          </w:p>
        </w:tc>
        <w:tc>
          <w:tcPr>
            <w:tcW w:w="1589" w:type="dxa"/>
            <w:noWrap w:val="0"/>
            <w:vAlign w:val="top"/>
          </w:tcPr>
          <w:p w14:paraId="00BF499B">
            <w:pPr>
              <w:rPr>
                <w:rFonts w:hint="eastAsia" w:ascii="宋体" w:hAnsi="宋体" w:cs="宋体"/>
                <w:color w:val="auto"/>
                <w:highlight w:val="none"/>
              </w:rPr>
            </w:pPr>
          </w:p>
        </w:tc>
      </w:tr>
      <w:tr w14:paraId="4DC71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260" w:type="dxa"/>
            <w:noWrap w:val="0"/>
            <w:vAlign w:val="top"/>
          </w:tcPr>
          <w:p w14:paraId="6E57832D">
            <w:pPr>
              <w:rPr>
                <w:rFonts w:hint="eastAsia" w:ascii="宋体" w:hAnsi="宋体" w:cs="宋体"/>
                <w:color w:val="auto"/>
                <w:highlight w:val="none"/>
              </w:rPr>
            </w:pPr>
          </w:p>
        </w:tc>
        <w:tc>
          <w:tcPr>
            <w:tcW w:w="2160" w:type="dxa"/>
            <w:noWrap w:val="0"/>
            <w:vAlign w:val="top"/>
          </w:tcPr>
          <w:p w14:paraId="4EAC772A">
            <w:pPr>
              <w:rPr>
                <w:rFonts w:hint="eastAsia" w:ascii="宋体" w:hAnsi="宋体" w:cs="宋体"/>
                <w:color w:val="auto"/>
                <w:highlight w:val="none"/>
              </w:rPr>
            </w:pPr>
          </w:p>
        </w:tc>
        <w:tc>
          <w:tcPr>
            <w:tcW w:w="1344" w:type="dxa"/>
            <w:noWrap w:val="0"/>
            <w:vAlign w:val="top"/>
          </w:tcPr>
          <w:p w14:paraId="320DE86D">
            <w:pPr>
              <w:rPr>
                <w:rFonts w:hint="eastAsia" w:ascii="宋体" w:hAnsi="宋体" w:cs="宋体"/>
                <w:color w:val="auto"/>
                <w:highlight w:val="none"/>
              </w:rPr>
            </w:pPr>
          </w:p>
        </w:tc>
        <w:tc>
          <w:tcPr>
            <w:tcW w:w="1588" w:type="dxa"/>
            <w:noWrap w:val="0"/>
            <w:vAlign w:val="top"/>
          </w:tcPr>
          <w:p w14:paraId="554FB940">
            <w:pPr>
              <w:rPr>
                <w:rFonts w:hint="eastAsia" w:ascii="宋体" w:hAnsi="宋体" w:cs="宋体"/>
                <w:color w:val="auto"/>
                <w:highlight w:val="none"/>
              </w:rPr>
            </w:pPr>
          </w:p>
        </w:tc>
        <w:tc>
          <w:tcPr>
            <w:tcW w:w="1588" w:type="dxa"/>
            <w:noWrap w:val="0"/>
            <w:vAlign w:val="top"/>
          </w:tcPr>
          <w:p w14:paraId="0DC18C74">
            <w:pPr>
              <w:rPr>
                <w:rFonts w:hint="eastAsia" w:ascii="宋体" w:hAnsi="宋体" w:cs="宋体"/>
                <w:color w:val="auto"/>
                <w:highlight w:val="none"/>
              </w:rPr>
            </w:pPr>
          </w:p>
        </w:tc>
        <w:tc>
          <w:tcPr>
            <w:tcW w:w="1589" w:type="dxa"/>
            <w:noWrap w:val="0"/>
            <w:vAlign w:val="top"/>
          </w:tcPr>
          <w:p w14:paraId="64E30642">
            <w:pPr>
              <w:rPr>
                <w:rFonts w:hint="eastAsia" w:ascii="宋体" w:hAnsi="宋体" w:cs="宋体"/>
                <w:color w:val="auto"/>
                <w:highlight w:val="none"/>
              </w:rPr>
            </w:pPr>
          </w:p>
        </w:tc>
      </w:tr>
      <w:tr w14:paraId="3F250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260" w:type="dxa"/>
            <w:noWrap w:val="0"/>
            <w:vAlign w:val="top"/>
          </w:tcPr>
          <w:p w14:paraId="25861DB4">
            <w:pPr>
              <w:rPr>
                <w:rFonts w:hint="eastAsia" w:ascii="宋体" w:hAnsi="宋体" w:cs="宋体"/>
                <w:color w:val="auto"/>
                <w:highlight w:val="none"/>
              </w:rPr>
            </w:pPr>
          </w:p>
        </w:tc>
        <w:tc>
          <w:tcPr>
            <w:tcW w:w="2160" w:type="dxa"/>
            <w:noWrap w:val="0"/>
            <w:vAlign w:val="top"/>
          </w:tcPr>
          <w:p w14:paraId="523D8F0E">
            <w:pPr>
              <w:rPr>
                <w:rFonts w:hint="eastAsia" w:ascii="宋体" w:hAnsi="宋体" w:cs="宋体"/>
                <w:color w:val="auto"/>
                <w:highlight w:val="none"/>
              </w:rPr>
            </w:pPr>
          </w:p>
        </w:tc>
        <w:tc>
          <w:tcPr>
            <w:tcW w:w="1344" w:type="dxa"/>
            <w:noWrap w:val="0"/>
            <w:vAlign w:val="top"/>
          </w:tcPr>
          <w:p w14:paraId="21B5A6E7">
            <w:pPr>
              <w:rPr>
                <w:rFonts w:hint="eastAsia" w:ascii="宋体" w:hAnsi="宋体" w:cs="宋体"/>
                <w:color w:val="auto"/>
                <w:highlight w:val="none"/>
              </w:rPr>
            </w:pPr>
          </w:p>
        </w:tc>
        <w:tc>
          <w:tcPr>
            <w:tcW w:w="1588" w:type="dxa"/>
            <w:noWrap w:val="0"/>
            <w:vAlign w:val="top"/>
          </w:tcPr>
          <w:p w14:paraId="1C8F5278">
            <w:pPr>
              <w:rPr>
                <w:rFonts w:hint="eastAsia" w:ascii="宋体" w:hAnsi="宋体" w:cs="宋体"/>
                <w:color w:val="auto"/>
                <w:highlight w:val="none"/>
              </w:rPr>
            </w:pPr>
          </w:p>
        </w:tc>
        <w:tc>
          <w:tcPr>
            <w:tcW w:w="1588" w:type="dxa"/>
            <w:noWrap w:val="0"/>
            <w:vAlign w:val="top"/>
          </w:tcPr>
          <w:p w14:paraId="5977A076">
            <w:pPr>
              <w:rPr>
                <w:rFonts w:hint="eastAsia" w:ascii="宋体" w:hAnsi="宋体" w:cs="宋体"/>
                <w:color w:val="auto"/>
                <w:highlight w:val="none"/>
              </w:rPr>
            </w:pPr>
          </w:p>
        </w:tc>
        <w:tc>
          <w:tcPr>
            <w:tcW w:w="1589" w:type="dxa"/>
            <w:noWrap w:val="0"/>
            <w:vAlign w:val="top"/>
          </w:tcPr>
          <w:p w14:paraId="6868F496">
            <w:pPr>
              <w:rPr>
                <w:rFonts w:hint="eastAsia" w:ascii="宋体" w:hAnsi="宋体" w:cs="宋体"/>
                <w:color w:val="auto"/>
                <w:highlight w:val="none"/>
              </w:rPr>
            </w:pPr>
          </w:p>
        </w:tc>
      </w:tr>
      <w:tr w14:paraId="14116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260" w:type="dxa"/>
            <w:noWrap w:val="0"/>
            <w:vAlign w:val="top"/>
          </w:tcPr>
          <w:p w14:paraId="27EB036D">
            <w:pPr>
              <w:rPr>
                <w:rFonts w:hint="eastAsia" w:ascii="宋体" w:hAnsi="宋体" w:cs="宋体"/>
                <w:color w:val="auto"/>
                <w:highlight w:val="none"/>
              </w:rPr>
            </w:pPr>
          </w:p>
        </w:tc>
        <w:tc>
          <w:tcPr>
            <w:tcW w:w="2160" w:type="dxa"/>
            <w:noWrap w:val="0"/>
            <w:vAlign w:val="top"/>
          </w:tcPr>
          <w:p w14:paraId="5478B153">
            <w:pPr>
              <w:rPr>
                <w:rFonts w:hint="eastAsia" w:ascii="宋体" w:hAnsi="宋体" w:cs="宋体"/>
                <w:color w:val="auto"/>
                <w:highlight w:val="none"/>
              </w:rPr>
            </w:pPr>
          </w:p>
        </w:tc>
        <w:tc>
          <w:tcPr>
            <w:tcW w:w="1344" w:type="dxa"/>
            <w:noWrap w:val="0"/>
            <w:vAlign w:val="top"/>
          </w:tcPr>
          <w:p w14:paraId="32F47A4B">
            <w:pPr>
              <w:rPr>
                <w:rFonts w:hint="eastAsia" w:ascii="宋体" w:hAnsi="宋体" w:cs="宋体"/>
                <w:color w:val="auto"/>
                <w:highlight w:val="none"/>
              </w:rPr>
            </w:pPr>
          </w:p>
        </w:tc>
        <w:tc>
          <w:tcPr>
            <w:tcW w:w="1588" w:type="dxa"/>
            <w:noWrap w:val="0"/>
            <w:vAlign w:val="top"/>
          </w:tcPr>
          <w:p w14:paraId="2BCEE98B">
            <w:pPr>
              <w:rPr>
                <w:rFonts w:hint="eastAsia" w:ascii="宋体" w:hAnsi="宋体" w:cs="宋体"/>
                <w:color w:val="auto"/>
                <w:highlight w:val="none"/>
              </w:rPr>
            </w:pPr>
          </w:p>
        </w:tc>
        <w:tc>
          <w:tcPr>
            <w:tcW w:w="1588" w:type="dxa"/>
            <w:noWrap w:val="0"/>
            <w:vAlign w:val="top"/>
          </w:tcPr>
          <w:p w14:paraId="78F05287">
            <w:pPr>
              <w:rPr>
                <w:rFonts w:hint="eastAsia" w:ascii="宋体" w:hAnsi="宋体" w:cs="宋体"/>
                <w:color w:val="auto"/>
                <w:highlight w:val="none"/>
              </w:rPr>
            </w:pPr>
          </w:p>
        </w:tc>
        <w:tc>
          <w:tcPr>
            <w:tcW w:w="1589" w:type="dxa"/>
            <w:noWrap w:val="0"/>
            <w:vAlign w:val="top"/>
          </w:tcPr>
          <w:p w14:paraId="7EABC091">
            <w:pPr>
              <w:rPr>
                <w:rFonts w:hint="eastAsia" w:ascii="宋体" w:hAnsi="宋体" w:cs="宋体"/>
                <w:color w:val="auto"/>
                <w:highlight w:val="none"/>
              </w:rPr>
            </w:pPr>
          </w:p>
        </w:tc>
      </w:tr>
      <w:tr w14:paraId="717D4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260" w:type="dxa"/>
            <w:noWrap w:val="0"/>
            <w:vAlign w:val="top"/>
          </w:tcPr>
          <w:p w14:paraId="7DD99F79">
            <w:pPr>
              <w:rPr>
                <w:rFonts w:hint="eastAsia" w:ascii="宋体" w:hAnsi="宋体" w:cs="宋体"/>
                <w:color w:val="auto"/>
                <w:highlight w:val="none"/>
              </w:rPr>
            </w:pPr>
          </w:p>
        </w:tc>
        <w:tc>
          <w:tcPr>
            <w:tcW w:w="2160" w:type="dxa"/>
            <w:noWrap w:val="0"/>
            <w:vAlign w:val="top"/>
          </w:tcPr>
          <w:p w14:paraId="2445807B">
            <w:pPr>
              <w:rPr>
                <w:rFonts w:hint="eastAsia" w:ascii="宋体" w:hAnsi="宋体" w:cs="宋体"/>
                <w:color w:val="auto"/>
                <w:highlight w:val="none"/>
              </w:rPr>
            </w:pPr>
          </w:p>
        </w:tc>
        <w:tc>
          <w:tcPr>
            <w:tcW w:w="1344" w:type="dxa"/>
            <w:noWrap w:val="0"/>
            <w:vAlign w:val="top"/>
          </w:tcPr>
          <w:p w14:paraId="7772D405">
            <w:pPr>
              <w:rPr>
                <w:rFonts w:hint="eastAsia" w:ascii="宋体" w:hAnsi="宋体" w:cs="宋体"/>
                <w:color w:val="auto"/>
                <w:highlight w:val="none"/>
              </w:rPr>
            </w:pPr>
          </w:p>
        </w:tc>
        <w:tc>
          <w:tcPr>
            <w:tcW w:w="1588" w:type="dxa"/>
            <w:noWrap w:val="0"/>
            <w:vAlign w:val="top"/>
          </w:tcPr>
          <w:p w14:paraId="4C23FD41">
            <w:pPr>
              <w:rPr>
                <w:rFonts w:hint="eastAsia" w:ascii="宋体" w:hAnsi="宋体" w:cs="宋体"/>
                <w:color w:val="auto"/>
                <w:highlight w:val="none"/>
              </w:rPr>
            </w:pPr>
          </w:p>
        </w:tc>
        <w:tc>
          <w:tcPr>
            <w:tcW w:w="1588" w:type="dxa"/>
            <w:noWrap w:val="0"/>
            <w:vAlign w:val="top"/>
          </w:tcPr>
          <w:p w14:paraId="222E2EA7">
            <w:pPr>
              <w:rPr>
                <w:rFonts w:hint="eastAsia" w:ascii="宋体" w:hAnsi="宋体" w:cs="宋体"/>
                <w:color w:val="auto"/>
                <w:highlight w:val="none"/>
              </w:rPr>
            </w:pPr>
          </w:p>
        </w:tc>
        <w:tc>
          <w:tcPr>
            <w:tcW w:w="1589" w:type="dxa"/>
            <w:noWrap w:val="0"/>
            <w:vAlign w:val="top"/>
          </w:tcPr>
          <w:p w14:paraId="44247D25">
            <w:pPr>
              <w:rPr>
                <w:rFonts w:hint="eastAsia" w:ascii="宋体" w:hAnsi="宋体" w:cs="宋体"/>
                <w:color w:val="auto"/>
                <w:highlight w:val="none"/>
              </w:rPr>
            </w:pPr>
          </w:p>
        </w:tc>
      </w:tr>
      <w:tr w14:paraId="0E660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260" w:type="dxa"/>
            <w:noWrap w:val="0"/>
            <w:vAlign w:val="top"/>
          </w:tcPr>
          <w:p w14:paraId="1CE40C95">
            <w:pPr>
              <w:rPr>
                <w:rFonts w:hint="eastAsia" w:ascii="宋体" w:hAnsi="宋体" w:cs="宋体"/>
                <w:color w:val="auto"/>
                <w:highlight w:val="none"/>
              </w:rPr>
            </w:pPr>
          </w:p>
        </w:tc>
        <w:tc>
          <w:tcPr>
            <w:tcW w:w="2160" w:type="dxa"/>
            <w:noWrap w:val="0"/>
            <w:vAlign w:val="top"/>
          </w:tcPr>
          <w:p w14:paraId="395F067E">
            <w:pPr>
              <w:rPr>
                <w:rFonts w:hint="eastAsia" w:ascii="宋体" w:hAnsi="宋体" w:cs="宋体"/>
                <w:color w:val="auto"/>
                <w:highlight w:val="none"/>
              </w:rPr>
            </w:pPr>
          </w:p>
        </w:tc>
        <w:tc>
          <w:tcPr>
            <w:tcW w:w="1344" w:type="dxa"/>
            <w:noWrap w:val="0"/>
            <w:vAlign w:val="top"/>
          </w:tcPr>
          <w:p w14:paraId="0B6F1A96">
            <w:pPr>
              <w:rPr>
                <w:rFonts w:hint="eastAsia" w:ascii="宋体" w:hAnsi="宋体" w:cs="宋体"/>
                <w:color w:val="auto"/>
                <w:highlight w:val="none"/>
              </w:rPr>
            </w:pPr>
          </w:p>
        </w:tc>
        <w:tc>
          <w:tcPr>
            <w:tcW w:w="1588" w:type="dxa"/>
            <w:noWrap w:val="0"/>
            <w:vAlign w:val="top"/>
          </w:tcPr>
          <w:p w14:paraId="63E390F9">
            <w:pPr>
              <w:rPr>
                <w:rFonts w:hint="eastAsia" w:ascii="宋体" w:hAnsi="宋体" w:cs="宋体"/>
                <w:color w:val="auto"/>
                <w:highlight w:val="none"/>
              </w:rPr>
            </w:pPr>
          </w:p>
        </w:tc>
        <w:tc>
          <w:tcPr>
            <w:tcW w:w="1588" w:type="dxa"/>
            <w:noWrap w:val="0"/>
            <w:vAlign w:val="top"/>
          </w:tcPr>
          <w:p w14:paraId="75FBFDF3">
            <w:pPr>
              <w:rPr>
                <w:rFonts w:hint="eastAsia" w:ascii="宋体" w:hAnsi="宋体" w:cs="宋体"/>
                <w:color w:val="auto"/>
                <w:highlight w:val="none"/>
              </w:rPr>
            </w:pPr>
          </w:p>
        </w:tc>
        <w:tc>
          <w:tcPr>
            <w:tcW w:w="1589" w:type="dxa"/>
            <w:noWrap w:val="0"/>
            <w:vAlign w:val="top"/>
          </w:tcPr>
          <w:p w14:paraId="0442ACF0">
            <w:pPr>
              <w:rPr>
                <w:rFonts w:hint="eastAsia" w:ascii="宋体" w:hAnsi="宋体" w:cs="宋体"/>
                <w:color w:val="auto"/>
                <w:highlight w:val="none"/>
              </w:rPr>
            </w:pPr>
          </w:p>
        </w:tc>
      </w:tr>
      <w:tr w14:paraId="6EAD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260" w:type="dxa"/>
            <w:noWrap w:val="0"/>
            <w:vAlign w:val="top"/>
          </w:tcPr>
          <w:p w14:paraId="6A559791">
            <w:pPr>
              <w:rPr>
                <w:rFonts w:hint="eastAsia" w:ascii="宋体" w:hAnsi="宋体" w:cs="宋体"/>
                <w:color w:val="auto"/>
                <w:highlight w:val="none"/>
              </w:rPr>
            </w:pPr>
          </w:p>
        </w:tc>
        <w:tc>
          <w:tcPr>
            <w:tcW w:w="2160" w:type="dxa"/>
            <w:noWrap w:val="0"/>
            <w:vAlign w:val="top"/>
          </w:tcPr>
          <w:p w14:paraId="330E37C0">
            <w:pPr>
              <w:rPr>
                <w:rFonts w:hint="eastAsia" w:ascii="宋体" w:hAnsi="宋体" w:cs="宋体"/>
                <w:color w:val="auto"/>
                <w:highlight w:val="none"/>
              </w:rPr>
            </w:pPr>
          </w:p>
        </w:tc>
        <w:tc>
          <w:tcPr>
            <w:tcW w:w="1344" w:type="dxa"/>
            <w:noWrap w:val="0"/>
            <w:vAlign w:val="top"/>
          </w:tcPr>
          <w:p w14:paraId="6AA9E71D">
            <w:pPr>
              <w:rPr>
                <w:rFonts w:hint="eastAsia" w:ascii="宋体" w:hAnsi="宋体" w:cs="宋体"/>
                <w:color w:val="auto"/>
                <w:highlight w:val="none"/>
              </w:rPr>
            </w:pPr>
          </w:p>
        </w:tc>
        <w:tc>
          <w:tcPr>
            <w:tcW w:w="1588" w:type="dxa"/>
            <w:noWrap w:val="0"/>
            <w:vAlign w:val="top"/>
          </w:tcPr>
          <w:p w14:paraId="5B2D9C63">
            <w:pPr>
              <w:rPr>
                <w:rFonts w:hint="eastAsia" w:ascii="宋体" w:hAnsi="宋体" w:cs="宋体"/>
                <w:color w:val="auto"/>
                <w:highlight w:val="none"/>
              </w:rPr>
            </w:pPr>
          </w:p>
        </w:tc>
        <w:tc>
          <w:tcPr>
            <w:tcW w:w="1588" w:type="dxa"/>
            <w:noWrap w:val="0"/>
            <w:vAlign w:val="top"/>
          </w:tcPr>
          <w:p w14:paraId="1EA0AF5E">
            <w:pPr>
              <w:rPr>
                <w:rFonts w:hint="eastAsia" w:ascii="宋体" w:hAnsi="宋体" w:cs="宋体"/>
                <w:color w:val="auto"/>
                <w:highlight w:val="none"/>
              </w:rPr>
            </w:pPr>
          </w:p>
        </w:tc>
        <w:tc>
          <w:tcPr>
            <w:tcW w:w="1589" w:type="dxa"/>
            <w:noWrap w:val="0"/>
            <w:vAlign w:val="top"/>
          </w:tcPr>
          <w:p w14:paraId="7CE0E543">
            <w:pPr>
              <w:rPr>
                <w:rFonts w:hint="eastAsia" w:ascii="宋体" w:hAnsi="宋体" w:cs="宋体"/>
                <w:color w:val="auto"/>
                <w:highlight w:val="none"/>
              </w:rPr>
            </w:pPr>
          </w:p>
        </w:tc>
      </w:tr>
    </w:tbl>
    <w:p w14:paraId="536F5764">
      <w:pPr>
        <w:rPr>
          <w:rFonts w:hint="eastAsia" w:ascii="宋体" w:hAnsi="宋体" w:cs="宋体"/>
          <w:color w:val="auto"/>
          <w:highlight w:val="none"/>
        </w:rPr>
      </w:pPr>
    </w:p>
    <w:p w14:paraId="613F5B02">
      <w:pPr>
        <w:outlineLvl w:val="1"/>
        <w:rPr>
          <w:rFonts w:hint="eastAsia" w:ascii="宋体" w:hAnsi="宋体" w:cs="宋体"/>
          <w:color w:val="auto"/>
          <w:highlight w:val="none"/>
        </w:rPr>
      </w:pPr>
      <w:bookmarkStart w:id="1395" w:name="_Toc23955"/>
      <w:bookmarkStart w:id="1396" w:name="_Toc95223524"/>
      <w:r>
        <w:rPr>
          <w:rFonts w:hint="eastAsia" w:ascii="宋体" w:hAnsi="宋体" w:cs="宋体"/>
          <w:color w:val="auto"/>
          <w:szCs w:val="21"/>
          <w:highlight w:val="none"/>
        </w:rPr>
        <w:t>2.图纸</w:t>
      </w:r>
      <w:r>
        <w:rPr>
          <w:rFonts w:hint="eastAsia" w:ascii="宋体" w:hAnsi="宋体" w:cs="宋体"/>
          <w:color w:val="auto"/>
          <w:highlight w:val="none"/>
        </w:rPr>
        <w:t>（另册）</w:t>
      </w:r>
      <w:bookmarkEnd w:id="1395"/>
      <w:bookmarkEnd w:id="1396"/>
    </w:p>
    <w:p w14:paraId="2FE14167">
      <w:pPr>
        <w:rPr>
          <w:rFonts w:hint="eastAsia" w:ascii="宋体" w:hAnsi="宋体" w:cs="宋体"/>
          <w:color w:val="auto"/>
          <w:highlight w:val="none"/>
        </w:rPr>
      </w:pPr>
    </w:p>
    <w:p w14:paraId="55ADFDF9">
      <w:pPr>
        <w:pStyle w:val="2"/>
        <w:adjustRightInd w:val="0"/>
        <w:snapToGrid w:val="0"/>
        <w:spacing w:before="0" w:after="0" w:line="560" w:lineRule="exact"/>
        <w:jc w:val="center"/>
        <w:rPr>
          <w:rFonts w:hint="eastAsia" w:ascii="宋体" w:hAnsi="宋体" w:cs="宋体"/>
          <w:bCs w:val="0"/>
          <w:color w:val="auto"/>
          <w:sz w:val="32"/>
          <w:highlight w:val="none"/>
        </w:rPr>
      </w:pPr>
      <w:r>
        <w:rPr>
          <w:rFonts w:hint="eastAsia" w:ascii="宋体" w:hAnsi="宋体" w:cs="宋体"/>
          <w:b w:val="0"/>
          <w:bCs w:val="0"/>
          <w:color w:val="auto"/>
          <w:sz w:val="32"/>
          <w:highlight w:val="none"/>
        </w:rPr>
        <w:br w:type="page"/>
      </w:r>
      <w:bookmarkStart w:id="1397" w:name="_Toc4608"/>
      <w:bookmarkStart w:id="1398" w:name="_Toc95223525"/>
      <w:r>
        <w:rPr>
          <w:rFonts w:hint="eastAsia"/>
          <w:color w:val="auto"/>
          <w:highlight w:val="none"/>
        </w:rPr>
        <w:t>第八章  技术标准和要求</w:t>
      </w:r>
      <w:bookmarkEnd w:id="1397"/>
      <w:bookmarkEnd w:id="1398"/>
    </w:p>
    <w:p w14:paraId="2A0B6613">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1"/>
        <w:rPr>
          <w:rFonts w:hint="eastAsia" w:ascii="宋体" w:hAnsi="宋体" w:cs="宋体"/>
          <w:color w:val="auto"/>
          <w:highlight w:val="none"/>
        </w:rPr>
      </w:pPr>
      <w:bookmarkStart w:id="1399" w:name="_Toc95223526"/>
      <w:bookmarkStart w:id="1400" w:name="_Toc32647"/>
      <w:r>
        <w:rPr>
          <w:rFonts w:hint="eastAsia" w:ascii="宋体" w:hAnsi="宋体" w:cs="宋体"/>
          <w:bCs/>
          <w:color w:val="auto"/>
          <w:szCs w:val="21"/>
          <w:highlight w:val="none"/>
        </w:rPr>
        <w:t>1.</w:t>
      </w:r>
      <w:r>
        <w:rPr>
          <w:rFonts w:hint="eastAsia" w:ascii="宋体" w:hAnsi="宋体" w:cs="宋体"/>
          <w:b/>
          <w:color w:val="auto"/>
          <w:highlight w:val="none"/>
        </w:rPr>
        <w:t xml:space="preserve"> </w:t>
      </w:r>
      <w:r>
        <w:rPr>
          <w:rFonts w:hint="eastAsia" w:ascii="宋体" w:hAnsi="宋体" w:cs="宋体"/>
          <w:color w:val="auto"/>
          <w:highlight w:val="none"/>
        </w:rPr>
        <w:t>一般要求</w:t>
      </w:r>
      <w:bookmarkEnd w:id="1399"/>
      <w:bookmarkEnd w:id="1400"/>
    </w:p>
    <w:p w14:paraId="098FBC08">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1"/>
        <w:rPr>
          <w:rFonts w:hint="eastAsia" w:ascii="宋体" w:hAnsi="宋体" w:cs="宋体"/>
          <w:color w:val="auto"/>
          <w:highlight w:val="none"/>
        </w:rPr>
      </w:pPr>
      <w:bookmarkStart w:id="1401" w:name="_Toc26107"/>
      <w:bookmarkStart w:id="1402" w:name="_Toc95223527"/>
      <w:r>
        <w:rPr>
          <w:rFonts w:hint="eastAsia" w:ascii="宋体" w:hAnsi="宋体" w:cs="宋体"/>
          <w:bCs/>
          <w:color w:val="auto"/>
          <w:szCs w:val="21"/>
          <w:highlight w:val="none"/>
        </w:rPr>
        <w:t>2.</w:t>
      </w:r>
      <w:r>
        <w:rPr>
          <w:rFonts w:hint="eastAsia" w:ascii="宋体" w:hAnsi="宋体" w:cs="宋体"/>
          <w:b/>
          <w:color w:val="auto"/>
          <w:highlight w:val="none"/>
        </w:rPr>
        <w:t xml:space="preserve"> </w:t>
      </w:r>
      <w:r>
        <w:rPr>
          <w:rFonts w:hint="eastAsia" w:ascii="宋体" w:hAnsi="宋体" w:cs="宋体"/>
          <w:color w:val="auto"/>
          <w:highlight w:val="none"/>
        </w:rPr>
        <w:t>特殊技术标准和要求</w:t>
      </w:r>
      <w:bookmarkEnd w:id="1401"/>
      <w:bookmarkEnd w:id="1402"/>
      <w:r>
        <w:rPr>
          <w:rFonts w:hint="eastAsia" w:ascii="宋体" w:hAnsi="宋体" w:cs="宋体"/>
          <w:color w:val="auto"/>
          <w:highlight w:val="none"/>
        </w:rPr>
        <w:t xml:space="preserve"> </w:t>
      </w:r>
    </w:p>
    <w:p w14:paraId="034A0062">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1"/>
        <w:rPr>
          <w:rFonts w:hint="eastAsia" w:ascii="宋体" w:hAnsi="宋体" w:cs="宋体"/>
          <w:color w:val="auto"/>
          <w:highlight w:val="none"/>
        </w:rPr>
      </w:pPr>
      <w:bookmarkStart w:id="1403" w:name="_Toc30517"/>
      <w:bookmarkStart w:id="1404" w:name="_Toc95223528"/>
      <w:r>
        <w:rPr>
          <w:rFonts w:hint="eastAsia" w:ascii="宋体" w:hAnsi="宋体" w:cs="宋体"/>
          <w:bCs/>
          <w:color w:val="auto"/>
          <w:szCs w:val="21"/>
          <w:highlight w:val="none"/>
        </w:rPr>
        <w:t>3.</w:t>
      </w:r>
      <w:r>
        <w:rPr>
          <w:rFonts w:hint="eastAsia" w:ascii="宋体" w:hAnsi="宋体" w:cs="宋体"/>
          <w:b/>
          <w:color w:val="auto"/>
          <w:highlight w:val="none"/>
        </w:rPr>
        <w:t xml:space="preserve"> </w:t>
      </w:r>
      <w:r>
        <w:rPr>
          <w:rFonts w:hint="eastAsia" w:ascii="宋体" w:hAnsi="宋体" w:cs="宋体"/>
          <w:color w:val="auto"/>
          <w:highlight w:val="none"/>
        </w:rPr>
        <w:t>适用的国家、行业以及地方标准、规范和规程</w:t>
      </w:r>
      <w:bookmarkEnd w:id="1403"/>
      <w:bookmarkEnd w:id="1404"/>
      <w:r>
        <w:rPr>
          <w:rFonts w:hint="eastAsia" w:ascii="宋体" w:hAnsi="宋体" w:cs="宋体"/>
          <w:color w:val="auto"/>
          <w:highlight w:val="none"/>
        </w:rPr>
        <w:t xml:space="preserve"> </w:t>
      </w:r>
    </w:p>
    <w:p w14:paraId="39E2516A">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1"/>
        <w:rPr>
          <w:rFonts w:hint="eastAsia" w:ascii="宋体" w:hAnsi="宋体" w:cs="宋体"/>
          <w:color w:val="auto"/>
          <w:highlight w:val="none"/>
        </w:rPr>
      </w:pPr>
      <w:bookmarkStart w:id="1405" w:name="_Toc16564"/>
      <w:bookmarkStart w:id="1406" w:name="_Toc95223529"/>
      <w:r>
        <w:rPr>
          <w:rFonts w:hint="eastAsia" w:ascii="宋体" w:hAnsi="宋体" w:cs="宋体"/>
          <w:color w:val="auto"/>
          <w:highlight w:val="none"/>
        </w:rPr>
        <w:t>4. 招标人推荐品牌</w:t>
      </w:r>
      <w:bookmarkEnd w:id="1405"/>
      <w:bookmarkEnd w:id="1406"/>
    </w:p>
    <w:tbl>
      <w:tblPr>
        <w:tblStyle w:val="20"/>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6"/>
        <w:gridCol w:w="1083"/>
        <w:gridCol w:w="6195"/>
        <w:gridCol w:w="2496"/>
      </w:tblGrid>
      <w:tr w14:paraId="02524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A8E85">
            <w:pPr>
              <w:keepNext w:val="0"/>
              <w:keepLines w:val="0"/>
              <w:pageBreakBefore w:val="0"/>
              <w:kinsoku/>
              <w:wordWrap/>
              <w:overflowPunct/>
              <w:topLinePunct w:val="0"/>
              <w:autoSpaceDE/>
              <w:autoSpaceDN/>
              <w:bidi w:val="0"/>
              <w:adjustRightInd/>
              <w:snapToGrid/>
              <w:spacing w:line="500" w:lineRule="exact"/>
              <w:outlineLvl w:val="1"/>
              <w:rPr>
                <w:rFonts w:hint="eastAsia" w:ascii="宋体" w:hAnsi="宋体" w:eastAsia="宋体" w:cs="宋体"/>
                <w:b/>
                <w:bCs/>
                <w:i w:val="0"/>
                <w:iCs w:val="0"/>
                <w:color w:val="auto"/>
                <w:sz w:val="21"/>
                <w:szCs w:val="21"/>
                <w:u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b/>
                <w:bCs/>
                <w:i w:val="0"/>
                <w:iCs w:val="0"/>
                <w:color w:val="auto"/>
                <w:kern w:val="0"/>
                <w:sz w:val="21"/>
                <w:szCs w:val="21"/>
                <w:u w:val="none"/>
                <w:lang w:val="en-US" w:eastAsia="zh-CN" w:bidi="ar"/>
              </w:rPr>
              <w:t>序号</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59C0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材料名称</w:t>
            </w:r>
          </w:p>
        </w:tc>
        <w:tc>
          <w:tcPr>
            <w:tcW w:w="6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C4BE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技术参数</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E3C0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推荐品牌</w:t>
            </w:r>
          </w:p>
        </w:tc>
      </w:tr>
      <w:tr w14:paraId="10BD3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59D1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6384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钢材</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FFBC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屈服强度、抗拉强度、断后伸张率、强屈比达到规范要求</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B99F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马钢、南钢、沙钢</w:t>
            </w:r>
          </w:p>
        </w:tc>
      </w:tr>
      <w:tr w14:paraId="30CC9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3A5D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2</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1890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真石漆</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D4F7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耐水性：96h无异常；2、耐碱性：96h无异常；3、粘结强度：标准状态≥0.6MPa,冻融循环（5次循环后）≥0.4MPa；4、耐沾污性：≤2级；5、耐人工气候老化性：600h涂层不开裂、不起鼓、不剥落，粉化0级，变色≤1级。</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FDB3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嘉宝莉、三棵树、亚士</w:t>
            </w:r>
          </w:p>
        </w:tc>
      </w:tr>
      <w:tr w14:paraId="73089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858A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3</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8C67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外墙腻子</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49B3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1、耐水性：96h无异常；2、耐碱性：48h无异常；3、粘结强度：标准状态≥0.6MPa,冻融循环（5次循环后）≥0.4MPa；4、吸水量≤2.0g/10min。</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521C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美巢、德高、立邦</w:t>
            </w:r>
          </w:p>
        </w:tc>
      </w:tr>
      <w:tr w14:paraId="207AA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FCA3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4</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FCAE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防水涂料</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0517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1、粘接性能：干燥级潮湿基面100%内聚破坏；2、延伸性：≥15mm；3、耐温性：-20℃无断裂，65℃不流淌、无滑动；4、抗老化性：耐酸、耐碱、耐盐质量标化±2%，外观无变化。</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5EFD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德高、东方雨虹、北新</w:t>
            </w:r>
          </w:p>
        </w:tc>
      </w:tr>
      <w:tr w14:paraId="4CD48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2E5F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5</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2A32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防水卷材</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32D0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1、不透水性：30min，0.3MPa，不透水。2、延伸率：最大峰时延伸率纵向、横向不低于40%。3、拉力：最大峰拉力纵向横向不低于800。</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961A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东方雨虹、大禹、北新</w:t>
            </w:r>
          </w:p>
        </w:tc>
      </w:tr>
      <w:tr w14:paraId="00FDD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D81E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6</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21AE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防火涂料</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2CC5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1、耐火性能：Fp2.0≥1H/1.5H，温度≤538℃ ；2、耐水性：24h试验后，涂层应无起层、发泡、脱落现象，且隔热效率衰减量应≤35%；3、耐冷热循环性/次：15次试验后，涂层应无开裂、剥落、起泡现象，且隔热效率衰减量应≤35%。</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FBF1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金隅、汇泉、中隅</w:t>
            </w:r>
          </w:p>
        </w:tc>
      </w:tr>
      <w:tr w14:paraId="0C1B1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724C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7</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949C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xps保温板</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013A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1、导热系数(25°C),W/(m·K)2、燃烧性能：60s内焰尖高度≤150mm，60s内无引燃滤纸现象，燃烧增长速率指数≤120W/S，600s内总热释放量≤7.5MJ。3、压缩强度：≥250kPa；4、尺寸稳定性：≤1.5%。</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2B7E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安徽科美、安徽春季、安徽自合 </w:t>
            </w:r>
          </w:p>
        </w:tc>
      </w:tr>
      <w:tr w14:paraId="4EF01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C0FF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8</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7C0D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塑料管材</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E959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1、外观：光滑平整、无气泡、无凹陷；2、纵向回收率：≤2%；3、静液压试验：20℃,1h,16MPa环应力无破裂、无渗漏;95℃22h,4.3MPa环应力无破裂、无渗漏。</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F14B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联塑、公元、中财、伟星</w:t>
            </w:r>
          </w:p>
        </w:tc>
      </w:tr>
      <w:tr w14:paraId="61406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A3A9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9</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721E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钢管</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21FD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压扁：平板间距为2/3D时,焊缝处不允许山现裂缝或裂口；间距为1/3D时.焊缝以外部位不允许山现裂缝或裂口:继续压至贴合，全程不允许出现分层或金属过烧现象；2、表面缺陷：钢管的内外表面应光滑.不允许有折叠、裂纹、分层、搭焊、断弧、烧穿及其他深度超过壁厚下偏差的缺陷存在；3、液压试验：试验压力为5MPa，保持时间不少于5s，钢管不允许出现现漏现象。</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671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天津友发、浙江金州、无锡湖光</w:t>
            </w:r>
          </w:p>
        </w:tc>
      </w:tr>
      <w:tr w14:paraId="21AC1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C3FC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10</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133D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电线</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4596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1、外观质量;色泽均匀、光亮；2、印刷标志耐擦：字迹清楚、耐擦；3、成品电压试验（浸水）：2.5KV/5min 不击穿。</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2FC6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江南 、上上、宝胜</w:t>
            </w:r>
          </w:p>
        </w:tc>
      </w:tr>
      <w:tr w14:paraId="1C305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0F11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2153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电缆</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21D7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1、标志：表明应有制造厂名、型号及额定电压的连续标志，标志应字迹清楚、容易辨认、耐擦。一个完整标志的末端和下一个完整标志的始端之间的距离不超过500mm；2、交流电压试验3.5KV/5min：不击穿。</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B74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江南 、上上、宝胜</w:t>
            </w:r>
          </w:p>
        </w:tc>
      </w:tr>
      <w:tr w14:paraId="305ED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FCD4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12</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D83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灯具</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F100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光源：LED</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亮度与照度：以流明（lm）为单位，衡量光源总光输出。需保证充足照度和均匀度，避免局部过亮或过暗。色温影响光线冷暖感，一般护眼灯偏好中性光（4000-4500K），模拟自然光。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光型与分布：光线是否集中、均匀。护眼灯则通过漫反射设计消除阴影，实现均匀照明，衡量光线还原物体真实颜色的能力，高显色（如 Ra≥95）更护眼</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散热与寿命：高效散热（如铝合金鳍片、主动风冷）能延长灯具寿命（如 35000 小时），并维持亮度稳定，避免光衰</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F21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飞利浦、欧普、雷士、达亮</w:t>
            </w:r>
          </w:p>
        </w:tc>
      </w:tr>
      <w:tr w14:paraId="0F64B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7118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13</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E5E1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开关、插座及电气元器件</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2AAB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额定电压与电流：国内家用标准电压为 220V，开关和插座的额定电流（通常为 10A 或 16A）必须大于或等于所连接电器的额定电流</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耐插拔寿命：衡量插座插套耐用性的关键指标。优质产品通过无焊点一体式铜条设计和优质材料，可实现数万次（如 75000 次）的插拔寿命，确保长期使用不松动。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导电材料：内部导电部件（插套、触点）的材质直接影响导电性和发热情况。优质产品多采用纯铜或铜合金，电阻小，通电能力强，发热少；</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阻燃材料：外壳和内部结构件应采用阻燃等级高的材料（如阻燃 PP、阻燃 PC），能在高温下自熄，防止火势蔓延。</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1A9F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正泰、人民电器、德力西</w:t>
            </w:r>
          </w:p>
        </w:tc>
      </w:tr>
      <w:tr w14:paraId="39D3E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A4E1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14</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99BB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卫生洁具</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3F5F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冲水技术：虹吸式、喷射虹吸式等冲水方式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材质与工艺：陶瓷要求高温烧制以确保致密性和抗污性；表面釉层处理可提升光滑度，便于清洁。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分洁具集成感应冲水、恒温出水、除菌等技术，提升使用体验。</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节水性能：水效等级一级</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8CD0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箭牌、恒洁、法恩莎</w:t>
            </w:r>
          </w:p>
        </w:tc>
      </w:tr>
      <w:tr w14:paraId="2DAF1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E0DE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15</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AE9D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墙砖、地砖</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1567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吸水率：</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地砖：通常要求吸水率低，特别是全抛釉砖、玻化砖等，国家标准一般要求≤0.5%。</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墙砖：国家标准要求相对宽松，一般为 10%-20%。但用于厨房、卫生间等潮湿区域时，建议选择吸水率较低的产品（如低于 10%），以增强防潮和抗污能力。</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耐磨性：耐磨转数 6000 转和耐磨等级（PEI 分级）来衡量。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抗压强度：最低抗压强度应≥27MPa。</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平整度与直角度：通常要求误差在±0.5% 以内。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放射性：正规厂家生产的瓷砖均需符合国家放射性防护标准（A 类标准），选购时可查看产品的检测报告</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703F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东鹏、诺贝尔、马可波</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罗</w:t>
            </w:r>
          </w:p>
        </w:tc>
      </w:tr>
      <w:tr w14:paraId="776D9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206E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16</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1255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涂料</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005A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水性涂料技术：以水为溶剂的环保型涂料，减少挥发性 有机化合物（VOC）排放，符合绿色建筑需求性能：包括 附着力、耐磨性、耐洗刷性、耐候性（抗紫外线、抗老 化）等达到国家标准； 物理参数：如固含量（影响涂层厚度）、密度、pH 值、 干燥时间等。涂料的固含量需达到一定标准以确保膜层 均匀。 性能参数：能满足参数可通过国家标准（如 GB/T31815-2015）测试验证。 环保参数：释放量（如甲醛含量）应符合室内装饰标准， 优先选择有权威质检报告的产品</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DDDE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立邦、多乐士、嘉宝莉、三棵树、 亚士</w:t>
            </w:r>
          </w:p>
        </w:tc>
      </w:tr>
      <w:tr w14:paraId="6F42B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14A6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17</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9364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钢制防火门</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71E2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材料厚度：门扇面板≥0.8mm，门框板≥1.2mmm，铰链板≥3.0mm，不带螺孔的加固件≥1.2mm，带螺孔的加固件≥3mm；2、门扇开启力：≤80N；3、可靠性：在进行500次启闭试验后，防火门不应有松动、脱落、严重变形和启闭卡阻现象；4、耐火性能：甲级≥1.5h，乙级≥1h。</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94BA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步阳 王力 盼盼</w:t>
            </w:r>
          </w:p>
        </w:tc>
      </w:tr>
      <w:tr w14:paraId="3B529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0C68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18</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9A7F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铝合金、断桥隔热铝门窗</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2C8C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技术要点：核心技术在于隔热条的应用。隔热条通常采用聚酰胺（PA66）等材料，通过多腔体结构设计提升隔热效果。 型材壁厚需符合国家标准，新国标要求主框、玻璃扇、纱窗等部件均采用通体壁厚1.8mm 以上，以确保强度和耐久性。腔体结构方面，外框建议具备 5-6 个腔体，玻璃扇需有 3 个及以上腔体，铝合金、断桥隔并配以 4-5 条承重筋，以增强抗风压和保温性能。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系统通过隔热条实现铝型材内外层的热隔</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离，减少热量传递隔热性能：低至 0.8-3.0 W/(㎡ ·K)</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隔音性能：噪音降低可达 30-50 分贝；</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抗风压性能：产品抗风压等级达 9 级（对应 12 级台风标准）。 气密性与水密性：900Pa 以上。</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2330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南山、忠旺、凤铝、中铝</w:t>
            </w:r>
          </w:p>
        </w:tc>
      </w:tr>
      <w:tr w14:paraId="01468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FA53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19</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7E9F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客梯、扶梯</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5A30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详见电梯配置方案</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81F3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蒂升、日立、通力、奥的斯</w:t>
            </w:r>
          </w:p>
        </w:tc>
      </w:tr>
      <w:tr w14:paraId="7F1A7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D0E2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20</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D4FB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货梯</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33E1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详见电梯配置方案</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D314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康力、巨人通力、杭州西奥</w:t>
            </w:r>
          </w:p>
        </w:tc>
      </w:tr>
      <w:tr w14:paraId="70F2D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6056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21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572E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双绞线缆</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356A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1．名称：六类非屏蔽双绞线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2．敷设方式：桥架、穿管敷设</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2429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康普、西蒙、罗格朗</w:t>
            </w:r>
          </w:p>
        </w:tc>
      </w:tr>
      <w:tr w14:paraId="4FA9A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5408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22</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A798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光纤</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8A4B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1．名称：双芯LC-LC单模跳线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2．规格型号：3M</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2C4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康普、西蒙、罗格朗</w:t>
            </w:r>
          </w:p>
        </w:tc>
      </w:tr>
      <w:tr w14:paraId="06E6E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B7748">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23</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CA23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机柜</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53E5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1．规格型号：600mm宽，600mm深,2000mm高，42U</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2．技术参数：1.2mm钢板用于机柜主体和支架等重要部位，四面开放式，机柜侧门、前后门可以拆开，方便调试安装</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2860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图腾、金盾、威朗</w:t>
            </w:r>
          </w:p>
        </w:tc>
      </w:tr>
      <w:tr w14:paraId="3BA85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F208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24</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D34D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交换机</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0303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1．规格型号：总装机箱（包含风扇盘，2个电源槽位，3个全功能业务槽位，其中1槽插入任意业务线卡即可激活主控模块）</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2．技术参数：含2个热插拔交流电源模块350W</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3．含2个48端口千兆光（SFP），2端口万兆光（SFP+）业务板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4．含1个24端口千兆电（RJ45），24端口千兆光（SFP），2端口万兆光（SFP+）业务板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7B80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中兴、华为、华三</w:t>
            </w:r>
          </w:p>
        </w:tc>
      </w:tr>
      <w:tr w14:paraId="1A61E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7B39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25</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093C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监控摄像设备</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978A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1．规格型号：400万星光筒型网络摄像机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2．技术参数：最大图像尺寸：2688 × 1520（默认2560 × 1440）</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3．焦距&amp;视场角：2.8 mm，水平视场角：98°，垂直视场角：54°，对角视场角：115°</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B1CB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海康威视、浙江大华、华为</w:t>
            </w:r>
          </w:p>
        </w:tc>
      </w:tr>
      <w:tr w14:paraId="41086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B28A8">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26</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D8FA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企业级硬盘10T</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5175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1．规格型号：10T</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54F0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希捷、西部数据、东芝</w:t>
            </w:r>
          </w:p>
        </w:tc>
      </w:tr>
      <w:tr w14:paraId="2E78F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2F57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27</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E2CF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LCD拼接屏</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DAF8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1．规格型号：46英寸#3.5mm拼缝#高亮液晶拼接屏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2．技术参数：物理分辨率高达1920 × 1080，运行稳定，可24小时持续工作。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225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海康威视、浙江大华、京东方</w:t>
            </w:r>
          </w:p>
        </w:tc>
      </w:tr>
      <w:tr w14:paraId="5CF53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703E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28</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992D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服务器</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677E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1．规格型号：2U单路标准机架式服务器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2．技术参数：CPU：配置1颗intel至强4510处理器，核数≥12核，主频≥2.4GHz,内存：配置64G DDR5，8根内存插槽，最大支持扩展至1TB内存,硬盘：配置2块1.2T 10K 2.5寸 SAS硬盘，默认支持8个3.5寸/2.5寸硬盘，可选最大支持12个3.5寸/2.5寸硬盘，可选兼容4个NVMe硬盘</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82A9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华为、联想、DELL</w:t>
            </w:r>
          </w:p>
        </w:tc>
      </w:tr>
      <w:tr w14:paraId="16FEE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BDF7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29</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F921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双门门禁控制器</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0242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1．规格型号：2门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2．技术参数：RS485读卡器*4、读卡器*4，存储容量：10万张卡和30万记录存储</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64CD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海康威视、浙江大华、天地伟业</w:t>
            </w:r>
          </w:p>
        </w:tc>
      </w:tr>
      <w:tr w14:paraId="17C11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685F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30</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B2F3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人脸识别机</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8317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1．技术参数：不小于7英寸触摸显示屏，屏幕比例9:16，屏幕分辨率600*1024；嵌入式Linux操作系统；采用宽动态200万双目摄像头；</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2．含人脸识别机支架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8F26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海康威视、浙江大华、天地伟业</w:t>
            </w:r>
          </w:p>
        </w:tc>
      </w:tr>
      <w:tr w14:paraId="0EDB2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B98C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31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3BDF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出入口车牌识别一体机</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32EE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1．规格型号：传感器类型：1/3" Progressive Scan CMOS，最低照度：彩色0.04lx(F2.0,AGC ON)，镜头：3.1~6mm电动变焦镜头</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2．技术参数：最大图像尺寸：2688×1520，帧率：25fps(2688×1520)，智能识别：车牌识别，防护等级：IP54，屏幕类型：LED</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E3BA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海康威视、科拓、浙江大华</w:t>
            </w:r>
          </w:p>
        </w:tc>
      </w:tr>
      <w:tr w14:paraId="48770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BAE5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32</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8FAA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停车管理软件授权</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DCA8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技术参数：出入口车辆放行管理通过接入多种出入口道闸设备，利用车牌号码、卡片，实现车辆识别、出入管控等应用，主要提供出入口车道管理、车辆管理、车辆放行规则管理、出入口LED显示和语音播报管理、库内车辆管理、过车记录查询、车流量统计等应用，支持中心和岗亭监控出入口过车实况、道闸反控和语音对讲协助功能</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4BBF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海康威视、科拓、浙江大华</w:t>
            </w:r>
          </w:p>
        </w:tc>
      </w:tr>
      <w:tr w14:paraId="665B5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D146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33</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00C1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UPS主机</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top"/>
          </w:tcPr>
          <w:p w14:paraId="617DB7D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1．规格：产品须标配输入电抗器及输出端隔离变压器以抑制来自电网的浪涌电流和降低零地电压，优化UPS末端供电质量；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2．每台UPS 具有独立控制系统，面板必须为LCD 液晶显示屏中文英文可切换显示。LCD 显示内容至少包括：当前日期、时间、有关运行参数、及历史事件记录等。</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318F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易事特、山特、艾默生</w:t>
            </w:r>
          </w:p>
        </w:tc>
      </w:tr>
      <w:tr w14:paraId="2421B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F6AB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34</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464B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消防泵</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787F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外壳为球墨铸铁，叶轮为青铜。配置弹簧隔震，惯性基座等减震措施。</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9CA6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东方泵业、上海凯泉、上海连成</w:t>
            </w:r>
          </w:p>
        </w:tc>
      </w:tr>
      <w:tr w14:paraId="54B3F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6DB6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35</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5F2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潜污泵组</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25F8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Style w:val="57"/>
                <w:rFonts w:hint="eastAsia" w:ascii="宋体" w:hAnsi="宋体" w:eastAsia="宋体" w:cs="宋体"/>
                <w:color w:val="auto"/>
                <w:sz w:val="21"/>
                <w:szCs w:val="21"/>
                <w:lang w:val="en-US" w:eastAsia="zh-CN" w:bidi="ar"/>
              </w:rPr>
              <w:t>水泵启闭由液位自动控制，含配套控制箱液位控制器（浮球开关、水泵电力电缆、水泵控制电缆的采购及安装，含水泵检查接线。）控制箱单电源开关，各回路预留</w:t>
            </w:r>
            <w:r>
              <w:rPr>
                <w:rStyle w:val="58"/>
                <w:rFonts w:hint="eastAsia" w:ascii="宋体" w:hAnsi="宋体" w:eastAsia="宋体" w:cs="宋体"/>
                <w:color w:val="auto"/>
                <w:sz w:val="21"/>
                <w:szCs w:val="21"/>
                <w:lang w:val="en-US" w:eastAsia="zh-CN" w:bidi="ar"/>
              </w:rPr>
              <w:t>BA</w:t>
            </w:r>
            <w:r>
              <w:rPr>
                <w:rStyle w:val="57"/>
                <w:rFonts w:hint="eastAsia" w:ascii="宋体" w:hAnsi="宋体" w:eastAsia="宋体" w:cs="宋体"/>
                <w:color w:val="auto"/>
                <w:sz w:val="21"/>
                <w:szCs w:val="21"/>
                <w:lang w:val="en-US" w:eastAsia="zh-CN" w:bidi="ar"/>
              </w:rPr>
              <w:t>控制接口，末端出线回路开关需带</w:t>
            </w:r>
            <w:r>
              <w:rPr>
                <w:rStyle w:val="58"/>
                <w:rFonts w:hint="eastAsia" w:ascii="宋体" w:hAnsi="宋体" w:eastAsia="宋体" w:cs="宋体"/>
                <w:color w:val="auto"/>
                <w:sz w:val="21"/>
                <w:szCs w:val="21"/>
                <w:lang w:val="en-US" w:eastAsia="zh-CN" w:bidi="ar"/>
              </w:rPr>
              <w:t>30mA</w:t>
            </w:r>
            <w:r>
              <w:rPr>
                <w:rStyle w:val="57"/>
                <w:rFonts w:hint="eastAsia" w:ascii="宋体" w:hAnsi="宋体" w:eastAsia="宋体" w:cs="宋体"/>
                <w:color w:val="auto"/>
                <w:sz w:val="21"/>
                <w:szCs w:val="21"/>
                <w:lang w:val="en-US" w:eastAsia="zh-CN" w:bidi="ar"/>
              </w:rPr>
              <w:t>，漏电报警。</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038A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东方泵业、上海凯泉、上海连成</w:t>
            </w:r>
          </w:p>
        </w:tc>
      </w:tr>
      <w:tr w14:paraId="455E4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B079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36</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826B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风机</w:t>
            </w:r>
          </w:p>
        </w:tc>
        <w:tc>
          <w:tcPr>
            <w:tcW w:w="6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3EA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详见暖通技术规格书</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6507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上海通用风机厂、浙江亿利达、英飞、上风高科</w:t>
            </w:r>
          </w:p>
        </w:tc>
      </w:tr>
      <w:tr w14:paraId="10CF8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104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8E906F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特别说明：1.投标人选用其他品牌的，投标文件中须提供该品牌材料技术参数证明材料（检测报告或技术说明），佐证其不低于推荐品牌技术参数指标。</w:t>
            </w:r>
          </w:p>
          <w:p w14:paraId="03017DF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default"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2.上述表中的所有品牌均不含其子品牌及下属品牌。</w:t>
            </w:r>
          </w:p>
        </w:tc>
      </w:tr>
    </w:tbl>
    <w:p w14:paraId="55F1B060">
      <w:pPr>
        <w:rPr>
          <w:rFonts w:hint="eastAsia"/>
          <w:color w:val="auto"/>
          <w:highlight w:val="none"/>
        </w:rPr>
      </w:pPr>
      <w:bookmarkStart w:id="1407" w:name="_Toc95223531"/>
      <w:r>
        <w:rPr>
          <w:rFonts w:hint="eastAsia"/>
          <w:color w:val="auto"/>
          <w:highlight w:val="none"/>
        </w:rPr>
        <w:br w:type="page"/>
      </w:r>
    </w:p>
    <w:p w14:paraId="10F247A0">
      <w:pPr>
        <w:pStyle w:val="2"/>
        <w:adjustRightInd w:val="0"/>
        <w:snapToGrid w:val="0"/>
        <w:spacing w:before="0" w:after="0" w:line="560" w:lineRule="exact"/>
        <w:jc w:val="center"/>
        <w:rPr>
          <w:rFonts w:hint="eastAsia"/>
          <w:color w:val="auto"/>
          <w:highlight w:val="none"/>
        </w:rPr>
      </w:pPr>
      <w:r>
        <w:rPr>
          <w:rFonts w:hint="eastAsia"/>
          <w:color w:val="auto"/>
          <w:highlight w:val="none"/>
        </w:rPr>
        <w:t>第九章   投标文件格式</w:t>
      </w:r>
      <w:bookmarkEnd w:id="1407"/>
    </w:p>
    <w:p w14:paraId="08CDA23F">
      <w:pPr>
        <w:adjustRightInd w:val="0"/>
        <w:snapToGrid w:val="0"/>
        <w:spacing w:line="560" w:lineRule="exact"/>
        <w:rPr>
          <w:rFonts w:hint="eastAsia"/>
          <w:color w:val="auto"/>
          <w:highlight w:val="none"/>
        </w:rPr>
      </w:pPr>
    </w:p>
    <w:p w14:paraId="0147A34B">
      <w:pPr>
        <w:adjustRightInd w:val="0"/>
        <w:snapToGrid w:val="0"/>
        <w:spacing w:line="560" w:lineRule="exact"/>
        <w:rPr>
          <w:rFonts w:hint="eastAsia"/>
          <w:color w:val="auto"/>
          <w:highlight w:val="none"/>
        </w:rPr>
      </w:pPr>
    </w:p>
    <w:p w14:paraId="36F5852D">
      <w:pPr>
        <w:adjustRightInd w:val="0"/>
        <w:snapToGrid w:val="0"/>
        <w:spacing w:line="560" w:lineRule="exact"/>
        <w:rPr>
          <w:rFonts w:hint="eastAsia"/>
          <w:color w:val="auto"/>
          <w:highlight w:val="none"/>
        </w:rPr>
      </w:pPr>
    </w:p>
    <w:p w14:paraId="27D355EB">
      <w:pPr>
        <w:adjustRightInd w:val="0"/>
        <w:snapToGrid w:val="0"/>
        <w:spacing w:line="560" w:lineRule="exact"/>
        <w:jc w:val="center"/>
        <w:rPr>
          <w:rFonts w:hint="eastAsia" w:eastAsia="黑体"/>
          <w:color w:val="auto"/>
          <w:sz w:val="20"/>
          <w:szCs w:val="20"/>
          <w:highlight w:val="none"/>
        </w:rPr>
      </w:pPr>
      <w:r>
        <w:rPr>
          <w:rFonts w:hint="eastAsia" w:eastAsia="黑体"/>
          <w:color w:val="auto"/>
          <w:sz w:val="28"/>
          <w:szCs w:val="28"/>
          <w:highlight w:val="none"/>
          <w:u w:val="single"/>
        </w:rPr>
        <w:t xml:space="preserve"> </w:t>
      </w:r>
      <w:bookmarkStart w:id="1408" w:name="_Toc15058933"/>
      <w:bookmarkStart w:id="1409" w:name="_Toc506107339"/>
      <w:bookmarkStart w:id="1410" w:name="_Toc60061573"/>
      <w:bookmarkStart w:id="1411" w:name="_Toc484173788"/>
      <w:r>
        <w:rPr>
          <w:rFonts w:hint="eastAsia" w:eastAsia="黑体"/>
          <w:color w:val="auto"/>
          <w:sz w:val="28"/>
          <w:szCs w:val="28"/>
          <w:highlight w:val="none"/>
          <w:u w:val="single"/>
        </w:rPr>
        <w:t xml:space="preserve">            </w:t>
      </w:r>
      <w:bookmarkEnd w:id="1408"/>
      <w:bookmarkEnd w:id="1409"/>
      <w:bookmarkEnd w:id="1410"/>
      <w:bookmarkEnd w:id="1411"/>
      <w:r>
        <w:rPr>
          <w:rFonts w:hint="eastAsia" w:eastAsia="黑体"/>
          <w:color w:val="auto"/>
          <w:sz w:val="28"/>
          <w:szCs w:val="28"/>
          <w:highlight w:val="none"/>
          <w:u w:val="single"/>
        </w:rPr>
        <w:t xml:space="preserve">   </w:t>
      </w:r>
      <w:r>
        <w:rPr>
          <w:rFonts w:eastAsia="黑体"/>
          <w:color w:val="auto"/>
          <w:sz w:val="28"/>
          <w:szCs w:val="28"/>
          <w:highlight w:val="none"/>
        </w:rPr>
        <w:t>（项目名称</w:t>
      </w:r>
      <w:bookmarkStart w:id="1412" w:name="_Toc246996354"/>
      <w:bookmarkStart w:id="1413" w:name="_Toc246997097"/>
      <w:bookmarkStart w:id="1414" w:name="_Toc144974855"/>
      <w:bookmarkStart w:id="1415" w:name="_Toc179632806"/>
      <w:bookmarkStart w:id="1416" w:name="_Toc247085872"/>
      <w:bookmarkStart w:id="1417" w:name="_Toc152045786"/>
      <w:bookmarkStart w:id="1418" w:name="_Toc152042575"/>
      <w:r>
        <w:rPr>
          <w:rFonts w:eastAsia="黑体"/>
          <w:color w:val="auto"/>
          <w:sz w:val="28"/>
          <w:szCs w:val="28"/>
          <w:highlight w:val="none"/>
        </w:rPr>
        <w:t>）</w:t>
      </w:r>
      <w:bookmarkStart w:id="1419" w:name="_Toc15058934"/>
      <w:bookmarkStart w:id="1420" w:name="_Toc60061574"/>
      <w:bookmarkStart w:id="1421" w:name="_Toc506107340"/>
      <w:bookmarkStart w:id="1422" w:name="_Toc324404888"/>
    </w:p>
    <w:p w14:paraId="4480497B">
      <w:pPr>
        <w:adjustRightInd w:val="0"/>
        <w:snapToGrid w:val="0"/>
        <w:spacing w:line="560" w:lineRule="exact"/>
        <w:jc w:val="center"/>
        <w:rPr>
          <w:rFonts w:hint="eastAsia" w:eastAsia="黑体"/>
          <w:color w:val="auto"/>
          <w:sz w:val="20"/>
          <w:szCs w:val="20"/>
          <w:highlight w:val="none"/>
        </w:rPr>
      </w:pPr>
    </w:p>
    <w:p w14:paraId="09BA0450">
      <w:pPr>
        <w:adjustRightInd w:val="0"/>
        <w:snapToGrid w:val="0"/>
        <w:spacing w:line="560" w:lineRule="exact"/>
        <w:jc w:val="center"/>
        <w:rPr>
          <w:rFonts w:hint="eastAsia" w:eastAsia="黑体"/>
          <w:color w:val="auto"/>
          <w:sz w:val="20"/>
          <w:szCs w:val="20"/>
          <w:highlight w:val="none"/>
        </w:rPr>
      </w:pPr>
    </w:p>
    <w:p w14:paraId="2D6F7A77">
      <w:pPr>
        <w:adjustRightInd w:val="0"/>
        <w:snapToGrid w:val="0"/>
        <w:spacing w:line="560" w:lineRule="exact"/>
        <w:jc w:val="center"/>
        <w:rPr>
          <w:rFonts w:hint="eastAsia" w:eastAsia="黑体"/>
          <w:color w:val="auto"/>
          <w:sz w:val="20"/>
          <w:szCs w:val="20"/>
          <w:highlight w:val="none"/>
        </w:rPr>
      </w:pPr>
    </w:p>
    <w:p w14:paraId="4FC82D2E">
      <w:pPr>
        <w:adjustRightInd w:val="0"/>
        <w:snapToGrid w:val="0"/>
        <w:spacing w:line="560" w:lineRule="exact"/>
        <w:rPr>
          <w:rFonts w:hint="eastAsia" w:eastAsia="黑体"/>
          <w:color w:val="auto"/>
          <w:sz w:val="20"/>
          <w:szCs w:val="20"/>
          <w:highlight w:val="none"/>
        </w:rPr>
      </w:pPr>
    </w:p>
    <w:p w14:paraId="7188DB2B">
      <w:pPr>
        <w:adjustRightInd w:val="0"/>
        <w:snapToGrid w:val="0"/>
        <w:spacing w:line="560" w:lineRule="exact"/>
        <w:jc w:val="center"/>
        <w:rPr>
          <w:rFonts w:hint="eastAsia" w:eastAsia="黑体"/>
          <w:color w:val="auto"/>
          <w:sz w:val="44"/>
          <w:szCs w:val="44"/>
          <w:highlight w:val="none"/>
        </w:rPr>
      </w:pPr>
      <w:r>
        <w:rPr>
          <w:rFonts w:eastAsia="黑体"/>
          <w:color w:val="auto"/>
          <w:sz w:val="44"/>
          <w:szCs w:val="44"/>
          <w:highlight w:val="none"/>
        </w:rPr>
        <w:t>投  标  文</w:t>
      </w:r>
      <w:bookmarkEnd w:id="1412"/>
      <w:bookmarkEnd w:id="1413"/>
      <w:bookmarkEnd w:id="1414"/>
      <w:bookmarkEnd w:id="1415"/>
      <w:bookmarkEnd w:id="1416"/>
      <w:bookmarkEnd w:id="1417"/>
      <w:bookmarkEnd w:id="1418"/>
      <w:bookmarkEnd w:id="1419"/>
      <w:bookmarkEnd w:id="1420"/>
      <w:bookmarkEnd w:id="1421"/>
      <w:bookmarkEnd w:id="1422"/>
      <w:r>
        <w:rPr>
          <w:rFonts w:eastAsia="黑体"/>
          <w:color w:val="auto"/>
          <w:sz w:val="44"/>
          <w:szCs w:val="44"/>
          <w:highlight w:val="none"/>
        </w:rPr>
        <w:t xml:space="preserve">  件</w:t>
      </w:r>
      <w:r>
        <w:rPr>
          <w:rFonts w:hint="eastAsia" w:eastAsia="黑体"/>
          <w:color w:val="auto"/>
          <w:sz w:val="44"/>
          <w:szCs w:val="44"/>
          <w:highlight w:val="none"/>
        </w:rPr>
        <w:t xml:space="preserve"> 一</w:t>
      </w:r>
    </w:p>
    <w:p w14:paraId="1C917D45">
      <w:pPr>
        <w:adjustRightInd w:val="0"/>
        <w:snapToGrid w:val="0"/>
        <w:spacing w:line="560" w:lineRule="exact"/>
        <w:jc w:val="center"/>
        <w:rPr>
          <w:rFonts w:hint="eastAsia" w:eastAsia="黑体"/>
          <w:color w:val="auto"/>
          <w:sz w:val="44"/>
          <w:szCs w:val="44"/>
          <w:highlight w:val="none"/>
        </w:rPr>
      </w:pPr>
      <w:r>
        <w:rPr>
          <w:rFonts w:hint="eastAsia" w:eastAsia="黑体"/>
          <w:color w:val="auto"/>
          <w:sz w:val="44"/>
          <w:szCs w:val="44"/>
          <w:highlight w:val="none"/>
        </w:rPr>
        <w:t>（资信证明文件）</w:t>
      </w:r>
    </w:p>
    <w:p w14:paraId="1ED81492">
      <w:pPr>
        <w:adjustRightInd w:val="0"/>
        <w:snapToGrid w:val="0"/>
        <w:spacing w:line="560" w:lineRule="exact"/>
        <w:rPr>
          <w:rFonts w:hint="eastAsia" w:eastAsia="黑体"/>
          <w:color w:val="auto"/>
          <w:sz w:val="28"/>
          <w:szCs w:val="28"/>
          <w:highlight w:val="none"/>
        </w:rPr>
      </w:pPr>
    </w:p>
    <w:p w14:paraId="472ECB33">
      <w:pPr>
        <w:adjustRightInd w:val="0"/>
        <w:snapToGrid w:val="0"/>
        <w:spacing w:line="560" w:lineRule="exact"/>
        <w:rPr>
          <w:rFonts w:eastAsia="黑体"/>
          <w:color w:val="auto"/>
          <w:sz w:val="28"/>
          <w:szCs w:val="28"/>
          <w:highlight w:val="none"/>
        </w:rPr>
      </w:pPr>
    </w:p>
    <w:p w14:paraId="044216D0">
      <w:pPr>
        <w:adjustRightInd w:val="0"/>
        <w:snapToGrid w:val="0"/>
        <w:spacing w:line="560" w:lineRule="exact"/>
        <w:rPr>
          <w:rFonts w:eastAsia="黑体"/>
          <w:color w:val="auto"/>
          <w:sz w:val="28"/>
          <w:szCs w:val="28"/>
          <w:highlight w:val="none"/>
        </w:rPr>
      </w:pPr>
    </w:p>
    <w:p w14:paraId="632A855D">
      <w:pPr>
        <w:adjustRightInd w:val="0"/>
        <w:snapToGrid w:val="0"/>
        <w:spacing w:line="560" w:lineRule="exact"/>
        <w:rPr>
          <w:rFonts w:eastAsia="黑体"/>
          <w:color w:val="auto"/>
          <w:sz w:val="28"/>
          <w:szCs w:val="28"/>
          <w:highlight w:val="none"/>
        </w:rPr>
      </w:pPr>
    </w:p>
    <w:p w14:paraId="511527A9">
      <w:pPr>
        <w:adjustRightInd w:val="0"/>
        <w:snapToGrid w:val="0"/>
        <w:spacing w:line="560" w:lineRule="exact"/>
        <w:rPr>
          <w:rFonts w:hint="eastAsia" w:eastAsia="黑体"/>
          <w:color w:val="auto"/>
          <w:sz w:val="28"/>
          <w:szCs w:val="28"/>
          <w:highlight w:val="none"/>
        </w:rPr>
      </w:pPr>
    </w:p>
    <w:p w14:paraId="246EC727">
      <w:pPr>
        <w:adjustRightInd w:val="0"/>
        <w:snapToGrid w:val="0"/>
        <w:spacing w:line="560" w:lineRule="exact"/>
        <w:rPr>
          <w:rFonts w:hint="eastAsia" w:eastAsia="黑体"/>
          <w:color w:val="auto"/>
          <w:sz w:val="28"/>
          <w:szCs w:val="28"/>
          <w:highlight w:val="none"/>
        </w:rPr>
      </w:pPr>
    </w:p>
    <w:p w14:paraId="3A76714E">
      <w:pPr>
        <w:adjustRightInd w:val="0"/>
        <w:snapToGrid w:val="0"/>
        <w:spacing w:line="560" w:lineRule="exact"/>
        <w:rPr>
          <w:rFonts w:eastAsia="黑体"/>
          <w:color w:val="auto"/>
          <w:sz w:val="28"/>
          <w:szCs w:val="28"/>
          <w:highlight w:val="none"/>
        </w:rPr>
      </w:pPr>
    </w:p>
    <w:p w14:paraId="682758CF">
      <w:pPr>
        <w:adjustRightInd w:val="0"/>
        <w:snapToGrid w:val="0"/>
        <w:spacing w:line="560" w:lineRule="exact"/>
        <w:rPr>
          <w:rFonts w:eastAsia="黑体"/>
          <w:color w:val="auto"/>
          <w:sz w:val="28"/>
          <w:szCs w:val="28"/>
          <w:highlight w:val="none"/>
        </w:rPr>
      </w:pPr>
    </w:p>
    <w:p w14:paraId="0E3CBE9E">
      <w:pPr>
        <w:adjustRightInd w:val="0"/>
        <w:snapToGrid w:val="0"/>
        <w:spacing w:line="560" w:lineRule="exact"/>
        <w:jc w:val="center"/>
        <w:rPr>
          <w:rFonts w:eastAsia="黑体"/>
          <w:color w:val="auto"/>
          <w:sz w:val="28"/>
          <w:szCs w:val="28"/>
          <w:highlight w:val="none"/>
          <w:u w:val="single"/>
        </w:rPr>
      </w:pPr>
      <w:r>
        <w:rPr>
          <w:rFonts w:eastAsia="黑体"/>
          <w:color w:val="auto"/>
          <w:sz w:val="28"/>
          <w:szCs w:val="28"/>
          <w:highlight w:val="none"/>
        </w:rPr>
        <w:t>投标人：</w:t>
      </w:r>
      <w:r>
        <w:rPr>
          <w:rFonts w:eastAsia="黑体"/>
          <w:color w:val="auto"/>
          <w:sz w:val="28"/>
          <w:szCs w:val="28"/>
          <w:highlight w:val="none"/>
          <w:u w:val="single"/>
        </w:rPr>
        <w:t xml:space="preserve">                     </w:t>
      </w:r>
      <w:r>
        <w:rPr>
          <w:rFonts w:hint="eastAsia" w:eastAsia="黑体"/>
          <w:color w:val="auto"/>
          <w:sz w:val="28"/>
          <w:szCs w:val="28"/>
          <w:highlight w:val="none"/>
          <w:u w:val="single"/>
        </w:rPr>
        <w:t xml:space="preserve">  </w:t>
      </w:r>
      <w:r>
        <w:rPr>
          <w:rFonts w:eastAsia="黑体"/>
          <w:color w:val="auto"/>
          <w:sz w:val="28"/>
          <w:szCs w:val="28"/>
          <w:highlight w:val="none"/>
          <w:u w:val="single"/>
        </w:rPr>
        <w:t xml:space="preserve">       </w:t>
      </w:r>
      <w:r>
        <w:rPr>
          <w:rFonts w:eastAsia="黑体"/>
          <w:color w:val="auto"/>
          <w:sz w:val="28"/>
          <w:szCs w:val="28"/>
          <w:highlight w:val="none"/>
        </w:rPr>
        <w:t>（</w:t>
      </w:r>
      <w:r>
        <w:rPr>
          <w:rFonts w:hint="eastAsia" w:eastAsia="黑体"/>
          <w:color w:val="auto"/>
          <w:sz w:val="28"/>
          <w:szCs w:val="28"/>
          <w:highlight w:val="none"/>
        </w:rPr>
        <w:t>签</w:t>
      </w:r>
      <w:r>
        <w:rPr>
          <w:rFonts w:eastAsia="黑体"/>
          <w:color w:val="auto"/>
          <w:sz w:val="28"/>
          <w:szCs w:val="28"/>
          <w:highlight w:val="none"/>
        </w:rPr>
        <w:t>章）</w:t>
      </w:r>
    </w:p>
    <w:p w14:paraId="3AF67648">
      <w:pPr>
        <w:adjustRightInd w:val="0"/>
        <w:snapToGrid w:val="0"/>
        <w:spacing w:line="560" w:lineRule="exact"/>
        <w:jc w:val="center"/>
        <w:rPr>
          <w:rFonts w:eastAsia="黑体"/>
          <w:color w:val="auto"/>
          <w:sz w:val="28"/>
          <w:szCs w:val="28"/>
          <w:highlight w:val="none"/>
        </w:rPr>
      </w:pPr>
      <w:r>
        <w:rPr>
          <w:rFonts w:eastAsia="黑体"/>
          <w:color w:val="auto"/>
          <w:sz w:val="28"/>
          <w:szCs w:val="28"/>
          <w:highlight w:val="none"/>
        </w:rPr>
        <w:t>法定代表人：</w:t>
      </w:r>
      <w:r>
        <w:rPr>
          <w:rFonts w:eastAsia="黑体"/>
          <w:color w:val="auto"/>
          <w:sz w:val="28"/>
          <w:szCs w:val="28"/>
          <w:highlight w:val="none"/>
          <w:u w:val="single"/>
        </w:rPr>
        <w:t xml:space="preserve">                </w:t>
      </w:r>
      <w:r>
        <w:rPr>
          <w:rFonts w:eastAsia="黑体"/>
          <w:color w:val="auto"/>
          <w:sz w:val="28"/>
          <w:szCs w:val="28"/>
          <w:highlight w:val="none"/>
        </w:rPr>
        <w:t>（签</w:t>
      </w:r>
      <w:r>
        <w:rPr>
          <w:rFonts w:hint="eastAsia" w:eastAsia="黑体"/>
          <w:color w:val="auto"/>
          <w:sz w:val="28"/>
          <w:szCs w:val="28"/>
          <w:highlight w:val="none"/>
        </w:rPr>
        <w:t>章</w:t>
      </w:r>
      <w:r>
        <w:rPr>
          <w:rFonts w:eastAsia="黑体"/>
          <w:color w:val="auto"/>
          <w:sz w:val="28"/>
          <w:szCs w:val="28"/>
          <w:highlight w:val="none"/>
        </w:rPr>
        <w:t>）</w:t>
      </w:r>
    </w:p>
    <w:p w14:paraId="3001FEDC">
      <w:pPr>
        <w:adjustRightInd w:val="0"/>
        <w:snapToGrid w:val="0"/>
        <w:spacing w:line="560" w:lineRule="exact"/>
        <w:jc w:val="center"/>
        <w:rPr>
          <w:rFonts w:hint="eastAsia" w:eastAsia="黑体"/>
          <w:color w:val="auto"/>
          <w:sz w:val="28"/>
          <w:szCs w:val="28"/>
          <w:highlight w:val="none"/>
        </w:rPr>
      </w:pPr>
      <w:r>
        <w:rPr>
          <w:rFonts w:eastAsia="黑体"/>
          <w:color w:val="auto"/>
          <w:sz w:val="28"/>
          <w:szCs w:val="28"/>
          <w:highlight w:val="none"/>
          <w:u w:val="single"/>
        </w:rPr>
        <w:t xml:space="preserve">        </w:t>
      </w:r>
      <w:r>
        <w:rPr>
          <w:rFonts w:eastAsia="黑体"/>
          <w:color w:val="auto"/>
          <w:sz w:val="28"/>
          <w:szCs w:val="28"/>
          <w:highlight w:val="none"/>
        </w:rPr>
        <w:t>年</w:t>
      </w:r>
      <w:r>
        <w:rPr>
          <w:rFonts w:eastAsia="黑体"/>
          <w:color w:val="auto"/>
          <w:sz w:val="28"/>
          <w:szCs w:val="28"/>
          <w:highlight w:val="none"/>
          <w:u w:val="single"/>
        </w:rPr>
        <w:t xml:space="preserve">        </w:t>
      </w:r>
      <w:r>
        <w:rPr>
          <w:rFonts w:eastAsia="黑体"/>
          <w:color w:val="auto"/>
          <w:sz w:val="28"/>
          <w:szCs w:val="28"/>
          <w:highlight w:val="none"/>
        </w:rPr>
        <w:t>月</w:t>
      </w:r>
      <w:r>
        <w:rPr>
          <w:rFonts w:eastAsia="黑体"/>
          <w:color w:val="auto"/>
          <w:sz w:val="28"/>
          <w:szCs w:val="28"/>
          <w:highlight w:val="none"/>
          <w:u w:val="single"/>
        </w:rPr>
        <w:t xml:space="preserve">        </w:t>
      </w:r>
      <w:r>
        <w:rPr>
          <w:rFonts w:eastAsia="黑体"/>
          <w:color w:val="auto"/>
          <w:sz w:val="28"/>
          <w:szCs w:val="28"/>
          <w:highlight w:val="none"/>
        </w:rPr>
        <w:t>日</w:t>
      </w:r>
    </w:p>
    <w:p w14:paraId="4D9E8890">
      <w:pPr>
        <w:rPr>
          <w:rFonts w:hint="eastAsia"/>
          <w:color w:val="auto"/>
          <w:highlight w:val="none"/>
        </w:rPr>
      </w:pPr>
      <w:bookmarkStart w:id="1423" w:name="_Toc95223532"/>
      <w:bookmarkStart w:id="1424" w:name="_Toc144974881"/>
      <w:bookmarkStart w:id="1425" w:name="_Toc179632833"/>
      <w:bookmarkStart w:id="1426" w:name="_Toc247085892"/>
      <w:bookmarkStart w:id="1427" w:name="_Toc152045813"/>
      <w:bookmarkStart w:id="1428" w:name="_Toc152042602"/>
      <w:bookmarkStart w:id="1429" w:name="_Toc246996374"/>
      <w:bookmarkStart w:id="1430" w:name="_Toc296602622"/>
      <w:bookmarkStart w:id="1431" w:name="_Toc246997117"/>
      <w:r>
        <w:rPr>
          <w:rFonts w:hint="eastAsia"/>
          <w:color w:val="auto"/>
          <w:highlight w:val="none"/>
        </w:rPr>
        <w:br w:type="page"/>
      </w:r>
    </w:p>
    <w:p w14:paraId="5BA28EC1">
      <w:pPr>
        <w:pStyle w:val="3"/>
        <w:keepNext/>
        <w:keepLines/>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eastAsia"/>
          <w:color w:val="auto"/>
          <w:highlight w:val="none"/>
        </w:rPr>
      </w:pPr>
      <w:r>
        <w:rPr>
          <w:rFonts w:hint="eastAsia"/>
          <w:color w:val="auto"/>
          <w:highlight w:val="none"/>
        </w:rPr>
        <w:t>投标文件一：资信证明文件目录</w:t>
      </w:r>
      <w:bookmarkEnd w:id="1423"/>
    </w:p>
    <w:p w14:paraId="23E1E4A5">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（1）投标人基本情况表</w:t>
      </w:r>
      <w:r>
        <w:rPr>
          <w:rFonts w:hint="eastAsia" w:ascii="宋体" w:hAnsi="宋体" w:cs="宋体"/>
          <w:color w:val="auto"/>
          <w:szCs w:val="21"/>
          <w:highlight w:val="none"/>
        </w:rPr>
        <w:t>（联合体投标的，联合体各方均须提供）</w:t>
      </w:r>
      <w:r>
        <w:rPr>
          <w:rFonts w:hint="eastAsia" w:ascii="宋体" w:hAnsi="宋体" w:cs="宋体"/>
          <w:color w:val="auto"/>
          <w:highlight w:val="none"/>
        </w:rPr>
        <w:t>；</w:t>
      </w:r>
    </w:p>
    <w:p w14:paraId="458C5EBC">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（2）近年财务状况表</w:t>
      </w:r>
      <w:r>
        <w:rPr>
          <w:rFonts w:hint="eastAsia" w:ascii="宋体" w:hAnsi="宋体" w:cs="宋体"/>
          <w:color w:val="auto"/>
          <w:szCs w:val="21"/>
          <w:highlight w:val="none"/>
        </w:rPr>
        <w:t>（</w:t>
      </w:r>
      <w:r>
        <w:rPr>
          <w:rFonts w:hint="eastAsia" w:ascii="宋体" w:hAnsi="宋体" w:cs="宋体"/>
          <w:color w:val="auto"/>
          <w:highlight w:val="none"/>
          <w:lang w:val="en-US" w:eastAsia="zh-CN"/>
        </w:rPr>
        <w:t>本项目不采用</w:t>
      </w:r>
      <w:r>
        <w:rPr>
          <w:rFonts w:hint="eastAsia" w:ascii="宋体" w:hAnsi="宋体" w:cs="宋体"/>
          <w:color w:val="auto"/>
          <w:szCs w:val="21"/>
          <w:highlight w:val="none"/>
        </w:rPr>
        <w:t>）</w:t>
      </w:r>
      <w:r>
        <w:rPr>
          <w:rFonts w:hint="eastAsia" w:ascii="宋体" w:hAnsi="宋体" w:cs="宋体"/>
          <w:color w:val="auto"/>
          <w:highlight w:val="none"/>
        </w:rPr>
        <w:t>；</w:t>
      </w:r>
    </w:p>
    <w:p w14:paraId="14F20649">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（3）近年完成的类似项目情况表</w:t>
      </w:r>
      <w:r>
        <w:rPr>
          <w:rFonts w:hint="eastAsia" w:ascii="宋体" w:hAnsi="宋体" w:cs="宋体"/>
          <w:color w:val="auto"/>
          <w:szCs w:val="21"/>
          <w:highlight w:val="none"/>
        </w:rPr>
        <w:t>（</w:t>
      </w:r>
      <w:r>
        <w:rPr>
          <w:rFonts w:hint="eastAsia" w:ascii="宋体" w:hAnsi="宋体" w:cs="宋体"/>
          <w:color w:val="auto"/>
          <w:highlight w:val="none"/>
          <w:lang w:val="en-US" w:eastAsia="zh-CN"/>
        </w:rPr>
        <w:t>本项目不采用</w:t>
      </w:r>
      <w:r>
        <w:rPr>
          <w:rFonts w:hint="eastAsia" w:ascii="宋体" w:hAnsi="宋体" w:cs="宋体"/>
          <w:color w:val="auto"/>
          <w:szCs w:val="21"/>
          <w:highlight w:val="none"/>
        </w:rPr>
        <w:t>）</w:t>
      </w:r>
      <w:r>
        <w:rPr>
          <w:rFonts w:hint="eastAsia" w:ascii="宋体" w:hAnsi="宋体" w:cs="宋体"/>
          <w:color w:val="auto"/>
          <w:highlight w:val="none"/>
        </w:rPr>
        <w:t>；</w:t>
      </w:r>
    </w:p>
    <w:p w14:paraId="09BD9CEA">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（4）正在实施的和新承接的项目情况表</w:t>
      </w:r>
      <w:r>
        <w:rPr>
          <w:rFonts w:hint="eastAsia" w:ascii="宋体" w:hAnsi="宋体" w:cs="宋体"/>
          <w:color w:val="auto"/>
          <w:szCs w:val="21"/>
          <w:highlight w:val="none"/>
        </w:rPr>
        <w:t>（</w:t>
      </w:r>
      <w:r>
        <w:rPr>
          <w:rFonts w:hint="eastAsia" w:ascii="宋体" w:hAnsi="宋体" w:cs="宋体"/>
          <w:color w:val="auto"/>
          <w:highlight w:val="none"/>
          <w:lang w:val="en-US" w:eastAsia="zh-CN"/>
        </w:rPr>
        <w:t>本项目不采用</w:t>
      </w:r>
      <w:r>
        <w:rPr>
          <w:rFonts w:hint="eastAsia" w:ascii="宋体" w:hAnsi="宋体" w:cs="宋体"/>
          <w:color w:val="auto"/>
          <w:szCs w:val="21"/>
          <w:highlight w:val="none"/>
        </w:rPr>
        <w:t>）</w:t>
      </w:r>
      <w:r>
        <w:rPr>
          <w:rFonts w:hint="eastAsia" w:ascii="宋体" w:hAnsi="宋体" w:cs="宋体"/>
          <w:color w:val="auto"/>
          <w:highlight w:val="none"/>
        </w:rPr>
        <w:t>；</w:t>
      </w:r>
    </w:p>
    <w:p w14:paraId="345D244E">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（5）联合体协议书 （如有）；</w:t>
      </w:r>
    </w:p>
    <w:p w14:paraId="3463D502">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ascii="宋体" w:hAnsi="宋体" w:cs="宋体"/>
          <w:color w:val="auto"/>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中小企业声明函（如有）；</w:t>
      </w:r>
    </w:p>
    <w:p w14:paraId="00035D37">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7</w:t>
      </w:r>
      <w:r>
        <w:rPr>
          <w:rFonts w:hint="eastAsia" w:ascii="宋体" w:hAnsi="宋体" w:cs="宋体"/>
          <w:color w:val="auto"/>
          <w:highlight w:val="none"/>
        </w:rPr>
        <w:t>）</w:t>
      </w:r>
      <w:r>
        <w:rPr>
          <w:rFonts w:ascii="宋体" w:hAnsi="宋体" w:cs="宋体"/>
          <w:color w:val="auto"/>
          <w:highlight w:val="none"/>
        </w:rPr>
        <w:t>项目管理机构</w:t>
      </w:r>
      <w:r>
        <w:rPr>
          <w:rFonts w:hint="eastAsia" w:ascii="宋体" w:hAnsi="宋体" w:cs="宋体"/>
          <w:color w:val="auto"/>
          <w:highlight w:val="none"/>
        </w:rPr>
        <w:t>；</w:t>
      </w:r>
    </w:p>
    <w:p w14:paraId="18581A1D">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8</w:t>
      </w:r>
      <w:r>
        <w:rPr>
          <w:rFonts w:hint="eastAsia" w:ascii="宋体" w:hAnsi="宋体" w:cs="宋体"/>
          <w:color w:val="auto"/>
          <w:highlight w:val="none"/>
        </w:rPr>
        <w:t>）其他资格审查资料（由以下材料</w:t>
      </w:r>
      <w:r>
        <w:rPr>
          <w:rFonts w:hint="eastAsia" w:ascii="宋体" w:hAnsi="宋体" w:cs="宋体"/>
          <w:color w:val="auto"/>
          <w:szCs w:val="21"/>
          <w:highlight w:val="none"/>
        </w:rPr>
        <w:t>组成</w:t>
      </w:r>
      <w:r>
        <w:rPr>
          <w:rFonts w:hint="eastAsia" w:ascii="宋体" w:hAnsi="宋体" w:cs="宋体"/>
          <w:color w:val="auto"/>
          <w:highlight w:val="none"/>
        </w:rPr>
        <w:t>）：</w:t>
      </w:r>
    </w:p>
    <w:p w14:paraId="2AD81A6B">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①法定代表人身份证明和本人身份证(或法定代表人授权委托书和委托代理人身份证)</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联合体投标均须提供）</w:t>
      </w:r>
      <w:r>
        <w:rPr>
          <w:rFonts w:hint="eastAsia" w:ascii="宋体" w:hAnsi="宋体" w:cs="宋体"/>
          <w:color w:val="auto"/>
          <w:szCs w:val="21"/>
          <w:highlight w:val="none"/>
        </w:rPr>
        <w:t>（联合体投标的，联合体各方均须提供）；</w:t>
      </w:r>
    </w:p>
    <w:p w14:paraId="52FC0FF6">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②诚信投标承诺书(或《公共信用信息报告（无违法违规证明版或核查版）》)（联合体投标的，联合体各方均须提供）；</w:t>
      </w:r>
    </w:p>
    <w:p w14:paraId="1A2FA9CE">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③企业法人营业执照（联合体投标的，联合体各方均须提供）；</w:t>
      </w:r>
    </w:p>
    <w:p w14:paraId="7A51E557">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④企业资质证书（联合体投标的，联合体各方均须提供）；</w:t>
      </w:r>
    </w:p>
    <w:p w14:paraId="0549FE53">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⑤企业安全生产许可证（联合体投标的，联合体各方均须提供）；</w:t>
      </w:r>
    </w:p>
    <w:p w14:paraId="3B986DEC">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⑥建造师（拟任项目经理（建造师））身份证、建造师注册证书以及安全生产考核合格证书（B证）；</w:t>
      </w:r>
    </w:p>
    <w:p w14:paraId="3AE1AE78">
      <w:pPr>
        <w:keepNext w:val="0"/>
        <w:keepLines w:val="0"/>
        <w:pageBreakBefore w:val="0"/>
        <w:kinsoku/>
        <w:wordWrap/>
        <w:overflowPunct/>
        <w:topLinePunct w:val="0"/>
        <w:autoSpaceDE/>
        <w:autoSpaceDN/>
        <w:bidi w:val="0"/>
        <w:adjustRightInd w:val="0"/>
        <w:snapToGrid w:val="0"/>
        <w:spacing w:line="500" w:lineRule="exact"/>
        <w:ind w:firstLine="422" w:firstLineChars="200"/>
        <w:textAlignment w:val="auto"/>
        <w:rPr>
          <w:rFonts w:hint="eastAsia" w:ascii="宋体" w:hAnsi="宋体" w:cs="宋体"/>
          <w:color w:val="auto"/>
          <w:szCs w:val="21"/>
          <w:highlight w:val="none"/>
        </w:rPr>
      </w:pPr>
      <w:r>
        <w:rPr>
          <w:rFonts w:hint="eastAsia"/>
          <w:b/>
          <w:bCs/>
          <w:color w:val="auto"/>
          <w:szCs w:val="21"/>
          <w:highlight w:val="none"/>
          <w:lang w:val="en-US" w:eastAsia="zh-CN"/>
        </w:rPr>
        <w:t>注：</w:t>
      </w:r>
      <w:r>
        <w:rPr>
          <w:rFonts w:hint="eastAsia" w:ascii="宋体" w:hAnsi="宋体" w:cs="宋体"/>
          <w:b/>
          <w:bCs/>
          <w:color w:val="auto"/>
          <w:kern w:val="0"/>
          <w:szCs w:val="21"/>
          <w:highlight w:val="none"/>
        </w:rPr>
        <w:t>若为联合体投标的</w:t>
      </w:r>
      <w:r>
        <w:rPr>
          <w:rFonts w:hint="eastAsia"/>
          <w:b/>
          <w:bCs/>
          <w:color w:val="auto"/>
          <w:szCs w:val="21"/>
          <w:highlight w:val="none"/>
          <w:lang w:val="en-US" w:eastAsia="zh-CN"/>
        </w:rPr>
        <w:t>，</w:t>
      </w:r>
      <w:r>
        <w:rPr>
          <w:rFonts w:hint="eastAsia" w:ascii="宋体" w:hAnsi="宋体" w:cs="宋体"/>
          <w:b/>
          <w:bCs/>
          <w:color w:val="auto"/>
          <w:kern w:val="0"/>
          <w:szCs w:val="21"/>
          <w:highlight w:val="none"/>
        </w:rPr>
        <w:t>联合体投标牵头方派驻项目经理（建造师）A岗，联合体成员方</w:t>
      </w:r>
      <w:r>
        <w:rPr>
          <w:rFonts w:hint="eastAsia" w:ascii="宋体" w:hAnsi="宋体" w:cs="宋体"/>
          <w:b/>
          <w:bCs/>
          <w:color w:val="auto"/>
          <w:kern w:val="0"/>
          <w:szCs w:val="21"/>
          <w:highlight w:val="none"/>
          <w:lang w:val="en-US" w:eastAsia="zh-CN"/>
        </w:rPr>
        <w:t>必须同时</w:t>
      </w:r>
      <w:r>
        <w:rPr>
          <w:rFonts w:hint="eastAsia" w:ascii="宋体" w:hAnsi="宋体" w:cs="宋体"/>
          <w:b/>
          <w:bCs/>
          <w:color w:val="auto"/>
          <w:kern w:val="0"/>
          <w:szCs w:val="21"/>
          <w:highlight w:val="none"/>
        </w:rPr>
        <w:t>派驻项目经理（建造师）B岗</w:t>
      </w:r>
      <w:r>
        <w:rPr>
          <w:rFonts w:hint="eastAsia" w:ascii="宋体" w:hAnsi="宋体" w:cs="宋体"/>
          <w:b/>
          <w:bCs/>
          <w:color w:val="auto"/>
          <w:kern w:val="0"/>
          <w:szCs w:val="21"/>
          <w:highlight w:val="none"/>
          <w:lang w:eastAsia="zh-CN"/>
        </w:rPr>
        <w:t>。</w:t>
      </w:r>
      <w:r>
        <w:rPr>
          <w:rFonts w:hint="eastAsia" w:ascii="宋体" w:hAnsi="宋体" w:cs="宋体"/>
          <w:b/>
          <w:bCs/>
          <w:color w:val="auto"/>
          <w:kern w:val="0"/>
          <w:szCs w:val="21"/>
          <w:highlight w:val="none"/>
          <w:lang w:val="en-US" w:eastAsia="zh-CN"/>
        </w:rPr>
        <w:t>A、B岗必须均满足此项目经理资格要求，否则按无效标处理。</w:t>
      </w:r>
    </w:p>
    <w:p w14:paraId="05EA2DF4">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⑦投标申请人的法定代表人(或委托代理人)和拟任项目经理（建造师）须持有社保部门出具的本单位为其缴纳的投标前近三个月连续的养老保险证明（证明文件两个月内有效）（同一人担任不同公司法定代表人的，该法定代表人参加本项目投标时须提供本人在其他公司任法定代表人的营业执照及为其缴纳养老保险证明材料） ，投标申请人是事业单位的，暂未缴纳养老保险的，须由其主管部门出具证明；</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联合体投标，项目经理（建造师）A岗和项目经理（建造师）B岗均须提供。）</w:t>
      </w:r>
    </w:p>
    <w:p w14:paraId="63904BA7">
      <w:pPr>
        <w:keepNext w:val="0"/>
        <w:keepLines w:val="0"/>
        <w:pageBreakBefore w:val="0"/>
        <w:widowControl/>
        <w:kinsoku/>
        <w:wordWrap/>
        <w:overflowPunct/>
        <w:topLinePunct w:val="0"/>
        <w:autoSpaceDE/>
        <w:autoSpaceDN/>
        <w:bidi w:val="0"/>
        <w:adjustRightInd w:val="0"/>
        <w:snapToGrid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⑧</w:t>
      </w:r>
      <w:r>
        <w:rPr>
          <w:rFonts w:hint="eastAsia" w:ascii="宋体" w:hAnsi="宋体" w:cs="宋体"/>
          <w:color w:val="auto"/>
          <w:highlight w:val="none"/>
        </w:rPr>
        <w:t>资信评审业绩、得分业绩等证明和投标人认为需要的其它证明材料</w:t>
      </w:r>
      <w:r>
        <w:rPr>
          <w:rFonts w:hint="eastAsia" w:ascii="宋体" w:hAnsi="宋体" w:cs="宋体"/>
          <w:color w:val="auto"/>
          <w:szCs w:val="21"/>
          <w:highlight w:val="none"/>
        </w:rPr>
        <w:t>；</w:t>
      </w:r>
    </w:p>
    <w:p w14:paraId="388C9F06">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color w:val="auto"/>
          <w:highlight w:val="none"/>
        </w:rPr>
      </w:pPr>
      <w:r>
        <w:rPr>
          <w:rFonts w:hint="eastAsia" w:ascii="宋体" w:hAnsi="宋体" w:cs="宋体"/>
          <w:color w:val="auto"/>
          <w:highlight w:val="none"/>
        </w:rPr>
        <w:t>⑨资信评审业绩、得分业绩清单一览表（项目评审如有）</w:t>
      </w:r>
      <w:r>
        <w:rPr>
          <w:rFonts w:hint="eastAsia" w:eastAsia="黑体"/>
          <w:color w:val="auto"/>
          <w:sz w:val="20"/>
          <w:szCs w:val="20"/>
          <w:highlight w:val="none"/>
        </w:rPr>
        <w:t xml:space="preserve">。 </w:t>
      </w:r>
    </w:p>
    <w:p w14:paraId="0A705F87">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eastAsia="宋体"/>
          <w:color w:val="auto"/>
          <w:highlight w:val="none"/>
          <w:lang w:eastAsia="zh-CN"/>
        </w:rPr>
        <w:sectPr>
          <w:headerReference r:id="rId5" w:type="default"/>
          <w:pgSz w:w="11910" w:h="16840"/>
          <w:pgMar w:top="1060" w:right="660" w:bottom="1020" w:left="1120" w:header="0" w:footer="833" w:gutter="0"/>
          <w:pgNumType w:fmt="numberInDash"/>
          <w:cols w:space="720" w:num="1"/>
        </w:sectPr>
      </w:pPr>
      <w:bookmarkStart w:id="1432" w:name="_Toc95223533"/>
      <w:r>
        <w:rPr>
          <w:rFonts w:hint="eastAsia" w:ascii="宋体" w:hAnsi="宋体" w:cs="宋体"/>
          <w:color w:val="auto"/>
          <w:highlight w:val="none"/>
        </w:rPr>
        <w:t>（</w:t>
      </w:r>
      <w:r>
        <w:rPr>
          <w:rFonts w:hint="eastAsia" w:ascii="宋体" w:hAnsi="宋体" w:cs="宋体"/>
          <w:color w:val="auto"/>
          <w:highlight w:val="none"/>
          <w:lang w:val="en-US" w:eastAsia="zh-CN"/>
        </w:rPr>
        <w:t>8</w:t>
      </w:r>
      <w:r>
        <w:rPr>
          <w:rFonts w:hint="eastAsia" w:ascii="宋体" w:hAnsi="宋体" w:cs="宋体"/>
          <w:color w:val="auto"/>
          <w:highlight w:val="none"/>
        </w:rPr>
        <w:t>）</w:t>
      </w:r>
      <w:r>
        <w:rPr>
          <w:rFonts w:hint="eastAsia" w:ascii="宋体" w:hAnsi="宋体" w:cs="宋体"/>
          <w:color w:val="auto"/>
          <w:highlight w:val="none"/>
          <w:lang w:val="en-US" w:eastAsia="zh-CN"/>
        </w:rPr>
        <w:t>定标材料</w:t>
      </w:r>
      <w:r>
        <w:rPr>
          <w:rFonts w:hint="eastAsia" w:ascii="宋体" w:hAnsi="宋体" w:cs="宋体"/>
          <w:color w:val="auto"/>
          <w:highlight w:val="none"/>
        </w:rPr>
        <w:t>（</w:t>
      </w:r>
      <w:r>
        <w:rPr>
          <w:rFonts w:hint="eastAsia" w:ascii="宋体" w:hAnsi="宋体" w:cs="宋体"/>
          <w:color w:val="auto"/>
          <w:highlight w:val="none"/>
          <w:lang w:val="en-US" w:eastAsia="zh-CN"/>
        </w:rPr>
        <w:t>如有</w:t>
      </w:r>
      <w:r>
        <w:rPr>
          <w:rFonts w:hint="eastAsia" w:ascii="宋体" w:hAnsi="宋体" w:cs="宋体"/>
          <w:color w:val="auto"/>
          <w:highlight w:val="none"/>
        </w:rPr>
        <w:t>）</w:t>
      </w:r>
      <w:r>
        <w:rPr>
          <w:rFonts w:hint="eastAsia" w:ascii="宋体" w:hAnsi="宋体" w:cs="宋体"/>
          <w:color w:val="auto"/>
          <w:highlight w:val="none"/>
          <w:lang w:eastAsia="zh-CN"/>
        </w:rPr>
        <w:t>。</w:t>
      </w:r>
    </w:p>
    <w:p w14:paraId="10BC84DB">
      <w:pPr>
        <w:pStyle w:val="4"/>
        <w:pageBreakBefore/>
        <w:adjustRightInd w:val="0"/>
        <w:snapToGrid w:val="0"/>
        <w:spacing w:before="0" w:after="0" w:line="560" w:lineRule="exact"/>
        <w:jc w:val="center"/>
        <w:rPr>
          <w:rFonts w:hint="eastAsia"/>
          <w:color w:val="auto"/>
          <w:highlight w:val="none"/>
        </w:rPr>
      </w:pPr>
      <w:r>
        <w:rPr>
          <w:color w:val="auto"/>
          <w:highlight w:val="none"/>
        </w:rPr>
        <w:t>（</w:t>
      </w:r>
      <w:r>
        <w:rPr>
          <w:rFonts w:hint="eastAsia"/>
          <w:color w:val="auto"/>
          <w:highlight w:val="none"/>
        </w:rPr>
        <w:t>1</w:t>
      </w:r>
      <w:r>
        <w:rPr>
          <w:color w:val="auto"/>
          <w:highlight w:val="none"/>
        </w:rPr>
        <w:t>）投标人基本情况表</w:t>
      </w:r>
      <w:bookmarkEnd w:id="1432"/>
    </w:p>
    <w:tbl>
      <w:tblPr>
        <w:tblStyle w:val="2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93"/>
        <w:gridCol w:w="1036"/>
        <w:gridCol w:w="1096"/>
        <w:gridCol w:w="969"/>
        <w:gridCol w:w="484"/>
        <w:gridCol w:w="359"/>
        <w:gridCol w:w="1243"/>
        <w:gridCol w:w="565"/>
        <w:gridCol w:w="991"/>
        <w:gridCol w:w="1144"/>
      </w:tblGrid>
      <w:tr w14:paraId="723A16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75913E89">
            <w:pPr>
              <w:topLinePunct/>
              <w:adjustRightInd w:val="0"/>
              <w:snapToGrid w:val="0"/>
              <w:spacing w:line="560" w:lineRule="exact"/>
              <w:jc w:val="center"/>
              <w:rPr>
                <w:color w:val="auto"/>
                <w:szCs w:val="21"/>
                <w:highlight w:val="none"/>
              </w:rPr>
            </w:pPr>
            <w:r>
              <w:rPr>
                <w:color w:val="auto"/>
                <w:szCs w:val="21"/>
                <w:highlight w:val="none"/>
              </w:rPr>
              <w:t>投标人名称</w:t>
            </w:r>
          </w:p>
        </w:tc>
        <w:tc>
          <w:tcPr>
            <w:tcW w:w="7887" w:type="dxa"/>
            <w:gridSpan w:val="9"/>
            <w:tcBorders>
              <w:top w:val="single" w:color="auto" w:sz="4" w:space="0"/>
              <w:left w:val="single" w:color="auto" w:sz="4" w:space="0"/>
              <w:bottom w:val="single" w:color="auto" w:sz="4" w:space="0"/>
              <w:right w:val="single" w:color="auto" w:sz="4" w:space="0"/>
            </w:tcBorders>
            <w:noWrap w:val="0"/>
            <w:vAlign w:val="center"/>
          </w:tcPr>
          <w:p w14:paraId="19B76719">
            <w:pPr>
              <w:topLinePunct/>
              <w:adjustRightInd w:val="0"/>
              <w:snapToGrid w:val="0"/>
              <w:spacing w:line="560" w:lineRule="exact"/>
              <w:jc w:val="center"/>
              <w:rPr>
                <w:color w:val="auto"/>
                <w:szCs w:val="21"/>
                <w:highlight w:val="none"/>
              </w:rPr>
            </w:pPr>
          </w:p>
        </w:tc>
      </w:tr>
      <w:tr w14:paraId="4D002C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5"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211D6B28">
            <w:pPr>
              <w:topLinePunct/>
              <w:adjustRightInd w:val="0"/>
              <w:snapToGrid w:val="0"/>
              <w:spacing w:line="560" w:lineRule="exact"/>
              <w:jc w:val="center"/>
              <w:rPr>
                <w:color w:val="auto"/>
                <w:szCs w:val="21"/>
                <w:highlight w:val="none"/>
              </w:rPr>
            </w:pPr>
            <w:r>
              <w:rPr>
                <w:color w:val="auto"/>
                <w:szCs w:val="21"/>
                <w:highlight w:val="none"/>
              </w:rPr>
              <w:t>注册地址</w:t>
            </w:r>
          </w:p>
        </w:tc>
        <w:tc>
          <w:tcPr>
            <w:tcW w:w="3944" w:type="dxa"/>
            <w:gridSpan w:val="5"/>
            <w:tcBorders>
              <w:top w:val="single" w:color="auto" w:sz="4" w:space="0"/>
              <w:left w:val="single" w:color="auto" w:sz="4" w:space="0"/>
              <w:bottom w:val="single" w:color="auto" w:sz="4" w:space="0"/>
              <w:right w:val="single" w:color="auto" w:sz="4" w:space="0"/>
            </w:tcBorders>
            <w:noWrap w:val="0"/>
            <w:vAlign w:val="center"/>
          </w:tcPr>
          <w:p w14:paraId="6D225F50">
            <w:pPr>
              <w:topLinePunct/>
              <w:adjustRightInd w:val="0"/>
              <w:snapToGrid w:val="0"/>
              <w:spacing w:line="560" w:lineRule="exact"/>
              <w:jc w:val="center"/>
              <w:rPr>
                <w:color w:val="auto"/>
                <w:szCs w:val="21"/>
                <w:highlight w:val="none"/>
              </w:rPr>
            </w:pPr>
          </w:p>
        </w:tc>
        <w:tc>
          <w:tcPr>
            <w:tcW w:w="1243" w:type="dxa"/>
            <w:tcBorders>
              <w:top w:val="single" w:color="auto" w:sz="4" w:space="0"/>
              <w:left w:val="single" w:color="auto" w:sz="4" w:space="0"/>
              <w:bottom w:val="single" w:color="auto" w:sz="4" w:space="0"/>
              <w:right w:val="single" w:color="auto" w:sz="4" w:space="0"/>
            </w:tcBorders>
            <w:noWrap w:val="0"/>
            <w:vAlign w:val="center"/>
          </w:tcPr>
          <w:p w14:paraId="63A2EF29">
            <w:pPr>
              <w:topLinePunct/>
              <w:adjustRightInd w:val="0"/>
              <w:snapToGrid w:val="0"/>
              <w:spacing w:line="560" w:lineRule="exact"/>
              <w:jc w:val="center"/>
              <w:rPr>
                <w:color w:val="auto"/>
                <w:szCs w:val="21"/>
                <w:highlight w:val="none"/>
              </w:rPr>
            </w:pPr>
            <w:r>
              <w:rPr>
                <w:color w:val="auto"/>
                <w:szCs w:val="21"/>
                <w:highlight w:val="none"/>
              </w:rPr>
              <w:t>邮政编码</w:t>
            </w:r>
          </w:p>
        </w:tc>
        <w:tc>
          <w:tcPr>
            <w:tcW w:w="2700" w:type="dxa"/>
            <w:gridSpan w:val="3"/>
            <w:tcBorders>
              <w:top w:val="single" w:color="auto" w:sz="4" w:space="0"/>
              <w:left w:val="single" w:color="auto" w:sz="4" w:space="0"/>
              <w:bottom w:val="single" w:color="auto" w:sz="4" w:space="0"/>
              <w:right w:val="single" w:color="auto" w:sz="4" w:space="0"/>
            </w:tcBorders>
            <w:noWrap w:val="0"/>
            <w:vAlign w:val="center"/>
          </w:tcPr>
          <w:p w14:paraId="293E7639">
            <w:pPr>
              <w:topLinePunct/>
              <w:adjustRightInd w:val="0"/>
              <w:snapToGrid w:val="0"/>
              <w:spacing w:line="560" w:lineRule="exact"/>
              <w:jc w:val="center"/>
              <w:rPr>
                <w:color w:val="auto"/>
                <w:szCs w:val="21"/>
                <w:highlight w:val="none"/>
              </w:rPr>
            </w:pPr>
          </w:p>
        </w:tc>
        <w:bookmarkStart w:id="1433" w:name="_Toc247085891"/>
        <w:bookmarkStart w:id="1434" w:name="_Toc152042597"/>
        <w:bookmarkStart w:id="1435" w:name="_Toc246997116"/>
        <w:bookmarkStart w:id="1436" w:name="_Toc246996373"/>
        <w:bookmarkStart w:id="1437" w:name="_Toc152045808"/>
        <w:bookmarkStart w:id="1438" w:name="_Toc179632828"/>
        <w:bookmarkStart w:id="1439" w:name="_Toc296602618"/>
        <w:bookmarkStart w:id="1440" w:name="_Toc324404889"/>
        <w:bookmarkStart w:id="1441" w:name="_Toc144974876"/>
      </w:tr>
      <w:tr w14:paraId="510BDB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8" w:hRule="atLeast"/>
          <w:jc w:val="center"/>
        </w:trPr>
        <w:tc>
          <w:tcPr>
            <w:tcW w:w="1993" w:type="dxa"/>
            <w:vMerge w:val="restart"/>
            <w:tcBorders>
              <w:top w:val="single" w:color="auto" w:sz="4" w:space="0"/>
              <w:left w:val="single" w:color="auto" w:sz="4" w:space="0"/>
              <w:bottom w:val="single" w:color="auto" w:sz="4" w:space="0"/>
              <w:right w:val="single" w:color="auto" w:sz="4" w:space="0"/>
            </w:tcBorders>
            <w:noWrap w:val="0"/>
            <w:vAlign w:val="center"/>
          </w:tcPr>
          <w:p w14:paraId="0C5D5A1D">
            <w:pPr>
              <w:topLinePunct/>
              <w:adjustRightInd w:val="0"/>
              <w:snapToGrid w:val="0"/>
              <w:spacing w:line="560" w:lineRule="exact"/>
              <w:jc w:val="center"/>
              <w:rPr>
                <w:color w:val="auto"/>
                <w:szCs w:val="21"/>
                <w:highlight w:val="none"/>
              </w:rPr>
            </w:pPr>
            <w:r>
              <w:rPr>
                <w:color w:val="auto"/>
                <w:szCs w:val="21"/>
                <w:highlight w:val="none"/>
              </w:rPr>
              <w:t>联系方式</w:t>
            </w:r>
            <w:bookmarkStart w:id="1442" w:name="_Toc16718"/>
          </w:p>
        </w:tc>
        <w:tc>
          <w:tcPr>
            <w:tcW w:w="1036" w:type="dxa"/>
            <w:tcBorders>
              <w:top w:val="single" w:color="auto" w:sz="4" w:space="0"/>
              <w:left w:val="single" w:color="auto" w:sz="4" w:space="0"/>
              <w:bottom w:val="single" w:color="auto" w:sz="4" w:space="0"/>
              <w:right w:val="single" w:color="auto" w:sz="4" w:space="0"/>
            </w:tcBorders>
            <w:noWrap w:val="0"/>
            <w:vAlign w:val="center"/>
          </w:tcPr>
          <w:p w14:paraId="4E577E38">
            <w:pPr>
              <w:topLinePunct/>
              <w:adjustRightInd w:val="0"/>
              <w:snapToGrid w:val="0"/>
              <w:spacing w:line="560" w:lineRule="exact"/>
              <w:jc w:val="center"/>
              <w:rPr>
                <w:color w:val="auto"/>
                <w:szCs w:val="21"/>
                <w:highlight w:val="none"/>
              </w:rPr>
            </w:pPr>
            <w:bookmarkStart w:id="1443" w:name="_Toc60061575"/>
            <w:bookmarkStart w:id="1444" w:name="_Toc15058935"/>
            <w:bookmarkStart w:id="1445" w:name="_Toc506107341"/>
            <w:bookmarkStart w:id="1446" w:name="_Toc58229116"/>
            <w:r>
              <w:rPr>
                <w:color w:val="auto"/>
                <w:szCs w:val="21"/>
                <w:highlight w:val="none"/>
              </w:rPr>
              <w:t>联系人</w:t>
            </w:r>
          </w:p>
        </w:tc>
        <w:tc>
          <w:tcPr>
            <w:tcW w:w="2908" w:type="dxa"/>
            <w:gridSpan w:val="4"/>
            <w:tcBorders>
              <w:top w:val="single" w:color="auto" w:sz="4" w:space="0"/>
              <w:left w:val="single" w:color="auto" w:sz="4" w:space="0"/>
              <w:bottom w:val="single" w:color="auto" w:sz="4" w:space="0"/>
              <w:right w:val="single" w:color="auto" w:sz="4" w:space="0"/>
            </w:tcBorders>
            <w:noWrap w:val="0"/>
            <w:vAlign w:val="center"/>
          </w:tcPr>
          <w:p w14:paraId="79F65AA3">
            <w:pPr>
              <w:topLinePunct/>
              <w:adjustRightInd w:val="0"/>
              <w:snapToGrid w:val="0"/>
              <w:spacing w:line="560" w:lineRule="exact"/>
              <w:jc w:val="center"/>
              <w:rPr>
                <w:color w:val="auto"/>
                <w:szCs w:val="21"/>
                <w:highlight w:val="none"/>
              </w:rPr>
            </w:pPr>
          </w:p>
        </w:tc>
        <w:tc>
          <w:tcPr>
            <w:tcW w:w="1243" w:type="dxa"/>
            <w:tcBorders>
              <w:top w:val="single" w:color="auto" w:sz="4" w:space="0"/>
              <w:left w:val="single" w:color="auto" w:sz="4" w:space="0"/>
              <w:bottom w:val="single" w:color="auto" w:sz="4" w:space="0"/>
              <w:right w:val="single" w:color="auto" w:sz="4" w:space="0"/>
            </w:tcBorders>
            <w:noWrap w:val="0"/>
            <w:vAlign w:val="center"/>
          </w:tcPr>
          <w:p w14:paraId="5144014D">
            <w:pPr>
              <w:topLinePunct/>
              <w:adjustRightInd w:val="0"/>
              <w:snapToGrid w:val="0"/>
              <w:spacing w:line="560" w:lineRule="exact"/>
              <w:jc w:val="center"/>
              <w:rPr>
                <w:color w:val="auto"/>
                <w:szCs w:val="21"/>
                <w:highlight w:val="none"/>
              </w:rPr>
            </w:pPr>
            <w:r>
              <w:rPr>
                <w:color w:val="auto"/>
                <w:szCs w:val="21"/>
                <w:highlight w:val="none"/>
              </w:rPr>
              <w:t>电 话</w:t>
            </w:r>
          </w:p>
        </w:tc>
        <w:tc>
          <w:tcPr>
            <w:tcW w:w="2700" w:type="dxa"/>
            <w:gridSpan w:val="3"/>
            <w:tcBorders>
              <w:top w:val="single" w:color="auto" w:sz="4" w:space="0"/>
              <w:left w:val="single" w:color="auto" w:sz="4" w:space="0"/>
              <w:bottom w:val="single" w:color="auto" w:sz="4" w:space="0"/>
              <w:right w:val="single" w:color="auto" w:sz="4" w:space="0"/>
            </w:tcBorders>
            <w:noWrap w:val="0"/>
            <w:vAlign w:val="center"/>
          </w:tcPr>
          <w:p w14:paraId="78E8A88B">
            <w:pPr>
              <w:topLinePunct/>
              <w:adjustRightInd w:val="0"/>
              <w:snapToGrid w:val="0"/>
              <w:spacing w:line="560" w:lineRule="exact"/>
              <w:jc w:val="center"/>
              <w:rPr>
                <w:color w:val="auto"/>
                <w:szCs w:val="21"/>
                <w:highlight w:val="none"/>
              </w:rPr>
            </w:pPr>
          </w:p>
        </w:tc>
      </w:tr>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tr w14:paraId="271F95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47" w:hRule="atLeast"/>
          <w:jc w:val="center"/>
        </w:trPr>
        <w:tc>
          <w:tcPr>
            <w:tcW w:w="1993" w:type="dxa"/>
            <w:vMerge w:val="continue"/>
            <w:tcBorders>
              <w:top w:val="single" w:color="auto" w:sz="4" w:space="0"/>
              <w:left w:val="single" w:color="auto" w:sz="4" w:space="0"/>
              <w:bottom w:val="single" w:color="auto" w:sz="4" w:space="0"/>
              <w:right w:val="single" w:color="auto" w:sz="4" w:space="0"/>
            </w:tcBorders>
            <w:noWrap w:val="0"/>
            <w:vAlign w:val="center"/>
          </w:tcPr>
          <w:p w14:paraId="5FDE258F">
            <w:pPr>
              <w:topLinePunct/>
              <w:adjustRightInd w:val="0"/>
              <w:snapToGrid w:val="0"/>
              <w:spacing w:line="560" w:lineRule="exact"/>
              <w:jc w:val="center"/>
              <w:rPr>
                <w:color w:val="auto"/>
                <w:szCs w:val="21"/>
                <w:highlight w:val="none"/>
              </w:rPr>
            </w:pPr>
          </w:p>
        </w:tc>
        <w:tc>
          <w:tcPr>
            <w:tcW w:w="1036" w:type="dxa"/>
            <w:tcBorders>
              <w:top w:val="single" w:color="auto" w:sz="4" w:space="0"/>
              <w:left w:val="single" w:color="auto" w:sz="4" w:space="0"/>
              <w:bottom w:val="single" w:color="auto" w:sz="4" w:space="0"/>
              <w:right w:val="single" w:color="auto" w:sz="4" w:space="0"/>
            </w:tcBorders>
            <w:noWrap w:val="0"/>
            <w:vAlign w:val="center"/>
          </w:tcPr>
          <w:p w14:paraId="187A80D8">
            <w:pPr>
              <w:topLinePunct/>
              <w:adjustRightInd w:val="0"/>
              <w:snapToGrid w:val="0"/>
              <w:spacing w:line="560" w:lineRule="exact"/>
              <w:jc w:val="center"/>
              <w:rPr>
                <w:color w:val="auto"/>
                <w:szCs w:val="21"/>
                <w:highlight w:val="none"/>
              </w:rPr>
            </w:pPr>
            <w:r>
              <w:rPr>
                <w:color w:val="auto"/>
                <w:szCs w:val="21"/>
                <w:highlight w:val="none"/>
              </w:rPr>
              <w:t>传  真</w:t>
            </w:r>
          </w:p>
        </w:tc>
        <w:tc>
          <w:tcPr>
            <w:tcW w:w="2908" w:type="dxa"/>
            <w:gridSpan w:val="4"/>
            <w:tcBorders>
              <w:top w:val="single" w:color="auto" w:sz="4" w:space="0"/>
              <w:left w:val="single" w:color="auto" w:sz="4" w:space="0"/>
              <w:bottom w:val="single" w:color="auto" w:sz="4" w:space="0"/>
              <w:right w:val="single" w:color="auto" w:sz="4" w:space="0"/>
            </w:tcBorders>
            <w:noWrap w:val="0"/>
            <w:vAlign w:val="center"/>
          </w:tcPr>
          <w:p w14:paraId="5C276571">
            <w:pPr>
              <w:topLinePunct/>
              <w:adjustRightInd w:val="0"/>
              <w:snapToGrid w:val="0"/>
              <w:spacing w:line="560" w:lineRule="exact"/>
              <w:jc w:val="center"/>
              <w:rPr>
                <w:color w:val="auto"/>
                <w:szCs w:val="21"/>
                <w:highlight w:val="none"/>
              </w:rPr>
            </w:pPr>
          </w:p>
        </w:tc>
        <w:tc>
          <w:tcPr>
            <w:tcW w:w="1243" w:type="dxa"/>
            <w:tcBorders>
              <w:top w:val="single" w:color="auto" w:sz="4" w:space="0"/>
              <w:left w:val="single" w:color="auto" w:sz="4" w:space="0"/>
              <w:bottom w:val="single" w:color="auto" w:sz="4" w:space="0"/>
              <w:right w:val="single" w:color="auto" w:sz="4" w:space="0"/>
            </w:tcBorders>
            <w:noWrap w:val="0"/>
            <w:vAlign w:val="center"/>
          </w:tcPr>
          <w:p w14:paraId="7F0A1AF3">
            <w:pPr>
              <w:topLinePunct/>
              <w:adjustRightInd w:val="0"/>
              <w:snapToGrid w:val="0"/>
              <w:spacing w:line="560" w:lineRule="exact"/>
              <w:jc w:val="center"/>
              <w:rPr>
                <w:color w:val="auto"/>
                <w:szCs w:val="21"/>
                <w:highlight w:val="none"/>
              </w:rPr>
            </w:pPr>
            <w:r>
              <w:rPr>
                <w:color w:val="auto"/>
                <w:szCs w:val="21"/>
                <w:highlight w:val="none"/>
              </w:rPr>
              <w:t>网 址</w:t>
            </w:r>
          </w:p>
        </w:tc>
        <w:tc>
          <w:tcPr>
            <w:tcW w:w="2700" w:type="dxa"/>
            <w:gridSpan w:val="3"/>
            <w:tcBorders>
              <w:top w:val="single" w:color="auto" w:sz="4" w:space="0"/>
              <w:left w:val="single" w:color="auto" w:sz="4" w:space="0"/>
              <w:bottom w:val="single" w:color="auto" w:sz="4" w:space="0"/>
              <w:right w:val="single" w:color="auto" w:sz="4" w:space="0"/>
            </w:tcBorders>
            <w:noWrap w:val="0"/>
            <w:vAlign w:val="center"/>
          </w:tcPr>
          <w:p w14:paraId="7F5BD0CF">
            <w:pPr>
              <w:topLinePunct/>
              <w:adjustRightInd w:val="0"/>
              <w:snapToGrid w:val="0"/>
              <w:spacing w:line="560" w:lineRule="exact"/>
              <w:jc w:val="center"/>
              <w:rPr>
                <w:color w:val="auto"/>
                <w:szCs w:val="21"/>
                <w:highlight w:val="none"/>
              </w:rPr>
            </w:pPr>
          </w:p>
        </w:tc>
      </w:tr>
      <w:tr w14:paraId="6C46DC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9"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77732220">
            <w:pPr>
              <w:topLinePunct/>
              <w:adjustRightInd w:val="0"/>
              <w:snapToGrid w:val="0"/>
              <w:spacing w:line="560" w:lineRule="exact"/>
              <w:jc w:val="center"/>
              <w:rPr>
                <w:color w:val="auto"/>
                <w:szCs w:val="21"/>
                <w:highlight w:val="none"/>
              </w:rPr>
            </w:pPr>
            <w:r>
              <w:rPr>
                <w:color w:val="auto"/>
                <w:szCs w:val="21"/>
                <w:highlight w:val="none"/>
              </w:rPr>
              <w:t>组织结构</w:t>
            </w:r>
          </w:p>
        </w:tc>
        <w:tc>
          <w:tcPr>
            <w:tcW w:w="7887" w:type="dxa"/>
            <w:gridSpan w:val="9"/>
            <w:tcBorders>
              <w:top w:val="single" w:color="auto" w:sz="4" w:space="0"/>
              <w:left w:val="single" w:color="auto" w:sz="4" w:space="0"/>
              <w:bottom w:val="single" w:color="auto" w:sz="4" w:space="0"/>
              <w:right w:val="single" w:color="auto" w:sz="4" w:space="0"/>
            </w:tcBorders>
            <w:noWrap w:val="0"/>
            <w:vAlign w:val="center"/>
          </w:tcPr>
          <w:p w14:paraId="2D36A559">
            <w:pPr>
              <w:topLinePunct/>
              <w:adjustRightInd w:val="0"/>
              <w:snapToGrid w:val="0"/>
              <w:spacing w:line="560" w:lineRule="exact"/>
              <w:jc w:val="center"/>
              <w:rPr>
                <w:color w:val="auto"/>
                <w:szCs w:val="21"/>
                <w:highlight w:val="none"/>
              </w:rPr>
            </w:pPr>
          </w:p>
        </w:tc>
      </w:tr>
      <w:tr w14:paraId="499498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1"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0081DA7E">
            <w:pPr>
              <w:topLinePunct/>
              <w:adjustRightInd w:val="0"/>
              <w:snapToGrid w:val="0"/>
              <w:spacing w:line="560" w:lineRule="exact"/>
              <w:jc w:val="center"/>
              <w:rPr>
                <w:color w:val="auto"/>
                <w:szCs w:val="21"/>
                <w:highlight w:val="none"/>
              </w:rPr>
            </w:pPr>
            <w:r>
              <w:rPr>
                <w:color w:val="auto"/>
                <w:szCs w:val="21"/>
                <w:highlight w:val="none"/>
              </w:rPr>
              <w:t>法定代表人</w:t>
            </w:r>
          </w:p>
        </w:tc>
        <w:tc>
          <w:tcPr>
            <w:tcW w:w="1036" w:type="dxa"/>
            <w:tcBorders>
              <w:top w:val="single" w:color="auto" w:sz="4" w:space="0"/>
              <w:left w:val="single" w:color="auto" w:sz="4" w:space="0"/>
              <w:bottom w:val="single" w:color="auto" w:sz="4" w:space="0"/>
              <w:right w:val="single" w:color="auto" w:sz="4" w:space="0"/>
            </w:tcBorders>
            <w:noWrap w:val="0"/>
            <w:vAlign w:val="center"/>
          </w:tcPr>
          <w:p w14:paraId="400C4B65">
            <w:pPr>
              <w:topLinePunct/>
              <w:adjustRightInd w:val="0"/>
              <w:snapToGrid w:val="0"/>
              <w:spacing w:line="560" w:lineRule="exact"/>
              <w:jc w:val="center"/>
              <w:rPr>
                <w:color w:val="auto"/>
                <w:szCs w:val="21"/>
                <w:highlight w:val="none"/>
              </w:rPr>
            </w:pPr>
            <w:r>
              <w:rPr>
                <w:color w:val="auto"/>
                <w:szCs w:val="21"/>
                <w:highlight w:val="none"/>
              </w:rPr>
              <w:t>姓名</w:t>
            </w:r>
          </w:p>
        </w:tc>
        <w:tc>
          <w:tcPr>
            <w:tcW w:w="1096" w:type="dxa"/>
            <w:tcBorders>
              <w:top w:val="single" w:color="auto" w:sz="4" w:space="0"/>
              <w:left w:val="single" w:color="auto" w:sz="4" w:space="0"/>
              <w:bottom w:val="single" w:color="auto" w:sz="4" w:space="0"/>
              <w:right w:val="single" w:color="auto" w:sz="4" w:space="0"/>
            </w:tcBorders>
            <w:noWrap w:val="0"/>
            <w:vAlign w:val="center"/>
          </w:tcPr>
          <w:p w14:paraId="0F4307B3">
            <w:pPr>
              <w:topLinePunct/>
              <w:adjustRightInd w:val="0"/>
              <w:snapToGrid w:val="0"/>
              <w:spacing w:line="560" w:lineRule="exact"/>
              <w:jc w:val="center"/>
              <w:rPr>
                <w:color w:val="auto"/>
                <w:szCs w:val="21"/>
                <w:highlight w:val="none"/>
              </w:rPr>
            </w:pPr>
          </w:p>
        </w:tc>
        <w:tc>
          <w:tcPr>
            <w:tcW w:w="1453" w:type="dxa"/>
            <w:gridSpan w:val="2"/>
            <w:tcBorders>
              <w:top w:val="single" w:color="auto" w:sz="4" w:space="0"/>
              <w:left w:val="single" w:color="auto" w:sz="4" w:space="0"/>
              <w:bottom w:val="single" w:color="auto" w:sz="4" w:space="0"/>
              <w:right w:val="single" w:color="auto" w:sz="4" w:space="0"/>
            </w:tcBorders>
            <w:noWrap w:val="0"/>
            <w:vAlign w:val="center"/>
          </w:tcPr>
          <w:p w14:paraId="16DADCBB">
            <w:pPr>
              <w:topLinePunct/>
              <w:adjustRightInd w:val="0"/>
              <w:snapToGrid w:val="0"/>
              <w:spacing w:line="560" w:lineRule="exact"/>
              <w:jc w:val="center"/>
              <w:rPr>
                <w:color w:val="auto"/>
                <w:szCs w:val="21"/>
                <w:highlight w:val="none"/>
              </w:rPr>
            </w:pPr>
            <w:r>
              <w:rPr>
                <w:color w:val="auto"/>
                <w:szCs w:val="21"/>
                <w:highlight w:val="none"/>
              </w:rPr>
              <w:t>技术职称</w:t>
            </w:r>
          </w:p>
        </w:tc>
        <w:tc>
          <w:tcPr>
            <w:tcW w:w="2167" w:type="dxa"/>
            <w:gridSpan w:val="3"/>
            <w:tcBorders>
              <w:top w:val="single" w:color="auto" w:sz="4" w:space="0"/>
              <w:left w:val="single" w:color="auto" w:sz="4" w:space="0"/>
              <w:bottom w:val="single" w:color="auto" w:sz="4" w:space="0"/>
              <w:right w:val="single" w:color="auto" w:sz="4" w:space="0"/>
            </w:tcBorders>
            <w:noWrap w:val="0"/>
            <w:vAlign w:val="center"/>
          </w:tcPr>
          <w:p w14:paraId="4303D4BF">
            <w:pPr>
              <w:topLinePunct/>
              <w:adjustRightInd w:val="0"/>
              <w:snapToGrid w:val="0"/>
              <w:spacing w:line="560" w:lineRule="exact"/>
              <w:jc w:val="center"/>
              <w:rPr>
                <w:color w:val="auto"/>
                <w:szCs w:val="21"/>
                <w:highlight w:val="none"/>
              </w:rPr>
            </w:pPr>
          </w:p>
        </w:tc>
        <w:tc>
          <w:tcPr>
            <w:tcW w:w="991" w:type="dxa"/>
            <w:tcBorders>
              <w:top w:val="single" w:color="auto" w:sz="4" w:space="0"/>
              <w:left w:val="single" w:color="auto" w:sz="4" w:space="0"/>
              <w:bottom w:val="single" w:color="auto" w:sz="4" w:space="0"/>
              <w:right w:val="single" w:color="auto" w:sz="4" w:space="0"/>
            </w:tcBorders>
            <w:noWrap w:val="0"/>
            <w:vAlign w:val="center"/>
          </w:tcPr>
          <w:p w14:paraId="33EC8FDC">
            <w:pPr>
              <w:topLinePunct/>
              <w:adjustRightInd w:val="0"/>
              <w:snapToGrid w:val="0"/>
              <w:spacing w:line="560" w:lineRule="exact"/>
              <w:jc w:val="center"/>
              <w:rPr>
                <w:color w:val="auto"/>
                <w:szCs w:val="21"/>
                <w:highlight w:val="none"/>
              </w:rPr>
            </w:pPr>
            <w:r>
              <w:rPr>
                <w:color w:val="auto"/>
                <w:szCs w:val="21"/>
                <w:highlight w:val="none"/>
              </w:rPr>
              <w:t>电话</w:t>
            </w:r>
          </w:p>
        </w:tc>
        <w:tc>
          <w:tcPr>
            <w:tcW w:w="1144" w:type="dxa"/>
            <w:tcBorders>
              <w:top w:val="single" w:color="auto" w:sz="4" w:space="0"/>
              <w:left w:val="single" w:color="auto" w:sz="4" w:space="0"/>
              <w:bottom w:val="single" w:color="auto" w:sz="4" w:space="0"/>
              <w:right w:val="single" w:color="auto" w:sz="4" w:space="0"/>
            </w:tcBorders>
            <w:noWrap w:val="0"/>
            <w:vAlign w:val="center"/>
          </w:tcPr>
          <w:p w14:paraId="01A9FD9F">
            <w:pPr>
              <w:topLinePunct/>
              <w:adjustRightInd w:val="0"/>
              <w:snapToGrid w:val="0"/>
              <w:spacing w:line="560" w:lineRule="exact"/>
              <w:jc w:val="center"/>
              <w:rPr>
                <w:color w:val="auto"/>
                <w:szCs w:val="21"/>
                <w:highlight w:val="none"/>
              </w:rPr>
            </w:pPr>
          </w:p>
        </w:tc>
      </w:tr>
      <w:tr w14:paraId="3B8B20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4"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7C65DA0F">
            <w:pPr>
              <w:topLinePunct/>
              <w:adjustRightInd w:val="0"/>
              <w:snapToGrid w:val="0"/>
              <w:spacing w:line="560" w:lineRule="exact"/>
              <w:jc w:val="center"/>
              <w:rPr>
                <w:color w:val="auto"/>
                <w:szCs w:val="21"/>
                <w:highlight w:val="none"/>
              </w:rPr>
            </w:pPr>
            <w:r>
              <w:rPr>
                <w:color w:val="auto"/>
                <w:szCs w:val="21"/>
                <w:highlight w:val="none"/>
              </w:rPr>
              <w:t>技术负责人</w:t>
            </w:r>
          </w:p>
        </w:tc>
        <w:tc>
          <w:tcPr>
            <w:tcW w:w="1036" w:type="dxa"/>
            <w:tcBorders>
              <w:top w:val="single" w:color="auto" w:sz="4" w:space="0"/>
              <w:left w:val="single" w:color="auto" w:sz="4" w:space="0"/>
              <w:bottom w:val="single" w:color="auto" w:sz="4" w:space="0"/>
              <w:right w:val="single" w:color="auto" w:sz="4" w:space="0"/>
            </w:tcBorders>
            <w:noWrap w:val="0"/>
            <w:vAlign w:val="center"/>
          </w:tcPr>
          <w:p w14:paraId="4A1C3A68">
            <w:pPr>
              <w:topLinePunct/>
              <w:adjustRightInd w:val="0"/>
              <w:snapToGrid w:val="0"/>
              <w:spacing w:line="560" w:lineRule="exact"/>
              <w:jc w:val="center"/>
              <w:rPr>
                <w:color w:val="auto"/>
                <w:szCs w:val="21"/>
                <w:highlight w:val="none"/>
              </w:rPr>
            </w:pPr>
            <w:r>
              <w:rPr>
                <w:color w:val="auto"/>
                <w:szCs w:val="21"/>
                <w:highlight w:val="none"/>
              </w:rPr>
              <w:t>姓名</w:t>
            </w:r>
          </w:p>
        </w:tc>
        <w:tc>
          <w:tcPr>
            <w:tcW w:w="1096" w:type="dxa"/>
            <w:tcBorders>
              <w:top w:val="single" w:color="auto" w:sz="4" w:space="0"/>
              <w:left w:val="single" w:color="auto" w:sz="4" w:space="0"/>
              <w:bottom w:val="single" w:color="auto" w:sz="4" w:space="0"/>
              <w:right w:val="single" w:color="auto" w:sz="4" w:space="0"/>
            </w:tcBorders>
            <w:noWrap w:val="0"/>
            <w:vAlign w:val="center"/>
          </w:tcPr>
          <w:p w14:paraId="22130D40">
            <w:pPr>
              <w:topLinePunct/>
              <w:adjustRightInd w:val="0"/>
              <w:snapToGrid w:val="0"/>
              <w:spacing w:line="560" w:lineRule="exact"/>
              <w:jc w:val="center"/>
              <w:rPr>
                <w:color w:val="auto"/>
                <w:szCs w:val="21"/>
                <w:highlight w:val="none"/>
              </w:rPr>
            </w:pPr>
          </w:p>
        </w:tc>
        <w:tc>
          <w:tcPr>
            <w:tcW w:w="1453" w:type="dxa"/>
            <w:gridSpan w:val="2"/>
            <w:tcBorders>
              <w:top w:val="single" w:color="auto" w:sz="4" w:space="0"/>
              <w:left w:val="single" w:color="auto" w:sz="4" w:space="0"/>
              <w:bottom w:val="single" w:color="auto" w:sz="4" w:space="0"/>
              <w:right w:val="single" w:color="auto" w:sz="4" w:space="0"/>
            </w:tcBorders>
            <w:noWrap w:val="0"/>
            <w:vAlign w:val="center"/>
          </w:tcPr>
          <w:p w14:paraId="0DB3DA69">
            <w:pPr>
              <w:topLinePunct/>
              <w:adjustRightInd w:val="0"/>
              <w:snapToGrid w:val="0"/>
              <w:spacing w:line="560" w:lineRule="exact"/>
              <w:jc w:val="center"/>
              <w:rPr>
                <w:color w:val="auto"/>
                <w:szCs w:val="21"/>
                <w:highlight w:val="none"/>
              </w:rPr>
            </w:pPr>
            <w:r>
              <w:rPr>
                <w:color w:val="auto"/>
                <w:szCs w:val="21"/>
                <w:highlight w:val="none"/>
              </w:rPr>
              <w:t>技术职称</w:t>
            </w:r>
          </w:p>
        </w:tc>
        <w:tc>
          <w:tcPr>
            <w:tcW w:w="2167" w:type="dxa"/>
            <w:gridSpan w:val="3"/>
            <w:tcBorders>
              <w:top w:val="single" w:color="auto" w:sz="4" w:space="0"/>
              <w:left w:val="single" w:color="auto" w:sz="4" w:space="0"/>
              <w:bottom w:val="single" w:color="auto" w:sz="4" w:space="0"/>
              <w:right w:val="single" w:color="auto" w:sz="4" w:space="0"/>
            </w:tcBorders>
            <w:noWrap w:val="0"/>
            <w:vAlign w:val="center"/>
          </w:tcPr>
          <w:p w14:paraId="14B6208F">
            <w:pPr>
              <w:topLinePunct/>
              <w:adjustRightInd w:val="0"/>
              <w:snapToGrid w:val="0"/>
              <w:spacing w:line="560" w:lineRule="exact"/>
              <w:jc w:val="center"/>
              <w:rPr>
                <w:color w:val="auto"/>
                <w:szCs w:val="21"/>
                <w:highlight w:val="none"/>
              </w:rPr>
            </w:pPr>
          </w:p>
        </w:tc>
        <w:tc>
          <w:tcPr>
            <w:tcW w:w="991" w:type="dxa"/>
            <w:tcBorders>
              <w:top w:val="single" w:color="auto" w:sz="4" w:space="0"/>
              <w:left w:val="single" w:color="auto" w:sz="4" w:space="0"/>
              <w:bottom w:val="single" w:color="auto" w:sz="4" w:space="0"/>
              <w:right w:val="single" w:color="auto" w:sz="4" w:space="0"/>
            </w:tcBorders>
            <w:noWrap w:val="0"/>
            <w:vAlign w:val="center"/>
          </w:tcPr>
          <w:p w14:paraId="39FFF498">
            <w:pPr>
              <w:topLinePunct/>
              <w:adjustRightInd w:val="0"/>
              <w:snapToGrid w:val="0"/>
              <w:spacing w:line="560" w:lineRule="exact"/>
              <w:jc w:val="center"/>
              <w:rPr>
                <w:color w:val="auto"/>
                <w:szCs w:val="21"/>
                <w:highlight w:val="none"/>
              </w:rPr>
            </w:pPr>
            <w:r>
              <w:rPr>
                <w:color w:val="auto"/>
                <w:szCs w:val="21"/>
                <w:highlight w:val="none"/>
              </w:rPr>
              <w:t>电话</w:t>
            </w:r>
          </w:p>
        </w:tc>
        <w:tc>
          <w:tcPr>
            <w:tcW w:w="1144" w:type="dxa"/>
            <w:tcBorders>
              <w:top w:val="single" w:color="auto" w:sz="4" w:space="0"/>
              <w:left w:val="single" w:color="auto" w:sz="4" w:space="0"/>
              <w:bottom w:val="single" w:color="auto" w:sz="4" w:space="0"/>
              <w:right w:val="single" w:color="auto" w:sz="4" w:space="0"/>
            </w:tcBorders>
            <w:noWrap w:val="0"/>
            <w:vAlign w:val="center"/>
          </w:tcPr>
          <w:p w14:paraId="0ABD80AF">
            <w:pPr>
              <w:topLinePunct/>
              <w:adjustRightInd w:val="0"/>
              <w:snapToGrid w:val="0"/>
              <w:spacing w:line="560" w:lineRule="exact"/>
              <w:jc w:val="center"/>
              <w:rPr>
                <w:color w:val="auto"/>
                <w:szCs w:val="21"/>
                <w:highlight w:val="none"/>
              </w:rPr>
            </w:pPr>
          </w:p>
        </w:tc>
      </w:tr>
      <w:tr w14:paraId="762C8B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1"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096ACADA">
            <w:pPr>
              <w:topLinePunct/>
              <w:adjustRightInd w:val="0"/>
              <w:snapToGrid w:val="0"/>
              <w:spacing w:line="560" w:lineRule="exact"/>
              <w:jc w:val="center"/>
              <w:rPr>
                <w:color w:val="auto"/>
                <w:szCs w:val="21"/>
                <w:highlight w:val="none"/>
              </w:rPr>
            </w:pPr>
            <w:r>
              <w:rPr>
                <w:color w:val="auto"/>
                <w:szCs w:val="21"/>
                <w:highlight w:val="none"/>
              </w:rPr>
              <w:t>成立时间</w:t>
            </w:r>
          </w:p>
        </w:tc>
        <w:tc>
          <w:tcPr>
            <w:tcW w:w="2132" w:type="dxa"/>
            <w:gridSpan w:val="2"/>
            <w:tcBorders>
              <w:top w:val="single" w:color="auto" w:sz="4" w:space="0"/>
              <w:left w:val="single" w:color="auto" w:sz="4" w:space="0"/>
              <w:bottom w:val="single" w:color="auto" w:sz="4" w:space="0"/>
              <w:right w:val="single" w:color="auto" w:sz="4" w:space="0"/>
            </w:tcBorders>
            <w:noWrap w:val="0"/>
            <w:vAlign w:val="center"/>
          </w:tcPr>
          <w:p w14:paraId="1A5F589B">
            <w:pPr>
              <w:topLinePunct/>
              <w:adjustRightInd w:val="0"/>
              <w:snapToGrid w:val="0"/>
              <w:spacing w:line="560" w:lineRule="exact"/>
              <w:jc w:val="center"/>
              <w:rPr>
                <w:color w:val="auto"/>
                <w:szCs w:val="21"/>
                <w:highlight w:val="none"/>
              </w:rPr>
            </w:pPr>
          </w:p>
        </w:tc>
        <w:tc>
          <w:tcPr>
            <w:tcW w:w="5755" w:type="dxa"/>
            <w:gridSpan w:val="7"/>
            <w:tcBorders>
              <w:top w:val="single" w:color="auto" w:sz="4" w:space="0"/>
              <w:left w:val="single" w:color="auto" w:sz="4" w:space="0"/>
              <w:bottom w:val="single" w:color="auto" w:sz="4" w:space="0"/>
              <w:right w:val="single" w:color="auto" w:sz="4" w:space="0"/>
            </w:tcBorders>
            <w:noWrap w:val="0"/>
            <w:vAlign w:val="center"/>
          </w:tcPr>
          <w:p w14:paraId="1CD3A17D">
            <w:pPr>
              <w:topLinePunct/>
              <w:adjustRightInd w:val="0"/>
              <w:snapToGrid w:val="0"/>
              <w:spacing w:line="560" w:lineRule="exact"/>
              <w:ind w:firstLine="105" w:firstLineChars="50"/>
              <w:jc w:val="center"/>
              <w:rPr>
                <w:color w:val="auto"/>
                <w:szCs w:val="21"/>
                <w:highlight w:val="none"/>
              </w:rPr>
            </w:pPr>
            <w:r>
              <w:rPr>
                <w:color w:val="auto"/>
                <w:szCs w:val="21"/>
                <w:highlight w:val="none"/>
              </w:rPr>
              <w:t>员工总人数：</w:t>
            </w:r>
          </w:p>
        </w:tc>
      </w:tr>
      <w:tr w14:paraId="7391F1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02"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1C59ECDB">
            <w:pPr>
              <w:topLinePunct/>
              <w:adjustRightInd w:val="0"/>
              <w:snapToGrid w:val="0"/>
              <w:spacing w:line="560" w:lineRule="exact"/>
              <w:jc w:val="center"/>
              <w:rPr>
                <w:color w:val="auto"/>
                <w:szCs w:val="21"/>
                <w:highlight w:val="none"/>
              </w:rPr>
            </w:pPr>
            <w:r>
              <w:rPr>
                <w:color w:val="auto"/>
                <w:szCs w:val="21"/>
                <w:highlight w:val="none"/>
              </w:rPr>
              <w:t>企业资质等级</w:t>
            </w:r>
          </w:p>
        </w:tc>
        <w:tc>
          <w:tcPr>
            <w:tcW w:w="2132" w:type="dxa"/>
            <w:gridSpan w:val="2"/>
            <w:tcBorders>
              <w:top w:val="single" w:color="auto" w:sz="4" w:space="0"/>
              <w:left w:val="single" w:color="auto" w:sz="4" w:space="0"/>
              <w:bottom w:val="single" w:color="auto" w:sz="4" w:space="0"/>
              <w:right w:val="single" w:color="auto" w:sz="4" w:space="0"/>
            </w:tcBorders>
            <w:noWrap w:val="0"/>
            <w:vAlign w:val="center"/>
          </w:tcPr>
          <w:p w14:paraId="05052F49">
            <w:pPr>
              <w:topLinePunct/>
              <w:adjustRightInd w:val="0"/>
              <w:snapToGrid w:val="0"/>
              <w:spacing w:line="560" w:lineRule="exact"/>
              <w:jc w:val="center"/>
              <w:rPr>
                <w:color w:val="auto"/>
                <w:szCs w:val="21"/>
                <w:highlight w:val="none"/>
              </w:rPr>
            </w:pPr>
          </w:p>
        </w:tc>
        <w:tc>
          <w:tcPr>
            <w:tcW w:w="969" w:type="dxa"/>
            <w:vMerge w:val="restart"/>
            <w:tcBorders>
              <w:top w:val="single" w:color="auto" w:sz="4" w:space="0"/>
              <w:left w:val="single" w:color="auto" w:sz="4" w:space="0"/>
              <w:bottom w:val="single" w:color="auto" w:sz="4" w:space="0"/>
              <w:right w:val="single" w:color="auto" w:sz="4" w:space="0"/>
            </w:tcBorders>
            <w:noWrap w:val="0"/>
            <w:vAlign w:val="center"/>
          </w:tcPr>
          <w:p w14:paraId="67F34341">
            <w:pPr>
              <w:topLinePunct/>
              <w:adjustRightInd w:val="0"/>
              <w:snapToGrid w:val="0"/>
              <w:spacing w:line="560" w:lineRule="exact"/>
              <w:jc w:val="center"/>
              <w:rPr>
                <w:color w:val="auto"/>
                <w:szCs w:val="21"/>
                <w:highlight w:val="none"/>
              </w:rPr>
            </w:pPr>
            <w:r>
              <w:rPr>
                <w:color w:val="auto"/>
                <w:szCs w:val="21"/>
                <w:highlight w:val="none"/>
              </w:rPr>
              <w:t>其中</w:t>
            </w:r>
          </w:p>
        </w:tc>
        <w:tc>
          <w:tcPr>
            <w:tcW w:w="2651" w:type="dxa"/>
            <w:gridSpan w:val="4"/>
            <w:tcBorders>
              <w:top w:val="single" w:color="auto" w:sz="4" w:space="0"/>
              <w:left w:val="single" w:color="auto" w:sz="4" w:space="0"/>
              <w:bottom w:val="single" w:color="auto" w:sz="4" w:space="0"/>
              <w:right w:val="single" w:color="auto" w:sz="4" w:space="0"/>
            </w:tcBorders>
            <w:noWrap w:val="0"/>
            <w:vAlign w:val="center"/>
          </w:tcPr>
          <w:p w14:paraId="14266020">
            <w:pPr>
              <w:topLinePunct/>
              <w:adjustRightInd w:val="0"/>
              <w:snapToGrid w:val="0"/>
              <w:spacing w:line="560" w:lineRule="exact"/>
              <w:jc w:val="center"/>
              <w:rPr>
                <w:color w:val="auto"/>
                <w:szCs w:val="21"/>
                <w:highlight w:val="none"/>
              </w:rPr>
            </w:pPr>
            <w:r>
              <w:rPr>
                <w:color w:val="auto"/>
                <w:szCs w:val="21"/>
                <w:highlight w:val="none"/>
              </w:rPr>
              <w:t>项目经理（建造师）</w:t>
            </w:r>
          </w:p>
        </w:tc>
        <w:tc>
          <w:tcPr>
            <w:tcW w:w="2135" w:type="dxa"/>
            <w:gridSpan w:val="2"/>
            <w:tcBorders>
              <w:top w:val="single" w:color="auto" w:sz="4" w:space="0"/>
              <w:left w:val="single" w:color="auto" w:sz="4" w:space="0"/>
              <w:bottom w:val="single" w:color="auto" w:sz="4" w:space="0"/>
              <w:right w:val="single" w:color="auto" w:sz="4" w:space="0"/>
            </w:tcBorders>
            <w:noWrap w:val="0"/>
            <w:vAlign w:val="center"/>
          </w:tcPr>
          <w:p w14:paraId="5806D660">
            <w:pPr>
              <w:topLinePunct/>
              <w:adjustRightInd w:val="0"/>
              <w:snapToGrid w:val="0"/>
              <w:spacing w:line="560" w:lineRule="exact"/>
              <w:jc w:val="center"/>
              <w:rPr>
                <w:color w:val="auto"/>
                <w:szCs w:val="21"/>
                <w:highlight w:val="none"/>
              </w:rPr>
            </w:pPr>
          </w:p>
        </w:tc>
      </w:tr>
      <w:tr w14:paraId="350118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44"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15511B15">
            <w:pPr>
              <w:topLinePunct/>
              <w:adjustRightInd w:val="0"/>
              <w:snapToGrid w:val="0"/>
              <w:spacing w:line="560" w:lineRule="exact"/>
              <w:jc w:val="center"/>
              <w:rPr>
                <w:color w:val="auto"/>
                <w:szCs w:val="21"/>
                <w:highlight w:val="none"/>
              </w:rPr>
            </w:pPr>
            <w:r>
              <w:rPr>
                <w:color w:val="auto"/>
                <w:szCs w:val="21"/>
                <w:highlight w:val="none"/>
              </w:rPr>
              <w:t>营业执照号</w:t>
            </w:r>
          </w:p>
        </w:tc>
        <w:tc>
          <w:tcPr>
            <w:tcW w:w="2132" w:type="dxa"/>
            <w:gridSpan w:val="2"/>
            <w:tcBorders>
              <w:top w:val="single" w:color="auto" w:sz="4" w:space="0"/>
              <w:left w:val="single" w:color="auto" w:sz="4" w:space="0"/>
              <w:bottom w:val="single" w:color="auto" w:sz="4" w:space="0"/>
              <w:right w:val="single" w:color="auto" w:sz="4" w:space="0"/>
            </w:tcBorders>
            <w:noWrap w:val="0"/>
            <w:vAlign w:val="center"/>
          </w:tcPr>
          <w:p w14:paraId="53D7139D">
            <w:pPr>
              <w:topLinePunct/>
              <w:adjustRightInd w:val="0"/>
              <w:snapToGrid w:val="0"/>
              <w:spacing w:line="560" w:lineRule="exact"/>
              <w:jc w:val="center"/>
              <w:rPr>
                <w:color w:val="auto"/>
                <w:szCs w:val="21"/>
                <w:highlight w:val="none"/>
              </w:rPr>
            </w:pPr>
          </w:p>
        </w:tc>
        <w:tc>
          <w:tcPr>
            <w:tcW w:w="969" w:type="dxa"/>
            <w:vMerge w:val="continue"/>
            <w:tcBorders>
              <w:top w:val="single" w:color="auto" w:sz="4" w:space="0"/>
              <w:left w:val="single" w:color="auto" w:sz="4" w:space="0"/>
              <w:bottom w:val="single" w:color="auto" w:sz="4" w:space="0"/>
              <w:right w:val="single" w:color="auto" w:sz="4" w:space="0"/>
            </w:tcBorders>
            <w:noWrap w:val="0"/>
            <w:vAlign w:val="center"/>
          </w:tcPr>
          <w:p w14:paraId="6C89D088">
            <w:pPr>
              <w:topLinePunct/>
              <w:adjustRightInd w:val="0"/>
              <w:snapToGrid w:val="0"/>
              <w:spacing w:line="560" w:lineRule="exact"/>
              <w:jc w:val="center"/>
              <w:rPr>
                <w:color w:val="auto"/>
                <w:szCs w:val="21"/>
                <w:highlight w:val="none"/>
              </w:rPr>
            </w:pPr>
          </w:p>
        </w:tc>
        <w:tc>
          <w:tcPr>
            <w:tcW w:w="2651" w:type="dxa"/>
            <w:gridSpan w:val="4"/>
            <w:tcBorders>
              <w:top w:val="single" w:color="auto" w:sz="4" w:space="0"/>
              <w:left w:val="single" w:color="auto" w:sz="4" w:space="0"/>
              <w:bottom w:val="single" w:color="auto" w:sz="4" w:space="0"/>
              <w:right w:val="single" w:color="auto" w:sz="4" w:space="0"/>
            </w:tcBorders>
            <w:noWrap w:val="0"/>
            <w:vAlign w:val="center"/>
          </w:tcPr>
          <w:p w14:paraId="409F8AA7">
            <w:pPr>
              <w:topLinePunct/>
              <w:adjustRightInd w:val="0"/>
              <w:snapToGrid w:val="0"/>
              <w:spacing w:line="560" w:lineRule="exact"/>
              <w:jc w:val="center"/>
              <w:rPr>
                <w:color w:val="auto"/>
                <w:szCs w:val="21"/>
                <w:highlight w:val="none"/>
              </w:rPr>
            </w:pPr>
            <w:r>
              <w:rPr>
                <w:color w:val="auto"/>
                <w:szCs w:val="21"/>
                <w:highlight w:val="none"/>
              </w:rPr>
              <w:t>高级职称人员</w:t>
            </w:r>
          </w:p>
        </w:tc>
        <w:tc>
          <w:tcPr>
            <w:tcW w:w="2135" w:type="dxa"/>
            <w:gridSpan w:val="2"/>
            <w:tcBorders>
              <w:top w:val="single" w:color="auto" w:sz="4" w:space="0"/>
              <w:left w:val="single" w:color="auto" w:sz="4" w:space="0"/>
              <w:bottom w:val="single" w:color="auto" w:sz="4" w:space="0"/>
              <w:right w:val="single" w:color="auto" w:sz="4" w:space="0"/>
            </w:tcBorders>
            <w:noWrap w:val="0"/>
            <w:vAlign w:val="center"/>
          </w:tcPr>
          <w:p w14:paraId="688C7933">
            <w:pPr>
              <w:topLinePunct/>
              <w:adjustRightInd w:val="0"/>
              <w:snapToGrid w:val="0"/>
              <w:spacing w:line="560" w:lineRule="exact"/>
              <w:jc w:val="center"/>
              <w:rPr>
                <w:color w:val="auto"/>
                <w:szCs w:val="21"/>
                <w:highlight w:val="none"/>
              </w:rPr>
            </w:pPr>
          </w:p>
        </w:tc>
      </w:tr>
      <w:tr w14:paraId="0C24D9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7"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5546F6BD">
            <w:pPr>
              <w:topLinePunct/>
              <w:adjustRightInd w:val="0"/>
              <w:snapToGrid w:val="0"/>
              <w:spacing w:line="560" w:lineRule="exact"/>
              <w:jc w:val="center"/>
              <w:rPr>
                <w:color w:val="auto"/>
                <w:szCs w:val="21"/>
                <w:highlight w:val="none"/>
              </w:rPr>
            </w:pPr>
            <w:r>
              <w:rPr>
                <w:color w:val="auto"/>
                <w:szCs w:val="21"/>
                <w:highlight w:val="none"/>
              </w:rPr>
              <w:t>注册资金</w:t>
            </w:r>
          </w:p>
        </w:tc>
        <w:tc>
          <w:tcPr>
            <w:tcW w:w="2132" w:type="dxa"/>
            <w:gridSpan w:val="2"/>
            <w:tcBorders>
              <w:top w:val="single" w:color="auto" w:sz="4" w:space="0"/>
              <w:left w:val="single" w:color="auto" w:sz="4" w:space="0"/>
              <w:bottom w:val="single" w:color="auto" w:sz="4" w:space="0"/>
              <w:right w:val="single" w:color="auto" w:sz="4" w:space="0"/>
            </w:tcBorders>
            <w:noWrap w:val="0"/>
            <w:vAlign w:val="center"/>
          </w:tcPr>
          <w:p w14:paraId="517A0B26">
            <w:pPr>
              <w:topLinePunct/>
              <w:adjustRightInd w:val="0"/>
              <w:snapToGrid w:val="0"/>
              <w:spacing w:line="560" w:lineRule="exact"/>
              <w:jc w:val="center"/>
              <w:rPr>
                <w:color w:val="auto"/>
                <w:szCs w:val="21"/>
                <w:highlight w:val="none"/>
              </w:rPr>
            </w:pPr>
          </w:p>
        </w:tc>
        <w:tc>
          <w:tcPr>
            <w:tcW w:w="969" w:type="dxa"/>
            <w:vMerge w:val="continue"/>
            <w:tcBorders>
              <w:top w:val="single" w:color="auto" w:sz="4" w:space="0"/>
              <w:left w:val="single" w:color="auto" w:sz="4" w:space="0"/>
              <w:bottom w:val="single" w:color="auto" w:sz="4" w:space="0"/>
              <w:right w:val="single" w:color="auto" w:sz="4" w:space="0"/>
            </w:tcBorders>
            <w:noWrap w:val="0"/>
            <w:vAlign w:val="center"/>
          </w:tcPr>
          <w:p w14:paraId="10F1DA5B">
            <w:pPr>
              <w:topLinePunct/>
              <w:adjustRightInd w:val="0"/>
              <w:snapToGrid w:val="0"/>
              <w:spacing w:line="560" w:lineRule="exact"/>
              <w:jc w:val="center"/>
              <w:rPr>
                <w:color w:val="auto"/>
                <w:szCs w:val="21"/>
                <w:highlight w:val="none"/>
              </w:rPr>
            </w:pPr>
          </w:p>
        </w:tc>
        <w:tc>
          <w:tcPr>
            <w:tcW w:w="2651" w:type="dxa"/>
            <w:gridSpan w:val="4"/>
            <w:tcBorders>
              <w:top w:val="single" w:color="auto" w:sz="4" w:space="0"/>
              <w:left w:val="single" w:color="auto" w:sz="4" w:space="0"/>
              <w:bottom w:val="single" w:color="auto" w:sz="4" w:space="0"/>
              <w:right w:val="single" w:color="auto" w:sz="4" w:space="0"/>
            </w:tcBorders>
            <w:noWrap w:val="0"/>
            <w:vAlign w:val="center"/>
          </w:tcPr>
          <w:p w14:paraId="68DB8CF7">
            <w:pPr>
              <w:topLinePunct/>
              <w:adjustRightInd w:val="0"/>
              <w:snapToGrid w:val="0"/>
              <w:spacing w:line="560" w:lineRule="exact"/>
              <w:jc w:val="center"/>
              <w:rPr>
                <w:color w:val="auto"/>
                <w:szCs w:val="21"/>
                <w:highlight w:val="none"/>
              </w:rPr>
            </w:pPr>
            <w:r>
              <w:rPr>
                <w:color w:val="auto"/>
                <w:szCs w:val="21"/>
                <w:highlight w:val="none"/>
              </w:rPr>
              <w:t>中级职称人员</w:t>
            </w:r>
          </w:p>
        </w:tc>
        <w:tc>
          <w:tcPr>
            <w:tcW w:w="2135" w:type="dxa"/>
            <w:gridSpan w:val="2"/>
            <w:tcBorders>
              <w:top w:val="single" w:color="auto" w:sz="4" w:space="0"/>
              <w:left w:val="single" w:color="auto" w:sz="4" w:space="0"/>
              <w:bottom w:val="single" w:color="auto" w:sz="4" w:space="0"/>
              <w:right w:val="single" w:color="auto" w:sz="4" w:space="0"/>
            </w:tcBorders>
            <w:noWrap w:val="0"/>
            <w:vAlign w:val="center"/>
          </w:tcPr>
          <w:p w14:paraId="17B37A93">
            <w:pPr>
              <w:topLinePunct/>
              <w:adjustRightInd w:val="0"/>
              <w:snapToGrid w:val="0"/>
              <w:spacing w:line="560" w:lineRule="exact"/>
              <w:jc w:val="center"/>
              <w:rPr>
                <w:color w:val="auto"/>
                <w:szCs w:val="21"/>
                <w:highlight w:val="none"/>
              </w:rPr>
            </w:pPr>
          </w:p>
        </w:tc>
      </w:tr>
      <w:tr w14:paraId="368112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63"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31C40E2B">
            <w:pPr>
              <w:topLinePunct/>
              <w:adjustRightInd w:val="0"/>
              <w:snapToGrid w:val="0"/>
              <w:spacing w:line="560" w:lineRule="exact"/>
              <w:jc w:val="center"/>
              <w:rPr>
                <w:color w:val="auto"/>
                <w:szCs w:val="21"/>
                <w:highlight w:val="none"/>
              </w:rPr>
            </w:pPr>
            <w:r>
              <w:rPr>
                <w:color w:val="auto"/>
                <w:szCs w:val="21"/>
                <w:highlight w:val="none"/>
              </w:rPr>
              <w:t>开户银行</w:t>
            </w:r>
          </w:p>
        </w:tc>
        <w:tc>
          <w:tcPr>
            <w:tcW w:w="2132" w:type="dxa"/>
            <w:gridSpan w:val="2"/>
            <w:tcBorders>
              <w:top w:val="single" w:color="auto" w:sz="4" w:space="0"/>
              <w:left w:val="single" w:color="auto" w:sz="4" w:space="0"/>
              <w:bottom w:val="single" w:color="auto" w:sz="4" w:space="0"/>
              <w:right w:val="single" w:color="auto" w:sz="4" w:space="0"/>
            </w:tcBorders>
            <w:noWrap w:val="0"/>
            <w:vAlign w:val="center"/>
          </w:tcPr>
          <w:p w14:paraId="37C8F2B7">
            <w:pPr>
              <w:topLinePunct/>
              <w:adjustRightInd w:val="0"/>
              <w:snapToGrid w:val="0"/>
              <w:spacing w:line="560" w:lineRule="exact"/>
              <w:jc w:val="center"/>
              <w:rPr>
                <w:color w:val="auto"/>
                <w:szCs w:val="21"/>
                <w:highlight w:val="none"/>
              </w:rPr>
            </w:pPr>
          </w:p>
        </w:tc>
        <w:tc>
          <w:tcPr>
            <w:tcW w:w="969" w:type="dxa"/>
            <w:vMerge w:val="continue"/>
            <w:tcBorders>
              <w:top w:val="single" w:color="auto" w:sz="4" w:space="0"/>
              <w:left w:val="single" w:color="auto" w:sz="4" w:space="0"/>
              <w:bottom w:val="single" w:color="auto" w:sz="4" w:space="0"/>
              <w:right w:val="single" w:color="auto" w:sz="4" w:space="0"/>
            </w:tcBorders>
            <w:noWrap w:val="0"/>
            <w:vAlign w:val="center"/>
          </w:tcPr>
          <w:p w14:paraId="55EE19B7">
            <w:pPr>
              <w:topLinePunct/>
              <w:adjustRightInd w:val="0"/>
              <w:snapToGrid w:val="0"/>
              <w:spacing w:line="560" w:lineRule="exact"/>
              <w:jc w:val="center"/>
              <w:rPr>
                <w:color w:val="auto"/>
                <w:szCs w:val="21"/>
                <w:highlight w:val="none"/>
              </w:rPr>
            </w:pPr>
          </w:p>
        </w:tc>
        <w:tc>
          <w:tcPr>
            <w:tcW w:w="2651" w:type="dxa"/>
            <w:gridSpan w:val="4"/>
            <w:tcBorders>
              <w:top w:val="single" w:color="auto" w:sz="4" w:space="0"/>
              <w:left w:val="single" w:color="auto" w:sz="4" w:space="0"/>
              <w:bottom w:val="single" w:color="auto" w:sz="4" w:space="0"/>
              <w:right w:val="single" w:color="auto" w:sz="4" w:space="0"/>
            </w:tcBorders>
            <w:noWrap w:val="0"/>
            <w:vAlign w:val="center"/>
          </w:tcPr>
          <w:p w14:paraId="6E7CC933">
            <w:pPr>
              <w:topLinePunct/>
              <w:adjustRightInd w:val="0"/>
              <w:snapToGrid w:val="0"/>
              <w:spacing w:line="560" w:lineRule="exact"/>
              <w:jc w:val="center"/>
              <w:rPr>
                <w:color w:val="auto"/>
                <w:szCs w:val="21"/>
                <w:highlight w:val="none"/>
              </w:rPr>
            </w:pPr>
            <w:r>
              <w:rPr>
                <w:color w:val="auto"/>
                <w:szCs w:val="21"/>
                <w:highlight w:val="none"/>
              </w:rPr>
              <w:t>初级职称人员</w:t>
            </w:r>
          </w:p>
        </w:tc>
        <w:tc>
          <w:tcPr>
            <w:tcW w:w="2135" w:type="dxa"/>
            <w:gridSpan w:val="2"/>
            <w:tcBorders>
              <w:top w:val="single" w:color="auto" w:sz="4" w:space="0"/>
              <w:left w:val="single" w:color="auto" w:sz="4" w:space="0"/>
              <w:bottom w:val="single" w:color="auto" w:sz="4" w:space="0"/>
              <w:right w:val="single" w:color="auto" w:sz="4" w:space="0"/>
            </w:tcBorders>
            <w:noWrap w:val="0"/>
            <w:vAlign w:val="center"/>
          </w:tcPr>
          <w:p w14:paraId="772CE5BB">
            <w:pPr>
              <w:topLinePunct/>
              <w:adjustRightInd w:val="0"/>
              <w:snapToGrid w:val="0"/>
              <w:spacing w:line="560" w:lineRule="exact"/>
              <w:jc w:val="center"/>
              <w:rPr>
                <w:color w:val="auto"/>
                <w:szCs w:val="21"/>
                <w:highlight w:val="none"/>
              </w:rPr>
            </w:pPr>
          </w:p>
        </w:tc>
      </w:tr>
      <w:tr w14:paraId="774339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9"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3A18CC53">
            <w:pPr>
              <w:topLinePunct/>
              <w:adjustRightInd w:val="0"/>
              <w:snapToGrid w:val="0"/>
              <w:spacing w:line="560" w:lineRule="exact"/>
              <w:jc w:val="center"/>
              <w:rPr>
                <w:color w:val="auto"/>
                <w:szCs w:val="21"/>
                <w:highlight w:val="none"/>
              </w:rPr>
            </w:pPr>
            <w:r>
              <w:rPr>
                <w:color w:val="auto"/>
                <w:szCs w:val="21"/>
                <w:highlight w:val="none"/>
              </w:rPr>
              <w:t>账号</w:t>
            </w:r>
          </w:p>
        </w:tc>
        <w:tc>
          <w:tcPr>
            <w:tcW w:w="2132" w:type="dxa"/>
            <w:gridSpan w:val="2"/>
            <w:tcBorders>
              <w:top w:val="single" w:color="auto" w:sz="4" w:space="0"/>
              <w:left w:val="single" w:color="auto" w:sz="4" w:space="0"/>
              <w:bottom w:val="single" w:color="auto" w:sz="4" w:space="0"/>
              <w:right w:val="single" w:color="auto" w:sz="4" w:space="0"/>
            </w:tcBorders>
            <w:noWrap w:val="0"/>
            <w:vAlign w:val="center"/>
          </w:tcPr>
          <w:p w14:paraId="196F5874">
            <w:pPr>
              <w:topLinePunct/>
              <w:adjustRightInd w:val="0"/>
              <w:snapToGrid w:val="0"/>
              <w:spacing w:line="560" w:lineRule="exact"/>
              <w:jc w:val="center"/>
              <w:rPr>
                <w:color w:val="auto"/>
                <w:szCs w:val="21"/>
                <w:highlight w:val="none"/>
              </w:rPr>
            </w:pPr>
          </w:p>
        </w:tc>
        <w:tc>
          <w:tcPr>
            <w:tcW w:w="969" w:type="dxa"/>
            <w:vMerge w:val="continue"/>
            <w:tcBorders>
              <w:top w:val="single" w:color="auto" w:sz="4" w:space="0"/>
              <w:left w:val="single" w:color="auto" w:sz="4" w:space="0"/>
              <w:bottom w:val="single" w:color="auto" w:sz="4" w:space="0"/>
              <w:right w:val="single" w:color="auto" w:sz="4" w:space="0"/>
            </w:tcBorders>
            <w:noWrap w:val="0"/>
            <w:vAlign w:val="center"/>
          </w:tcPr>
          <w:p w14:paraId="301CC24C">
            <w:pPr>
              <w:topLinePunct/>
              <w:adjustRightInd w:val="0"/>
              <w:snapToGrid w:val="0"/>
              <w:spacing w:line="560" w:lineRule="exact"/>
              <w:jc w:val="center"/>
              <w:rPr>
                <w:color w:val="auto"/>
                <w:szCs w:val="21"/>
                <w:highlight w:val="none"/>
              </w:rPr>
            </w:pPr>
          </w:p>
        </w:tc>
        <w:tc>
          <w:tcPr>
            <w:tcW w:w="2651" w:type="dxa"/>
            <w:gridSpan w:val="4"/>
            <w:tcBorders>
              <w:top w:val="single" w:color="auto" w:sz="4" w:space="0"/>
              <w:left w:val="single" w:color="auto" w:sz="4" w:space="0"/>
              <w:bottom w:val="single" w:color="auto" w:sz="4" w:space="0"/>
              <w:right w:val="single" w:color="auto" w:sz="4" w:space="0"/>
            </w:tcBorders>
            <w:noWrap w:val="0"/>
            <w:vAlign w:val="center"/>
          </w:tcPr>
          <w:p w14:paraId="0BEB06C6">
            <w:pPr>
              <w:topLinePunct/>
              <w:adjustRightInd w:val="0"/>
              <w:snapToGrid w:val="0"/>
              <w:spacing w:line="560" w:lineRule="exact"/>
              <w:jc w:val="center"/>
              <w:rPr>
                <w:color w:val="auto"/>
                <w:highlight w:val="none"/>
              </w:rPr>
            </w:pPr>
            <w:r>
              <w:rPr>
                <w:color w:val="auto"/>
                <w:szCs w:val="21"/>
                <w:highlight w:val="none"/>
              </w:rPr>
              <w:t>技</w:t>
            </w:r>
            <w:r>
              <w:rPr>
                <w:rFonts w:hint="eastAsia"/>
                <w:color w:val="auto"/>
                <w:szCs w:val="21"/>
                <w:highlight w:val="none"/>
              </w:rPr>
              <w:t xml:space="preserve">  </w:t>
            </w:r>
            <w:r>
              <w:rPr>
                <w:color w:val="auto"/>
                <w:szCs w:val="21"/>
                <w:highlight w:val="none"/>
              </w:rPr>
              <w:t>工</w:t>
            </w:r>
          </w:p>
        </w:tc>
        <w:tc>
          <w:tcPr>
            <w:tcW w:w="2135" w:type="dxa"/>
            <w:gridSpan w:val="2"/>
            <w:tcBorders>
              <w:top w:val="single" w:color="auto" w:sz="4" w:space="0"/>
              <w:left w:val="single" w:color="auto" w:sz="4" w:space="0"/>
              <w:bottom w:val="single" w:color="auto" w:sz="4" w:space="0"/>
              <w:right w:val="single" w:color="auto" w:sz="4" w:space="0"/>
            </w:tcBorders>
            <w:noWrap w:val="0"/>
            <w:vAlign w:val="center"/>
          </w:tcPr>
          <w:p w14:paraId="015967A0">
            <w:pPr>
              <w:topLinePunct/>
              <w:adjustRightInd w:val="0"/>
              <w:snapToGrid w:val="0"/>
              <w:spacing w:line="560" w:lineRule="exact"/>
              <w:jc w:val="center"/>
              <w:rPr>
                <w:color w:val="auto"/>
                <w:szCs w:val="21"/>
                <w:highlight w:val="none"/>
              </w:rPr>
            </w:pPr>
          </w:p>
        </w:tc>
      </w:tr>
      <w:tr w14:paraId="3E87D2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89" w:hRule="atLeast"/>
          <w:jc w:val="center"/>
        </w:trPr>
        <w:tc>
          <w:tcPr>
            <w:tcW w:w="1993" w:type="dxa"/>
            <w:tcBorders>
              <w:top w:val="single" w:color="auto" w:sz="4" w:space="0"/>
              <w:left w:val="single" w:color="auto" w:sz="4" w:space="0"/>
              <w:right w:val="single" w:color="auto" w:sz="4" w:space="0"/>
            </w:tcBorders>
            <w:noWrap w:val="0"/>
            <w:vAlign w:val="center"/>
          </w:tcPr>
          <w:p w14:paraId="13A358A6">
            <w:pPr>
              <w:topLinePunct/>
              <w:adjustRightInd w:val="0"/>
              <w:snapToGrid w:val="0"/>
              <w:spacing w:line="560" w:lineRule="exact"/>
              <w:ind w:firstLine="210" w:firstLineChars="100"/>
              <w:jc w:val="center"/>
              <w:rPr>
                <w:color w:val="auto"/>
                <w:szCs w:val="21"/>
                <w:highlight w:val="none"/>
              </w:rPr>
            </w:pPr>
            <w:r>
              <w:rPr>
                <w:color w:val="auto"/>
                <w:szCs w:val="21"/>
                <w:highlight w:val="none"/>
              </w:rPr>
              <w:t>经营范围</w:t>
            </w:r>
          </w:p>
        </w:tc>
        <w:tc>
          <w:tcPr>
            <w:tcW w:w="7887" w:type="dxa"/>
            <w:gridSpan w:val="9"/>
            <w:tcBorders>
              <w:top w:val="single" w:color="auto" w:sz="4" w:space="0"/>
              <w:left w:val="single" w:color="auto" w:sz="4" w:space="0"/>
              <w:right w:val="single" w:color="auto" w:sz="4" w:space="0"/>
            </w:tcBorders>
            <w:noWrap w:val="0"/>
            <w:vAlign w:val="center"/>
          </w:tcPr>
          <w:p w14:paraId="7E46B82D">
            <w:pPr>
              <w:topLinePunct/>
              <w:adjustRightInd w:val="0"/>
              <w:snapToGrid w:val="0"/>
              <w:spacing w:line="560" w:lineRule="exact"/>
              <w:rPr>
                <w:color w:val="auto"/>
                <w:szCs w:val="21"/>
                <w:highlight w:val="none"/>
              </w:rPr>
            </w:pPr>
          </w:p>
        </w:tc>
      </w:tr>
      <w:tr w14:paraId="74C8E8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2"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4323D92D">
            <w:pPr>
              <w:topLinePunct/>
              <w:adjustRightInd w:val="0"/>
              <w:snapToGrid w:val="0"/>
              <w:spacing w:line="560" w:lineRule="exact"/>
              <w:jc w:val="center"/>
              <w:rPr>
                <w:color w:val="auto"/>
                <w:szCs w:val="21"/>
                <w:highlight w:val="none"/>
              </w:rPr>
            </w:pPr>
            <w:r>
              <w:rPr>
                <w:color w:val="auto"/>
                <w:szCs w:val="21"/>
                <w:highlight w:val="none"/>
              </w:rPr>
              <w:t>备注</w:t>
            </w:r>
          </w:p>
        </w:tc>
        <w:tc>
          <w:tcPr>
            <w:tcW w:w="7887" w:type="dxa"/>
            <w:gridSpan w:val="9"/>
            <w:tcBorders>
              <w:top w:val="single" w:color="auto" w:sz="4" w:space="0"/>
              <w:left w:val="single" w:color="auto" w:sz="4" w:space="0"/>
              <w:bottom w:val="single" w:color="auto" w:sz="4" w:space="0"/>
              <w:right w:val="single" w:color="auto" w:sz="4" w:space="0"/>
            </w:tcBorders>
            <w:noWrap w:val="0"/>
            <w:vAlign w:val="center"/>
          </w:tcPr>
          <w:p w14:paraId="1A88295A">
            <w:pPr>
              <w:topLinePunct/>
              <w:adjustRightInd w:val="0"/>
              <w:snapToGrid w:val="0"/>
              <w:spacing w:line="560" w:lineRule="exact"/>
              <w:jc w:val="center"/>
              <w:rPr>
                <w:color w:val="auto"/>
                <w:szCs w:val="21"/>
                <w:highlight w:val="none"/>
              </w:rPr>
            </w:pPr>
          </w:p>
        </w:tc>
      </w:tr>
    </w:tbl>
    <w:p w14:paraId="0CAC2E4F">
      <w:pPr>
        <w:pStyle w:val="4"/>
        <w:adjustRightInd w:val="0"/>
        <w:snapToGrid w:val="0"/>
        <w:spacing w:before="0" w:after="0" w:line="560" w:lineRule="exact"/>
        <w:jc w:val="center"/>
        <w:rPr>
          <w:rFonts w:hint="eastAsia"/>
          <w:color w:val="auto"/>
          <w:highlight w:val="none"/>
        </w:rPr>
      </w:pPr>
      <w:bookmarkStart w:id="1447" w:name="_Toc95223534"/>
      <w:r>
        <w:rPr>
          <w:color w:val="auto"/>
          <w:highlight w:val="none"/>
        </w:rPr>
        <w:t>（</w:t>
      </w:r>
      <w:r>
        <w:rPr>
          <w:rFonts w:hint="eastAsia"/>
          <w:color w:val="auto"/>
          <w:highlight w:val="none"/>
        </w:rPr>
        <w:t>2</w:t>
      </w:r>
      <w:r>
        <w:rPr>
          <w:color w:val="auto"/>
          <w:highlight w:val="none"/>
        </w:rPr>
        <w:t>）近年财务状况表</w:t>
      </w:r>
      <w:bookmarkEnd w:id="1447"/>
      <w:r>
        <w:rPr>
          <w:rFonts w:hint="eastAsia"/>
          <w:color w:val="auto"/>
          <w:highlight w:val="none"/>
          <w:lang w:eastAsia="zh-CN"/>
        </w:rPr>
        <w:t>（</w:t>
      </w:r>
      <w:r>
        <w:rPr>
          <w:rFonts w:hint="eastAsia"/>
          <w:color w:val="auto"/>
          <w:highlight w:val="none"/>
          <w:lang w:val="en-US" w:eastAsia="zh-CN"/>
        </w:rPr>
        <w:t>格式自拟）</w:t>
      </w:r>
    </w:p>
    <w:p w14:paraId="3BC5D670">
      <w:pPr>
        <w:pStyle w:val="4"/>
        <w:adjustRightInd w:val="0"/>
        <w:snapToGrid w:val="0"/>
        <w:spacing w:before="0" w:after="0" w:line="560" w:lineRule="exact"/>
        <w:jc w:val="center"/>
        <w:rPr>
          <w:rFonts w:eastAsia="黑体"/>
          <w:color w:val="auto"/>
          <w:sz w:val="23"/>
          <w:szCs w:val="23"/>
          <w:highlight w:val="none"/>
        </w:rPr>
      </w:pPr>
      <w:bookmarkStart w:id="1448" w:name="_Toc95223535"/>
      <w:r>
        <w:rPr>
          <w:color w:val="auto"/>
          <w:highlight w:val="none"/>
        </w:rPr>
        <w:t>（</w:t>
      </w:r>
      <w:r>
        <w:rPr>
          <w:rFonts w:hint="eastAsia"/>
          <w:color w:val="auto"/>
          <w:highlight w:val="none"/>
        </w:rPr>
        <w:t>3</w:t>
      </w:r>
      <w:r>
        <w:rPr>
          <w:color w:val="auto"/>
          <w:highlight w:val="none"/>
        </w:rPr>
        <w:t>）近年完成的类似项目情况表</w:t>
      </w:r>
      <w:bookmarkEnd w:id="1448"/>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6912"/>
      </w:tblGrid>
      <w:tr w14:paraId="74E3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2508" w:type="dxa"/>
            <w:noWrap w:val="0"/>
            <w:vAlign w:val="center"/>
          </w:tcPr>
          <w:p w14:paraId="388E4D03">
            <w:pPr>
              <w:topLinePunct/>
              <w:adjustRightInd w:val="0"/>
              <w:snapToGrid w:val="0"/>
              <w:spacing w:line="560" w:lineRule="exact"/>
              <w:jc w:val="center"/>
              <w:rPr>
                <w:color w:val="auto"/>
                <w:szCs w:val="21"/>
                <w:highlight w:val="none"/>
              </w:rPr>
            </w:pPr>
            <w:r>
              <w:rPr>
                <w:color w:val="auto"/>
                <w:szCs w:val="21"/>
                <w:highlight w:val="none"/>
              </w:rPr>
              <w:t>项目名</w:t>
            </w:r>
            <w:bookmarkStart w:id="1449" w:name="_Toc144974877"/>
            <w:bookmarkStart w:id="1450" w:name="_Toc506107342"/>
            <w:bookmarkStart w:id="1451" w:name="_Toc296602619"/>
            <w:bookmarkStart w:id="1452" w:name="_Toc247527849"/>
            <w:bookmarkStart w:id="1453" w:name="_Toc265953295"/>
            <w:bookmarkStart w:id="1454" w:name="_Toc324404890"/>
            <w:bookmarkStart w:id="1455" w:name="_Toc26734"/>
            <w:bookmarkStart w:id="1456" w:name="_Toc247514301"/>
            <w:bookmarkStart w:id="1457" w:name="_Toc152045809"/>
            <w:bookmarkStart w:id="1458" w:name="_Toc15058936"/>
            <w:bookmarkStart w:id="1459" w:name="_Toc152042598"/>
            <w:bookmarkStart w:id="1460" w:name="_Toc58229117"/>
            <w:bookmarkStart w:id="1461" w:name="_Toc60061576"/>
            <w:r>
              <w:rPr>
                <w:color w:val="auto"/>
                <w:szCs w:val="21"/>
                <w:highlight w:val="none"/>
              </w:rPr>
              <w:t>称</w:t>
            </w:r>
          </w:p>
        </w:tc>
        <w:tc>
          <w:tcPr>
            <w:tcW w:w="6912" w:type="dxa"/>
            <w:noWrap w:val="0"/>
            <w:vAlign w:val="top"/>
          </w:tcPr>
          <w:p w14:paraId="0B0F21E7">
            <w:pPr>
              <w:topLinePunct/>
              <w:adjustRightInd w:val="0"/>
              <w:snapToGrid w:val="0"/>
              <w:spacing w:line="560" w:lineRule="exact"/>
              <w:rPr>
                <w:color w:val="auto"/>
                <w:szCs w:val="21"/>
                <w:highlight w:val="none"/>
              </w:rPr>
            </w:pPr>
          </w:p>
        </w:tc>
      </w:tr>
      <w:tr w14:paraId="2813C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2508" w:type="dxa"/>
            <w:noWrap w:val="0"/>
            <w:vAlign w:val="center"/>
          </w:tcPr>
          <w:p w14:paraId="3C52E171">
            <w:pPr>
              <w:topLinePunct/>
              <w:adjustRightInd w:val="0"/>
              <w:snapToGrid w:val="0"/>
              <w:spacing w:line="560" w:lineRule="exact"/>
              <w:jc w:val="center"/>
              <w:rPr>
                <w:color w:val="auto"/>
                <w:szCs w:val="21"/>
                <w:highlight w:val="none"/>
              </w:rPr>
            </w:pPr>
            <w:r>
              <w:rPr>
                <w:color w:val="auto"/>
                <w:szCs w:val="21"/>
                <w:highlight w:val="none"/>
              </w:rPr>
              <w:t>项目所在地</w:t>
            </w:r>
          </w:p>
          <w:bookmarkEnd w:id="1449"/>
          <w:bookmarkEnd w:id="1450"/>
          <w:bookmarkEnd w:id="1451"/>
          <w:bookmarkEnd w:id="1452"/>
          <w:bookmarkEnd w:id="1453"/>
          <w:bookmarkEnd w:id="1454"/>
          <w:bookmarkEnd w:id="1455"/>
          <w:bookmarkEnd w:id="1456"/>
          <w:bookmarkEnd w:id="1457"/>
          <w:bookmarkEnd w:id="1458"/>
          <w:bookmarkEnd w:id="1459"/>
        </w:tc>
        <w:tc>
          <w:tcPr>
            <w:tcW w:w="6912" w:type="dxa"/>
            <w:noWrap w:val="0"/>
            <w:vAlign w:val="top"/>
          </w:tcPr>
          <w:p w14:paraId="384B9A6A">
            <w:pPr>
              <w:topLinePunct/>
              <w:adjustRightInd w:val="0"/>
              <w:snapToGrid w:val="0"/>
              <w:spacing w:line="560" w:lineRule="exact"/>
              <w:rPr>
                <w:color w:val="auto"/>
                <w:szCs w:val="21"/>
                <w:highlight w:val="none"/>
              </w:rPr>
            </w:pPr>
          </w:p>
        </w:tc>
      </w:tr>
      <w:tr w14:paraId="09BD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2508" w:type="dxa"/>
            <w:noWrap w:val="0"/>
            <w:vAlign w:val="center"/>
          </w:tcPr>
          <w:p w14:paraId="75718125">
            <w:pPr>
              <w:topLinePunct/>
              <w:adjustRightInd w:val="0"/>
              <w:snapToGrid w:val="0"/>
              <w:spacing w:line="560" w:lineRule="exact"/>
              <w:jc w:val="center"/>
              <w:rPr>
                <w:color w:val="auto"/>
                <w:szCs w:val="21"/>
                <w:highlight w:val="none"/>
              </w:rPr>
            </w:pPr>
            <w:r>
              <w:rPr>
                <w:color w:val="auto"/>
                <w:szCs w:val="21"/>
                <w:highlight w:val="none"/>
              </w:rPr>
              <w:t>发包人名称</w:t>
            </w:r>
          </w:p>
          <w:bookmarkEnd w:id="1460"/>
          <w:bookmarkEnd w:id="1461"/>
        </w:tc>
        <w:tc>
          <w:tcPr>
            <w:tcW w:w="6912" w:type="dxa"/>
            <w:noWrap w:val="0"/>
            <w:vAlign w:val="top"/>
          </w:tcPr>
          <w:p w14:paraId="6B2BA944">
            <w:pPr>
              <w:topLinePunct/>
              <w:adjustRightInd w:val="0"/>
              <w:snapToGrid w:val="0"/>
              <w:spacing w:line="560" w:lineRule="exact"/>
              <w:rPr>
                <w:color w:val="auto"/>
                <w:szCs w:val="21"/>
                <w:highlight w:val="none"/>
              </w:rPr>
            </w:pPr>
          </w:p>
        </w:tc>
        <w:bookmarkStart w:id="1462" w:name="_Toc296602620"/>
        <w:bookmarkStart w:id="1463" w:name="_Toc11124"/>
        <w:bookmarkStart w:id="1464" w:name="_Toc324404891"/>
        <w:bookmarkStart w:id="1465" w:name="_Toc247514302"/>
        <w:bookmarkStart w:id="1466" w:name="_Toc15058937"/>
        <w:bookmarkStart w:id="1467" w:name="_Toc247527850"/>
        <w:bookmarkStart w:id="1468" w:name="_Toc152045810"/>
        <w:bookmarkStart w:id="1469" w:name="_Toc265953296"/>
        <w:bookmarkStart w:id="1470" w:name="_Toc506107343"/>
        <w:bookmarkStart w:id="1471" w:name="_Toc144974878"/>
        <w:bookmarkStart w:id="1472" w:name="_Toc58229118"/>
        <w:bookmarkStart w:id="1473" w:name="_Toc152042599"/>
        <w:bookmarkStart w:id="1474" w:name="_Toc60061577"/>
      </w:tr>
      <w:tr w14:paraId="650B2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508" w:type="dxa"/>
            <w:noWrap w:val="0"/>
            <w:vAlign w:val="center"/>
          </w:tcPr>
          <w:p w14:paraId="3999F265">
            <w:pPr>
              <w:topLinePunct/>
              <w:adjustRightInd w:val="0"/>
              <w:snapToGrid w:val="0"/>
              <w:spacing w:line="560" w:lineRule="exact"/>
              <w:jc w:val="center"/>
              <w:rPr>
                <w:color w:val="auto"/>
                <w:szCs w:val="21"/>
                <w:highlight w:val="none"/>
              </w:rPr>
            </w:pPr>
            <w:r>
              <w:rPr>
                <w:color w:val="auto"/>
                <w:szCs w:val="21"/>
                <w:highlight w:val="none"/>
              </w:rPr>
              <w:t>发包人地址</w:t>
            </w:r>
          </w:p>
        </w:tc>
        <w:tc>
          <w:tcPr>
            <w:tcW w:w="6912" w:type="dxa"/>
            <w:noWrap w:val="0"/>
            <w:vAlign w:val="top"/>
          </w:tcPr>
          <w:p w14:paraId="24E42802">
            <w:pPr>
              <w:topLinePunct/>
              <w:adjustRightInd w:val="0"/>
              <w:snapToGrid w:val="0"/>
              <w:spacing w:line="560" w:lineRule="exact"/>
              <w:rPr>
                <w:color w:val="auto"/>
                <w:szCs w:val="21"/>
                <w:highlight w:val="none"/>
              </w:rPr>
            </w:pPr>
          </w:p>
        </w:tc>
      </w:tr>
      <w:tr w14:paraId="09333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2508" w:type="dxa"/>
            <w:noWrap w:val="0"/>
            <w:vAlign w:val="center"/>
          </w:tcPr>
          <w:p w14:paraId="6C6CC183">
            <w:pPr>
              <w:topLinePunct/>
              <w:adjustRightInd w:val="0"/>
              <w:snapToGrid w:val="0"/>
              <w:spacing w:line="560" w:lineRule="exact"/>
              <w:jc w:val="center"/>
              <w:rPr>
                <w:color w:val="auto"/>
                <w:szCs w:val="21"/>
                <w:highlight w:val="none"/>
              </w:rPr>
            </w:pPr>
            <w:r>
              <w:rPr>
                <w:color w:val="auto"/>
                <w:szCs w:val="21"/>
                <w:highlight w:val="none"/>
              </w:rPr>
              <w:t>发包人电话</w:t>
            </w:r>
          </w:p>
          <w:bookmarkEnd w:id="1462"/>
          <w:bookmarkEnd w:id="1463"/>
          <w:bookmarkEnd w:id="1464"/>
          <w:bookmarkEnd w:id="1465"/>
          <w:bookmarkEnd w:id="1466"/>
          <w:bookmarkEnd w:id="1467"/>
          <w:bookmarkEnd w:id="1468"/>
          <w:bookmarkEnd w:id="1469"/>
          <w:bookmarkEnd w:id="1470"/>
          <w:bookmarkEnd w:id="1471"/>
          <w:bookmarkEnd w:id="1472"/>
          <w:bookmarkEnd w:id="1473"/>
          <w:bookmarkEnd w:id="1474"/>
        </w:tc>
        <w:tc>
          <w:tcPr>
            <w:tcW w:w="6912" w:type="dxa"/>
            <w:noWrap w:val="0"/>
            <w:vAlign w:val="top"/>
          </w:tcPr>
          <w:p w14:paraId="0C84838E">
            <w:pPr>
              <w:topLinePunct/>
              <w:adjustRightInd w:val="0"/>
              <w:snapToGrid w:val="0"/>
              <w:spacing w:line="560" w:lineRule="exact"/>
              <w:rPr>
                <w:color w:val="auto"/>
                <w:szCs w:val="21"/>
                <w:highlight w:val="none"/>
              </w:rPr>
            </w:pPr>
          </w:p>
        </w:tc>
      </w:tr>
      <w:tr w14:paraId="12A4B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2508" w:type="dxa"/>
            <w:noWrap w:val="0"/>
            <w:vAlign w:val="center"/>
          </w:tcPr>
          <w:p w14:paraId="732D051D">
            <w:pPr>
              <w:topLinePunct/>
              <w:adjustRightInd w:val="0"/>
              <w:snapToGrid w:val="0"/>
              <w:spacing w:line="560" w:lineRule="exact"/>
              <w:jc w:val="center"/>
              <w:rPr>
                <w:color w:val="auto"/>
                <w:szCs w:val="21"/>
                <w:highlight w:val="none"/>
              </w:rPr>
            </w:pPr>
            <w:r>
              <w:rPr>
                <w:color w:val="auto"/>
                <w:szCs w:val="21"/>
                <w:highlight w:val="none"/>
              </w:rPr>
              <w:t>合同价格</w:t>
            </w:r>
          </w:p>
        </w:tc>
        <w:tc>
          <w:tcPr>
            <w:tcW w:w="6912" w:type="dxa"/>
            <w:noWrap w:val="0"/>
            <w:vAlign w:val="top"/>
          </w:tcPr>
          <w:p w14:paraId="5CC2B11E">
            <w:pPr>
              <w:topLinePunct/>
              <w:adjustRightInd w:val="0"/>
              <w:snapToGrid w:val="0"/>
              <w:spacing w:line="560" w:lineRule="exact"/>
              <w:rPr>
                <w:color w:val="auto"/>
                <w:szCs w:val="21"/>
                <w:highlight w:val="none"/>
              </w:rPr>
            </w:pPr>
          </w:p>
        </w:tc>
      </w:tr>
      <w:tr w14:paraId="73C29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2508" w:type="dxa"/>
            <w:noWrap w:val="0"/>
            <w:vAlign w:val="center"/>
          </w:tcPr>
          <w:p w14:paraId="42DF6247">
            <w:pPr>
              <w:topLinePunct/>
              <w:adjustRightInd w:val="0"/>
              <w:snapToGrid w:val="0"/>
              <w:spacing w:line="560" w:lineRule="exact"/>
              <w:jc w:val="center"/>
              <w:rPr>
                <w:color w:val="auto"/>
                <w:szCs w:val="21"/>
                <w:highlight w:val="none"/>
              </w:rPr>
            </w:pPr>
            <w:r>
              <w:rPr>
                <w:color w:val="auto"/>
                <w:szCs w:val="21"/>
                <w:highlight w:val="none"/>
              </w:rPr>
              <w:t>开工日期</w:t>
            </w:r>
          </w:p>
        </w:tc>
        <w:tc>
          <w:tcPr>
            <w:tcW w:w="6912" w:type="dxa"/>
            <w:noWrap w:val="0"/>
            <w:vAlign w:val="top"/>
          </w:tcPr>
          <w:p w14:paraId="37DE7561">
            <w:pPr>
              <w:topLinePunct/>
              <w:adjustRightInd w:val="0"/>
              <w:snapToGrid w:val="0"/>
              <w:spacing w:line="560" w:lineRule="exact"/>
              <w:rPr>
                <w:color w:val="auto"/>
                <w:szCs w:val="21"/>
                <w:highlight w:val="none"/>
              </w:rPr>
            </w:pPr>
          </w:p>
        </w:tc>
      </w:tr>
      <w:tr w14:paraId="0FCA1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2508" w:type="dxa"/>
            <w:noWrap w:val="0"/>
            <w:vAlign w:val="center"/>
          </w:tcPr>
          <w:p w14:paraId="2B6A548C">
            <w:pPr>
              <w:topLinePunct/>
              <w:adjustRightInd w:val="0"/>
              <w:snapToGrid w:val="0"/>
              <w:spacing w:line="560" w:lineRule="exact"/>
              <w:jc w:val="center"/>
              <w:rPr>
                <w:color w:val="auto"/>
                <w:szCs w:val="21"/>
                <w:highlight w:val="none"/>
              </w:rPr>
            </w:pPr>
            <w:r>
              <w:rPr>
                <w:rFonts w:hint="eastAsia"/>
                <w:color w:val="auto"/>
                <w:highlight w:val="none"/>
              </w:rPr>
              <w:t>竣工</w:t>
            </w:r>
            <w:r>
              <w:rPr>
                <w:color w:val="auto"/>
                <w:szCs w:val="21"/>
                <w:highlight w:val="none"/>
              </w:rPr>
              <w:t>日期</w:t>
            </w:r>
          </w:p>
        </w:tc>
        <w:tc>
          <w:tcPr>
            <w:tcW w:w="6912" w:type="dxa"/>
            <w:noWrap w:val="0"/>
            <w:vAlign w:val="top"/>
          </w:tcPr>
          <w:p w14:paraId="555C4D12">
            <w:pPr>
              <w:topLinePunct/>
              <w:adjustRightInd w:val="0"/>
              <w:snapToGrid w:val="0"/>
              <w:spacing w:line="560" w:lineRule="exact"/>
              <w:rPr>
                <w:color w:val="auto"/>
                <w:szCs w:val="21"/>
                <w:highlight w:val="none"/>
              </w:rPr>
            </w:pPr>
          </w:p>
        </w:tc>
      </w:tr>
      <w:tr w14:paraId="0CE6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2508" w:type="dxa"/>
            <w:noWrap w:val="0"/>
            <w:vAlign w:val="center"/>
          </w:tcPr>
          <w:p w14:paraId="79F8F4AF">
            <w:pPr>
              <w:topLinePunct/>
              <w:adjustRightInd w:val="0"/>
              <w:snapToGrid w:val="0"/>
              <w:spacing w:line="560" w:lineRule="exact"/>
              <w:jc w:val="center"/>
              <w:rPr>
                <w:color w:val="auto"/>
                <w:szCs w:val="21"/>
                <w:highlight w:val="none"/>
              </w:rPr>
            </w:pPr>
            <w:r>
              <w:rPr>
                <w:color w:val="auto"/>
                <w:szCs w:val="21"/>
                <w:highlight w:val="none"/>
              </w:rPr>
              <w:t>承担的工作</w:t>
            </w:r>
          </w:p>
        </w:tc>
        <w:tc>
          <w:tcPr>
            <w:tcW w:w="6912" w:type="dxa"/>
            <w:noWrap w:val="0"/>
            <w:vAlign w:val="top"/>
          </w:tcPr>
          <w:p w14:paraId="6AC2F404">
            <w:pPr>
              <w:topLinePunct/>
              <w:adjustRightInd w:val="0"/>
              <w:snapToGrid w:val="0"/>
              <w:spacing w:line="560" w:lineRule="exact"/>
              <w:rPr>
                <w:color w:val="auto"/>
                <w:szCs w:val="21"/>
                <w:highlight w:val="none"/>
              </w:rPr>
            </w:pPr>
          </w:p>
        </w:tc>
      </w:tr>
      <w:tr w14:paraId="2394E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2508" w:type="dxa"/>
            <w:noWrap w:val="0"/>
            <w:vAlign w:val="center"/>
          </w:tcPr>
          <w:p w14:paraId="1A4289DF">
            <w:pPr>
              <w:topLinePunct/>
              <w:adjustRightInd w:val="0"/>
              <w:snapToGrid w:val="0"/>
              <w:spacing w:line="560" w:lineRule="exact"/>
              <w:jc w:val="center"/>
              <w:rPr>
                <w:color w:val="auto"/>
                <w:szCs w:val="21"/>
                <w:highlight w:val="none"/>
              </w:rPr>
            </w:pPr>
            <w:r>
              <w:rPr>
                <w:color w:val="auto"/>
                <w:szCs w:val="21"/>
                <w:highlight w:val="none"/>
              </w:rPr>
              <w:t>工程质量</w:t>
            </w:r>
          </w:p>
        </w:tc>
        <w:tc>
          <w:tcPr>
            <w:tcW w:w="6912" w:type="dxa"/>
            <w:noWrap w:val="0"/>
            <w:vAlign w:val="top"/>
          </w:tcPr>
          <w:p w14:paraId="0166C508">
            <w:pPr>
              <w:topLinePunct/>
              <w:adjustRightInd w:val="0"/>
              <w:snapToGrid w:val="0"/>
              <w:spacing w:line="560" w:lineRule="exact"/>
              <w:rPr>
                <w:color w:val="auto"/>
                <w:szCs w:val="21"/>
                <w:highlight w:val="none"/>
              </w:rPr>
            </w:pPr>
          </w:p>
        </w:tc>
      </w:tr>
      <w:tr w14:paraId="48DFD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2508" w:type="dxa"/>
            <w:noWrap w:val="0"/>
            <w:vAlign w:val="center"/>
          </w:tcPr>
          <w:p w14:paraId="1F50EC69">
            <w:pPr>
              <w:topLinePunct/>
              <w:adjustRightInd w:val="0"/>
              <w:snapToGrid w:val="0"/>
              <w:spacing w:line="560" w:lineRule="exact"/>
              <w:jc w:val="center"/>
              <w:rPr>
                <w:color w:val="auto"/>
                <w:szCs w:val="21"/>
                <w:highlight w:val="none"/>
              </w:rPr>
            </w:pPr>
            <w:r>
              <w:rPr>
                <w:color w:val="auto"/>
                <w:szCs w:val="21"/>
                <w:highlight w:val="none"/>
              </w:rPr>
              <w:t>项目经理（建造师）</w:t>
            </w:r>
          </w:p>
        </w:tc>
        <w:tc>
          <w:tcPr>
            <w:tcW w:w="6912" w:type="dxa"/>
            <w:noWrap w:val="0"/>
            <w:vAlign w:val="top"/>
          </w:tcPr>
          <w:p w14:paraId="54BC9EC3">
            <w:pPr>
              <w:topLinePunct/>
              <w:adjustRightInd w:val="0"/>
              <w:snapToGrid w:val="0"/>
              <w:spacing w:line="560" w:lineRule="exact"/>
              <w:rPr>
                <w:color w:val="auto"/>
                <w:szCs w:val="21"/>
                <w:highlight w:val="none"/>
              </w:rPr>
            </w:pPr>
          </w:p>
        </w:tc>
      </w:tr>
      <w:tr w14:paraId="7FDDF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2508" w:type="dxa"/>
            <w:noWrap w:val="0"/>
            <w:vAlign w:val="center"/>
          </w:tcPr>
          <w:p w14:paraId="652BD236">
            <w:pPr>
              <w:topLinePunct/>
              <w:adjustRightInd w:val="0"/>
              <w:snapToGrid w:val="0"/>
              <w:spacing w:line="560" w:lineRule="exact"/>
              <w:jc w:val="center"/>
              <w:rPr>
                <w:color w:val="auto"/>
                <w:szCs w:val="21"/>
                <w:highlight w:val="none"/>
              </w:rPr>
            </w:pPr>
            <w:r>
              <w:rPr>
                <w:color w:val="auto"/>
                <w:szCs w:val="21"/>
                <w:highlight w:val="none"/>
              </w:rPr>
              <w:t>技术负责人</w:t>
            </w:r>
          </w:p>
        </w:tc>
        <w:tc>
          <w:tcPr>
            <w:tcW w:w="6912" w:type="dxa"/>
            <w:noWrap w:val="0"/>
            <w:vAlign w:val="top"/>
          </w:tcPr>
          <w:p w14:paraId="2B515BF4">
            <w:pPr>
              <w:topLinePunct/>
              <w:adjustRightInd w:val="0"/>
              <w:snapToGrid w:val="0"/>
              <w:spacing w:line="560" w:lineRule="exact"/>
              <w:rPr>
                <w:color w:val="auto"/>
                <w:szCs w:val="21"/>
                <w:highlight w:val="none"/>
              </w:rPr>
            </w:pPr>
          </w:p>
        </w:tc>
      </w:tr>
      <w:tr w14:paraId="7E0D8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2508" w:type="dxa"/>
            <w:noWrap w:val="0"/>
            <w:vAlign w:val="center"/>
          </w:tcPr>
          <w:p w14:paraId="1413A741">
            <w:pPr>
              <w:topLinePunct/>
              <w:adjustRightInd w:val="0"/>
              <w:snapToGrid w:val="0"/>
              <w:spacing w:line="560" w:lineRule="exact"/>
              <w:jc w:val="center"/>
              <w:rPr>
                <w:color w:val="auto"/>
                <w:szCs w:val="21"/>
                <w:highlight w:val="none"/>
              </w:rPr>
            </w:pPr>
            <w:r>
              <w:rPr>
                <w:color w:val="auto"/>
                <w:szCs w:val="21"/>
                <w:highlight w:val="none"/>
              </w:rPr>
              <w:t>项目描述</w:t>
            </w:r>
          </w:p>
        </w:tc>
        <w:tc>
          <w:tcPr>
            <w:tcW w:w="6912" w:type="dxa"/>
            <w:noWrap w:val="0"/>
            <w:vAlign w:val="top"/>
          </w:tcPr>
          <w:p w14:paraId="014A5C57">
            <w:pPr>
              <w:topLinePunct/>
              <w:adjustRightInd w:val="0"/>
              <w:snapToGrid w:val="0"/>
              <w:spacing w:line="560" w:lineRule="exact"/>
              <w:rPr>
                <w:color w:val="auto"/>
                <w:szCs w:val="21"/>
                <w:highlight w:val="none"/>
              </w:rPr>
            </w:pPr>
          </w:p>
          <w:p w14:paraId="15D626C0">
            <w:pPr>
              <w:topLinePunct/>
              <w:adjustRightInd w:val="0"/>
              <w:snapToGrid w:val="0"/>
              <w:spacing w:line="560" w:lineRule="exact"/>
              <w:rPr>
                <w:color w:val="auto"/>
                <w:szCs w:val="21"/>
                <w:highlight w:val="none"/>
              </w:rPr>
            </w:pPr>
          </w:p>
          <w:p w14:paraId="2C4675BF">
            <w:pPr>
              <w:topLinePunct/>
              <w:adjustRightInd w:val="0"/>
              <w:snapToGrid w:val="0"/>
              <w:spacing w:line="560" w:lineRule="exact"/>
              <w:rPr>
                <w:rFonts w:hint="eastAsia"/>
                <w:color w:val="auto"/>
                <w:szCs w:val="21"/>
                <w:highlight w:val="none"/>
              </w:rPr>
            </w:pPr>
          </w:p>
        </w:tc>
      </w:tr>
      <w:tr w14:paraId="7A3B2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2508" w:type="dxa"/>
            <w:noWrap w:val="0"/>
            <w:vAlign w:val="center"/>
          </w:tcPr>
          <w:p w14:paraId="6A1CFD95">
            <w:pPr>
              <w:topLinePunct/>
              <w:adjustRightInd w:val="0"/>
              <w:snapToGrid w:val="0"/>
              <w:spacing w:line="560" w:lineRule="exact"/>
              <w:jc w:val="center"/>
              <w:rPr>
                <w:color w:val="auto"/>
                <w:szCs w:val="21"/>
                <w:highlight w:val="none"/>
              </w:rPr>
            </w:pPr>
            <w:r>
              <w:rPr>
                <w:color w:val="auto"/>
                <w:szCs w:val="21"/>
                <w:highlight w:val="none"/>
              </w:rPr>
              <w:t>备注</w:t>
            </w:r>
          </w:p>
        </w:tc>
        <w:tc>
          <w:tcPr>
            <w:tcW w:w="6912" w:type="dxa"/>
            <w:noWrap w:val="0"/>
            <w:vAlign w:val="top"/>
          </w:tcPr>
          <w:p w14:paraId="35D7C585">
            <w:pPr>
              <w:topLinePunct/>
              <w:adjustRightInd w:val="0"/>
              <w:snapToGrid w:val="0"/>
              <w:spacing w:line="560" w:lineRule="exact"/>
              <w:rPr>
                <w:color w:val="auto"/>
                <w:szCs w:val="21"/>
                <w:highlight w:val="none"/>
              </w:rPr>
            </w:pPr>
          </w:p>
        </w:tc>
      </w:tr>
    </w:tbl>
    <w:p w14:paraId="2EF5D4C1">
      <w:pPr>
        <w:pStyle w:val="4"/>
        <w:adjustRightInd w:val="0"/>
        <w:snapToGrid w:val="0"/>
        <w:spacing w:before="0" w:after="0" w:line="560" w:lineRule="exact"/>
        <w:jc w:val="center"/>
        <w:rPr>
          <w:color w:val="auto"/>
          <w:highlight w:val="none"/>
        </w:rPr>
      </w:pPr>
      <w:bookmarkStart w:id="1475" w:name="_Toc95223536"/>
      <w:r>
        <w:rPr>
          <w:color w:val="auto"/>
          <w:highlight w:val="none"/>
        </w:rPr>
        <w:t>（</w:t>
      </w:r>
      <w:r>
        <w:rPr>
          <w:rFonts w:hint="eastAsia"/>
          <w:color w:val="auto"/>
          <w:highlight w:val="none"/>
        </w:rPr>
        <w:t>4</w:t>
      </w:r>
      <w:r>
        <w:rPr>
          <w:color w:val="auto"/>
          <w:highlight w:val="none"/>
        </w:rPr>
        <w:t>）正在</w:t>
      </w:r>
      <w:r>
        <w:rPr>
          <w:rFonts w:hint="eastAsia"/>
          <w:color w:val="auto"/>
          <w:highlight w:val="none"/>
        </w:rPr>
        <w:t>实施</w:t>
      </w:r>
      <w:r>
        <w:rPr>
          <w:color w:val="auto"/>
          <w:highlight w:val="none"/>
        </w:rPr>
        <w:t>的和新承接的项目情况表</w:t>
      </w:r>
      <w:bookmarkEnd w:id="1475"/>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2"/>
        <w:gridCol w:w="7408"/>
      </w:tblGrid>
      <w:tr w14:paraId="09375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2452" w:type="dxa"/>
            <w:noWrap w:val="0"/>
            <w:vAlign w:val="center"/>
          </w:tcPr>
          <w:p w14:paraId="35366CCF">
            <w:pPr>
              <w:topLinePunct/>
              <w:adjustRightInd w:val="0"/>
              <w:snapToGrid w:val="0"/>
              <w:spacing w:line="560" w:lineRule="exact"/>
              <w:jc w:val="center"/>
              <w:rPr>
                <w:color w:val="auto"/>
                <w:szCs w:val="21"/>
                <w:highlight w:val="none"/>
              </w:rPr>
            </w:pPr>
            <w:r>
              <w:rPr>
                <w:color w:val="auto"/>
                <w:szCs w:val="21"/>
                <w:highlight w:val="none"/>
              </w:rPr>
              <w:t>项目名称</w:t>
            </w:r>
          </w:p>
        </w:tc>
        <w:tc>
          <w:tcPr>
            <w:tcW w:w="7408" w:type="dxa"/>
            <w:noWrap w:val="0"/>
            <w:vAlign w:val="top"/>
          </w:tcPr>
          <w:p w14:paraId="3EF95162">
            <w:pPr>
              <w:topLinePunct/>
              <w:adjustRightInd w:val="0"/>
              <w:snapToGrid w:val="0"/>
              <w:spacing w:line="560" w:lineRule="exact"/>
              <w:rPr>
                <w:color w:val="auto"/>
                <w:szCs w:val="21"/>
                <w:highlight w:val="none"/>
              </w:rPr>
            </w:pPr>
          </w:p>
        </w:tc>
      </w:tr>
      <w:tr w14:paraId="483FB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452" w:type="dxa"/>
            <w:noWrap w:val="0"/>
            <w:vAlign w:val="center"/>
          </w:tcPr>
          <w:p w14:paraId="34130D8D">
            <w:pPr>
              <w:topLinePunct/>
              <w:adjustRightInd w:val="0"/>
              <w:snapToGrid w:val="0"/>
              <w:spacing w:line="560" w:lineRule="exact"/>
              <w:jc w:val="center"/>
              <w:rPr>
                <w:color w:val="auto"/>
                <w:szCs w:val="21"/>
                <w:highlight w:val="none"/>
              </w:rPr>
            </w:pPr>
            <w:r>
              <w:rPr>
                <w:color w:val="auto"/>
                <w:szCs w:val="21"/>
                <w:highlight w:val="none"/>
              </w:rPr>
              <w:t>项目所在地</w:t>
            </w:r>
          </w:p>
        </w:tc>
        <w:tc>
          <w:tcPr>
            <w:tcW w:w="7408" w:type="dxa"/>
            <w:noWrap w:val="0"/>
            <w:vAlign w:val="top"/>
          </w:tcPr>
          <w:p w14:paraId="0B993820">
            <w:pPr>
              <w:topLinePunct/>
              <w:adjustRightInd w:val="0"/>
              <w:snapToGrid w:val="0"/>
              <w:spacing w:line="560" w:lineRule="exact"/>
              <w:rPr>
                <w:color w:val="auto"/>
                <w:szCs w:val="21"/>
                <w:highlight w:val="none"/>
              </w:rPr>
            </w:pPr>
          </w:p>
        </w:tc>
      </w:tr>
      <w:tr w14:paraId="6F391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2452" w:type="dxa"/>
            <w:noWrap w:val="0"/>
            <w:vAlign w:val="center"/>
          </w:tcPr>
          <w:p w14:paraId="7D65560A">
            <w:pPr>
              <w:topLinePunct/>
              <w:adjustRightInd w:val="0"/>
              <w:snapToGrid w:val="0"/>
              <w:spacing w:line="560" w:lineRule="exact"/>
              <w:jc w:val="center"/>
              <w:rPr>
                <w:color w:val="auto"/>
                <w:szCs w:val="21"/>
                <w:highlight w:val="none"/>
              </w:rPr>
            </w:pPr>
            <w:r>
              <w:rPr>
                <w:color w:val="auto"/>
                <w:szCs w:val="21"/>
                <w:highlight w:val="none"/>
              </w:rPr>
              <w:t>发包人名</w:t>
            </w:r>
            <w:bookmarkStart w:id="1476" w:name="_Toc152045811"/>
            <w:bookmarkStart w:id="1477" w:name="_Toc506107344"/>
            <w:bookmarkStart w:id="1478" w:name="_Toc60061578"/>
            <w:bookmarkStart w:id="1479" w:name="_Toc144974879"/>
            <w:bookmarkStart w:id="1480" w:name="_Toc247527851"/>
            <w:bookmarkStart w:id="1481" w:name="_Toc58229119"/>
            <w:bookmarkStart w:id="1482" w:name="_Toc265953297"/>
            <w:bookmarkStart w:id="1483" w:name="_Toc324404892"/>
            <w:bookmarkStart w:id="1484" w:name="_Toc247514303"/>
            <w:bookmarkStart w:id="1485" w:name="_Toc296602621"/>
            <w:bookmarkStart w:id="1486" w:name="_Toc152042600"/>
            <w:bookmarkStart w:id="1487" w:name="_Toc15058938"/>
            <w:bookmarkStart w:id="1488" w:name="_Toc30815"/>
            <w:r>
              <w:rPr>
                <w:color w:val="auto"/>
                <w:szCs w:val="21"/>
                <w:highlight w:val="none"/>
              </w:rPr>
              <w:t>称</w:t>
            </w:r>
          </w:p>
        </w:tc>
        <w:tc>
          <w:tcPr>
            <w:tcW w:w="7408" w:type="dxa"/>
            <w:noWrap w:val="0"/>
            <w:vAlign w:val="top"/>
          </w:tcPr>
          <w:p w14:paraId="3EC9C8DD">
            <w:pPr>
              <w:topLinePunct/>
              <w:adjustRightInd w:val="0"/>
              <w:snapToGrid w:val="0"/>
              <w:spacing w:line="560" w:lineRule="exact"/>
              <w:rPr>
                <w:color w:val="auto"/>
                <w:szCs w:val="21"/>
                <w:highlight w:val="none"/>
              </w:rPr>
            </w:pPr>
          </w:p>
        </w:tc>
      </w:tr>
      <w:tr w14:paraId="7CB9E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2452" w:type="dxa"/>
            <w:noWrap w:val="0"/>
            <w:vAlign w:val="center"/>
          </w:tcPr>
          <w:p w14:paraId="0D023FEB">
            <w:pPr>
              <w:topLinePunct/>
              <w:adjustRightInd w:val="0"/>
              <w:snapToGrid w:val="0"/>
              <w:spacing w:line="560" w:lineRule="exact"/>
              <w:jc w:val="center"/>
              <w:rPr>
                <w:color w:val="auto"/>
                <w:szCs w:val="21"/>
                <w:highlight w:val="none"/>
              </w:rPr>
            </w:pPr>
            <w:r>
              <w:rPr>
                <w:color w:val="auto"/>
                <w:szCs w:val="21"/>
                <w:highlight w:val="none"/>
              </w:rPr>
              <w:t>发包人地址</w:t>
            </w:r>
          </w:p>
        </w:tc>
        <w:tc>
          <w:tcPr>
            <w:tcW w:w="7408" w:type="dxa"/>
            <w:noWrap w:val="0"/>
            <w:vAlign w:val="top"/>
          </w:tcPr>
          <w:p w14:paraId="062B0FFC">
            <w:pPr>
              <w:topLinePunct/>
              <w:adjustRightInd w:val="0"/>
              <w:snapToGrid w:val="0"/>
              <w:spacing w:line="560" w:lineRule="exact"/>
              <w:rPr>
                <w:color w:val="auto"/>
                <w:szCs w:val="21"/>
                <w:highlight w:val="none"/>
              </w:rPr>
            </w:pPr>
          </w:p>
        </w:tc>
      </w:tr>
      <w:tr w14:paraId="2CA0B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2452" w:type="dxa"/>
            <w:noWrap w:val="0"/>
            <w:vAlign w:val="center"/>
          </w:tcPr>
          <w:p w14:paraId="4EEA3A9E">
            <w:pPr>
              <w:topLinePunct/>
              <w:adjustRightInd w:val="0"/>
              <w:snapToGrid w:val="0"/>
              <w:spacing w:line="560" w:lineRule="exact"/>
              <w:jc w:val="center"/>
              <w:rPr>
                <w:color w:val="auto"/>
                <w:szCs w:val="21"/>
                <w:highlight w:val="none"/>
              </w:rPr>
            </w:pPr>
            <w:r>
              <w:rPr>
                <w:color w:val="auto"/>
                <w:szCs w:val="21"/>
                <w:highlight w:val="none"/>
              </w:rPr>
              <w:t>发包人电话</w:t>
            </w:r>
          </w:p>
          <w:bookmarkEnd w:id="1476"/>
          <w:bookmarkEnd w:id="1477"/>
          <w:bookmarkEnd w:id="1478"/>
          <w:bookmarkEnd w:id="1479"/>
          <w:bookmarkEnd w:id="1480"/>
          <w:bookmarkEnd w:id="1481"/>
          <w:bookmarkEnd w:id="1482"/>
          <w:bookmarkEnd w:id="1483"/>
          <w:bookmarkEnd w:id="1484"/>
          <w:bookmarkEnd w:id="1485"/>
          <w:bookmarkEnd w:id="1486"/>
          <w:bookmarkEnd w:id="1487"/>
          <w:bookmarkEnd w:id="1488"/>
        </w:tc>
        <w:tc>
          <w:tcPr>
            <w:tcW w:w="7408" w:type="dxa"/>
            <w:noWrap w:val="0"/>
            <w:vAlign w:val="top"/>
          </w:tcPr>
          <w:p w14:paraId="5C95A7E2">
            <w:pPr>
              <w:topLinePunct/>
              <w:adjustRightInd w:val="0"/>
              <w:snapToGrid w:val="0"/>
              <w:spacing w:line="560" w:lineRule="exact"/>
              <w:rPr>
                <w:color w:val="auto"/>
                <w:szCs w:val="21"/>
                <w:highlight w:val="none"/>
              </w:rPr>
            </w:pPr>
          </w:p>
        </w:tc>
      </w:tr>
      <w:tr w14:paraId="1415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452" w:type="dxa"/>
            <w:noWrap w:val="0"/>
            <w:vAlign w:val="center"/>
          </w:tcPr>
          <w:p w14:paraId="436F856E">
            <w:pPr>
              <w:topLinePunct/>
              <w:adjustRightInd w:val="0"/>
              <w:snapToGrid w:val="0"/>
              <w:spacing w:line="560" w:lineRule="exact"/>
              <w:jc w:val="center"/>
              <w:rPr>
                <w:color w:val="auto"/>
                <w:szCs w:val="21"/>
                <w:highlight w:val="none"/>
              </w:rPr>
            </w:pPr>
            <w:r>
              <w:rPr>
                <w:color w:val="auto"/>
                <w:szCs w:val="21"/>
                <w:highlight w:val="none"/>
              </w:rPr>
              <w:t>签约合同价</w:t>
            </w:r>
          </w:p>
        </w:tc>
        <w:tc>
          <w:tcPr>
            <w:tcW w:w="7408" w:type="dxa"/>
            <w:noWrap w:val="0"/>
            <w:vAlign w:val="top"/>
          </w:tcPr>
          <w:p w14:paraId="25D6A171">
            <w:pPr>
              <w:topLinePunct/>
              <w:adjustRightInd w:val="0"/>
              <w:snapToGrid w:val="0"/>
              <w:spacing w:line="560" w:lineRule="exact"/>
              <w:rPr>
                <w:color w:val="auto"/>
                <w:szCs w:val="21"/>
                <w:highlight w:val="none"/>
              </w:rPr>
            </w:pPr>
          </w:p>
        </w:tc>
      </w:tr>
      <w:tr w14:paraId="138A4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2452" w:type="dxa"/>
            <w:noWrap w:val="0"/>
            <w:vAlign w:val="center"/>
          </w:tcPr>
          <w:p w14:paraId="455CBCDC">
            <w:pPr>
              <w:topLinePunct/>
              <w:adjustRightInd w:val="0"/>
              <w:snapToGrid w:val="0"/>
              <w:spacing w:line="560" w:lineRule="exact"/>
              <w:jc w:val="center"/>
              <w:rPr>
                <w:color w:val="auto"/>
                <w:szCs w:val="21"/>
                <w:highlight w:val="none"/>
              </w:rPr>
            </w:pPr>
            <w:r>
              <w:rPr>
                <w:color w:val="auto"/>
                <w:szCs w:val="21"/>
                <w:highlight w:val="none"/>
              </w:rPr>
              <w:t>开工日期</w:t>
            </w:r>
          </w:p>
        </w:tc>
        <w:tc>
          <w:tcPr>
            <w:tcW w:w="7408" w:type="dxa"/>
            <w:noWrap w:val="0"/>
            <w:vAlign w:val="top"/>
          </w:tcPr>
          <w:p w14:paraId="0E51C639">
            <w:pPr>
              <w:topLinePunct/>
              <w:adjustRightInd w:val="0"/>
              <w:snapToGrid w:val="0"/>
              <w:spacing w:line="560" w:lineRule="exact"/>
              <w:rPr>
                <w:color w:val="auto"/>
                <w:szCs w:val="21"/>
                <w:highlight w:val="none"/>
              </w:rPr>
            </w:pPr>
          </w:p>
        </w:tc>
      </w:tr>
      <w:tr w14:paraId="3A70B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2452" w:type="dxa"/>
            <w:noWrap w:val="0"/>
            <w:vAlign w:val="center"/>
          </w:tcPr>
          <w:p w14:paraId="6B85914A">
            <w:pPr>
              <w:topLinePunct/>
              <w:adjustRightInd w:val="0"/>
              <w:snapToGrid w:val="0"/>
              <w:spacing w:line="560" w:lineRule="exact"/>
              <w:jc w:val="center"/>
              <w:rPr>
                <w:color w:val="auto"/>
                <w:szCs w:val="21"/>
                <w:highlight w:val="none"/>
              </w:rPr>
            </w:pPr>
            <w:r>
              <w:rPr>
                <w:color w:val="auto"/>
                <w:szCs w:val="21"/>
                <w:highlight w:val="none"/>
              </w:rPr>
              <w:t>计划</w:t>
            </w:r>
            <w:r>
              <w:rPr>
                <w:rFonts w:hint="eastAsia"/>
                <w:color w:val="auto"/>
                <w:highlight w:val="none"/>
              </w:rPr>
              <w:t>竣工</w:t>
            </w:r>
            <w:r>
              <w:rPr>
                <w:color w:val="auto"/>
                <w:szCs w:val="21"/>
                <w:highlight w:val="none"/>
              </w:rPr>
              <w:t>日期</w:t>
            </w:r>
          </w:p>
        </w:tc>
        <w:tc>
          <w:tcPr>
            <w:tcW w:w="7408" w:type="dxa"/>
            <w:noWrap w:val="0"/>
            <w:vAlign w:val="top"/>
          </w:tcPr>
          <w:p w14:paraId="040A3221">
            <w:pPr>
              <w:topLinePunct/>
              <w:adjustRightInd w:val="0"/>
              <w:snapToGrid w:val="0"/>
              <w:spacing w:line="560" w:lineRule="exact"/>
              <w:rPr>
                <w:color w:val="auto"/>
                <w:szCs w:val="21"/>
                <w:highlight w:val="none"/>
              </w:rPr>
            </w:pPr>
          </w:p>
        </w:tc>
      </w:tr>
      <w:tr w14:paraId="21D51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2452" w:type="dxa"/>
            <w:noWrap w:val="0"/>
            <w:vAlign w:val="center"/>
          </w:tcPr>
          <w:p w14:paraId="19951684">
            <w:pPr>
              <w:topLinePunct/>
              <w:adjustRightInd w:val="0"/>
              <w:snapToGrid w:val="0"/>
              <w:spacing w:line="560" w:lineRule="exact"/>
              <w:jc w:val="center"/>
              <w:rPr>
                <w:color w:val="auto"/>
                <w:szCs w:val="21"/>
                <w:highlight w:val="none"/>
              </w:rPr>
            </w:pPr>
            <w:r>
              <w:rPr>
                <w:color w:val="auto"/>
                <w:szCs w:val="21"/>
                <w:highlight w:val="none"/>
              </w:rPr>
              <w:t>承担的工作</w:t>
            </w:r>
          </w:p>
        </w:tc>
        <w:tc>
          <w:tcPr>
            <w:tcW w:w="7408" w:type="dxa"/>
            <w:noWrap w:val="0"/>
            <w:vAlign w:val="top"/>
          </w:tcPr>
          <w:p w14:paraId="105CA6FD">
            <w:pPr>
              <w:topLinePunct/>
              <w:adjustRightInd w:val="0"/>
              <w:snapToGrid w:val="0"/>
              <w:spacing w:line="560" w:lineRule="exact"/>
              <w:rPr>
                <w:color w:val="auto"/>
                <w:szCs w:val="21"/>
                <w:highlight w:val="none"/>
              </w:rPr>
            </w:pPr>
          </w:p>
        </w:tc>
      </w:tr>
      <w:tr w14:paraId="410CE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2452" w:type="dxa"/>
            <w:noWrap w:val="0"/>
            <w:vAlign w:val="center"/>
          </w:tcPr>
          <w:p w14:paraId="3985E396">
            <w:pPr>
              <w:topLinePunct/>
              <w:adjustRightInd w:val="0"/>
              <w:snapToGrid w:val="0"/>
              <w:spacing w:line="560" w:lineRule="exact"/>
              <w:jc w:val="center"/>
              <w:rPr>
                <w:color w:val="auto"/>
                <w:szCs w:val="21"/>
                <w:highlight w:val="none"/>
              </w:rPr>
            </w:pPr>
            <w:r>
              <w:rPr>
                <w:color w:val="auto"/>
                <w:szCs w:val="21"/>
                <w:highlight w:val="none"/>
              </w:rPr>
              <w:t>工程质量</w:t>
            </w:r>
          </w:p>
        </w:tc>
        <w:tc>
          <w:tcPr>
            <w:tcW w:w="7408" w:type="dxa"/>
            <w:noWrap w:val="0"/>
            <w:vAlign w:val="top"/>
          </w:tcPr>
          <w:p w14:paraId="75737887">
            <w:pPr>
              <w:topLinePunct/>
              <w:adjustRightInd w:val="0"/>
              <w:snapToGrid w:val="0"/>
              <w:spacing w:line="560" w:lineRule="exact"/>
              <w:rPr>
                <w:color w:val="auto"/>
                <w:szCs w:val="21"/>
                <w:highlight w:val="none"/>
              </w:rPr>
            </w:pPr>
          </w:p>
        </w:tc>
      </w:tr>
      <w:tr w14:paraId="18B27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452" w:type="dxa"/>
            <w:noWrap w:val="0"/>
            <w:vAlign w:val="center"/>
          </w:tcPr>
          <w:p w14:paraId="41457898">
            <w:pPr>
              <w:topLinePunct/>
              <w:adjustRightInd w:val="0"/>
              <w:snapToGrid w:val="0"/>
              <w:spacing w:line="560" w:lineRule="exact"/>
              <w:jc w:val="center"/>
              <w:rPr>
                <w:color w:val="auto"/>
                <w:szCs w:val="21"/>
                <w:highlight w:val="none"/>
              </w:rPr>
            </w:pPr>
            <w:r>
              <w:rPr>
                <w:color w:val="auto"/>
                <w:szCs w:val="21"/>
                <w:highlight w:val="none"/>
              </w:rPr>
              <w:t>项目经理（建造师）</w:t>
            </w:r>
          </w:p>
        </w:tc>
        <w:tc>
          <w:tcPr>
            <w:tcW w:w="7408" w:type="dxa"/>
            <w:noWrap w:val="0"/>
            <w:vAlign w:val="top"/>
          </w:tcPr>
          <w:p w14:paraId="16DD06CA">
            <w:pPr>
              <w:topLinePunct/>
              <w:adjustRightInd w:val="0"/>
              <w:snapToGrid w:val="0"/>
              <w:spacing w:line="560" w:lineRule="exact"/>
              <w:rPr>
                <w:color w:val="auto"/>
                <w:szCs w:val="21"/>
                <w:highlight w:val="none"/>
              </w:rPr>
            </w:pPr>
          </w:p>
        </w:tc>
      </w:tr>
      <w:tr w14:paraId="520D6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2452" w:type="dxa"/>
            <w:noWrap w:val="0"/>
            <w:vAlign w:val="center"/>
          </w:tcPr>
          <w:p w14:paraId="4038B9BA">
            <w:pPr>
              <w:topLinePunct/>
              <w:adjustRightInd w:val="0"/>
              <w:snapToGrid w:val="0"/>
              <w:spacing w:line="560" w:lineRule="exact"/>
              <w:jc w:val="center"/>
              <w:rPr>
                <w:color w:val="auto"/>
                <w:szCs w:val="21"/>
                <w:highlight w:val="none"/>
              </w:rPr>
            </w:pPr>
            <w:r>
              <w:rPr>
                <w:color w:val="auto"/>
                <w:szCs w:val="21"/>
                <w:highlight w:val="none"/>
              </w:rPr>
              <w:t>技术负责人</w:t>
            </w:r>
          </w:p>
        </w:tc>
        <w:tc>
          <w:tcPr>
            <w:tcW w:w="7408" w:type="dxa"/>
            <w:noWrap w:val="0"/>
            <w:vAlign w:val="top"/>
          </w:tcPr>
          <w:p w14:paraId="3E67610D">
            <w:pPr>
              <w:topLinePunct/>
              <w:adjustRightInd w:val="0"/>
              <w:snapToGrid w:val="0"/>
              <w:spacing w:line="560" w:lineRule="exact"/>
              <w:rPr>
                <w:color w:val="auto"/>
                <w:szCs w:val="21"/>
                <w:highlight w:val="none"/>
              </w:rPr>
            </w:pPr>
          </w:p>
        </w:tc>
      </w:tr>
      <w:tr w14:paraId="0C34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1" w:hRule="atLeast"/>
          <w:jc w:val="center"/>
        </w:trPr>
        <w:tc>
          <w:tcPr>
            <w:tcW w:w="2452" w:type="dxa"/>
            <w:noWrap w:val="0"/>
            <w:vAlign w:val="center"/>
          </w:tcPr>
          <w:p w14:paraId="77451C2B">
            <w:pPr>
              <w:topLinePunct/>
              <w:adjustRightInd w:val="0"/>
              <w:snapToGrid w:val="0"/>
              <w:spacing w:line="560" w:lineRule="exact"/>
              <w:jc w:val="center"/>
              <w:rPr>
                <w:color w:val="auto"/>
                <w:szCs w:val="21"/>
                <w:highlight w:val="none"/>
              </w:rPr>
            </w:pPr>
            <w:r>
              <w:rPr>
                <w:color w:val="auto"/>
                <w:szCs w:val="21"/>
                <w:highlight w:val="none"/>
              </w:rPr>
              <w:t>项目描述</w:t>
            </w:r>
          </w:p>
        </w:tc>
        <w:tc>
          <w:tcPr>
            <w:tcW w:w="7408" w:type="dxa"/>
            <w:noWrap w:val="0"/>
            <w:vAlign w:val="top"/>
          </w:tcPr>
          <w:p w14:paraId="431866F1">
            <w:pPr>
              <w:topLinePunct/>
              <w:adjustRightInd w:val="0"/>
              <w:snapToGrid w:val="0"/>
              <w:spacing w:line="560" w:lineRule="exact"/>
              <w:rPr>
                <w:color w:val="auto"/>
                <w:szCs w:val="21"/>
                <w:highlight w:val="none"/>
              </w:rPr>
            </w:pPr>
          </w:p>
          <w:p w14:paraId="7F75BC3F">
            <w:pPr>
              <w:topLinePunct/>
              <w:adjustRightInd w:val="0"/>
              <w:snapToGrid w:val="0"/>
              <w:spacing w:line="560" w:lineRule="exact"/>
              <w:rPr>
                <w:color w:val="auto"/>
                <w:szCs w:val="21"/>
                <w:highlight w:val="none"/>
              </w:rPr>
            </w:pPr>
          </w:p>
          <w:p w14:paraId="413F20D6">
            <w:pPr>
              <w:topLinePunct/>
              <w:adjustRightInd w:val="0"/>
              <w:snapToGrid w:val="0"/>
              <w:spacing w:line="560" w:lineRule="exact"/>
              <w:rPr>
                <w:color w:val="auto"/>
                <w:szCs w:val="21"/>
                <w:highlight w:val="none"/>
              </w:rPr>
            </w:pPr>
          </w:p>
          <w:p w14:paraId="4AFA276F">
            <w:pPr>
              <w:topLinePunct/>
              <w:adjustRightInd w:val="0"/>
              <w:snapToGrid w:val="0"/>
              <w:spacing w:line="560" w:lineRule="exact"/>
              <w:rPr>
                <w:color w:val="auto"/>
                <w:szCs w:val="21"/>
                <w:highlight w:val="none"/>
              </w:rPr>
            </w:pPr>
          </w:p>
          <w:p w14:paraId="77FFD653">
            <w:pPr>
              <w:topLinePunct/>
              <w:adjustRightInd w:val="0"/>
              <w:snapToGrid w:val="0"/>
              <w:spacing w:line="560" w:lineRule="exact"/>
              <w:rPr>
                <w:color w:val="auto"/>
                <w:szCs w:val="21"/>
                <w:highlight w:val="none"/>
              </w:rPr>
            </w:pPr>
          </w:p>
          <w:p w14:paraId="315FBA50">
            <w:pPr>
              <w:topLinePunct/>
              <w:adjustRightInd w:val="0"/>
              <w:snapToGrid w:val="0"/>
              <w:spacing w:line="560" w:lineRule="exact"/>
              <w:rPr>
                <w:color w:val="auto"/>
                <w:szCs w:val="21"/>
                <w:highlight w:val="none"/>
              </w:rPr>
            </w:pPr>
          </w:p>
          <w:p w14:paraId="211A6979">
            <w:pPr>
              <w:topLinePunct/>
              <w:adjustRightInd w:val="0"/>
              <w:snapToGrid w:val="0"/>
              <w:spacing w:line="560" w:lineRule="exact"/>
              <w:rPr>
                <w:color w:val="auto"/>
                <w:szCs w:val="21"/>
                <w:highlight w:val="none"/>
              </w:rPr>
            </w:pPr>
          </w:p>
        </w:tc>
      </w:tr>
      <w:tr w14:paraId="7DD8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2452" w:type="dxa"/>
            <w:noWrap w:val="0"/>
            <w:vAlign w:val="center"/>
          </w:tcPr>
          <w:p w14:paraId="6114DA1D">
            <w:pPr>
              <w:topLinePunct/>
              <w:adjustRightInd w:val="0"/>
              <w:snapToGrid w:val="0"/>
              <w:spacing w:line="560" w:lineRule="exact"/>
              <w:jc w:val="center"/>
              <w:rPr>
                <w:color w:val="auto"/>
                <w:szCs w:val="21"/>
                <w:highlight w:val="none"/>
              </w:rPr>
            </w:pPr>
            <w:r>
              <w:rPr>
                <w:color w:val="auto"/>
                <w:szCs w:val="21"/>
                <w:highlight w:val="none"/>
              </w:rPr>
              <w:t>备注</w:t>
            </w:r>
          </w:p>
        </w:tc>
        <w:tc>
          <w:tcPr>
            <w:tcW w:w="7408" w:type="dxa"/>
            <w:noWrap w:val="0"/>
            <w:vAlign w:val="top"/>
          </w:tcPr>
          <w:p w14:paraId="0A1FE8CC">
            <w:pPr>
              <w:topLinePunct/>
              <w:adjustRightInd w:val="0"/>
              <w:snapToGrid w:val="0"/>
              <w:spacing w:line="560" w:lineRule="exact"/>
              <w:rPr>
                <w:color w:val="auto"/>
                <w:szCs w:val="21"/>
                <w:highlight w:val="none"/>
              </w:rPr>
            </w:pPr>
          </w:p>
        </w:tc>
      </w:tr>
    </w:tbl>
    <w:p w14:paraId="5063966F">
      <w:pPr>
        <w:pStyle w:val="4"/>
        <w:adjustRightInd w:val="0"/>
        <w:snapToGrid w:val="0"/>
        <w:spacing w:before="0" w:after="0" w:line="560" w:lineRule="exact"/>
        <w:jc w:val="center"/>
        <w:rPr>
          <w:rFonts w:hint="eastAsia"/>
          <w:color w:val="auto"/>
          <w:highlight w:val="none"/>
        </w:rPr>
      </w:pPr>
      <w:bookmarkStart w:id="1489" w:name="_Toc95223537"/>
      <w:r>
        <w:rPr>
          <w:rFonts w:hint="eastAsia"/>
          <w:color w:val="auto"/>
          <w:highlight w:val="none"/>
        </w:rPr>
        <w:t>（5）联合体协议书（如有）</w:t>
      </w:r>
      <w:bookmarkEnd w:id="1489"/>
    </w:p>
    <w:p w14:paraId="5263EC55">
      <w:pPr>
        <w:adjustRightInd w:val="0"/>
        <w:snapToGrid w:val="0"/>
        <w:spacing w:line="520" w:lineRule="exact"/>
        <w:ind w:firstLine="422" w:firstLineChars="200"/>
        <w:jc w:val="left"/>
        <w:rPr>
          <w:rFonts w:hint="eastAsia" w:ascii="宋体" w:hAnsi="宋体"/>
          <w:color w:val="auto"/>
          <w:szCs w:val="21"/>
          <w:highlight w:val="none"/>
        </w:rPr>
      </w:pPr>
      <w:r>
        <w:rPr>
          <w:rFonts w:hint="eastAsia" w:ascii="宋体" w:hAnsi="宋体"/>
          <w:b/>
          <w:color w:val="auto"/>
          <w:szCs w:val="21"/>
          <w:highlight w:val="none"/>
          <w:u w:val="single"/>
        </w:rPr>
        <w:t xml:space="preserve">                </w:t>
      </w:r>
      <w:r>
        <w:rPr>
          <w:rFonts w:hint="eastAsia" w:ascii="宋体" w:hAnsi="宋体"/>
          <w:color w:val="auto"/>
          <w:szCs w:val="21"/>
          <w:highlight w:val="none"/>
        </w:rPr>
        <w:t>（所有成员单位名</w:t>
      </w:r>
      <w:bookmarkStart w:id="1490" w:name="_Toc506107345"/>
      <w:bookmarkStart w:id="1491" w:name="_Toc15058939"/>
      <w:bookmarkStart w:id="1492" w:name="_Toc60061579"/>
      <w:bookmarkStart w:id="1493" w:name="_Toc58229120"/>
      <w:bookmarkStart w:id="1494" w:name="_Toc152042592"/>
      <w:bookmarkStart w:id="1495" w:name="_Toc152045803"/>
      <w:bookmarkStart w:id="1496" w:name="_Toc144974871"/>
      <w:bookmarkStart w:id="1497" w:name="_Toc179632823"/>
      <w:r>
        <w:rPr>
          <w:rFonts w:hint="eastAsia" w:ascii="宋体" w:hAnsi="宋体"/>
          <w:color w:val="auto"/>
          <w:szCs w:val="21"/>
          <w:highlight w:val="none"/>
        </w:rPr>
        <w:t xml:space="preserve">称）自愿组成 </w:t>
      </w:r>
      <w:r>
        <w:rPr>
          <w:rFonts w:hint="eastAsia" w:ascii="宋体" w:hAnsi="宋体"/>
          <w:color w:val="auto"/>
          <w:szCs w:val="21"/>
          <w:highlight w:val="none"/>
          <w:u w:val="single"/>
        </w:rPr>
        <w:t xml:space="preserve">  </w:t>
      </w:r>
      <w:bookmarkEnd w:id="1490"/>
      <w:r>
        <w:rPr>
          <w:rFonts w:hint="eastAsia" w:ascii="宋体" w:hAnsi="宋体"/>
          <w:color w:val="auto"/>
          <w:szCs w:val="21"/>
          <w:highlight w:val="none"/>
          <w:u w:val="single"/>
        </w:rPr>
        <w:t xml:space="preserve">    </w:t>
      </w:r>
      <w:bookmarkEnd w:id="1491"/>
      <w:bookmarkEnd w:id="1492"/>
      <w:bookmarkEnd w:id="1493"/>
      <w:r>
        <w:rPr>
          <w:rFonts w:hint="eastAsia" w:ascii="宋体" w:hAnsi="宋体"/>
          <w:color w:val="auto"/>
          <w:szCs w:val="21"/>
          <w:highlight w:val="none"/>
          <w:u w:val="single"/>
        </w:rPr>
        <w:t xml:space="preserve">   </w:t>
      </w:r>
      <w:r>
        <w:rPr>
          <w:rFonts w:hint="eastAsia" w:ascii="宋体" w:hAnsi="宋体"/>
          <w:color w:val="auto"/>
          <w:szCs w:val="21"/>
          <w:highlight w:val="none"/>
        </w:rPr>
        <w:t>（联合体名称）联合体，共同参加</w:t>
      </w:r>
      <w:r>
        <w:rPr>
          <w:rFonts w:hint="eastAsia" w:ascii="宋体" w:hAnsi="宋体"/>
          <w:b/>
          <w:color w:val="auto"/>
          <w:szCs w:val="21"/>
          <w:highlight w:val="none"/>
          <w:u w:val="single"/>
        </w:rPr>
        <w:t xml:space="preserve">             </w:t>
      </w:r>
      <w:r>
        <w:rPr>
          <w:rFonts w:hint="eastAsia" w:ascii="宋体" w:hAnsi="宋体"/>
          <w:color w:val="auto"/>
          <w:szCs w:val="21"/>
          <w:highlight w:val="none"/>
        </w:rPr>
        <w:t>（项目名称）</w:t>
      </w:r>
      <w:r>
        <w:rPr>
          <w:rFonts w:hint="eastAsia" w:ascii="宋体" w:hAnsi="宋体"/>
          <w:color w:val="auto"/>
          <w:szCs w:val="21"/>
          <w:highlight w:val="none"/>
          <w:u w:val="single"/>
        </w:rPr>
        <w:t xml:space="preserve">       </w:t>
      </w:r>
      <w:r>
        <w:rPr>
          <w:rFonts w:hint="eastAsia" w:ascii="宋体" w:hAnsi="宋体"/>
          <w:color w:val="auto"/>
          <w:szCs w:val="21"/>
          <w:highlight w:val="none"/>
        </w:rPr>
        <w:t>标段施工投标。现就联合体投标事宜订立如下协议：</w:t>
      </w:r>
    </w:p>
    <w:p w14:paraId="0F7E0059">
      <w:pPr>
        <w:adjustRightInd w:val="0"/>
        <w:snapToGrid w:val="0"/>
        <w:spacing w:line="5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u w:val="single"/>
        </w:rPr>
        <w:t xml:space="preserve">             </w:t>
      </w:r>
      <w:r>
        <w:rPr>
          <w:rFonts w:hint="eastAsia" w:ascii="宋体" w:hAnsi="宋体"/>
          <w:color w:val="auto"/>
          <w:szCs w:val="21"/>
          <w:highlight w:val="none"/>
        </w:rPr>
        <w:t>（某成员单位名称）为</w:t>
      </w:r>
      <w:r>
        <w:rPr>
          <w:rFonts w:hint="eastAsia" w:ascii="宋体" w:hAnsi="宋体"/>
          <w:color w:val="auto"/>
          <w:szCs w:val="21"/>
          <w:highlight w:val="none"/>
          <w:u w:val="single"/>
        </w:rPr>
        <w:t xml:space="preserve">             </w:t>
      </w:r>
      <w:r>
        <w:rPr>
          <w:rFonts w:hint="eastAsia" w:ascii="宋体" w:hAnsi="宋体"/>
          <w:color w:val="auto"/>
          <w:szCs w:val="21"/>
          <w:highlight w:val="none"/>
        </w:rPr>
        <w:t>（联合体名称）牵头人。</w:t>
      </w:r>
    </w:p>
    <w:p w14:paraId="7F150F68">
      <w:pPr>
        <w:adjustRightInd w:val="0"/>
        <w:snapToGrid w:val="0"/>
        <w:spacing w:line="5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联合体牵头人合法代表联合体各成员负责本招标项目投标文件编制和合同谈判活动，并代表联合体提交和接收相关的资料、信息及指示，并处理与之有关的一切事务，负责合同实施阶段的主办、组织和协议工作。</w:t>
      </w:r>
    </w:p>
    <w:p w14:paraId="42075118">
      <w:pPr>
        <w:adjustRightInd w:val="0"/>
        <w:snapToGrid w:val="0"/>
        <w:spacing w:line="5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3.联合体将严格按照招标文件的各项要求，递交投标文件，履行合同，并对外承担连带责任。</w:t>
      </w:r>
    </w:p>
    <w:p w14:paraId="57FB4B9C">
      <w:pPr>
        <w:adjustRightInd w:val="0"/>
        <w:snapToGrid w:val="0"/>
        <w:spacing w:line="52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4.联合体各成员单位内部的职责分工如下：</w:t>
      </w:r>
    </w:p>
    <w:p w14:paraId="2A6606D4">
      <w:pPr>
        <w:pStyle w:val="40"/>
        <w:snapToGrid w:val="0"/>
        <w:spacing w:line="520" w:lineRule="exact"/>
        <w:ind w:firstLine="525" w:firstLineChars="250"/>
        <w:rPr>
          <w:rFonts w:cs="Times New Roman"/>
          <w:color w:val="auto"/>
          <w:sz w:val="21"/>
          <w:szCs w:val="21"/>
          <w:highlight w:val="none"/>
        </w:rPr>
      </w:pPr>
      <w:r>
        <w:rPr>
          <w:rFonts w:cs="Times New Roman"/>
          <w:color w:val="auto"/>
          <w:sz w:val="21"/>
          <w:szCs w:val="21"/>
          <w:highlight w:val="none"/>
        </w:rPr>
        <w:t>牵头人</w:t>
      </w:r>
      <w:r>
        <w:rPr>
          <w:rFonts w:hint="eastAsia" w:cs="Times New Roman"/>
          <w:color w:val="auto"/>
          <w:sz w:val="21"/>
          <w:szCs w:val="21"/>
          <w:highlight w:val="none"/>
        </w:rPr>
        <w:t>（成员一）</w:t>
      </w:r>
      <w:r>
        <w:rPr>
          <w:rFonts w:cs="Times New Roman"/>
          <w:color w:val="auto"/>
          <w:sz w:val="21"/>
          <w:szCs w:val="21"/>
          <w:highlight w:val="none"/>
        </w:rPr>
        <w:t>名称</w:t>
      </w:r>
      <w:r>
        <w:rPr>
          <w:rFonts w:cs="Times New Roman"/>
          <w:color w:val="auto"/>
          <w:sz w:val="21"/>
          <w:szCs w:val="21"/>
          <w:highlight w:val="none"/>
          <w:u w:val="single"/>
        </w:rPr>
        <w:t>：</w:t>
      </w:r>
      <w:r>
        <w:rPr>
          <w:rFonts w:hint="eastAsia" w:cs="Times New Roman"/>
          <w:color w:val="auto"/>
          <w:sz w:val="21"/>
          <w:szCs w:val="21"/>
          <w:highlight w:val="none"/>
          <w:u w:val="single"/>
        </w:rPr>
        <w:t xml:space="preserve">           </w:t>
      </w:r>
      <w:r>
        <w:rPr>
          <w:rFonts w:cs="Times New Roman"/>
          <w:color w:val="auto"/>
          <w:sz w:val="21"/>
          <w:szCs w:val="21"/>
          <w:highlight w:val="none"/>
          <w:u w:val="single"/>
        </w:rPr>
        <w:t xml:space="preserve"> </w:t>
      </w:r>
      <w:r>
        <w:rPr>
          <w:rFonts w:cs="Times New Roman"/>
          <w:color w:val="auto"/>
          <w:sz w:val="21"/>
          <w:szCs w:val="21"/>
          <w:highlight w:val="none"/>
        </w:rPr>
        <w:t>，具有</w:t>
      </w:r>
      <w:r>
        <w:rPr>
          <w:rFonts w:cs="Times New Roman"/>
          <w:color w:val="auto"/>
          <w:sz w:val="21"/>
          <w:szCs w:val="21"/>
          <w:highlight w:val="none"/>
          <w:u w:val="single"/>
        </w:rPr>
        <w:t xml:space="preserve"> </w:t>
      </w:r>
      <w:r>
        <w:rPr>
          <w:rFonts w:hint="eastAsia" w:cs="Times New Roman"/>
          <w:color w:val="auto"/>
          <w:sz w:val="21"/>
          <w:szCs w:val="21"/>
          <w:highlight w:val="none"/>
          <w:u w:val="single"/>
        </w:rPr>
        <w:t xml:space="preserve">           </w:t>
      </w:r>
      <w:r>
        <w:rPr>
          <w:rFonts w:cs="Times New Roman"/>
          <w:color w:val="auto"/>
          <w:sz w:val="21"/>
          <w:szCs w:val="21"/>
          <w:highlight w:val="none"/>
          <w:u w:val="single"/>
        </w:rPr>
        <w:t>资</w:t>
      </w:r>
      <w:r>
        <w:rPr>
          <w:rFonts w:cs="Times New Roman"/>
          <w:color w:val="auto"/>
          <w:sz w:val="21"/>
          <w:szCs w:val="21"/>
          <w:highlight w:val="none"/>
        </w:rPr>
        <w:t>格，</w:t>
      </w:r>
      <w:r>
        <w:rPr>
          <w:rFonts w:hint="eastAsia" w:cs="Times New Roman"/>
          <w:color w:val="auto"/>
          <w:sz w:val="21"/>
          <w:szCs w:val="21"/>
          <w:highlight w:val="none"/>
        </w:rPr>
        <w:t>负责</w:t>
      </w:r>
      <w:r>
        <w:rPr>
          <w:rFonts w:cs="Times New Roman"/>
          <w:color w:val="auto"/>
          <w:sz w:val="21"/>
          <w:szCs w:val="21"/>
          <w:highlight w:val="none"/>
        </w:rPr>
        <w:t>承担</w:t>
      </w:r>
      <w:r>
        <w:rPr>
          <w:rFonts w:cs="Times New Roman"/>
          <w:color w:val="auto"/>
          <w:sz w:val="21"/>
          <w:szCs w:val="21"/>
          <w:highlight w:val="none"/>
          <w:u w:val="single"/>
        </w:rPr>
        <w:t xml:space="preserve"> </w:t>
      </w:r>
      <w:r>
        <w:rPr>
          <w:rFonts w:hint="eastAsia" w:cs="Times New Roman"/>
          <w:color w:val="auto"/>
          <w:sz w:val="21"/>
          <w:szCs w:val="21"/>
          <w:highlight w:val="none"/>
          <w:u w:val="single"/>
        </w:rPr>
        <w:t xml:space="preserve">       部分</w:t>
      </w:r>
      <w:r>
        <w:rPr>
          <w:rFonts w:cs="Times New Roman"/>
          <w:color w:val="auto"/>
          <w:sz w:val="21"/>
          <w:szCs w:val="21"/>
          <w:highlight w:val="none"/>
        </w:rPr>
        <w:t>专业工程</w:t>
      </w:r>
      <w:r>
        <w:rPr>
          <w:rFonts w:hint="eastAsia" w:cs="Times New Roman"/>
          <w:color w:val="auto"/>
          <w:sz w:val="21"/>
          <w:szCs w:val="21"/>
          <w:highlight w:val="none"/>
        </w:rPr>
        <w:t>施工</w:t>
      </w:r>
      <w:r>
        <w:rPr>
          <w:rFonts w:hint="eastAsia" w:cs="Times New Roman"/>
          <w:color w:val="auto"/>
          <w:sz w:val="21"/>
          <w:szCs w:val="21"/>
          <w:highlight w:val="none"/>
          <w:u w:val="single"/>
        </w:rPr>
        <w:t>，</w:t>
      </w:r>
      <w:r>
        <w:rPr>
          <w:rFonts w:hint="eastAsia" w:cs="Times New Roman"/>
          <w:color w:val="auto"/>
          <w:sz w:val="21"/>
          <w:szCs w:val="21"/>
          <w:highlight w:val="none"/>
        </w:rPr>
        <w:t>负责内容的合同金额占总合同金额的百分比</w:t>
      </w:r>
      <w:r>
        <w:rPr>
          <w:rFonts w:hint="eastAsia" w:cs="Times New Roman"/>
          <w:color w:val="auto"/>
          <w:sz w:val="21"/>
          <w:szCs w:val="21"/>
          <w:highlight w:val="none"/>
          <w:u w:val="single"/>
        </w:rPr>
        <w:t xml:space="preserve">      </w:t>
      </w:r>
      <w:r>
        <w:rPr>
          <w:rFonts w:hint="eastAsia"/>
          <w:color w:val="auto"/>
          <w:szCs w:val="21"/>
          <w:highlight w:val="none"/>
        </w:rPr>
        <w:t>%</w:t>
      </w:r>
      <w:r>
        <w:rPr>
          <w:color w:val="auto"/>
          <w:szCs w:val="21"/>
          <w:highlight w:val="none"/>
        </w:rPr>
        <w:t>；</w:t>
      </w:r>
      <w:r>
        <w:rPr>
          <w:rFonts w:cs="Times New Roman"/>
          <w:color w:val="auto"/>
          <w:sz w:val="21"/>
          <w:szCs w:val="21"/>
          <w:highlight w:val="none"/>
        </w:rPr>
        <w:t xml:space="preserve"> </w:t>
      </w:r>
    </w:p>
    <w:p w14:paraId="32DBC0C7">
      <w:pPr>
        <w:adjustRightInd w:val="0"/>
        <w:snapToGrid w:val="0"/>
        <w:spacing w:line="520" w:lineRule="exact"/>
        <w:ind w:firstLine="630" w:firstLineChars="300"/>
        <w:rPr>
          <w:rFonts w:hint="eastAsia" w:ascii="宋体" w:hAnsi="宋体"/>
          <w:color w:val="auto"/>
          <w:szCs w:val="21"/>
          <w:highlight w:val="none"/>
        </w:rPr>
      </w:pPr>
      <w:r>
        <w:rPr>
          <w:color w:val="auto"/>
          <w:szCs w:val="21"/>
          <w:highlight w:val="none"/>
        </w:rPr>
        <w:t>成员</w:t>
      </w:r>
      <w:r>
        <w:rPr>
          <w:rFonts w:hint="eastAsia"/>
          <w:color w:val="auto"/>
          <w:szCs w:val="21"/>
          <w:highlight w:val="none"/>
        </w:rPr>
        <w:t>二</w:t>
      </w:r>
      <w:r>
        <w:rPr>
          <w:color w:val="auto"/>
          <w:szCs w:val="21"/>
          <w:highlight w:val="none"/>
        </w:rPr>
        <w:t>名称</w:t>
      </w:r>
      <w:r>
        <w:rPr>
          <w:color w:val="auto"/>
          <w:szCs w:val="21"/>
          <w:highlight w:val="none"/>
          <w:u w:val="single"/>
        </w:rPr>
        <w:t>：</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，具有</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资</w:t>
      </w:r>
      <w:r>
        <w:rPr>
          <w:color w:val="auto"/>
          <w:szCs w:val="21"/>
          <w:highlight w:val="none"/>
        </w:rPr>
        <w:t>格，</w:t>
      </w:r>
      <w:r>
        <w:rPr>
          <w:rFonts w:hint="eastAsia"/>
          <w:color w:val="auto"/>
          <w:szCs w:val="21"/>
          <w:highlight w:val="none"/>
        </w:rPr>
        <w:t>负责</w:t>
      </w:r>
      <w:r>
        <w:rPr>
          <w:color w:val="auto"/>
          <w:szCs w:val="21"/>
          <w:highlight w:val="none"/>
        </w:rPr>
        <w:t>承</w:t>
      </w:r>
      <w:r>
        <w:rPr>
          <w:color w:val="auto"/>
          <w:szCs w:val="21"/>
          <w:highlight w:val="none"/>
          <w:u w:val="single"/>
        </w:rPr>
        <w:t xml:space="preserve">担 </w:t>
      </w:r>
      <w:r>
        <w:rPr>
          <w:rFonts w:hint="eastAsia"/>
          <w:color w:val="auto"/>
          <w:szCs w:val="21"/>
          <w:highlight w:val="none"/>
          <w:u w:val="single"/>
        </w:rPr>
        <w:t xml:space="preserve">          部分</w:t>
      </w:r>
      <w:r>
        <w:rPr>
          <w:color w:val="auto"/>
          <w:szCs w:val="21"/>
          <w:highlight w:val="none"/>
          <w:u w:val="single"/>
        </w:rPr>
        <w:t>专业</w:t>
      </w:r>
      <w:r>
        <w:rPr>
          <w:color w:val="auto"/>
          <w:szCs w:val="21"/>
          <w:highlight w:val="none"/>
        </w:rPr>
        <w:t>工程</w:t>
      </w:r>
      <w:r>
        <w:rPr>
          <w:rFonts w:hint="eastAsia"/>
          <w:color w:val="auto"/>
          <w:szCs w:val="21"/>
          <w:highlight w:val="none"/>
        </w:rPr>
        <w:t>施工，负责内容的合同金额占总合同金额的百分比</w:t>
      </w:r>
      <w:r>
        <w:rPr>
          <w:rFonts w:hint="eastAsia"/>
          <w:color w:val="auto"/>
          <w:szCs w:val="21"/>
          <w:highlight w:val="none"/>
          <w:u w:val="single"/>
        </w:rPr>
        <w:t xml:space="preserve">    </w:t>
      </w:r>
      <w:r>
        <w:rPr>
          <w:rFonts w:hint="eastAsia"/>
          <w:color w:val="auto"/>
          <w:szCs w:val="21"/>
          <w:highlight w:val="none"/>
        </w:rPr>
        <w:t>%</w:t>
      </w:r>
      <w:r>
        <w:rPr>
          <w:color w:val="auto"/>
          <w:szCs w:val="21"/>
          <w:highlight w:val="none"/>
        </w:rPr>
        <w:t>；</w:t>
      </w:r>
      <w:r>
        <w:rPr>
          <w:rFonts w:hint="eastAsia" w:ascii="宋体" w:hAnsi="宋体"/>
          <w:color w:val="auto"/>
          <w:szCs w:val="21"/>
          <w:highlight w:val="none"/>
        </w:rPr>
        <w:t xml:space="preserve">                 </w:t>
      </w:r>
    </w:p>
    <w:p w14:paraId="18AF70A1">
      <w:pPr>
        <w:adjustRightInd w:val="0"/>
        <w:snapToGrid w:val="0"/>
        <w:spacing w:line="5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5.本协议书自签署之日起生效，合同履行完毕后自动失效。</w:t>
      </w:r>
    </w:p>
    <w:p w14:paraId="4B800F1B">
      <w:pPr>
        <w:adjustRightInd w:val="0"/>
        <w:snapToGrid w:val="0"/>
        <w:spacing w:line="5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6.联合体中标后，本联合体协议是合同的附件，对联合体各成员单位有合同约束力。</w:t>
      </w:r>
    </w:p>
    <w:p w14:paraId="1C2DC9BF">
      <w:pPr>
        <w:adjustRightInd w:val="0"/>
        <w:snapToGrid w:val="0"/>
        <w:spacing w:line="5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7.本协议书一式</w:t>
      </w:r>
      <w:r>
        <w:rPr>
          <w:rFonts w:hint="eastAsia" w:ascii="宋体" w:hAnsi="宋体"/>
          <w:color w:val="auto"/>
          <w:szCs w:val="21"/>
          <w:highlight w:val="none"/>
          <w:u w:val="single"/>
        </w:rPr>
        <w:t xml:space="preserve">          </w:t>
      </w:r>
      <w:r>
        <w:rPr>
          <w:rFonts w:hint="eastAsia" w:ascii="宋体" w:hAnsi="宋体"/>
          <w:color w:val="auto"/>
          <w:szCs w:val="21"/>
          <w:highlight w:val="none"/>
        </w:rPr>
        <w:t>份，联合体成员和招标人各执一份。</w:t>
      </w:r>
    </w:p>
    <w:p w14:paraId="79468C22">
      <w:pPr>
        <w:adjustRightInd w:val="0"/>
        <w:snapToGrid w:val="0"/>
        <w:spacing w:line="5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注：本协议由委托代理人签字的，应附法定代表人签字的授权委托书。</w:t>
      </w:r>
    </w:p>
    <w:p w14:paraId="444E5F58">
      <w:pPr>
        <w:adjustRightInd w:val="0"/>
        <w:snapToGrid w:val="0"/>
        <w:spacing w:line="5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                             牵头人（成员一）名称：</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14:paraId="5422151B">
      <w:pPr>
        <w:adjustRightInd w:val="0"/>
        <w:snapToGrid w:val="0"/>
        <w:spacing w:line="5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                             法定代表人：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14:paraId="3926C643">
      <w:pPr>
        <w:adjustRightInd w:val="0"/>
        <w:snapToGrid w:val="0"/>
        <w:spacing w:line="520" w:lineRule="exact"/>
        <w:ind w:firstLine="420" w:firstLineChars="200"/>
        <w:rPr>
          <w:rFonts w:hint="eastAsia" w:ascii="宋体" w:hAnsi="宋体"/>
          <w:color w:val="auto"/>
          <w:szCs w:val="21"/>
          <w:highlight w:val="none"/>
        </w:rPr>
      </w:pPr>
    </w:p>
    <w:p w14:paraId="0BD9E6C0">
      <w:pPr>
        <w:adjustRightInd w:val="0"/>
        <w:snapToGrid w:val="0"/>
        <w:spacing w:line="5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                             成员二名称：</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14:paraId="41492B36">
      <w:pPr>
        <w:adjustRightInd w:val="0"/>
        <w:snapToGrid w:val="0"/>
        <w:spacing w:line="5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                             法定代表人：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14:paraId="46A564E9">
      <w:pPr>
        <w:adjustRightInd w:val="0"/>
        <w:snapToGrid w:val="0"/>
        <w:spacing w:line="520" w:lineRule="exact"/>
        <w:ind w:firstLine="420" w:firstLineChars="200"/>
        <w:rPr>
          <w:rFonts w:hint="eastAsia" w:ascii="宋体" w:hAnsi="宋体"/>
          <w:color w:val="auto"/>
          <w:szCs w:val="21"/>
          <w:highlight w:val="none"/>
        </w:rPr>
      </w:pPr>
    </w:p>
    <w:p w14:paraId="6F0C6501">
      <w:pPr>
        <w:adjustRightInd w:val="0"/>
        <w:snapToGrid w:val="0"/>
        <w:spacing w:line="5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                           </w:t>
      </w:r>
    </w:p>
    <w:p w14:paraId="5C577AAB">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                                </w:t>
      </w:r>
    </w:p>
    <w:p w14:paraId="20B47393">
      <w:pPr>
        <w:adjustRightInd w:val="0"/>
        <w:snapToGrid w:val="0"/>
        <w:spacing w:line="560" w:lineRule="exact"/>
        <w:ind w:firstLine="5775" w:firstLineChars="27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0062398A">
      <w:pPr>
        <w:rPr>
          <w:rFonts w:hint="eastAsia"/>
          <w:color w:val="auto"/>
          <w:highlight w:val="none"/>
        </w:rPr>
      </w:pPr>
      <w:r>
        <w:rPr>
          <w:rFonts w:hint="eastAsia"/>
          <w:color w:val="auto"/>
          <w:highlight w:val="none"/>
        </w:rPr>
        <w:br w:type="page"/>
      </w:r>
    </w:p>
    <w:p w14:paraId="16501EFD">
      <w:pPr>
        <w:spacing w:line="360" w:lineRule="auto"/>
        <w:jc w:val="center"/>
        <w:outlineLvl w:val="1"/>
        <w:rPr>
          <w:rFonts w:hint="default" w:ascii="Times New Roman" w:hAnsi="Times New Roman" w:eastAsia="宋体" w:cs="Times New Roman"/>
          <w:b/>
          <w:bCs/>
          <w:color w:val="auto"/>
          <w:kern w:val="0"/>
          <w:sz w:val="32"/>
          <w:szCs w:val="32"/>
          <w:highlight w:val="none"/>
          <w:lang w:val="en-US" w:eastAsia="zh-CN" w:bidi="ar-SA"/>
        </w:rPr>
      </w:pPr>
      <w:r>
        <w:rPr>
          <w:rFonts w:hint="eastAsia" w:ascii="Times New Roman" w:hAnsi="Times New Roman" w:eastAsia="宋体" w:cs="Times New Roman"/>
          <w:b/>
          <w:bCs/>
          <w:color w:val="auto"/>
          <w:kern w:val="0"/>
          <w:sz w:val="32"/>
          <w:szCs w:val="32"/>
          <w:highlight w:val="none"/>
          <w:lang w:val="en-US" w:eastAsia="zh-CN" w:bidi="ar-SA"/>
        </w:rPr>
        <w:t>（6） 中小企业声明函（如有）</w:t>
      </w:r>
    </w:p>
    <w:p w14:paraId="008F97A1">
      <w:pPr>
        <w:keepNext w:val="0"/>
        <w:keepLines w:val="0"/>
        <w:pageBreakBefore w:val="0"/>
        <w:widowControl w:val="0"/>
        <w:kinsoku/>
        <w:wordWrap/>
        <w:overflowPunct/>
        <w:topLinePunct w:val="0"/>
        <w:autoSpaceDE/>
        <w:autoSpaceDN/>
        <w:bidi w:val="0"/>
        <w:adjustRightInd/>
        <w:snapToGrid/>
        <w:spacing w:line="640" w:lineRule="exact"/>
        <w:ind w:firstLine="437"/>
        <w:textAlignment w:val="auto"/>
        <w:rPr>
          <w:rFonts w:cs="@仿宋_GB2312"/>
          <w:color w:val="auto"/>
          <w:kern w:val="2"/>
          <w:sz w:val="24"/>
          <w:szCs w:val="24"/>
          <w:highlight w:val="none"/>
          <w:lang w:val="zh-CN"/>
        </w:rPr>
      </w:pPr>
      <w:r>
        <w:rPr>
          <w:rFonts w:hint="eastAsia" w:cs="@仿宋_GB2312"/>
          <w:color w:val="auto"/>
          <w:kern w:val="2"/>
          <w:sz w:val="24"/>
          <w:szCs w:val="24"/>
          <w:highlight w:val="none"/>
          <w:u w:val="single"/>
          <w:lang w:val="zh-CN"/>
        </w:rPr>
        <w:t>（</w:t>
      </w:r>
      <w:r>
        <w:rPr>
          <w:rFonts w:hint="eastAsia" w:cs="@仿宋_GB2312"/>
          <w:color w:val="auto"/>
          <w:kern w:val="2"/>
          <w:sz w:val="24"/>
          <w:szCs w:val="24"/>
          <w:highlight w:val="none"/>
          <w:u w:val="single"/>
          <w:lang w:val="en-US" w:eastAsia="zh-CN"/>
        </w:rPr>
        <w:t xml:space="preserve">填写中小企业单位名称）   </w:t>
      </w:r>
      <w:r>
        <w:rPr>
          <w:rFonts w:hint="eastAsia" w:cs="@仿宋_GB2312"/>
          <w:color w:val="auto"/>
          <w:kern w:val="2"/>
          <w:sz w:val="24"/>
          <w:szCs w:val="24"/>
          <w:highlight w:val="none"/>
          <w:lang w:val="zh-CN"/>
        </w:rPr>
        <w:t>郑重声明，本公司参加</w:t>
      </w:r>
      <w:r>
        <w:rPr>
          <w:rFonts w:hint="eastAsia" w:cs="@仿宋_GB2312"/>
          <w:color w:val="auto"/>
          <w:kern w:val="2"/>
          <w:sz w:val="24"/>
          <w:szCs w:val="24"/>
          <w:highlight w:val="none"/>
          <w:u w:val="single"/>
          <w:lang w:val="zh-CN"/>
        </w:rPr>
        <w:t>（单位</w:t>
      </w:r>
      <w:r>
        <w:rPr>
          <w:rFonts w:hint="eastAsia" w:cs="@仿宋_GB2312"/>
          <w:color w:val="auto"/>
          <w:kern w:val="2"/>
          <w:sz w:val="24"/>
          <w:szCs w:val="24"/>
          <w:highlight w:val="none"/>
          <w:u w:val="single"/>
          <w:lang w:val="en-US" w:eastAsia="zh-CN"/>
        </w:rPr>
        <w:t>名称</w:t>
      </w:r>
      <w:r>
        <w:rPr>
          <w:rFonts w:hint="eastAsia" w:cs="@仿宋_GB2312"/>
          <w:color w:val="auto"/>
          <w:kern w:val="2"/>
          <w:sz w:val="24"/>
          <w:szCs w:val="24"/>
          <w:highlight w:val="none"/>
          <w:u w:val="single"/>
          <w:lang w:val="zh-CN"/>
        </w:rPr>
        <w:t>）</w:t>
      </w:r>
      <w:r>
        <w:rPr>
          <w:rFonts w:hint="eastAsia" w:cs="@仿宋_GB2312"/>
          <w:color w:val="auto"/>
          <w:kern w:val="2"/>
          <w:sz w:val="24"/>
          <w:szCs w:val="24"/>
          <w:highlight w:val="none"/>
          <w:lang w:val="zh-CN"/>
        </w:rPr>
        <w:t>的</w:t>
      </w:r>
      <w:r>
        <w:rPr>
          <w:rFonts w:hint="eastAsia" w:cs="@仿宋_GB2312"/>
          <w:color w:val="auto"/>
          <w:kern w:val="2"/>
          <w:sz w:val="24"/>
          <w:szCs w:val="24"/>
          <w:highlight w:val="none"/>
          <w:u w:val="single"/>
          <w:lang w:val="zh-CN"/>
        </w:rPr>
        <w:t>（项目</w:t>
      </w:r>
      <w:r>
        <w:rPr>
          <w:rFonts w:hint="eastAsia" w:cs="@仿宋_GB2312"/>
          <w:color w:val="auto"/>
          <w:kern w:val="2"/>
          <w:sz w:val="24"/>
          <w:szCs w:val="24"/>
          <w:highlight w:val="none"/>
          <w:u w:val="single"/>
          <w:lang w:val="en-US" w:eastAsia="zh-CN"/>
        </w:rPr>
        <w:t>名称</w:t>
      </w:r>
      <w:r>
        <w:rPr>
          <w:rFonts w:hint="eastAsia" w:cs="@仿宋_GB2312"/>
          <w:color w:val="auto"/>
          <w:kern w:val="2"/>
          <w:sz w:val="24"/>
          <w:szCs w:val="24"/>
          <w:highlight w:val="none"/>
          <w:u w:val="single"/>
          <w:lang w:val="zh-CN"/>
        </w:rPr>
        <w:t>）</w:t>
      </w:r>
      <w:r>
        <w:rPr>
          <w:rFonts w:hint="eastAsia" w:cs="@仿宋_GB2312"/>
          <w:color w:val="auto"/>
          <w:kern w:val="2"/>
          <w:sz w:val="24"/>
          <w:szCs w:val="24"/>
          <w:highlight w:val="none"/>
          <w:lang w:val="en-US" w:eastAsia="zh-CN"/>
        </w:rPr>
        <w:t>招标</w:t>
      </w:r>
      <w:r>
        <w:rPr>
          <w:rFonts w:hint="eastAsia" w:cs="@仿宋_GB2312"/>
          <w:color w:val="auto"/>
          <w:kern w:val="2"/>
          <w:sz w:val="24"/>
          <w:szCs w:val="24"/>
          <w:highlight w:val="none"/>
          <w:lang w:val="zh-CN"/>
        </w:rPr>
        <w:t xml:space="preserve">活动，工程的施工单位为符合政策要求的中小企业。企业具体情况如下： </w:t>
      </w:r>
    </w:p>
    <w:p w14:paraId="538003C2">
      <w:pPr>
        <w:keepNext w:val="0"/>
        <w:keepLines w:val="0"/>
        <w:pageBreakBefore w:val="0"/>
        <w:widowControl w:val="0"/>
        <w:kinsoku/>
        <w:wordWrap/>
        <w:overflowPunct/>
        <w:topLinePunct w:val="0"/>
        <w:autoSpaceDE/>
        <w:autoSpaceDN/>
        <w:bidi w:val="0"/>
        <w:adjustRightInd/>
        <w:snapToGrid/>
        <w:spacing w:line="640" w:lineRule="exact"/>
        <w:ind w:firstLine="437"/>
        <w:textAlignment w:val="auto"/>
        <w:rPr>
          <w:rFonts w:cs="@仿宋_GB2312"/>
          <w:color w:val="auto"/>
          <w:kern w:val="2"/>
          <w:sz w:val="24"/>
          <w:szCs w:val="24"/>
          <w:highlight w:val="none"/>
          <w:lang w:val="zh-CN"/>
        </w:rPr>
      </w:pPr>
      <w:r>
        <w:rPr>
          <w:rFonts w:hint="eastAsia" w:cs="@仿宋_GB2312"/>
          <w:color w:val="auto"/>
          <w:kern w:val="2"/>
          <w:sz w:val="24"/>
          <w:szCs w:val="24"/>
          <w:highlight w:val="none"/>
          <w:u w:val="single"/>
          <w:lang w:val="zh-CN"/>
        </w:rPr>
        <w:t xml:space="preserve"> （标的名称） </w:t>
      </w:r>
      <w:r>
        <w:rPr>
          <w:rFonts w:hint="eastAsia" w:cs="@仿宋_GB2312"/>
          <w:color w:val="auto"/>
          <w:kern w:val="2"/>
          <w:sz w:val="24"/>
          <w:szCs w:val="24"/>
          <w:highlight w:val="none"/>
          <w:lang w:val="zh-CN"/>
        </w:rPr>
        <w:t>，属于</w:t>
      </w:r>
      <w:r>
        <w:rPr>
          <w:rFonts w:hint="eastAsia" w:cs="@仿宋_GB2312"/>
          <w:color w:val="auto"/>
          <w:kern w:val="2"/>
          <w:sz w:val="24"/>
          <w:szCs w:val="24"/>
          <w:highlight w:val="none"/>
          <w:u w:val="single"/>
          <w:lang w:val="zh-CN"/>
        </w:rPr>
        <w:t>（</w:t>
      </w:r>
      <w:r>
        <w:rPr>
          <w:rFonts w:hint="eastAsia" w:cs="@仿宋_GB2312"/>
          <w:color w:val="auto"/>
          <w:kern w:val="2"/>
          <w:sz w:val="24"/>
          <w:szCs w:val="24"/>
          <w:highlight w:val="none"/>
          <w:u w:val="single"/>
          <w:lang w:val="en-US" w:eastAsia="zh-CN"/>
        </w:rPr>
        <w:t>招标</w:t>
      </w:r>
      <w:r>
        <w:rPr>
          <w:rFonts w:hint="eastAsia" w:cs="@仿宋_GB2312"/>
          <w:color w:val="auto"/>
          <w:kern w:val="2"/>
          <w:sz w:val="24"/>
          <w:szCs w:val="24"/>
          <w:highlight w:val="none"/>
          <w:u w:val="single"/>
          <w:lang w:val="zh-CN"/>
        </w:rPr>
        <w:t>文件中明确的所属行业）</w:t>
      </w:r>
      <w:r>
        <w:rPr>
          <w:rFonts w:hint="eastAsia" w:cs="@仿宋_GB2312"/>
          <w:color w:val="auto"/>
          <w:kern w:val="2"/>
          <w:sz w:val="24"/>
          <w:szCs w:val="24"/>
          <w:highlight w:val="none"/>
          <w:lang w:val="zh-CN"/>
        </w:rPr>
        <w:t>行业；承建企业为</w:t>
      </w:r>
      <w:r>
        <w:rPr>
          <w:rFonts w:hint="eastAsia" w:cs="@仿宋_GB2312"/>
          <w:color w:val="auto"/>
          <w:kern w:val="2"/>
          <w:sz w:val="24"/>
          <w:szCs w:val="24"/>
          <w:highlight w:val="none"/>
          <w:u w:val="single"/>
          <w:lang w:val="zh-CN"/>
        </w:rPr>
        <w:t>（企业名称）</w:t>
      </w:r>
      <w:r>
        <w:rPr>
          <w:rFonts w:hint="eastAsia" w:cs="@仿宋_GB2312"/>
          <w:color w:val="auto"/>
          <w:kern w:val="2"/>
          <w:sz w:val="24"/>
          <w:szCs w:val="24"/>
          <w:highlight w:val="none"/>
          <w:lang w:val="zh-CN"/>
        </w:rPr>
        <w:t>，从业人员</w:t>
      </w:r>
      <w:r>
        <w:rPr>
          <w:rFonts w:hint="eastAsia" w:cs="@仿宋_GB2312"/>
          <w:color w:val="auto"/>
          <w:kern w:val="2"/>
          <w:sz w:val="24"/>
          <w:szCs w:val="24"/>
          <w:highlight w:val="none"/>
          <w:u w:val="single"/>
          <w:lang w:val="zh-CN"/>
        </w:rPr>
        <w:t xml:space="preserve">     </w:t>
      </w:r>
      <w:r>
        <w:rPr>
          <w:rFonts w:hint="eastAsia" w:cs="@仿宋_GB2312"/>
          <w:color w:val="auto"/>
          <w:kern w:val="2"/>
          <w:sz w:val="24"/>
          <w:szCs w:val="24"/>
          <w:highlight w:val="none"/>
          <w:lang w:val="zh-CN"/>
        </w:rPr>
        <w:t>人，营业收入为</w:t>
      </w:r>
      <w:r>
        <w:rPr>
          <w:rFonts w:hint="eastAsia" w:cs="@仿宋_GB2312"/>
          <w:color w:val="auto"/>
          <w:kern w:val="2"/>
          <w:sz w:val="24"/>
          <w:szCs w:val="24"/>
          <w:highlight w:val="none"/>
          <w:u w:val="single"/>
          <w:lang w:val="zh-CN"/>
        </w:rPr>
        <w:t xml:space="preserve">     </w:t>
      </w:r>
      <w:r>
        <w:rPr>
          <w:rFonts w:hint="eastAsia" w:cs="@仿宋_GB2312"/>
          <w:color w:val="auto"/>
          <w:kern w:val="2"/>
          <w:sz w:val="24"/>
          <w:szCs w:val="24"/>
          <w:highlight w:val="none"/>
          <w:lang w:val="zh-CN"/>
        </w:rPr>
        <w:t>万元，资产总额为</w:t>
      </w:r>
      <w:r>
        <w:rPr>
          <w:rFonts w:hint="eastAsia" w:cs="@仿宋_GB2312"/>
          <w:color w:val="auto"/>
          <w:kern w:val="2"/>
          <w:sz w:val="24"/>
          <w:szCs w:val="24"/>
          <w:highlight w:val="none"/>
          <w:u w:val="single"/>
          <w:lang w:val="zh-CN"/>
        </w:rPr>
        <w:t xml:space="preserve">     </w:t>
      </w:r>
      <w:r>
        <w:rPr>
          <w:rFonts w:hint="eastAsia" w:cs="@仿宋_GB2312"/>
          <w:color w:val="auto"/>
          <w:kern w:val="2"/>
          <w:sz w:val="24"/>
          <w:szCs w:val="24"/>
          <w:highlight w:val="none"/>
          <w:lang w:val="zh-CN"/>
        </w:rPr>
        <w:t>万元，属于</w:t>
      </w:r>
      <w:r>
        <w:rPr>
          <w:rFonts w:hint="eastAsia" w:cs="@仿宋_GB2312"/>
          <w:color w:val="auto"/>
          <w:kern w:val="2"/>
          <w:sz w:val="24"/>
          <w:szCs w:val="24"/>
          <w:highlight w:val="none"/>
          <w:u w:val="single"/>
          <w:lang w:val="zh-CN"/>
        </w:rPr>
        <w:t>（中型企业、小型企业、微型企业）</w:t>
      </w:r>
      <w:r>
        <w:rPr>
          <w:rFonts w:hint="eastAsia" w:cs="@仿宋_GB2312"/>
          <w:color w:val="auto"/>
          <w:kern w:val="2"/>
          <w:sz w:val="24"/>
          <w:szCs w:val="24"/>
          <w:highlight w:val="none"/>
          <w:lang w:val="zh-CN"/>
        </w:rPr>
        <w:t xml:space="preserve">； </w:t>
      </w:r>
    </w:p>
    <w:p w14:paraId="67B02E63">
      <w:pPr>
        <w:keepNext w:val="0"/>
        <w:keepLines w:val="0"/>
        <w:pageBreakBefore w:val="0"/>
        <w:widowControl w:val="0"/>
        <w:kinsoku/>
        <w:wordWrap/>
        <w:overflowPunct/>
        <w:topLinePunct w:val="0"/>
        <w:autoSpaceDE/>
        <w:autoSpaceDN/>
        <w:bidi w:val="0"/>
        <w:adjustRightInd/>
        <w:snapToGrid/>
        <w:spacing w:line="640" w:lineRule="exact"/>
        <w:ind w:firstLine="437"/>
        <w:textAlignment w:val="auto"/>
        <w:rPr>
          <w:rFonts w:cs="@仿宋_GB2312"/>
          <w:color w:val="auto"/>
          <w:kern w:val="2"/>
          <w:sz w:val="24"/>
          <w:szCs w:val="24"/>
          <w:highlight w:val="none"/>
          <w:lang w:val="zh-CN"/>
        </w:rPr>
      </w:pPr>
      <w:r>
        <w:rPr>
          <w:rFonts w:hint="eastAsia" w:cs="@仿宋_GB2312"/>
          <w:color w:val="auto"/>
          <w:kern w:val="2"/>
          <w:sz w:val="24"/>
          <w:szCs w:val="24"/>
          <w:highlight w:val="none"/>
          <w:lang w:val="zh-CN"/>
        </w:rPr>
        <w:t>以上企业，不属于大企业的分支机构，不存在控股股东为大企业的情形，也不存在与大企业的负责人为同一人的情形。</w:t>
      </w:r>
    </w:p>
    <w:p w14:paraId="25375143">
      <w:pPr>
        <w:keepNext w:val="0"/>
        <w:keepLines w:val="0"/>
        <w:pageBreakBefore w:val="0"/>
        <w:widowControl w:val="0"/>
        <w:kinsoku/>
        <w:wordWrap/>
        <w:overflowPunct/>
        <w:topLinePunct w:val="0"/>
        <w:autoSpaceDE/>
        <w:autoSpaceDN/>
        <w:bidi w:val="0"/>
        <w:adjustRightInd/>
        <w:snapToGrid/>
        <w:spacing w:line="640" w:lineRule="exact"/>
        <w:ind w:firstLine="437"/>
        <w:textAlignment w:val="auto"/>
        <w:rPr>
          <w:rFonts w:cs="@仿宋_GB2312"/>
          <w:color w:val="auto"/>
          <w:kern w:val="2"/>
          <w:sz w:val="24"/>
          <w:szCs w:val="24"/>
          <w:highlight w:val="none"/>
          <w:lang w:val="zh-CN"/>
        </w:rPr>
      </w:pPr>
      <w:r>
        <w:rPr>
          <w:rFonts w:hint="eastAsia" w:cs="@仿宋_GB2312"/>
          <w:color w:val="auto"/>
          <w:kern w:val="2"/>
          <w:sz w:val="24"/>
          <w:szCs w:val="24"/>
          <w:highlight w:val="none"/>
          <w:lang w:val="zh-CN"/>
        </w:rPr>
        <w:t xml:space="preserve">本企业对上述声明内容的真实性负责。如有虚假，将依法承担相应责任。 </w:t>
      </w:r>
    </w:p>
    <w:p w14:paraId="53386992">
      <w:pPr>
        <w:spacing w:line="360" w:lineRule="auto"/>
        <w:rPr>
          <w:rFonts w:ascii="宋体" w:hAnsi="宋体" w:eastAsia="宋体" w:cs="@仿宋_GB2312"/>
          <w:color w:val="auto"/>
          <w:kern w:val="2"/>
          <w:sz w:val="24"/>
          <w:szCs w:val="24"/>
          <w:highlight w:val="none"/>
        </w:rPr>
      </w:pPr>
    </w:p>
    <w:p w14:paraId="0B2919E9">
      <w:pPr>
        <w:spacing w:line="360" w:lineRule="auto"/>
        <w:ind w:firstLine="4228" w:firstLineChars="1762"/>
        <w:rPr>
          <w:rFonts w:ascii="宋体" w:hAnsi="宋体" w:eastAsia="宋体" w:cs="@仿宋_GB2312"/>
          <w:color w:val="auto"/>
          <w:kern w:val="2"/>
          <w:sz w:val="24"/>
          <w:szCs w:val="24"/>
          <w:highlight w:val="none"/>
          <w:u w:val="single"/>
        </w:rPr>
      </w:pPr>
      <w:r>
        <w:rPr>
          <w:rFonts w:hint="eastAsia" w:ascii="宋体" w:hAnsi="宋体" w:eastAsia="宋体" w:cs="@仿宋_GB2312"/>
          <w:color w:val="auto"/>
          <w:kern w:val="2"/>
          <w:sz w:val="24"/>
          <w:szCs w:val="24"/>
          <w:highlight w:val="none"/>
          <w:lang w:val="en-US" w:eastAsia="zh-CN"/>
        </w:rPr>
        <w:t>投标人</w:t>
      </w:r>
      <w:r>
        <w:rPr>
          <w:rFonts w:ascii="宋体" w:hAnsi="宋体" w:eastAsia="宋体" w:cs="@仿宋_GB2312"/>
          <w:color w:val="auto"/>
          <w:kern w:val="2"/>
          <w:sz w:val="24"/>
          <w:szCs w:val="24"/>
          <w:highlight w:val="none"/>
        </w:rPr>
        <w:t>电子签章</w:t>
      </w:r>
      <w:r>
        <w:rPr>
          <w:rFonts w:hint="eastAsia" w:ascii="宋体" w:hAnsi="宋体" w:eastAsia="宋体" w:cs="@仿宋_GB2312"/>
          <w:color w:val="auto"/>
          <w:kern w:val="2"/>
          <w:sz w:val="24"/>
          <w:szCs w:val="24"/>
          <w:highlight w:val="none"/>
        </w:rPr>
        <w:t>：</w:t>
      </w:r>
      <w:r>
        <w:rPr>
          <w:rFonts w:ascii="宋体" w:hAnsi="宋体" w:eastAsia="宋体" w:cs="@仿宋_GB2312"/>
          <w:color w:val="auto"/>
          <w:kern w:val="2"/>
          <w:sz w:val="24"/>
          <w:szCs w:val="24"/>
          <w:highlight w:val="none"/>
          <w:u w:val="single"/>
        </w:rPr>
        <w:t xml:space="preserve">             </w:t>
      </w:r>
    </w:p>
    <w:p w14:paraId="09C6BC2B">
      <w:pPr>
        <w:tabs>
          <w:tab w:val="left" w:pos="4620"/>
        </w:tabs>
        <w:spacing w:line="360" w:lineRule="auto"/>
        <w:ind w:firstLine="4252" w:firstLineChars="1772"/>
        <w:rPr>
          <w:rFonts w:ascii="宋体" w:hAnsi="宋体" w:eastAsia="宋体" w:cs="@仿宋_GB2312"/>
          <w:color w:val="auto"/>
          <w:kern w:val="2"/>
          <w:sz w:val="24"/>
          <w:szCs w:val="24"/>
          <w:highlight w:val="none"/>
          <w:u w:val="single"/>
        </w:rPr>
      </w:pPr>
      <w:r>
        <w:rPr>
          <w:rFonts w:hint="eastAsia" w:ascii="宋体" w:hAnsi="宋体" w:eastAsia="宋体" w:cs="@仿宋_GB2312"/>
          <w:color w:val="auto"/>
          <w:kern w:val="2"/>
          <w:sz w:val="24"/>
          <w:szCs w:val="24"/>
          <w:highlight w:val="none"/>
        </w:rPr>
        <w:t>日</w:t>
      </w:r>
      <w:r>
        <w:rPr>
          <w:rFonts w:ascii="宋体" w:hAnsi="宋体" w:eastAsia="宋体" w:cs="@仿宋_GB2312"/>
          <w:color w:val="auto"/>
          <w:kern w:val="2"/>
          <w:sz w:val="24"/>
          <w:szCs w:val="24"/>
          <w:highlight w:val="none"/>
        </w:rPr>
        <w:t xml:space="preserve">      </w:t>
      </w:r>
      <w:r>
        <w:rPr>
          <w:rFonts w:hint="eastAsia" w:ascii="宋体" w:hAnsi="宋体" w:eastAsia="宋体" w:cs="@仿宋_GB2312"/>
          <w:color w:val="auto"/>
          <w:kern w:val="2"/>
          <w:sz w:val="24"/>
          <w:szCs w:val="24"/>
          <w:highlight w:val="none"/>
        </w:rPr>
        <w:t xml:space="preserve">    期：</w:t>
      </w:r>
      <w:r>
        <w:rPr>
          <w:rFonts w:ascii="宋体" w:hAnsi="宋体" w:eastAsia="宋体" w:cs="@仿宋_GB2312"/>
          <w:color w:val="auto"/>
          <w:kern w:val="2"/>
          <w:sz w:val="24"/>
          <w:szCs w:val="24"/>
          <w:highlight w:val="none"/>
          <w:u w:val="single"/>
        </w:rPr>
        <w:t xml:space="preserve">             </w:t>
      </w:r>
    </w:p>
    <w:p w14:paraId="3AFEF7E3">
      <w:pPr>
        <w:keepNext w:val="0"/>
        <w:keepLines w:val="0"/>
        <w:pageBreakBefore w:val="0"/>
        <w:widowControl w:val="0"/>
        <w:tabs>
          <w:tab w:val="left" w:pos="4620"/>
        </w:tabs>
        <w:kinsoku/>
        <w:wordWrap/>
        <w:overflowPunct/>
        <w:topLinePunct w:val="0"/>
        <w:autoSpaceDE/>
        <w:autoSpaceDN/>
        <w:bidi w:val="0"/>
        <w:spacing w:line="500" w:lineRule="exact"/>
        <w:jc w:val="left"/>
        <w:textAlignment w:val="auto"/>
        <w:rPr>
          <w:rFonts w:hint="eastAsia" w:ascii="宋体" w:hAnsi="宋体" w:eastAsia="宋体" w:cs="@仿宋_GB2312"/>
          <w:b/>
          <w:color w:val="auto"/>
          <w:kern w:val="2"/>
          <w:sz w:val="21"/>
          <w:szCs w:val="24"/>
          <w:highlight w:val="none"/>
          <w:lang w:eastAsia="zh-CN"/>
        </w:rPr>
      </w:pPr>
      <w:r>
        <w:rPr>
          <w:rFonts w:hint="eastAsia" w:ascii="宋体" w:hAnsi="宋体" w:eastAsia="宋体" w:cs="@仿宋_GB2312"/>
          <w:b/>
          <w:color w:val="auto"/>
          <w:kern w:val="2"/>
          <w:sz w:val="21"/>
          <w:szCs w:val="24"/>
          <w:highlight w:val="none"/>
          <w:lang w:eastAsia="zh-CN"/>
        </w:rPr>
        <w:t>注：</w:t>
      </w:r>
    </w:p>
    <w:p w14:paraId="43F3CBD6">
      <w:pPr>
        <w:keepNext w:val="0"/>
        <w:keepLines w:val="0"/>
        <w:pageBreakBefore w:val="0"/>
        <w:widowControl w:val="0"/>
        <w:tabs>
          <w:tab w:val="left" w:pos="4620"/>
        </w:tabs>
        <w:kinsoku/>
        <w:wordWrap/>
        <w:overflowPunct/>
        <w:topLinePunct w:val="0"/>
        <w:autoSpaceDE/>
        <w:autoSpaceDN/>
        <w:bidi w:val="0"/>
        <w:spacing w:line="500" w:lineRule="exact"/>
        <w:jc w:val="left"/>
        <w:textAlignment w:val="auto"/>
        <w:rPr>
          <w:rFonts w:ascii="宋体" w:hAnsi="宋体" w:eastAsia="宋体" w:cs="@仿宋_GB2312"/>
          <w:color w:val="auto"/>
          <w:kern w:val="2"/>
          <w:sz w:val="21"/>
          <w:szCs w:val="24"/>
          <w:highlight w:val="none"/>
        </w:rPr>
      </w:pPr>
      <w:r>
        <w:rPr>
          <w:rFonts w:ascii="宋体" w:hAnsi="宋体" w:eastAsia="宋体" w:cs="@仿宋_GB2312"/>
          <w:color w:val="auto"/>
          <w:kern w:val="2"/>
          <w:sz w:val="21"/>
          <w:szCs w:val="24"/>
          <w:highlight w:val="none"/>
        </w:rPr>
        <w:t>1.从业人员、营业收入、资产总额填报上一年数据，无上一年数据的新成立企业可不填报。</w:t>
      </w:r>
    </w:p>
    <w:p w14:paraId="56559B3E">
      <w:pPr>
        <w:keepNext w:val="0"/>
        <w:keepLines w:val="0"/>
        <w:pageBreakBefore w:val="0"/>
        <w:widowControl w:val="0"/>
        <w:tabs>
          <w:tab w:val="left" w:pos="4620"/>
        </w:tabs>
        <w:kinsoku/>
        <w:wordWrap/>
        <w:overflowPunct/>
        <w:topLinePunct w:val="0"/>
        <w:autoSpaceDE/>
        <w:autoSpaceDN/>
        <w:bidi w:val="0"/>
        <w:spacing w:line="500" w:lineRule="exact"/>
        <w:jc w:val="left"/>
        <w:textAlignment w:val="auto"/>
        <w:rPr>
          <w:rFonts w:cs="宋体"/>
          <w:b/>
          <w:bCs/>
          <w:color w:val="auto"/>
          <w:kern w:val="2"/>
          <w:sz w:val="21"/>
          <w:szCs w:val="21"/>
          <w:highlight w:val="none"/>
        </w:rPr>
      </w:pPr>
      <w:r>
        <w:rPr>
          <w:rFonts w:hint="eastAsia" w:cs="宋体"/>
          <w:b/>
          <w:bCs/>
          <w:color w:val="auto"/>
          <w:sz w:val="21"/>
          <w:szCs w:val="21"/>
          <w:highlight w:val="none"/>
        </w:rPr>
        <w:t>2.</w:t>
      </w:r>
      <w:r>
        <w:rPr>
          <w:rFonts w:hint="eastAsia" w:cs="宋体"/>
          <w:b/>
          <w:bCs/>
          <w:color w:val="auto"/>
          <w:kern w:val="2"/>
          <w:sz w:val="21"/>
          <w:szCs w:val="21"/>
          <w:highlight w:val="none"/>
        </w:rPr>
        <w:t>供应商应根据《政府采购促进中小企业发展管理办法》（财库﹝2020﹞46号）和《关于印发中小企业划型标准规定的通知》(工信部联企业〔2011〕300号)相关规定，如实填写中小企业声明函。</w:t>
      </w:r>
      <w:r>
        <w:rPr>
          <w:rFonts w:hint="eastAsia" w:cs="宋体"/>
          <w:b/>
          <w:bCs/>
          <w:color w:val="auto"/>
          <w:kern w:val="2"/>
          <w:sz w:val="21"/>
          <w:szCs w:val="21"/>
          <w:highlight w:val="none"/>
          <w:lang w:val="zh-CN"/>
        </w:rPr>
        <w:t>如有虚假，将依法承担相应责任。</w:t>
      </w:r>
      <w:r>
        <w:rPr>
          <w:rFonts w:hint="eastAsia" w:cs="宋体"/>
          <w:b/>
          <w:bCs/>
          <w:color w:val="auto"/>
          <w:kern w:val="2"/>
          <w:sz w:val="21"/>
          <w:szCs w:val="21"/>
          <w:highlight w:val="none"/>
        </w:rPr>
        <w:t>供应商自行登录工业和信息化部官网进行中小企业规模类型自测（查询网址https://www.miit.gov.cn/）。</w:t>
      </w:r>
    </w:p>
    <w:p w14:paraId="07F9DF32">
      <w:pPr>
        <w:keepNext w:val="0"/>
        <w:keepLines w:val="0"/>
        <w:pageBreakBefore w:val="0"/>
        <w:widowControl w:val="0"/>
        <w:tabs>
          <w:tab w:val="left" w:pos="4620"/>
        </w:tabs>
        <w:kinsoku/>
        <w:wordWrap/>
        <w:overflowPunct/>
        <w:topLinePunct w:val="0"/>
        <w:autoSpaceDE/>
        <w:autoSpaceDN/>
        <w:bidi w:val="0"/>
        <w:spacing w:line="500" w:lineRule="exact"/>
        <w:jc w:val="left"/>
        <w:textAlignment w:val="auto"/>
        <w:rPr>
          <w:rFonts w:cs="宋体"/>
          <w:b/>
          <w:bCs/>
          <w:color w:val="auto"/>
          <w:kern w:val="2"/>
          <w:sz w:val="21"/>
          <w:szCs w:val="21"/>
          <w:highlight w:val="none"/>
        </w:rPr>
      </w:pPr>
      <w:r>
        <w:rPr>
          <w:rFonts w:hint="eastAsia" w:cs="宋体"/>
          <w:b/>
          <w:bCs/>
          <w:color w:val="auto"/>
          <w:kern w:val="2"/>
          <w:sz w:val="21"/>
          <w:szCs w:val="21"/>
          <w:highlight w:val="none"/>
        </w:rPr>
        <w:t>3.上述“</w:t>
      </w:r>
      <w:r>
        <w:rPr>
          <w:rFonts w:hint="eastAsia" w:cs="宋体"/>
          <w:b/>
          <w:bCs/>
          <w:color w:val="auto"/>
          <w:kern w:val="2"/>
          <w:sz w:val="21"/>
          <w:szCs w:val="21"/>
          <w:highlight w:val="none"/>
          <w:u w:val="single"/>
          <w:lang w:val="zh-CN"/>
        </w:rPr>
        <w:t>标的名称</w:t>
      </w:r>
      <w:r>
        <w:rPr>
          <w:rFonts w:hint="eastAsia" w:cs="宋体"/>
          <w:b/>
          <w:bCs/>
          <w:color w:val="auto"/>
          <w:kern w:val="2"/>
          <w:sz w:val="21"/>
          <w:szCs w:val="21"/>
          <w:highlight w:val="none"/>
        </w:rPr>
        <w:t>”，详见</w:t>
      </w:r>
      <w:r>
        <w:rPr>
          <w:rFonts w:hint="eastAsia" w:cs="宋体"/>
          <w:b/>
          <w:bCs/>
          <w:color w:val="auto"/>
          <w:kern w:val="2"/>
          <w:sz w:val="21"/>
          <w:szCs w:val="21"/>
          <w:highlight w:val="none"/>
          <w:lang w:val="en-US" w:eastAsia="zh-CN"/>
        </w:rPr>
        <w:t>招标文件</w:t>
      </w:r>
      <w:r>
        <w:rPr>
          <w:rFonts w:hint="eastAsia" w:cs="宋体"/>
          <w:b/>
          <w:bCs/>
          <w:color w:val="auto"/>
          <w:kern w:val="2"/>
          <w:sz w:val="21"/>
          <w:szCs w:val="21"/>
          <w:highlight w:val="none"/>
        </w:rPr>
        <w:t>中明确的“标的名称”。</w:t>
      </w:r>
    </w:p>
    <w:p w14:paraId="1051ED0A">
      <w:pPr>
        <w:keepNext w:val="0"/>
        <w:keepLines w:val="0"/>
        <w:pageBreakBefore w:val="0"/>
        <w:widowControl w:val="0"/>
        <w:tabs>
          <w:tab w:val="left" w:pos="4620"/>
        </w:tabs>
        <w:kinsoku/>
        <w:wordWrap/>
        <w:overflowPunct/>
        <w:topLinePunct w:val="0"/>
        <w:autoSpaceDE/>
        <w:autoSpaceDN/>
        <w:bidi w:val="0"/>
        <w:spacing w:line="500" w:lineRule="exact"/>
        <w:jc w:val="left"/>
        <w:textAlignment w:val="auto"/>
        <w:rPr>
          <w:rFonts w:cs="宋体"/>
          <w:b/>
          <w:bCs/>
          <w:color w:val="auto"/>
          <w:kern w:val="2"/>
          <w:sz w:val="21"/>
          <w:szCs w:val="21"/>
          <w:highlight w:val="none"/>
        </w:rPr>
      </w:pPr>
      <w:r>
        <w:rPr>
          <w:rFonts w:hint="eastAsia" w:cs="宋体"/>
          <w:b/>
          <w:bCs/>
          <w:color w:val="auto"/>
          <w:kern w:val="2"/>
          <w:sz w:val="21"/>
          <w:szCs w:val="21"/>
          <w:highlight w:val="none"/>
        </w:rPr>
        <w:t>4.上述“</w:t>
      </w:r>
      <w:r>
        <w:rPr>
          <w:rFonts w:hint="eastAsia" w:cs="宋体"/>
          <w:b/>
          <w:bCs/>
          <w:color w:val="auto"/>
          <w:kern w:val="2"/>
          <w:sz w:val="21"/>
          <w:szCs w:val="21"/>
          <w:highlight w:val="none"/>
          <w:u w:val="single"/>
          <w:lang w:val="en-US" w:eastAsia="zh-CN"/>
        </w:rPr>
        <w:t>招标</w:t>
      </w:r>
      <w:r>
        <w:rPr>
          <w:rFonts w:hint="eastAsia" w:cs="宋体"/>
          <w:b/>
          <w:bCs/>
          <w:color w:val="auto"/>
          <w:kern w:val="2"/>
          <w:sz w:val="21"/>
          <w:szCs w:val="21"/>
          <w:highlight w:val="none"/>
          <w:u w:val="single"/>
        </w:rPr>
        <w:t>文件中明确的所属行业</w:t>
      </w:r>
      <w:r>
        <w:rPr>
          <w:rFonts w:hint="eastAsia" w:cs="宋体"/>
          <w:b/>
          <w:bCs/>
          <w:color w:val="auto"/>
          <w:kern w:val="2"/>
          <w:sz w:val="21"/>
          <w:szCs w:val="21"/>
          <w:highlight w:val="none"/>
        </w:rPr>
        <w:t>”，详见</w:t>
      </w:r>
      <w:r>
        <w:rPr>
          <w:rFonts w:hint="eastAsia" w:cs="宋体"/>
          <w:b/>
          <w:bCs/>
          <w:color w:val="auto"/>
          <w:kern w:val="2"/>
          <w:sz w:val="21"/>
          <w:szCs w:val="21"/>
          <w:highlight w:val="none"/>
          <w:lang w:val="en-US" w:eastAsia="zh-CN"/>
        </w:rPr>
        <w:t>招标文件</w:t>
      </w:r>
      <w:r>
        <w:rPr>
          <w:rFonts w:hint="eastAsia" w:cs="宋体"/>
          <w:b/>
          <w:bCs/>
          <w:color w:val="auto"/>
          <w:kern w:val="2"/>
          <w:sz w:val="21"/>
          <w:szCs w:val="21"/>
          <w:highlight w:val="none"/>
        </w:rPr>
        <w:t>中明确的“所属行业”。</w:t>
      </w:r>
    </w:p>
    <w:p w14:paraId="177EB3BF">
      <w:pPr>
        <w:keepNext w:val="0"/>
        <w:keepLines w:val="0"/>
        <w:pageBreakBefore w:val="0"/>
        <w:widowControl w:val="0"/>
        <w:kinsoku/>
        <w:wordWrap/>
        <w:overflowPunct/>
        <w:topLinePunct w:val="0"/>
        <w:autoSpaceDE/>
        <w:autoSpaceDN/>
        <w:bidi w:val="0"/>
        <w:adjustRightInd w:val="0"/>
        <w:snapToGrid w:val="0"/>
        <w:spacing w:line="500" w:lineRule="exact"/>
        <w:jc w:val="left"/>
        <w:textAlignment w:val="auto"/>
        <w:rPr>
          <w:rFonts w:hint="eastAsia"/>
          <w:b/>
          <w:color w:val="auto"/>
          <w:sz w:val="28"/>
          <w:szCs w:val="28"/>
          <w:highlight w:val="none"/>
        </w:rPr>
      </w:pPr>
      <w:r>
        <w:rPr>
          <w:rFonts w:hint="eastAsia" w:cs="宋体"/>
          <w:b/>
          <w:bCs/>
          <w:color w:val="auto"/>
          <w:kern w:val="2"/>
          <w:sz w:val="21"/>
          <w:szCs w:val="21"/>
          <w:highlight w:val="none"/>
        </w:rPr>
        <w:t>5．</w:t>
      </w:r>
      <w:r>
        <w:rPr>
          <w:rFonts w:hint="eastAsia" w:cs="宋体"/>
          <w:b/>
          <w:bCs/>
          <w:color w:val="auto"/>
          <w:szCs w:val="21"/>
          <w:highlight w:val="none"/>
        </w:rPr>
        <w:t>填写示例：</w:t>
      </w:r>
      <w:r>
        <w:rPr>
          <w:rFonts w:hint="eastAsia" w:cs="宋体"/>
          <w:b/>
          <w:bCs/>
          <w:color w:val="auto"/>
          <w:szCs w:val="21"/>
          <w:highlight w:val="none"/>
          <w:u w:val="single"/>
        </w:rPr>
        <w:t>某标的名称</w:t>
      </w:r>
      <w:r>
        <w:rPr>
          <w:rFonts w:hint="eastAsia" w:cs="宋体"/>
          <w:b/>
          <w:bCs/>
          <w:color w:val="auto"/>
          <w:szCs w:val="21"/>
          <w:highlight w:val="none"/>
        </w:rPr>
        <w:t>（</w:t>
      </w:r>
      <w:r>
        <w:rPr>
          <w:rFonts w:hint="eastAsia" w:cs="宋体"/>
          <w:b/>
          <w:bCs/>
          <w:color w:val="auto"/>
          <w:szCs w:val="21"/>
          <w:highlight w:val="none"/>
          <w:u w:val="single"/>
        </w:rPr>
        <w:t>填写</w:t>
      </w:r>
      <w:r>
        <w:rPr>
          <w:rFonts w:hint="eastAsia" w:cs="宋体"/>
          <w:b/>
          <w:bCs/>
          <w:color w:val="auto"/>
          <w:szCs w:val="21"/>
          <w:highlight w:val="none"/>
          <w:u w:val="single"/>
          <w:lang w:val="en-US" w:eastAsia="zh-CN"/>
        </w:rPr>
        <w:t>招标文件</w:t>
      </w:r>
      <w:r>
        <w:rPr>
          <w:rFonts w:hint="eastAsia" w:cs="宋体"/>
          <w:b/>
          <w:bCs/>
          <w:color w:val="auto"/>
          <w:szCs w:val="21"/>
          <w:highlight w:val="none"/>
          <w:u w:val="single"/>
        </w:rPr>
        <w:t>中明确的“标的名称”</w:t>
      </w:r>
      <w:r>
        <w:rPr>
          <w:rFonts w:hint="eastAsia" w:cs="宋体"/>
          <w:b/>
          <w:bCs/>
          <w:color w:val="auto"/>
          <w:szCs w:val="21"/>
          <w:highlight w:val="none"/>
        </w:rPr>
        <w:t>），属于</w:t>
      </w:r>
      <w:r>
        <w:rPr>
          <w:rFonts w:hint="eastAsia" w:cs="宋体"/>
          <w:b/>
          <w:bCs/>
          <w:color w:val="auto"/>
          <w:szCs w:val="21"/>
          <w:highlight w:val="none"/>
          <w:u w:val="single"/>
        </w:rPr>
        <w:t>（填写</w:t>
      </w:r>
      <w:r>
        <w:rPr>
          <w:rFonts w:hint="eastAsia" w:cs="宋体"/>
          <w:b/>
          <w:bCs/>
          <w:color w:val="auto"/>
          <w:szCs w:val="21"/>
          <w:highlight w:val="none"/>
          <w:u w:val="single"/>
          <w:lang w:val="en-US" w:eastAsia="zh-CN"/>
        </w:rPr>
        <w:t>招标文件</w:t>
      </w:r>
      <w:r>
        <w:rPr>
          <w:rFonts w:hint="eastAsia" w:cs="宋体"/>
          <w:b/>
          <w:bCs/>
          <w:color w:val="auto"/>
          <w:szCs w:val="21"/>
          <w:highlight w:val="none"/>
          <w:u w:val="single"/>
        </w:rPr>
        <w:t>中明确的“所属行业”，如建筑业）</w:t>
      </w:r>
      <w:r>
        <w:rPr>
          <w:rFonts w:hint="eastAsia" w:cs="宋体"/>
          <w:b/>
          <w:bCs/>
          <w:color w:val="auto"/>
          <w:szCs w:val="21"/>
          <w:highlight w:val="none"/>
        </w:rPr>
        <w:t>行业；承接企业为</w:t>
      </w:r>
      <w:r>
        <w:rPr>
          <w:rFonts w:hint="eastAsia" w:cs="宋体"/>
          <w:b/>
          <w:bCs/>
          <w:color w:val="auto"/>
          <w:szCs w:val="21"/>
          <w:highlight w:val="none"/>
          <w:u w:val="single"/>
          <w:lang w:val="zh-CN"/>
        </w:rPr>
        <w:t>某公司</w:t>
      </w:r>
      <w:r>
        <w:rPr>
          <w:rFonts w:hint="eastAsia" w:cs="宋体"/>
          <w:b/>
          <w:bCs/>
          <w:color w:val="auto"/>
          <w:szCs w:val="21"/>
          <w:highlight w:val="none"/>
        </w:rPr>
        <w:t>，</w:t>
      </w:r>
      <w:r>
        <w:rPr>
          <w:rFonts w:hint="eastAsia" w:cs="宋体"/>
          <w:b/>
          <w:bCs/>
          <w:color w:val="auto"/>
          <w:szCs w:val="21"/>
          <w:highlight w:val="none"/>
          <w:lang w:val="zh-CN"/>
        </w:rPr>
        <w:t>从业人员</w:t>
      </w:r>
      <w:r>
        <w:rPr>
          <w:rFonts w:hint="eastAsia" w:cs="宋体"/>
          <w:b/>
          <w:bCs/>
          <w:color w:val="auto"/>
          <w:szCs w:val="21"/>
          <w:highlight w:val="none"/>
          <w:u w:val="single"/>
        </w:rPr>
        <w:t>100</w:t>
      </w:r>
      <w:r>
        <w:rPr>
          <w:rFonts w:hint="eastAsia" w:cs="宋体"/>
          <w:b/>
          <w:bCs/>
          <w:color w:val="auto"/>
          <w:szCs w:val="21"/>
          <w:highlight w:val="none"/>
          <w:lang w:val="zh-CN"/>
        </w:rPr>
        <w:t>人</w:t>
      </w:r>
      <w:r>
        <w:rPr>
          <w:rFonts w:hint="eastAsia" w:cs="宋体"/>
          <w:b/>
          <w:bCs/>
          <w:color w:val="auto"/>
          <w:szCs w:val="21"/>
          <w:highlight w:val="none"/>
        </w:rPr>
        <w:t>，</w:t>
      </w:r>
      <w:r>
        <w:rPr>
          <w:rFonts w:hint="eastAsia" w:cs="宋体"/>
          <w:b/>
          <w:bCs/>
          <w:color w:val="auto"/>
          <w:szCs w:val="21"/>
          <w:highlight w:val="none"/>
          <w:lang w:val="zh-CN"/>
        </w:rPr>
        <w:t>营业收入为</w:t>
      </w:r>
      <w:r>
        <w:rPr>
          <w:rFonts w:hint="eastAsia" w:cs="宋体"/>
          <w:b/>
          <w:bCs/>
          <w:color w:val="auto"/>
          <w:szCs w:val="21"/>
          <w:highlight w:val="none"/>
          <w:u w:val="single"/>
        </w:rPr>
        <w:t>10000</w:t>
      </w:r>
      <w:r>
        <w:rPr>
          <w:rFonts w:hint="eastAsia" w:cs="宋体"/>
          <w:b/>
          <w:bCs/>
          <w:color w:val="auto"/>
          <w:szCs w:val="21"/>
          <w:highlight w:val="none"/>
          <w:lang w:val="zh-CN"/>
        </w:rPr>
        <w:t>万元</w:t>
      </w:r>
      <w:r>
        <w:rPr>
          <w:rFonts w:hint="eastAsia" w:cs="宋体"/>
          <w:b/>
          <w:bCs/>
          <w:color w:val="auto"/>
          <w:szCs w:val="21"/>
          <w:highlight w:val="none"/>
        </w:rPr>
        <w:t>，</w:t>
      </w:r>
      <w:r>
        <w:rPr>
          <w:rFonts w:hint="eastAsia" w:cs="宋体"/>
          <w:b/>
          <w:bCs/>
          <w:color w:val="auto"/>
          <w:szCs w:val="21"/>
          <w:highlight w:val="none"/>
          <w:lang w:val="zh-CN"/>
        </w:rPr>
        <w:t>资产总额为</w:t>
      </w:r>
      <w:r>
        <w:rPr>
          <w:rFonts w:hint="eastAsia" w:cs="宋体"/>
          <w:b/>
          <w:bCs/>
          <w:color w:val="auto"/>
          <w:szCs w:val="21"/>
          <w:highlight w:val="none"/>
          <w:u w:val="single"/>
        </w:rPr>
        <w:t>5000</w:t>
      </w:r>
      <w:r>
        <w:rPr>
          <w:rFonts w:hint="eastAsia" w:cs="宋体"/>
          <w:b/>
          <w:bCs/>
          <w:color w:val="auto"/>
          <w:szCs w:val="21"/>
          <w:highlight w:val="none"/>
          <w:lang w:val="zh-CN"/>
        </w:rPr>
        <w:t>万元</w:t>
      </w:r>
      <w:r>
        <w:rPr>
          <w:rFonts w:hint="eastAsia" w:cs="宋体"/>
          <w:b/>
          <w:bCs/>
          <w:color w:val="auto"/>
          <w:szCs w:val="21"/>
          <w:highlight w:val="none"/>
        </w:rPr>
        <w:t>，</w:t>
      </w:r>
      <w:r>
        <w:rPr>
          <w:rFonts w:hint="eastAsia" w:cs="宋体"/>
          <w:b/>
          <w:bCs/>
          <w:color w:val="auto"/>
          <w:szCs w:val="21"/>
          <w:highlight w:val="none"/>
          <w:lang w:val="zh-CN"/>
        </w:rPr>
        <w:t>属于</w:t>
      </w:r>
      <w:r>
        <w:rPr>
          <w:rFonts w:hint="eastAsia" w:cs="宋体"/>
          <w:b/>
          <w:bCs/>
          <w:color w:val="auto"/>
          <w:szCs w:val="21"/>
          <w:highlight w:val="none"/>
        </w:rPr>
        <w:t>中</w:t>
      </w:r>
      <w:r>
        <w:rPr>
          <w:rFonts w:hint="eastAsia" w:cs="宋体"/>
          <w:b/>
          <w:bCs/>
          <w:color w:val="auto"/>
          <w:szCs w:val="21"/>
          <w:highlight w:val="none"/>
          <w:u w:val="single"/>
          <w:lang w:val="zh-CN"/>
        </w:rPr>
        <w:t>型</w:t>
      </w:r>
      <w:r>
        <w:rPr>
          <w:rFonts w:hint="eastAsia" w:cs="宋体"/>
          <w:b/>
          <w:bCs/>
          <w:color w:val="auto"/>
          <w:szCs w:val="21"/>
          <w:highlight w:val="none"/>
          <w:lang w:val="zh-CN"/>
        </w:rPr>
        <w:t>企业</w:t>
      </w:r>
      <w:r>
        <w:rPr>
          <w:rFonts w:hint="eastAsia" w:cs="宋体"/>
          <w:b/>
          <w:bCs/>
          <w:color w:val="auto"/>
          <w:szCs w:val="21"/>
          <w:highlight w:val="none"/>
        </w:rPr>
        <w:t>[供应商自行登录工业和信息化部官网进行中小企业规模类型自测（查询网址https://www.miit.gov.cn/）]</w:t>
      </w:r>
      <w:r>
        <w:rPr>
          <w:rFonts w:hint="eastAsia" w:cs="宋体"/>
          <w:b/>
          <w:bCs/>
          <w:color w:val="auto"/>
          <w:kern w:val="2"/>
          <w:sz w:val="21"/>
          <w:szCs w:val="21"/>
          <w:highlight w:val="none"/>
          <w:lang w:val="zh-CN"/>
        </w:rPr>
        <w:t>。</w:t>
      </w:r>
    </w:p>
    <w:p w14:paraId="061B3CF6">
      <w:pPr>
        <w:pStyle w:val="19"/>
        <w:rPr>
          <w:rFonts w:hint="eastAsia"/>
          <w:color w:val="auto"/>
          <w:highlight w:val="none"/>
        </w:rPr>
      </w:pPr>
    </w:p>
    <w:bookmarkEnd w:id="1494"/>
    <w:bookmarkEnd w:id="1495"/>
    <w:bookmarkEnd w:id="1496"/>
    <w:bookmarkEnd w:id="1497"/>
    <w:p w14:paraId="32FF4FAA">
      <w:pPr>
        <w:pStyle w:val="4"/>
        <w:adjustRightInd w:val="0"/>
        <w:snapToGrid w:val="0"/>
        <w:spacing w:before="0" w:after="0" w:line="560" w:lineRule="exact"/>
        <w:jc w:val="center"/>
        <w:rPr>
          <w:color w:val="auto"/>
          <w:highlight w:val="none"/>
        </w:rPr>
      </w:pPr>
      <w:bookmarkStart w:id="1498" w:name="_Toc95223538"/>
      <w:r>
        <w:rPr>
          <w:rFonts w:hint="eastAsia"/>
          <w:color w:val="auto"/>
          <w:highlight w:val="none"/>
        </w:rPr>
        <w:t>（</w:t>
      </w:r>
      <w:r>
        <w:rPr>
          <w:rFonts w:hint="eastAsia"/>
          <w:color w:val="auto"/>
          <w:highlight w:val="none"/>
          <w:lang w:val="en-US" w:eastAsia="zh-CN"/>
        </w:rPr>
        <w:t>7</w:t>
      </w:r>
      <w:r>
        <w:rPr>
          <w:rFonts w:hint="eastAsia"/>
          <w:color w:val="auto"/>
          <w:highlight w:val="none"/>
        </w:rPr>
        <w:t>）</w:t>
      </w:r>
      <w:r>
        <w:rPr>
          <w:color w:val="auto"/>
          <w:highlight w:val="none"/>
        </w:rPr>
        <w:t>项目管理机构</w:t>
      </w:r>
    </w:p>
    <w:p w14:paraId="29D64156">
      <w:pPr>
        <w:pStyle w:val="5"/>
        <w:jc w:val="center"/>
        <w:rPr>
          <w:color w:val="auto"/>
          <w:highlight w:val="none"/>
        </w:rPr>
      </w:pPr>
      <w:r>
        <w:rPr>
          <w:rFonts w:hint="eastAsia"/>
          <w:color w:val="auto"/>
          <w:highlight w:val="none"/>
        </w:rPr>
        <w:t>附表1：</w:t>
      </w:r>
      <w:r>
        <w:rPr>
          <w:color w:val="auto"/>
          <w:highlight w:val="none"/>
        </w:rPr>
        <w:t>项目管理机构</w:t>
      </w:r>
      <w:r>
        <w:rPr>
          <w:rFonts w:hint="eastAsia"/>
          <w:color w:val="auto"/>
          <w:highlight w:val="none"/>
        </w:rPr>
        <w:t>主要人员</w:t>
      </w:r>
      <w:r>
        <w:rPr>
          <w:color w:val="auto"/>
          <w:highlight w:val="none"/>
        </w:rPr>
        <w:t>组成表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944"/>
        <w:gridCol w:w="812"/>
        <w:gridCol w:w="1220"/>
        <w:gridCol w:w="812"/>
        <w:gridCol w:w="814"/>
        <w:gridCol w:w="811"/>
        <w:gridCol w:w="2848"/>
        <w:gridCol w:w="759"/>
      </w:tblGrid>
      <w:tr w14:paraId="4A0D5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616" w:type="dxa"/>
            <w:vMerge w:val="restart"/>
            <w:noWrap w:val="0"/>
            <w:vAlign w:val="center"/>
          </w:tcPr>
          <w:p w14:paraId="0FFDF628">
            <w:pPr>
              <w:adjustRightInd w:val="0"/>
              <w:snapToGrid w:val="0"/>
              <w:spacing w:line="560" w:lineRule="exact"/>
              <w:jc w:val="center"/>
              <w:rPr>
                <w:color w:val="auto"/>
                <w:szCs w:val="21"/>
                <w:highlight w:val="none"/>
              </w:rPr>
            </w:pPr>
            <w:r>
              <w:rPr>
                <w:color w:val="auto"/>
                <w:szCs w:val="21"/>
                <w:highlight w:val="none"/>
              </w:rPr>
              <w:t>职务</w:t>
            </w:r>
          </w:p>
        </w:tc>
        <w:tc>
          <w:tcPr>
            <w:tcW w:w="944" w:type="dxa"/>
            <w:vMerge w:val="restart"/>
            <w:noWrap w:val="0"/>
            <w:vAlign w:val="center"/>
          </w:tcPr>
          <w:p w14:paraId="5FAB145F">
            <w:pPr>
              <w:adjustRightInd w:val="0"/>
              <w:snapToGrid w:val="0"/>
              <w:spacing w:line="560" w:lineRule="exact"/>
              <w:jc w:val="center"/>
              <w:rPr>
                <w:color w:val="auto"/>
                <w:szCs w:val="21"/>
                <w:highlight w:val="none"/>
              </w:rPr>
            </w:pPr>
            <w:r>
              <w:rPr>
                <w:color w:val="auto"/>
                <w:szCs w:val="21"/>
                <w:highlight w:val="none"/>
              </w:rPr>
              <w:t>姓名</w:t>
            </w:r>
          </w:p>
        </w:tc>
        <w:tc>
          <w:tcPr>
            <w:tcW w:w="812" w:type="dxa"/>
            <w:vMerge w:val="restart"/>
            <w:noWrap w:val="0"/>
            <w:vAlign w:val="center"/>
          </w:tcPr>
          <w:p w14:paraId="450D1A4F">
            <w:pPr>
              <w:adjustRightInd w:val="0"/>
              <w:snapToGrid w:val="0"/>
              <w:spacing w:line="560" w:lineRule="exact"/>
              <w:jc w:val="center"/>
              <w:rPr>
                <w:color w:val="auto"/>
                <w:szCs w:val="21"/>
                <w:highlight w:val="none"/>
              </w:rPr>
            </w:pPr>
            <w:r>
              <w:rPr>
                <w:color w:val="auto"/>
                <w:szCs w:val="21"/>
                <w:highlight w:val="none"/>
              </w:rPr>
              <w:t>职称</w:t>
            </w:r>
          </w:p>
        </w:tc>
        <w:tc>
          <w:tcPr>
            <w:tcW w:w="6505" w:type="dxa"/>
            <w:gridSpan w:val="5"/>
            <w:noWrap w:val="0"/>
            <w:vAlign w:val="center"/>
          </w:tcPr>
          <w:p w14:paraId="3C12A3AA">
            <w:pPr>
              <w:adjustRightInd w:val="0"/>
              <w:snapToGrid w:val="0"/>
              <w:spacing w:line="560" w:lineRule="exact"/>
              <w:jc w:val="center"/>
              <w:rPr>
                <w:color w:val="auto"/>
                <w:szCs w:val="21"/>
                <w:highlight w:val="none"/>
              </w:rPr>
            </w:pPr>
            <w:r>
              <w:rPr>
                <w:color w:val="auto"/>
                <w:szCs w:val="21"/>
                <w:highlight w:val="none"/>
              </w:rPr>
              <w:t>执业或职业资格证明</w:t>
            </w:r>
          </w:p>
        </w:tc>
        <w:tc>
          <w:tcPr>
            <w:tcW w:w="759" w:type="dxa"/>
            <w:noWrap w:val="0"/>
            <w:vAlign w:val="center"/>
          </w:tcPr>
          <w:p w14:paraId="0B32F4C7">
            <w:pPr>
              <w:adjustRightInd w:val="0"/>
              <w:snapToGrid w:val="0"/>
              <w:spacing w:line="560" w:lineRule="exact"/>
              <w:jc w:val="center"/>
              <w:rPr>
                <w:color w:val="auto"/>
                <w:szCs w:val="21"/>
                <w:highlight w:val="none"/>
              </w:rPr>
            </w:pPr>
            <w:r>
              <w:rPr>
                <w:color w:val="auto"/>
                <w:szCs w:val="21"/>
                <w:highlight w:val="none"/>
              </w:rPr>
              <w:t>备注</w:t>
            </w:r>
          </w:p>
        </w:tc>
      </w:tr>
      <w:tr w14:paraId="0DA7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616" w:type="dxa"/>
            <w:vMerge w:val="continue"/>
            <w:noWrap w:val="0"/>
            <w:vAlign w:val="center"/>
          </w:tcPr>
          <w:p w14:paraId="59EB3513">
            <w:pPr>
              <w:adjustRightInd w:val="0"/>
              <w:snapToGrid w:val="0"/>
              <w:spacing w:line="560" w:lineRule="exact"/>
              <w:jc w:val="center"/>
              <w:rPr>
                <w:color w:val="auto"/>
                <w:szCs w:val="21"/>
                <w:highlight w:val="none"/>
              </w:rPr>
            </w:pPr>
          </w:p>
        </w:tc>
        <w:tc>
          <w:tcPr>
            <w:tcW w:w="944" w:type="dxa"/>
            <w:vMerge w:val="continue"/>
            <w:noWrap w:val="0"/>
            <w:vAlign w:val="center"/>
          </w:tcPr>
          <w:p w14:paraId="7FAF2AAA">
            <w:pPr>
              <w:adjustRightInd w:val="0"/>
              <w:snapToGrid w:val="0"/>
              <w:spacing w:line="560" w:lineRule="exact"/>
              <w:jc w:val="center"/>
              <w:rPr>
                <w:color w:val="auto"/>
                <w:szCs w:val="21"/>
                <w:highlight w:val="none"/>
              </w:rPr>
            </w:pPr>
          </w:p>
        </w:tc>
        <w:tc>
          <w:tcPr>
            <w:tcW w:w="812" w:type="dxa"/>
            <w:vMerge w:val="continue"/>
            <w:noWrap w:val="0"/>
            <w:vAlign w:val="center"/>
          </w:tcPr>
          <w:p w14:paraId="205610CE">
            <w:pPr>
              <w:adjustRightInd w:val="0"/>
              <w:snapToGrid w:val="0"/>
              <w:spacing w:line="560" w:lineRule="exact"/>
              <w:jc w:val="center"/>
              <w:rPr>
                <w:color w:val="auto"/>
                <w:szCs w:val="21"/>
                <w:highlight w:val="none"/>
              </w:rPr>
            </w:pPr>
          </w:p>
        </w:tc>
        <w:tc>
          <w:tcPr>
            <w:tcW w:w="1220" w:type="dxa"/>
            <w:noWrap w:val="0"/>
            <w:vAlign w:val="center"/>
          </w:tcPr>
          <w:p w14:paraId="4A4C7A7C">
            <w:pPr>
              <w:adjustRightInd w:val="0"/>
              <w:snapToGrid w:val="0"/>
              <w:spacing w:line="560" w:lineRule="exact"/>
              <w:jc w:val="center"/>
              <w:rPr>
                <w:color w:val="auto"/>
                <w:szCs w:val="21"/>
                <w:highlight w:val="none"/>
              </w:rPr>
            </w:pPr>
            <w:r>
              <w:rPr>
                <w:color w:val="auto"/>
                <w:szCs w:val="21"/>
                <w:highlight w:val="none"/>
              </w:rPr>
              <w:t>证书名称</w:t>
            </w:r>
          </w:p>
        </w:tc>
        <w:tc>
          <w:tcPr>
            <w:tcW w:w="812" w:type="dxa"/>
            <w:noWrap w:val="0"/>
            <w:vAlign w:val="center"/>
          </w:tcPr>
          <w:p w14:paraId="125ED1F1">
            <w:pPr>
              <w:adjustRightInd w:val="0"/>
              <w:snapToGrid w:val="0"/>
              <w:spacing w:line="560" w:lineRule="exact"/>
              <w:jc w:val="center"/>
              <w:rPr>
                <w:color w:val="auto"/>
                <w:szCs w:val="21"/>
                <w:highlight w:val="none"/>
              </w:rPr>
            </w:pPr>
            <w:r>
              <w:rPr>
                <w:color w:val="auto"/>
                <w:szCs w:val="21"/>
                <w:highlight w:val="none"/>
              </w:rPr>
              <w:t>级别</w:t>
            </w:r>
          </w:p>
        </w:tc>
        <w:tc>
          <w:tcPr>
            <w:tcW w:w="814" w:type="dxa"/>
            <w:noWrap w:val="0"/>
            <w:vAlign w:val="center"/>
          </w:tcPr>
          <w:p w14:paraId="2496B913">
            <w:pPr>
              <w:adjustRightInd w:val="0"/>
              <w:snapToGrid w:val="0"/>
              <w:spacing w:line="560" w:lineRule="exact"/>
              <w:jc w:val="center"/>
              <w:rPr>
                <w:color w:val="auto"/>
                <w:szCs w:val="21"/>
                <w:highlight w:val="none"/>
              </w:rPr>
            </w:pPr>
            <w:r>
              <w:rPr>
                <w:color w:val="auto"/>
                <w:szCs w:val="21"/>
                <w:highlight w:val="none"/>
              </w:rPr>
              <w:t>证号</w:t>
            </w:r>
          </w:p>
        </w:tc>
        <w:tc>
          <w:tcPr>
            <w:tcW w:w="811" w:type="dxa"/>
            <w:noWrap w:val="0"/>
            <w:vAlign w:val="center"/>
          </w:tcPr>
          <w:p w14:paraId="055B3064">
            <w:pPr>
              <w:adjustRightInd w:val="0"/>
              <w:snapToGrid w:val="0"/>
              <w:spacing w:line="560" w:lineRule="exact"/>
              <w:jc w:val="center"/>
              <w:rPr>
                <w:color w:val="auto"/>
                <w:szCs w:val="21"/>
                <w:highlight w:val="none"/>
              </w:rPr>
            </w:pPr>
            <w:r>
              <w:rPr>
                <w:color w:val="auto"/>
                <w:szCs w:val="21"/>
                <w:highlight w:val="none"/>
              </w:rPr>
              <w:t>专业</w:t>
            </w:r>
          </w:p>
        </w:tc>
        <w:tc>
          <w:tcPr>
            <w:tcW w:w="2848" w:type="dxa"/>
            <w:noWrap w:val="0"/>
            <w:vAlign w:val="center"/>
          </w:tcPr>
          <w:p w14:paraId="38222DFC">
            <w:pPr>
              <w:adjustRightInd w:val="0"/>
              <w:snapToGrid w:val="0"/>
              <w:spacing w:line="560" w:lineRule="exact"/>
              <w:jc w:val="center"/>
              <w:rPr>
                <w:color w:val="auto"/>
                <w:szCs w:val="21"/>
                <w:highlight w:val="none"/>
              </w:rPr>
            </w:pPr>
            <w:r>
              <w:rPr>
                <w:color w:val="auto"/>
                <w:szCs w:val="21"/>
                <w:highlight w:val="none"/>
              </w:rPr>
              <w:t>养老保险</w:t>
            </w:r>
          </w:p>
        </w:tc>
        <w:tc>
          <w:tcPr>
            <w:tcW w:w="759" w:type="dxa"/>
            <w:noWrap w:val="0"/>
            <w:vAlign w:val="center"/>
          </w:tcPr>
          <w:p w14:paraId="2791B055">
            <w:pPr>
              <w:adjustRightInd w:val="0"/>
              <w:snapToGrid w:val="0"/>
              <w:spacing w:line="560" w:lineRule="exact"/>
              <w:jc w:val="center"/>
              <w:rPr>
                <w:color w:val="auto"/>
                <w:szCs w:val="21"/>
                <w:highlight w:val="none"/>
              </w:rPr>
            </w:pPr>
          </w:p>
        </w:tc>
      </w:tr>
      <w:tr w14:paraId="3986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616" w:type="dxa"/>
            <w:noWrap w:val="0"/>
            <w:vAlign w:val="center"/>
          </w:tcPr>
          <w:p w14:paraId="2A9E28D4">
            <w:pPr>
              <w:adjustRightInd w:val="0"/>
              <w:snapToGrid w:val="0"/>
              <w:spacing w:line="560" w:lineRule="exact"/>
              <w:jc w:val="center"/>
              <w:rPr>
                <w:color w:val="auto"/>
                <w:szCs w:val="21"/>
                <w:highlight w:val="none"/>
              </w:rPr>
            </w:pPr>
            <w:r>
              <w:rPr>
                <w:rFonts w:hint="eastAsia"/>
                <w:color w:val="auto"/>
                <w:szCs w:val="21"/>
                <w:highlight w:val="none"/>
              </w:rPr>
              <w:t>项目经理</w:t>
            </w:r>
            <w:r>
              <w:rPr>
                <w:rFonts w:hint="eastAsia"/>
                <w:color w:val="auto"/>
                <w:szCs w:val="21"/>
                <w:highlight w:val="none"/>
                <w:lang w:val="en-US" w:eastAsia="zh-CN"/>
              </w:rPr>
              <w:t>A岗</w:t>
            </w:r>
            <w:r>
              <w:rPr>
                <w:rFonts w:hint="eastAsia"/>
                <w:color w:val="auto"/>
                <w:szCs w:val="21"/>
                <w:highlight w:val="none"/>
              </w:rPr>
              <w:t>（建造师）</w:t>
            </w:r>
          </w:p>
        </w:tc>
        <w:tc>
          <w:tcPr>
            <w:tcW w:w="944" w:type="dxa"/>
            <w:noWrap w:val="0"/>
            <w:vAlign w:val="center"/>
          </w:tcPr>
          <w:p w14:paraId="027EA9DC">
            <w:pPr>
              <w:adjustRightInd w:val="0"/>
              <w:snapToGrid w:val="0"/>
              <w:spacing w:line="560" w:lineRule="exact"/>
              <w:jc w:val="center"/>
              <w:rPr>
                <w:color w:val="auto"/>
                <w:szCs w:val="21"/>
                <w:highlight w:val="none"/>
              </w:rPr>
            </w:pPr>
          </w:p>
        </w:tc>
        <w:tc>
          <w:tcPr>
            <w:tcW w:w="812" w:type="dxa"/>
            <w:noWrap w:val="0"/>
            <w:vAlign w:val="center"/>
          </w:tcPr>
          <w:p w14:paraId="11DD3AF4">
            <w:pPr>
              <w:adjustRightInd w:val="0"/>
              <w:snapToGrid w:val="0"/>
              <w:spacing w:line="560" w:lineRule="exact"/>
              <w:jc w:val="center"/>
              <w:rPr>
                <w:color w:val="auto"/>
                <w:szCs w:val="21"/>
                <w:highlight w:val="none"/>
              </w:rPr>
            </w:pPr>
          </w:p>
        </w:tc>
        <w:tc>
          <w:tcPr>
            <w:tcW w:w="1220" w:type="dxa"/>
            <w:noWrap w:val="0"/>
            <w:vAlign w:val="center"/>
          </w:tcPr>
          <w:p w14:paraId="190C7D97">
            <w:pPr>
              <w:adjustRightInd w:val="0"/>
              <w:snapToGrid w:val="0"/>
              <w:spacing w:line="560" w:lineRule="exact"/>
              <w:jc w:val="center"/>
              <w:rPr>
                <w:color w:val="auto"/>
                <w:szCs w:val="21"/>
                <w:highlight w:val="none"/>
              </w:rPr>
            </w:pPr>
          </w:p>
        </w:tc>
        <w:tc>
          <w:tcPr>
            <w:tcW w:w="812" w:type="dxa"/>
            <w:noWrap w:val="0"/>
            <w:vAlign w:val="center"/>
          </w:tcPr>
          <w:p w14:paraId="6FD88BF5">
            <w:pPr>
              <w:adjustRightInd w:val="0"/>
              <w:snapToGrid w:val="0"/>
              <w:spacing w:line="560" w:lineRule="exact"/>
              <w:jc w:val="center"/>
              <w:rPr>
                <w:color w:val="auto"/>
                <w:szCs w:val="21"/>
                <w:highlight w:val="none"/>
              </w:rPr>
            </w:pPr>
          </w:p>
        </w:tc>
        <w:tc>
          <w:tcPr>
            <w:tcW w:w="814" w:type="dxa"/>
            <w:noWrap w:val="0"/>
            <w:vAlign w:val="center"/>
          </w:tcPr>
          <w:p w14:paraId="57EF6879">
            <w:pPr>
              <w:adjustRightInd w:val="0"/>
              <w:snapToGrid w:val="0"/>
              <w:spacing w:line="560" w:lineRule="exact"/>
              <w:jc w:val="center"/>
              <w:rPr>
                <w:color w:val="auto"/>
                <w:szCs w:val="21"/>
                <w:highlight w:val="none"/>
              </w:rPr>
            </w:pPr>
          </w:p>
        </w:tc>
        <w:tc>
          <w:tcPr>
            <w:tcW w:w="811" w:type="dxa"/>
            <w:noWrap w:val="0"/>
            <w:vAlign w:val="center"/>
          </w:tcPr>
          <w:p w14:paraId="1997D00C">
            <w:pPr>
              <w:adjustRightInd w:val="0"/>
              <w:snapToGrid w:val="0"/>
              <w:spacing w:line="560" w:lineRule="exact"/>
              <w:jc w:val="center"/>
              <w:rPr>
                <w:color w:val="auto"/>
                <w:szCs w:val="21"/>
                <w:highlight w:val="none"/>
              </w:rPr>
            </w:pPr>
          </w:p>
        </w:tc>
        <w:tc>
          <w:tcPr>
            <w:tcW w:w="2848" w:type="dxa"/>
            <w:noWrap w:val="0"/>
            <w:vAlign w:val="center"/>
          </w:tcPr>
          <w:p w14:paraId="73818C56">
            <w:pPr>
              <w:adjustRightInd w:val="0"/>
              <w:snapToGrid w:val="0"/>
              <w:spacing w:line="560" w:lineRule="exact"/>
              <w:jc w:val="center"/>
              <w:rPr>
                <w:color w:val="auto"/>
                <w:szCs w:val="21"/>
                <w:highlight w:val="none"/>
              </w:rPr>
            </w:pPr>
          </w:p>
        </w:tc>
        <w:tc>
          <w:tcPr>
            <w:tcW w:w="759" w:type="dxa"/>
            <w:noWrap w:val="0"/>
            <w:vAlign w:val="center"/>
          </w:tcPr>
          <w:p w14:paraId="23162047">
            <w:pPr>
              <w:adjustRightInd w:val="0"/>
              <w:snapToGrid w:val="0"/>
              <w:spacing w:line="560" w:lineRule="exact"/>
              <w:jc w:val="center"/>
              <w:rPr>
                <w:color w:val="auto"/>
                <w:szCs w:val="21"/>
                <w:highlight w:val="none"/>
              </w:rPr>
            </w:pPr>
          </w:p>
        </w:tc>
      </w:tr>
      <w:tr w14:paraId="5E64E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616" w:type="dxa"/>
            <w:noWrap w:val="0"/>
            <w:vAlign w:val="center"/>
          </w:tcPr>
          <w:p w14:paraId="20C6BB8E">
            <w:pPr>
              <w:adjustRightInd w:val="0"/>
              <w:snapToGrid w:val="0"/>
              <w:spacing w:line="560" w:lineRule="exact"/>
              <w:jc w:val="center"/>
              <w:rPr>
                <w:rFonts w:hint="eastAsia"/>
                <w:color w:val="auto"/>
                <w:szCs w:val="21"/>
                <w:highlight w:val="none"/>
              </w:rPr>
            </w:pPr>
            <w:r>
              <w:rPr>
                <w:rFonts w:hint="eastAsia"/>
                <w:color w:val="auto"/>
                <w:szCs w:val="21"/>
                <w:highlight w:val="none"/>
              </w:rPr>
              <w:t>项目经理</w:t>
            </w:r>
            <w:r>
              <w:rPr>
                <w:rFonts w:hint="eastAsia"/>
                <w:color w:val="auto"/>
                <w:szCs w:val="21"/>
                <w:highlight w:val="none"/>
                <w:lang w:val="en-US" w:eastAsia="zh-CN"/>
              </w:rPr>
              <w:t>B岗</w:t>
            </w:r>
            <w:r>
              <w:rPr>
                <w:rFonts w:hint="eastAsia"/>
                <w:color w:val="auto"/>
                <w:szCs w:val="21"/>
                <w:highlight w:val="none"/>
              </w:rPr>
              <w:t>（建造师）</w:t>
            </w:r>
          </w:p>
          <w:p w14:paraId="10E39422">
            <w:pPr>
              <w:adjustRightInd w:val="0"/>
              <w:snapToGrid w:val="0"/>
              <w:spacing w:line="560" w:lineRule="exact"/>
              <w:jc w:val="center"/>
              <w:rPr>
                <w:rFonts w:hint="eastAsia"/>
                <w:color w:val="auto"/>
                <w:szCs w:val="21"/>
                <w:highlight w:val="none"/>
              </w:rPr>
            </w:pPr>
            <w:r>
              <w:rPr>
                <w:rFonts w:hint="eastAsia"/>
                <w:color w:val="auto"/>
                <w:szCs w:val="21"/>
                <w:highlight w:val="none"/>
                <w:lang w:eastAsia="zh-CN"/>
              </w:rPr>
              <w:t>（</w:t>
            </w:r>
            <w:r>
              <w:rPr>
                <w:rFonts w:hint="eastAsia"/>
                <w:color w:val="auto"/>
                <w:szCs w:val="21"/>
                <w:highlight w:val="none"/>
                <w:lang w:val="en-US" w:eastAsia="zh-CN"/>
              </w:rPr>
              <w:t>如有）</w:t>
            </w:r>
          </w:p>
        </w:tc>
        <w:tc>
          <w:tcPr>
            <w:tcW w:w="944" w:type="dxa"/>
            <w:noWrap w:val="0"/>
            <w:vAlign w:val="center"/>
          </w:tcPr>
          <w:p w14:paraId="28813350">
            <w:pPr>
              <w:adjustRightInd w:val="0"/>
              <w:snapToGrid w:val="0"/>
              <w:spacing w:line="560" w:lineRule="exact"/>
              <w:jc w:val="center"/>
              <w:rPr>
                <w:color w:val="auto"/>
                <w:szCs w:val="21"/>
                <w:highlight w:val="none"/>
              </w:rPr>
            </w:pPr>
          </w:p>
        </w:tc>
        <w:tc>
          <w:tcPr>
            <w:tcW w:w="812" w:type="dxa"/>
            <w:noWrap w:val="0"/>
            <w:vAlign w:val="center"/>
          </w:tcPr>
          <w:p w14:paraId="3374DE2D">
            <w:pPr>
              <w:adjustRightInd w:val="0"/>
              <w:snapToGrid w:val="0"/>
              <w:spacing w:line="560" w:lineRule="exact"/>
              <w:jc w:val="center"/>
              <w:rPr>
                <w:color w:val="auto"/>
                <w:szCs w:val="21"/>
                <w:highlight w:val="none"/>
              </w:rPr>
            </w:pPr>
          </w:p>
        </w:tc>
        <w:tc>
          <w:tcPr>
            <w:tcW w:w="1220" w:type="dxa"/>
            <w:noWrap w:val="0"/>
            <w:vAlign w:val="center"/>
          </w:tcPr>
          <w:p w14:paraId="25BD7B55">
            <w:pPr>
              <w:adjustRightInd w:val="0"/>
              <w:snapToGrid w:val="0"/>
              <w:spacing w:line="560" w:lineRule="exact"/>
              <w:jc w:val="center"/>
              <w:rPr>
                <w:color w:val="auto"/>
                <w:szCs w:val="21"/>
                <w:highlight w:val="none"/>
              </w:rPr>
            </w:pPr>
          </w:p>
        </w:tc>
        <w:tc>
          <w:tcPr>
            <w:tcW w:w="812" w:type="dxa"/>
            <w:noWrap w:val="0"/>
            <w:vAlign w:val="center"/>
          </w:tcPr>
          <w:p w14:paraId="00B135DC">
            <w:pPr>
              <w:adjustRightInd w:val="0"/>
              <w:snapToGrid w:val="0"/>
              <w:spacing w:line="560" w:lineRule="exact"/>
              <w:jc w:val="center"/>
              <w:rPr>
                <w:color w:val="auto"/>
                <w:szCs w:val="21"/>
                <w:highlight w:val="none"/>
              </w:rPr>
            </w:pPr>
          </w:p>
        </w:tc>
        <w:tc>
          <w:tcPr>
            <w:tcW w:w="814" w:type="dxa"/>
            <w:noWrap w:val="0"/>
            <w:vAlign w:val="center"/>
          </w:tcPr>
          <w:p w14:paraId="7992634F">
            <w:pPr>
              <w:adjustRightInd w:val="0"/>
              <w:snapToGrid w:val="0"/>
              <w:spacing w:line="560" w:lineRule="exact"/>
              <w:jc w:val="center"/>
              <w:rPr>
                <w:color w:val="auto"/>
                <w:szCs w:val="21"/>
                <w:highlight w:val="none"/>
              </w:rPr>
            </w:pPr>
          </w:p>
        </w:tc>
        <w:tc>
          <w:tcPr>
            <w:tcW w:w="811" w:type="dxa"/>
            <w:noWrap w:val="0"/>
            <w:vAlign w:val="center"/>
          </w:tcPr>
          <w:p w14:paraId="5055A6A2">
            <w:pPr>
              <w:adjustRightInd w:val="0"/>
              <w:snapToGrid w:val="0"/>
              <w:spacing w:line="560" w:lineRule="exact"/>
              <w:jc w:val="center"/>
              <w:rPr>
                <w:color w:val="auto"/>
                <w:szCs w:val="21"/>
                <w:highlight w:val="none"/>
              </w:rPr>
            </w:pPr>
          </w:p>
        </w:tc>
        <w:tc>
          <w:tcPr>
            <w:tcW w:w="2848" w:type="dxa"/>
            <w:noWrap w:val="0"/>
            <w:vAlign w:val="center"/>
          </w:tcPr>
          <w:p w14:paraId="785D218C">
            <w:pPr>
              <w:adjustRightInd w:val="0"/>
              <w:snapToGrid w:val="0"/>
              <w:spacing w:line="560" w:lineRule="exact"/>
              <w:jc w:val="center"/>
              <w:rPr>
                <w:color w:val="auto"/>
                <w:szCs w:val="21"/>
                <w:highlight w:val="none"/>
              </w:rPr>
            </w:pPr>
          </w:p>
        </w:tc>
        <w:tc>
          <w:tcPr>
            <w:tcW w:w="759" w:type="dxa"/>
            <w:noWrap w:val="0"/>
            <w:vAlign w:val="center"/>
          </w:tcPr>
          <w:p w14:paraId="30F0EF91">
            <w:pPr>
              <w:adjustRightInd w:val="0"/>
              <w:snapToGrid w:val="0"/>
              <w:spacing w:line="560" w:lineRule="exact"/>
              <w:jc w:val="center"/>
              <w:rPr>
                <w:color w:val="auto"/>
                <w:szCs w:val="21"/>
                <w:highlight w:val="none"/>
              </w:rPr>
            </w:pPr>
          </w:p>
        </w:tc>
      </w:tr>
      <w:tr w14:paraId="3CAC1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616" w:type="dxa"/>
            <w:noWrap w:val="0"/>
            <w:vAlign w:val="top"/>
          </w:tcPr>
          <w:p w14:paraId="655A03D4">
            <w:pPr>
              <w:adjustRightInd w:val="0"/>
              <w:snapToGrid w:val="0"/>
              <w:spacing w:line="560" w:lineRule="exact"/>
              <w:jc w:val="center"/>
              <w:rPr>
                <w:color w:val="auto"/>
                <w:szCs w:val="21"/>
                <w:highlight w:val="none"/>
              </w:rPr>
            </w:pPr>
            <w:r>
              <w:rPr>
                <w:rFonts w:hint="eastAsia"/>
                <w:color w:val="auto"/>
                <w:szCs w:val="21"/>
                <w:highlight w:val="none"/>
              </w:rPr>
              <w:t>技术负责人</w:t>
            </w:r>
          </w:p>
        </w:tc>
        <w:tc>
          <w:tcPr>
            <w:tcW w:w="944" w:type="dxa"/>
            <w:noWrap w:val="0"/>
            <w:vAlign w:val="top"/>
          </w:tcPr>
          <w:p w14:paraId="399F2855">
            <w:pPr>
              <w:adjustRightInd w:val="0"/>
              <w:snapToGrid w:val="0"/>
              <w:spacing w:line="560" w:lineRule="exact"/>
              <w:jc w:val="center"/>
              <w:rPr>
                <w:color w:val="auto"/>
                <w:szCs w:val="21"/>
                <w:highlight w:val="none"/>
              </w:rPr>
            </w:pPr>
          </w:p>
        </w:tc>
        <w:tc>
          <w:tcPr>
            <w:tcW w:w="812" w:type="dxa"/>
            <w:noWrap w:val="0"/>
            <w:vAlign w:val="top"/>
          </w:tcPr>
          <w:p w14:paraId="6D1D47E5">
            <w:pPr>
              <w:adjustRightInd w:val="0"/>
              <w:snapToGrid w:val="0"/>
              <w:spacing w:line="560" w:lineRule="exact"/>
              <w:jc w:val="center"/>
              <w:rPr>
                <w:color w:val="auto"/>
                <w:szCs w:val="21"/>
                <w:highlight w:val="none"/>
              </w:rPr>
            </w:pPr>
          </w:p>
        </w:tc>
        <w:tc>
          <w:tcPr>
            <w:tcW w:w="1220" w:type="dxa"/>
            <w:noWrap w:val="0"/>
            <w:vAlign w:val="top"/>
          </w:tcPr>
          <w:p w14:paraId="16FE7FF8">
            <w:pPr>
              <w:adjustRightInd w:val="0"/>
              <w:snapToGrid w:val="0"/>
              <w:spacing w:line="560" w:lineRule="exact"/>
              <w:jc w:val="center"/>
              <w:rPr>
                <w:color w:val="auto"/>
                <w:szCs w:val="21"/>
                <w:highlight w:val="none"/>
              </w:rPr>
            </w:pPr>
          </w:p>
        </w:tc>
        <w:tc>
          <w:tcPr>
            <w:tcW w:w="812" w:type="dxa"/>
            <w:noWrap w:val="0"/>
            <w:vAlign w:val="top"/>
          </w:tcPr>
          <w:p w14:paraId="372A8552">
            <w:pPr>
              <w:adjustRightInd w:val="0"/>
              <w:snapToGrid w:val="0"/>
              <w:spacing w:line="560" w:lineRule="exact"/>
              <w:jc w:val="center"/>
              <w:rPr>
                <w:color w:val="auto"/>
                <w:szCs w:val="21"/>
                <w:highlight w:val="none"/>
              </w:rPr>
            </w:pPr>
          </w:p>
        </w:tc>
        <w:tc>
          <w:tcPr>
            <w:tcW w:w="814" w:type="dxa"/>
            <w:noWrap w:val="0"/>
            <w:vAlign w:val="top"/>
          </w:tcPr>
          <w:p w14:paraId="4208F2BB">
            <w:pPr>
              <w:adjustRightInd w:val="0"/>
              <w:snapToGrid w:val="0"/>
              <w:spacing w:line="560" w:lineRule="exact"/>
              <w:jc w:val="center"/>
              <w:rPr>
                <w:color w:val="auto"/>
                <w:szCs w:val="21"/>
                <w:highlight w:val="none"/>
              </w:rPr>
            </w:pPr>
          </w:p>
        </w:tc>
        <w:tc>
          <w:tcPr>
            <w:tcW w:w="811" w:type="dxa"/>
            <w:noWrap w:val="0"/>
            <w:vAlign w:val="top"/>
          </w:tcPr>
          <w:p w14:paraId="7E40376F">
            <w:pPr>
              <w:adjustRightInd w:val="0"/>
              <w:snapToGrid w:val="0"/>
              <w:spacing w:line="560" w:lineRule="exact"/>
              <w:jc w:val="center"/>
              <w:rPr>
                <w:color w:val="auto"/>
                <w:szCs w:val="21"/>
                <w:highlight w:val="none"/>
              </w:rPr>
            </w:pPr>
          </w:p>
        </w:tc>
        <w:tc>
          <w:tcPr>
            <w:tcW w:w="2848" w:type="dxa"/>
            <w:noWrap w:val="0"/>
            <w:vAlign w:val="top"/>
          </w:tcPr>
          <w:p w14:paraId="133239F7">
            <w:pPr>
              <w:adjustRightInd w:val="0"/>
              <w:snapToGrid w:val="0"/>
              <w:spacing w:line="560" w:lineRule="exact"/>
              <w:jc w:val="center"/>
              <w:rPr>
                <w:color w:val="auto"/>
                <w:szCs w:val="21"/>
                <w:highlight w:val="none"/>
              </w:rPr>
            </w:pPr>
          </w:p>
        </w:tc>
        <w:tc>
          <w:tcPr>
            <w:tcW w:w="759" w:type="dxa"/>
            <w:noWrap w:val="0"/>
            <w:vAlign w:val="top"/>
          </w:tcPr>
          <w:p w14:paraId="0BBFC809">
            <w:pPr>
              <w:adjustRightInd w:val="0"/>
              <w:snapToGrid w:val="0"/>
              <w:spacing w:line="560" w:lineRule="exact"/>
              <w:jc w:val="center"/>
              <w:rPr>
                <w:color w:val="auto"/>
                <w:szCs w:val="21"/>
                <w:highlight w:val="none"/>
              </w:rPr>
            </w:pPr>
          </w:p>
        </w:tc>
      </w:tr>
      <w:tr w14:paraId="451F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616" w:type="dxa"/>
            <w:noWrap w:val="0"/>
            <w:vAlign w:val="top"/>
          </w:tcPr>
          <w:p w14:paraId="4997558C">
            <w:pPr>
              <w:adjustRightInd w:val="0"/>
              <w:snapToGrid w:val="0"/>
              <w:spacing w:line="560" w:lineRule="exact"/>
              <w:jc w:val="center"/>
              <w:rPr>
                <w:color w:val="auto"/>
                <w:szCs w:val="21"/>
                <w:highlight w:val="none"/>
              </w:rPr>
            </w:pPr>
          </w:p>
        </w:tc>
        <w:tc>
          <w:tcPr>
            <w:tcW w:w="944" w:type="dxa"/>
            <w:noWrap w:val="0"/>
            <w:vAlign w:val="top"/>
          </w:tcPr>
          <w:p w14:paraId="0D33355F">
            <w:pPr>
              <w:adjustRightInd w:val="0"/>
              <w:snapToGrid w:val="0"/>
              <w:spacing w:line="560" w:lineRule="exact"/>
              <w:jc w:val="center"/>
              <w:rPr>
                <w:color w:val="auto"/>
                <w:szCs w:val="21"/>
                <w:highlight w:val="none"/>
              </w:rPr>
            </w:pPr>
          </w:p>
        </w:tc>
        <w:tc>
          <w:tcPr>
            <w:tcW w:w="812" w:type="dxa"/>
            <w:noWrap w:val="0"/>
            <w:vAlign w:val="top"/>
          </w:tcPr>
          <w:p w14:paraId="2F4815D6">
            <w:pPr>
              <w:adjustRightInd w:val="0"/>
              <w:snapToGrid w:val="0"/>
              <w:spacing w:line="560" w:lineRule="exact"/>
              <w:jc w:val="center"/>
              <w:rPr>
                <w:color w:val="auto"/>
                <w:szCs w:val="21"/>
                <w:highlight w:val="none"/>
              </w:rPr>
            </w:pPr>
          </w:p>
        </w:tc>
        <w:tc>
          <w:tcPr>
            <w:tcW w:w="1220" w:type="dxa"/>
            <w:noWrap w:val="0"/>
            <w:vAlign w:val="top"/>
          </w:tcPr>
          <w:p w14:paraId="22E4CF1B">
            <w:pPr>
              <w:adjustRightInd w:val="0"/>
              <w:snapToGrid w:val="0"/>
              <w:spacing w:line="560" w:lineRule="exact"/>
              <w:jc w:val="center"/>
              <w:rPr>
                <w:color w:val="auto"/>
                <w:szCs w:val="21"/>
                <w:highlight w:val="none"/>
              </w:rPr>
            </w:pPr>
          </w:p>
        </w:tc>
        <w:tc>
          <w:tcPr>
            <w:tcW w:w="812" w:type="dxa"/>
            <w:noWrap w:val="0"/>
            <w:vAlign w:val="top"/>
          </w:tcPr>
          <w:p w14:paraId="7D11B544">
            <w:pPr>
              <w:adjustRightInd w:val="0"/>
              <w:snapToGrid w:val="0"/>
              <w:spacing w:line="560" w:lineRule="exact"/>
              <w:jc w:val="center"/>
              <w:rPr>
                <w:color w:val="auto"/>
                <w:szCs w:val="21"/>
                <w:highlight w:val="none"/>
              </w:rPr>
            </w:pPr>
          </w:p>
        </w:tc>
        <w:tc>
          <w:tcPr>
            <w:tcW w:w="814" w:type="dxa"/>
            <w:noWrap w:val="0"/>
            <w:vAlign w:val="top"/>
          </w:tcPr>
          <w:p w14:paraId="60D2E576">
            <w:pPr>
              <w:adjustRightInd w:val="0"/>
              <w:snapToGrid w:val="0"/>
              <w:spacing w:line="560" w:lineRule="exact"/>
              <w:jc w:val="center"/>
              <w:rPr>
                <w:color w:val="auto"/>
                <w:szCs w:val="21"/>
                <w:highlight w:val="none"/>
              </w:rPr>
            </w:pPr>
          </w:p>
        </w:tc>
        <w:tc>
          <w:tcPr>
            <w:tcW w:w="811" w:type="dxa"/>
            <w:noWrap w:val="0"/>
            <w:vAlign w:val="top"/>
          </w:tcPr>
          <w:p w14:paraId="5D7F8588">
            <w:pPr>
              <w:adjustRightInd w:val="0"/>
              <w:snapToGrid w:val="0"/>
              <w:spacing w:line="560" w:lineRule="exact"/>
              <w:jc w:val="center"/>
              <w:rPr>
                <w:color w:val="auto"/>
                <w:szCs w:val="21"/>
                <w:highlight w:val="none"/>
              </w:rPr>
            </w:pPr>
          </w:p>
        </w:tc>
        <w:tc>
          <w:tcPr>
            <w:tcW w:w="2848" w:type="dxa"/>
            <w:noWrap w:val="0"/>
            <w:vAlign w:val="top"/>
          </w:tcPr>
          <w:p w14:paraId="29B0EF80">
            <w:pPr>
              <w:adjustRightInd w:val="0"/>
              <w:snapToGrid w:val="0"/>
              <w:spacing w:line="560" w:lineRule="exact"/>
              <w:jc w:val="center"/>
              <w:rPr>
                <w:color w:val="auto"/>
                <w:szCs w:val="21"/>
                <w:highlight w:val="none"/>
              </w:rPr>
            </w:pPr>
          </w:p>
        </w:tc>
        <w:tc>
          <w:tcPr>
            <w:tcW w:w="759" w:type="dxa"/>
            <w:noWrap w:val="0"/>
            <w:vAlign w:val="top"/>
          </w:tcPr>
          <w:p w14:paraId="3F771544">
            <w:pPr>
              <w:adjustRightInd w:val="0"/>
              <w:snapToGrid w:val="0"/>
              <w:spacing w:line="560" w:lineRule="exact"/>
              <w:jc w:val="center"/>
              <w:rPr>
                <w:color w:val="auto"/>
                <w:szCs w:val="21"/>
                <w:highlight w:val="none"/>
              </w:rPr>
            </w:pPr>
          </w:p>
        </w:tc>
      </w:tr>
      <w:tr w14:paraId="20916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616" w:type="dxa"/>
            <w:noWrap w:val="0"/>
            <w:vAlign w:val="top"/>
          </w:tcPr>
          <w:p w14:paraId="4B4AE533">
            <w:pPr>
              <w:adjustRightInd w:val="0"/>
              <w:snapToGrid w:val="0"/>
              <w:spacing w:line="560" w:lineRule="exact"/>
              <w:jc w:val="center"/>
              <w:rPr>
                <w:color w:val="auto"/>
                <w:szCs w:val="21"/>
                <w:highlight w:val="none"/>
              </w:rPr>
            </w:pPr>
          </w:p>
        </w:tc>
        <w:tc>
          <w:tcPr>
            <w:tcW w:w="944" w:type="dxa"/>
            <w:noWrap w:val="0"/>
            <w:vAlign w:val="top"/>
          </w:tcPr>
          <w:p w14:paraId="70792822">
            <w:pPr>
              <w:adjustRightInd w:val="0"/>
              <w:snapToGrid w:val="0"/>
              <w:spacing w:line="560" w:lineRule="exact"/>
              <w:jc w:val="center"/>
              <w:rPr>
                <w:color w:val="auto"/>
                <w:szCs w:val="21"/>
                <w:highlight w:val="none"/>
              </w:rPr>
            </w:pPr>
          </w:p>
        </w:tc>
        <w:tc>
          <w:tcPr>
            <w:tcW w:w="812" w:type="dxa"/>
            <w:noWrap w:val="0"/>
            <w:vAlign w:val="top"/>
          </w:tcPr>
          <w:p w14:paraId="059E16DE">
            <w:pPr>
              <w:adjustRightInd w:val="0"/>
              <w:snapToGrid w:val="0"/>
              <w:spacing w:line="560" w:lineRule="exact"/>
              <w:jc w:val="center"/>
              <w:rPr>
                <w:color w:val="auto"/>
                <w:szCs w:val="21"/>
                <w:highlight w:val="none"/>
              </w:rPr>
            </w:pPr>
          </w:p>
        </w:tc>
        <w:tc>
          <w:tcPr>
            <w:tcW w:w="1220" w:type="dxa"/>
            <w:noWrap w:val="0"/>
            <w:vAlign w:val="top"/>
          </w:tcPr>
          <w:p w14:paraId="140098B9">
            <w:pPr>
              <w:adjustRightInd w:val="0"/>
              <w:snapToGrid w:val="0"/>
              <w:spacing w:line="560" w:lineRule="exact"/>
              <w:jc w:val="center"/>
              <w:rPr>
                <w:color w:val="auto"/>
                <w:szCs w:val="21"/>
                <w:highlight w:val="none"/>
              </w:rPr>
            </w:pPr>
          </w:p>
        </w:tc>
        <w:tc>
          <w:tcPr>
            <w:tcW w:w="812" w:type="dxa"/>
            <w:noWrap w:val="0"/>
            <w:vAlign w:val="top"/>
          </w:tcPr>
          <w:p w14:paraId="487A97F9">
            <w:pPr>
              <w:adjustRightInd w:val="0"/>
              <w:snapToGrid w:val="0"/>
              <w:spacing w:line="560" w:lineRule="exact"/>
              <w:jc w:val="center"/>
              <w:rPr>
                <w:color w:val="auto"/>
                <w:szCs w:val="21"/>
                <w:highlight w:val="none"/>
              </w:rPr>
            </w:pPr>
          </w:p>
        </w:tc>
        <w:tc>
          <w:tcPr>
            <w:tcW w:w="814" w:type="dxa"/>
            <w:noWrap w:val="0"/>
            <w:vAlign w:val="top"/>
          </w:tcPr>
          <w:p w14:paraId="4CB3F10F">
            <w:pPr>
              <w:adjustRightInd w:val="0"/>
              <w:snapToGrid w:val="0"/>
              <w:spacing w:line="560" w:lineRule="exact"/>
              <w:jc w:val="center"/>
              <w:rPr>
                <w:color w:val="auto"/>
                <w:szCs w:val="21"/>
                <w:highlight w:val="none"/>
              </w:rPr>
            </w:pPr>
          </w:p>
        </w:tc>
        <w:tc>
          <w:tcPr>
            <w:tcW w:w="811" w:type="dxa"/>
            <w:noWrap w:val="0"/>
            <w:vAlign w:val="top"/>
          </w:tcPr>
          <w:p w14:paraId="2AE8203A">
            <w:pPr>
              <w:adjustRightInd w:val="0"/>
              <w:snapToGrid w:val="0"/>
              <w:spacing w:line="560" w:lineRule="exact"/>
              <w:jc w:val="center"/>
              <w:rPr>
                <w:color w:val="auto"/>
                <w:szCs w:val="21"/>
                <w:highlight w:val="none"/>
              </w:rPr>
            </w:pPr>
          </w:p>
        </w:tc>
        <w:tc>
          <w:tcPr>
            <w:tcW w:w="2848" w:type="dxa"/>
            <w:noWrap w:val="0"/>
            <w:vAlign w:val="top"/>
          </w:tcPr>
          <w:p w14:paraId="722B7BEB">
            <w:pPr>
              <w:adjustRightInd w:val="0"/>
              <w:snapToGrid w:val="0"/>
              <w:spacing w:line="560" w:lineRule="exact"/>
              <w:jc w:val="center"/>
              <w:rPr>
                <w:color w:val="auto"/>
                <w:szCs w:val="21"/>
                <w:highlight w:val="none"/>
              </w:rPr>
            </w:pPr>
          </w:p>
        </w:tc>
        <w:tc>
          <w:tcPr>
            <w:tcW w:w="759" w:type="dxa"/>
            <w:noWrap w:val="0"/>
            <w:vAlign w:val="top"/>
          </w:tcPr>
          <w:p w14:paraId="7F844E7C">
            <w:pPr>
              <w:adjustRightInd w:val="0"/>
              <w:snapToGrid w:val="0"/>
              <w:spacing w:line="560" w:lineRule="exact"/>
              <w:jc w:val="center"/>
              <w:rPr>
                <w:color w:val="auto"/>
                <w:szCs w:val="21"/>
                <w:highlight w:val="none"/>
              </w:rPr>
            </w:pPr>
          </w:p>
        </w:tc>
      </w:tr>
      <w:tr w14:paraId="45C4E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616" w:type="dxa"/>
            <w:noWrap w:val="0"/>
            <w:vAlign w:val="top"/>
          </w:tcPr>
          <w:p w14:paraId="018A19F3">
            <w:pPr>
              <w:adjustRightInd w:val="0"/>
              <w:snapToGrid w:val="0"/>
              <w:spacing w:line="560" w:lineRule="exact"/>
              <w:jc w:val="center"/>
              <w:rPr>
                <w:color w:val="auto"/>
                <w:szCs w:val="21"/>
                <w:highlight w:val="none"/>
              </w:rPr>
            </w:pPr>
          </w:p>
        </w:tc>
        <w:tc>
          <w:tcPr>
            <w:tcW w:w="944" w:type="dxa"/>
            <w:noWrap w:val="0"/>
            <w:vAlign w:val="top"/>
          </w:tcPr>
          <w:p w14:paraId="35D9BFE0">
            <w:pPr>
              <w:adjustRightInd w:val="0"/>
              <w:snapToGrid w:val="0"/>
              <w:spacing w:line="560" w:lineRule="exact"/>
              <w:jc w:val="center"/>
              <w:rPr>
                <w:color w:val="auto"/>
                <w:szCs w:val="21"/>
                <w:highlight w:val="none"/>
              </w:rPr>
            </w:pPr>
          </w:p>
        </w:tc>
        <w:tc>
          <w:tcPr>
            <w:tcW w:w="812" w:type="dxa"/>
            <w:noWrap w:val="0"/>
            <w:vAlign w:val="top"/>
          </w:tcPr>
          <w:p w14:paraId="5DC9C9C5">
            <w:pPr>
              <w:adjustRightInd w:val="0"/>
              <w:snapToGrid w:val="0"/>
              <w:spacing w:line="560" w:lineRule="exact"/>
              <w:jc w:val="center"/>
              <w:rPr>
                <w:color w:val="auto"/>
                <w:szCs w:val="21"/>
                <w:highlight w:val="none"/>
              </w:rPr>
            </w:pPr>
          </w:p>
        </w:tc>
        <w:tc>
          <w:tcPr>
            <w:tcW w:w="1220" w:type="dxa"/>
            <w:noWrap w:val="0"/>
            <w:vAlign w:val="top"/>
          </w:tcPr>
          <w:p w14:paraId="409FF62C">
            <w:pPr>
              <w:adjustRightInd w:val="0"/>
              <w:snapToGrid w:val="0"/>
              <w:spacing w:line="560" w:lineRule="exact"/>
              <w:jc w:val="center"/>
              <w:rPr>
                <w:color w:val="auto"/>
                <w:szCs w:val="21"/>
                <w:highlight w:val="none"/>
              </w:rPr>
            </w:pPr>
          </w:p>
        </w:tc>
        <w:tc>
          <w:tcPr>
            <w:tcW w:w="812" w:type="dxa"/>
            <w:noWrap w:val="0"/>
            <w:vAlign w:val="top"/>
          </w:tcPr>
          <w:p w14:paraId="6ECE1121">
            <w:pPr>
              <w:adjustRightInd w:val="0"/>
              <w:snapToGrid w:val="0"/>
              <w:spacing w:line="560" w:lineRule="exact"/>
              <w:jc w:val="center"/>
              <w:rPr>
                <w:color w:val="auto"/>
                <w:szCs w:val="21"/>
                <w:highlight w:val="none"/>
              </w:rPr>
            </w:pPr>
          </w:p>
        </w:tc>
        <w:tc>
          <w:tcPr>
            <w:tcW w:w="814" w:type="dxa"/>
            <w:noWrap w:val="0"/>
            <w:vAlign w:val="top"/>
          </w:tcPr>
          <w:p w14:paraId="0F833B47">
            <w:pPr>
              <w:adjustRightInd w:val="0"/>
              <w:snapToGrid w:val="0"/>
              <w:spacing w:line="560" w:lineRule="exact"/>
              <w:jc w:val="center"/>
              <w:rPr>
                <w:color w:val="auto"/>
                <w:szCs w:val="21"/>
                <w:highlight w:val="none"/>
              </w:rPr>
            </w:pPr>
          </w:p>
        </w:tc>
        <w:tc>
          <w:tcPr>
            <w:tcW w:w="811" w:type="dxa"/>
            <w:noWrap w:val="0"/>
            <w:vAlign w:val="top"/>
          </w:tcPr>
          <w:p w14:paraId="1E35C10D">
            <w:pPr>
              <w:adjustRightInd w:val="0"/>
              <w:snapToGrid w:val="0"/>
              <w:spacing w:line="560" w:lineRule="exact"/>
              <w:jc w:val="center"/>
              <w:rPr>
                <w:color w:val="auto"/>
                <w:szCs w:val="21"/>
                <w:highlight w:val="none"/>
              </w:rPr>
            </w:pPr>
          </w:p>
        </w:tc>
        <w:tc>
          <w:tcPr>
            <w:tcW w:w="2848" w:type="dxa"/>
            <w:noWrap w:val="0"/>
            <w:vAlign w:val="top"/>
          </w:tcPr>
          <w:p w14:paraId="553F4BEC">
            <w:pPr>
              <w:adjustRightInd w:val="0"/>
              <w:snapToGrid w:val="0"/>
              <w:spacing w:line="560" w:lineRule="exact"/>
              <w:jc w:val="center"/>
              <w:rPr>
                <w:color w:val="auto"/>
                <w:szCs w:val="21"/>
                <w:highlight w:val="none"/>
              </w:rPr>
            </w:pPr>
          </w:p>
        </w:tc>
        <w:tc>
          <w:tcPr>
            <w:tcW w:w="759" w:type="dxa"/>
            <w:noWrap w:val="0"/>
            <w:vAlign w:val="top"/>
          </w:tcPr>
          <w:p w14:paraId="12D998DE">
            <w:pPr>
              <w:adjustRightInd w:val="0"/>
              <w:snapToGrid w:val="0"/>
              <w:spacing w:line="560" w:lineRule="exact"/>
              <w:jc w:val="center"/>
              <w:rPr>
                <w:color w:val="auto"/>
                <w:szCs w:val="21"/>
                <w:highlight w:val="none"/>
              </w:rPr>
            </w:pPr>
          </w:p>
        </w:tc>
      </w:tr>
      <w:tr w14:paraId="6CEED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616" w:type="dxa"/>
            <w:tcBorders>
              <w:top w:val="single" w:color="auto" w:sz="4" w:space="0"/>
              <w:left w:val="single" w:color="auto" w:sz="4" w:space="0"/>
              <w:bottom w:val="single" w:color="auto" w:sz="4" w:space="0"/>
              <w:right w:val="single" w:color="auto" w:sz="4" w:space="0"/>
            </w:tcBorders>
            <w:noWrap w:val="0"/>
            <w:vAlign w:val="top"/>
          </w:tcPr>
          <w:p w14:paraId="5EF5B769">
            <w:pPr>
              <w:adjustRightInd w:val="0"/>
              <w:snapToGrid w:val="0"/>
              <w:spacing w:line="560" w:lineRule="exact"/>
              <w:jc w:val="center"/>
              <w:rPr>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top"/>
          </w:tcPr>
          <w:p w14:paraId="31ECDFA0">
            <w:pPr>
              <w:adjustRightInd w:val="0"/>
              <w:snapToGrid w:val="0"/>
              <w:spacing w:line="560" w:lineRule="exact"/>
              <w:jc w:val="center"/>
              <w:rPr>
                <w:color w:val="auto"/>
                <w:szCs w:val="21"/>
                <w:highlight w:val="none"/>
              </w:rPr>
            </w:pPr>
          </w:p>
        </w:tc>
        <w:tc>
          <w:tcPr>
            <w:tcW w:w="812" w:type="dxa"/>
            <w:tcBorders>
              <w:top w:val="single" w:color="auto" w:sz="4" w:space="0"/>
              <w:left w:val="single" w:color="auto" w:sz="4" w:space="0"/>
              <w:bottom w:val="single" w:color="auto" w:sz="4" w:space="0"/>
              <w:right w:val="single" w:color="auto" w:sz="4" w:space="0"/>
            </w:tcBorders>
            <w:noWrap w:val="0"/>
            <w:vAlign w:val="top"/>
          </w:tcPr>
          <w:p w14:paraId="4ADE328D">
            <w:pPr>
              <w:adjustRightInd w:val="0"/>
              <w:snapToGrid w:val="0"/>
              <w:spacing w:line="560" w:lineRule="exact"/>
              <w:jc w:val="center"/>
              <w:rPr>
                <w:color w:val="auto"/>
                <w:szCs w:val="21"/>
                <w:highlight w:val="none"/>
              </w:rPr>
            </w:pPr>
          </w:p>
        </w:tc>
        <w:tc>
          <w:tcPr>
            <w:tcW w:w="1220" w:type="dxa"/>
            <w:tcBorders>
              <w:top w:val="single" w:color="auto" w:sz="4" w:space="0"/>
              <w:left w:val="single" w:color="auto" w:sz="4" w:space="0"/>
              <w:bottom w:val="single" w:color="auto" w:sz="4" w:space="0"/>
              <w:right w:val="single" w:color="auto" w:sz="4" w:space="0"/>
            </w:tcBorders>
            <w:noWrap w:val="0"/>
            <w:vAlign w:val="top"/>
          </w:tcPr>
          <w:p w14:paraId="01E64108">
            <w:pPr>
              <w:adjustRightInd w:val="0"/>
              <w:snapToGrid w:val="0"/>
              <w:spacing w:line="560" w:lineRule="exact"/>
              <w:jc w:val="center"/>
              <w:rPr>
                <w:color w:val="auto"/>
                <w:szCs w:val="21"/>
                <w:highlight w:val="none"/>
              </w:rPr>
            </w:pPr>
          </w:p>
        </w:tc>
        <w:tc>
          <w:tcPr>
            <w:tcW w:w="812" w:type="dxa"/>
            <w:tcBorders>
              <w:top w:val="single" w:color="auto" w:sz="4" w:space="0"/>
              <w:left w:val="single" w:color="auto" w:sz="4" w:space="0"/>
              <w:bottom w:val="single" w:color="auto" w:sz="4" w:space="0"/>
              <w:right w:val="single" w:color="auto" w:sz="4" w:space="0"/>
            </w:tcBorders>
            <w:noWrap w:val="0"/>
            <w:vAlign w:val="top"/>
          </w:tcPr>
          <w:p w14:paraId="631628DF">
            <w:pPr>
              <w:adjustRightInd w:val="0"/>
              <w:snapToGrid w:val="0"/>
              <w:spacing w:line="560" w:lineRule="exact"/>
              <w:jc w:val="center"/>
              <w:rPr>
                <w:color w:val="auto"/>
                <w:szCs w:val="21"/>
                <w:highlight w:val="none"/>
              </w:rPr>
            </w:pPr>
          </w:p>
        </w:tc>
        <w:tc>
          <w:tcPr>
            <w:tcW w:w="814" w:type="dxa"/>
            <w:tcBorders>
              <w:top w:val="single" w:color="auto" w:sz="4" w:space="0"/>
              <w:left w:val="single" w:color="auto" w:sz="4" w:space="0"/>
              <w:bottom w:val="single" w:color="auto" w:sz="4" w:space="0"/>
              <w:right w:val="single" w:color="auto" w:sz="4" w:space="0"/>
            </w:tcBorders>
            <w:noWrap w:val="0"/>
            <w:vAlign w:val="top"/>
          </w:tcPr>
          <w:p w14:paraId="3F7EF23F">
            <w:pPr>
              <w:adjustRightInd w:val="0"/>
              <w:snapToGrid w:val="0"/>
              <w:spacing w:line="560" w:lineRule="exact"/>
              <w:jc w:val="center"/>
              <w:rPr>
                <w:color w:val="auto"/>
                <w:szCs w:val="21"/>
                <w:highlight w:val="none"/>
              </w:rPr>
            </w:pPr>
          </w:p>
        </w:tc>
        <w:tc>
          <w:tcPr>
            <w:tcW w:w="811" w:type="dxa"/>
            <w:tcBorders>
              <w:top w:val="single" w:color="auto" w:sz="4" w:space="0"/>
              <w:left w:val="single" w:color="auto" w:sz="4" w:space="0"/>
              <w:bottom w:val="single" w:color="auto" w:sz="4" w:space="0"/>
              <w:right w:val="single" w:color="auto" w:sz="4" w:space="0"/>
            </w:tcBorders>
            <w:noWrap w:val="0"/>
            <w:vAlign w:val="top"/>
          </w:tcPr>
          <w:p w14:paraId="7A1F4FAC">
            <w:pPr>
              <w:adjustRightInd w:val="0"/>
              <w:snapToGrid w:val="0"/>
              <w:spacing w:line="560" w:lineRule="exact"/>
              <w:jc w:val="center"/>
              <w:rPr>
                <w:color w:val="auto"/>
                <w:szCs w:val="21"/>
                <w:highlight w:val="none"/>
              </w:rPr>
            </w:pPr>
          </w:p>
        </w:tc>
        <w:tc>
          <w:tcPr>
            <w:tcW w:w="2848" w:type="dxa"/>
            <w:tcBorders>
              <w:top w:val="single" w:color="auto" w:sz="4" w:space="0"/>
              <w:left w:val="single" w:color="auto" w:sz="4" w:space="0"/>
              <w:bottom w:val="single" w:color="auto" w:sz="4" w:space="0"/>
              <w:right w:val="single" w:color="auto" w:sz="4" w:space="0"/>
            </w:tcBorders>
            <w:noWrap w:val="0"/>
            <w:vAlign w:val="top"/>
          </w:tcPr>
          <w:p w14:paraId="7FA20A02">
            <w:pPr>
              <w:adjustRightInd w:val="0"/>
              <w:snapToGrid w:val="0"/>
              <w:spacing w:line="560" w:lineRule="exact"/>
              <w:jc w:val="center"/>
              <w:rPr>
                <w:color w:val="auto"/>
                <w:szCs w:val="21"/>
                <w:highlight w:val="none"/>
              </w:rPr>
            </w:pPr>
          </w:p>
        </w:tc>
        <w:tc>
          <w:tcPr>
            <w:tcW w:w="759" w:type="dxa"/>
            <w:tcBorders>
              <w:top w:val="single" w:color="auto" w:sz="4" w:space="0"/>
              <w:left w:val="single" w:color="auto" w:sz="4" w:space="0"/>
              <w:bottom w:val="single" w:color="auto" w:sz="4" w:space="0"/>
              <w:right w:val="single" w:color="auto" w:sz="4" w:space="0"/>
            </w:tcBorders>
            <w:noWrap w:val="0"/>
            <w:vAlign w:val="top"/>
          </w:tcPr>
          <w:p w14:paraId="089F6528">
            <w:pPr>
              <w:adjustRightInd w:val="0"/>
              <w:snapToGrid w:val="0"/>
              <w:spacing w:line="560" w:lineRule="exact"/>
              <w:jc w:val="center"/>
              <w:rPr>
                <w:color w:val="auto"/>
                <w:szCs w:val="21"/>
                <w:highlight w:val="none"/>
              </w:rPr>
            </w:pPr>
          </w:p>
        </w:tc>
      </w:tr>
      <w:tr w14:paraId="01742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616" w:type="dxa"/>
            <w:tcBorders>
              <w:top w:val="single" w:color="auto" w:sz="4" w:space="0"/>
              <w:left w:val="single" w:color="auto" w:sz="4" w:space="0"/>
              <w:bottom w:val="single" w:color="auto" w:sz="4" w:space="0"/>
              <w:right w:val="single" w:color="auto" w:sz="4" w:space="0"/>
            </w:tcBorders>
            <w:noWrap w:val="0"/>
            <w:vAlign w:val="top"/>
          </w:tcPr>
          <w:p w14:paraId="222A10AA">
            <w:pPr>
              <w:adjustRightInd w:val="0"/>
              <w:snapToGrid w:val="0"/>
              <w:spacing w:line="560" w:lineRule="exact"/>
              <w:jc w:val="center"/>
              <w:rPr>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top"/>
          </w:tcPr>
          <w:p w14:paraId="00C7D8E6">
            <w:pPr>
              <w:adjustRightInd w:val="0"/>
              <w:snapToGrid w:val="0"/>
              <w:spacing w:line="560" w:lineRule="exact"/>
              <w:jc w:val="center"/>
              <w:rPr>
                <w:color w:val="auto"/>
                <w:szCs w:val="21"/>
                <w:highlight w:val="none"/>
              </w:rPr>
            </w:pPr>
          </w:p>
        </w:tc>
        <w:tc>
          <w:tcPr>
            <w:tcW w:w="812" w:type="dxa"/>
            <w:tcBorders>
              <w:top w:val="single" w:color="auto" w:sz="4" w:space="0"/>
              <w:left w:val="single" w:color="auto" w:sz="4" w:space="0"/>
              <w:bottom w:val="single" w:color="auto" w:sz="4" w:space="0"/>
              <w:right w:val="single" w:color="auto" w:sz="4" w:space="0"/>
            </w:tcBorders>
            <w:noWrap w:val="0"/>
            <w:vAlign w:val="top"/>
          </w:tcPr>
          <w:p w14:paraId="26A7DDF0">
            <w:pPr>
              <w:adjustRightInd w:val="0"/>
              <w:snapToGrid w:val="0"/>
              <w:spacing w:line="560" w:lineRule="exact"/>
              <w:jc w:val="center"/>
              <w:rPr>
                <w:color w:val="auto"/>
                <w:szCs w:val="21"/>
                <w:highlight w:val="none"/>
              </w:rPr>
            </w:pPr>
          </w:p>
        </w:tc>
        <w:tc>
          <w:tcPr>
            <w:tcW w:w="1220" w:type="dxa"/>
            <w:tcBorders>
              <w:top w:val="single" w:color="auto" w:sz="4" w:space="0"/>
              <w:left w:val="single" w:color="auto" w:sz="4" w:space="0"/>
              <w:bottom w:val="single" w:color="auto" w:sz="4" w:space="0"/>
              <w:right w:val="single" w:color="auto" w:sz="4" w:space="0"/>
            </w:tcBorders>
            <w:noWrap w:val="0"/>
            <w:vAlign w:val="top"/>
          </w:tcPr>
          <w:p w14:paraId="53A5BACA">
            <w:pPr>
              <w:adjustRightInd w:val="0"/>
              <w:snapToGrid w:val="0"/>
              <w:spacing w:line="560" w:lineRule="exact"/>
              <w:jc w:val="center"/>
              <w:rPr>
                <w:color w:val="auto"/>
                <w:szCs w:val="21"/>
                <w:highlight w:val="none"/>
              </w:rPr>
            </w:pPr>
          </w:p>
        </w:tc>
        <w:tc>
          <w:tcPr>
            <w:tcW w:w="812" w:type="dxa"/>
            <w:tcBorders>
              <w:top w:val="single" w:color="auto" w:sz="4" w:space="0"/>
              <w:left w:val="single" w:color="auto" w:sz="4" w:space="0"/>
              <w:bottom w:val="single" w:color="auto" w:sz="4" w:space="0"/>
              <w:right w:val="single" w:color="auto" w:sz="4" w:space="0"/>
            </w:tcBorders>
            <w:noWrap w:val="0"/>
            <w:vAlign w:val="top"/>
          </w:tcPr>
          <w:p w14:paraId="07B73020">
            <w:pPr>
              <w:adjustRightInd w:val="0"/>
              <w:snapToGrid w:val="0"/>
              <w:spacing w:line="560" w:lineRule="exact"/>
              <w:jc w:val="center"/>
              <w:rPr>
                <w:color w:val="auto"/>
                <w:szCs w:val="21"/>
                <w:highlight w:val="none"/>
              </w:rPr>
            </w:pPr>
          </w:p>
        </w:tc>
        <w:tc>
          <w:tcPr>
            <w:tcW w:w="814" w:type="dxa"/>
            <w:tcBorders>
              <w:top w:val="single" w:color="auto" w:sz="4" w:space="0"/>
              <w:left w:val="single" w:color="auto" w:sz="4" w:space="0"/>
              <w:bottom w:val="single" w:color="auto" w:sz="4" w:space="0"/>
              <w:right w:val="single" w:color="auto" w:sz="4" w:space="0"/>
            </w:tcBorders>
            <w:noWrap w:val="0"/>
            <w:vAlign w:val="top"/>
          </w:tcPr>
          <w:p w14:paraId="2B7FC6E7">
            <w:pPr>
              <w:adjustRightInd w:val="0"/>
              <w:snapToGrid w:val="0"/>
              <w:spacing w:line="560" w:lineRule="exact"/>
              <w:jc w:val="center"/>
              <w:rPr>
                <w:color w:val="auto"/>
                <w:szCs w:val="21"/>
                <w:highlight w:val="none"/>
              </w:rPr>
            </w:pPr>
          </w:p>
        </w:tc>
        <w:tc>
          <w:tcPr>
            <w:tcW w:w="811" w:type="dxa"/>
            <w:tcBorders>
              <w:top w:val="single" w:color="auto" w:sz="4" w:space="0"/>
              <w:left w:val="single" w:color="auto" w:sz="4" w:space="0"/>
              <w:bottom w:val="single" w:color="auto" w:sz="4" w:space="0"/>
              <w:right w:val="single" w:color="auto" w:sz="4" w:space="0"/>
            </w:tcBorders>
            <w:noWrap w:val="0"/>
            <w:vAlign w:val="top"/>
          </w:tcPr>
          <w:p w14:paraId="4975EF40">
            <w:pPr>
              <w:adjustRightInd w:val="0"/>
              <w:snapToGrid w:val="0"/>
              <w:spacing w:line="560" w:lineRule="exact"/>
              <w:jc w:val="center"/>
              <w:rPr>
                <w:color w:val="auto"/>
                <w:szCs w:val="21"/>
                <w:highlight w:val="none"/>
              </w:rPr>
            </w:pPr>
          </w:p>
        </w:tc>
        <w:tc>
          <w:tcPr>
            <w:tcW w:w="2848" w:type="dxa"/>
            <w:tcBorders>
              <w:top w:val="single" w:color="auto" w:sz="4" w:space="0"/>
              <w:left w:val="single" w:color="auto" w:sz="4" w:space="0"/>
              <w:bottom w:val="single" w:color="auto" w:sz="4" w:space="0"/>
              <w:right w:val="single" w:color="auto" w:sz="4" w:space="0"/>
            </w:tcBorders>
            <w:noWrap w:val="0"/>
            <w:vAlign w:val="top"/>
          </w:tcPr>
          <w:p w14:paraId="2384701D">
            <w:pPr>
              <w:adjustRightInd w:val="0"/>
              <w:snapToGrid w:val="0"/>
              <w:spacing w:line="560" w:lineRule="exact"/>
              <w:jc w:val="center"/>
              <w:rPr>
                <w:color w:val="auto"/>
                <w:szCs w:val="21"/>
                <w:highlight w:val="none"/>
              </w:rPr>
            </w:pPr>
          </w:p>
        </w:tc>
        <w:tc>
          <w:tcPr>
            <w:tcW w:w="759" w:type="dxa"/>
            <w:tcBorders>
              <w:top w:val="single" w:color="auto" w:sz="4" w:space="0"/>
              <w:left w:val="single" w:color="auto" w:sz="4" w:space="0"/>
              <w:bottom w:val="single" w:color="auto" w:sz="4" w:space="0"/>
              <w:right w:val="single" w:color="auto" w:sz="4" w:space="0"/>
            </w:tcBorders>
            <w:noWrap w:val="0"/>
            <w:vAlign w:val="top"/>
          </w:tcPr>
          <w:p w14:paraId="4CA02356">
            <w:pPr>
              <w:adjustRightInd w:val="0"/>
              <w:snapToGrid w:val="0"/>
              <w:spacing w:line="560" w:lineRule="exact"/>
              <w:jc w:val="center"/>
              <w:rPr>
                <w:color w:val="auto"/>
                <w:szCs w:val="21"/>
                <w:highlight w:val="none"/>
              </w:rPr>
            </w:pPr>
          </w:p>
        </w:tc>
      </w:tr>
    </w:tbl>
    <w:p w14:paraId="6628DEF6">
      <w:pPr>
        <w:adjustRightInd w:val="0"/>
        <w:snapToGrid w:val="0"/>
        <w:spacing w:line="560" w:lineRule="exact"/>
        <w:rPr>
          <w:rFonts w:hint="eastAsia"/>
          <w:color w:val="auto"/>
          <w:highlight w:val="none"/>
        </w:rPr>
      </w:pPr>
      <w:r>
        <w:rPr>
          <w:rFonts w:hint="eastAsia"/>
          <w:b/>
          <w:color w:val="auto"/>
          <w:szCs w:val="21"/>
          <w:highlight w:val="none"/>
        </w:rPr>
        <w:t>备注：</w:t>
      </w:r>
      <w:r>
        <w:rPr>
          <w:rFonts w:hint="eastAsia"/>
          <w:color w:val="auto"/>
          <w:highlight w:val="none"/>
        </w:rPr>
        <w:t>根据安徽省住房和城乡建设厅《关于调整招标投标活动中有关住房城乡建设领域现场专业人员证书要求的通知》（建市函〔2019〕1112 号）要求，不再将住房城乡建设领域现场专业技术人员（包括施工员、质量员、安全员、资料员、材料员、劳务员、机械员、标准员）及取样员持证情况列入招标投标文件，招标人或招标代理机构需按照住房和城乡建设部及安徽省相关标准规定 明确投标人需要配备其他主要管理人员和技术人员数量的最低要求。中标人和招标人在签订合同时应按照不低于上述人员配置的要求填写承包人主要施工管理人员表，并作为合同的附件之一。</w:t>
      </w:r>
    </w:p>
    <w:p w14:paraId="56023B39">
      <w:pPr>
        <w:spacing w:line="560" w:lineRule="exact"/>
        <w:rPr>
          <w:rFonts w:hint="eastAsia"/>
          <w:color w:val="auto"/>
          <w:highlight w:val="none"/>
        </w:rPr>
      </w:pPr>
    </w:p>
    <w:p w14:paraId="4F1E0A9A">
      <w:pPr>
        <w:pStyle w:val="5"/>
        <w:jc w:val="center"/>
        <w:rPr>
          <w:color w:val="auto"/>
          <w:sz w:val="23"/>
          <w:szCs w:val="23"/>
          <w:highlight w:val="none"/>
        </w:rPr>
      </w:pPr>
      <w:r>
        <w:rPr>
          <w:rFonts w:hint="eastAsia"/>
          <w:color w:val="auto"/>
          <w:highlight w:val="none"/>
        </w:rPr>
        <w:t>附表2：拟任项目经理（建造师）</w:t>
      </w:r>
      <w:r>
        <w:rPr>
          <w:color w:val="auto"/>
          <w:highlight w:val="none"/>
        </w:rPr>
        <w:t>简历表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394"/>
        <w:gridCol w:w="791"/>
        <w:gridCol w:w="1018"/>
        <w:gridCol w:w="1170"/>
        <w:gridCol w:w="777"/>
        <w:gridCol w:w="1385"/>
        <w:gridCol w:w="177"/>
        <w:gridCol w:w="2345"/>
      </w:tblGrid>
      <w:tr w14:paraId="19BCD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303" w:type="dxa"/>
            <w:noWrap w:val="0"/>
            <w:vAlign w:val="center"/>
          </w:tcPr>
          <w:p w14:paraId="1CA252C5">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姓  名</w:t>
            </w:r>
          </w:p>
        </w:tc>
        <w:tc>
          <w:tcPr>
            <w:tcW w:w="1185" w:type="dxa"/>
            <w:gridSpan w:val="2"/>
            <w:noWrap w:val="0"/>
            <w:vAlign w:val="center"/>
          </w:tcPr>
          <w:p w14:paraId="039A8BB9">
            <w:pPr>
              <w:adjustRightInd w:val="0"/>
              <w:snapToGrid w:val="0"/>
              <w:spacing w:line="560" w:lineRule="exact"/>
              <w:jc w:val="center"/>
              <w:rPr>
                <w:rFonts w:ascii="宋体" w:hAnsi="宋体"/>
                <w:color w:val="auto"/>
                <w:szCs w:val="21"/>
                <w:highlight w:val="none"/>
              </w:rPr>
            </w:pPr>
          </w:p>
        </w:tc>
        <w:tc>
          <w:tcPr>
            <w:tcW w:w="1018" w:type="dxa"/>
            <w:noWrap w:val="0"/>
            <w:vAlign w:val="center"/>
          </w:tcPr>
          <w:p w14:paraId="52E1FE36">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年 龄</w:t>
            </w:r>
          </w:p>
        </w:tc>
        <w:tc>
          <w:tcPr>
            <w:tcW w:w="1170" w:type="dxa"/>
            <w:noWrap w:val="0"/>
            <w:vAlign w:val="center"/>
          </w:tcPr>
          <w:p w14:paraId="1F99B829">
            <w:pPr>
              <w:adjustRightInd w:val="0"/>
              <w:snapToGrid w:val="0"/>
              <w:spacing w:line="560" w:lineRule="exact"/>
              <w:jc w:val="center"/>
              <w:rPr>
                <w:rFonts w:ascii="宋体" w:hAnsi="宋体"/>
                <w:color w:val="auto"/>
                <w:szCs w:val="21"/>
                <w:highlight w:val="none"/>
              </w:rPr>
            </w:pPr>
          </w:p>
        </w:tc>
        <w:tc>
          <w:tcPr>
            <w:tcW w:w="2339" w:type="dxa"/>
            <w:gridSpan w:val="3"/>
            <w:noWrap w:val="0"/>
            <w:vAlign w:val="center"/>
          </w:tcPr>
          <w:p w14:paraId="0EF0DEF3">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学历</w:t>
            </w:r>
          </w:p>
        </w:tc>
        <w:tc>
          <w:tcPr>
            <w:tcW w:w="2345" w:type="dxa"/>
            <w:noWrap w:val="0"/>
            <w:vAlign w:val="center"/>
          </w:tcPr>
          <w:p w14:paraId="6AF6770B">
            <w:pPr>
              <w:adjustRightInd w:val="0"/>
              <w:snapToGrid w:val="0"/>
              <w:spacing w:line="560" w:lineRule="exact"/>
              <w:rPr>
                <w:rFonts w:ascii="宋体" w:hAnsi="宋体"/>
                <w:color w:val="auto"/>
                <w:szCs w:val="21"/>
                <w:highlight w:val="none"/>
              </w:rPr>
            </w:pPr>
          </w:p>
        </w:tc>
      </w:tr>
      <w:tr w14:paraId="6BE04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303" w:type="dxa"/>
            <w:noWrap w:val="0"/>
            <w:vAlign w:val="center"/>
          </w:tcPr>
          <w:p w14:paraId="7A6625B4">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职  称</w:t>
            </w:r>
          </w:p>
        </w:tc>
        <w:tc>
          <w:tcPr>
            <w:tcW w:w="1185" w:type="dxa"/>
            <w:gridSpan w:val="2"/>
            <w:noWrap w:val="0"/>
            <w:vAlign w:val="center"/>
          </w:tcPr>
          <w:p w14:paraId="10F0DB2F">
            <w:pPr>
              <w:adjustRightInd w:val="0"/>
              <w:snapToGrid w:val="0"/>
              <w:spacing w:line="560" w:lineRule="exact"/>
              <w:jc w:val="center"/>
              <w:rPr>
                <w:rFonts w:ascii="宋体" w:hAnsi="宋体"/>
                <w:color w:val="auto"/>
                <w:szCs w:val="21"/>
                <w:highlight w:val="none"/>
              </w:rPr>
            </w:pPr>
          </w:p>
        </w:tc>
        <w:tc>
          <w:tcPr>
            <w:tcW w:w="1018" w:type="dxa"/>
            <w:noWrap w:val="0"/>
            <w:vAlign w:val="center"/>
          </w:tcPr>
          <w:p w14:paraId="7D355E41">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职 务</w:t>
            </w:r>
          </w:p>
        </w:tc>
        <w:tc>
          <w:tcPr>
            <w:tcW w:w="1170" w:type="dxa"/>
            <w:noWrap w:val="0"/>
            <w:vAlign w:val="center"/>
          </w:tcPr>
          <w:p w14:paraId="57EE0B0F">
            <w:pPr>
              <w:adjustRightInd w:val="0"/>
              <w:snapToGrid w:val="0"/>
              <w:spacing w:line="560" w:lineRule="exact"/>
              <w:jc w:val="center"/>
              <w:rPr>
                <w:rFonts w:ascii="宋体" w:hAnsi="宋体"/>
                <w:color w:val="auto"/>
                <w:szCs w:val="21"/>
                <w:highlight w:val="none"/>
              </w:rPr>
            </w:pPr>
          </w:p>
        </w:tc>
        <w:tc>
          <w:tcPr>
            <w:tcW w:w="2339" w:type="dxa"/>
            <w:gridSpan w:val="3"/>
            <w:noWrap w:val="0"/>
            <w:vAlign w:val="center"/>
          </w:tcPr>
          <w:p w14:paraId="7B786F0C">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拟在本合同任职</w:t>
            </w:r>
          </w:p>
        </w:tc>
        <w:tc>
          <w:tcPr>
            <w:tcW w:w="2345" w:type="dxa"/>
            <w:noWrap w:val="0"/>
            <w:vAlign w:val="center"/>
          </w:tcPr>
          <w:p w14:paraId="0EF14EFA">
            <w:pPr>
              <w:adjustRightInd w:val="0"/>
              <w:snapToGrid w:val="0"/>
              <w:spacing w:line="560" w:lineRule="exact"/>
              <w:rPr>
                <w:rFonts w:ascii="宋体" w:hAnsi="宋体"/>
                <w:color w:val="auto"/>
                <w:szCs w:val="21"/>
                <w:highlight w:val="none"/>
              </w:rPr>
            </w:pPr>
          </w:p>
        </w:tc>
      </w:tr>
      <w:tr w14:paraId="45F1D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303" w:type="dxa"/>
            <w:noWrap w:val="0"/>
            <w:vAlign w:val="center"/>
          </w:tcPr>
          <w:p w14:paraId="7DC491F8">
            <w:pPr>
              <w:adjustRightInd w:val="0"/>
              <w:snapToGrid w:val="0"/>
              <w:spacing w:line="560" w:lineRule="exact"/>
              <w:rPr>
                <w:rFonts w:ascii="宋体" w:hAnsi="宋体"/>
                <w:color w:val="auto"/>
                <w:szCs w:val="21"/>
                <w:highlight w:val="none"/>
              </w:rPr>
            </w:pPr>
            <w:r>
              <w:rPr>
                <w:rFonts w:ascii="宋体" w:hAnsi="宋体"/>
                <w:color w:val="auto"/>
                <w:szCs w:val="21"/>
                <w:highlight w:val="none"/>
              </w:rPr>
              <w:t>毕业学校</w:t>
            </w:r>
          </w:p>
        </w:tc>
        <w:tc>
          <w:tcPr>
            <w:tcW w:w="8057" w:type="dxa"/>
            <w:gridSpan w:val="8"/>
            <w:noWrap w:val="0"/>
            <w:vAlign w:val="top"/>
          </w:tcPr>
          <w:p w14:paraId="2E9FEA92">
            <w:pPr>
              <w:adjustRightInd w:val="0"/>
              <w:snapToGrid w:val="0"/>
              <w:spacing w:line="560" w:lineRule="exact"/>
              <w:rPr>
                <w:rFonts w:ascii="宋体" w:hAnsi="宋体"/>
                <w:color w:val="auto"/>
                <w:szCs w:val="21"/>
                <w:highlight w:val="none"/>
              </w:rPr>
            </w:pPr>
            <w:r>
              <w:rPr>
                <w:rFonts w:ascii="宋体" w:hAnsi="宋体"/>
                <w:color w:val="auto"/>
                <w:szCs w:val="21"/>
                <w:highlight w:val="none"/>
              </w:rPr>
              <w:t xml:space="preserve">      年毕业于            学校        专业</w:t>
            </w:r>
          </w:p>
        </w:tc>
      </w:tr>
      <w:tr w14:paraId="08E22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360" w:type="dxa"/>
            <w:gridSpan w:val="9"/>
            <w:noWrap w:val="0"/>
            <w:vAlign w:val="center"/>
          </w:tcPr>
          <w:p w14:paraId="1FACAF0E">
            <w:pPr>
              <w:adjustRightInd w:val="0"/>
              <w:snapToGrid w:val="0"/>
              <w:spacing w:line="560" w:lineRule="exact"/>
              <w:rPr>
                <w:rFonts w:ascii="宋体" w:hAnsi="宋体"/>
                <w:color w:val="auto"/>
                <w:szCs w:val="21"/>
                <w:highlight w:val="none"/>
              </w:rPr>
            </w:pPr>
            <w:r>
              <w:rPr>
                <w:rFonts w:ascii="宋体" w:hAnsi="宋体"/>
                <w:color w:val="auto"/>
                <w:szCs w:val="21"/>
                <w:highlight w:val="none"/>
              </w:rPr>
              <w:t>主要工作经历</w:t>
            </w:r>
          </w:p>
        </w:tc>
      </w:tr>
      <w:tr w14:paraId="2E2A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697" w:type="dxa"/>
            <w:gridSpan w:val="2"/>
            <w:noWrap w:val="0"/>
            <w:vAlign w:val="center"/>
          </w:tcPr>
          <w:p w14:paraId="13C319FB">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时  间</w:t>
            </w:r>
          </w:p>
        </w:tc>
        <w:tc>
          <w:tcPr>
            <w:tcW w:w="3756" w:type="dxa"/>
            <w:gridSpan w:val="4"/>
            <w:noWrap w:val="0"/>
            <w:vAlign w:val="center"/>
          </w:tcPr>
          <w:p w14:paraId="561C53DA">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参加过的类似项目</w:t>
            </w:r>
          </w:p>
        </w:tc>
        <w:tc>
          <w:tcPr>
            <w:tcW w:w="1385" w:type="dxa"/>
            <w:noWrap w:val="0"/>
            <w:vAlign w:val="center"/>
          </w:tcPr>
          <w:p w14:paraId="1B69198A">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担任职务</w:t>
            </w:r>
          </w:p>
        </w:tc>
        <w:tc>
          <w:tcPr>
            <w:tcW w:w="2522" w:type="dxa"/>
            <w:gridSpan w:val="2"/>
            <w:noWrap w:val="0"/>
            <w:vAlign w:val="center"/>
          </w:tcPr>
          <w:p w14:paraId="40E45AD9">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发包人及联系电话</w:t>
            </w:r>
          </w:p>
        </w:tc>
      </w:tr>
      <w:tr w14:paraId="61B39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noWrap w:val="0"/>
            <w:vAlign w:val="top"/>
          </w:tcPr>
          <w:p w14:paraId="0E10236E">
            <w:pPr>
              <w:adjustRightInd w:val="0"/>
              <w:snapToGrid w:val="0"/>
              <w:spacing w:line="560" w:lineRule="exact"/>
              <w:rPr>
                <w:rFonts w:eastAsia="黑体"/>
                <w:color w:val="auto"/>
                <w:szCs w:val="21"/>
                <w:highlight w:val="none"/>
              </w:rPr>
            </w:pPr>
          </w:p>
        </w:tc>
        <w:tc>
          <w:tcPr>
            <w:tcW w:w="3756" w:type="dxa"/>
            <w:gridSpan w:val="4"/>
            <w:noWrap w:val="0"/>
            <w:vAlign w:val="top"/>
          </w:tcPr>
          <w:p w14:paraId="2E086387">
            <w:pPr>
              <w:adjustRightInd w:val="0"/>
              <w:snapToGrid w:val="0"/>
              <w:spacing w:line="560" w:lineRule="exact"/>
              <w:rPr>
                <w:rFonts w:eastAsia="黑体"/>
                <w:color w:val="auto"/>
                <w:szCs w:val="21"/>
                <w:highlight w:val="none"/>
              </w:rPr>
            </w:pPr>
          </w:p>
        </w:tc>
        <w:tc>
          <w:tcPr>
            <w:tcW w:w="1385" w:type="dxa"/>
            <w:noWrap w:val="0"/>
            <w:vAlign w:val="top"/>
          </w:tcPr>
          <w:p w14:paraId="05936F52">
            <w:pPr>
              <w:adjustRightInd w:val="0"/>
              <w:snapToGrid w:val="0"/>
              <w:spacing w:line="560" w:lineRule="exact"/>
              <w:rPr>
                <w:rFonts w:eastAsia="黑体"/>
                <w:color w:val="auto"/>
                <w:szCs w:val="21"/>
                <w:highlight w:val="none"/>
              </w:rPr>
            </w:pPr>
          </w:p>
        </w:tc>
        <w:tc>
          <w:tcPr>
            <w:tcW w:w="2522" w:type="dxa"/>
            <w:gridSpan w:val="2"/>
            <w:noWrap w:val="0"/>
            <w:vAlign w:val="top"/>
          </w:tcPr>
          <w:p w14:paraId="15FC13F8">
            <w:pPr>
              <w:adjustRightInd w:val="0"/>
              <w:snapToGrid w:val="0"/>
              <w:spacing w:line="560" w:lineRule="exact"/>
              <w:rPr>
                <w:rFonts w:eastAsia="黑体"/>
                <w:color w:val="auto"/>
                <w:szCs w:val="21"/>
                <w:highlight w:val="none"/>
              </w:rPr>
            </w:pPr>
          </w:p>
        </w:tc>
      </w:tr>
      <w:tr w14:paraId="48251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noWrap w:val="0"/>
            <w:vAlign w:val="top"/>
          </w:tcPr>
          <w:p w14:paraId="0A249C2F">
            <w:pPr>
              <w:adjustRightInd w:val="0"/>
              <w:snapToGrid w:val="0"/>
              <w:spacing w:line="560" w:lineRule="exact"/>
              <w:rPr>
                <w:rFonts w:eastAsia="黑体"/>
                <w:color w:val="auto"/>
                <w:szCs w:val="21"/>
                <w:highlight w:val="none"/>
              </w:rPr>
            </w:pPr>
          </w:p>
        </w:tc>
        <w:tc>
          <w:tcPr>
            <w:tcW w:w="3756" w:type="dxa"/>
            <w:gridSpan w:val="4"/>
            <w:noWrap w:val="0"/>
            <w:vAlign w:val="top"/>
          </w:tcPr>
          <w:p w14:paraId="46364CAA">
            <w:pPr>
              <w:adjustRightInd w:val="0"/>
              <w:snapToGrid w:val="0"/>
              <w:spacing w:line="560" w:lineRule="exact"/>
              <w:rPr>
                <w:rFonts w:eastAsia="黑体"/>
                <w:color w:val="auto"/>
                <w:szCs w:val="21"/>
                <w:highlight w:val="none"/>
              </w:rPr>
            </w:pPr>
          </w:p>
        </w:tc>
        <w:tc>
          <w:tcPr>
            <w:tcW w:w="1385" w:type="dxa"/>
            <w:noWrap w:val="0"/>
            <w:vAlign w:val="top"/>
          </w:tcPr>
          <w:p w14:paraId="3F9239FE">
            <w:pPr>
              <w:adjustRightInd w:val="0"/>
              <w:snapToGrid w:val="0"/>
              <w:spacing w:line="560" w:lineRule="exact"/>
              <w:rPr>
                <w:rFonts w:eastAsia="黑体"/>
                <w:color w:val="auto"/>
                <w:szCs w:val="21"/>
                <w:highlight w:val="none"/>
              </w:rPr>
            </w:pPr>
          </w:p>
        </w:tc>
        <w:tc>
          <w:tcPr>
            <w:tcW w:w="2522" w:type="dxa"/>
            <w:gridSpan w:val="2"/>
            <w:noWrap w:val="0"/>
            <w:vAlign w:val="top"/>
          </w:tcPr>
          <w:p w14:paraId="18747D56">
            <w:pPr>
              <w:adjustRightInd w:val="0"/>
              <w:snapToGrid w:val="0"/>
              <w:spacing w:line="560" w:lineRule="exact"/>
              <w:rPr>
                <w:rFonts w:eastAsia="黑体"/>
                <w:color w:val="auto"/>
                <w:szCs w:val="21"/>
                <w:highlight w:val="none"/>
              </w:rPr>
            </w:pPr>
          </w:p>
        </w:tc>
      </w:tr>
      <w:tr w14:paraId="2FA55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noWrap w:val="0"/>
            <w:vAlign w:val="top"/>
          </w:tcPr>
          <w:p w14:paraId="3DFE7F9F">
            <w:pPr>
              <w:adjustRightInd w:val="0"/>
              <w:snapToGrid w:val="0"/>
              <w:spacing w:line="560" w:lineRule="exact"/>
              <w:rPr>
                <w:rFonts w:eastAsia="黑体"/>
                <w:color w:val="auto"/>
                <w:szCs w:val="21"/>
                <w:highlight w:val="none"/>
              </w:rPr>
            </w:pPr>
          </w:p>
        </w:tc>
        <w:tc>
          <w:tcPr>
            <w:tcW w:w="3756" w:type="dxa"/>
            <w:gridSpan w:val="4"/>
            <w:noWrap w:val="0"/>
            <w:vAlign w:val="top"/>
          </w:tcPr>
          <w:p w14:paraId="5896093D">
            <w:pPr>
              <w:adjustRightInd w:val="0"/>
              <w:snapToGrid w:val="0"/>
              <w:spacing w:line="560" w:lineRule="exact"/>
              <w:rPr>
                <w:rFonts w:eastAsia="黑体"/>
                <w:color w:val="auto"/>
                <w:szCs w:val="21"/>
                <w:highlight w:val="none"/>
              </w:rPr>
            </w:pPr>
          </w:p>
        </w:tc>
        <w:tc>
          <w:tcPr>
            <w:tcW w:w="1385" w:type="dxa"/>
            <w:noWrap w:val="0"/>
            <w:vAlign w:val="top"/>
          </w:tcPr>
          <w:p w14:paraId="13AD0F23">
            <w:pPr>
              <w:adjustRightInd w:val="0"/>
              <w:snapToGrid w:val="0"/>
              <w:spacing w:line="560" w:lineRule="exact"/>
              <w:rPr>
                <w:rFonts w:eastAsia="黑体"/>
                <w:color w:val="auto"/>
                <w:szCs w:val="21"/>
                <w:highlight w:val="none"/>
              </w:rPr>
            </w:pPr>
          </w:p>
        </w:tc>
        <w:tc>
          <w:tcPr>
            <w:tcW w:w="2522" w:type="dxa"/>
            <w:gridSpan w:val="2"/>
            <w:noWrap w:val="0"/>
            <w:vAlign w:val="top"/>
          </w:tcPr>
          <w:p w14:paraId="4F3B2E2B">
            <w:pPr>
              <w:adjustRightInd w:val="0"/>
              <w:snapToGrid w:val="0"/>
              <w:spacing w:line="560" w:lineRule="exact"/>
              <w:rPr>
                <w:rFonts w:eastAsia="黑体"/>
                <w:color w:val="auto"/>
                <w:szCs w:val="21"/>
                <w:highlight w:val="none"/>
              </w:rPr>
            </w:pPr>
          </w:p>
        </w:tc>
      </w:tr>
      <w:tr w14:paraId="30B7E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noWrap w:val="0"/>
            <w:vAlign w:val="top"/>
          </w:tcPr>
          <w:p w14:paraId="44296895">
            <w:pPr>
              <w:adjustRightInd w:val="0"/>
              <w:snapToGrid w:val="0"/>
              <w:spacing w:line="560" w:lineRule="exact"/>
              <w:rPr>
                <w:rFonts w:eastAsia="黑体"/>
                <w:color w:val="auto"/>
                <w:szCs w:val="21"/>
                <w:highlight w:val="none"/>
              </w:rPr>
            </w:pPr>
          </w:p>
        </w:tc>
        <w:tc>
          <w:tcPr>
            <w:tcW w:w="3756" w:type="dxa"/>
            <w:gridSpan w:val="4"/>
            <w:noWrap w:val="0"/>
            <w:vAlign w:val="top"/>
          </w:tcPr>
          <w:p w14:paraId="709C10F1">
            <w:pPr>
              <w:adjustRightInd w:val="0"/>
              <w:snapToGrid w:val="0"/>
              <w:spacing w:line="560" w:lineRule="exact"/>
              <w:rPr>
                <w:rFonts w:eastAsia="黑体"/>
                <w:color w:val="auto"/>
                <w:szCs w:val="21"/>
                <w:highlight w:val="none"/>
              </w:rPr>
            </w:pPr>
          </w:p>
        </w:tc>
        <w:tc>
          <w:tcPr>
            <w:tcW w:w="1385" w:type="dxa"/>
            <w:noWrap w:val="0"/>
            <w:vAlign w:val="top"/>
          </w:tcPr>
          <w:p w14:paraId="4C02DAEC">
            <w:pPr>
              <w:adjustRightInd w:val="0"/>
              <w:snapToGrid w:val="0"/>
              <w:spacing w:line="560" w:lineRule="exact"/>
              <w:rPr>
                <w:rFonts w:eastAsia="黑体"/>
                <w:color w:val="auto"/>
                <w:szCs w:val="21"/>
                <w:highlight w:val="none"/>
              </w:rPr>
            </w:pPr>
          </w:p>
        </w:tc>
        <w:tc>
          <w:tcPr>
            <w:tcW w:w="2522" w:type="dxa"/>
            <w:gridSpan w:val="2"/>
            <w:noWrap w:val="0"/>
            <w:vAlign w:val="top"/>
          </w:tcPr>
          <w:p w14:paraId="0F2F2D7E">
            <w:pPr>
              <w:adjustRightInd w:val="0"/>
              <w:snapToGrid w:val="0"/>
              <w:spacing w:line="560" w:lineRule="exact"/>
              <w:rPr>
                <w:rFonts w:eastAsia="黑体"/>
                <w:color w:val="auto"/>
                <w:szCs w:val="21"/>
                <w:highlight w:val="none"/>
              </w:rPr>
            </w:pPr>
          </w:p>
        </w:tc>
      </w:tr>
      <w:tr w14:paraId="4E8E9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noWrap w:val="0"/>
            <w:vAlign w:val="top"/>
          </w:tcPr>
          <w:p w14:paraId="42B1E7C2">
            <w:pPr>
              <w:adjustRightInd w:val="0"/>
              <w:snapToGrid w:val="0"/>
              <w:spacing w:line="560" w:lineRule="exact"/>
              <w:rPr>
                <w:rFonts w:eastAsia="黑体"/>
                <w:color w:val="auto"/>
                <w:szCs w:val="21"/>
                <w:highlight w:val="none"/>
              </w:rPr>
            </w:pPr>
          </w:p>
        </w:tc>
        <w:tc>
          <w:tcPr>
            <w:tcW w:w="3756" w:type="dxa"/>
            <w:gridSpan w:val="4"/>
            <w:noWrap w:val="0"/>
            <w:vAlign w:val="top"/>
          </w:tcPr>
          <w:p w14:paraId="58E218A6">
            <w:pPr>
              <w:adjustRightInd w:val="0"/>
              <w:snapToGrid w:val="0"/>
              <w:spacing w:line="560" w:lineRule="exact"/>
              <w:rPr>
                <w:rFonts w:eastAsia="黑体"/>
                <w:color w:val="auto"/>
                <w:szCs w:val="21"/>
                <w:highlight w:val="none"/>
              </w:rPr>
            </w:pPr>
          </w:p>
        </w:tc>
        <w:tc>
          <w:tcPr>
            <w:tcW w:w="1385" w:type="dxa"/>
            <w:noWrap w:val="0"/>
            <w:vAlign w:val="top"/>
          </w:tcPr>
          <w:p w14:paraId="38E38DFB">
            <w:pPr>
              <w:adjustRightInd w:val="0"/>
              <w:snapToGrid w:val="0"/>
              <w:spacing w:line="560" w:lineRule="exact"/>
              <w:rPr>
                <w:rFonts w:eastAsia="黑体"/>
                <w:color w:val="auto"/>
                <w:szCs w:val="21"/>
                <w:highlight w:val="none"/>
              </w:rPr>
            </w:pPr>
          </w:p>
        </w:tc>
        <w:tc>
          <w:tcPr>
            <w:tcW w:w="2522" w:type="dxa"/>
            <w:gridSpan w:val="2"/>
            <w:noWrap w:val="0"/>
            <w:vAlign w:val="top"/>
          </w:tcPr>
          <w:p w14:paraId="704671DD">
            <w:pPr>
              <w:adjustRightInd w:val="0"/>
              <w:snapToGrid w:val="0"/>
              <w:spacing w:line="560" w:lineRule="exact"/>
              <w:rPr>
                <w:rFonts w:eastAsia="黑体"/>
                <w:color w:val="auto"/>
                <w:szCs w:val="21"/>
                <w:highlight w:val="none"/>
              </w:rPr>
            </w:pPr>
          </w:p>
        </w:tc>
      </w:tr>
      <w:tr w14:paraId="3D9D7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noWrap w:val="0"/>
            <w:vAlign w:val="top"/>
          </w:tcPr>
          <w:p w14:paraId="4EA0A451">
            <w:pPr>
              <w:adjustRightInd w:val="0"/>
              <w:snapToGrid w:val="0"/>
              <w:spacing w:line="560" w:lineRule="exact"/>
              <w:rPr>
                <w:rFonts w:eastAsia="黑体"/>
                <w:color w:val="auto"/>
                <w:szCs w:val="21"/>
                <w:highlight w:val="none"/>
              </w:rPr>
            </w:pPr>
          </w:p>
        </w:tc>
        <w:tc>
          <w:tcPr>
            <w:tcW w:w="3756" w:type="dxa"/>
            <w:gridSpan w:val="4"/>
            <w:noWrap w:val="0"/>
            <w:vAlign w:val="top"/>
          </w:tcPr>
          <w:p w14:paraId="6F784EE0">
            <w:pPr>
              <w:adjustRightInd w:val="0"/>
              <w:snapToGrid w:val="0"/>
              <w:spacing w:line="560" w:lineRule="exact"/>
              <w:rPr>
                <w:rFonts w:eastAsia="黑体"/>
                <w:color w:val="auto"/>
                <w:szCs w:val="21"/>
                <w:highlight w:val="none"/>
              </w:rPr>
            </w:pPr>
          </w:p>
        </w:tc>
        <w:tc>
          <w:tcPr>
            <w:tcW w:w="1385" w:type="dxa"/>
            <w:noWrap w:val="0"/>
            <w:vAlign w:val="top"/>
          </w:tcPr>
          <w:p w14:paraId="1A0AD3C7">
            <w:pPr>
              <w:adjustRightInd w:val="0"/>
              <w:snapToGrid w:val="0"/>
              <w:spacing w:line="560" w:lineRule="exact"/>
              <w:rPr>
                <w:rFonts w:eastAsia="黑体"/>
                <w:color w:val="auto"/>
                <w:szCs w:val="21"/>
                <w:highlight w:val="none"/>
              </w:rPr>
            </w:pPr>
          </w:p>
        </w:tc>
        <w:tc>
          <w:tcPr>
            <w:tcW w:w="2522" w:type="dxa"/>
            <w:gridSpan w:val="2"/>
            <w:noWrap w:val="0"/>
            <w:vAlign w:val="top"/>
          </w:tcPr>
          <w:p w14:paraId="45677FD2">
            <w:pPr>
              <w:adjustRightInd w:val="0"/>
              <w:snapToGrid w:val="0"/>
              <w:spacing w:line="560" w:lineRule="exact"/>
              <w:rPr>
                <w:rFonts w:eastAsia="黑体"/>
                <w:color w:val="auto"/>
                <w:szCs w:val="21"/>
                <w:highlight w:val="none"/>
              </w:rPr>
            </w:pPr>
          </w:p>
        </w:tc>
      </w:tr>
      <w:tr w14:paraId="155F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noWrap w:val="0"/>
            <w:vAlign w:val="top"/>
          </w:tcPr>
          <w:p w14:paraId="55A72BCC">
            <w:pPr>
              <w:adjustRightInd w:val="0"/>
              <w:snapToGrid w:val="0"/>
              <w:spacing w:line="560" w:lineRule="exact"/>
              <w:rPr>
                <w:rFonts w:eastAsia="黑体"/>
                <w:color w:val="auto"/>
                <w:szCs w:val="21"/>
                <w:highlight w:val="none"/>
              </w:rPr>
            </w:pPr>
          </w:p>
        </w:tc>
        <w:tc>
          <w:tcPr>
            <w:tcW w:w="3756" w:type="dxa"/>
            <w:gridSpan w:val="4"/>
            <w:noWrap w:val="0"/>
            <w:vAlign w:val="top"/>
          </w:tcPr>
          <w:p w14:paraId="2F47835D">
            <w:pPr>
              <w:adjustRightInd w:val="0"/>
              <w:snapToGrid w:val="0"/>
              <w:spacing w:line="560" w:lineRule="exact"/>
              <w:rPr>
                <w:rFonts w:eastAsia="黑体"/>
                <w:color w:val="auto"/>
                <w:szCs w:val="21"/>
                <w:highlight w:val="none"/>
              </w:rPr>
            </w:pPr>
          </w:p>
        </w:tc>
        <w:tc>
          <w:tcPr>
            <w:tcW w:w="1385" w:type="dxa"/>
            <w:noWrap w:val="0"/>
            <w:vAlign w:val="top"/>
          </w:tcPr>
          <w:p w14:paraId="68896CAD">
            <w:pPr>
              <w:adjustRightInd w:val="0"/>
              <w:snapToGrid w:val="0"/>
              <w:spacing w:line="560" w:lineRule="exact"/>
              <w:rPr>
                <w:rFonts w:eastAsia="黑体"/>
                <w:color w:val="auto"/>
                <w:szCs w:val="21"/>
                <w:highlight w:val="none"/>
              </w:rPr>
            </w:pPr>
          </w:p>
        </w:tc>
        <w:tc>
          <w:tcPr>
            <w:tcW w:w="2522" w:type="dxa"/>
            <w:gridSpan w:val="2"/>
            <w:noWrap w:val="0"/>
            <w:vAlign w:val="top"/>
          </w:tcPr>
          <w:p w14:paraId="0963C66C">
            <w:pPr>
              <w:adjustRightInd w:val="0"/>
              <w:snapToGrid w:val="0"/>
              <w:spacing w:line="560" w:lineRule="exact"/>
              <w:rPr>
                <w:rFonts w:eastAsia="黑体"/>
                <w:color w:val="auto"/>
                <w:szCs w:val="21"/>
                <w:highlight w:val="none"/>
              </w:rPr>
            </w:pPr>
          </w:p>
        </w:tc>
      </w:tr>
      <w:tr w14:paraId="0BBE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noWrap w:val="0"/>
            <w:vAlign w:val="top"/>
          </w:tcPr>
          <w:p w14:paraId="50BC79FA">
            <w:pPr>
              <w:adjustRightInd w:val="0"/>
              <w:snapToGrid w:val="0"/>
              <w:spacing w:line="560" w:lineRule="exact"/>
              <w:rPr>
                <w:rFonts w:eastAsia="黑体"/>
                <w:color w:val="auto"/>
                <w:szCs w:val="21"/>
                <w:highlight w:val="none"/>
              </w:rPr>
            </w:pPr>
          </w:p>
        </w:tc>
        <w:tc>
          <w:tcPr>
            <w:tcW w:w="3756" w:type="dxa"/>
            <w:gridSpan w:val="4"/>
            <w:noWrap w:val="0"/>
            <w:vAlign w:val="top"/>
          </w:tcPr>
          <w:p w14:paraId="755BE031">
            <w:pPr>
              <w:adjustRightInd w:val="0"/>
              <w:snapToGrid w:val="0"/>
              <w:spacing w:line="560" w:lineRule="exact"/>
              <w:rPr>
                <w:rFonts w:eastAsia="黑体"/>
                <w:color w:val="auto"/>
                <w:szCs w:val="21"/>
                <w:highlight w:val="none"/>
              </w:rPr>
            </w:pPr>
          </w:p>
        </w:tc>
        <w:tc>
          <w:tcPr>
            <w:tcW w:w="1385" w:type="dxa"/>
            <w:noWrap w:val="0"/>
            <w:vAlign w:val="top"/>
          </w:tcPr>
          <w:p w14:paraId="5C3A0AFB">
            <w:pPr>
              <w:adjustRightInd w:val="0"/>
              <w:snapToGrid w:val="0"/>
              <w:spacing w:line="560" w:lineRule="exact"/>
              <w:rPr>
                <w:rFonts w:eastAsia="黑体"/>
                <w:color w:val="auto"/>
                <w:szCs w:val="21"/>
                <w:highlight w:val="none"/>
              </w:rPr>
            </w:pPr>
          </w:p>
        </w:tc>
        <w:tc>
          <w:tcPr>
            <w:tcW w:w="2522" w:type="dxa"/>
            <w:gridSpan w:val="2"/>
            <w:noWrap w:val="0"/>
            <w:vAlign w:val="top"/>
          </w:tcPr>
          <w:p w14:paraId="220027D6">
            <w:pPr>
              <w:adjustRightInd w:val="0"/>
              <w:snapToGrid w:val="0"/>
              <w:spacing w:line="560" w:lineRule="exact"/>
              <w:rPr>
                <w:rFonts w:eastAsia="黑体"/>
                <w:color w:val="auto"/>
                <w:szCs w:val="21"/>
                <w:highlight w:val="none"/>
              </w:rPr>
            </w:pPr>
          </w:p>
        </w:tc>
      </w:tr>
      <w:tr w14:paraId="297AB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noWrap w:val="0"/>
            <w:vAlign w:val="top"/>
          </w:tcPr>
          <w:p w14:paraId="7EAF1066">
            <w:pPr>
              <w:adjustRightInd w:val="0"/>
              <w:snapToGrid w:val="0"/>
              <w:spacing w:line="560" w:lineRule="exact"/>
              <w:rPr>
                <w:rFonts w:eastAsia="黑体"/>
                <w:color w:val="auto"/>
                <w:szCs w:val="21"/>
                <w:highlight w:val="none"/>
              </w:rPr>
            </w:pPr>
          </w:p>
        </w:tc>
        <w:tc>
          <w:tcPr>
            <w:tcW w:w="3756" w:type="dxa"/>
            <w:gridSpan w:val="4"/>
            <w:noWrap w:val="0"/>
            <w:vAlign w:val="top"/>
          </w:tcPr>
          <w:p w14:paraId="049C18E5">
            <w:pPr>
              <w:adjustRightInd w:val="0"/>
              <w:snapToGrid w:val="0"/>
              <w:spacing w:line="560" w:lineRule="exact"/>
              <w:rPr>
                <w:rFonts w:eastAsia="黑体"/>
                <w:color w:val="auto"/>
                <w:szCs w:val="21"/>
                <w:highlight w:val="none"/>
              </w:rPr>
            </w:pPr>
          </w:p>
        </w:tc>
        <w:tc>
          <w:tcPr>
            <w:tcW w:w="1385" w:type="dxa"/>
            <w:noWrap w:val="0"/>
            <w:vAlign w:val="top"/>
          </w:tcPr>
          <w:p w14:paraId="707EE684">
            <w:pPr>
              <w:adjustRightInd w:val="0"/>
              <w:snapToGrid w:val="0"/>
              <w:spacing w:line="560" w:lineRule="exact"/>
              <w:rPr>
                <w:rFonts w:eastAsia="黑体"/>
                <w:color w:val="auto"/>
                <w:szCs w:val="21"/>
                <w:highlight w:val="none"/>
              </w:rPr>
            </w:pPr>
          </w:p>
        </w:tc>
        <w:tc>
          <w:tcPr>
            <w:tcW w:w="2522" w:type="dxa"/>
            <w:gridSpan w:val="2"/>
            <w:noWrap w:val="0"/>
            <w:vAlign w:val="top"/>
          </w:tcPr>
          <w:p w14:paraId="24F202D6">
            <w:pPr>
              <w:adjustRightInd w:val="0"/>
              <w:snapToGrid w:val="0"/>
              <w:spacing w:line="560" w:lineRule="exact"/>
              <w:rPr>
                <w:rFonts w:eastAsia="黑体"/>
                <w:color w:val="auto"/>
                <w:szCs w:val="21"/>
                <w:highlight w:val="none"/>
              </w:rPr>
            </w:pPr>
          </w:p>
        </w:tc>
      </w:tr>
      <w:tr w14:paraId="761D2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1697" w:type="dxa"/>
            <w:gridSpan w:val="2"/>
            <w:noWrap w:val="0"/>
            <w:vAlign w:val="top"/>
          </w:tcPr>
          <w:p w14:paraId="44927192">
            <w:pPr>
              <w:adjustRightInd w:val="0"/>
              <w:snapToGrid w:val="0"/>
              <w:spacing w:line="560" w:lineRule="exact"/>
              <w:rPr>
                <w:rFonts w:eastAsia="黑体"/>
                <w:color w:val="auto"/>
                <w:szCs w:val="21"/>
                <w:highlight w:val="none"/>
              </w:rPr>
            </w:pPr>
          </w:p>
        </w:tc>
        <w:tc>
          <w:tcPr>
            <w:tcW w:w="3756" w:type="dxa"/>
            <w:gridSpan w:val="4"/>
            <w:noWrap w:val="0"/>
            <w:vAlign w:val="top"/>
          </w:tcPr>
          <w:p w14:paraId="1FB8DD40">
            <w:pPr>
              <w:adjustRightInd w:val="0"/>
              <w:snapToGrid w:val="0"/>
              <w:spacing w:line="560" w:lineRule="exact"/>
              <w:rPr>
                <w:rFonts w:eastAsia="黑体"/>
                <w:color w:val="auto"/>
                <w:szCs w:val="21"/>
                <w:highlight w:val="none"/>
              </w:rPr>
            </w:pPr>
          </w:p>
        </w:tc>
        <w:tc>
          <w:tcPr>
            <w:tcW w:w="1385" w:type="dxa"/>
            <w:noWrap w:val="0"/>
            <w:vAlign w:val="top"/>
          </w:tcPr>
          <w:p w14:paraId="63B3672A">
            <w:pPr>
              <w:adjustRightInd w:val="0"/>
              <w:snapToGrid w:val="0"/>
              <w:spacing w:line="560" w:lineRule="exact"/>
              <w:rPr>
                <w:rFonts w:eastAsia="黑体"/>
                <w:color w:val="auto"/>
                <w:szCs w:val="21"/>
                <w:highlight w:val="none"/>
              </w:rPr>
            </w:pPr>
          </w:p>
        </w:tc>
        <w:tc>
          <w:tcPr>
            <w:tcW w:w="2522" w:type="dxa"/>
            <w:gridSpan w:val="2"/>
            <w:noWrap w:val="0"/>
            <w:vAlign w:val="top"/>
          </w:tcPr>
          <w:p w14:paraId="75B96B77">
            <w:pPr>
              <w:adjustRightInd w:val="0"/>
              <w:snapToGrid w:val="0"/>
              <w:spacing w:line="560" w:lineRule="exact"/>
              <w:rPr>
                <w:rFonts w:eastAsia="黑体"/>
                <w:color w:val="auto"/>
                <w:szCs w:val="21"/>
                <w:highlight w:val="none"/>
              </w:rPr>
            </w:pPr>
          </w:p>
        </w:tc>
      </w:tr>
      <w:tr w14:paraId="525E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1697" w:type="dxa"/>
            <w:gridSpan w:val="2"/>
            <w:noWrap w:val="0"/>
            <w:vAlign w:val="top"/>
          </w:tcPr>
          <w:p w14:paraId="1DE5ACC0">
            <w:pPr>
              <w:adjustRightInd w:val="0"/>
              <w:snapToGrid w:val="0"/>
              <w:spacing w:line="560" w:lineRule="exact"/>
              <w:rPr>
                <w:rFonts w:eastAsia="黑体"/>
                <w:color w:val="auto"/>
                <w:szCs w:val="21"/>
                <w:highlight w:val="none"/>
              </w:rPr>
            </w:pPr>
          </w:p>
        </w:tc>
        <w:tc>
          <w:tcPr>
            <w:tcW w:w="3756" w:type="dxa"/>
            <w:gridSpan w:val="4"/>
            <w:noWrap w:val="0"/>
            <w:vAlign w:val="top"/>
          </w:tcPr>
          <w:p w14:paraId="30815875">
            <w:pPr>
              <w:adjustRightInd w:val="0"/>
              <w:snapToGrid w:val="0"/>
              <w:spacing w:line="560" w:lineRule="exact"/>
              <w:rPr>
                <w:rFonts w:eastAsia="黑体"/>
                <w:color w:val="auto"/>
                <w:szCs w:val="21"/>
                <w:highlight w:val="none"/>
              </w:rPr>
            </w:pPr>
          </w:p>
        </w:tc>
        <w:tc>
          <w:tcPr>
            <w:tcW w:w="1385" w:type="dxa"/>
            <w:noWrap w:val="0"/>
            <w:vAlign w:val="top"/>
          </w:tcPr>
          <w:p w14:paraId="56BDFD61">
            <w:pPr>
              <w:adjustRightInd w:val="0"/>
              <w:snapToGrid w:val="0"/>
              <w:spacing w:line="560" w:lineRule="exact"/>
              <w:rPr>
                <w:rFonts w:eastAsia="黑体"/>
                <w:color w:val="auto"/>
                <w:szCs w:val="21"/>
                <w:highlight w:val="none"/>
              </w:rPr>
            </w:pPr>
          </w:p>
        </w:tc>
        <w:tc>
          <w:tcPr>
            <w:tcW w:w="2522" w:type="dxa"/>
            <w:gridSpan w:val="2"/>
            <w:noWrap w:val="0"/>
            <w:vAlign w:val="top"/>
          </w:tcPr>
          <w:p w14:paraId="2A575D01">
            <w:pPr>
              <w:adjustRightInd w:val="0"/>
              <w:snapToGrid w:val="0"/>
              <w:spacing w:line="560" w:lineRule="exact"/>
              <w:rPr>
                <w:rFonts w:eastAsia="黑体"/>
                <w:color w:val="auto"/>
                <w:szCs w:val="21"/>
                <w:highlight w:val="none"/>
              </w:rPr>
            </w:pPr>
          </w:p>
        </w:tc>
      </w:tr>
    </w:tbl>
    <w:p w14:paraId="174C8668">
      <w:pPr>
        <w:pStyle w:val="5"/>
        <w:jc w:val="center"/>
        <w:rPr>
          <w:color w:val="auto"/>
          <w:sz w:val="23"/>
          <w:szCs w:val="23"/>
          <w:highlight w:val="none"/>
        </w:rPr>
      </w:pPr>
      <w:r>
        <w:rPr>
          <w:rFonts w:hint="eastAsia"/>
          <w:color w:val="auto"/>
          <w:highlight w:val="none"/>
        </w:rPr>
        <w:t>附表3：拟任项目技术负责人简历表</w:t>
      </w:r>
    </w:p>
    <w:tbl>
      <w:tblPr>
        <w:tblStyle w:val="20"/>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396"/>
        <w:gridCol w:w="794"/>
        <w:gridCol w:w="1023"/>
        <w:gridCol w:w="1175"/>
        <w:gridCol w:w="781"/>
        <w:gridCol w:w="1390"/>
        <w:gridCol w:w="178"/>
        <w:gridCol w:w="2355"/>
      </w:tblGrid>
      <w:tr w14:paraId="0CD9D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308" w:type="dxa"/>
            <w:noWrap w:val="0"/>
            <w:vAlign w:val="center"/>
          </w:tcPr>
          <w:p w14:paraId="21E9C45C">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姓  名</w:t>
            </w:r>
          </w:p>
        </w:tc>
        <w:tc>
          <w:tcPr>
            <w:tcW w:w="1190" w:type="dxa"/>
            <w:gridSpan w:val="2"/>
            <w:noWrap w:val="0"/>
            <w:vAlign w:val="center"/>
          </w:tcPr>
          <w:p w14:paraId="7B46253A">
            <w:pPr>
              <w:adjustRightInd w:val="0"/>
              <w:snapToGrid w:val="0"/>
              <w:spacing w:line="560" w:lineRule="exact"/>
              <w:jc w:val="center"/>
              <w:rPr>
                <w:rFonts w:ascii="宋体" w:hAnsi="宋体"/>
                <w:color w:val="auto"/>
                <w:szCs w:val="21"/>
                <w:highlight w:val="none"/>
              </w:rPr>
            </w:pPr>
          </w:p>
        </w:tc>
        <w:tc>
          <w:tcPr>
            <w:tcW w:w="1023" w:type="dxa"/>
            <w:noWrap w:val="0"/>
            <w:vAlign w:val="center"/>
          </w:tcPr>
          <w:p w14:paraId="6288D0BA">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年 龄</w:t>
            </w:r>
          </w:p>
        </w:tc>
        <w:tc>
          <w:tcPr>
            <w:tcW w:w="1175" w:type="dxa"/>
            <w:noWrap w:val="0"/>
            <w:vAlign w:val="center"/>
          </w:tcPr>
          <w:p w14:paraId="6617A8A5">
            <w:pPr>
              <w:adjustRightInd w:val="0"/>
              <w:snapToGrid w:val="0"/>
              <w:spacing w:line="560" w:lineRule="exact"/>
              <w:jc w:val="center"/>
              <w:rPr>
                <w:rFonts w:ascii="宋体" w:hAnsi="宋体"/>
                <w:color w:val="auto"/>
                <w:szCs w:val="21"/>
                <w:highlight w:val="none"/>
              </w:rPr>
            </w:pPr>
          </w:p>
        </w:tc>
        <w:tc>
          <w:tcPr>
            <w:tcW w:w="2349" w:type="dxa"/>
            <w:gridSpan w:val="3"/>
            <w:noWrap w:val="0"/>
            <w:vAlign w:val="center"/>
          </w:tcPr>
          <w:p w14:paraId="38157CA5">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学历</w:t>
            </w:r>
          </w:p>
        </w:tc>
        <w:tc>
          <w:tcPr>
            <w:tcW w:w="2355" w:type="dxa"/>
            <w:noWrap w:val="0"/>
            <w:vAlign w:val="center"/>
          </w:tcPr>
          <w:p w14:paraId="59087B78">
            <w:pPr>
              <w:adjustRightInd w:val="0"/>
              <w:snapToGrid w:val="0"/>
              <w:spacing w:line="560" w:lineRule="exact"/>
              <w:rPr>
                <w:rFonts w:ascii="宋体" w:hAnsi="宋体"/>
                <w:color w:val="auto"/>
                <w:szCs w:val="21"/>
                <w:highlight w:val="none"/>
              </w:rPr>
            </w:pPr>
          </w:p>
        </w:tc>
      </w:tr>
      <w:tr w14:paraId="493E0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308" w:type="dxa"/>
            <w:noWrap w:val="0"/>
            <w:vAlign w:val="center"/>
          </w:tcPr>
          <w:p w14:paraId="7AB45AC9">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职  称</w:t>
            </w:r>
          </w:p>
        </w:tc>
        <w:tc>
          <w:tcPr>
            <w:tcW w:w="1190" w:type="dxa"/>
            <w:gridSpan w:val="2"/>
            <w:noWrap w:val="0"/>
            <w:vAlign w:val="center"/>
          </w:tcPr>
          <w:p w14:paraId="4FFBAC1F">
            <w:pPr>
              <w:adjustRightInd w:val="0"/>
              <w:snapToGrid w:val="0"/>
              <w:spacing w:line="560" w:lineRule="exact"/>
              <w:jc w:val="center"/>
              <w:rPr>
                <w:rFonts w:ascii="宋体" w:hAnsi="宋体"/>
                <w:color w:val="auto"/>
                <w:szCs w:val="21"/>
                <w:highlight w:val="none"/>
              </w:rPr>
            </w:pPr>
          </w:p>
        </w:tc>
        <w:tc>
          <w:tcPr>
            <w:tcW w:w="1023" w:type="dxa"/>
            <w:noWrap w:val="0"/>
            <w:vAlign w:val="center"/>
          </w:tcPr>
          <w:p w14:paraId="65411891">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职 务</w:t>
            </w:r>
          </w:p>
        </w:tc>
        <w:tc>
          <w:tcPr>
            <w:tcW w:w="1175" w:type="dxa"/>
            <w:noWrap w:val="0"/>
            <w:vAlign w:val="center"/>
          </w:tcPr>
          <w:p w14:paraId="5AB3C3C1">
            <w:pPr>
              <w:adjustRightInd w:val="0"/>
              <w:snapToGrid w:val="0"/>
              <w:spacing w:line="560" w:lineRule="exact"/>
              <w:jc w:val="center"/>
              <w:rPr>
                <w:rFonts w:ascii="宋体" w:hAnsi="宋体"/>
                <w:color w:val="auto"/>
                <w:szCs w:val="21"/>
                <w:highlight w:val="none"/>
              </w:rPr>
            </w:pPr>
          </w:p>
        </w:tc>
        <w:tc>
          <w:tcPr>
            <w:tcW w:w="2349" w:type="dxa"/>
            <w:gridSpan w:val="3"/>
            <w:noWrap w:val="0"/>
            <w:vAlign w:val="center"/>
          </w:tcPr>
          <w:p w14:paraId="3558A3E2">
            <w:pPr>
              <w:adjustRightInd w:val="0"/>
              <w:snapToGrid w:val="0"/>
              <w:spacing w:line="560" w:lineRule="exact"/>
              <w:jc w:val="center"/>
              <w:rPr>
                <w:rFonts w:ascii="宋体" w:hAnsi="宋体"/>
                <w:color w:val="auto"/>
                <w:szCs w:val="21"/>
                <w:highlight w:val="none"/>
              </w:rPr>
            </w:pPr>
            <w:r>
              <w:rPr>
                <w:rFonts w:ascii="宋体" w:hAnsi="宋体"/>
                <w:color w:val="auto"/>
                <w:szCs w:val="21"/>
                <w:highlight w:val="none"/>
              </w:rPr>
              <w:t>拟在本合同任职</w:t>
            </w:r>
          </w:p>
        </w:tc>
        <w:tc>
          <w:tcPr>
            <w:tcW w:w="2355" w:type="dxa"/>
            <w:noWrap w:val="0"/>
            <w:vAlign w:val="center"/>
          </w:tcPr>
          <w:p w14:paraId="7774C2E9">
            <w:pPr>
              <w:adjustRightInd w:val="0"/>
              <w:snapToGrid w:val="0"/>
              <w:spacing w:line="560" w:lineRule="exact"/>
              <w:rPr>
                <w:rFonts w:ascii="宋体" w:hAnsi="宋体"/>
                <w:color w:val="auto"/>
                <w:szCs w:val="21"/>
                <w:highlight w:val="none"/>
              </w:rPr>
            </w:pPr>
          </w:p>
        </w:tc>
      </w:tr>
      <w:tr w14:paraId="23509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308" w:type="dxa"/>
            <w:noWrap w:val="0"/>
            <w:vAlign w:val="center"/>
          </w:tcPr>
          <w:p w14:paraId="49513D9F">
            <w:pPr>
              <w:adjustRightInd w:val="0"/>
              <w:snapToGrid w:val="0"/>
              <w:spacing w:line="560" w:lineRule="exact"/>
              <w:rPr>
                <w:rFonts w:ascii="宋体" w:hAnsi="宋体"/>
                <w:color w:val="auto"/>
                <w:szCs w:val="21"/>
                <w:highlight w:val="none"/>
              </w:rPr>
            </w:pPr>
            <w:r>
              <w:rPr>
                <w:rFonts w:ascii="宋体" w:hAnsi="宋体"/>
                <w:color w:val="auto"/>
                <w:szCs w:val="21"/>
                <w:highlight w:val="none"/>
              </w:rPr>
              <w:t>毕业学校</w:t>
            </w:r>
          </w:p>
        </w:tc>
        <w:tc>
          <w:tcPr>
            <w:tcW w:w="8092" w:type="dxa"/>
            <w:gridSpan w:val="8"/>
            <w:noWrap w:val="0"/>
            <w:vAlign w:val="top"/>
          </w:tcPr>
          <w:p w14:paraId="709C5CAE">
            <w:pPr>
              <w:adjustRightInd w:val="0"/>
              <w:snapToGrid w:val="0"/>
              <w:spacing w:line="560" w:lineRule="exact"/>
              <w:rPr>
                <w:rFonts w:ascii="宋体" w:hAnsi="宋体"/>
                <w:color w:val="auto"/>
                <w:szCs w:val="21"/>
                <w:highlight w:val="none"/>
              </w:rPr>
            </w:pPr>
            <w:r>
              <w:rPr>
                <w:rFonts w:ascii="宋体" w:hAnsi="宋体"/>
                <w:color w:val="auto"/>
                <w:szCs w:val="21"/>
                <w:highlight w:val="none"/>
              </w:rPr>
              <w:t xml:space="preserve">      年毕业于            学校        专业</w:t>
            </w:r>
          </w:p>
        </w:tc>
      </w:tr>
      <w:tr w14:paraId="7CBFC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400" w:type="dxa"/>
            <w:gridSpan w:val="9"/>
            <w:noWrap w:val="0"/>
            <w:vAlign w:val="center"/>
          </w:tcPr>
          <w:p w14:paraId="1A3D874D">
            <w:pPr>
              <w:adjustRightInd w:val="0"/>
              <w:snapToGrid w:val="0"/>
              <w:spacing w:line="560" w:lineRule="exact"/>
              <w:rPr>
                <w:rFonts w:ascii="宋体" w:hAnsi="宋体"/>
                <w:color w:val="auto"/>
                <w:szCs w:val="21"/>
                <w:highlight w:val="none"/>
              </w:rPr>
            </w:pPr>
            <w:r>
              <w:rPr>
                <w:rFonts w:ascii="宋体" w:hAnsi="宋体"/>
                <w:color w:val="auto"/>
                <w:szCs w:val="21"/>
                <w:highlight w:val="none"/>
              </w:rPr>
              <w:t>主要工作经历</w:t>
            </w:r>
          </w:p>
        </w:tc>
      </w:tr>
      <w:tr w14:paraId="2B719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704" w:type="dxa"/>
            <w:gridSpan w:val="2"/>
            <w:noWrap w:val="0"/>
            <w:vAlign w:val="center"/>
          </w:tcPr>
          <w:p w14:paraId="102A637B">
            <w:pPr>
              <w:adjustRightInd w:val="0"/>
              <w:snapToGrid w:val="0"/>
              <w:spacing w:line="560" w:lineRule="exact"/>
              <w:rPr>
                <w:rFonts w:ascii="宋体" w:hAnsi="宋体"/>
                <w:color w:val="auto"/>
                <w:szCs w:val="21"/>
                <w:highlight w:val="none"/>
              </w:rPr>
            </w:pPr>
            <w:r>
              <w:rPr>
                <w:rFonts w:ascii="宋体" w:hAnsi="宋体"/>
                <w:color w:val="auto"/>
                <w:szCs w:val="21"/>
                <w:highlight w:val="none"/>
              </w:rPr>
              <w:t>时  间</w:t>
            </w:r>
          </w:p>
        </w:tc>
        <w:tc>
          <w:tcPr>
            <w:tcW w:w="3773" w:type="dxa"/>
            <w:gridSpan w:val="4"/>
            <w:noWrap w:val="0"/>
            <w:vAlign w:val="center"/>
          </w:tcPr>
          <w:p w14:paraId="0F3A02C9">
            <w:pPr>
              <w:adjustRightInd w:val="0"/>
              <w:snapToGrid w:val="0"/>
              <w:spacing w:line="560" w:lineRule="exact"/>
              <w:rPr>
                <w:rFonts w:ascii="宋体" w:hAnsi="宋体"/>
                <w:color w:val="auto"/>
                <w:szCs w:val="21"/>
                <w:highlight w:val="none"/>
              </w:rPr>
            </w:pPr>
            <w:r>
              <w:rPr>
                <w:rFonts w:ascii="宋体" w:hAnsi="宋体"/>
                <w:color w:val="auto"/>
                <w:szCs w:val="21"/>
                <w:highlight w:val="none"/>
              </w:rPr>
              <w:t>参加过的类似项目</w:t>
            </w:r>
          </w:p>
        </w:tc>
        <w:tc>
          <w:tcPr>
            <w:tcW w:w="1390" w:type="dxa"/>
            <w:noWrap w:val="0"/>
            <w:vAlign w:val="center"/>
          </w:tcPr>
          <w:p w14:paraId="67D9714C">
            <w:pPr>
              <w:adjustRightInd w:val="0"/>
              <w:snapToGrid w:val="0"/>
              <w:spacing w:line="560" w:lineRule="exact"/>
              <w:rPr>
                <w:rFonts w:ascii="宋体" w:hAnsi="宋体"/>
                <w:color w:val="auto"/>
                <w:szCs w:val="21"/>
                <w:highlight w:val="none"/>
              </w:rPr>
            </w:pPr>
            <w:r>
              <w:rPr>
                <w:rFonts w:ascii="宋体" w:hAnsi="宋体"/>
                <w:color w:val="auto"/>
                <w:szCs w:val="21"/>
                <w:highlight w:val="none"/>
              </w:rPr>
              <w:t>担任职务</w:t>
            </w:r>
          </w:p>
        </w:tc>
        <w:tc>
          <w:tcPr>
            <w:tcW w:w="2533" w:type="dxa"/>
            <w:gridSpan w:val="2"/>
            <w:noWrap w:val="0"/>
            <w:vAlign w:val="center"/>
          </w:tcPr>
          <w:p w14:paraId="481B901A">
            <w:pPr>
              <w:adjustRightInd w:val="0"/>
              <w:snapToGrid w:val="0"/>
              <w:spacing w:line="560" w:lineRule="exact"/>
              <w:rPr>
                <w:rFonts w:ascii="宋体" w:hAnsi="宋体"/>
                <w:color w:val="auto"/>
                <w:szCs w:val="21"/>
                <w:highlight w:val="none"/>
              </w:rPr>
            </w:pPr>
            <w:r>
              <w:rPr>
                <w:rFonts w:ascii="宋体" w:hAnsi="宋体"/>
                <w:color w:val="auto"/>
                <w:szCs w:val="21"/>
                <w:highlight w:val="none"/>
              </w:rPr>
              <w:t>发包人及联系电话</w:t>
            </w:r>
          </w:p>
        </w:tc>
      </w:tr>
      <w:tr w14:paraId="4B42D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noWrap w:val="0"/>
            <w:vAlign w:val="top"/>
          </w:tcPr>
          <w:p w14:paraId="0D98BF30">
            <w:pPr>
              <w:adjustRightInd w:val="0"/>
              <w:snapToGrid w:val="0"/>
              <w:spacing w:line="560" w:lineRule="exact"/>
              <w:rPr>
                <w:rFonts w:eastAsia="黑体"/>
                <w:color w:val="auto"/>
                <w:szCs w:val="21"/>
                <w:highlight w:val="none"/>
              </w:rPr>
            </w:pPr>
          </w:p>
        </w:tc>
        <w:tc>
          <w:tcPr>
            <w:tcW w:w="3773" w:type="dxa"/>
            <w:gridSpan w:val="4"/>
            <w:noWrap w:val="0"/>
            <w:vAlign w:val="top"/>
          </w:tcPr>
          <w:p w14:paraId="15F148D6">
            <w:pPr>
              <w:adjustRightInd w:val="0"/>
              <w:snapToGrid w:val="0"/>
              <w:spacing w:line="560" w:lineRule="exact"/>
              <w:rPr>
                <w:rFonts w:eastAsia="黑体"/>
                <w:color w:val="auto"/>
                <w:szCs w:val="21"/>
                <w:highlight w:val="none"/>
              </w:rPr>
            </w:pPr>
          </w:p>
        </w:tc>
        <w:tc>
          <w:tcPr>
            <w:tcW w:w="1390" w:type="dxa"/>
            <w:noWrap w:val="0"/>
            <w:vAlign w:val="top"/>
          </w:tcPr>
          <w:p w14:paraId="2F69D5DD">
            <w:pPr>
              <w:adjustRightInd w:val="0"/>
              <w:snapToGrid w:val="0"/>
              <w:spacing w:line="560" w:lineRule="exact"/>
              <w:rPr>
                <w:rFonts w:eastAsia="黑体"/>
                <w:color w:val="auto"/>
                <w:szCs w:val="21"/>
                <w:highlight w:val="none"/>
              </w:rPr>
            </w:pPr>
          </w:p>
        </w:tc>
        <w:tc>
          <w:tcPr>
            <w:tcW w:w="2533" w:type="dxa"/>
            <w:gridSpan w:val="2"/>
            <w:noWrap w:val="0"/>
            <w:vAlign w:val="top"/>
          </w:tcPr>
          <w:p w14:paraId="411E4389">
            <w:pPr>
              <w:adjustRightInd w:val="0"/>
              <w:snapToGrid w:val="0"/>
              <w:spacing w:line="560" w:lineRule="exact"/>
              <w:rPr>
                <w:rFonts w:eastAsia="黑体"/>
                <w:color w:val="auto"/>
                <w:szCs w:val="21"/>
                <w:highlight w:val="none"/>
              </w:rPr>
            </w:pPr>
          </w:p>
        </w:tc>
      </w:tr>
      <w:tr w14:paraId="60A6B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noWrap w:val="0"/>
            <w:vAlign w:val="top"/>
          </w:tcPr>
          <w:p w14:paraId="1F1D6A12">
            <w:pPr>
              <w:adjustRightInd w:val="0"/>
              <w:snapToGrid w:val="0"/>
              <w:spacing w:line="560" w:lineRule="exact"/>
              <w:rPr>
                <w:rFonts w:eastAsia="黑体"/>
                <w:color w:val="auto"/>
                <w:szCs w:val="21"/>
                <w:highlight w:val="none"/>
              </w:rPr>
            </w:pPr>
          </w:p>
        </w:tc>
        <w:tc>
          <w:tcPr>
            <w:tcW w:w="3773" w:type="dxa"/>
            <w:gridSpan w:val="4"/>
            <w:noWrap w:val="0"/>
            <w:vAlign w:val="top"/>
          </w:tcPr>
          <w:p w14:paraId="4EB896DB">
            <w:pPr>
              <w:adjustRightInd w:val="0"/>
              <w:snapToGrid w:val="0"/>
              <w:spacing w:line="560" w:lineRule="exact"/>
              <w:rPr>
                <w:rFonts w:eastAsia="黑体"/>
                <w:color w:val="auto"/>
                <w:szCs w:val="21"/>
                <w:highlight w:val="none"/>
              </w:rPr>
            </w:pPr>
          </w:p>
        </w:tc>
        <w:tc>
          <w:tcPr>
            <w:tcW w:w="1390" w:type="dxa"/>
            <w:noWrap w:val="0"/>
            <w:vAlign w:val="top"/>
          </w:tcPr>
          <w:p w14:paraId="6367F2DE">
            <w:pPr>
              <w:adjustRightInd w:val="0"/>
              <w:snapToGrid w:val="0"/>
              <w:spacing w:line="560" w:lineRule="exact"/>
              <w:rPr>
                <w:rFonts w:eastAsia="黑体"/>
                <w:color w:val="auto"/>
                <w:szCs w:val="21"/>
                <w:highlight w:val="none"/>
              </w:rPr>
            </w:pPr>
          </w:p>
        </w:tc>
        <w:tc>
          <w:tcPr>
            <w:tcW w:w="2533" w:type="dxa"/>
            <w:gridSpan w:val="2"/>
            <w:noWrap w:val="0"/>
            <w:vAlign w:val="top"/>
          </w:tcPr>
          <w:p w14:paraId="14FE3335">
            <w:pPr>
              <w:adjustRightInd w:val="0"/>
              <w:snapToGrid w:val="0"/>
              <w:spacing w:line="560" w:lineRule="exact"/>
              <w:rPr>
                <w:rFonts w:eastAsia="黑体"/>
                <w:color w:val="auto"/>
                <w:szCs w:val="21"/>
                <w:highlight w:val="none"/>
              </w:rPr>
            </w:pPr>
          </w:p>
        </w:tc>
      </w:tr>
      <w:tr w14:paraId="0D49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noWrap w:val="0"/>
            <w:vAlign w:val="top"/>
          </w:tcPr>
          <w:p w14:paraId="45C0E08F">
            <w:pPr>
              <w:adjustRightInd w:val="0"/>
              <w:snapToGrid w:val="0"/>
              <w:spacing w:line="560" w:lineRule="exact"/>
              <w:rPr>
                <w:rFonts w:eastAsia="黑体"/>
                <w:color w:val="auto"/>
                <w:szCs w:val="21"/>
                <w:highlight w:val="none"/>
              </w:rPr>
            </w:pPr>
          </w:p>
        </w:tc>
        <w:tc>
          <w:tcPr>
            <w:tcW w:w="3773" w:type="dxa"/>
            <w:gridSpan w:val="4"/>
            <w:noWrap w:val="0"/>
            <w:vAlign w:val="top"/>
          </w:tcPr>
          <w:p w14:paraId="3AA9DF6C">
            <w:pPr>
              <w:adjustRightInd w:val="0"/>
              <w:snapToGrid w:val="0"/>
              <w:spacing w:line="560" w:lineRule="exact"/>
              <w:rPr>
                <w:rFonts w:eastAsia="黑体"/>
                <w:color w:val="auto"/>
                <w:szCs w:val="21"/>
                <w:highlight w:val="none"/>
              </w:rPr>
            </w:pPr>
          </w:p>
        </w:tc>
        <w:tc>
          <w:tcPr>
            <w:tcW w:w="1390" w:type="dxa"/>
            <w:noWrap w:val="0"/>
            <w:vAlign w:val="top"/>
          </w:tcPr>
          <w:p w14:paraId="36FF8BC9">
            <w:pPr>
              <w:adjustRightInd w:val="0"/>
              <w:snapToGrid w:val="0"/>
              <w:spacing w:line="560" w:lineRule="exact"/>
              <w:rPr>
                <w:rFonts w:eastAsia="黑体"/>
                <w:color w:val="auto"/>
                <w:szCs w:val="21"/>
                <w:highlight w:val="none"/>
              </w:rPr>
            </w:pPr>
          </w:p>
        </w:tc>
        <w:tc>
          <w:tcPr>
            <w:tcW w:w="2533" w:type="dxa"/>
            <w:gridSpan w:val="2"/>
            <w:noWrap w:val="0"/>
            <w:vAlign w:val="top"/>
          </w:tcPr>
          <w:p w14:paraId="3B8D2A7D">
            <w:pPr>
              <w:adjustRightInd w:val="0"/>
              <w:snapToGrid w:val="0"/>
              <w:spacing w:line="560" w:lineRule="exact"/>
              <w:rPr>
                <w:rFonts w:eastAsia="黑体"/>
                <w:color w:val="auto"/>
                <w:szCs w:val="21"/>
                <w:highlight w:val="none"/>
              </w:rPr>
            </w:pPr>
          </w:p>
        </w:tc>
      </w:tr>
      <w:tr w14:paraId="57F32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2" w:hRule="atLeast"/>
          <w:jc w:val="center"/>
        </w:trPr>
        <w:tc>
          <w:tcPr>
            <w:tcW w:w="1704" w:type="dxa"/>
            <w:gridSpan w:val="2"/>
            <w:noWrap w:val="0"/>
            <w:vAlign w:val="top"/>
          </w:tcPr>
          <w:p w14:paraId="5FFF4006">
            <w:pPr>
              <w:adjustRightInd w:val="0"/>
              <w:snapToGrid w:val="0"/>
              <w:spacing w:line="560" w:lineRule="exact"/>
              <w:rPr>
                <w:rFonts w:eastAsia="黑体"/>
                <w:color w:val="auto"/>
                <w:szCs w:val="21"/>
                <w:highlight w:val="none"/>
              </w:rPr>
            </w:pPr>
          </w:p>
        </w:tc>
        <w:tc>
          <w:tcPr>
            <w:tcW w:w="3773" w:type="dxa"/>
            <w:gridSpan w:val="4"/>
            <w:noWrap w:val="0"/>
            <w:vAlign w:val="top"/>
          </w:tcPr>
          <w:p w14:paraId="0E9E518D">
            <w:pPr>
              <w:adjustRightInd w:val="0"/>
              <w:snapToGrid w:val="0"/>
              <w:spacing w:line="560" w:lineRule="exact"/>
              <w:rPr>
                <w:rFonts w:eastAsia="黑体"/>
                <w:color w:val="auto"/>
                <w:szCs w:val="21"/>
                <w:highlight w:val="none"/>
              </w:rPr>
            </w:pPr>
          </w:p>
        </w:tc>
        <w:tc>
          <w:tcPr>
            <w:tcW w:w="1390" w:type="dxa"/>
            <w:noWrap w:val="0"/>
            <w:vAlign w:val="top"/>
          </w:tcPr>
          <w:p w14:paraId="2EC5C755">
            <w:pPr>
              <w:adjustRightInd w:val="0"/>
              <w:snapToGrid w:val="0"/>
              <w:spacing w:line="560" w:lineRule="exact"/>
              <w:rPr>
                <w:rFonts w:eastAsia="黑体"/>
                <w:color w:val="auto"/>
                <w:szCs w:val="21"/>
                <w:highlight w:val="none"/>
              </w:rPr>
            </w:pPr>
          </w:p>
        </w:tc>
        <w:tc>
          <w:tcPr>
            <w:tcW w:w="2533" w:type="dxa"/>
            <w:gridSpan w:val="2"/>
            <w:noWrap w:val="0"/>
            <w:vAlign w:val="top"/>
          </w:tcPr>
          <w:p w14:paraId="72844591">
            <w:pPr>
              <w:adjustRightInd w:val="0"/>
              <w:snapToGrid w:val="0"/>
              <w:spacing w:line="560" w:lineRule="exact"/>
              <w:rPr>
                <w:rFonts w:eastAsia="黑体"/>
                <w:color w:val="auto"/>
                <w:szCs w:val="21"/>
                <w:highlight w:val="none"/>
              </w:rPr>
            </w:pPr>
          </w:p>
        </w:tc>
      </w:tr>
      <w:tr w14:paraId="37CF3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noWrap w:val="0"/>
            <w:vAlign w:val="top"/>
          </w:tcPr>
          <w:p w14:paraId="2CB1A57F">
            <w:pPr>
              <w:adjustRightInd w:val="0"/>
              <w:snapToGrid w:val="0"/>
              <w:spacing w:line="560" w:lineRule="exact"/>
              <w:rPr>
                <w:rFonts w:eastAsia="黑体"/>
                <w:color w:val="auto"/>
                <w:szCs w:val="21"/>
                <w:highlight w:val="none"/>
              </w:rPr>
            </w:pPr>
          </w:p>
        </w:tc>
        <w:tc>
          <w:tcPr>
            <w:tcW w:w="3773" w:type="dxa"/>
            <w:gridSpan w:val="4"/>
            <w:noWrap w:val="0"/>
            <w:vAlign w:val="top"/>
          </w:tcPr>
          <w:p w14:paraId="62ABC95D">
            <w:pPr>
              <w:adjustRightInd w:val="0"/>
              <w:snapToGrid w:val="0"/>
              <w:spacing w:line="560" w:lineRule="exact"/>
              <w:rPr>
                <w:rFonts w:eastAsia="黑体"/>
                <w:color w:val="auto"/>
                <w:szCs w:val="21"/>
                <w:highlight w:val="none"/>
              </w:rPr>
            </w:pPr>
          </w:p>
        </w:tc>
        <w:tc>
          <w:tcPr>
            <w:tcW w:w="1390" w:type="dxa"/>
            <w:noWrap w:val="0"/>
            <w:vAlign w:val="top"/>
          </w:tcPr>
          <w:p w14:paraId="7C064F47">
            <w:pPr>
              <w:adjustRightInd w:val="0"/>
              <w:snapToGrid w:val="0"/>
              <w:spacing w:line="560" w:lineRule="exact"/>
              <w:rPr>
                <w:rFonts w:eastAsia="黑体"/>
                <w:color w:val="auto"/>
                <w:szCs w:val="21"/>
                <w:highlight w:val="none"/>
              </w:rPr>
            </w:pPr>
          </w:p>
        </w:tc>
        <w:tc>
          <w:tcPr>
            <w:tcW w:w="2533" w:type="dxa"/>
            <w:gridSpan w:val="2"/>
            <w:noWrap w:val="0"/>
            <w:vAlign w:val="top"/>
          </w:tcPr>
          <w:p w14:paraId="26B532A4">
            <w:pPr>
              <w:adjustRightInd w:val="0"/>
              <w:snapToGrid w:val="0"/>
              <w:spacing w:line="560" w:lineRule="exact"/>
              <w:rPr>
                <w:rFonts w:eastAsia="黑体"/>
                <w:color w:val="auto"/>
                <w:szCs w:val="21"/>
                <w:highlight w:val="none"/>
              </w:rPr>
            </w:pPr>
          </w:p>
        </w:tc>
      </w:tr>
      <w:tr w14:paraId="7068D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noWrap w:val="0"/>
            <w:vAlign w:val="top"/>
          </w:tcPr>
          <w:p w14:paraId="32109924">
            <w:pPr>
              <w:adjustRightInd w:val="0"/>
              <w:snapToGrid w:val="0"/>
              <w:spacing w:line="560" w:lineRule="exact"/>
              <w:rPr>
                <w:rFonts w:eastAsia="黑体"/>
                <w:color w:val="auto"/>
                <w:szCs w:val="21"/>
                <w:highlight w:val="none"/>
              </w:rPr>
            </w:pPr>
          </w:p>
        </w:tc>
        <w:tc>
          <w:tcPr>
            <w:tcW w:w="3773" w:type="dxa"/>
            <w:gridSpan w:val="4"/>
            <w:noWrap w:val="0"/>
            <w:vAlign w:val="top"/>
          </w:tcPr>
          <w:p w14:paraId="3E344162">
            <w:pPr>
              <w:adjustRightInd w:val="0"/>
              <w:snapToGrid w:val="0"/>
              <w:spacing w:line="560" w:lineRule="exact"/>
              <w:rPr>
                <w:rFonts w:eastAsia="黑体"/>
                <w:color w:val="auto"/>
                <w:szCs w:val="21"/>
                <w:highlight w:val="none"/>
              </w:rPr>
            </w:pPr>
          </w:p>
        </w:tc>
        <w:tc>
          <w:tcPr>
            <w:tcW w:w="1390" w:type="dxa"/>
            <w:noWrap w:val="0"/>
            <w:vAlign w:val="top"/>
          </w:tcPr>
          <w:p w14:paraId="46B4E575">
            <w:pPr>
              <w:adjustRightInd w:val="0"/>
              <w:snapToGrid w:val="0"/>
              <w:spacing w:line="560" w:lineRule="exact"/>
              <w:rPr>
                <w:rFonts w:eastAsia="黑体"/>
                <w:color w:val="auto"/>
                <w:szCs w:val="21"/>
                <w:highlight w:val="none"/>
              </w:rPr>
            </w:pPr>
          </w:p>
        </w:tc>
        <w:tc>
          <w:tcPr>
            <w:tcW w:w="2533" w:type="dxa"/>
            <w:gridSpan w:val="2"/>
            <w:noWrap w:val="0"/>
            <w:vAlign w:val="top"/>
          </w:tcPr>
          <w:p w14:paraId="13D10162">
            <w:pPr>
              <w:adjustRightInd w:val="0"/>
              <w:snapToGrid w:val="0"/>
              <w:spacing w:line="560" w:lineRule="exact"/>
              <w:rPr>
                <w:rFonts w:eastAsia="黑体"/>
                <w:color w:val="auto"/>
                <w:szCs w:val="21"/>
                <w:highlight w:val="none"/>
              </w:rPr>
            </w:pPr>
          </w:p>
        </w:tc>
      </w:tr>
      <w:tr w14:paraId="58B2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noWrap w:val="0"/>
            <w:vAlign w:val="top"/>
          </w:tcPr>
          <w:p w14:paraId="5E1D4BF2">
            <w:pPr>
              <w:adjustRightInd w:val="0"/>
              <w:snapToGrid w:val="0"/>
              <w:spacing w:line="560" w:lineRule="exact"/>
              <w:rPr>
                <w:rFonts w:eastAsia="黑体"/>
                <w:color w:val="auto"/>
                <w:szCs w:val="21"/>
                <w:highlight w:val="none"/>
              </w:rPr>
            </w:pPr>
          </w:p>
        </w:tc>
        <w:tc>
          <w:tcPr>
            <w:tcW w:w="3773" w:type="dxa"/>
            <w:gridSpan w:val="4"/>
            <w:noWrap w:val="0"/>
            <w:vAlign w:val="top"/>
          </w:tcPr>
          <w:p w14:paraId="73A54ED2">
            <w:pPr>
              <w:adjustRightInd w:val="0"/>
              <w:snapToGrid w:val="0"/>
              <w:spacing w:line="560" w:lineRule="exact"/>
              <w:rPr>
                <w:rFonts w:eastAsia="黑体"/>
                <w:color w:val="auto"/>
                <w:szCs w:val="21"/>
                <w:highlight w:val="none"/>
              </w:rPr>
            </w:pPr>
          </w:p>
        </w:tc>
        <w:tc>
          <w:tcPr>
            <w:tcW w:w="1390" w:type="dxa"/>
            <w:noWrap w:val="0"/>
            <w:vAlign w:val="top"/>
          </w:tcPr>
          <w:p w14:paraId="6DC849FA">
            <w:pPr>
              <w:adjustRightInd w:val="0"/>
              <w:snapToGrid w:val="0"/>
              <w:spacing w:line="560" w:lineRule="exact"/>
              <w:rPr>
                <w:rFonts w:eastAsia="黑体"/>
                <w:color w:val="auto"/>
                <w:szCs w:val="21"/>
                <w:highlight w:val="none"/>
              </w:rPr>
            </w:pPr>
          </w:p>
        </w:tc>
        <w:tc>
          <w:tcPr>
            <w:tcW w:w="2533" w:type="dxa"/>
            <w:gridSpan w:val="2"/>
            <w:noWrap w:val="0"/>
            <w:vAlign w:val="top"/>
          </w:tcPr>
          <w:p w14:paraId="1C4493DE">
            <w:pPr>
              <w:adjustRightInd w:val="0"/>
              <w:snapToGrid w:val="0"/>
              <w:spacing w:line="560" w:lineRule="exact"/>
              <w:rPr>
                <w:rFonts w:eastAsia="黑体"/>
                <w:color w:val="auto"/>
                <w:szCs w:val="21"/>
                <w:highlight w:val="none"/>
              </w:rPr>
            </w:pPr>
          </w:p>
        </w:tc>
      </w:tr>
      <w:tr w14:paraId="514DD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noWrap w:val="0"/>
            <w:vAlign w:val="top"/>
          </w:tcPr>
          <w:p w14:paraId="35A379F4">
            <w:pPr>
              <w:adjustRightInd w:val="0"/>
              <w:snapToGrid w:val="0"/>
              <w:spacing w:line="560" w:lineRule="exact"/>
              <w:rPr>
                <w:rFonts w:eastAsia="黑体"/>
                <w:color w:val="auto"/>
                <w:szCs w:val="21"/>
                <w:highlight w:val="none"/>
              </w:rPr>
            </w:pPr>
          </w:p>
        </w:tc>
        <w:tc>
          <w:tcPr>
            <w:tcW w:w="3773" w:type="dxa"/>
            <w:gridSpan w:val="4"/>
            <w:noWrap w:val="0"/>
            <w:vAlign w:val="top"/>
          </w:tcPr>
          <w:p w14:paraId="00BBE3C7">
            <w:pPr>
              <w:adjustRightInd w:val="0"/>
              <w:snapToGrid w:val="0"/>
              <w:spacing w:line="560" w:lineRule="exact"/>
              <w:rPr>
                <w:rFonts w:eastAsia="黑体"/>
                <w:color w:val="auto"/>
                <w:szCs w:val="21"/>
                <w:highlight w:val="none"/>
              </w:rPr>
            </w:pPr>
          </w:p>
        </w:tc>
        <w:tc>
          <w:tcPr>
            <w:tcW w:w="1390" w:type="dxa"/>
            <w:noWrap w:val="0"/>
            <w:vAlign w:val="top"/>
          </w:tcPr>
          <w:p w14:paraId="0E1F558D">
            <w:pPr>
              <w:adjustRightInd w:val="0"/>
              <w:snapToGrid w:val="0"/>
              <w:spacing w:line="560" w:lineRule="exact"/>
              <w:rPr>
                <w:rFonts w:eastAsia="黑体"/>
                <w:color w:val="auto"/>
                <w:szCs w:val="21"/>
                <w:highlight w:val="none"/>
              </w:rPr>
            </w:pPr>
          </w:p>
        </w:tc>
        <w:tc>
          <w:tcPr>
            <w:tcW w:w="2533" w:type="dxa"/>
            <w:gridSpan w:val="2"/>
            <w:noWrap w:val="0"/>
            <w:vAlign w:val="top"/>
          </w:tcPr>
          <w:p w14:paraId="6FE38803">
            <w:pPr>
              <w:adjustRightInd w:val="0"/>
              <w:snapToGrid w:val="0"/>
              <w:spacing w:line="560" w:lineRule="exact"/>
              <w:rPr>
                <w:rFonts w:eastAsia="黑体"/>
                <w:color w:val="auto"/>
                <w:szCs w:val="21"/>
                <w:highlight w:val="none"/>
              </w:rPr>
            </w:pPr>
          </w:p>
        </w:tc>
      </w:tr>
    </w:tbl>
    <w:p w14:paraId="00A49FC0">
      <w:pPr>
        <w:rPr>
          <w:rFonts w:hint="eastAsia"/>
          <w:color w:val="auto"/>
          <w:highlight w:val="none"/>
        </w:rPr>
      </w:pPr>
      <w:r>
        <w:rPr>
          <w:rFonts w:hint="eastAsia"/>
          <w:color w:val="auto"/>
          <w:highlight w:val="none"/>
        </w:rPr>
        <w:br w:type="page"/>
      </w:r>
    </w:p>
    <w:p w14:paraId="262BE9C0">
      <w:pPr>
        <w:pStyle w:val="4"/>
        <w:adjustRightInd w:val="0"/>
        <w:snapToGrid w:val="0"/>
        <w:spacing w:before="0" w:after="0" w:line="560" w:lineRule="exact"/>
        <w:jc w:val="center"/>
        <w:rPr>
          <w:rFonts w:hint="default" w:eastAsia="宋体"/>
          <w:color w:val="auto"/>
          <w:highlight w:val="none"/>
          <w:lang w:val="en-US" w:eastAsia="zh-CN"/>
        </w:rPr>
      </w:pPr>
      <w:r>
        <w:rPr>
          <w:rFonts w:hint="eastAsia" w:eastAsia="宋体"/>
          <w:color w:val="auto"/>
          <w:highlight w:val="none"/>
          <w:lang w:val="en-US" w:eastAsia="zh-CN"/>
        </w:rPr>
        <w:t>（</w:t>
      </w:r>
      <w:r>
        <w:rPr>
          <w:rFonts w:hint="eastAsia"/>
          <w:color w:val="auto"/>
          <w:highlight w:val="none"/>
          <w:lang w:val="en-US" w:eastAsia="zh-CN"/>
        </w:rPr>
        <w:t>8</w:t>
      </w:r>
      <w:r>
        <w:rPr>
          <w:rFonts w:hint="eastAsia" w:eastAsia="宋体"/>
          <w:color w:val="auto"/>
          <w:highlight w:val="none"/>
          <w:lang w:val="en-US" w:eastAsia="zh-CN"/>
        </w:rPr>
        <w:t>）共管账户承诺函</w:t>
      </w:r>
    </w:p>
    <w:p w14:paraId="1A2B3D1D">
      <w:pPr>
        <w:keepNext w:val="0"/>
        <w:keepLines w:val="0"/>
        <w:pageBreakBefore w:val="0"/>
        <w:widowControl w:val="0"/>
        <w:kinsoku/>
        <w:wordWrap/>
        <w:overflowPunct/>
        <w:topLinePunct w:val="0"/>
        <w:autoSpaceDE/>
        <w:autoSpaceDN/>
        <w:bidi w:val="0"/>
        <w:adjustRightInd/>
        <w:snapToGrid/>
        <w:spacing w:line="720" w:lineRule="exact"/>
        <w:ind w:firstLine="480" w:firstLineChars="200"/>
        <w:jc w:val="left"/>
        <w:textAlignment w:val="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滁州苏滁产城开发有限公司</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w:t>
      </w:r>
    </w:p>
    <w:p w14:paraId="03011A83">
      <w:pPr>
        <w:keepNext w:val="0"/>
        <w:keepLines w:val="0"/>
        <w:pageBreakBefore w:val="0"/>
        <w:widowControl w:val="0"/>
        <w:kinsoku/>
        <w:wordWrap/>
        <w:overflowPunct/>
        <w:topLinePunct w:val="0"/>
        <w:autoSpaceDE/>
        <w:autoSpaceDN/>
        <w:bidi w:val="0"/>
        <w:adjustRightInd/>
        <w:snapToGrid/>
        <w:spacing w:line="720" w:lineRule="exact"/>
        <w:ind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我公司郑重</w:t>
      </w:r>
      <w:r>
        <w:rPr>
          <w:rFonts w:hint="eastAsia" w:ascii="宋体" w:hAnsi="宋体" w:eastAsia="宋体" w:cs="宋体"/>
          <w:color w:val="auto"/>
          <w:sz w:val="24"/>
          <w:highlight w:val="none"/>
        </w:rPr>
        <w:t>承诺：</w:t>
      </w:r>
      <w:r>
        <w:rPr>
          <w:rFonts w:hint="eastAsia" w:ascii="宋体" w:hAnsi="宋体" w:eastAsia="宋体" w:cs="宋体"/>
          <w:color w:val="auto"/>
          <w:sz w:val="24"/>
          <w:highlight w:val="none"/>
          <w:lang w:val="en-US" w:eastAsia="zh-CN"/>
        </w:rPr>
        <w:t>无条件接受招标人与我方设立共管账户，我方极配合且共管账户网银复核盾由招标人保管及操作。若我方中标后拒绝接受共管账户或不予配合，招标人有权单方终止合同，并处以中标金额*2%作为违约金，从当期工程款中直接扣。</w:t>
      </w:r>
    </w:p>
    <w:p w14:paraId="7CF334C1">
      <w:pPr>
        <w:keepNext w:val="0"/>
        <w:keepLines w:val="0"/>
        <w:pageBreakBefore w:val="0"/>
        <w:widowControl w:val="0"/>
        <w:kinsoku/>
        <w:wordWrap/>
        <w:overflowPunct/>
        <w:topLinePunct w:val="0"/>
        <w:autoSpaceDE/>
        <w:autoSpaceDN/>
        <w:bidi w:val="0"/>
        <w:adjustRightInd/>
        <w:snapToGrid/>
        <w:spacing w:line="7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特此</w:t>
      </w:r>
      <w:r>
        <w:rPr>
          <w:rFonts w:hint="eastAsia" w:ascii="宋体" w:hAnsi="宋体" w:eastAsia="宋体" w:cs="宋体"/>
          <w:color w:val="auto"/>
          <w:sz w:val="24"/>
          <w:highlight w:val="none"/>
          <w:lang w:val="en-US" w:eastAsia="zh-CN"/>
        </w:rPr>
        <w:t>承诺</w:t>
      </w:r>
      <w:r>
        <w:rPr>
          <w:rFonts w:hint="eastAsia" w:ascii="宋体" w:hAnsi="宋体" w:eastAsia="宋体" w:cs="宋体"/>
          <w:color w:val="auto"/>
          <w:sz w:val="24"/>
          <w:highlight w:val="none"/>
        </w:rPr>
        <w:t>。</w:t>
      </w:r>
    </w:p>
    <w:p w14:paraId="04C98057">
      <w:pPr>
        <w:keepNext w:val="0"/>
        <w:keepLines w:val="0"/>
        <w:pageBreakBefore w:val="0"/>
        <w:widowControl w:val="0"/>
        <w:kinsoku/>
        <w:wordWrap/>
        <w:overflowPunct/>
        <w:topLinePunct w:val="0"/>
        <w:autoSpaceDE/>
        <w:autoSpaceDN/>
        <w:bidi w:val="0"/>
        <w:adjustRightInd/>
        <w:snapToGrid/>
        <w:spacing w:line="720" w:lineRule="exact"/>
        <w:ind w:firstLine="480" w:firstLineChars="200"/>
        <w:textAlignment w:val="auto"/>
        <w:rPr>
          <w:rFonts w:ascii="宋体" w:hAnsi="宋体"/>
          <w:color w:val="auto"/>
          <w:sz w:val="24"/>
          <w:szCs w:val="21"/>
          <w:highlight w:val="none"/>
        </w:rPr>
      </w:pPr>
      <w:r>
        <w:rPr>
          <w:rFonts w:hint="eastAsia" w:ascii="宋体"/>
          <w:color w:val="auto"/>
          <w:sz w:val="24"/>
          <w:highlight w:val="none"/>
        </w:rPr>
        <w:t xml:space="preserve">            </w:t>
      </w:r>
      <w:r>
        <w:rPr>
          <w:rFonts w:hint="eastAsia" w:ascii="宋体"/>
          <w:color w:val="auto"/>
          <w:sz w:val="24"/>
          <w:highlight w:val="none"/>
          <w:lang w:val="en-US" w:eastAsia="zh-CN"/>
        </w:rPr>
        <w:t xml:space="preserve">            </w:t>
      </w:r>
      <w:r>
        <w:rPr>
          <w:rFonts w:hint="eastAsia" w:ascii="宋体"/>
          <w:color w:val="auto"/>
          <w:sz w:val="24"/>
          <w:highlight w:val="none"/>
        </w:rPr>
        <w:t xml:space="preserve">   </w:t>
      </w:r>
      <w:r>
        <w:rPr>
          <w:rFonts w:hint="eastAsia" w:ascii="宋体"/>
          <w:color w:val="auto"/>
          <w:sz w:val="24"/>
          <w:highlight w:val="none"/>
          <w:lang w:val="en-US" w:eastAsia="zh-CN"/>
        </w:rPr>
        <w:t xml:space="preserve">    </w:t>
      </w:r>
      <w:r>
        <w:rPr>
          <w:rFonts w:hint="eastAsia" w:ascii="宋体"/>
          <w:color w:val="auto"/>
          <w:sz w:val="24"/>
          <w:highlight w:val="none"/>
        </w:rPr>
        <w:t xml:space="preserve"> </w:t>
      </w:r>
      <w:r>
        <w:rPr>
          <w:rFonts w:hint="eastAsia" w:ascii="宋体" w:hAnsi="宋体"/>
          <w:color w:val="auto"/>
          <w:sz w:val="24"/>
          <w:szCs w:val="21"/>
          <w:highlight w:val="none"/>
        </w:rPr>
        <w:t>投标人名称：</w:t>
      </w:r>
      <w:r>
        <w:rPr>
          <w:rFonts w:ascii="宋体" w:hAnsi="宋体"/>
          <w:color w:val="auto"/>
          <w:sz w:val="24"/>
          <w:szCs w:val="21"/>
          <w:highlight w:val="none"/>
          <w:u w:val="single"/>
        </w:rPr>
        <w:t xml:space="preserve">      </w:t>
      </w:r>
      <w:r>
        <w:rPr>
          <w:rFonts w:hint="eastAsia" w:ascii="宋体" w:hAnsi="宋体"/>
          <w:color w:val="auto"/>
          <w:sz w:val="24"/>
          <w:szCs w:val="21"/>
          <w:highlight w:val="none"/>
          <w:u w:val="single"/>
        </w:rPr>
        <w:t xml:space="preserve">                    </w:t>
      </w:r>
      <w:r>
        <w:rPr>
          <w:rFonts w:hint="eastAsia" w:ascii="宋体" w:hAnsi="宋体"/>
          <w:color w:val="auto"/>
          <w:sz w:val="24"/>
          <w:szCs w:val="21"/>
          <w:highlight w:val="none"/>
        </w:rPr>
        <w:t>（签章）</w:t>
      </w:r>
    </w:p>
    <w:p w14:paraId="521331B9">
      <w:pPr>
        <w:keepNext w:val="0"/>
        <w:keepLines w:val="0"/>
        <w:pageBreakBefore w:val="0"/>
        <w:widowControl w:val="0"/>
        <w:kinsoku/>
        <w:wordWrap/>
        <w:overflowPunct/>
        <w:topLinePunct w:val="0"/>
        <w:autoSpaceDE/>
        <w:autoSpaceDN/>
        <w:bidi w:val="0"/>
        <w:adjustRightInd/>
        <w:snapToGrid/>
        <w:spacing w:line="720" w:lineRule="exact"/>
        <w:ind w:firstLine="480" w:firstLineChars="200"/>
        <w:jc w:val="right"/>
        <w:textAlignment w:val="auto"/>
        <w:rPr>
          <w:rFonts w:ascii="宋体" w:hAnsi="宋体"/>
          <w:color w:val="auto"/>
          <w:sz w:val="24"/>
          <w:szCs w:val="21"/>
          <w:highlight w:val="none"/>
        </w:rPr>
      </w:pPr>
      <w:r>
        <w:rPr>
          <w:rFonts w:hint="eastAsia" w:ascii="宋体" w:hAnsi="宋体"/>
          <w:color w:val="auto"/>
          <w:sz w:val="24"/>
          <w:szCs w:val="21"/>
          <w:highlight w:val="none"/>
        </w:rPr>
        <w:t>法定代表人：</w:t>
      </w:r>
      <w:r>
        <w:rPr>
          <w:rFonts w:hint="eastAsia" w:ascii="宋体" w:hAnsi="宋体"/>
          <w:color w:val="auto"/>
          <w:sz w:val="24"/>
          <w:szCs w:val="21"/>
          <w:highlight w:val="none"/>
          <w:u w:val="single"/>
        </w:rPr>
        <w:t xml:space="preserve">                               </w:t>
      </w:r>
      <w:r>
        <w:rPr>
          <w:rFonts w:hint="eastAsia" w:ascii="宋体" w:hAnsi="宋体"/>
          <w:color w:val="auto"/>
          <w:sz w:val="24"/>
          <w:szCs w:val="21"/>
          <w:highlight w:val="none"/>
        </w:rPr>
        <w:t>(签章)</w:t>
      </w:r>
    </w:p>
    <w:p w14:paraId="4F52F97D">
      <w:pPr>
        <w:keepNext w:val="0"/>
        <w:keepLines w:val="0"/>
        <w:pageBreakBefore w:val="0"/>
        <w:widowControl w:val="0"/>
        <w:kinsoku/>
        <w:wordWrap/>
        <w:overflowPunct/>
        <w:topLinePunct w:val="0"/>
        <w:autoSpaceDE/>
        <w:autoSpaceDN/>
        <w:bidi w:val="0"/>
        <w:adjustRightInd/>
        <w:snapToGrid/>
        <w:spacing w:line="720" w:lineRule="exact"/>
        <w:textAlignment w:val="auto"/>
        <w:rPr>
          <w:rFonts w:hint="eastAsia" w:ascii="宋体" w:hAnsi="宋体"/>
          <w:color w:val="auto"/>
          <w:sz w:val="24"/>
          <w:szCs w:val="21"/>
          <w:highlight w:val="none"/>
        </w:rPr>
      </w:pPr>
      <w:r>
        <w:rPr>
          <w:rFonts w:hint="eastAsia" w:ascii="宋体" w:hAnsi="宋体"/>
          <w:color w:val="auto"/>
          <w:sz w:val="24"/>
          <w:szCs w:val="21"/>
          <w:highlight w:val="none"/>
          <w:lang w:val="en-US" w:eastAsia="zh-CN"/>
        </w:rPr>
        <w:t xml:space="preserve">                                    </w:t>
      </w:r>
      <w:r>
        <w:rPr>
          <w:rFonts w:hint="eastAsia" w:ascii="宋体" w:hAnsi="宋体"/>
          <w:color w:val="auto"/>
          <w:sz w:val="24"/>
          <w:szCs w:val="21"/>
          <w:highlight w:val="none"/>
        </w:rPr>
        <w:t>日    期：</w:t>
      </w:r>
      <w:r>
        <w:rPr>
          <w:rFonts w:hint="eastAsia" w:ascii="宋体" w:hAnsi="宋体"/>
          <w:color w:val="auto"/>
          <w:sz w:val="24"/>
          <w:szCs w:val="21"/>
          <w:highlight w:val="none"/>
          <w:u w:val="single"/>
        </w:rPr>
        <w:t xml:space="preserve">        </w:t>
      </w:r>
      <w:r>
        <w:rPr>
          <w:rFonts w:hint="eastAsia" w:ascii="宋体" w:hAnsi="宋体"/>
          <w:color w:val="auto"/>
          <w:sz w:val="24"/>
          <w:szCs w:val="21"/>
          <w:highlight w:val="none"/>
        </w:rPr>
        <w:t>年</w:t>
      </w:r>
      <w:r>
        <w:rPr>
          <w:rFonts w:hint="eastAsia" w:ascii="宋体" w:hAnsi="宋体"/>
          <w:color w:val="auto"/>
          <w:sz w:val="24"/>
          <w:szCs w:val="21"/>
          <w:highlight w:val="none"/>
          <w:u w:val="single"/>
        </w:rPr>
        <w:t xml:space="preserve">      </w:t>
      </w:r>
      <w:r>
        <w:rPr>
          <w:rFonts w:hint="eastAsia" w:ascii="宋体" w:hAnsi="宋体"/>
          <w:color w:val="auto"/>
          <w:sz w:val="24"/>
          <w:szCs w:val="21"/>
          <w:highlight w:val="none"/>
        </w:rPr>
        <w:t>月</w:t>
      </w:r>
      <w:r>
        <w:rPr>
          <w:rFonts w:hint="eastAsia" w:ascii="宋体" w:hAnsi="宋体"/>
          <w:color w:val="auto"/>
          <w:sz w:val="24"/>
          <w:szCs w:val="21"/>
          <w:highlight w:val="none"/>
          <w:u w:val="single"/>
        </w:rPr>
        <w:t xml:space="preserve">      </w:t>
      </w:r>
      <w:r>
        <w:rPr>
          <w:rFonts w:hint="eastAsia" w:ascii="宋体" w:hAnsi="宋体"/>
          <w:color w:val="auto"/>
          <w:sz w:val="24"/>
          <w:szCs w:val="21"/>
          <w:highlight w:val="none"/>
        </w:rPr>
        <w:t>日</w:t>
      </w:r>
    </w:p>
    <w:p w14:paraId="13027F05">
      <w:pPr>
        <w:keepNext w:val="0"/>
        <w:keepLines w:val="0"/>
        <w:pageBreakBefore w:val="0"/>
        <w:widowControl w:val="0"/>
        <w:kinsoku/>
        <w:wordWrap/>
        <w:overflowPunct/>
        <w:topLinePunct w:val="0"/>
        <w:autoSpaceDE/>
        <w:autoSpaceDN/>
        <w:bidi w:val="0"/>
        <w:adjustRightInd/>
        <w:snapToGrid/>
        <w:spacing w:line="720" w:lineRule="exact"/>
        <w:textAlignment w:val="auto"/>
        <w:rPr>
          <w:rFonts w:hint="eastAsia" w:ascii="宋体" w:hAnsi="宋体"/>
          <w:color w:val="auto"/>
          <w:sz w:val="24"/>
          <w:szCs w:val="21"/>
          <w:highlight w:val="none"/>
        </w:rPr>
      </w:pPr>
    </w:p>
    <w:p w14:paraId="615642D4">
      <w:pPr>
        <w:keepNext w:val="0"/>
        <w:keepLines w:val="0"/>
        <w:pageBreakBefore w:val="0"/>
        <w:widowControl w:val="0"/>
        <w:kinsoku/>
        <w:wordWrap/>
        <w:overflowPunct/>
        <w:topLinePunct w:val="0"/>
        <w:autoSpaceDE/>
        <w:autoSpaceDN/>
        <w:bidi w:val="0"/>
        <w:adjustRightInd/>
        <w:snapToGrid/>
        <w:spacing w:line="720" w:lineRule="exact"/>
        <w:textAlignment w:val="auto"/>
        <w:rPr>
          <w:rFonts w:hint="eastAsia" w:ascii="宋体" w:hAnsi="宋体"/>
          <w:color w:val="auto"/>
          <w:sz w:val="24"/>
          <w:szCs w:val="21"/>
          <w:highlight w:val="none"/>
        </w:rPr>
      </w:pPr>
    </w:p>
    <w:p w14:paraId="61D9D472">
      <w:pPr>
        <w:rPr>
          <w:rFonts w:hint="eastAsia"/>
          <w:color w:val="auto"/>
          <w:highlight w:val="none"/>
        </w:rPr>
      </w:pPr>
      <w:r>
        <w:rPr>
          <w:rFonts w:hint="eastAsia"/>
          <w:color w:val="auto"/>
          <w:highlight w:val="none"/>
        </w:rPr>
        <w:br w:type="page"/>
      </w:r>
    </w:p>
    <w:p w14:paraId="66D2C81B">
      <w:pPr>
        <w:pStyle w:val="4"/>
        <w:adjustRightInd w:val="0"/>
        <w:snapToGrid w:val="0"/>
        <w:spacing w:before="0" w:after="0" w:line="560" w:lineRule="exact"/>
        <w:jc w:val="center"/>
        <w:rPr>
          <w:rFonts w:hint="eastAsia"/>
          <w:color w:val="auto"/>
          <w:highlight w:val="none"/>
        </w:rPr>
      </w:pPr>
      <w:r>
        <w:rPr>
          <w:rFonts w:hint="eastAsia"/>
          <w:color w:val="auto"/>
          <w:highlight w:val="none"/>
        </w:rPr>
        <w:t>（</w:t>
      </w:r>
      <w:r>
        <w:rPr>
          <w:rFonts w:hint="eastAsia"/>
          <w:color w:val="auto"/>
          <w:highlight w:val="none"/>
          <w:lang w:val="en-US" w:eastAsia="zh-CN"/>
        </w:rPr>
        <w:t>9</w:t>
      </w:r>
      <w:r>
        <w:rPr>
          <w:rFonts w:hint="eastAsia"/>
          <w:color w:val="auto"/>
          <w:highlight w:val="none"/>
        </w:rPr>
        <w:t>）其他资格审查资料</w:t>
      </w:r>
      <w:bookmarkEnd w:id="1498"/>
    </w:p>
    <w:p w14:paraId="3479064F">
      <w:pPr>
        <w:adjustRightInd w:val="0"/>
        <w:snapToGrid w:val="0"/>
        <w:spacing w:line="560" w:lineRule="exact"/>
        <w:jc w:val="center"/>
        <w:rPr>
          <w:rFonts w:hint="eastAsia" w:ascii="宋体"/>
          <w:b/>
          <w:color w:val="auto"/>
          <w:sz w:val="28"/>
          <w:szCs w:val="28"/>
          <w:highlight w:val="none"/>
        </w:rPr>
      </w:pPr>
      <w:bookmarkStart w:id="1499" w:name="_Toc499804616"/>
      <w:bookmarkStart w:id="1500" w:name="_Toc58229121"/>
      <w:bookmarkStart w:id="1501" w:name="_Toc15058940"/>
      <w:bookmarkStart w:id="1502" w:name="_Toc60061581"/>
      <w:bookmarkStart w:id="1503" w:name="_Toc506107353"/>
      <w:bookmarkStart w:id="1504" w:name="_Toc484173797"/>
      <w:bookmarkStart w:id="1505" w:name="_Toc324404893"/>
      <w:bookmarkStart w:id="1506" w:name="_Toc11719"/>
      <w:r>
        <w:rPr>
          <w:rFonts w:hint="eastAsia"/>
          <w:b/>
          <w:color w:val="auto"/>
          <w:sz w:val="28"/>
          <w:szCs w:val="28"/>
          <w:highlight w:val="none"/>
        </w:rPr>
        <w:t>①法定代表人身份证</w:t>
      </w:r>
      <w:bookmarkEnd w:id="1499"/>
      <w:bookmarkEnd w:id="1500"/>
      <w:bookmarkEnd w:id="1501"/>
      <w:bookmarkEnd w:id="1502"/>
      <w:bookmarkEnd w:id="1503"/>
      <w:bookmarkEnd w:id="1504"/>
      <w:r>
        <w:rPr>
          <w:rFonts w:hint="eastAsia"/>
          <w:b/>
          <w:color w:val="auto"/>
          <w:sz w:val="28"/>
          <w:szCs w:val="28"/>
          <w:highlight w:val="none"/>
        </w:rPr>
        <w:t>明或授权委托书</w:t>
      </w:r>
      <w:bookmarkEnd w:id="1424"/>
      <w:bookmarkEnd w:id="1425"/>
      <w:bookmarkEnd w:id="1426"/>
      <w:bookmarkEnd w:id="1427"/>
      <w:bookmarkEnd w:id="1428"/>
      <w:bookmarkEnd w:id="1429"/>
      <w:bookmarkEnd w:id="1430"/>
      <w:bookmarkEnd w:id="1431"/>
      <w:bookmarkEnd w:id="1505"/>
      <w:bookmarkEnd w:id="1506"/>
    </w:p>
    <w:p w14:paraId="10C01CDB">
      <w:pPr>
        <w:pStyle w:val="44"/>
        <w:adjustRightInd w:val="0"/>
        <w:snapToGrid w:val="0"/>
        <w:spacing w:line="560" w:lineRule="exact"/>
        <w:rPr>
          <w:rFonts w:hint="eastAsia" w:ascii="宋体"/>
          <w:b/>
          <w:color w:val="auto"/>
          <w:sz w:val="30"/>
          <w:szCs w:val="30"/>
          <w:highlight w:val="none"/>
        </w:rPr>
      </w:pPr>
      <w:r>
        <w:rPr>
          <w:rFonts w:hint="eastAsia" w:ascii="宋体"/>
          <w:color w:val="auto"/>
          <w:sz w:val="30"/>
          <w:szCs w:val="30"/>
          <w:highlight w:val="none"/>
        </w:rPr>
        <w:t>1.法定代表人身份证明</w:t>
      </w:r>
    </w:p>
    <w:p w14:paraId="457E428A">
      <w:pPr>
        <w:adjustRightInd w:val="0"/>
        <w:snapToGrid w:val="0"/>
        <w:spacing w:line="560" w:lineRule="exact"/>
        <w:rPr>
          <w:rFonts w:hint="eastAsia" w:ascii="宋体"/>
          <w:color w:val="auto"/>
          <w:sz w:val="28"/>
          <w:szCs w:val="28"/>
          <w:highlight w:val="none"/>
        </w:rPr>
      </w:pPr>
      <w:r>
        <w:rPr>
          <w:rFonts w:hint="eastAsia" w:ascii="宋体"/>
          <w:color w:val="auto"/>
          <w:sz w:val="28"/>
          <w:szCs w:val="28"/>
          <w:highlight w:val="none"/>
        </w:rPr>
        <w:t>投标人名称：</w:t>
      </w:r>
      <w:r>
        <w:rPr>
          <w:rFonts w:hint="eastAsia" w:ascii="宋体"/>
          <w:color w:val="auto"/>
          <w:sz w:val="28"/>
          <w:szCs w:val="28"/>
          <w:highlight w:val="none"/>
          <w:u w:val="single"/>
        </w:rPr>
        <w:t xml:space="preserve">                                </w:t>
      </w:r>
      <w:r>
        <w:rPr>
          <w:rFonts w:hint="eastAsia" w:ascii="宋体"/>
          <w:color w:val="auto"/>
          <w:sz w:val="28"/>
          <w:szCs w:val="28"/>
          <w:highlight w:val="none"/>
        </w:rPr>
        <w:t xml:space="preserve"> </w:t>
      </w:r>
    </w:p>
    <w:p w14:paraId="2E6E45A9">
      <w:pPr>
        <w:adjustRightInd w:val="0"/>
        <w:snapToGrid w:val="0"/>
        <w:spacing w:line="560" w:lineRule="exact"/>
        <w:rPr>
          <w:rFonts w:hint="eastAsia" w:ascii="宋体"/>
          <w:color w:val="auto"/>
          <w:sz w:val="28"/>
          <w:szCs w:val="28"/>
          <w:highlight w:val="none"/>
        </w:rPr>
      </w:pPr>
      <w:r>
        <w:rPr>
          <w:rFonts w:hint="eastAsia" w:ascii="宋体"/>
          <w:color w:val="auto"/>
          <w:sz w:val="28"/>
          <w:szCs w:val="28"/>
          <w:highlight w:val="none"/>
        </w:rPr>
        <w:t xml:space="preserve">单位性质： </w:t>
      </w:r>
      <w:r>
        <w:rPr>
          <w:rFonts w:hint="eastAsia" w:ascii="宋体"/>
          <w:color w:val="auto"/>
          <w:sz w:val="28"/>
          <w:szCs w:val="28"/>
          <w:highlight w:val="none"/>
          <w:u w:val="single"/>
        </w:rPr>
        <w:t xml:space="preserve">                                  </w:t>
      </w:r>
      <w:r>
        <w:rPr>
          <w:rFonts w:hint="eastAsia" w:ascii="宋体"/>
          <w:color w:val="auto"/>
          <w:sz w:val="28"/>
          <w:szCs w:val="28"/>
          <w:highlight w:val="none"/>
        </w:rPr>
        <w:t xml:space="preserve"> </w:t>
      </w:r>
    </w:p>
    <w:p w14:paraId="15FDE241">
      <w:pPr>
        <w:adjustRightInd w:val="0"/>
        <w:snapToGrid w:val="0"/>
        <w:spacing w:line="560" w:lineRule="exact"/>
        <w:rPr>
          <w:rFonts w:hint="eastAsia" w:ascii="宋体"/>
          <w:color w:val="auto"/>
          <w:sz w:val="28"/>
          <w:szCs w:val="28"/>
          <w:highlight w:val="none"/>
        </w:rPr>
      </w:pPr>
      <w:r>
        <w:rPr>
          <w:rFonts w:hint="eastAsia" w:ascii="宋体"/>
          <w:color w:val="auto"/>
          <w:sz w:val="28"/>
          <w:szCs w:val="28"/>
          <w:highlight w:val="none"/>
        </w:rPr>
        <w:t>地    址：</w:t>
      </w:r>
      <w:r>
        <w:rPr>
          <w:rFonts w:hint="eastAsia" w:ascii="宋体"/>
          <w:color w:val="auto"/>
          <w:sz w:val="28"/>
          <w:szCs w:val="28"/>
          <w:highlight w:val="none"/>
          <w:u w:val="single"/>
        </w:rPr>
        <w:t xml:space="preserve">                                   </w:t>
      </w:r>
      <w:r>
        <w:rPr>
          <w:rFonts w:hint="eastAsia" w:ascii="宋体"/>
          <w:color w:val="auto"/>
          <w:sz w:val="28"/>
          <w:szCs w:val="28"/>
          <w:highlight w:val="none"/>
        </w:rPr>
        <w:t xml:space="preserve"> </w:t>
      </w:r>
    </w:p>
    <w:p w14:paraId="302FA34F">
      <w:pPr>
        <w:adjustRightInd w:val="0"/>
        <w:snapToGrid w:val="0"/>
        <w:spacing w:line="560" w:lineRule="exact"/>
        <w:rPr>
          <w:rFonts w:hint="eastAsia" w:ascii="宋体"/>
          <w:color w:val="auto"/>
          <w:sz w:val="28"/>
          <w:szCs w:val="28"/>
          <w:highlight w:val="none"/>
        </w:rPr>
      </w:pPr>
      <w:r>
        <w:rPr>
          <w:rFonts w:hint="eastAsia" w:ascii="宋体"/>
          <w:color w:val="auto"/>
          <w:sz w:val="28"/>
          <w:szCs w:val="28"/>
          <w:highlight w:val="none"/>
        </w:rPr>
        <w:t>成立时间：</w:t>
      </w:r>
      <w:r>
        <w:rPr>
          <w:rFonts w:hint="eastAsia" w:ascii="宋体"/>
          <w:color w:val="auto"/>
          <w:sz w:val="28"/>
          <w:szCs w:val="28"/>
          <w:highlight w:val="none"/>
          <w:u w:val="single"/>
        </w:rPr>
        <w:t xml:space="preserve">        </w:t>
      </w:r>
      <w:r>
        <w:rPr>
          <w:rFonts w:hint="eastAsia" w:ascii="宋体"/>
          <w:color w:val="auto"/>
          <w:sz w:val="28"/>
          <w:szCs w:val="28"/>
          <w:highlight w:val="none"/>
        </w:rPr>
        <w:t>年</w:t>
      </w:r>
      <w:r>
        <w:rPr>
          <w:rFonts w:hint="eastAsia" w:ascii="宋体"/>
          <w:color w:val="auto"/>
          <w:sz w:val="28"/>
          <w:szCs w:val="28"/>
          <w:highlight w:val="none"/>
          <w:u w:val="single"/>
        </w:rPr>
        <w:t xml:space="preserve">    </w:t>
      </w:r>
      <w:r>
        <w:rPr>
          <w:rFonts w:hint="eastAsia" w:ascii="宋体"/>
          <w:color w:val="auto"/>
          <w:sz w:val="28"/>
          <w:szCs w:val="28"/>
          <w:highlight w:val="none"/>
        </w:rPr>
        <w:t>月</w:t>
      </w:r>
      <w:r>
        <w:rPr>
          <w:rFonts w:hint="eastAsia" w:ascii="宋体"/>
          <w:color w:val="auto"/>
          <w:sz w:val="28"/>
          <w:szCs w:val="28"/>
          <w:highlight w:val="none"/>
          <w:u w:val="single"/>
        </w:rPr>
        <w:t xml:space="preserve">  </w:t>
      </w:r>
      <w:r>
        <w:rPr>
          <w:rFonts w:hint="eastAsia" w:ascii="宋体"/>
          <w:color w:val="auto"/>
          <w:sz w:val="28"/>
          <w:szCs w:val="28"/>
          <w:highlight w:val="none"/>
        </w:rPr>
        <w:t>＿日</w:t>
      </w:r>
    </w:p>
    <w:p w14:paraId="2836866E">
      <w:pPr>
        <w:adjustRightInd w:val="0"/>
        <w:snapToGrid w:val="0"/>
        <w:spacing w:line="560" w:lineRule="exact"/>
        <w:rPr>
          <w:rFonts w:hint="eastAsia" w:ascii="宋体"/>
          <w:color w:val="auto"/>
          <w:sz w:val="28"/>
          <w:szCs w:val="28"/>
          <w:highlight w:val="none"/>
        </w:rPr>
      </w:pPr>
      <w:r>
        <w:rPr>
          <w:rFonts w:hint="eastAsia" w:ascii="宋体"/>
          <w:color w:val="auto"/>
          <w:sz w:val="28"/>
          <w:szCs w:val="28"/>
          <w:highlight w:val="none"/>
        </w:rPr>
        <w:t>经营期限：</w:t>
      </w:r>
      <w:r>
        <w:rPr>
          <w:rFonts w:hint="eastAsia" w:ascii="宋体"/>
          <w:color w:val="auto"/>
          <w:sz w:val="28"/>
          <w:szCs w:val="28"/>
          <w:highlight w:val="none"/>
          <w:u w:val="single"/>
        </w:rPr>
        <w:t xml:space="preserve">                                </w:t>
      </w:r>
      <w:r>
        <w:rPr>
          <w:rFonts w:hint="eastAsia" w:ascii="宋体"/>
          <w:color w:val="auto"/>
          <w:sz w:val="28"/>
          <w:szCs w:val="28"/>
          <w:highlight w:val="none"/>
        </w:rPr>
        <w:t xml:space="preserve"> </w:t>
      </w:r>
    </w:p>
    <w:p w14:paraId="7AF0132A">
      <w:pPr>
        <w:adjustRightInd w:val="0"/>
        <w:snapToGrid w:val="0"/>
        <w:spacing w:line="560" w:lineRule="exact"/>
        <w:jc w:val="left"/>
        <w:rPr>
          <w:rFonts w:hint="eastAsia" w:ascii="宋体"/>
          <w:color w:val="auto"/>
          <w:sz w:val="28"/>
          <w:szCs w:val="28"/>
          <w:highlight w:val="none"/>
          <w:u w:val="single"/>
        </w:rPr>
      </w:pPr>
      <w:r>
        <w:rPr>
          <w:rFonts w:hint="eastAsia" w:ascii="宋体"/>
          <w:color w:val="auto"/>
          <w:spacing w:val="240"/>
          <w:sz w:val="28"/>
          <w:szCs w:val="28"/>
          <w:highlight w:val="none"/>
        </w:rPr>
        <w:t>姓</w:t>
      </w:r>
      <w:r>
        <w:rPr>
          <w:rFonts w:hint="eastAsia" w:ascii="宋体"/>
          <w:color w:val="auto"/>
          <w:sz w:val="28"/>
          <w:szCs w:val="28"/>
          <w:highlight w:val="none"/>
        </w:rPr>
        <w:t>名：</w:t>
      </w:r>
      <w:r>
        <w:rPr>
          <w:rFonts w:hint="eastAsia" w:ascii="宋体"/>
          <w:color w:val="auto"/>
          <w:sz w:val="28"/>
          <w:szCs w:val="28"/>
          <w:highlight w:val="none"/>
          <w:u w:val="single"/>
        </w:rPr>
        <w:t xml:space="preserve">           </w:t>
      </w:r>
      <w:r>
        <w:rPr>
          <w:rFonts w:hint="eastAsia" w:ascii="宋体"/>
          <w:color w:val="auto"/>
          <w:sz w:val="28"/>
          <w:szCs w:val="28"/>
          <w:highlight w:val="none"/>
        </w:rPr>
        <w:t>身份证号码：</w:t>
      </w:r>
      <w:r>
        <w:rPr>
          <w:rFonts w:hint="eastAsia" w:ascii="宋体"/>
          <w:color w:val="auto"/>
          <w:sz w:val="28"/>
          <w:szCs w:val="28"/>
          <w:highlight w:val="none"/>
          <w:u w:val="single"/>
        </w:rPr>
        <w:t xml:space="preserve">             </w:t>
      </w:r>
      <w:r>
        <w:rPr>
          <w:rFonts w:hint="eastAsia" w:ascii="宋体"/>
          <w:color w:val="auto"/>
          <w:sz w:val="28"/>
          <w:szCs w:val="28"/>
          <w:highlight w:val="none"/>
        </w:rPr>
        <w:t>性别</w:t>
      </w:r>
      <w:r>
        <w:rPr>
          <w:rFonts w:hint="eastAsia" w:ascii="宋体"/>
          <w:color w:val="auto"/>
          <w:sz w:val="28"/>
          <w:szCs w:val="28"/>
          <w:highlight w:val="none"/>
          <w:u w:val="single"/>
        </w:rPr>
        <w:t xml:space="preserve">：            </w:t>
      </w:r>
      <w:r>
        <w:rPr>
          <w:rFonts w:hint="eastAsia" w:ascii="宋体"/>
          <w:color w:val="auto"/>
          <w:sz w:val="28"/>
          <w:szCs w:val="28"/>
          <w:highlight w:val="none"/>
        </w:rPr>
        <w:t>年龄：</w:t>
      </w:r>
      <w:r>
        <w:rPr>
          <w:rFonts w:hint="eastAsia" w:ascii="宋体"/>
          <w:color w:val="auto"/>
          <w:sz w:val="28"/>
          <w:szCs w:val="28"/>
          <w:highlight w:val="none"/>
          <w:u w:val="single"/>
        </w:rPr>
        <w:t xml:space="preserve">＿  </w:t>
      </w:r>
      <w:r>
        <w:rPr>
          <w:rFonts w:hint="eastAsia" w:ascii="宋体"/>
          <w:color w:val="auto"/>
          <w:sz w:val="28"/>
          <w:szCs w:val="28"/>
          <w:highlight w:val="none"/>
        </w:rPr>
        <w:t>职务：</w:t>
      </w:r>
      <w:r>
        <w:rPr>
          <w:rFonts w:hint="eastAsia" w:ascii="宋体"/>
          <w:color w:val="auto"/>
          <w:sz w:val="28"/>
          <w:szCs w:val="28"/>
          <w:highlight w:val="none"/>
          <w:u w:val="single"/>
        </w:rPr>
        <w:t xml:space="preserve">       </w:t>
      </w:r>
      <w:r>
        <w:rPr>
          <w:rFonts w:hint="eastAsia" w:ascii="宋体"/>
          <w:color w:val="auto"/>
          <w:sz w:val="28"/>
          <w:szCs w:val="28"/>
          <w:highlight w:val="none"/>
        </w:rPr>
        <w:t>_，系</w:t>
      </w:r>
      <w:r>
        <w:rPr>
          <w:rFonts w:hint="eastAsia" w:ascii="宋体"/>
          <w:color w:val="auto"/>
          <w:sz w:val="28"/>
          <w:szCs w:val="28"/>
          <w:highlight w:val="none"/>
          <w:u w:val="single"/>
        </w:rPr>
        <w:t xml:space="preserve">                       </w:t>
      </w:r>
      <w:r>
        <w:rPr>
          <w:rFonts w:hint="eastAsia" w:ascii="宋体"/>
          <w:color w:val="auto"/>
          <w:sz w:val="28"/>
          <w:szCs w:val="28"/>
          <w:highlight w:val="none"/>
        </w:rPr>
        <w:t>（投标人名称）的法定代表人。</w:t>
      </w:r>
    </w:p>
    <w:p w14:paraId="5A315117">
      <w:pPr>
        <w:adjustRightInd w:val="0"/>
        <w:snapToGrid w:val="0"/>
        <w:spacing w:line="560" w:lineRule="exact"/>
        <w:rPr>
          <w:rFonts w:hint="eastAsia" w:ascii="宋体"/>
          <w:color w:val="auto"/>
          <w:sz w:val="28"/>
          <w:szCs w:val="28"/>
          <w:highlight w:val="none"/>
        </w:rPr>
      </w:pPr>
      <w:r>
        <w:rPr>
          <w:rFonts w:hint="eastAsia" w:ascii="宋体"/>
          <w:color w:val="auto"/>
          <w:sz w:val="28"/>
          <w:szCs w:val="28"/>
          <w:highlight w:val="none"/>
        </w:rPr>
        <w:t>特此证明。</w:t>
      </w:r>
    </w:p>
    <w:p w14:paraId="37DA7B03">
      <w:pPr>
        <w:adjustRightInd w:val="0"/>
        <w:snapToGrid w:val="0"/>
        <w:spacing w:line="560" w:lineRule="exact"/>
        <w:rPr>
          <w:rFonts w:hint="eastAsia" w:ascii="宋体"/>
          <w:color w:val="auto"/>
          <w:sz w:val="28"/>
          <w:szCs w:val="28"/>
          <w:highlight w:val="none"/>
        </w:rPr>
      </w:pPr>
    </w:p>
    <w:p w14:paraId="5C5A5DA8">
      <w:pPr>
        <w:adjustRightInd w:val="0"/>
        <w:snapToGrid w:val="0"/>
        <w:spacing w:line="560" w:lineRule="exact"/>
        <w:rPr>
          <w:rFonts w:hint="eastAsia" w:ascii="宋体"/>
          <w:color w:val="auto"/>
          <w:sz w:val="28"/>
          <w:szCs w:val="28"/>
          <w:highlight w:val="none"/>
        </w:rPr>
      </w:pPr>
    </w:p>
    <w:p w14:paraId="70E2D9DF">
      <w:pPr>
        <w:adjustRightInd w:val="0"/>
        <w:snapToGrid w:val="0"/>
        <w:spacing w:line="560" w:lineRule="exact"/>
        <w:rPr>
          <w:rFonts w:hint="eastAsia" w:ascii="宋体"/>
          <w:color w:val="auto"/>
          <w:sz w:val="28"/>
          <w:szCs w:val="28"/>
          <w:highlight w:val="none"/>
        </w:rPr>
      </w:pPr>
    </w:p>
    <w:p w14:paraId="439781E3">
      <w:pPr>
        <w:adjustRightInd w:val="0"/>
        <w:snapToGrid w:val="0"/>
        <w:spacing w:line="560" w:lineRule="exact"/>
        <w:ind w:firstLine="4340" w:firstLineChars="1550"/>
        <w:rPr>
          <w:rFonts w:hint="eastAsia" w:ascii="宋体"/>
          <w:color w:val="auto"/>
          <w:sz w:val="28"/>
          <w:szCs w:val="28"/>
          <w:highlight w:val="none"/>
        </w:rPr>
      </w:pPr>
      <w:r>
        <w:rPr>
          <w:rFonts w:hint="eastAsia" w:ascii="宋体"/>
          <w:color w:val="auto"/>
          <w:sz w:val="28"/>
          <w:szCs w:val="28"/>
          <w:highlight w:val="none"/>
        </w:rPr>
        <w:t>投标人：</w:t>
      </w:r>
      <w:r>
        <w:rPr>
          <w:rFonts w:hint="eastAsia" w:ascii="宋体"/>
          <w:color w:val="auto"/>
          <w:sz w:val="28"/>
          <w:szCs w:val="28"/>
          <w:highlight w:val="none"/>
          <w:u w:val="single"/>
        </w:rPr>
        <w:t xml:space="preserve">                 </w:t>
      </w:r>
      <w:r>
        <w:rPr>
          <w:rFonts w:hint="eastAsia" w:ascii="宋体"/>
          <w:color w:val="auto"/>
          <w:sz w:val="28"/>
          <w:szCs w:val="28"/>
          <w:highlight w:val="none"/>
        </w:rPr>
        <w:t>（签章）</w:t>
      </w:r>
    </w:p>
    <w:p w14:paraId="054650DA">
      <w:pPr>
        <w:adjustRightInd w:val="0"/>
        <w:snapToGrid w:val="0"/>
        <w:spacing w:line="560" w:lineRule="exact"/>
        <w:rPr>
          <w:rFonts w:hint="eastAsia" w:ascii="宋体"/>
          <w:color w:val="auto"/>
          <w:sz w:val="28"/>
          <w:szCs w:val="28"/>
          <w:highlight w:val="none"/>
        </w:rPr>
      </w:pPr>
      <w:r>
        <w:rPr>
          <w:rFonts w:hint="eastAsia" w:ascii="宋体"/>
          <w:color w:val="auto"/>
          <w:sz w:val="28"/>
          <w:szCs w:val="28"/>
          <w:highlight w:val="none"/>
        </w:rPr>
        <w:t xml:space="preserve">                                        年    月     日</w:t>
      </w:r>
    </w:p>
    <w:p w14:paraId="6FBC6008">
      <w:pPr>
        <w:adjustRightInd w:val="0"/>
        <w:snapToGrid w:val="0"/>
        <w:spacing w:line="560" w:lineRule="exact"/>
        <w:rPr>
          <w:rFonts w:hint="eastAsia" w:ascii="宋体"/>
          <w:color w:val="auto"/>
          <w:sz w:val="28"/>
          <w:szCs w:val="28"/>
          <w:highlight w:val="none"/>
        </w:rPr>
      </w:pPr>
    </w:p>
    <w:p w14:paraId="44FCCD80">
      <w:pPr>
        <w:adjustRightInd w:val="0"/>
        <w:snapToGrid w:val="0"/>
        <w:spacing w:line="560" w:lineRule="exact"/>
        <w:rPr>
          <w:rFonts w:hint="eastAsia" w:ascii="宋体"/>
          <w:color w:val="auto"/>
          <w:sz w:val="28"/>
          <w:szCs w:val="28"/>
          <w:highlight w:val="none"/>
        </w:rPr>
      </w:pPr>
    </w:p>
    <w:p w14:paraId="34079F1E">
      <w:pPr>
        <w:pStyle w:val="44"/>
        <w:adjustRightInd w:val="0"/>
        <w:snapToGrid w:val="0"/>
        <w:spacing w:line="560" w:lineRule="exact"/>
        <w:rPr>
          <w:rFonts w:hint="eastAsia" w:ascii="宋体"/>
          <w:color w:val="auto"/>
          <w:sz w:val="30"/>
          <w:szCs w:val="30"/>
          <w:highlight w:val="none"/>
        </w:rPr>
      </w:pPr>
    </w:p>
    <w:p w14:paraId="6A3C6CF7">
      <w:pPr>
        <w:rPr>
          <w:rFonts w:hint="eastAsia"/>
          <w:color w:val="auto"/>
          <w:highlight w:val="none"/>
        </w:rPr>
      </w:pPr>
    </w:p>
    <w:p w14:paraId="64A55D4F">
      <w:pPr>
        <w:pStyle w:val="19"/>
        <w:rPr>
          <w:rFonts w:hint="eastAsia"/>
          <w:color w:val="auto"/>
          <w:highlight w:val="none"/>
        </w:rPr>
      </w:pPr>
    </w:p>
    <w:p w14:paraId="18EC5D14">
      <w:pPr>
        <w:rPr>
          <w:rFonts w:hint="eastAsia"/>
          <w:color w:val="auto"/>
          <w:highlight w:val="none"/>
        </w:rPr>
      </w:pPr>
    </w:p>
    <w:p w14:paraId="23754321">
      <w:pPr>
        <w:pStyle w:val="19"/>
        <w:rPr>
          <w:rFonts w:hint="eastAsia"/>
          <w:color w:val="auto"/>
          <w:highlight w:val="none"/>
        </w:rPr>
      </w:pPr>
    </w:p>
    <w:p w14:paraId="44438D53">
      <w:pPr>
        <w:rPr>
          <w:rFonts w:hint="eastAsia"/>
          <w:color w:val="auto"/>
          <w:highlight w:val="none"/>
        </w:rPr>
      </w:pPr>
    </w:p>
    <w:p w14:paraId="52CF6441">
      <w:pPr>
        <w:pStyle w:val="19"/>
        <w:rPr>
          <w:rFonts w:hint="eastAsia"/>
          <w:color w:val="auto"/>
          <w:highlight w:val="none"/>
        </w:rPr>
      </w:pPr>
    </w:p>
    <w:p w14:paraId="52C45B8F">
      <w:pPr>
        <w:pStyle w:val="44"/>
        <w:adjustRightInd w:val="0"/>
        <w:snapToGrid w:val="0"/>
        <w:spacing w:line="560" w:lineRule="exact"/>
        <w:rPr>
          <w:rFonts w:hint="eastAsia" w:ascii="宋体"/>
          <w:color w:val="auto"/>
          <w:sz w:val="30"/>
          <w:szCs w:val="30"/>
          <w:highlight w:val="none"/>
        </w:rPr>
      </w:pPr>
    </w:p>
    <w:p w14:paraId="6406FF06">
      <w:pPr>
        <w:rPr>
          <w:rFonts w:hint="eastAsia"/>
          <w:color w:val="auto"/>
          <w:highlight w:val="none"/>
        </w:rPr>
      </w:pPr>
    </w:p>
    <w:p w14:paraId="2F8AABA2">
      <w:pPr>
        <w:rPr>
          <w:rFonts w:hint="eastAsia"/>
          <w:color w:val="auto"/>
          <w:highlight w:val="none"/>
        </w:rPr>
      </w:pPr>
    </w:p>
    <w:p w14:paraId="5BA9F9C7">
      <w:pPr>
        <w:pStyle w:val="44"/>
        <w:adjustRightInd w:val="0"/>
        <w:snapToGrid w:val="0"/>
        <w:spacing w:line="560" w:lineRule="exact"/>
        <w:rPr>
          <w:rFonts w:hint="eastAsia" w:ascii="宋体"/>
          <w:color w:val="auto"/>
          <w:sz w:val="30"/>
          <w:szCs w:val="30"/>
          <w:highlight w:val="none"/>
        </w:rPr>
      </w:pPr>
    </w:p>
    <w:p w14:paraId="012C2D6A">
      <w:pPr>
        <w:pStyle w:val="44"/>
        <w:adjustRightInd w:val="0"/>
        <w:snapToGrid w:val="0"/>
        <w:spacing w:line="560" w:lineRule="exact"/>
        <w:rPr>
          <w:rFonts w:hint="eastAsia" w:ascii="宋体"/>
          <w:color w:val="auto"/>
          <w:sz w:val="30"/>
          <w:szCs w:val="30"/>
          <w:highlight w:val="none"/>
        </w:rPr>
      </w:pPr>
    </w:p>
    <w:p w14:paraId="638D3DC0">
      <w:pPr>
        <w:pStyle w:val="44"/>
        <w:adjustRightInd w:val="0"/>
        <w:snapToGrid w:val="0"/>
        <w:spacing w:line="560" w:lineRule="exact"/>
        <w:rPr>
          <w:rFonts w:hint="eastAsia" w:ascii="宋体"/>
          <w:color w:val="auto"/>
          <w:sz w:val="30"/>
          <w:szCs w:val="30"/>
          <w:highlight w:val="none"/>
        </w:rPr>
      </w:pPr>
      <w:r>
        <w:rPr>
          <w:rFonts w:hint="eastAsia" w:ascii="宋体"/>
          <w:color w:val="auto"/>
          <w:sz w:val="30"/>
          <w:szCs w:val="30"/>
          <w:highlight w:val="none"/>
        </w:rPr>
        <w:t>2. 授权委托书</w:t>
      </w:r>
    </w:p>
    <w:p w14:paraId="4BC96278">
      <w:pPr>
        <w:adjustRightInd w:val="0"/>
        <w:snapToGrid w:val="0"/>
        <w:spacing w:line="560" w:lineRule="exact"/>
        <w:ind w:firstLine="560" w:firstLineChars="200"/>
        <w:rPr>
          <w:rFonts w:hint="eastAsia" w:ascii="宋体"/>
          <w:color w:val="auto"/>
          <w:sz w:val="28"/>
          <w:szCs w:val="28"/>
          <w:highlight w:val="none"/>
        </w:rPr>
      </w:pPr>
      <w:r>
        <w:rPr>
          <w:rFonts w:hint="eastAsia" w:ascii="宋体"/>
          <w:color w:val="auto"/>
          <w:sz w:val="28"/>
          <w:szCs w:val="28"/>
          <w:highlight w:val="none"/>
        </w:rPr>
        <w:t xml:space="preserve">本人 </w:t>
      </w:r>
      <w:r>
        <w:rPr>
          <w:rFonts w:hint="eastAsia" w:ascii="宋体"/>
          <w:color w:val="auto"/>
          <w:sz w:val="28"/>
          <w:szCs w:val="28"/>
          <w:highlight w:val="none"/>
          <w:u w:val="single"/>
        </w:rPr>
        <w:t xml:space="preserve">    </w:t>
      </w:r>
      <w:r>
        <w:rPr>
          <w:rFonts w:hint="eastAsia" w:ascii="宋体"/>
          <w:color w:val="auto"/>
          <w:sz w:val="28"/>
          <w:szCs w:val="28"/>
          <w:highlight w:val="none"/>
        </w:rPr>
        <w:t>（姓名）系</w:t>
      </w:r>
      <w:r>
        <w:rPr>
          <w:rFonts w:hint="eastAsia" w:ascii="宋体"/>
          <w:color w:val="auto"/>
          <w:sz w:val="28"/>
          <w:szCs w:val="28"/>
          <w:highlight w:val="none"/>
          <w:u w:val="single"/>
        </w:rPr>
        <w:t xml:space="preserve">       </w:t>
      </w:r>
      <w:r>
        <w:rPr>
          <w:rFonts w:hint="eastAsia" w:ascii="宋体"/>
          <w:color w:val="auto"/>
          <w:sz w:val="28"/>
          <w:szCs w:val="28"/>
          <w:highlight w:val="none"/>
        </w:rPr>
        <w:t>（投标人）的法定代表人，现委托</w:t>
      </w:r>
      <w:r>
        <w:rPr>
          <w:rFonts w:hint="eastAsia" w:ascii="宋体"/>
          <w:color w:val="auto"/>
          <w:sz w:val="28"/>
          <w:szCs w:val="28"/>
          <w:highlight w:val="none"/>
          <w:u w:val="single"/>
        </w:rPr>
        <w:t xml:space="preserve">   </w:t>
      </w:r>
      <w:r>
        <w:rPr>
          <w:rFonts w:hint="eastAsia" w:ascii="宋体"/>
          <w:color w:val="auto"/>
          <w:sz w:val="28"/>
          <w:szCs w:val="28"/>
          <w:highlight w:val="none"/>
        </w:rPr>
        <w:t>（姓名）为我方代理人。代理人根据授权，以我方名义签署、澄清、说明、补正、递交、撤回、修改 “</w:t>
      </w:r>
      <w:r>
        <w:rPr>
          <w:rFonts w:hint="eastAsia" w:ascii="宋体"/>
          <w:color w:val="auto"/>
          <w:sz w:val="28"/>
          <w:szCs w:val="28"/>
          <w:highlight w:val="none"/>
          <w:u w:val="single"/>
        </w:rPr>
        <w:t xml:space="preserve">      </w:t>
      </w:r>
      <w:r>
        <w:rPr>
          <w:rFonts w:hint="eastAsia" w:ascii="宋体"/>
          <w:color w:val="auto"/>
          <w:sz w:val="28"/>
          <w:szCs w:val="28"/>
          <w:highlight w:val="none"/>
        </w:rPr>
        <w:t xml:space="preserve"> ”(项目名称、编号）投标文件，全权处理与该项目投标、评审答疑、签订合同以及与合同执行有关的一切事务，其法律后果由我方承担。</w:t>
      </w:r>
    </w:p>
    <w:p w14:paraId="47E71517">
      <w:pPr>
        <w:adjustRightInd w:val="0"/>
        <w:snapToGrid w:val="0"/>
        <w:spacing w:line="560" w:lineRule="exact"/>
        <w:ind w:firstLine="560" w:firstLineChars="200"/>
        <w:rPr>
          <w:rFonts w:hint="eastAsia" w:ascii="宋体"/>
          <w:color w:val="auto"/>
          <w:sz w:val="28"/>
          <w:szCs w:val="28"/>
          <w:highlight w:val="none"/>
        </w:rPr>
      </w:pPr>
      <w:r>
        <w:rPr>
          <w:rFonts w:hint="eastAsia" w:ascii="宋体"/>
          <w:color w:val="auto"/>
          <w:sz w:val="28"/>
          <w:szCs w:val="28"/>
          <w:highlight w:val="none"/>
        </w:rPr>
        <w:t xml:space="preserve">委托期限： </w:t>
      </w:r>
      <w:r>
        <w:rPr>
          <w:rFonts w:hint="eastAsia" w:ascii="宋体" w:cs="宋体"/>
          <w:color w:val="auto"/>
          <w:sz w:val="28"/>
          <w:szCs w:val="28"/>
          <w:highlight w:val="none"/>
          <w:u w:val="single"/>
        </w:rPr>
        <w:t xml:space="preserve">          </w:t>
      </w:r>
      <w:r>
        <w:rPr>
          <w:rFonts w:hint="eastAsia" w:ascii="宋体" w:cs="宋体"/>
          <w:color w:val="auto"/>
          <w:sz w:val="28"/>
          <w:szCs w:val="28"/>
          <w:highlight w:val="none"/>
        </w:rPr>
        <w:t>。</w:t>
      </w:r>
      <w:r>
        <w:rPr>
          <w:rFonts w:hint="eastAsia" w:ascii="宋体"/>
          <w:color w:val="auto"/>
          <w:sz w:val="28"/>
          <w:szCs w:val="28"/>
          <w:highlight w:val="none"/>
        </w:rPr>
        <w:t xml:space="preserve">                     </w:t>
      </w:r>
    </w:p>
    <w:p w14:paraId="4BF628D0">
      <w:pPr>
        <w:adjustRightInd w:val="0"/>
        <w:snapToGrid w:val="0"/>
        <w:spacing w:line="560" w:lineRule="exact"/>
        <w:ind w:firstLine="560" w:firstLineChars="200"/>
        <w:rPr>
          <w:rFonts w:hint="eastAsia" w:ascii="宋体"/>
          <w:color w:val="auto"/>
          <w:sz w:val="28"/>
          <w:szCs w:val="28"/>
          <w:highlight w:val="none"/>
        </w:rPr>
      </w:pPr>
      <w:r>
        <w:rPr>
          <w:rFonts w:hint="eastAsia" w:ascii="宋体"/>
          <w:color w:val="auto"/>
          <w:sz w:val="28"/>
          <w:szCs w:val="28"/>
          <w:highlight w:val="none"/>
        </w:rPr>
        <w:t>代理人无转委托权。</w:t>
      </w:r>
    </w:p>
    <w:p w14:paraId="50ADB5A1">
      <w:pPr>
        <w:adjustRightInd w:val="0"/>
        <w:snapToGrid w:val="0"/>
        <w:spacing w:line="560" w:lineRule="exact"/>
        <w:ind w:firstLine="560" w:firstLineChars="200"/>
        <w:rPr>
          <w:rFonts w:hint="eastAsia" w:ascii="宋体"/>
          <w:b/>
          <w:color w:val="auto"/>
          <w:sz w:val="28"/>
          <w:szCs w:val="28"/>
          <w:highlight w:val="none"/>
        </w:rPr>
      </w:pPr>
      <w:r>
        <w:rPr>
          <w:rFonts w:hint="eastAsia" w:ascii="宋体"/>
          <w:color w:val="auto"/>
          <w:sz w:val="28"/>
          <w:szCs w:val="28"/>
          <w:highlight w:val="none"/>
        </w:rPr>
        <w:t>附：</w:t>
      </w:r>
      <w:r>
        <w:rPr>
          <w:rFonts w:hint="eastAsia" w:ascii="宋体"/>
          <w:b/>
          <w:color w:val="auto"/>
          <w:sz w:val="28"/>
          <w:szCs w:val="28"/>
          <w:highlight w:val="none"/>
        </w:rPr>
        <w:t>委托代理人有效身份证扫描件</w:t>
      </w:r>
    </w:p>
    <w:p w14:paraId="4B0CE14F">
      <w:pPr>
        <w:adjustRightInd w:val="0"/>
        <w:snapToGrid w:val="0"/>
        <w:spacing w:line="560" w:lineRule="exact"/>
        <w:ind w:firstLine="1116" w:firstLineChars="397"/>
        <w:rPr>
          <w:rFonts w:hint="eastAsia" w:ascii="宋体"/>
          <w:b/>
          <w:color w:val="auto"/>
          <w:sz w:val="28"/>
          <w:szCs w:val="28"/>
          <w:highlight w:val="none"/>
        </w:rPr>
      </w:pPr>
      <w:r>
        <w:rPr>
          <w:rFonts w:hint="eastAsia" w:ascii="宋体"/>
          <w:b/>
          <w:color w:val="auto"/>
          <w:sz w:val="28"/>
          <w:szCs w:val="28"/>
          <w:highlight w:val="none"/>
        </w:rPr>
        <w:t>法定代表人有效身份证扫描件</w:t>
      </w:r>
    </w:p>
    <w:p w14:paraId="5FA0F8DD">
      <w:pPr>
        <w:adjustRightInd w:val="0"/>
        <w:snapToGrid w:val="0"/>
        <w:spacing w:line="560" w:lineRule="exact"/>
        <w:ind w:firstLine="560" w:firstLineChars="200"/>
        <w:rPr>
          <w:rFonts w:hint="eastAsia" w:ascii="宋体"/>
          <w:color w:val="auto"/>
          <w:sz w:val="28"/>
          <w:szCs w:val="28"/>
          <w:highlight w:val="none"/>
        </w:rPr>
      </w:pPr>
    </w:p>
    <w:p w14:paraId="7F8A2ABB">
      <w:pPr>
        <w:adjustRightInd w:val="0"/>
        <w:snapToGrid w:val="0"/>
        <w:spacing w:line="560" w:lineRule="exact"/>
        <w:ind w:firstLine="200"/>
        <w:rPr>
          <w:rFonts w:hint="eastAsia" w:ascii="宋体"/>
          <w:color w:val="auto"/>
          <w:sz w:val="28"/>
          <w:szCs w:val="28"/>
          <w:highlight w:val="none"/>
        </w:rPr>
      </w:pPr>
      <w:r>
        <w:rPr>
          <w:rFonts w:hint="eastAsia" w:ascii="宋体"/>
          <w:color w:val="auto"/>
          <w:sz w:val="28"/>
          <w:szCs w:val="28"/>
          <w:highlight w:val="none"/>
        </w:rPr>
        <w:t xml:space="preserve">                           投标人（签章）：</w:t>
      </w:r>
    </w:p>
    <w:p w14:paraId="1788B021">
      <w:pPr>
        <w:adjustRightInd w:val="0"/>
        <w:snapToGrid w:val="0"/>
        <w:spacing w:line="560" w:lineRule="exact"/>
        <w:ind w:firstLine="2660" w:firstLineChars="950"/>
        <w:rPr>
          <w:rFonts w:hint="eastAsia" w:ascii="宋体"/>
          <w:color w:val="auto"/>
          <w:sz w:val="28"/>
          <w:szCs w:val="28"/>
          <w:highlight w:val="none"/>
        </w:rPr>
      </w:pPr>
      <w:r>
        <w:rPr>
          <w:rFonts w:hint="eastAsia" w:ascii="宋体"/>
          <w:color w:val="auto"/>
          <w:sz w:val="28"/>
          <w:szCs w:val="28"/>
          <w:highlight w:val="none"/>
        </w:rPr>
        <w:t>法定代表人（身份证号码）：             （签章）</w:t>
      </w:r>
    </w:p>
    <w:p w14:paraId="48941F23">
      <w:pPr>
        <w:pStyle w:val="19"/>
        <w:rPr>
          <w:rFonts w:hint="eastAsia" w:ascii="宋体"/>
          <w:color w:val="auto"/>
          <w:sz w:val="28"/>
          <w:szCs w:val="28"/>
          <w:highlight w:val="none"/>
        </w:rPr>
      </w:pPr>
      <w:r>
        <w:rPr>
          <w:rFonts w:hint="eastAsia"/>
          <w:color w:val="auto"/>
          <w:highlight w:val="none"/>
        </w:rPr>
        <w:t xml:space="preserve">                                 </w:t>
      </w:r>
      <w:r>
        <w:rPr>
          <w:rFonts w:hint="eastAsia" w:ascii="宋体"/>
          <w:color w:val="auto"/>
          <w:sz w:val="28"/>
          <w:szCs w:val="28"/>
          <w:highlight w:val="none"/>
        </w:rPr>
        <w:t xml:space="preserve">    联系方式：</w:t>
      </w:r>
    </w:p>
    <w:p w14:paraId="1E130BD2">
      <w:pPr>
        <w:adjustRightInd w:val="0"/>
        <w:snapToGrid w:val="0"/>
        <w:spacing w:line="560" w:lineRule="exact"/>
        <w:ind w:firstLine="2660" w:firstLineChars="950"/>
        <w:rPr>
          <w:rFonts w:hint="eastAsia" w:ascii="宋体"/>
          <w:color w:val="auto"/>
          <w:sz w:val="28"/>
          <w:szCs w:val="28"/>
          <w:highlight w:val="none"/>
        </w:rPr>
      </w:pPr>
      <w:r>
        <w:rPr>
          <w:rFonts w:hint="eastAsia" w:ascii="宋体"/>
          <w:color w:val="auto"/>
          <w:sz w:val="28"/>
          <w:szCs w:val="28"/>
          <w:highlight w:val="none"/>
        </w:rPr>
        <w:t xml:space="preserve">委托代理人（身份证号码）：      </w:t>
      </w:r>
    </w:p>
    <w:p w14:paraId="3ACD3DD8">
      <w:pPr>
        <w:adjustRightInd w:val="0"/>
        <w:snapToGrid w:val="0"/>
        <w:spacing w:line="560" w:lineRule="exact"/>
        <w:ind w:firstLine="2660" w:firstLineChars="950"/>
        <w:rPr>
          <w:rFonts w:hint="eastAsia" w:ascii="宋体"/>
          <w:color w:val="auto"/>
          <w:sz w:val="28"/>
          <w:szCs w:val="28"/>
          <w:highlight w:val="none"/>
        </w:rPr>
      </w:pPr>
      <w:r>
        <w:rPr>
          <w:rFonts w:hint="eastAsia" w:ascii="宋体"/>
          <w:color w:val="auto"/>
          <w:sz w:val="28"/>
          <w:szCs w:val="28"/>
          <w:highlight w:val="none"/>
        </w:rPr>
        <w:t xml:space="preserve">                联系方式：</w:t>
      </w:r>
    </w:p>
    <w:p w14:paraId="37BEBEB3">
      <w:pPr>
        <w:adjustRightInd w:val="0"/>
        <w:snapToGrid w:val="0"/>
        <w:spacing w:line="560" w:lineRule="exact"/>
        <w:ind w:firstLine="3290" w:firstLineChars="1175"/>
        <w:rPr>
          <w:rFonts w:hint="eastAsia" w:ascii="宋体"/>
          <w:color w:val="auto"/>
          <w:sz w:val="28"/>
          <w:szCs w:val="28"/>
          <w:highlight w:val="none"/>
        </w:rPr>
      </w:pPr>
      <w:r>
        <w:rPr>
          <w:rFonts w:hint="eastAsia" w:ascii="宋体"/>
          <w:color w:val="auto"/>
          <w:sz w:val="28"/>
          <w:szCs w:val="28"/>
          <w:highlight w:val="none"/>
        </w:rPr>
        <w:t xml:space="preserve">              年    月    日</w:t>
      </w:r>
    </w:p>
    <w:p w14:paraId="53D90C2F">
      <w:pPr>
        <w:pStyle w:val="19"/>
        <w:rPr>
          <w:rFonts w:hint="eastAsia"/>
          <w:color w:val="auto"/>
          <w:highlight w:val="none"/>
        </w:rPr>
      </w:pPr>
    </w:p>
    <w:p w14:paraId="16B59EBD">
      <w:pPr>
        <w:adjustRightInd w:val="0"/>
        <w:snapToGrid w:val="0"/>
        <w:spacing w:line="560" w:lineRule="exact"/>
        <w:rPr>
          <w:rFonts w:hint="eastAsia"/>
          <w:b/>
          <w:color w:val="auto"/>
          <w:sz w:val="28"/>
          <w:szCs w:val="28"/>
          <w:highlight w:val="none"/>
        </w:rPr>
      </w:pPr>
      <w:r>
        <w:rPr>
          <w:rFonts w:hint="eastAsia"/>
          <w:b/>
          <w:color w:val="auto"/>
          <w:sz w:val="28"/>
          <w:szCs w:val="28"/>
          <w:highlight w:val="none"/>
          <w:u w:val="single"/>
        </w:rPr>
        <w:t>（上传电子投标文件时采用本授权委托书）</w:t>
      </w:r>
    </w:p>
    <w:p w14:paraId="0CEC3E51">
      <w:pPr>
        <w:adjustRightInd w:val="0"/>
        <w:snapToGrid w:val="0"/>
        <w:spacing w:line="560" w:lineRule="exact"/>
        <w:jc w:val="center"/>
        <w:rPr>
          <w:rFonts w:hint="eastAsia"/>
          <w:b/>
          <w:color w:val="auto"/>
          <w:sz w:val="28"/>
          <w:szCs w:val="28"/>
          <w:highlight w:val="none"/>
        </w:rPr>
      </w:pPr>
    </w:p>
    <w:p w14:paraId="29EA5F29">
      <w:pPr>
        <w:adjustRightInd w:val="0"/>
        <w:snapToGrid w:val="0"/>
        <w:spacing w:line="560" w:lineRule="exact"/>
        <w:jc w:val="center"/>
        <w:rPr>
          <w:rFonts w:hint="eastAsia"/>
          <w:b/>
          <w:color w:val="auto"/>
          <w:sz w:val="28"/>
          <w:szCs w:val="28"/>
          <w:highlight w:val="none"/>
        </w:rPr>
      </w:pPr>
    </w:p>
    <w:p w14:paraId="465BC7C5">
      <w:pPr>
        <w:adjustRightInd w:val="0"/>
        <w:snapToGrid w:val="0"/>
        <w:spacing w:line="560" w:lineRule="exact"/>
        <w:jc w:val="center"/>
        <w:rPr>
          <w:rFonts w:hint="eastAsia"/>
          <w:b/>
          <w:color w:val="auto"/>
          <w:sz w:val="28"/>
          <w:szCs w:val="28"/>
          <w:highlight w:val="none"/>
        </w:rPr>
      </w:pPr>
    </w:p>
    <w:p w14:paraId="2A02AE8F">
      <w:pPr>
        <w:adjustRightInd w:val="0"/>
        <w:snapToGrid w:val="0"/>
        <w:spacing w:line="560" w:lineRule="exact"/>
        <w:jc w:val="center"/>
        <w:rPr>
          <w:rFonts w:hint="eastAsia"/>
          <w:b/>
          <w:color w:val="auto"/>
          <w:sz w:val="28"/>
          <w:szCs w:val="28"/>
          <w:highlight w:val="none"/>
        </w:rPr>
      </w:pPr>
    </w:p>
    <w:p w14:paraId="0550F906">
      <w:pPr>
        <w:adjustRightInd w:val="0"/>
        <w:snapToGrid w:val="0"/>
        <w:spacing w:line="560" w:lineRule="exact"/>
        <w:jc w:val="center"/>
        <w:rPr>
          <w:rFonts w:hint="eastAsia"/>
          <w:b/>
          <w:color w:val="auto"/>
          <w:sz w:val="28"/>
          <w:szCs w:val="28"/>
          <w:highlight w:val="none"/>
        </w:rPr>
      </w:pPr>
    </w:p>
    <w:p w14:paraId="6C6DF074">
      <w:pPr>
        <w:adjustRightInd w:val="0"/>
        <w:snapToGrid w:val="0"/>
        <w:spacing w:line="560" w:lineRule="exact"/>
        <w:jc w:val="center"/>
        <w:rPr>
          <w:rFonts w:hint="eastAsia"/>
          <w:b/>
          <w:color w:val="auto"/>
          <w:sz w:val="28"/>
          <w:szCs w:val="28"/>
          <w:highlight w:val="none"/>
        </w:rPr>
      </w:pPr>
    </w:p>
    <w:p w14:paraId="01D17A29">
      <w:pPr>
        <w:adjustRightInd w:val="0"/>
        <w:snapToGrid w:val="0"/>
        <w:spacing w:line="560" w:lineRule="exact"/>
        <w:jc w:val="center"/>
        <w:rPr>
          <w:rFonts w:hint="eastAsia"/>
          <w:b/>
          <w:color w:val="auto"/>
          <w:sz w:val="28"/>
          <w:szCs w:val="28"/>
          <w:highlight w:val="none"/>
        </w:rPr>
      </w:pPr>
    </w:p>
    <w:p w14:paraId="47AC2BCB">
      <w:pPr>
        <w:adjustRightInd w:val="0"/>
        <w:snapToGrid w:val="0"/>
        <w:spacing w:line="560" w:lineRule="exact"/>
        <w:jc w:val="center"/>
        <w:rPr>
          <w:rFonts w:hint="eastAsia"/>
          <w:b/>
          <w:color w:val="auto"/>
          <w:sz w:val="28"/>
          <w:szCs w:val="28"/>
          <w:highlight w:val="none"/>
        </w:rPr>
      </w:pPr>
      <w:r>
        <w:rPr>
          <w:rFonts w:hint="eastAsia"/>
          <w:b/>
          <w:color w:val="auto"/>
          <w:sz w:val="28"/>
          <w:szCs w:val="28"/>
          <w:highlight w:val="none"/>
        </w:rPr>
        <w:t>②诚信投标承诺书  </w:t>
      </w:r>
    </w:p>
    <w:p w14:paraId="1BCCD964">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本人以企业法定代表人的身份郑重承诺：</w:t>
      </w:r>
    </w:p>
    <w:p w14:paraId="7D47F43B">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一、将遵循公</w:t>
      </w:r>
      <w:bookmarkStart w:id="1507" w:name="_Toc503196197"/>
      <w:bookmarkStart w:id="1508" w:name="_Toc506107356"/>
      <w:bookmarkStart w:id="1509" w:name="_Toc26598"/>
      <w:r>
        <w:rPr>
          <w:rFonts w:hint="eastAsia" w:ascii="宋体" w:hAnsi="宋体"/>
          <w:color w:val="auto"/>
          <w:szCs w:val="21"/>
          <w:highlight w:val="none"/>
        </w:rPr>
        <w:t>开、公正和诚实信用</w:t>
      </w:r>
      <w:bookmarkEnd w:id="1507"/>
      <w:bookmarkEnd w:id="1508"/>
      <w:r>
        <w:rPr>
          <w:rFonts w:hint="eastAsia" w:ascii="宋体" w:hAnsi="宋体"/>
          <w:color w:val="auto"/>
          <w:szCs w:val="21"/>
          <w:highlight w:val="none"/>
        </w:rPr>
        <w:t>的</w:t>
      </w:r>
      <w:bookmarkEnd w:id="1509"/>
      <w:r>
        <w:rPr>
          <w:rFonts w:hint="eastAsia" w:ascii="宋体" w:hAnsi="宋体"/>
          <w:color w:val="auto"/>
          <w:szCs w:val="21"/>
          <w:highlight w:val="none"/>
        </w:rPr>
        <w:t>原则自愿参加</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项目的投标；</w:t>
      </w:r>
    </w:p>
    <w:p w14:paraId="673720DD">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二、所提供的一切材料都是真实、合法的；</w:t>
      </w:r>
    </w:p>
    <w:p w14:paraId="0D627687">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三、不出借、转让资质证书，不让他人挂靠投标，不以他人名义投标或者以其他方式弄虚作假，骗取中标；</w:t>
      </w:r>
    </w:p>
    <w:p w14:paraId="7379776C">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四、不与其他投标人相互串通投标报价，不排挤其他投标人的公平竞争、损害招标人的合法权益；</w:t>
      </w:r>
    </w:p>
    <w:p w14:paraId="73504730">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五、不与招标人、招标代理机构或其他投标人串通投标，损害国家利益、社会公共利益或者他人的合法权益；</w:t>
      </w:r>
    </w:p>
    <w:p w14:paraId="7968FBBA">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六、</w:t>
      </w:r>
      <w:r>
        <w:rPr>
          <w:rFonts w:hint="eastAsia" w:ascii="宋体" w:hAnsi="宋体"/>
          <w:color w:val="auto"/>
          <w:szCs w:val="21"/>
          <w:highlight w:val="none"/>
          <w:u w:val="single"/>
        </w:rPr>
        <w:t xml:space="preserve">      （企业名称）</w:t>
      </w:r>
      <w:r>
        <w:rPr>
          <w:rFonts w:hint="eastAsia" w:ascii="宋体" w:hAnsi="宋体"/>
          <w:color w:val="auto"/>
          <w:szCs w:val="21"/>
          <w:highlight w:val="none"/>
        </w:rPr>
        <w:t xml:space="preserve">或 </w:t>
      </w:r>
      <w:r>
        <w:rPr>
          <w:rFonts w:hint="eastAsia" w:ascii="宋体" w:hAnsi="宋体"/>
          <w:color w:val="auto"/>
          <w:szCs w:val="21"/>
          <w:highlight w:val="none"/>
          <w:u w:val="single"/>
        </w:rPr>
        <w:t xml:space="preserve">      （企业名称）</w:t>
      </w:r>
      <w:r>
        <w:rPr>
          <w:rFonts w:hint="eastAsia" w:ascii="宋体" w:hAnsi="宋体"/>
          <w:color w:val="auto"/>
          <w:szCs w:val="21"/>
          <w:highlight w:val="none"/>
        </w:rPr>
        <w:t>法定代表人</w:t>
      </w:r>
      <w:r>
        <w:rPr>
          <w:rFonts w:hint="eastAsia" w:ascii="宋体" w:hAnsi="宋体"/>
          <w:color w:val="auto"/>
          <w:szCs w:val="21"/>
          <w:highlight w:val="none"/>
          <w:u w:val="single"/>
        </w:rPr>
        <w:t xml:space="preserve">       </w:t>
      </w:r>
      <w:r>
        <w:rPr>
          <w:rFonts w:hint="eastAsia" w:ascii="宋体" w:hAnsi="宋体"/>
          <w:color w:val="auto"/>
          <w:szCs w:val="21"/>
          <w:highlight w:val="none"/>
        </w:rPr>
        <w:t>或拟派项目经理（负责人）</w:t>
      </w:r>
      <w:r>
        <w:rPr>
          <w:rFonts w:hint="eastAsia" w:ascii="宋体" w:hAnsi="宋体"/>
          <w:color w:val="auto"/>
          <w:szCs w:val="21"/>
          <w:highlight w:val="none"/>
          <w:u w:val="single"/>
        </w:rPr>
        <w:t xml:space="preserve">      </w:t>
      </w:r>
      <w:r>
        <w:rPr>
          <w:rFonts w:hint="eastAsia" w:ascii="宋体" w:hAnsi="宋体"/>
          <w:color w:val="auto"/>
          <w:szCs w:val="21"/>
          <w:highlight w:val="none"/>
        </w:rPr>
        <w:t>没有下列情形：</w:t>
      </w:r>
      <w:bookmarkStart w:id="1510" w:name="OLE_LINK134"/>
      <w:bookmarkStart w:id="1511" w:name="OLE_LINK133"/>
      <w:r>
        <w:rPr>
          <w:rFonts w:hint="eastAsia" w:ascii="宋体" w:hAnsi="宋体"/>
          <w:color w:val="000000"/>
          <w:szCs w:val="21"/>
        </w:rPr>
        <w:t>①被列入“信用中国”网站“失信被执行人”的;②被列入“信用中国”网站“重大税收违法失信主体”的；③被列入“信用中国”网站“拖欠农民工工资失信联合惩戒对象名单”的；④被列入“信用中国”网站“严重失信主体名单”的；⑤在“信用中国”网站上披露的仍在公示期的严重失信行为(具体行为类别及判定依据见附件2)的。⑥被列入国家企业信用信息公示系统网站“经营异常名录”或者“严重违法失信名单”的。⑦前三年有行贿犯罪行为的单位和个人；⑧被滁州市县两级公管部门及各行业主管部门取消在一定期限内的投标资格且在取消期限内的；⑨因拖欠农民工工资被县级及以上有关行政主管部门限制投标资格且在限制期限内的；⑩被列入省级、市级农民工工资支付异常名录的施工企业，在限制其参加全市范围内房建和市政工程建设项目投标的期限内的；列入县级异常名录的施工企业，在限制其参加本行政区域内房建和市政建设项目投标的期限内的。</w:t>
      </w:r>
      <w:r>
        <w:rPr>
          <w:rFonts w:hint="eastAsia"/>
          <w:color w:val="000000"/>
          <w:szCs w:val="21"/>
        </w:rPr>
        <w:t>（</w:t>
      </w:r>
      <w:bookmarkEnd w:id="1510"/>
      <w:bookmarkEnd w:id="1511"/>
      <w:r>
        <w:rPr>
          <w:rFonts w:hint="eastAsia"/>
          <w:color w:val="000000"/>
          <w:szCs w:val="21"/>
        </w:rPr>
        <w:t>若招标文件对投标人所属分公司、办事处等分支机构有上述</w:t>
      </w:r>
      <w:r>
        <w:rPr>
          <w:color w:val="000000"/>
          <w:szCs w:val="21"/>
        </w:rPr>
        <w:t>1-10</w:t>
      </w:r>
      <w:r>
        <w:rPr>
          <w:rFonts w:hint="eastAsia"/>
          <w:color w:val="000000"/>
          <w:szCs w:val="21"/>
        </w:rPr>
        <w:t>项信誉要求，在此一并承诺我公司所属分公司、办事处等分支机构没有上述</w:t>
      </w:r>
      <w:r>
        <w:rPr>
          <w:color w:val="000000"/>
          <w:szCs w:val="21"/>
        </w:rPr>
        <w:t>1-10</w:t>
      </w:r>
      <w:r>
        <w:rPr>
          <w:rFonts w:hint="eastAsia"/>
          <w:color w:val="000000"/>
          <w:szCs w:val="21"/>
        </w:rPr>
        <w:t>项情形）</w:t>
      </w:r>
    </w:p>
    <w:p w14:paraId="02A5317A">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七、严格遵守开标现场纪律，服从监管人员管理；</w:t>
      </w:r>
    </w:p>
    <w:p w14:paraId="297ECCEC">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八、保证中标后不转包及使用挂靠施工队伍，若有分包征得建设单位同意；</w:t>
      </w:r>
    </w:p>
    <w:p w14:paraId="353F904A">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九、保证中标之后，按照投标文件承诺派驻管理人员及投入机械设备，如有违反，同意接受建设单位违约处罚；</w:t>
      </w:r>
    </w:p>
    <w:p w14:paraId="564C7575">
      <w:pPr>
        <w:adjustRightInd w:val="0"/>
        <w:snapToGrid w:val="0"/>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十、保证企业及所属相关人员在本次投标中无行贿等犯罪行为；</w:t>
      </w:r>
    </w:p>
    <w:p w14:paraId="78B56E04">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十一、如我公司中标，保证中标的项目经理（建造师）无其他尚未完工（以竣工、交工、完工验收报告等手续为准）项目或在已中标项目（以发放中标通知书为准）中担任项目经理（建造师）情形。如有，项目在滁州市区域内的，接受中标无效、记入不良行为记录等处理；项目在滁州市区域外的，保证在中标候选人公示期第一日起开始计算7日内，提供经行政主管部门备案的变更证明材料，否则接受中标无效、记入不良行为记录等处理；</w:t>
      </w:r>
    </w:p>
    <w:p w14:paraId="0B9B1E19">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十二、如在投标过程和公示期间发生投诉行为，依法进行投诉。投诉内容符合要求，投诉材料加盖企业公章或由法定代表人授权委托人签字，并附有关身份证明复印件。不恶意投诉，对本公司提供的投诉线索的真实性负责，否则愿接受有关部门的处罚；</w:t>
      </w:r>
    </w:p>
    <w:p w14:paraId="6CC8768B">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十三、如我公司中标，按照国务院《关于全面治理拖欠农民工工资问题的意见》（国办发[2016]1号）及国家住建部和人社部关于《建筑工人实名制管理办法》（建市[2019]18号）的规定，总承包单位对所承建的工程项目的建筑工人实名制管理负总责，对建筑工人实行实名制管理；实行人工费用与其他工程款分账管理制度；建筑工程承包单位必须开设农民工工资专户；建设单位在支付工程款时，应将人工费部分按规定汇入建筑工程承包单位的农民工工资专户，由建筑工程承包单位按劳动合同约定，通过农民工工资专户按月足额将工资发放给建筑工人；</w:t>
      </w:r>
    </w:p>
    <w:p w14:paraId="31D2B100">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十四、我公司拟任项目经理（建造师）不是投标截止时间前六个月内在滁州市区域内办理过项目经理（建造师）变更备案手续的原项目经理（建造师）。</w:t>
      </w:r>
    </w:p>
    <w:p w14:paraId="2F6AE119">
      <w:pPr>
        <w:adjustRightInd w:val="0"/>
        <w:snapToGrid w:val="0"/>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 以上内容我已仔细阅读，本公司若有违反承诺内容的行为，自愿接受取消投标或者中标资格、中标无效、记入不良行为记录等有关处理，愿意承担法律责任，给招标人造成损失的，承担赔偿责任。</w:t>
      </w:r>
    </w:p>
    <w:p w14:paraId="146E9827">
      <w:pPr>
        <w:adjustRightInd w:val="0"/>
        <w:snapToGrid w:val="0"/>
        <w:spacing w:line="560" w:lineRule="exact"/>
        <w:rPr>
          <w:rFonts w:hint="eastAsia" w:ascii="宋体" w:hAnsi="宋体"/>
          <w:color w:val="auto"/>
          <w:szCs w:val="21"/>
          <w:highlight w:val="none"/>
        </w:rPr>
      </w:pPr>
    </w:p>
    <w:p w14:paraId="192BA69B">
      <w:pPr>
        <w:adjustRightInd w:val="0"/>
        <w:snapToGrid w:val="0"/>
        <w:spacing w:line="56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开户银行：</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基本账户：                             </w:t>
      </w:r>
    </w:p>
    <w:p w14:paraId="15822B10">
      <w:pPr>
        <w:adjustRightInd w:val="0"/>
        <w:snapToGrid w:val="0"/>
        <w:spacing w:line="560" w:lineRule="exact"/>
        <w:rPr>
          <w:rFonts w:ascii="宋体" w:hAnsi="宋体"/>
          <w:color w:val="auto"/>
          <w:szCs w:val="21"/>
          <w:highlight w:val="none"/>
        </w:rPr>
      </w:pPr>
    </w:p>
    <w:p w14:paraId="353F78DB">
      <w:pPr>
        <w:adjustRightInd w:val="0"/>
        <w:snapToGrid w:val="0"/>
        <w:spacing w:line="56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 xml:space="preserve">投标人（签章）：  </w:t>
      </w:r>
      <w:r>
        <w:rPr>
          <w:rFonts w:hint="eastAsia" w:ascii="宋体" w:hAnsi="宋体"/>
          <w:color w:val="auto"/>
          <w:szCs w:val="21"/>
          <w:highlight w:val="none"/>
          <w:u w:val="single"/>
        </w:rPr>
        <w:t xml:space="preserve">        </w:t>
      </w:r>
      <w:r>
        <w:rPr>
          <w:rFonts w:hint="eastAsia" w:ascii="宋体" w:hAnsi="宋体"/>
          <w:color w:val="auto"/>
          <w:szCs w:val="21"/>
          <w:highlight w:val="none"/>
        </w:rPr>
        <w:t>法定代表人（签章）：</w:t>
      </w:r>
      <w:r>
        <w:rPr>
          <w:rFonts w:hint="eastAsia" w:ascii="宋体" w:hAnsi="宋体"/>
          <w:color w:val="auto"/>
          <w:szCs w:val="21"/>
          <w:highlight w:val="none"/>
          <w:u w:val="single"/>
        </w:rPr>
        <w:t xml:space="preserve">                           </w:t>
      </w:r>
    </w:p>
    <w:p w14:paraId="5A3A6A5C">
      <w:pPr>
        <w:adjustRightInd w:val="0"/>
        <w:snapToGrid w:val="0"/>
        <w:spacing w:line="560" w:lineRule="exact"/>
        <w:rPr>
          <w:rFonts w:hint="eastAsia" w:ascii="宋体" w:hAnsi="宋体"/>
          <w:color w:val="auto"/>
          <w:szCs w:val="21"/>
          <w:highlight w:val="none"/>
        </w:rPr>
      </w:pPr>
    </w:p>
    <w:p w14:paraId="2C61CD5D">
      <w:pPr>
        <w:pStyle w:val="19"/>
        <w:rPr>
          <w:rFonts w:hint="eastAsia"/>
          <w:color w:val="auto"/>
          <w:highlight w:val="none"/>
        </w:rPr>
      </w:pPr>
      <w:r>
        <w:rPr>
          <w:rFonts w:hint="eastAsia" w:ascii="宋体" w:hAnsi="宋体"/>
          <w:color w:val="auto"/>
          <w:szCs w:val="21"/>
          <w:highlight w:val="none"/>
        </w:rPr>
        <w:t>日期：</w:t>
      </w:r>
      <w:r>
        <w:rPr>
          <w:rFonts w:ascii="宋体" w:hAnsi="宋体"/>
          <w:color w:val="auto"/>
          <w:szCs w:val="21"/>
          <w:highlight w:val="none"/>
          <w:u w:val="single"/>
        </w:rPr>
        <w:t xml:space="preserve">           </w:t>
      </w:r>
      <w:r>
        <w:rPr>
          <w:rFonts w:hint="eastAsia" w:ascii="宋体" w:hAnsi="宋体"/>
          <w:color w:val="auto"/>
          <w:szCs w:val="21"/>
          <w:highlight w:val="none"/>
        </w:rPr>
        <w:t>年</w:t>
      </w:r>
      <w:r>
        <w:rPr>
          <w:rFonts w:ascii="宋体" w:hAnsi="宋体"/>
          <w:color w:val="auto"/>
          <w:szCs w:val="21"/>
          <w:highlight w:val="non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月</w:t>
      </w:r>
      <w:r>
        <w:rPr>
          <w:rFonts w:ascii="宋体" w:hAnsi="宋体"/>
          <w:color w:val="auto"/>
          <w:szCs w:val="21"/>
          <w:highlight w:val="non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日</w:t>
      </w:r>
    </w:p>
    <w:p w14:paraId="0A30B666">
      <w:pPr>
        <w:adjustRightInd w:val="0"/>
        <w:snapToGrid w:val="0"/>
        <w:spacing w:line="560" w:lineRule="exact"/>
        <w:jc w:val="both"/>
        <w:rPr>
          <w:rFonts w:hint="eastAsia"/>
          <w:b/>
          <w:color w:val="auto"/>
          <w:sz w:val="28"/>
          <w:szCs w:val="28"/>
          <w:highlight w:val="none"/>
        </w:rPr>
      </w:pPr>
    </w:p>
    <w:p w14:paraId="017338AB">
      <w:pPr>
        <w:rPr>
          <w:rFonts w:hint="eastAsia"/>
          <w:color w:val="auto"/>
          <w:highlight w:val="none"/>
        </w:rPr>
      </w:pPr>
    </w:p>
    <w:p w14:paraId="74D7DDB7">
      <w:pPr>
        <w:adjustRightInd w:val="0"/>
        <w:snapToGrid w:val="0"/>
        <w:spacing w:line="560" w:lineRule="exact"/>
        <w:jc w:val="center"/>
        <w:rPr>
          <w:rFonts w:hint="eastAsia"/>
          <w:b/>
          <w:color w:val="auto"/>
          <w:sz w:val="28"/>
          <w:szCs w:val="28"/>
          <w:highlight w:val="none"/>
        </w:rPr>
      </w:pPr>
      <w:r>
        <w:rPr>
          <w:rFonts w:hint="eastAsia"/>
          <w:b/>
          <w:color w:val="auto"/>
          <w:sz w:val="28"/>
          <w:szCs w:val="28"/>
          <w:highlight w:val="none"/>
        </w:rPr>
        <w:t>②公共信用信息报告（无违法违规证明版或核查版））</w:t>
      </w:r>
    </w:p>
    <w:p w14:paraId="08F5E8B9">
      <w:pPr>
        <w:pStyle w:val="19"/>
        <w:spacing w:after="0" w:line="560" w:lineRule="exact"/>
        <w:ind w:left="0" w:leftChars="0"/>
        <w:rPr>
          <w:rFonts w:hint="eastAsia" w:ascii="宋体" w:hAnsi="宋体"/>
          <w:color w:val="auto"/>
          <w:szCs w:val="21"/>
          <w:highlight w:val="none"/>
        </w:rPr>
      </w:pPr>
      <w:r>
        <w:rPr>
          <w:rFonts w:hint="eastAsia" w:ascii="宋体" w:hAnsi="宋体"/>
          <w:color w:val="auto"/>
          <w:szCs w:val="21"/>
          <w:highlight w:val="none"/>
        </w:rPr>
        <w:t>符合条件的投标人可在信用中国（安徽）网站（网址</w:t>
      </w:r>
      <w:r>
        <w:rPr>
          <w:rFonts w:ascii="宋体" w:hAnsi="宋体"/>
          <w:color w:val="auto"/>
          <w:szCs w:val="21"/>
          <w:highlight w:val="none"/>
        </w:rPr>
        <w:fldChar w:fldCharType="begin"/>
      </w:r>
      <w:r>
        <w:rPr>
          <w:rFonts w:ascii="宋体" w:hAnsi="宋体"/>
          <w:color w:val="auto"/>
          <w:szCs w:val="21"/>
          <w:highlight w:val="none"/>
        </w:rPr>
        <w:instrText xml:space="preserve"> HYPERLINK "https://credit.ah.gov.cn/xinyongfuwu/index.html" </w:instrText>
      </w:r>
      <w:r>
        <w:rPr>
          <w:rFonts w:ascii="宋体" w:hAnsi="宋体"/>
          <w:color w:val="auto"/>
          <w:szCs w:val="21"/>
          <w:highlight w:val="none"/>
        </w:rPr>
        <w:fldChar w:fldCharType="separate"/>
      </w:r>
      <w:r>
        <w:rPr>
          <w:rStyle w:val="30"/>
          <w:rFonts w:ascii="宋体" w:hAnsi="宋体"/>
          <w:color w:val="auto"/>
          <w:szCs w:val="21"/>
          <w:highlight w:val="none"/>
        </w:rPr>
        <w:t>https://credit.ah.gov.cn/xinyongfuwu/index.html</w:t>
      </w:r>
      <w:r>
        <w:rPr>
          <w:rFonts w:ascii="宋体" w:hAnsi="宋体"/>
          <w:color w:val="auto"/>
          <w:szCs w:val="21"/>
          <w:highlight w:val="none"/>
        </w:rPr>
        <w:fldChar w:fldCharType="end"/>
      </w:r>
      <w:r>
        <w:rPr>
          <w:rFonts w:hint="eastAsia" w:ascii="宋体" w:hAnsi="宋体"/>
          <w:color w:val="auto"/>
          <w:szCs w:val="21"/>
          <w:highlight w:val="none"/>
        </w:rPr>
        <w:t>），获取信用报告（无违法违规证明版或核查版）并上传至投标文件中。</w:t>
      </w:r>
    </w:p>
    <w:p w14:paraId="3E781571">
      <w:pPr>
        <w:rPr>
          <w:rFonts w:hint="eastAsia"/>
          <w:b/>
          <w:color w:val="auto"/>
          <w:sz w:val="28"/>
          <w:szCs w:val="28"/>
          <w:highlight w:val="none"/>
        </w:rPr>
      </w:pPr>
    </w:p>
    <w:p w14:paraId="68C5A857">
      <w:pPr>
        <w:rPr>
          <w:rFonts w:hint="eastAsia"/>
          <w:b/>
          <w:color w:val="auto"/>
          <w:sz w:val="28"/>
          <w:szCs w:val="28"/>
          <w:highlight w:val="none"/>
        </w:rPr>
      </w:pPr>
    </w:p>
    <w:p w14:paraId="436B6D46">
      <w:pPr>
        <w:adjustRightInd w:val="0"/>
        <w:snapToGrid w:val="0"/>
        <w:spacing w:line="560" w:lineRule="exact"/>
        <w:jc w:val="center"/>
        <w:rPr>
          <w:rFonts w:ascii="Cambria Math" w:hAnsi="Cambria Math" w:cs="Cambria Math"/>
          <w:b/>
          <w:bCs/>
          <w:color w:val="auto"/>
          <w:sz w:val="32"/>
          <w:szCs w:val="32"/>
          <w:highlight w:val="none"/>
        </w:rPr>
        <w:sectPr>
          <w:pgSz w:w="11910" w:h="16840"/>
          <w:pgMar w:top="1060" w:right="660" w:bottom="1020" w:left="1120" w:header="0" w:footer="833" w:gutter="0"/>
          <w:pgNumType w:fmt="numberInDash"/>
          <w:cols w:space="720" w:num="1"/>
        </w:sectPr>
      </w:pPr>
    </w:p>
    <w:p w14:paraId="2EEB0EBF">
      <w:pPr>
        <w:adjustRightInd w:val="0"/>
        <w:snapToGrid w:val="0"/>
        <w:spacing w:line="560" w:lineRule="exact"/>
        <w:jc w:val="center"/>
        <w:rPr>
          <w:rFonts w:hint="eastAsia" w:ascii="Cambria Math" w:hAnsi="Cambria Math" w:cs="Cambria Math"/>
          <w:b/>
          <w:bCs/>
          <w:color w:val="auto"/>
          <w:sz w:val="32"/>
          <w:szCs w:val="32"/>
          <w:highlight w:val="none"/>
        </w:rPr>
      </w:pPr>
    </w:p>
    <w:p w14:paraId="58AEC5B3">
      <w:pPr>
        <w:adjustRightInd w:val="0"/>
        <w:snapToGrid w:val="0"/>
        <w:spacing w:line="560" w:lineRule="exact"/>
        <w:jc w:val="center"/>
        <w:rPr>
          <w:rFonts w:hint="eastAsia" w:ascii="Cambria Math" w:hAnsi="Cambria Math" w:cs="Cambria Math"/>
          <w:b/>
          <w:bCs/>
          <w:color w:val="auto"/>
          <w:sz w:val="32"/>
          <w:szCs w:val="32"/>
          <w:highlight w:val="none"/>
        </w:rPr>
      </w:pPr>
    </w:p>
    <w:p w14:paraId="0B7077DF">
      <w:pPr>
        <w:adjustRightInd w:val="0"/>
        <w:snapToGrid w:val="0"/>
        <w:spacing w:line="560" w:lineRule="exact"/>
        <w:jc w:val="center"/>
        <w:rPr>
          <w:rFonts w:hint="eastAsia" w:ascii="Cambria Math" w:hAnsi="Cambria Math" w:cs="Cambria Math"/>
          <w:b/>
          <w:bCs/>
          <w:color w:val="auto"/>
          <w:sz w:val="32"/>
          <w:szCs w:val="32"/>
          <w:highlight w:val="none"/>
        </w:rPr>
      </w:pPr>
    </w:p>
    <w:p w14:paraId="2FC8663A">
      <w:pPr>
        <w:adjustRightInd w:val="0"/>
        <w:snapToGrid w:val="0"/>
        <w:spacing w:line="560" w:lineRule="exact"/>
        <w:jc w:val="center"/>
        <w:rPr>
          <w:rFonts w:hint="eastAsia" w:eastAsia="黑体"/>
          <w:color w:val="auto"/>
          <w:sz w:val="20"/>
          <w:szCs w:val="20"/>
          <w:highlight w:val="none"/>
        </w:rPr>
      </w:pPr>
      <w:r>
        <w:rPr>
          <w:rFonts w:hint="eastAsia" w:eastAsia="黑体"/>
          <w:color w:val="auto"/>
          <w:sz w:val="28"/>
          <w:szCs w:val="28"/>
          <w:highlight w:val="none"/>
          <w:u w:val="single"/>
        </w:rPr>
        <w:t xml:space="preserve">                </w:t>
      </w:r>
      <w:r>
        <w:rPr>
          <w:rFonts w:eastAsia="黑体"/>
          <w:color w:val="auto"/>
          <w:sz w:val="28"/>
          <w:szCs w:val="28"/>
          <w:highlight w:val="none"/>
        </w:rPr>
        <w:t>（项目名称）</w:t>
      </w:r>
    </w:p>
    <w:p w14:paraId="20208323">
      <w:pPr>
        <w:adjustRightInd w:val="0"/>
        <w:snapToGrid w:val="0"/>
        <w:spacing w:line="560" w:lineRule="exact"/>
        <w:jc w:val="center"/>
        <w:rPr>
          <w:rFonts w:hint="eastAsia" w:eastAsia="黑体"/>
          <w:color w:val="auto"/>
          <w:sz w:val="20"/>
          <w:szCs w:val="20"/>
          <w:highlight w:val="none"/>
        </w:rPr>
      </w:pPr>
    </w:p>
    <w:p w14:paraId="230628D9">
      <w:pPr>
        <w:adjustRightInd w:val="0"/>
        <w:snapToGrid w:val="0"/>
        <w:spacing w:line="560" w:lineRule="exact"/>
        <w:rPr>
          <w:rFonts w:hint="eastAsia" w:eastAsia="黑体"/>
          <w:color w:val="auto"/>
          <w:sz w:val="20"/>
          <w:szCs w:val="20"/>
          <w:highlight w:val="none"/>
        </w:rPr>
      </w:pPr>
    </w:p>
    <w:p w14:paraId="64B74E6A">
      <w:pPr>
        <w:adjustRightInd w:val="0"/>
        <w:snapToGrid w:val="0"/>
        <w:spacing w:line="560" w:lineRule="exact"/>
        <w:jc w:val="center"/>
        <w:rPr>
          <w:rFonts w:hint="eastAsia" w:eastAsia="黑体"/>
          <w:color w:val="auto"/>
          <w:sz w:val="44"/>
          <w:szCs w:val="44"/>
          <w:highlight w:val="none"/>
        </w:rPr>
      </w:pPr>
      <w:r>
        <w:rPr>
          <w:rFonts w:eastAsia="黑体"/>
          <w:color w:val="auto"/>
          <w:sz w:val="44"/>
          <w:szCs w:val="44"/>
          <w:highlight w:val="none"/>
        </w:rPr>
        <w:t>投  标  文  件</w:t>
      </w:r>
      <w:r>
        <w:rPr>
          <w:rFonts w:hint="eastAsia" w:eastAsia="黑体"/>
          <w:color w:val="auto"/>
          <w:sz w:val="44"/>
          <w:szCs w:val="44"/>
          <w:highlight w:val="none"/>
        </w:rPr>
        <w:t xml:space="preserve">  二</w:t>
      </w:r>
    </w:p>
    <w:p w14:paraId="74DA8397">
      <w:pPr>
        <w:adjustRightInd w:val="0"/>
        <w:snapToGrid w:val="0"/>
        <w:spacing w:line="560" w:lineRule="exact"/>
        <w:jc w:val="center"/>
        <w:rPr>
          <w:rFonts w:hint="eastAsia" w:eastAsia="黑体"/>
          <w:color w:val="auto"/>
          <w:sz w:val="44"/>
          <w:szCs w:val="44"/>
          <w:highlight w:val="none"/>
        </w:rPr>
      </w:pPr>
      <w:r>
        <w:rPr>
          <w:rFonts w:hint="eastAsia" w:eastAsia="黑体"/>
          <w:color w:val="auto"/>
          <w:sz w:val="44"/>
          <w:szCs w:val="44"/>
          <w:highlight w:val="none"/>
        </w:rPr>
        <w:t>（技术标文件）</w:t>
      </w:r>
    </w:p>
    <w:p w14:paraId="2F859190">
      <w:pPr>
        <w:adjustRightInd w:val="0"/>
        <w:snapToGrid w:val="0"/>
        <w:spacing w:line="560" w:lineRule="exact"/>
        <w:rPr>
          <w:rFonts w:eastAsia="黑体"/>
          <w:color w:val="auto"/>
          <w:sz w:val="28"/>
          <w:szCs w:val="28"/>
          <w:highlight w:val="none"/>
        </w:rPr>
      </w:pPr>
    </w:p>
    <w:p w14:paraId="19F425C7">
      <w:pPr>
        <w:adjustRightInd w:val="0"/>
        <w:snapToGrid w:val="0"/>
        <w:spacing w:line="560" w:lineRule="exact"/>
        <w:rPr>
          <w:rFonts w:eastAsia="黑体"/>
          <w:color w:val="auto"/>
          <w:sz w:val="28"/>
          <w:szCs w:val="28"/>
          <w:highlight w:val="none"/>
        </w:rPr>
      </w:pPr>
    </w:p>
    <w:p w14:paraId="526AFF62">
      <w:pPr>
        <w:adjustRightInd w:val="0"/>
        <w:snapToGrid w:val="0"/>
        <w:spacing w:line="560" w:lineRule="exact"/>
        <w:rPr>
          <w:rFonts w:eastAsia="黑体"/>
          <w:color w:val="auto"/>
          <w:sz w:val="28"/>
          <w:szCs w:val="28"/>
          <w:highlight w:val="none"/>
        </w:rPr>
      </w:pPr>
    </w:p>
    <w:p w14:paraId="7F54F1BF">
      <w:pPr>
        <w:adjustRightInd w:val="0"/>
        <w:snapToGrid w:val="0"/>
        <w:spacing w:line="560" w:lineRule="exact"/>
        <w:rPr>
          <w:rFonts w:eastAsia="黑体"/>
          <w:color w:val="auto"/>
          <w:sz w:val="28"/>
          <w:szCs w:val="28"/>
          <w:highlight w:val="none"/>
        </w:rPr>
      </w:pPr>
    </w:p>
    <w:p w14:paraId="17CDCF5B">
      <w:pPr>
        <w:adjustRightInd w:val="0"/>
        <w:snapToGrid w:val="0"/>
        <w:spacing w:line="560" w:lineRule="exact"/>
        <w:rPr>
          <w:rFonts w:hint="eastAsia" w:eastAsia="黑体"/>
          <w:color w:val="auto"/>
          <w:sz w:val="28"/>
          <w:szCs w:val="28"/>
          <w:highlight w:val="none"/>
        </w:rPr>
      </w:pPr>
    </w:p>
    <w:p w14:paraId="7A4C9B36">
      <w:pPr>
        <w:pStyle w:val="19"/>
        <w:rPr>
          <w:rFonts w:hint="eastAsia"/>
          <w:color w:val="auto"/>
          <w:highlight w:val="none"/>
        </w:rPr>
      </w:pPr>
    </w:p>
    <w:p w14:paraId="4C796D7E">
      <w:pPr>
        <w:rPr>
          <w:color w:val="auto"/>
          <w:highlight w:val="none"/>
        </w:rPr>
      </w:pPr>
    </w:p>
    <w:p w14:paraId="1DBAD518">
      <w:pPr>
        <w:adjustRightInd w:val="0"/>
        <w:snapToGrid w:val="0"/>
        <w:spacing w:line="560" w:lineRule="exact"/>
        <w:rPr>
          <w:rFonts w:eastAsia="黑体"/>
          <w:color w:val="auto"/>
          <w:sz w:val="28"/>
          <w:szCs w:val="28"/>
          <w:highlight w:val="none"/>
        </w:rPr>
      </w:pPr>
    </w:p>
    <w:p w14:paraId="563041A3">
      <w:pPr>
        <w:pStyle w:val="19"/>
        <w:adjustRightInd w:val="0"/>
        <w:snapToGrid w:val="0"/>
        <w:spacing w:after="0" w:line="560" w:lineRule="exact"/>
        <w:ind w:left="0" w:leftChars="0" w:firstLine="0" w:firstLineChars="0"/>
        <w:rPr>
          <w:color w:val="auto"/>
          <w:highlight w:val="none"/>
        </w:rPr>
      </w:pPr>
    </w:p>
    <w:p w14:paraId="513533D0">
      <w:pPr>
        <w:adjustRightInd w:val="0"/>
        <w:snapToGrid w:val="0"/>
        <w:spacing w:line="560" w:lineRule="exact"/>
        <w:rPr>
          <w:rFonts w:hint="eastAsia" w:eastAsia="黑体"/>
          <w:color w:val="auto"/>
          <w:sz w:val="28"/>
          <w:szCs w:val="28"/>
          <w:highlight w:val="none"/>
        </w:rPr>
      </w:pPr>
    </w:p>
    <w:p w14:paraId="5B19584F">
      <w:pPr>
        <w:pStyle w:val="19"/>
        <w:rPr>
          <w:rFonts w:hint="eastAsia"/>
          <w:color w:val="auto"/>
          <w:highlight w:val="none"/>
        </w:rPr>
      </w:pPr>
    </w:p>
    <w:p w14:paraId="6268BC55">
      <w:pPr>
        <w:rPr>
          <w:rFonts w:hint="eastAsia"/>
          <w:color w:val="auto"/>
          <w:highlight w:val="none"/>
        </w:rPr>
      </w:pPr>
    </w:p>
    <w:p w14:paraId="1AB01CEE">
      <w:pPr>
        <w:pStyle w:val="19"/>
        <w:rPr>
          <w:rFonts w:hint="eastAsia"/>
          <w:color w:val="auto"/>
          <w:highlight w:val="none"/>
        </w:rPr>
      </w:pPr>
    </w:p>
    <w:p w14:paraId="4090B382">
      <w:pPr>
        <w:rPr>
          <w:rFonts w:hint="eastAsia"/>
          <w:color w:val="auto"/>
          <w:highlight w:val="none"/>
        </w:rPr>
      </w:pPr>
    </w:p>
    <w:p w14:paraId="0BFF3E6A">
      <w:pPr>
        <w:pStyle w:val="19"/>
        <w:rPr>
          <w:rFonts w:hint="eastAsia"/>
          <w:color w:val="auto"/>
          <w:highlight w:val="none"/>
        </w:rPr>
      </w:pPr>
    </w:p>
    <w:p w14:paraId="78330D4D">
      <w:pPr>
        <w:rPr>
          <w:rFonts w:hint="eastAsia"/>
          <w:color w:val="auto"/>
          <w:highlight w:val="none"/>
        </w:rPr>
      </w:pPr>
    </w:p>
    <w:p w14:paraId="32242341">
      <w:pPr>
        <w:pStyle w:val="19"/>
        <w:rPr>
          <w:rFonts w:hint="eastAsia"/>
          <w:color w:val="auto"/>
          <w:highlight w:val="none"/>
        </w:rPr>
      </w:pPr>
    </w:p>
    <w:p w14:paraId="315DF434">
      <w:pPr>
        <w:rPr>
          <w:color w:val="auto"/>
          <w:highlight w:val="none"/>
        </w:rPr>
      </w:pPr>
    </w:p>
    <w:p w14:paraId="3D88844F">
      <w:pPr>
        <w:adjustRightInd w:val="0"/>
        <w:snapToGrid w:val="0"/>
        <w:spacing w:line="560" w:lineRule="exact"/>
        <w:rPr>
          <w:rFonts w:eastAsia="黑体"/>
          <w:color w:val="auto"/>
          <w:sz w:val="28"/>
          <w:szCs w:val="28"/>
          <w:highlight w:val="none"/>
        </w:rPr>
      </w:pPr>
    </w:p>
    <w:p w14:paraId="2C42B8B8">
      <w:pPr>
        <w:adjustRightInd w:val="0"/>
        <w:snapToGrid w:val="0"/>
        <w:spacing w:line="560" w:lineRule="exact"/>
        <w:jc w:val="center"/>
        <w:rPr>
          <w:rFonts w:hint="eastAsia"/>
          <w:color w:val="auto"/>
          <w:highlight w:val="none"/>
        </w:rPr>
      </w:pPr>
      <w:r>
        <w:rPr>
          <w:rFonts w:eastAsia="黑体"/>
          <w:color w:val="auto"/>
          <w:sz w:val="28"/>
          <w:szCs w:val="28"/>
          <w:highlight w:val="none"/>
          <w:u w:val="single"/>
        </w:rPr>
        <w:t xml:space="preserve">        </w:t>
      </w:r>
      <w:r>
        <w:rPr>
          <w:rFonts w:eastAsia="黑体"/>
          <w:color w:val="auto"/>
          <w:sz w:val="28"/>
          <w:szCs w:val="28"/>
          <w:highlight w:val="none"/>
        </w:rPr>
        <w:t>年</w:t>
      </w:r>
      <w:r>
        <w:rPr>
          <w:rFonts w:eastAsia="黑体"/>
          <w:color w:val="auto"/>
          <w:sz w:val="28"/>
          <w:szCs w:val="28"/>
          <w:highlight w:val="none"/>
          <w:u w:val="single"/>
        </w:rPr>
        <w:t xml:space="preserve">        </w:t>
      </w:r>
      <w:r>
        <w:rPr>
          <w:rFonts w:eastAsia="黑体"/>
          <w:color w:val="auto"/>
          <w:sz w:val="28"/>
          <w:szCs w:val="28"/>
          <w:highlight w:val="none"/>
        </w:rPr>
        <w:t>月</w:t>
      </w:r>
      <w:r>
        <w:rPr>
          <w:rFonts w:eastAsia="黑体"/>
          <w:color w:val="auto"/>
          <w:sz w:val="28"/>
          <w:szCs w:val="28"/>
          <w:highlight w:val="none"/>
          <w:u w:val="single"/>
        </w:rPr>
        <w:t xml:space="preserve">        </w:t>
      </w:r>
      <w:r>
        <w:rPr>
          <w:rFonts w:eastAsia="黑体"/>
          <w:color w:val="auto"/>
          <w:sz w:val="28"/>
          <w:szCs w:val="28"/>
          <w:highlight w:val="none"/>
        </w:rPr>
        <w:t>日</w:t>
      </w:r>
    </w:p>
    <w:p w14:paraId="57857608">
      <w:pPr>
        <w:pStyle w:val="19"/>
        <w:spacing w:after="0"/>
        <w:ind w:left="0" w:leftChars="0" w:firstLine="0" w:firstLineChars="0"/>
        <w:jc w:val="left"/>
        <w:rPr>
          <w:rFonts w:hint="eastAsia"/>
          <w:color w:val="auto"/>
          <w:sz w:val="24"/>
          <w:highlight w:val="none"/>
        </w:rPr>
      </w:pPr>
      <w:r>
        <w:rPr>
          <w:rFonts w:hint="eastAsia" w:ascii="仿宋_GB2312" w:eastAsia="仿宋_GB2312"/>
          <w:color w:val="auto"/>
          <w:sz w:val="24"/>
          <w:highlight w:val="none"/>
        </w:rPr>
        <w:t>注：暗标评审的技术标封面不设置投标人、法定代表人签章内容。</w:t>
      </w:r>
    </w:p>
    <w:p w14:paraId="42F22056">
      <w:pPr>
        <w:pStyle w:val="3"/>
        <w:rPr>
          <w:rFonts w:hint="eastAsia"/>
          <w:color w:val="auto"/>
          <w:highlight w:val="none"/>
        </w:rPr>
      </w:pPr>
      <w:bookmarkStart w:id="1512" w:name="_Toc95223539"/>
      <w:r>
        <w:rPr>
          <w:rFonts w:hint="eastAsia"/>
          <w:color w:val="auto"/>
          <w:highlight w:val="none"/>
        </w:rPr>
        <w:t>投标文件二：技术标目录</w:t>
      </w:r>
      <w:bookmarkEnd w:id="1512"/>
    </w:p>
    <w:p w14:paraId="12245A74">
      <w:pPr>
        <w:numPr>
          <w:ilvl w:val="0"/>
          <w:numId w:val="7"/>
        </w:numPr>
        <w:adjustRightInd w:val="0"/>
        <w:snapToGrid w:val="0"/>
        <w:spacing w:line="56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rPr>
        <w:t>施工组织设计</w:t>
      </w:r>
      <w:r>
        <w:rPr>
          <w:rFonts w:hint="eastAsia" w:ascii="宋体" w:hAnsi="宋体" w:cs="宋体"/>
          <w:b/>
          <w:color w:val="auto"/>
          <w:szCs w:val="21"/>
          <w:highlight w:val="none"/>
        </w:rPr>
        <w:t>（根据评分细则评审内容共有10项内容，系统中分别设置为施工组织设计1、2、3.....10）</w:t>
      </w:r>
      <w:r>
        <w:rPr>
          <w:rFonts w:hint="eastAsia" w:ascii="宋体" w:hAnsi="宋体"/>
          <w:color w:val="auto"/>
          <w:szCs w:val="21"/>
          <w:highlight w:val="none"/>
          <w:lang w:val="en-US" w:eastAsia="zh-CN"/>
        </w:rPr>
        <w:t xml:space="preserve">     </w:t>
      </w:r>
    </w:p>
    <w:p w14:paraId="76CA8013">
      <w:pPr>
        <w:numPr>
          <w:ilvl w:val="0"/>
          <w:numId w:val="0"/>
        </w:numPr>
        <w:adjustRightInd w:val="0"/>
        <w:snapToGrid w:val="0"/>
        <w:spacing w:line="560" w:lineRule="exact"/>
        <w:rPr>
          <w:rFonts w:hint="default" w:ascii="宋体" w:hAnsi="宋体"/>
          <w:color w:val="auto"/>
          <w:szCs w:val="21"/>
          <w:highlight w:val="none"/>
          <w:lang w:val="en-US" w:eastAsia="zh-CN"/>
        </w:rPr>
      </w:pPr>
      <w:r>
        <w:rPr>
          <w:rFonts w:hint="eastAsia" w:ascii="宋体" w:hAnsi="宋体" w:cs="宋体"/>
          <w:b/>
          <w:bCs/>
          <w:color w:val="auto"/>
          <w:szCs w:val="21"/>
          <w:highlight w:val="none"/>
        </w:rPr>
        <w:t>注：本项目采用横向暗标评审，请投标人结合技术标评审细则和系统内容在对应模块上传技术标评审内容。</w:t>
      </w:r>
    </w:p>
    <w:p w14:paraId="75CAE8AF">
      <w:pPr>
        <w:adjustRightInd w:val="0"/>
        <w:snapToGrid w:val="0"/>
        <w:spacing w:line="560" w:lineRule="exact"/>
        <w:rPr>
          <w:rFonts w:hint="eastAsia" w:ascii="宋体" w:hAnsi="宋体"/>
          <w:color w:val="auto"/>
          <w:szCs w:val="21"/>
          <w:highlight w:val="none"/>
        </w:rPr>
      </w:pPr>
    </w:p>
    <w:p w14:paraId="67253D08">
      <w:pPr>
        <w:adjustRightInd w:val="0"/>
        <w:snapToGrid w:val="0"/>
        <w:spacing w:line="560" w:lineRule="exact"/>
        <w:rPr>
          <w:rFonts w:hint="eastAsia" w:ascii="仿宋_GB2312" w:eastAsia="仿宋_GB2312"/>
          <w:color w:val="auto"/>
          <w:szCs w:val="21"/>
          <w:highlight w:val="none"/>
        </w:rPr>
      </w:pPr>
    </w:p>
    <w:p w14:paraId="433A51EF">
      <w:pPr>
        <w:adjustRightInd w:val="0"/>
        <w:snapToGrid w:val="0"/>
        <w:spacing w:line="560" w:lineRule="exact"/>
        <w:rPr>
          <w:rFonts w:hint="eastAsia" w:eastAsia="黑体"/>
          <w:color w:val="auto"/>
          <w:sz w:val="20"/>
          <w:szCs w:val="20"/>
          <w:highlight w:val="none"/>
        </w:rPr>
      </w:pPr>
    </w:p>
    <w:p w14:paraId="6C318158">
      <w:pPr>
        <w:adjustRightInd w:val="0"/>
        <w:snapToGrid w:val="0"/>
        <w:spacing w:line="560" w:lineRule="exact"/>
        <w:rPr>
          <w:rFonts w:hint="eastAsia"/>
          <w:color w:val="auto"/>
          <w:highlight w:val="none"/>
        </w:rPr>
      </w:pPr>
    </w:p>
    <w:p w14:paraId="0512156E">
      <w:pPr>
        <w:adjustRightInd w:val="0"/>
        <w:snapToGrid w:val="0"/>
        <w:spacing w:line="560" w:lineRule="exact"/>
        <w:rPr>
          <w:rFonts w:hint="eastAsia"/>
          <w:color w:val="auto"/>
          <w:highlight w:val="none"/>
        </w:rPr>
      </w:pPr>
    </w:p>
    <w:p w14:paraId="33346039">
      <w:pPr>
        <w:adjustRightInd w:val="0"/>
        <w:snapToGrid w:val="0"/>
        <w:spacing w:line="560" w:lineRule="exact"/>
        <w:rPr>
          <w:rFonts w:hint="eastAsia"/>
          <w:color w:val="auto"/>
          <w:highlight w:val="none"/>
        </w:rPr>
      </w:pPr>
    </w:p>
    <w:p w14:paraId="1913216A">
      <w:pPr>
        <w:adjustRightInd w:val="0"/>
        <w:snapToGrid w:val="0"/>
        <w:spacing w:line="560" w:lineRule="exact"/>
        <w:rPr>
          <w:rFonts w:hint="eastAsia"/>
          <w:color w:val="auto"/>
          <w:highlight w:val="none"/>
        </w:rPr>
      </w:pPr>
    </w:p>
    <w:p w14:paraId="52F62035">
      <w:pPr>
        <w:adjustRightInd w:val="0"/>
        <w:snapToGrid w:val="0"/>
        <w:spacing w:line="560" w:lineRule="exact"/>
        <w:rPr>
          <w:rFonts w:hint="eastAsia"/>
          <w:color w:val="auto"/>
          <w:highlight w:val="none"/>
        </w:rPr>
      </w:pPr>
    </w:p>
    <w:p w14:paraId="54449C28">
      <w:pPr>
        <w:adjustRightInd w:val="0"/>
        <w:snapToGrid w:val="0"/>
        <w:spacing w:line="560" w:lineRule="exact"/>
        <w:rPr>
          <w:rFonts w:hint="eastAsia"/>
          <w:color w:val="auto"/>
          <w:highlight w:val="none"/>
        </w:rPr>
      </w:pPr>
    </w:p>
    <w:p w14:paraId="01FB20AB">
      <w:pPr>
        <w:pStyle w:val="19"/>
        <w:rPr>
          <w:rFonts w:hint="eastAsia"/>
          <w:color w:val="auto"/>
          <w:highlight w:val="none"/>
        </w:rPr>
      </w:pPr>
    </w:p>
    <w:p w14:paraId="77F8E624">
      <w:pPr>
        <w:rPr>
          <w:rFonts w:hint="eastAsia"/>
          <w:color w:val="auto"/>
          <w:highlight w:val="none"/>
        </w:rPr>
      </w:pPr>
    </w:p>
    <w:p w14:paraId="53C19268">
      <w:pPr>
        <w:pStyle w:val="19"/>
        <w:rPr>
          <w:rFonts w:hint="eastAsia"/>
          <w:color w:val="auto"/>
          <w:highlight w:val="none"/>
        </w:rPr>
      </w:pPr>
    </w:p>
    <w:p w14:paraId="5374C826">
      <w:pPr>
        <w:adjustRightInd w:val="0"/>
        <w:snapToGrid w:val="0"/>
        <w:spacing w:line="560" w:lineRule="exact"/>
        <w:rPr>
          <w:rFonts w:hint="eastAsia"/>
          <w:color w:val="auto"/>
          <w:highlight w:val="none"/>
        </w:rPr>
      </w:pPr>
    </w:p>
    <w:p w14:paraId="43525AE7">
      <w:pPr>
        <w:adjustRightInd w:val="0"/>
        <w:snapToGrid w:val="0"/>
        <w:spacing w:line="560" w:lineRule="exact"/>
        <w:rPr>
          <w:rFonts w:hint="eastAsia"/>
          <w:color w:val="auto"/>
          <w:highlight w:val="none"/>
        </w:rPr>
      </w:pPr>
    </w:p>
    <w:p w14:paraId="4FA39D1E">
      <w:pPr>
        <w:adjustRightInd w:val="0"/>
        <w:snapToGrid w:val="0"/>
        <w:spacing w:line="560" w:lineRule="exact"/>
        <w:rPr>
          <w:rFonts w:hint="eastAsia"/>
          <w:color w:val="auto"/>
          <w:highlight w:val="none"/>
        </w:rPr>
      </w:pPr>
    </w:p>
    <w:p w14:paraId="33B8AFF9">
      <w:pPr>
        <w:adjustRightInd w:val="0"/>
        <w:snapToGrid w:val="0"/>
        <w:spacing w:line="560" w:lineRule="exact"/>
        <w:rPr>
          <w:rFonts w:hint="eastAsia"/>
          <w:color w:val="auto"/>
          <w:highlight w:val="none"/>
        </w:rPr>
      </w:pPr>
    </w:p>
    <w:p w14:paraId="7409A416">
      <w:pPr>
        <w:adjustRightInd w:val="0"/>
        <w:snapToGrid w:val="0"/>
        <w:spacing w:line="560" w:lineRule="exact"/>
        <w:rPr>
          <w:rFonts w:hint="eastAsia"/>
          <w:color w:val="auto"/>
          <w:highlight w:val="none"/>
        </w:rPr>
      </w:pPr>
    </w:p>
    <w:p w14:paraId="69FE4432">
      <w:pPr>
        <w:adjustRightInd w:val="0"/>
        <w:snapToGrid w:val="0"/>
        <w:spacing w:line="560" w:lineRule="exact"/>
        <w:rPr>
          <w:rFonts w:hint="eastAsia"/>
          <w:color w:val="auto"/>
          <w:highlight w:val="none"/>
        </w:rPr>
      </w:pPr>
    </w:p>
    <w:p w14:paraId="4DE8723A">
      <w:pPr>
        <w:adjustRightInd w:val="0"/>
        <w:snapToGrid w:val="0"/>
        <w:spacing w:line="560" w:lineRule="exact"/>
        <w:rPr>
          <w:rFonts w:hint="eastAsia"/>
          <w:color w:val="auto"/>
          <w:highlight w:val="none"/>
        </w:rPr>
      </w:pPr>
    </w:p>
    <w:p w14:paraId="16BB2D40">
      <w:pPr>
        <w:adjustRightInd w:val="0"/>
        <w:snapToGrid w:val="0"/>
        <w:spacing w:line="560" w:lineRule="exact"/>
        <w:rPr>
          <w:rFonts w:hint="eastAsia"/>
          <w:color w:val="auto"/>
          <w:highlight w:val="none"/>
        </w:rPr>
      </w:pPr>
    </w:p>
    <w:p w14:paraId="1CDA7854">
      <w:pPr>
        <w:adjustRightInd w:val="0"/>
        <w:snapToGrid w:val="0"/>
        <w:spacing w:line="560" w:lineRule="exact"/>
        <w:rPr>
          <w:rFonts w:hint="eastAsia"/>
          <w:color w:val="auto"/>
          <w:highlight w:val="none"/>
        </w:rPr>
      </w:pPr>
    </w:p>
    <w:p w14:paraId="77DCD20A">
      <w:pPr>
        <w:adjustRightInd w:val="0"/>
        <w:snapToGrid w:val="0"/>
        <w:spacing w:line="560" w:lineRule="exact"/>
        <w:rPr>
          <w:rFonts w:hint="eastAsia"/>
          <w:color w:val="auto"/>
          <w:highlight w:val="none"/>
        </w:rPr>
      </w:pPr>
    </w:p>
    <w:p w14:paraId="76B8D3BA">
      <w:pPr>
        <w:rPr>
          <w:rFonts w:hint="eastAsia"/>
          <w:color w:val="auto"/>
          <w:highlight w:val="none"/>
        </w:rPr>
      </w:pPr>
    </w:p>
    <w:p w14:paraId="05DB8139">
      <w:pPr>
        <w:rPr>
          <w:rFonts w:hint="eastAsia"/>
          <w:color w:val="auto"/>
          <w:highlight w:val="none"/>
        </w:rPr>
      </w:pPr>
    </w:p>
    <w:p w14:paraId="2E8AC825">
      <w:pPr>
        <w:pStyle w:val="19"/>
        <w:rPr>
          <w:rFonts w:hint="eastAsia"/>
          <w:color w:val="auto"/>
          <w:highlight w:val="none"/>
        </w:rPr>
      </w:pPr>
    </w:p>
    <w:p w14:paraId="098A663F">
      <w:pPr>
        <w:rPr>
          <w:color w:val="auto"/>
          <w:highlight w:val="none"/>
        </w:rPr>
        <w:sectPr>
          <w:pgSz w:w="11910" w:h="16840"/>
          <w:pgMar w:top="1060" w:right="660" w:bottom="1020" w:left="1120" w:header="0" w:footer="833" w:gutter="0"/>
          <w:pgNumType w:fmt="numberInDash"/>
          <w:cols w:space="720" w:num="1"/>
        </w:sectPr>
      </w:pPr>
    </w:p>
    <w:p w14:paraId="2413B456">
      <w:pPr>
        <w:rPr>
          <w:rFonts w:hint="eastAsia"/>
          <w:color w:val="auto"/>
          <w:highlight w:val="none"/>
        </w:rPr>
      </w:pPr>
    </w:p>
    <w:p w14:paraId="30CE8F2A">
      <w:pPr>
        <w:pStyle w:val="19"/>
        <w:rPr>
          <w:rFonts w:hint="eastAsia"/>
          <w:color w:val="auto"/>
          <w:highlight w:val="none"/>
        </w:rPr>
      </w:pPr>
    </w:p>
    <w:p w14:paraId="1191C3BF">
      <w:pPr>
        <w:rPr>
          <w:rFonts w:hint="eastAsia"/>
          <w:color w:val="auto"/>
          <w:highlight w:val="none"/>
        </w:rPr>
      </w:pPr>
    </w:p>
    <w:p w14:paraId="4256EC20">
      <w:pPr>
        <w:pStyle w:val="19"/>
        <w:rPr>
          <w:rFonts w:hint="eastAsia"/>
          <w:color w:val="auto"/>
          <w:highlight w:val="none"/>
        </w:rPr>
      </w:pPr>
    </w:p>
    <w:p w14:paraId="7EF04342">
      <w:pPr>
        <w:adjustRightInd w:val="0"/>
        <w:snapToGrid w:val="0"/>
        <w:spacing w:line="560" w:lineRule="exact"/>
        <w:jc w:val="center"/>
        <w:rPr>
          <w:rFonts w:hint="eastAsia" w:eastAsia="黑体"/>
          <w:color w:val="auto"/>
          <w:sz w:val="20"/>
          <w:szCs w:val="20"/>
          <w:highlight w:val="none"/>
        </w:rPr>
      </w:pPr>
      <w:r>
        <w:rPr>
          <w:rFonts w:hint="eastAsia" w:eastAsia="黑体"/>
          <w:color w:val="auto"/>
          <w:sz w:val="28"/>
          <w:szCs w:val="28"/>
          <w:highlight w:val="none"/>
          <w:u w:val="single"/>
        </w:rPr>
        <w:t xml:space="preserve">                </w:t>
      </w:r>
      <w:r>
        <w:rPr>
          <w:rFonts w:eastAsia="黑体"/>
          <w:color w:val="auto"/>
          <w:sz w:val="28"/>
          <w:szCs w:val="28"/>
          <w:highlight w:val="none"/>
        </w:rPr>
        <w:t>（项目名称）</w:t>
      </w:r>
    </w:p>
    <w:p w14:paraId="62673D13">
      <w:pPr>
        <w:adjustRightInd w:val="0"/>
        <w:snapToGrid w:val="0"/>
        <w:spacing w:line="560" w:lineRule="exact"/>
        <w:jc w:val="center"/>
        <w:rPr>
          <w:rFonts w:hint="eastAsia" w:eastAsia="黑体"/>
          <w:color w:val="auto"/>
          <w:sz w:val="20"/>
          <w:szCs w:val="20"/>
          <w:highlight w:val="none"/>
        </w:rPr>
      </w:pPr>
    </w:p>
    <w:p w14:paraId="3BA825E5">
      <w:pPr>
        <w:adjustRightInd w:val="0"/>
        <w:snapToGrid w:val="0"/>
        <w:spacing w:line="560" w:lineRule="exact"/>
        <w:rPr>
          <w:rFonts w:hint="eastAsia" w:eastAsia="黑体"/>
          <w:color w:val="auto"/>
          <w:sz w:val="20"/>
          <w:szCs w:val="20"/>
          <w:highlight w:val="none"/>
        </w:rPr>
      </w:pPr>
    </w:p>
    <w:p w14:paraId="2C5D5DAD">
      <w:pPr>
        <w:adjustRightInd w:val="0"/>
        <w:snapToGrid w:val="0"/>
        <w:spacing w:line="560" w:lineRule="exact"/>
        <w:jc w:val="center"/>
        <w:rPr>
          <w:rFonts w:hint="eastAsia" w:eastAsia="黑体"/>
          <w:color w:val="auto"/>
          <w:sz w:val="44"/>
          <w:szCs w:val="44"/>
          <w:highlight w:val="none"/>
        </w:rPr>
      </w:pPr>
      <w:r>
        <w:rPr>
          <w:rFonts w:eastAsia="黑体"/>
          <w:color w:val="auto"/>
          <w:sz w:val="44"/>
          <w:szCs w:val="44"/>
          <w:highlight w:val="none"/>
        </w:rPr>
        <w:t>投  标  文  件</w:t>
      </w:r>
      <w:r>
        <w:rPr>
          <w:rFonts w:hint="eastAsia" w:eastAsia="黑体"/>
          <w:color w:val="auto"/>
          <w:sz w:val="44"/>
          <w:szCs w:val="44"/>
          <w:highlight w:val="none"/>
        </w:rPr>
        <w:t xml:space="preserve">  三</w:t>
      </w:r>
    </w:p>
    <w:p w14:paraId="43951A92">
      <w:pPr>
        <w:adjustRightInd w:val="0"/>
        <w:snapToGrid w:val="0"/>
        <w:spacing w:line="560" w:lineRule="exact"/>
        <w:jc w:val="center"/>
        <w:rPr>
          <w:rFonts w:hint="eastAsia" w:eastAsia="黑体"/>
          <w:color w:val="auto"/>
          <w:sz w:val="44"/>
          <w:szCs w:val="44"/>
          <w:highlight w:val="none"/>
        </w:rPr>
      </w:pPr>
      <w:r>
        <w:rPr>
          <w:rFonts w:hint="eastAsia" w:eastAsia="黑体"/>
          <w:color w:val="auto"/>
          <w:sz w:val="44"/>
          <w:szCs w:val="44"/>
          <w:highlight w:val="none"/>
        </w:rPr>
        <w:t>（商务标文件）</w:t>
      </w:r>
    </w:p>
    <w:p w14:paraId="2B288338">
      <w:pPr>
        <w:adjustRightInd w:val="0"/>
        <w:snapToGrid w:val="0"/>
        <w:spacing w:line="560" w:lineRule="exact"/>
        <w:rPr>
          <w:rFonts w:hint="eastAsia" w:eastAsia="黑体"/>
          <w:color w:val="auto"/>
          <w:sz w:val="28"/>
          <w:szCs w:val="28"/>
          <w:highlight w:val="none"/>
        </w:rPr>
      </w:pPr>
    </w:p>
    <w:p w14:paraId="21ECFDB1">
      <w:pPr>
        <w:pStyle w:val="19"/>
        <w:adjustRightInd w:val="0"/>
        <w:snapToGrid w:val="0"/>
        <w:spacing w:after="0" w:line="560" w:lineRule="exact"/>
        <w:ind w:left="0" w:leftChars="0" w:firstLine="560"/>
        <w:rPr>
          <w:rFonts w:hint="eastAsia" w:eastAsia="黑体"/>
          <w:color w:val="auto"/>
          <w:sz w:val="28"/>
          <w:szCs w:val="28"/>
          <w:highlight w:val="none"/>
        </w:rPr>
      </w:pPr>
    </w:p>
    <w:p w14:paraId="50A6B425">
      <w:pPr>
        <w:adjustRightInd w:val="0"/>
        <w:snapToGrid w:val="0"/>
        <w:spacing w:line="560" w:lineRule="exact"/>
        <w:rPr>
          <w:rFonts w:hint="eastAsia" w:eastAsia="黑体"/>
          <w:color w:val="auto"/>
          <w:sz w:val="28"/>
          <w:szCs w:val="28"/>
          <w:highlight w:val="none"/>
        </w:rPr>
      </w:pPr>
    </w:p>
    <w:p w14:paraId="039A89C1">
      <w:pPr>
        <w:pStyle w:val="19"/>
        <w:adjustRightInd w:val="0"/>
        <w:snapToGrid w:val="0"/>
        <w:spacing w:after="0" w:line="560" w:lineRule="exact"/>
        <w:ind w:left="0" w:leftChars="0"/>
        <w:rPr>
          <w:rFonts w:hint="eastAsia"/>
          <w:color w:val="auto"/>
          <w:highlight w:val="none"/>
        </w:rPr>
      </w:pPr>
    </w:p>
    <w:p w14:paraId="40A66080">
      <w:pPr>
        <w:adjustRightInd w:val="0"/>
        <w:snapToGrid w:val="0"/>
        <w:spacing w:line="560" w:lineRule="exact"/>
        <w:rPr>
          <w:rFonts w:hint="eastAsia" w:eastAsia="黑体"/>
          <w:color w:val="auto"/>
          <w:sz w:val="28"/>
          <w:szCs w:val="28"/>
          <w:highlight w:val="none"/>
        </w:rPr>
      </w:pPr>
    </w:p>
    <w:p w14:paraId="30D77FB9">
      <w:pPr>
        <w:adjustRightInd w:val="0"/>
        <w:snapToGrid w:val="0"/>
        <w:spacing w:line="560" w:lineRule="exact"/>
        <w:rPr>
          <w:rFonts w:eastAsia="黑体"/>
          <w:color w:val="auto"/>
          <w:sz w:val="28"/>
          <w:szCs w:val="28"/>
          <w:highlight w:val="none"/>
        </w:rPr>
      </w:pPr>
    </w:p>
    <w:p w14:paraId="515E4A6D">
      <w:pPr>
        <w:adjustRightInd w:val="0"/>
        <w:snapToGrid w:val="0"/>
        <w:spacing w:line="560" w:lineRule="exact"/>
        <w:rPr>
          <w:rFonts w:hint="eastAsia" w:eastAsia="黑体"/>
          <w:color w:val="auto"/>
          <w:sz w:val="28"/>
          <w:szCs w:val="28"/>
          <w:highlight w:val="none"/>
        </w:rPr>
      </w:pPr>
    </w:p>
    <w:p w14:paraId="42846E16">
      <w:pPr>
        <w:adjustRightInd w:val="0"/>
        <w:snapToGrid w:val="0"/>
        <w:spacing w:line="560" w:lineRule="exact"/>
        <w:rPr>
          <w:rFonts w:hint="eastAsia" w:eastAsia="黑体"/>
          <w:color w:val="auto"/>
          <w:sz w:val="28"/>
          <w:szCs w:val="28"/>
          <w:highlight w:val="none"/>
        </w:rPr>
      </w:pPr>
    </w:p>
    <w:p w14:paraId="7B88C15F">
      <w:pPr>
        <w:adjustRightInd w:val="0"/>
        <w:snapToGrid w:val="0"/>
        <w:spacing w:line="560" w:lineRule="exact"/>
        <w:rPr>
          <w:rFonts w:hint="eastAsia" w:eastAsia="黑体"/>
          <w:color w:val="auto"/>
          <w:sz w:val="28"/>
          <w:szCs w:val="28"/>
          <w:highlight w:val="none"/>
        </w:rPr>
      </w:pPr>
    </w:p>
    <w:p w14:paraId="17F53CD7">
      <w:pPr>
        <w:adjustRightInd w:val="0"/>
        <w:snapToGrid w:val="0"/>
        <w:spacing w:line="560" w:lineRule="exact"/>
        <w:rPr>
          <w:rFonts w:eastAsia="黑体"/>
          <w:color w:val="auto"/>
          <w:sz w:val="28"/>
          <w:szCs w:val="28"/>
          <w:highlight w:val="none"/>
        </w:rPr>
      </w:pPr>
    </w:p>
    <w:p w14:paraId="4DFFBE4E">
      <w:pPr>
        <w:adjustRightInd w:val="0"/>
        <w:snapToGrid w:val="0"/>
        <w:spacing w:line="560" w:lineRule="exact"/>
        <w:rPr>
          <w:rFonts w:eastAsia="黑体"/>
          <w:color w:val="auto"/>
          <w:sz w:val="28"/>
          <w:szCs w:val="28"/>
          <w:highlight w:val="none"/>
        </w:rPr>
      </w:pPr>
    </w:p>
    <w:p w14:paraId="4079AD93">
      <w:pPr>
        <w:adjustRightInd w:val="0"/>
        <w:snapToGrid w:val="0"/>
        <w:spacing w:line="560" w:lineRule="exact"/>
        <w:jc w:val="center"/>
        <w:rPr>
          <w:rFonts w:eastAsia="黑体"/>
          <w:color w:val="auto"/>
          <w:sz w:val="28"/>
          <w:szCs w:val="28"/>
          <w:highlight w:val="none"/>
          <w:u w:val="single"/>
        </w:rPr>
      </w:pPr>
      <w:r>
        <w:rPr>
          <w:rFonts w:eastAsia="黑体"/>
          <w:color w:val="auto"/>
          <w:sz w:val="28"/>
          <w:szCs w:val="28"/>
          <w:highlight w:val="none"/>
        </w:rPr>
        <w:t>投标人：</w:t>
      </w:r>
      <w:r>
        <w:rPr>
          <w:rFonts w:eastAsia="黑体"/>
          <w:color w:val="auto"/>
          <w:sz w:val="28"/>
          <w:szCs w:val="28"/>
          <w:highlight w:val="none"/>
          <w:u w:val="single"/>
        </w:rPr>
        <w:t xml:space="preserve">                     </w:t>
      </w:r>
      <w:r>
        <w:rPr>
          <w:rFonts w:hint="eastAsia" w:eastAsia="黑体"/>
          <w:color w:val="auto"/>
          <w:sz w:val="28"/>
          <w:szCs w:val="28"/>
          <w:highlight w:val="none"/>
          <w:u w:val="single"/>
        </w:rPr>
        <w:t xml:space="preserve">  </w:t>
      </w:r>
      <w:r>
        <w:rPr>
          <w:rFonts w:eastAsia="黑体"/>
          <w:color w:val="auto"/>
          <w:sz w:val="28"/>
          <w:szCs w:val="28"/>
          <w:highlight w:val="none"/>
          <w:u w:val="single"/>
        </w:rPr>
        <w:t xml:space="preserve">       </w:t>
      </w:r>
      <w:r>
        <w:rPr>
          <w:rFonts w:eastAsia="黑体"/>
          <w:color w:val="auto"/>
          <w:sz w:val="28"/>
          <w:szCs w:val="28"/>
          <w:highlight w:val="none"/>
        </w:rPr>
        <w:t>（签</w:t>
      </w:r>
      <w:r>
        <w:rPr>
          <w:rFonts w:hint="eastAsia" w:eastAsia="黑体"/>
          <w:color w:val="auto"/>
          <w:sz w:val="28"/>
          <w:szCs w:val="28"/>
          <w:highlight w:val="none"/>
        </w:rPr>
        <w:t>章</w:t>
      </w:r>
      <w:r>
        <w:rPr>
          <w:rFonts w:eastAsia="黑体"/>
          <w:color w:val="auto"/>
          <w:sz w:val="28"/>
          <w:szCs w:val="28"/>
          <w:highlight w:val="none"/>
        </w:rPr>
        <w:t>）</w:t>
      </w:r>
    </w:p>
    <w:p w14:paraId="7CC19DDA">
      <w:pPr>
        <w:adjustRightInd w:val="0"/>
        <w:snapToGrid w:val="0"/>
        <w:spacing w:line="560" w:lineRule="exact"/>
        <w:jc w:val="center"/>
        <w:rPr>
          <w:rFonts w:eastAsia="黑体"/>
          <w:color w:val="auto"/>
          <w:sz w:val="28"/>
          <w:szCs w:val="28"/>
          <w:highlight w:val="none"/>
        </w:rPr>
      </w:pPr>
      <w:r>
        <w:rPr>
          <w:rFonts w:eastAsia="黑体"/>
          <w:color w:val="auto"/>
          <w:sz w:val="28"/>
          <w:szCs w:val="28"/>
          <w:highlight w:val="none"/>
        </w:rPr>
        <w:t>法定代表人：</w:t>
      </w:r>
      <w:r>
        <w:rPr>
          <w:rFonts w:eastAsia="黑体"/>
          <w:color w:val="auto"/>
          <w:sz w:val="28"/>
          <w:szCs w:val="28"/>
          <w:highlight w:val="none"/>
          <w:u w:val="single"/>
        </w:rPr>
        <w:t xml:space="preserve">                </w:t>
      </w:r>
      <w:r>
        <w:rPr>
          <w:rFonts w:eastAsia="黑体"/>
          <w:color w:val="auto"/>
          <w:sz w:val="28"/>
          <w:szCs w:val="28"/>
          <w:highlight w:val="none"/>
        </w:rPr>
        <w:t>（签</w:t>
      </w:r>
      <w:r>
        <w:rPr>
          <w:rFonts w:hint="eastAsia" w:eastAsia="黑体"/>
          <w:color w:val="auto"/>
          <w:sz w:val="28"/>
          <w:szCs w:val="28"/>
          <w:highlight w:val="none"/>
        </w:rPr>
        <w:t>章</w:t>
      </w:r>
      <w:r>
        <w:rPr>
          <w:rFonts w:eastAsia="黑体"/>
          <w:color w:val="auto"/>
          <w:sz w:val="28"/>
          <w:szCs w:val="28"/>
          <w:highlight w:val="none"/>
        </w:rPr>
        <w:t>）</w:t>
      </w:r>
    </w:p>
    <w:p w14:paraId="76C2C8BB">
      <w:pPr>
        <w:adjustRightInd w:val="0"/>
        <w:snapToGrid w:val="0"/>
        <w:spacing w:line="560" w:lineRule="exact"/>
        <w:jc w:val="center"/>
        <w:rPr>
          <w:rFonts w:eastAsia="黑体"/>
          <w:color w:val="auto"/>
          <w:sz w:val="28"/>
          <w:szCs w:val="28"/>
          <w:highlight w:val="none"/>
        </w:rPr>
      </w:pPr>
      <w:r>
        <w:rPr>
          <w:rFonts w:eastAsia="黑体"/>
          <w:color w:val="auto"/>
          <w:sz w:val="28"/>
          <w:szCs w:val="28"/>
          <w:highlight w:val="none"/>
          <w:u w:val="single"/>
        </w:rPr>
        <w:t xml:space="preserve">        </w:t>
      </w:r>
      <w:r>
        <w:rPr>
          <w:rFonts w:eastAsia="黑体"/>
          <w:color w:val="auto"/>
          <w:sz w:val="28"/>
          <w:szCs w:val="28"/>
          <w:highlight w:val="none"/>
        </w:rPr>
        <w:t>年</w:t>
      </w:r>
      <w:r>
        <w:rPr>
          <w:rFonts w:eastAsia="黑体"/>
          <w:color w:val="auto"/>
          <w:sz w:val="28"/>
          <w:szCs w:val="28"/>
          <w:highlight w:val="none"/>
          <w:u w:val="single"/>
        </w:rPr>
        <w:t xml:space="preserve">        </w:t>
      </w:r>
      <w:r>
        <w:rPr>
          <w:rFonts w:eastAsia="黑体"/>
          <w:color w:val="auto"/>
          <w:sz w:val="28"/>
          <w:szCs w:val="28"/>
          <w:highlight w:val="none"/>
        </w:rPr>
        <w:t>月</w:t>
      </w:r>
      <w:r>
        <w:rPr>
          <w:rFonts w:eastAsia="黑体"/>
          <w:color w:val="auto"/>
          <w:sz w:val="28"/>
          <w:szCs w:val="28"/>
          <w:highlight w:val="none"/>
          <w:u w:val="single"/>
        </w:rPr>
        <w:t xml:space="preserve">        </w:t>
      </w:r>
      <w:r>
        <w:rPr>
          <w:rFonts w:eastAsia="黑体"/>
          <w:color w:val="auto"/>
          <w:sz w:val="28"/>
          <w:szCs w:val="28"/>
          <w:highlight w:val="none"/>
        </w:rPr>
        <w:t>日</w:t>
      </w:r>
    </w:p>
    <w:p w14:paraId="69AFFC95">
      <w:pPr>
        <w:adjustRightInd w:val="0"/>
        <w:snapToGrid w:val="0"/>
        <w:spacing w:line="560" w:lineRule="exact"/>
        <w:rPr>
          <w:rFonts w:hint="eastAsia"/>
          <w:color w:val="auto"/>
          <w:highlight w:val="none"/>
        </w:rPr>
      </w:pPr>
    </w:p>
    <w:p w14:paraId="0F0074E9">
      <w:pPr>
        <w:adjustRightInd w:val="0"/>
        <w:snapToGrid w:val="0"/>
        <w:spacing w:line="560" w:lineRule="exact"/>
        <w:rPr>
          <w:rFonts w:hint="eastAsia"/>
          <w:color w:val="auto"/>
          <w:highlight w:val="none"/>
        </w:rPr>
      </w:pPr>
    </w:p>
    <w:p w14:paraId="14636287">
      <w:pPr>
        <w:pStyle w:val="3"/>
        <w:rPr>
          <w:rFonts w:hint="eastAsia"/>
          <w:color w:val="auto"/>
          <w:highlight w:val="none"/>
        </w:rPr>
      </w:pPr>
      <w:bookmarkStart w:id="1513" w:name="_Toc95223542"/>
      <w:r>
        <w:rPr>
          <w:rFonts w:hint="eastAsia"/>
          <w:color w:val="auto"/>
          <w:highlight w:val="none"/>
        </w:rPr>
        <w:t>投标文件三：商务标目录</w:t>
      </w:r>
      <w:bookmarkEnd w:id="1513"/>
    </w:p>
    <w:p w14:paraId="762D4FD2">
      <w:pPr>
        <w:adjustRightInd w:val="0"/>
        <w:snapToGrid w:val="0"/>
        <w:spacing w:line="5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（1）投标函；</w:t>
      </w:r>
    </w:p>
    <w:p w14:paraId="7BDC66E9">
      <w:pPr>
        <w:adjustRightInd w:val="0"/>
        <w:snapToGrid w:val="0"/>
        <w:spacing w:line="560" w:lineRule="exact"/>
        <w:ind w:firstLine="420" w:firstLineChars="200"/>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2）工程量清单报价书；</w:t>
      </w:r>
    </w:p>
    <w:p w14:paraId="2A6199EA">
      <w:pPr>
        <w:adjustRightInd w:val="0"/>
        <w:snapToGrid w:val="0"/>
        <w:spacing w:line="560" w:lineRule="exact"/>
        <w:ind w:firstLine="420" w:firstLineChars="200"/>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3）承诺函（格式见附件）；</w:t>
      </w:r>
    </w:p>
    <w:p w14:paraId="62158EB8">
      <w:pPr>
        <w:adjustRightInd w:val="0"/>
        <w:snapToGrid w:val="0"/>
        <w:spacing w:line="5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4</w:t>
      </w:r>
      <w:r>
        <w:rPr>
          <w:rFonts w:hint="eastAsia" w:ascii="宋体" w:hAnsi="宋体" w:eastAsia="宋体" w:cs="Times New Roman"/>
          <w:color w:val="auto"/>
          <w:szCs w:val="21"/>
          <w:highlight w:val="none"/>
        </w:rPr>
        <w:t>）招标人推荐的材料品牌响应表（如有）；</w:t>
      </w:r>
    </w:p>
    <w:p w14:paraId="30098CCF">
      <w:pPr>
        <w:adjustRightInd w:val="0"/>
        <w:snapToGrid w:val="0"/>
        <w:spacing w:line="5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5</w:t>
      </w:r>
      <w:r>
        <w:rPr>
          <w:rFonts w:hint="eastAsia" w:ascii="宋体" w:hAnsi="宋体" w:eastAsia="宋体" w:cs="Times New Roman"/>
          <w:color w:val="auto"/>
          <w:szCs w:val="21"/>
          <w:highlight w:val="none"/>
        </w:rPr>
        <w:t>）全国建筑市场监管公共服务平台(四库一平台)企业注册人员网页截图；</w:t>
      </w:r>
    </w:p>
    <w:p w14:paraId="2AB44659">
      <w:pPr>
        <w:adjustRightInd w:val="0"/>
        <w:snapToGrid w:val="0"/>
        <w:spacing w:line="5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6</w:t>
      </w:r>
      <w:r>
        <w:rPr>
          <w:rFonts w:hint="eastAsia" w:ascii="宋体" w:hAnsi="宋体" w:eastAsia="宋体" w:cs="Times New Roman"/>
          <w:color w:val="auto"/>
          <w:szCs w:val="21"/>
          <w:highlight w:val="none"/>
        </w:rPr>
        <w:t>）商务标评审所需其他材料。</w:t>
      </w:r>
    </w:p>
    <w:p w14:paraId="455B87E1">
      <w:pPr>
        <w:adjustRightInd w:val="0"/>
        <w:snapToGrid w:val="0"/>
        <w:spacing w:line="560" w:lineRule="exact"/>
        <w:rPr>
          <w:rFonts w:hint="eastAsia"/>
          <w:color w:val="auto"/>
          <w:highlight w:val="none"/>
        </w:rPr>
      </w:pPr>
    </w:p>
    <w:p w14:paraId="4484151A">
      <w:pPr>
        <w:adjustRightInd w:val="0"/>
        <w:snapToGrid w:val="0"/>
        <w:spacing w:line="560" w:lineRule="exact"/>
        <w:rPr>
          <w:rFonts w:hint="eastAsia" w:eastAsia="黑体"/>
          <w:color w:val="auto"/>
          <w:sz w:val="20"/>
          <w:szCs w:val="20"/>
          <w:highlight w:val="none"/>
        </w:rPr>
      </w:pPr>
    </w:p>
    <w:p w14:paraId="576A16D7">
      <w:pPr>
        <w:adjustRightInd w:val="0"/>
        <w:snapToGrid w:val="0"/>
        <w:spacing w:line="560" w:lineRule="exact"/>
        <w:rPr>
          <w:rFonts w:hint="eastAsia" w:eastAsia="黑体"/>
          <w:color w:val="auto"/>
          <w:sz w:val="20"/>
          <w:szCs w:val="20"/>
          <w:highlight w:val="none"/>
        </w:rPr>
      </w:pPr>
    </w:p>
    <w:p w14:paraId="40BE3FA7">
      <w:pPr>
        <w:adjustRightInd w:val="0"/>
        <w:snapToGrid w:val="0"/>
        <w:spacing w:line="560" w:lineRule="exact"/>
        <w:rPr>
          <w:rFonts w:hint="eastAsia" w:eastAsia="黑体"/>
          <w:color w:val="auto"/>
          <w:sz w:val="20"/>
          <w:szCs w:val="20"/>
          <w:highlight w:val="none"/>
        </w:rPr>
      </w:pPr>
    </w:p>
    <w:p w14:paraId="2EDEDB32">
      <w:pPr>
        <w:adjustRightInd w:val="0"/>
        <w:snapToGrid w:val="0"/>
        <w:spacing w:line="560" w:lineRule="exact"/>
        <w:ind w:right="420"/>
        <w:rPr>
          <w:rFonts w:hint="eastAsia"/>
          <w:color w:val="auto"/>
          <w:szCs w:val="21"/>
          <w:highlight w:val="none"/>
          <w:u w:val="single"/>
        </w:rPr>
      </w:pPr>
    </w:p>
    <w:p w14:paraId="76C0C943">
      <w:pPr>
        <w:pStyle w:val="19"/>
        <w:rPr>
          <w:rFonts w:hint="eastAsia"/>
          <w:color w:val="auto"/>
          <w:highlight w:val="none"/>
        </w:rPr>
      </w:pPr>
    </w:p>
    <w:p w14:paraId="7D6500DE">
      <w:pPr>
        <w:rPr>
          <w:rFonts w:hint="eastAsia"/>
          <w:color w:val="auto"/>
          <w:highlight w:val="none"/>
        </w:rPr>
      </w:pPr>
    </w:p>
    <w:p w14:paraId="4AD0F1F5">
      <w:pPr>
        <w:pStyle w:val="19"/>
        <w:rPr>
          <w:rFonts w:hint="eastAsia"/>
          <w:color w:val="auto"/>
          <w:highlight w:val="none"/>
        </w:rPr>
      </w:pPr>
    </w:p>
    <w:p w14:paraId="55244EA6">
      <w:pPr>
        <w:rPr>
          <w:rFonts w:hint="eastAsia"/>
          <w:color w:val="auto"/>
          <w:highlight w:val="none"/>
        </w:rPr>
      </w:pPr>
    </w:p>
    <w:p w14:paraId="6F192C25">
      <w:pPr>
        <w:pStyle w:val="19"/>
        <w:rPr>
          <w:rFonts w:hint="eastAsia"/>
          <w:color w:val="auto"/>
          <w:highlight w:val="none"/>
        </w:rPr>
      </w:pPr>
    </w:p>
    <w:p w14:paraId="2F403CF2">
      <w:pPr>
        <w:rPr>
          <w:rFonts w:hint="eastAsia"/>
          <w:color w:val="auto"/>
          <w:highlight w:val="none"/>
        </w:rPr>
      </w:pPr>
    </w:p>
    <w:p w14:paraId="1D39A76B">
      <w:pPr>
        <w:pStyle w:val="19"/>
        <w:rPr>
          <w:rFonts w:hint="eastAsia"/>
          <w:color w:val="auto"/>
          <w:highlight w:val="none"/>
        </w:rPr>
      </w:pPr>
    </w:p>
    <w:p w14:paraId="62D1DB7E">
      <w:pPr>
        <w:rPr>
          <w:rFonts w:hint="eastAsia"/>
          <w:color w:val="auto"/>
          <w:highlight w:val="none"/>
        </w:rPr>
      </w:pPr>
    </w:p>
    <w:p w14:paraId="6FB7DE54">
      <w:pPr>
        <w:pStyle w:val="19"/>
        <w:rPr>
          <w:rFonts w:hint="eastAsia"/>
          <w:color w:val="auto"/>
          <w:highlight w:val="none"/>
        </w:rPr>
      </w:pPr>
    </w:p>
    <w:p w14:paraId="542686C1">
      <w:pPr>
        <w:rPr>
          <w:rFonts w:hint="eastAsia"/>
          <w:color w:val="auto"/>
          <w:highlight w:val="none"/>
        </w:rPr>
      </w:pPr>
    </w:p>
    <w:p w14:paraId="55E36143">
      <w:pPr>
        <w:pStyle w:val="19"/>
        <w:rPr>
          <w:rFonts w:hint="eastAsia"/>
          <w:color w:val="auto"/>
          <w:highlight w:val="none"/>
        </w:rPr>
      </w:pPr>
    </w:p>
    <w:p w14:paraId="17DDF569">
      <w:pPr>
        <w:rPr>
          <w:rFonts w:hint="eastAsia"/>
          <w:color w:val="auto"/>
          <w:highlight w:val="none"/>
        </w:rPr>
      </w:pPr>
    </w:p>
    <w:p w14:paraId="001C0DA7">
      <w:pPr>
        <w:pStyle w:val="19"/>
        <w:rPr>
          <w:rFonts w:hint="eastAsia"/>
          <w:color w:val="auto"/>
          <w:highlight w:val="none"/>
        </w:rPr>
      </w:pPr>
    </w:p>
    <w:p w14:paraId="3B20C9BC">
      <w:pPr>
        <w:rPr>
          <w:rFonts w:hint="eastAsia"/>
          <w:color w:val="auto"/>
          <w:highlight w:val="none"/>
        </w:rPr>
      </w:pPr>
    </w:p>
    <w:p w14:paraId="081C97E7">
      <w:pPr>
        <w:pStyle w:val="19"/>
        <w:rPr>
          <w:rFonts w:hint="eastAsia"/>
          <w:color w:val="auto"/>
          <w:highlight w:val="none"/>
        </w:rPr>
      </w:pPr>
    </w:p>
    <w:p w14:paraId="0F18EF5D">
      <w:pPr>
        <w:rPr>
          <w:rFonts w:hint="eastAsia"/>
          <w:color w:val="auto"/>
          <w:highlight w:val="none"/>
        </w:rPr>
      </w:pPr>
    </w:p>
    <w:p w14:paraId="7A29848A">
      <w:pPr>
        <w:pStyle w:val="19"/>
        <w:rPr>
          <w:rFonts w:hint="eastAsia"/>
          <w:color w:val="auto"/>
          <w:highlight w:val="none"/>
        </w:rPr>
      </w:pPr>
    </w:p>
    <w:p w14:paraId="56DCA822">
      <w:pPr>
        <w:rPr>
          <w:rFonts w:hint="eastAsia"/>
          <w:color w:val="auto"/>
          <w:highlight w:val="none"/>
        </w:rPr>
      </w:pPr>
    </w:p>
    <w:p w14:paraId="61CB02CD">
      <w:pPr>
        <w:pStyle w:val="19"/>
        <w:rPr>
          <w:rFonts w:hint="eastAsia"/>
          <w:color w:val="auto"/>
          <w:highlight w:val="none"/>
        </w:rPr>
      </w:pPr>
    </w:p>
    <w:p w14:paraId="2D9A391D">
      <w:pPr>
        <w:rPr>
          <w:rFonts w:hint="eastAsia"/>
          <w:color w:val="auto"/>
          <w:highlight w:val="none"/>
        </w:rPr>
      </w:pPr>
    </w:p>
    <w:p w14:paraId="4BB304D9">
      <w:pPr>
        <w:pStyle w:val="19"/>
        <w:rPr>
          <w:rFonts w:hint="eastAsia"/>
          <w:color w:val="auto"/>
          <w:highlight w:val="none"/>
        </w:rPr>
      </w:pPr>
    </w:p>
    <w:p w14:paraId="58C3DB08">
      <w:pPr>
        <w:rPr>
          <w:rFonts w:hint="eastAsia"/>
          <w:color w:val="auto"/>
          <w:highlight w:val="none"/>
        </w:rPr>
      </w:pPr>
    </w:p>
    <w:p w14:paraId="24E3D939">
      <w:pPr>
        <w:pStyle w:val="19"/>
        <w:rPr>
          <w:rFonts w:hint="eastAsia"/>
          <w:color w:val="auto"/>
          <w:highlight w:val="none"/>
        </w:rPr>
      </w:pPr>
    </w:p>
    <w:p w14:paraId="04CF913D">
      <w:pPr>
        <w:pStyle w:val="19"/>
        <w:rPr>
          <w:rFonts w:hint="eastAsia"/>
          <w:color w:val="auto"/>
          <w:highlight w:val="none"/>
        </w:rPr>
      </w:pPr>
    </w:p>
    <w:p w14:paraId="3B12C908">
      <w:pPr>
        <w:pStyle w:val="19"/>
        <w:ind w:left="0" w:leftChars="0" w:firstLine="0" w:firstLineChars="0"/>
        <w:rPr>
          <w:color w:val="auto"/>
          <w:highlight w:val="none"/>
        </w:rPr>
        <w:sectPr>
          <w:pgSz w:w="11910" w:h="16840"/>
          <w:pgMar w:top="1060" w:right="660" w:bottom="1020" w:left="1120" w:header="0" w:footer="833" w:gutter="0"/>
          <w:pgNumType w:fmt="numberInDash"/>
          <w:cols w:space="720" w:num="1"/>
        </w:sectPr>
      </w:pPr>
    </w:p>
    <w:p w14:paraId="4E0A629A">
      <w:pPr>
        <w:pStyle w:val="19"/>
        <w:ind w:left="0" w:leftChars="0" w:firstLine="0" w:firstLineChars="0"/>
        <w:rPr>
          <w:rFonts w:hint="eastAsia"/>
          <w:color w:val="auto"/>
          <w:highlight w:val="none"/>
        </w:rPr>
      </w:pPr>
    </w:p>
    <w:p w14:paraId="3EEC1C38">
      <w:pPr>
        <w:pStyle w:val="4"/>
        <w:adjustRightInd w:val="0"/>
        <w:snapToGrid w:val="0"/>
        <w:spacing w:before="0" w:after="0" w:line="560" w:lineRule="exact"/>
        <w:jc w:val="center"/>
        <w:rPr>
          <w:rFonts w:hint="eastAsia"/>
          <w:color w:val="auto"/>
          <w:highlight w:val="none"/>
        </w:rPr>
      </w:pPr>
      <w:bookmarkStart w:id="1514" w:name="_Toc95223543"/>
      <w:r>
        <w:rPr>
          <w:rFonts w:hint="eastAsia"/>
          <w:color w:val="auto"/>
          <w:highlight w:val="none"/>
        </w:rPr>
        <w:t>（1）投</w:t>
      </w:r>
      <w:r>
        <w:rPr>
          <w:color w:val="auto"/>
          <w:highlight w:val="none"/>
        </w:rPr>
        <w:t xml:space="preserve"> </w:t>
      </w:r>
      <w:r>
        <w:rPr>
          <w:rFonts w:hint="eastAsia"/>
          <w:color w:val="auto"/>
          <w:highlight w:val="none"/>
        </w:rPr>
        <w:t>标 函</w:t>
      </w:r>
      <w:bookmarkEnd w:id="1514"/>
    </w:p>
    <w:p w14:paraId="7B059EDC">
      <w:pPr>
        <w:adjustRightInd w:val="0"/>
        <w:snapToGrid w:val="0"/>
        <w:spacing w:line="560" w:lineRule="exact"/>
        <w:rPr>
          <w:rFonts w:ascii="宋体" w:hAnsi="宋体"/>
          <w:color w:val="auto"/>
          <w:sz w:val="24"/>
          <w:highlight w:val="none"/>
          <w:u w:val="single"/>
        </w:rPr>
      </w:pPr>
      <w:r>
        <w:rPr>
          <w:rFonts w:hint="eastAsia" w:ascii="宋体" w:hAnsi="宋体"/>
          <w:color w:val="auto"/>
          <w:sz w:val="24"/>
          <w:highlight w:val="none"/>
        </w:rPr>
        <w:t>致：</w:t>
      </w:r>
      <w:r>
        <w:rPr>
          <w:rFonts w:ascii="宋体" w:hAnsi="宋体"/>
          <w:color w:val="auto"/>
          <w:sz w:val="24"/>
          <w:highlight w:val="none"/>
          <w:u w:val="single"/>
        </w:rPr>
        <w:t xml:space="preserve">        </w:t>
      </w:r>
      <w:r>
        <w:rPr>
          <w:rFonts w:hint="eastAsia" w:ascii="宋体" w:hAnsi="宋体"/>
          <w:color w:val="auto"/>
          <w:sz w:val="24"/>
          <w:highlight w:val="none"/>
          <w:u w:val="single"/>
        </w:rPr>
        <w:t>（招标人）</w:t>
      </w:r>
      <w:r>
        <w:rPr>
          <w:rFonts w:ascii="宋体" w:hAnsi="宋体"/>
          <w:color w:val="auto"/>
          <w:sz w:val="24"/>
          <w:highlight w:val="none"/>
          <w:u w:val="single"/>
        </w:rPr>
        <w:t xml:space="preserve">      </w:t>
      </w:r>
    </w:p>
    <w:p w14:paraId="6FC57826">
      <w:pPr>
        <w:adjustRightInd w:val="0"/>
        <w:snapToGrid w:val="0"/>
        <w:spacing w:line="560" w:lineRule="exact"/>
        <w:ind w:firstLine="480" w:firstLineChars="200"/>
        <w:rPr>
          <w:rFonts w:ascii="宋体" w:hAnsi="宋体"/>
          <w:color w:val="auto"/>
          <w:sz w:val="24"/>
          <w:highlight w:val="none"/>
        </w:rPr>
      </w:pPr>
      <w:r>
        <w:rPr>
          <w:rFonts w:hint="eastAsia" w:ascii="宋体" w:hAnsi="宋体"/>
          <w:color w:val="auto"/>
          <w:sz w:val="24"/>
          <w:highlight w:val="none"/>
        </w:rPr>
        <w:t>1、根据你方招</w:t>
      </w:r>
      <w:bookmarkStart w:id="1515" w:name="_Toc60061591"/>
      <w:r>
        <w:rPr>
          <w:rFonts w:hint="eastAsia" w:ascii="宋体" w:hAnsi="宋体"/>
          <w:color w:val="auto"/>
          <w:sz w:val="24"/>
          <w:highlight w:val="none"/>
        </w:rPr>
        <w:t>标项目编号为</w:t>
      </w:r>
      <w:r>
        <w:rPr>
          <w:rFonts w:ascii="宋体" w:hAnsi="宋体"/>
          <w:color w:val="auto"/>
          <w:sz w:val="24"/>
          <w:highlight w:val="none"/>
          <w:u w:val="single"/>
        </w:rPr>
        <w:t xml:space="preserve">  </w:t>
      </w:r>
      <w:bookmarkEnd w:id="1515"/>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hAnsi="宋体"/>
          <w:color w:val="auto"/>
          <w:sz w:val="24"/>
          <w:highlight w:val="none"/>
        </w:rPr>
        <w:t>的</w:t>
      </w:r>
      <w:r>
        <w:rPr>
          <w:rFonts w:ascii="宋体" w:hAnsi="宋体"/>
          <w:color w:val="auto"/>
          <w:sz w:val="24"/>
          <w:highlight w:val="none"/>
        </w:rPr>
        <w:t xml:space="preserve"> </w:t>
      </w:r>
      <w:r>
        <w:rPr>
          <w:rFonts w:ascii="宋体" w:hAnsi="宋体"/>
          <w:color w:val="auto"/>
          <w:sz w:val="24"/>
          <w:highlight w:val="none"/>
          <w:u w:val="single"/>
        </w:rPr>
        <w:t xml:space="preserve">                </w:t>
      </w:r>
      <w:r>
        <w:rPr>
          <w:rFonts w:hint="eastAsia" w:ascii="宋体" w:hAnsi="宋体"/>
          <w:color w:val="auto"/>
          <w:sz w:val="24"/>
          <w:highlight w:val="none"/>
        </w:rPr>
        <w:t>招标文件，遵照《中华人民共和国招标投标法》等有关规定，经踏勘项目现场和研究上述招标文件的投标须知、合同条件、技术规范、图纸、工程量清单和其他有关文件后，我方愿以</w:t>
      </w:r>
      <w:r>
        <w:rPr>
          <w:rFonts w:ascii="宋体" w:hAnsi="宋体"/>
          <w:color w:val="auto"/>
          <w:sz w:val="24"/>
          <w:highlight w:val="none"/>
        </w:rPr>
        <w:t xml:space="preserve"> </w:t>
      </w:r>
      <w:r>
        <w:rPr>
          <w:rFonts w:hint="eastAsia" w:ascii="宋体" w:hAnsi="宋体"/>
          <w:color w:val="auto"/>
          <w:sz w:val="24"/>
          <w:highlight w:val="none"/>
        </w:rPr>
        <w:t>（币种，金额、单位）</w:t>
      </w:r>
      <w:r>
        <w:rPr>
          <w:rFonts w:hint="eastAsia" w:ascii="宋体" w:hAnsi="宋体"/>
          <w:color w:val="auto"/>
          <w:sz w:val="24"/>
          <w:highlight w:val="none"/>
          <w:u w:val="single"/>
        </w:rPr>
        <w:t xml:space="preserve">人民币           元                  </w:t>
      </w:r>
      <w:r>
        <w:rPr>
          <w:rFonts w:hint="eastAsia" w:ascii="宋体" w:hAnsi="宋体"/>
          <w:color w:val="auto"/>
          <w:sz w:val="24"/>
          <w:highlight w:val="none"/>
        </w:rPr>
        <w:t>的投标总报价承包上述工程的施工、竣工，并承担任何质量缺陷保修责任。</w:t>
      </w:r>
    </w:p>
    <w:p w14:paraId="681C8193">
      <w:pPr>
        <w:tabs>
          <w:tab w:val="left" w:pos="840"/>
        </w:tabs>
        <w:adjustRightInd w:val="0"/>
        <w:snapToGrid w:val="0"/>
        <w:spacing w:line="560" w:lineRule="exact"/>
        <w:ind w:firstLine="480" w:firstLineChars="200"/>
        <w:rPr>
          <w:rFonts w:ascii="宋体" w:hAnsi="宋体"/>
          <w:color w:val="auto"/>
          <w:sz w:val="24"/>
          <w:highlight w:val="none"/>
        </w:rPr>
      </w:pPr>
      <w:r>
        <w:rPr>
          <w:rFonts w:hint="eastAsia" w:ascii="宋体" w:hAnsi="宋体"/>
          <w:color w:val="auto"/>
          <w:sz w:val="24"/>
          <w:highlight w:val="none"/>
        </w:rPr>
        <w:t>2、我方已详细审核全部招标文件及有关附件，承诺招标文件及有关附件中所有条款。</w:t>
      </w:r>
    </w:p>
    <w:p w14:paraId="39CADF5D">
      <w:pPr>
        <w:adjustRightInd w:val="0"/>
        <w:snapToGrid w:val="0"/>
        <w:spacing w:line="560" w:lineRule="exact"/>
        <w:ind w:firstLine="480" w:firstLineChars="200"/>
        <w:rPr>
          <w:rFonts w:ascii="宋体" w:hAnsi="宋体"/>
          <w:color w:val="auto"/>
          <w:sz w:val="24"/>
          <w:highlight w:val="none"/>
        </w:rPr>
      </w:pPr>
      <w:r>
        <w:rPr>
          <w:rFonts w:hint="eastAsia" w:ascii="宋体" w:hAnsi="宋体"/>
          <w:color w:val="auto"/>
          <w:sz w:val="24"/>
          <w:highlight w:val="none"/>
        </w:rPr>
        <w:t>3、一旦我方中标，我方将派出</w:t>
      </w:r>
      <w:r>
        <w:rPr>
          <w:rFonts w:hint="eastAsia" w:ascii="宋体" w:hAnsi="宋体"/>
          <w:color w:val="auto"/>
          <w:sz w:val="24"/>
          <w:highlight w:val="none"/>
          <w:u w:val="single"/>
        </w:rPr>
        <w:t xml:space="preserve">           </w:t>
      </w:r>
      <w:r>
        <w:rPr>
          <w:rFonts w:hint="eastAsia" w:ascii="宋体" w:hAnsi="宋体"/>
          <w:color w:val="auto"/>
          <w:sz w:val="24"/>
          <w:highlight w:val="none"/>
        </w:rPr>
        <w:t>建造师为本工程项目经理，保证按照招标人要求开始本工程的施工，并在</w:t>
      </w:r>
      <w:r>
        <w:rPr>
          <w:rFonts w:ascii="宋体" w:hAnsi="宋体"/>
          <w:color w:val="auto"/>
          <w:sz w:val="24"/>
          <w:highlight w:val="none"/>
          <w:u w:val="single"/>
        </w:rPr>
        <w:t xml:space="preserve">       </w:t>
      </w:r>
      <w:r>
        <w:rPr>
          <w:rFonts w:hint="eastAsia" w:ascii="宋体" w:hAnsi="宋体"/>
          <w:color w:val="auto"/>
          <w:sz w:val="24"/>
          <w:highlight w:val="none"/>
        </w:rPr>
        <w:t>个日历天（工期）内完成本合同的施工，并移交整个工程，工程质量达到</w:t>
      </w:r>
      <w:r>
        <w:rPr>
          <w:rFonts w:ascii="宋体" w:hAnsi="宋体"/>
          <w:color w:val="auto"/>
          <w:sz w:val="24"/>
          <w:highlight w:val="none"/>
          <w:u w:val="single"/>
        </w:rPr>
        <w:t xml:space="preserve">          </w:t>
      </w:r>
      <w:r>
        <w:rPr>
          <w:rFonts w:hint="eastAsia" w:ascii="宋体" w:hAnsi="宋体"/>
          <w:color w:val="auto"/>
          <w:sz w:val="24"/>
          <w:highlight w:val="none"/>
        </w:rPr>
        <w:t xml:space="preserve"> 标准。</w:t>
      </w:r>
    </w:p>
    <w:p w14:paraId="20CD2CDB">
      <w:pPr>
        <w:adjustRightInd w:val="0"/>
        <w:snapToGrid w:val="0"/>
        <w:spacing w:line="560" w:lineRule="exact"/>
        <w:ind w:firstLine="480" w:firstLineChars="200"/>
        <w:rPr>
          <w:rFonts w:ascii="宋体" w:hAnsi="宋体"/>
          <w:color w:val="auto"/>
          <w:sz w:val="24"/>
          <w:highlight w:val="none"/>
        </w:rPr>
      </w:pPr>
      <w:r>
        <w:rPr>
          <w:rFonts w:hint="eastAsia" w:ascii="宋体" w:hAnsi="宋体"/>
          <w:color w:val="auto"/>
          <w:sz w:val="24"/>
          <w:highlight w:val="none"/>
        </w:rPr>
        <w:t>4、随本投标书，我方同时按照招标文件的要求提交投标保证金。如果我方在投标截止后撤销投标文件，或在中标后无正当理由不与招标人订立合同，在签订合同时向招标人提出附加条件，或者不按照招标文件要求提交履约保证金，贵单位有权不予退还投标保证金。</w:t>
      </w:r>
    </w:p>
    <w:p w14:paraId="29D418A8">
      <w:pPr>
        <w:adjustRightInd w:val="0"/>
        <w:snapToGrid w:val="0"/>
        <w:spacing w:line="560" w:lineRule="exact"/>
        <w:ind w:firstLine="480" w:firstLineChars="200"/>
        <w:rPr>
          <w:rFonts w:hint="eastAsia" w:ascii="宋体" w:hAnsi="宋体"/>
          <w:color w:val="auto"/>
          <w:sz w:val="24"/>
          <w:highlight w:val="none"/>
        </w:rPr>
      </w:pPr>
      <w:r>
        <w:rPr>
          <w:rFonts w:hint="eastAsia" w:ascii="宋体" w:hAnsi="宋体"/>
          <w:color w:val="auto"/>
          <w:sz w:val="24"/>
          <w:highlight w:val="none"/>
        </w:rPr>
        <w:t>5、如果我方中标我方将按照招标文件的规定提交履约担保。工程验收合格后，方可退还。</w:t>
      </w:r>
    </w:p>
    <w:p w14:paraId="212F58B1">
      <w:pPr>
        <w:adjustRightInd w:val="0"/>
        <w:snapToGrid w:val="0"/>
        <w:spacing w:line="560" w:lineRule="exact"/>
        <w:ind w:firstLine="480" w:firstLineChars="200"/>
        <w:jc w:val="left"/>
        <w:rPr>
          <w:rFonts w:hint="eastAsia" w:ascii="宋体" w:hAnsi="宋体"/>
          <w:color w:val="auto"/>
          <w:sz w:val="24"/>
          <w:highlight w:val="none"/>
        </w:rPr>
      </w:pPr>
      <w:r>
        <w:rPr>
          <w:rFonts w:hint="eastAsia" w:ascii="宋体" w:hAnsi="宋体"/>
          <w:color w:val="auto"/>
          <w:sz w:val="24"/>
          <w:highlight w:val="none"/>
        </w:rPr>
        <w:t>6、我方承诺在招标文件规定的投标有效期内不撤销投标文件。</w:t>
      </w:r>
    </w:p>
    <w:p w14:paraId="3B3ECD54">
      <w:pPr>
        <w:adjustRightInd w:val="0"/>
        <w:snapToGrid w:val="0"/>
        <w:spacing w:line="560" w:lineRule="exact"/>
        <w:ind w:firstLine="480" w:firstLineChars="200"/>
        <w:jc w:val="left"/>
        <w:rPr>
          <w:rFonts w:hint="eastAsia" w:ascii="宋体" w:hAnsi="宋体"/>
          <w:color w:val="auto"/>
          <w:sz w:val="24"/>
          <w:highlight w:val="none"/>
        </w:rPr>
      </w:pPr>
      <w:r>
        <w:rPr>
          <w:rFonts w:hint="eastAsia" w:ascii="宋体" w:hAnsi="宋体"/>
          <w:color w:val="auto"/>
          <w:sz w:val="24"/>
          <w:highlight w:val="none"/>
        </w:rPr>
        <w:t>7、我单位提供如下通讯地址：</w:t>
      </w:r>
      <w:r>
        <w:rPr>
          <w:rFonts w:hint="eastAsia" w:ascii="宋体" w:hAnsi="宋体"/>
          <w:color w:val="auto"/>
          <w:sz w:val="24"/>
          <w:highlight w:val="none"/>
          <w:u w:val="single"/>
        </w:rPr>
        <w:t xml:space="preserve">                </w:t>
      </w:r>
      <w:r>
        <w:rPr>
          <w:rFonts w:hint="eastAsia" w:ascii="宋体" w:hAnsi="宋体"/>
          <w:color w:val="auto"/>
          <w:sz w:val="24"/>
          <w:highlight w:val="none"/>
        </w:rPr>
        <w:t>电子邮箱（地址），确认本项目相关法律文书均通过提供的以上地址送达，相关文书只要发送至以上电子邮箱（地址）即视为送达，投标人愿意承担一切法律后果。</w:t>
      </w:r>
    </w:p>
    <w:p w14:paraId="13F4BA4F">
      <w:pPr>
        <w:adjustRightInd w:val="0"/>
        <w:snapToGrid w:val="0"/>
        <w:spacing w:line="560" w:lineRule="exact"/>
        <w:ind w:firstLine="480" w:firstLineChars="200"/>
        <w:jc w:val="left"/>
        <w:rPr>
          <w:rFonts w:hint="eastAsia" w:ascii="宋体" w:hAnsi="宋体"/>
          <w:color w:val="auto"/>
          <w:sz w:val="24"/>
          <w:highlight w:val="none"/>
        </w:rPr>
      </w:pPr>
      <w:r>
        <w:rPr>
          <w:rFonts w:hint="eastAsia" w:ascii="宋体" w:hAnsi="宋体"/>
          <w:color w:val="auto"/>
          <w:sz w:val="24"/>
          <w:highlight w:val="none"/>
        </w:rPr>
        <w:t>8.</w:t>
      </w:r>
      <w:r>
        <w:rPr>
          <w:rFonts w:hint="eastAsia" w:ascii="宋体" w:hAnsi="宋体"/>
          <w:color w:val="auto"/>
          <w:sz w:val="24"/>
          <w:highlight w:val="none"/>
          <w:u w:val="single"/>
        </w:rPr>
        <w:t xml:space="preserve">                           </w:t>
      </w:r>
      <w:r>
        <w:rPr>
          <w:rFonts w:hint="eastAsia" w:ascii="宋体" w:hAnsi="宋体"/>
          <w:color w:val="auto"/>
          <w:sz w:val="24"/>
          <w:highlight w:val="none"/>
        </w:rPr>
        <w:t>（其他补充说明</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如有</w:t>
      </w:r>
      <w:r>
        <w:rPr>
          <w:rFonts w:hint="eastAsia" w:ascii="宋体" w:hAnsi="宋体"/>
          <w:color w:val="auto"/>
          <w:sz w:val="24"/>
          <w:highlight w:val="none"/>
        </w:rPr>
        <w:t>）。</w:t>
      </w:r>
    </w:p>
    <w:p w14:paraId="461D3625">
      <w:pPr>
        <w:adjustRightInd w:val="0"/>
        <w:snapToGrid w:val="0"/>
        <w:spacing w:line="560" w:lineRule="exact"/>
        <w:ind w:firstLine="480" w:firstLineChars="200"/>
        <w:rPr>
          <w:rFonts w:hint="eastAsia" w:ascii="宋体" w:hAnsi="宋体"/>
          <w:color w:val="auto"/>
          <w:sz w:val="24"/>
          <w:highlight w:val="none"/>
        </w:rPr>
      </w:pPr>
    </w:p>
    <w:p w14:paraId="453C8A25">
      <w:pPr>
        <w:adjustRightInd w:val="0"/>
        <w:snapToGrid w:val="0"/>
        <w:spacing w:line="560" w:lineRule="exact"/>
        <w:ind w:firstLine="480" w:firstLineChars="200"/>
        <w:rPr>
          <w:rFonts w:ascii="宋体" w:hAnsi="宋体"/>
          <w:color w:val="auto"/>
          <w:sz w:val="24"/>
          <w:highlight w:val="none"/>
          <w:u w:val="single"/>
        </w:rPr>
      </w:pPr>
      <w:r>
        <w:rPr>
          <w:rFonts w:hint="eastAsia" w:ascii="宋体" w:hAnsi="宋体"/>
          <w:color w:val="auto"/>
          <w:sz w:val="24"/>
          <w:highlight w:val="none"/>
        </w:rPr>
        <w:t>投标人：</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（签章）</w:t>
      </w:r>
      <w:r>
        <w:rPr>
          <w:rFonts w:ascii="宋体" w:hAnsi="宋体"/>
          <w:color w:val="auto"/>
          <w:sz w:val="24"/>
          <w:highlight w:val="none"/>
          <w:u w:val="single"/>
        </w:rPr>
        <w:t xml:space="preserve">   </w:t>
      </w:r>
    </w:p>
    <w:p w14:paraId="34AD31D5">
      <w:pPr>
        <w:adjustRightInd w:val="0"/>
        <w:snapToGrid w:val="0"/>
        <w:spacing w:line="560" w:lineRule="exact"/>
        <w:ind w:firstLine="480" w:firstLineChars="200"/>
        <w:rPr>
          <w:rFonts w:ascii="宋体" w:hAnsi="宋体"/>
          <w:color w:val="auto"/>
          <w:sz w:val="24"/>
          <w:highlight w:val="none"/>
        </w:rPr>
      </w:pPr>
      <w:r>
        <w:rPr>
          <w:rFonts w:hint="eastAsia" w:ascii="宋体" w:hAnsi="宋体"/>
          <w:color w:val="auto"/>
          <w:sz w:val="24"/>
          <w:highlight w:val="none"/>
        </w:rPr>
        <w:t>法定代表人：</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（签章）联系人：                 </w:t>
      </w:r>
    </w:p>
    <w:p w14:paraId="5A506604">
      <w:pPr>
        <w:adjustRightInd w:val="0"/>
        <w:snapToGrid w:val="0"/>
        <w:spacing w:line="560" w:lineRule="exact"/>
        <w:ind w:firstLine="480" w:firstLineChars="200"/>
        <w:rPr>
          <w:rFonts w:hint="eastAsia" w:ascii="宋体" w:hAnsi="宋体"/>
          <w:color w:val="auto"/>
          <w:sz w:val="24"/>
          <w:highlight w:val="none"/>
        </w:rPr>
      </w:pPr>
      <w:r>
        <w:rPr>
          <w:rFonts w:hint="eastAsia" w:ascii="宋体" w:hAnsi="宋体"/>
          <w:color w:val="auto"/>
          <w:sz w:val="24"/>
          <w:highlight w:val="none"/>
        </w:rPr>
        <w:t>单位地址：</w:t>
      </w:r>
      <w:r>
        <w:rPr>
          <w:rFonts w:hint="eastAsia" w:ascii="宋体" w:hAnsi="宋体"/>
          <w:color w:val="auto"/>
          <w:sz w:val="24"/>
          <w:highlight w:val="none"/>
          <w:u w:val="single"/>
        </w:rPr>
        <w:t xml:space="preserve">                                       </w:t>
      </w:r>
    </w:p>
    <w:p w14:paraId="0A5CDC9B">
      <w:pPr>
        <w:adjustRightInd w:val="0"/>
        <w:snapToGrid w:val="0"/>
        <w:spacing w:line="560" w:lineRule="exact"/>
        <w:ind w:firstLine="480" w:firstLineChars="200"/>
        <w:rPr>
          <w:rFonts w:ascii="宋体" w:hAnsi="宋体"/>
          <w:color w:val="auto"/>
          <w:sz w:val="24"/>
          <w:highlight w:val="none"/>
          <w:u w:val="single"/>
        </w:rPr>
      </w:pPr>
      <w:r>
        <w:rPr>
          <w:rFonts w:hint="eastAsia" w:ascii="宋体" w:hAnsi="宋体"/>
          <w:color w:val="auto"/>
          <w:sz w:val="24"/>
          <w:highlight w:val="none"/>
        </w:rPr>
        <w:t>邮政编码：</w:t>
      </w:r>
      <w:r>
        <w:rPr>
          <w:rFonts w:ascii="宋体" w:hAnsi="宋体"/>
          <w:color w:val="auto"/>
          <w:sz w:val="24"/>
          <w:highlight w:val="none"/>
          <w:u w:val="single"/>
        </w:rPr>
        <w:t xml:space="preserve">            </w:t>
      </w:r>
      <w:r>
        <w:rPr>
          <w:rFonts w:hint="eastAsia" w:ascii="宋体" w:hAnsi="宋体"/>
          <w:color w:val="auto"/>
          <w:sz w:val="24"/>
          <w:highlight w:val="none"/>
        </w:rPr>
        <w:t>联系人手机号码：</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传真：</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
    <w:p w14:paraId="43C3D99A">
      <w:pPr>
        <w:adjustRightInd w:val="0"/>
        <w:snapToGrid w:val="0"/>
        <w:spacing w:line="560" w:lineRule="exact"/>
        <w:ind w:firstLine="480" w:firstLineChars="200"/>
        <w:rPr>
          <w:color w:val="auto"/>
          <w:szCs w:val="21"/>
          <w:highlight w:val="none"/>
          <w:u w:val="single"/>
        </w:rPr>
      </w:pPr>
      <w:r>
        <w:rPr>
          <w:rFonts w:hint="eastAsia" w:ascii="宋体" w:hAnsi="宋体"/>
          <w:color w:val="auto"/>
          <w:sz w:val="24"/>
          <w:highlight w:val="none"/>
        </w:rPr>
        <w:t>日期：</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年</w:t>
      </w:r>
      <w:r>
        <w:rPr>
          <w:rFonts w:ascii="宋体" w:hAnsi="宋体"/>
          <w:color w:val="auto"/>
          <w:sz w:val="24"/>
          <w:highlight w:val="non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月</w:t>
      </w:r>
      <w:r>
        <w:rPr>
          <w:rFonts w:ascii="宋体" w:hAnsi="宋体"/>
          <w:color w:val="auto"/>
          <w:sz w:val="24"/>
          <w:highlight w:val="non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日</w:t>
      </w:r>
    </w:p>
    <w:p w14:paraId="6E94CE7B">
      <w:pPr>
        <w:pStyle w:val="4"/>
        <w:adjustRightInd w:val="0"/>
        <w:snapToGrid w:val="0"/>
        <w:spacing w:before="0" w:after="0" w:line="560" w:lineRule="exact"/>
        <w:jc w:val="center"/>
        <w:rPr>
          <w:color w:val="auto"/>
          <w:highlight w:val="none"/>
        </w:rPr>
        <w:sectPr>
          <w:pgSz w:w="11910" w:h="16840"/>
          <w:pgMar w:top="1060" w:right="660" w:bottom="1020" w:left="1120" w:header="0" w:footer="833" w:gutter="0"/>
          <w:pgNumType w:fmt="numberInDash"/>
          <w:cols w:space="720" w:num="1"/>
        </w:sectPr>
      </w:pPr>
      <w:bookmarkStart w:id="1516" w:name="_Toc95223544"/>
    </w:p>
    <w:p w14:paraId="2179DA9E">
      <w:pPr>
        <w:pStyle w:val="4"/>
        <w:adjustRightInd w:val="0"/>
        <w:snapToGrid w:val="0"/>
        <w:spacing w:before="0" w:after="0" w:line="560" w:lineRule="exact"/>
        <w:jc w:val="center"/>
        <w:rPr>
          <w:rFonts w:hint="eastAsia"/>
          <w:color w:val="auto"/>
          <w:highlight w:val="none"/>
        </w:rPr>
      </w:pPr>
      <w:r>
        <w:rPr>
          <w:rFonts w:hint="eastAsia"/>
          <w:color w:val="auto"/>
          <w:highlight w:val="none"/>
        </w:rPr>
        <w:t>（2）工程量清单报价书</w:t>
      </w:r>
      <w:bookmarkEnd w:id="1516"/>
    </w:p>
    <w:p w14:paraId="6D5722FD">
      <w:pPr>
        <w:jc w:val="center"/>
        <w:rPr>
          <w:rFonts w:ascii="Calibri" w:hAnsi="Calibri"/>
          <w:color w:val="auto"/>
          <w:sz w:val="32"/>
          <w:szCs w:val="32"/>
          <w:highlight w:val="none"/>
        </w:rPr>
      </w:pPr>
    </w:p>
    <w:p w14:paraId="38679C6D">
      <w:pPr>
        <w:jc w:val="center"/>
        <w:rPr>
          <w:rFonts w:ascii="Calibri" w:hAnsi="Calibri"/>
          <w:color w:val="auto"/>
          <w:sz w:val="32"/>
          <w:szCs w:val="32"/>
          <w:highlight w:val="none"/>
        </w:rPr>
      </w:pPr>
      <w:r>
        <w:rPr>
          <w:rFonts w:hint="eastAsia" w:ascii="仿宋_GB2312" w:hAnsi="Calibri" w:eastAsia="仿宋_GB2312"/>
          <w:b/>
          <w:color w:val="auto"/>
          <w:sz w:val="36"/>
          <w:szCs w:val="36"/>
          <w:highlight w:val="none"/>
        </w:rPr>
        <w:t>①</w:t>
      </w:r>
      <w:r>
        <w:rPr>
          <w:rFonts w:hint="eastAsia" w:ascii="Calibri" w:hAnsi="Calibri"/>
          <w:b/>
          <w:color w:val="auto"/>
          <w:sz w:val="36"/>
          <w:szCs w:val="36"/>
          <w:highlight w:val="none"/>
        </w:rPr>
        <w:t>工程量清单报价书（封面）</w:t>
      </w:r>
      <w:r>
        <w:rPr>
          <w:rFonts w:hint="eastAsia" w:ascii="Calibri" w:hAnsi="Calibri"/>
          <w:color w:val="auto"/>
          <w:sz w:val="32"/>
          <w:szCs w:val="32"/>
          <w:highlight w:val="none"/>
          <w:vertAlign w:val="superscript"/>
        </w:rPr>
        <w:t>1</w:t>
      </w:r>
    </w:p>
    <w:p w14:paraId="6E8234DA">
      <w:pPr>
        <w:jc w:val="center"/>
        <w:rPr>
          <w:rFonts w:ascii="Calibri" w:hAnsi="Calibri"/>
          <w:b/>
          <w:color w:val="auto"/>
          <w:sz w:val="32"/>
          <w:szCs w:val="32"/>
          <w:highlight w:val="none"/>
        </w:rPr>
      </w:pPr>
    </w:p>
    <w:p w14:paraId="66EE101D">
      <w:pPr>
        <w:ind w:firstLine="643" w:firstLineChars="200"/>
        <w:jc w:val="center"/>
        <w:rPr>
          <w:rFonts w:ascii="Calibri" w:hAnsi="Calibri"/>
          <w:b/>
          <w:color w:val="auto"/>
          <w:sz w:val="32"/>
          <w:szCs w:val="32"/>
          <w:highlight w:val="none"/>
        </w:rPr>
      </w:pPr>
      <w:r>
        <w:rPr>
          <w:rFonts w:hint="eastAsia" w:ascii="Calibri" w:hAnsi="Calibri"/>
          <w:b/>
          <w:color w:val="auto"/>
          <w:sz w:val="32"/>
          <w:szCs w:val="32"/>
          <w:highlight w:val="none"/>
        </w:rPr>
        <w:t>投标总价</w:t>
      </w:r>
    </w:p>
    <w:p w14:paraId="1CAA5DB5">
      <w:pPr>
        <w:spacing w:line="800" w:lineRule="exact"/>
        <w:ind w:firstLine="640" w:firstLineChars="200"/>
        <w:rPr>
          <w:rFonts w:ascii="Calibri" w:hAnsi="Calibri"/>
          <w:color w:val="auto"/>
          <w:sz w:val="32"/>
          <w:szCs w:val="32"/>
          <w:highlight w:val="none"/>
          <w:u w:val="single"/>
        </w:rPr>
      </w:pPr>
      <w:r>
        <w:rPr>
          <w:rFonts w:hint="eastAsia" w:ascii="Calibri" w:hAnsi="Calibri"/>
          <w:color w:val="auto"/>
          <w:sz w:val="32"/>
          <w:szCs w:val="32"/>
          <w:highlight w:val="none"/>
        </w:rPr>
        <w:t>招标人：</w:t>
      </w:r>
      <w:r>
        <w:rPr>
          <w:rFonts w:hint="eastAsia" w:ascii="Calibri" w:hAnsi="Calibri"/>
          <w:color w:val="auto"/>
          <w:sz w:val="32"/>
          <w:szCs w:val="32"/>
          <w:highlight w:val="none"/>
          <w:u w:val="single"/>
        </w:rPr>
        <w:t xml:space="preserve">                                                 </w:t>
      </w:r>
    </w:p>
    <w:p w14:paraId="58F00EC6">
      <w:pPr>
        <w:spacing w:line="800" w:lineRule="exact"/>
        <w:ind w:firstLine="640" w:firstLineChars="200"/>
        <w:rPr>
          <w:rFonts w:ascii="Calibri" w:hAnsi="Calibri"/>
          <w:color w:val="auto"/>
          <w:sz w:val="32"/>
          <w:szCs w:val="32"/>
          <w:highlight w:val="none"/>
        </w:rPr>
      </w:pPr>
      <w:r>
        <w:rPr>
          <w:rFonts w:hint="eastAsia" w:ascii="Calibri" w:hAnsi="Calibri"/>
          <w:color w:val="auto"/>
          <w:sz w:val="32"/>
          <w:szCs w:val="32"/>
          <w:highlight w:val="none"/>
        </w:rPr>
        <w:t>工程名称：</w:t>
      </w:r>
      <w:r>
        <w:rPr>
          <w:rFonts w:hint="eastAsia" w:ascii="Calibri" w:hAnsi="Calibri"/>
          <w:color w:val="auto"/>
          <w:sz w:val="32"/>
          <w:szCs w:val="32"/>
          <w:highlight w:val="none"/>
          <w:u w:val="single"/>
        </w:rPr>
        <w:t xml:space="preserve">                                               </w:t>
      </w:r>
    </w:p>
    <w:p w14:paraId="519A48A0">
      <w:pPr>
        <w:spacing w:line="800" w:lineRule="exact"/>
        <w:ind w:firstLine="640" w:firstLineChars="200"/>
        <w:rPr>
          <w:rFonts w:ascii="Calibri" w:hAnsi="Calibri"/>
          <w:color w:val="auto"/>
          <w:sz w:val="32"/>
          <w:szCs w:val="32"/>
          <w:highlight w:val="none"/>
          <w:u w:val="single"/>
        </w:rPr>
      </w:pPr>
      <w:r>
        <w:rPr>
          <w:rFonts w:hint="eastAsia" w:ascii="Calibri" w:hAnsi="Calibri"/>
          <w:color w:val="auto"/>
          <w:sz w:val="32"/>
          <w:szCs w:val="32"/>
          <w:highlight w:val="none"/>
        </w:rPr>
        <w:t>投标总价（小写）：</w:t>
      </w:r>
      <w:r>
        <w:rPr>
          <w:rFonts w:hint="eastAsia" w:ascii="Calibri" w:hAnsi="Calibri"/>
          <w:color w:val="auto"/>
          <w:sz w:val="32"/>
          <w:szCs w:val="32"/>
          <w:highlight w:val="none"/>
          <w:u w:val="single"/>
        </w:rPr>
        <w:t xml:space="preserve">                                       </w:t>
      </w:r>
    </w:p>
    <w:p w14:paraId="3D92C1C0">
      <w:pPr>
        <w:spacing w:line="800" w:lineRule="exact"/>
        <w:ind w:firstLine="1920" w:firstLineChars="600"/>
        <w:rPr>
          <w:rFonts w:ascii="Calibri" w:hAnsi="Calibri"/>
          <w:color w:val="auto"/>
          <w:sz w:val="32"/>
          <w:szCs w:val="32"/>
          <w:highlight w:val="none"/>
        </w:rPr>
      </w:pPr>
      <w:r>
        <w:rPr>
          <w:rFonts w:hint="eastAsia" w:ascii="Calibri" w:hAnsi="Calibri"/>
          <w:color w:val="auto"/>
          <w:sz w:val="32"/>
          <w:szCs w:val="32"/>
          <w:highlight w:val="none"/>
        </w:rPr>
        <w:t>（大写）：</w:t>
      </w:r>
      <w:r>
        <w:rPr>
          <w:rFonts w:hint="eastAsia" w:ascii="Calibri" w:hAnsi="Calibri"/>
          <w:color w:val="auto"/>
          <w:sz w:val="32"/>
          <w:szCs w:val="32"/>
          <w:highlight w:val="none"/>
          <w:u w:val="single"/>
        </w:rPr>
        <w:t xml:space="preserve">                                       </w:t>
      </w:r>
    </w:p>
    <w:p w14:paraId="635AC24C">
      <w:pPr>
        <w:spacing w:line="800" w:lineRule="exact"/>
        <w:ind w:firstLine="640" w:firstLineChars="200"/>
        <w:rPr>
          <w:rFonts w:ascii="Calibri" w:hAnsi="Calibri"/>
          <w:color w:val="auto"/>
          <w:sz w:val="32"/>
          <w:szCs w:val="32"/>
          <w:highlight w:val="none"/>
        </w:rPr>
      </w:pPr>
    </w:p>
    <w:p w14:paraId="188F9E19">
      <w:pPr>
        <w:spacing w:line="800" w:lineRule="exact"/>
        <w:ind w:firstLine="640" w:firstLineChars="200"/>
        <w:rPr>
          <w:rFonts w:ascii="Calibri" w:hAnsi="Calibri"/>
          <w:color w:val="auto"/>
          <w:sz w:val="32"/>
          <w:szCs w:val="32"/>
          <w:highlight w:val="none"/>
        </w:rPr>
      </w:pPr>
      <w:r>
        <w:rPr>
          <w:rFonts w:hint="eastAsia" w:ascii="Calibri" w:hAnsi="Calibri"/>
          <w:color w:val="auto"/>
          <w:sz w:val="32"/>
          <w:szCs w:val="32"/>
          <w:highlight w:val="none"/>
        </w:rPr>
        <w:t>投 标 人：</w:t>
      </w:r>
      <w:r>
        <w:rPr>
          <w:rFonts w:hint="eastAsia" w:ascii="Calibri" w:hAnsi="Calibri"/>
          <w:color w:val="auto"/>
          <w:sz w:val="32"/>
          <w:szCs w:val="32"/>
          <w:highlight w:val="none"/>
          <w:u w:val="single"/>
        </w:rPr>
        <w:t xml:space="preserve">                                     </w:t>
      </w:r>
      <w:r>
        <w:rPr>
          <w:rFonts w:hint="eastAsia" w:ascii="Calibri" w:hAnsi="Calibri"/>
          <w:color w:val="auto"/>
          <w:sz w:val="32"/>
          <w:szCs w:val="32"/>
          <w:highlight w:val="none"/>
        </w:rPr>
        <w:t xml:space="preserve"> (单位盖章)</w:t>
      </w:r>
    </w:p>
    <w:p w14:paraId="7F2367A6">
      <w:pPr>
        <w:spacing w:line="800" w:lineRule="exact"/>
        <w:ind w:firstLine="640" w:firstLineChars="200"/>
        <w:rPr>
          <w:rFonts w:ascii="Calibri" w:hAnsi="Calibri"/>
          <w:color w:val="auto"/>
          <w:sz w:val="32"/>
          <w:szCs w:val="32"/>
          <w:highlight w:val="none"/>
        </w:rPr>
      </w:pPr>
    </w:p>
    <w:p w14:paraId="49EFE411">
      <w:pPr>
        <w:spacing w:line="800" w:lineRule="exact"/>
        <w:ind w:firstLine="640" w:firstLineChars="200"/>
        <w:rPr>
          <w:rFonts w:ascii="Calibri" w:hAnsi="Calibri"/>
          <w:color w:val="auto"/>
          <w:sz w:val="32"/>
          <w:szCs w:val="32"/>
          <w:highlight w:val="none"/>
        </w:rPr>
      </w:pPr>
      <w:r>
        <w:rPr>
          <w:rFonts w:hint="eastAsia" w:ascii="Calibri" w:hAnsi="Calibri"/>
          <w:color w:val="auto"/>
          <w:sz w:val="32"/>
          <w:szCs w:val="32"/>
          <w:highlight w:val="none"/>
        </w:rPr>
        <w:t>法定代表人：</w:t>
      </w:r>
      <w:r>
        <w:rPr>
          <w:rFonts w:hint="eastAsia" w:ascii="Calibri" w:hAnsi="Calibri"/>
          <w:color w:val="auto"/>
          <w:sz w:val="32"/>
          <w:szCs w:val="32"/>
          <w:highlight w:val="none"/>
          <w:u w:val="single"/>
        </w:rPr>
        <w:t xml:space="preserve">                                 </w:t>
      </w:r>
      <w:r>
        <w:rPr>
          <w:rFonts w:hint="eastAsia" w:ascii="Calibri" w:hAnsi="Calibri"/>
          <w:color w:val="auto"/>
          <w:sz w:val="32"/>
          <w:szCs w:val="32"/>
          <w:highlight w:val="none"/>
        </w:rPr>
        <w:t xml:space="preserve"> (签字或盖章)</w:t>
      </w:r>
    </w:p>
    <w:p w14:paraId="3E438E35">
      <w:pPr>
        <w:spacing w:line="800" w:lineRule="exact"/>
        <w:ind w:firstLine="640" w:firstLineChars="200"/>
        <w:rPr>
          <w:rFonts w:ascii="Calibri" w:hAnsi="Calibri"/>
          <w:color w:val="auto"/>
          <w:sz w:val="32"/>
          <w:szCs w:val="32"/>
          <w:highlight w:val="none"/>
        </w:rPr>
      </w:pPr>
    </w:p>
    <w:p w14:paraId="5FEB631C">
      <w:pPr>
        <w:spacing w:line="800" w:lineRule="exact"/>
        <w:ind w:firstLine="640" w:firstLineChars="200"/>
        <w:rPr>
          <w:rFonts w:ascii="Calibri" w:hAnsi="Calibri"/>
          <w:color w:val="auto"/>
          <w:sz w:val="32"/>
          <w:szCs w:val="32"/>
          <w:highlight w:val="none"/>
          <w:u w:val="single"/>
        </w:rPr>
      </w:pPr>
      <w:r>
        <w:rPr>
          <w:rFonts w:hint="eastAsia" w:ascii="Calibri" w:hAnsi="Calibri"/>
          <w:color w:val="auto"/>
          <w:sz w:val="32"/>
          <w:szCs w:val="32"/>
          <w:highlight w:val="none"/>
        </w:rPr>
        <w:t>编制人：</w:t>
      </w:r>
      <w:r>
        <w:rPr>
          <w:rFonts w:hint="eastAsia" w:ascii="Calibri" w:hAnsi="Calibri"/>
          <w:color w:val="auto"/>
          <w:sz w:val="32"/>
          <w:szCs w:val="32"/>
          <w:highlight w:val="none"/>
          <w:u w:val="single"/>
        </w:rPr>
        <w:t xml:space="preserve">                                                 </w:t>
      </w:r>
    </w:p>
    <w:p w14:paraId="1620A29E">
      <w:pPr>
        <w:spacing w:line="800" w:lineRule="exact"/>
        <w:ind w:firstLine="2720" w:firstLineChars="850"/>
        <w:rPr>
          <w:rFonts w:ascii="Calibri" w:hAnsi="Calibri"/>
          <w:color w:val="auto"/>
          <w:sz w:val="32"/>
          <w:szCs w:val="32"/>
          <w:highlight w:val="none"/>
          <w:u w:val="single"/>
        </w:rPr>
      </w:pPr>
      <w:r>
        <w:rPr>
          <w:rFonts w:hint="eastAsia" w:ascii="Calibri" w:hAnsi="Calibri"/>
          <w:color w:val="auto"/>
          <w:sz w:val="32"/>
          <w:szCs w:val="32"/>
          <w:highlight w:val="none"/>
        </w:rPr>
        <w:t xml:space="preserve"> (注册造价工程师签字并盖执业专用章)</w:t>
      </w:r>
    </w:p>
    <w:p w14:paraId="0083D273">
      <w:pPr>
        <w:spacing w:line="800" w:lineRule="exact"/>
        <w:ind w:firstLine="640" w:firstLineChars="200"/>
        <w:rPr>
          <w:rFonts w:ascii="Calibri" w:hAnsi="Calibri"/>
          <w:color w:val="auto"/>
          <w:sz w:val="32"/>
          <w:szCs w:val="32"/>
          <w:highlight w:val="none"/>
        </w:rPr>
      </w:pPr>
    </w:p>
    <w:p w14:paraId="59AC7A15">
      <w:pPr>
        <w:spacing w:line="800" w:lineRule="exact"/>
        <w:ind w:firstLine="640" w:firstLineChars="200"/>
        <w:rPr>
          <w:rFonts w:ascii="Calibri" w:hAnsi="Calibri"/>
          <w:color w:val="auto"/>
          <w:sz w:val="32"/>
          <w:szCs w:val="32"/>
          <w:highlight w:val="none"/>
        </w:rPr>
      </w:pPr>
      <w:r>
        <w:rPr>
          <w:rFonts w:hint="eastAsia" w:ascii="Calibri" w:hAnsi="Calibri"/>
          <w:color w:val="auto"/>
          <w:sz w:val="32"/>
          <w:szCs w:val="32"/>
          <w:highlight w:val="none"/>
        </w:rPr>
        <w:t>编制时间：</w:t>
      </w:r>
      <w:r>
        <w:rPr>
          <w:rFonts w:hint="eastAsia" w:ascii="Calibri" w:hAnsi="Calibri"/>
          <w:color w:val="auto"/>
          <w:sz w:val="32"/>
          <w:szCs w:val="32"/>
          <w:highlight w:val="none"/>
          <w:u w:val="single"/>
        </w:rPr>
        <w:t xml:space="preserve">             </w:t>
      </w:r>
      <w:r>
        <w:rPr>
          <w:rFonts w:hint="eastAsia" w:ascii="Calibri" w:hAnsi="Calibri"/>
          <w:color w:val="auto"/>
          <w:sz w:val="32"/>
          <w:szCs w:val="32"/>
          <w:highlight w:val="none"/>
        </w:rPr>
        <w:t>年</w:t>
      </w:r>
      <w:r>
        <w:rPr>
          <w:rFonts w:hint="eastAsia" w:ascii="Calibri" w:hAnsi="Calibri"/>
          <w:color w:val="auto"/>
          <w:sz w:val="32"/>
          <w:szCs w:val="32"/>
          <w:highlight w:val="none"/>
          <w:u w:val="single"/>
        </w:rPr>
        <w:t xml:space="preserve">          </w:t>
      </w:r>
      <w:r>
        <w:rPr>
          <w:rFonts w:hint="eastAsia" w:ascii="Calibri" w:hAnsi="Calibri"/>
          <w:color w:val="auto"/>
          <w:sz w:val="32"/>
          <w:szCs w:val="32"/>
          <w:highlight w:val="none"/>
        </w:rPr>
        <w:t>月</w:t>
      </w:r>
      <w:r>
        <w:rPr>
          <w:rFonts w:hint="eastAsia" w:ascii="Calibri" w:hAnsi="Calibri"/>
          <w:color w:val="auto"/>
          <w:sz w:val="32"/>
          <w:szCs w:val="32"/>
          <w:highlight w:val="none"/>
          <w:u w:val="single"/>
        </w:rPr>
        <w:t xml:space="preserve">          </w:t>
      </w:r>
      <w:r>
        <w:rPr>
          <w:rFonts w:hint="eastAsia" w:ascii="Calibri" w:hAnsi="Calibri"/>
          <w:color w:val="auto"/>
          <w:sz w:val="32"/>
          <w:szCs w:val="32"/>
          <w:highlight w:val="none"/>
        </w:rPr>
        <w:t>日</w:t>
      </w:r>
    </w:p>
    <w:p w14:paraId="67C5D301">
      <w:pPr>
        <w:rPr>
          <w:rFonts w:ascii="Calibri" w:hAnsi="Calibri"/>
          <w:color w:val="auto"/>
          <w:sz w:val="32"/>
          <w:szCs w:val="32"/>
          <w:highlight w:val="none"/>
        </w:rPr>
      </w:pPr>
    </w:p>
    <w:p w14:paraId="20AA3C4F">
      <w:pPr>
        <w:rPr>
          <w:rFonts w:ascii="宋体" w:hAnsi="宋体"/>
          <w:color w:val="auto"/>
          <w:sz w:val="18"/>
          <w:szCs w:val="18"/>
          <w:highlight w:val="none"/>
        </w:rPr>
      </w:pPr>
      <w:r>
        <w:rPr>
          <w:rFonts w:hint="eastAsia" w:ascii="宋体" w:hAnsi="宋体"/>
          <w:color w:val="auto"/>
          <w:sz w:val="18"/>
          <w:szCs w:val="18"/>
          <w:highlight w:val="none"/>
        </w:rPr>
        <w:t>1注：投标文件格式中工程量清单报价书（封面）及投标报价编制人信息表与投标文件制作工具导出文件不一致的，以投标文件格式文件为准。</w:t>
      </w:r>
    </w:p>
    <w:p w14:paraId="42265489">
      <w:pPr>
        <w:jc w:val="center"/>
        <w:rPr>
          <w:rFonts w:hint="eastAsia" w:ascii="宋体" w:hAnsi="宋体"/>
          <w:color w:val="auto"/>
          <w:sz w:val="32"/>
          <w:szCs w:val="32"/>
          <w:highlight w:val="none"/>
        </w:rPr>
      </w:pPr>
    </w:p>
    <w:p w14:paraId="218BBE7E">
      <w:pPr>
        <w:rPr>
          <w:rFonts w:hint="eastAsia" w:ascii="宋体" w:hAnsi="宋体"/>
          <w:color w:val="auto"/>
          <w:sz w:val="32"/>
          <w:szCs w:val="32"/>
          <w:highlight w:val="none"/>
        </w:rPr>
      </w:pPr>
    </w:p>
    <w:p w14:paraId="0A60F9FB">
      <w:pPr>
        <w:jc w:val="center"/>
        <w:rPr>
          <w:rFonts w:hint="eastAsia" w:ascii="宋体" w:hAnsi="宋体"/>
          <w:color w:val="auto"/>
          <w:sz w:val="32"/>
          <w:szCs w:val="32"/>
          <w:highlight w:val="none"/>
        </w:rPr>
      </w:pPr>
    </w:p>
    <w:p w14:paraId="328CC7A4">
      <w:pPr>
        <w:jc w:val="center"/>
        <w:rPr>
          <w:rFonts w:ascii="Calibri" w:hAnsi="Calibri"/>
          <w:color w:val="auto"/>
          <w:sz w:val="32"/>
          <w:szCs w:val="32"/>
          <w:highlight w:val="none"/>
        </w:rPr>
      </w:pPr>
      <w:r>
        <w:rPr>
          <w:rFonts w:hint="eastAsia" w:ascii="宋体" w:hAnsi="宋体"/>
          <w:color w:val="auto"/>
          <w:sz w:val="32"/>
          <w:szCs w:val="32"/>
          <w:highlight w:val="none"/>
        </w:rPr>
        <w:t>②</w:t>
      </w:r>
      <w:r>
        <w:rPr>
          <w:rFonts w:hint="eastAsia" w:ascii="Calibri" w:hAnsi="Calibri"/>
          <w:color w:val="auto"/>
          <w:sz w:val="32"/>
          <w:szCs w:val="32"/>
          <w:highlight w:val="none"/>
        </w:rPr>
        <w:t>投标报价编制人信息表</w:t>
      </w:r>
      <w:r>
        <w:rPr>
          <w:rFonts w:hint="eastAsia" w:ascii="Calibri" w:hAnsi="Calibri"/>
          <w:color w:val="auto"/>
          <w:sz w:val="32"/>
          <w:szCs w:val="32"/>
          <w:highlight w:val="none"/>
          <w:vertAlign w:val="superscript"/>
        </w:rPr>
        <w:t>1</w:t>
      </w:r>
    </w:p>
    <w:p w14:paraId="0EAAF277">
      <w:pPr>
        <w:jc w:val="center"/>
        <w:rPr>
          <w:rFonts w:ascii="Calibri" w:hAnsi="Calibri"/>
          <w:color w:val="auto"/>
          <w:sz w:val="32"/>
          <w:szCs w:val="32"/>
          <w:highlight w:val="none"/>
        </w:rPr>
      </w:pPr>
    </w:p>
    <w:tbl>
      <w:tblPr>
        <w:tblStyle w:val="20"/>
        <w:tblW w:w="102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1216"/>
        <w:gridCol w:w="2951"/>
        <w:gridCol w:w="1737"/>
        <w:gridCol w:w="1563"/>
        <w:gridCol w:w="1967"/>
      </w:tblGrid>
      <w:tr w14:paraId="408B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27" w:type="dxa"/>
            <w:noWrap w:val="0"/>
            <w:vAlign w:val="center"/>
          </w:tcPr>
          <w:p w14:paraId="49772963">
            <w:pPr>
              <w:jc w:val="center"/>
              <w:rPr>
                <w:rFonts w:ascii="Calibri" w:hAnsi="Calibri"/>
                <w:color w:val="auto"/>
                <w:szCs w:val="22"/>
                <w:highlight w:val="none"/>
              </w:rPr>
            </w:pPr>
            <w:r>
              <w:rPr>
                <w:rFonts w:hint="eastAsia" w:ascii="Calibri" w:hAnsi="Calibri"/>
                <w:color w:val="auto"/>
                <w:szCs w:val="22"/>
                <w:highlight w:val="none"/>
              </w:rPr>
              <w:t>序号</w:t>
            </w:r>
          </w:p>
        </w:tc>
        <w:tc>
          <w:tcPr>
            <w:tcW w:w="1216" w:type="dxa"/>
            <w:noWrap w:val="0"/>
            <w:vAlign w:val="center"/>
          </w:tcPr>
          <w:p w14:paraId="6D4E6611">
            <w:pPr>
              <w:jc w:val="center"/>
              <w:rPr>
                <w:rFonts w:ascii="Calibri" w:hAnsi="Calibri"/>
                <w:color w:val="auto"/>
                <w:szCs w:val="22"/>
                <w:highlight w:val="none"/>
              </w:rPr>
            </w:pPr>
            <w:r>
              <w:rPr>
                <w:rFonts w:hint="eastAsia" w:ascii="Calibri" w:hAnsi="Calibri"/>
                <w:color w:val="auto"/>
                <w:szCs w:val="22"/>
                <w:highlight w:val="none"/>
              </w:rPr>
              <w:t>姓名</w:t>
            </w:r>
          </w:p>
        </w:tc>
        <w:tc>
          <w:tcPr>
            <w:tcW w:w="2951" w:type="dxa"/>
            <w:noWrap w:val="0"/>
            <w:vAlign w:val="center"/>
          </w:tcPr>
          <w:p w14:paraId="45B23A38">
            <w:pPr>
              <w:jc w:val="center"/>
              <w:rPr>
                <w:rFonts w:ascii="Calibri" w:hAnsi="Calibri"/>
                <w:color w:val="auto"/>
                <w:szCs w:val="22"/>
                <w:highlight w:val="none"/>
              </w:rPr>
            </w:pPr>
            <w:r>
              <w:rPr>
                <w:rFonts w:hint="eastAsia" w:ascii="Calibri" w:hAnsi="Calibri"/>
                <w:color w:val="auto"/>
                <w:szCs w:val="22"/>
                <w:highlight w:val="none"/>
              </w:rPr>
              <w:t>身份证号码</w:t>
            </w:r>
          </w:p>
        </w:tc>
        <w:tc>
          <w:tcPr>
            <w:tcW w:w="1737" w:type="dxa"/>
            <w:noWrap w:val="0"/>
            <w:vAlign w:val="center"/>
          </w:tcPr>
          <w:p w14:paraId="4BDECA07">
            <w:pPr>
              <w:jc w:val="center"/>
              <w:rPr>
                <w:rFonts w:ascii="Calibri" w:hAnsi="Calibri"/>
                <w:color w:val="auto"/>
                <w:szCs w:val="22"/>
                <w:highlight w:val="none"/>
              </w:rPr>
            </w:pPr>
            <w:r>
              <w:rPr>
                <w:rFonts w:hint="eastAsia" w:ascii="Calibri" w:hAnsi="Calibri"/>
                <w:color w:val="auto"/>
                <w:szCs w:val="22"/>
                <w:highlight w:val="none"/>
              </w:rPr>
              <w:t>手机号码</w:t>
            </w:r>
          </w:p>
        </w:tc>
        <w:tc>
          <w:tcPr>
            <w:tcW w:w="1563" w:type="dxa"/>
            <w:noWrap w:val="0"/>
            <w:vAlign w:val="center"/>
          </w:tcPr>
          <w:p w14:paraId="17C9E95F">
            <w:pPr>
              <w:jc w:val="center"/>
              <w:rPr>
                <w:rFonts w:ascii="Calibri" w:hAnsi="Calibri"/>
                <w:color w:val="auto"/>
                <w:szCs w:val="22"/>
                <w:highlight w:val="none"/>
              </w:rPr>
            </w:pPr>
            <w:r>
              <w:rPr>
                <w:rFonts w:hint="eastAsia" w:ascii="Calibri" w:hAnsi="Calibri"/>
                <w:color w:val="auto"/>
                <w:szCs w:val="22"/>
                <w:highlight w:val="none"/>
              </w:rPr>
              <w:t>单位名称</w:t>
            </w:r>
          </w:p>
        </w:tc>
        <w:tc>
          <w:tcPr>
            <w:tcW w:w="1967" w:type="dxa"/>
            <w:noWrap w:val="0"/>
            <w:vAlign w:val="center"/>
          </w:tcPr>
          <w:p w14:paraId="1F67B8A4">
            <w:pPr>
              <w:jc w:val="center"/>
              <w:rPr>
                <w:rFonts w:ascii="Calibri" w:hAnsi="Calibri"/>
                <w:color w:val="auto"/>
                <w:szCs w:val="22"/>
                <w:highlight w:val="none"/>
              </w:rPr>
            </w:pPr>
            <w:r>
              <w:rPr>
                <w:rFonts w:hint="eastAsia" w:ascii="Calibri" w:hAnsi="Calibri"/>
                <w:color w:val="auto"/>
                <w:szCs w:val="22"/>
                <w:highlight w:val="none"/>
              </w:rPr>
              <w:t>注册造价工程师注册证书号</w:t>
            </w:r>
          </w:p>
        </w:tc>
      </w:tr>
      <w:tr w14:paraId="18EC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827" w:type="dxa"/>
            <w:noWrap w:val="0"/>
            <w:vAlign w:val="center"/>
          </w:tcPr>
          <w:p w14:paraId="1CA935B3">
            <w:pPr>
              <w:jc w:val="center"/>
              <w:rPr>
                <w:rFonts w:ascii="Calibri" w:hAnsi="Calibri"/>
                <w:color w:val="auto"/>
                <w:szCs w:val="22"/>
                <w:highlight w:val="none"/>
              </w:rPr>
            </w:pPr>
          </w:p>
        </w:tc>
        <w:tc>
          <w:tcPr>
            <w:tcW w:w="1216" w:type="dxa"/>
            <w:noWrap w:val="0"/>
            <w:vAlign w:val="center"/>
          </w:tcPr>
          <w:p w14:paraId="166B5483">
            <w:pPr>
              <w:jc w:val="center"/>
              <w:rPr>
                <w:rFonts w:ascii="Calibri" w:hAnsi="Calibri"/>
                <w:color w:val="auto"/>
                <w:szCs w:val="22"/>
                <w:highlight w:val="none"/>
              </w:rPr>
            </w:pPr>
          </w:p>
        </w:tc>
        <w:tc>
          <w:tcPr>
            <w:tcW w:w="2951" w:type="dxa"/>
            <w:noWrap w:val="0"/>
            <w:vAlign w:val="center"/>
          </w:tcPr>
          <w:p w14:paraId="4AD91DA5">
            <w:pPr>
              <w:jc w:val="center"/>
              <w:rPr>
                <w:rFonts w:ascii="Calibri" w:hAnsi="Calibri"/>
                <w:color w:val="auto"/>
                <w:szCs w:val="22"/>
                <w:highlight w:val="none"/>
              </w:rPr>
            </w:pPr>
          </w:p>
        </w:tc>
        <w:tc>
          <w:tcPr>
            <w:tcW w:w="1737" w:type="dxa"/>
            <w:noWrap w:val="0"/>
            <w:vAlign w:val="center"/>
          </w:tcPr>
          <w:p w14:paraId="03FF50F9">
            <w:pPr>
              <w:jc w:val="center"/>
              <w:rPr>
                <w:rFonts w:ascii="Calibri" w:hAnsi="Calibri"/>
                <w:color w:val="auto"/>
                <w:szCs w:val="22"/>
                <w:highlight w:val="none"/>
              </w:rPr>
            </w:pPr>
          </w:p>
        </w:tc>
        <w:tc>
          <w:tcPr>
            <w:tcW w:w="1563" w:type="dxa"/>
            <w:noWrap w:val="0"/>
            <w:vAlign w:val="center"/>
          </w:tcPr>
          <w:p w14:paraId="2F67F8C6">
            <w:pPr>
              <w:jc w:val="center"/>
              <w:rPr>
                <w:rFonts w:ascii="Calibri" w:hAnsi="Calibri"/>
                <w:color w:val="auto"/>
                <w:szCs w:val="22"/>
                <w:highlight w:val="none"/>
              </w:rPr>
            </w:pPr>
          </w:p>
        </w:tc>
        <w:tc>
          <w:tcPr>
            <w:tcW w:w="1967" w:type="dxa"/>
            <w:noWrap w:val="0"/>
            <w:vAlign w:val="center"/>
          </w:tcPr>
          <w:p w14:paraId="36FC1EB8">
            <w:pPr>
              <w:jc w:val="center"/>
              <w:rPr>
                <w:rFonts w:ascii="Calibri" w:hAnsi="Calibri"/>
                <w:color w:val="auto"/>
                <w:szCs w:val="22"/>
                <w:highlight w:val="none"/>
              </w:rPr>
            </w:pPr>
          </w:p>
        </w:tc>
      </w:tr>
      <w:tr w14:paraId="131FC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27" w:type="dxa"/>
            <w:noWrap w:val="0"/>
            <w:vAlign w:val="center"/>
          </w:tcPr>
          <w:p w14:paraId="362DE1FE">
            <w:pPr>
              <w:jc w:val="center"/>
              <w:rPr>
                <w:rFonts w:ascii="Calibri" w:hAnsi="Calibri"/>
                <w:color w:val="auto"/>
                <w:szCs w:val="22"/>
                <w:highlight w:val="none"/>
              </w:rPr>
            </w:pPr>
          </w:p>
        </w:tc>
        <w:tc>
          <w:tcPr>
            <w:tcW w:w="1216" w:type="dxa"/>
            <w:noWrap w:val="0"/>
            <w:vAlign w:val="center"/>
          </w:tcPr>
          <w:p w14:paraId="3966F69B">
            <w:pPr>
              <w:jc w:val="center"/>
              <w:rPr>
                <w:rFonts w:ascii="Calibri" w:hAnsi="Calibri"/>
                <w:color w:val="auto"/>
                <w:szCs w:val="22"/>
                <w:highlight w:val="none"/>
              </w:rPr>
            </w:pPr>
          </w:p>
        </w:tc>
        <w:tc>
          <w:tcPr>
            <w:tcW w:w="2951" w:type="dxa"/>
            <w:noWrap w:val="0"/>
            <w:vAlign w:val="center"/>
          </w:tcPr>
          <w:p w14:paraId="520B62BD">
            <w:pPr>
              <w:jc w:val="center"/>
              <w:rPr>
                <w:rFonts w:ascii="Calibri" w:hAnsi="Calibri"/>
                <w:color w:val="auto"/>
                <w:szCs w:val="22"/>
                <w:highlight w:val="none"/>
              </w:rPr>
            </w:pPr>
          </w:p>
        </w:tc>
        <w:tc>
          <w:tcPr>
            <w:tcW w:w="1737" w:type="dxa"/>
            <w:noWrap w:val="0"/>
            <w:vAlign w:val="center"/>
          </w:tcPr>
          <w:p w14:paraId="07FD00B2">
            <w:pPr>
              <w:jc w:val="center"/>
              <w:rPr>
                <w:rFonts w:ascii="Calibri" w:hAnsi="Calibri"/>
                <w:color w:val="auto"/>
                <w:szCs w:val="22"/>
                <w:highlight w:val="none"/>
              </w:rPr>
            </w:pPr>
          </w:p>
        </w:tc>
        <w:tc>
          <w:tcPr>
            <w:tcW w:w="1563" w:type="dxa"/>
            <w:noWrap w:val="0"/>
            <w:vAlign w:val="center"/>
          </w:tcPr>
          <w:p w14:paraId="698FC272">
            <w:pPr>
              <w:jc w:val="center"/>
              <w:rPr>
                <w:rFonts w:ascii="Calibri" w:hAnsi="Calibri"/>
                <w:color w:val="auto"/>
                <w:szCs w:val="22"/>
                <w:highlight w:val="none"/>
              </w:rPr>
            </w:pPr>
          </w:p>
        </w:tc>
        <w:tc>
          <w:tcPr>
            <w:tcW w:w="1967" w:type="dxa"/>
            <w:noWrap w:val="0"/>
            <w:vAlign w:val="center"/>
          </w:tcPr>
          <w:p w14:paraId="3AE175BE">
            <w:pPr>
              <w:jc w:val="center"/>
              <w:rPr>
                <w:rFonts w:ascii="Calibri" w:hAnsi="Calibri"/>
                <w:color w:val="auto"/>
                <w:szCs w:val="22"/>
                <w:highlight w:val="none"/>
              </w:rPr>
            </w:pPr>
          </w:p>
        </w:tc>
      </w:tr>
    </w:tbl>
    <w:p w14:paraId="0E3D820A">
      <w:pPr>
        <w:rPr>
          <w:rFonts w:ascii="宋体" w:hAnsi="宋体"/>
          <w:b/>
          <w:color w:val="auto"/>
          <w:sz w:val="24"/>
          <w:highlight w:val="none"/>
        </w:rPr>
      </w:pPr>
    </w:p>
    <w:p w14:paraId="6C9BCC1D">
      <w:pPr>
        <w:spacing w:line="560" w:lineRule="exact"/>
        <w:rPr>
          <w:rFonts w:ascii="宋体" w:hAnsi="宋体"/>
          <w:b/>
          <w:color w:val="auto"/>
          <w:sz w:val="24"/>
          <w:highlight w:val="none"/>
        </w:rPr>
      </w:pPr>
      <w:r>
        <w:rPr>
          <w:rFonts w:hint="eastAsia" w:ascii="宋体" w:hAnsi="宋体"/>
          <w:b/>
          <w:color w:val="auto"/>
          <w:sz w:val="24"/>
          <w:highlight w:val="none"/>
        </w:rPr>
        <w:t>注：</w:t>
      </w:r>
    </w:p>
    <w:p w14:paraId="60A021FC">
      <w:pPr>
        <w:spacing w:line="560" w:lineRule="exact"/>
        <w:rPr>
          <w:rFonts w:ascii="宋体" w:hAnsi="宋体"/>
          <w:color w:val="auto"/>
          <w:sz w:val="24"/>
          <w:highlight w:val="none"/>
        </w:rPr>
      </w:pPr>
      <w:r>
        <w:rPr>
          <w:rFonts w:hint="eastAsia" w:ascii="宋体" w:hAnsi="宋体"/>
          <w:color w:val="auto"/>
          <w:sz w:val="24"/>
          <w:highlight w:val="none"/>
        </w:rPr>
        <w:t>1. 提供投标报价编制人员的注册造价工程师证书扫描件或影印件；</w:t>
      </w:r>
    </w:p>
    <w:p w14:paraId="06C216B7">
      <w:pPr>
        <w:spacing w:line="560" w:lineRule="exact"/>
        <w:rPr>
          <w:rFonts w:ascii="宋体" w:hAnsi="宋体"/>
          <w:color w:val="auto"/>
          <w:sz w:val="24"/>
          <w:highlight w:val="none"/>
        </w:rPr>
      </w:pPr>
      <w:r>
        <w:rPr>
          <w:rFonts w:hint="eastAsia" w:ascii="宋体" w:hAnsi="宋体"/>
          <w:color w:val="auto"/>
          <w:sz w:val="24"/>
          <w:highlight w:val="none"/>
        </w:rPr>
        <w:t>2. 若投标报价编制人员为投标人委托的造价咨询单位注册造价人员，须提供与造价咨询单位签订的委托协议。</w:t>
      </w:r>
    </w:p>
    <w:p w14:paraId="75B24023">
      <w:pPr>
        <w:spacing w:line="560" w:lineRule="exact"/>
        <w:rPr>
          <w:rFonts w:ascii="宋体" w:hAnsi="宋体"/>
          <w:color w:val="auto"/>
          <w:sz w:val="24"/>
          <w:highlight w:val="none"/>
        </w:rPr>
      </w:pPr>
      <w:r>
        <w:rPr>
          <w:rFonts w:hint="eastAsia" w:ascii="宋体" w:hAnsi="宋体"/>
          <w:color w:val="auto"/>
          <w:sz w:val="24"/>
          <w:highlight w:val="none"/>
        </w:rPr>
        <w:t>3. 表格内容将作为公安机关和行政主管部门调查串通投标、允许他人以自己名义从事工程造价业务等违法违规行为的重要依据。</w:t>
      </w:r>
    </w:p>
    <w:p w14:paraId="3DFCBC69">
      <w:pPr>
        <w:spacing w:line="560" w:lineRule="exact"/>
        <w:rPr>
          <w:rFonts w:ascii="宋体" w:hAnsi="宋体"/>
          <w:color w:val="auto"/>
          <w:sz w:val="24"/>
          <w:highlight w:val="none"/>
        </w:rPr>
      </w:pPr>
      <w:r>
        <w:rPr>
          <w:rFonts w:hint="eastAsia" w:ascii="宋体" w:hAnsi="宋体"/>
          <w:color w:val="auto"/>
          <w:sz w:val="24"/>
          <w:highlight w:val="none"/>
        </w:rPr>
        <w:t>4. 投标人填写内容务必真实准确，否则将承担投标失败、中标无效的风险。</w:t>
      </w:r>
    </w:p>
    <w:p w14:paraId="588D194A">
      <w:pPr>
        <w:spacing w:line="560" w:lineRule="exact"/>
        <w:rPr>
          <w:rFonts w:ascii="宋体" w:hAnsi="宋体"/>
          <w:color w:val="auto"/>
          <w:sz w:val="24"/>
          <w:highlight w:val="none"/>
        </w:rPr>
      </w:pPr>
    </w:p>
    <w:p w14:paraId="42FBD1D0">
      <w:pPr>
        <w:spacing w:line="560" w:lineRule="exact"/>
        <w:rPr>
          <w:rFonts w:ascii="宋体" w:hAnsi="宋体"/>
          <w:color w:val="auto"/>
          <w:sz w:val="24"/>
          <w:highlight w:val="none"/>
        </w:rPr>
      </w:pPr>
    </w:p>
    <w:p w14:paraId="7FDD21BD">
      <w:pPr>
        <w:spacing w:line="560" w:lineRule="exact"/>
        <w:ind w:firstLine="480" w:firstLineChars="200"/>
        <w:rPr>
          <w:rFonts w:ascii="宋体" w:hAnsi="宋体"/>
          <w:color w:val="auto"/>
          <w:sz w:val="24"/>
          <w:highlight w:val="none"/>
        </w:rPr>
      </w:pPr>
      <w:r>
        <w:rPr>
          <w:rFonts w:hint="eastAsia" w:ascii="宋体" w:hAnsi="宋体"/>
          <w:color w:val="auto"/>
          <w:sz w:val="24"/>
          <w:highlight w:val="none"/>
        </w:rPr>
        <w:t>③工程量清单报价书正文格式：见2018版“工程量清单计价文件”格式，在滁州市公共资源交易中心网站下载招标文件后，使用投标文件制作工具导出“招标清单文件”，即为“工程量清单计价文件”正文格式。</w:t>
      </w:r>
    </w:p>
    <w:p w14:paraId="51335D31">
      <w:pPr>
        <w:rPr>
          <w:rFonts w:ascii="宋体" w:hAnsi="宋体"/>
          <w:color w:val="auto"/>
          <w:sz w:val="24"/>
          <w:highlight w:val="none"/>
        </w:rPr>
      </w:pPr>
    </w:p>
    <w:p w14:paraId="15799943">
      <w:pPr>
        <w:rPr>
          <w:rFonts w:ascii="宋体" w:hAnsi="宋体"/>
          <w:color w:val="auto"/>
          <w:sz w:val="24"/>
          <w:highlight w:val="none"/>
        </w:rPr>
      </w:pPr>
    </w:p>
    <w:p w14:paraId="189BD04C">
      <w:pPr>
        <w:rPr>
          <w:rFonts w:ascii="宋体" w:hAnsi="宋体"/>
          <w:color w:val="auto"/>
          <w:sz w:val="24"/>
          <w:highlight w:val="none"/>
        </w:rPr>
      </w:pPr>
    </w:p>
    <w:p w14:paraId="7F15C902">
      <w:pPr>
        <w:rPr>
          <w:rFonts w:ascii="宋体" w:hAnsi="宋体"/>
          <w:color w:val="auto"/>
          <w:sz w:val="24"/>
          <w:highlight w:val="none"/>
        </w:rPr>
      </w:pPr>
    </w:p>
    <w:p w14:paraId="221BB27D">
      <w:pPr>
        <w:rPr>
          <w:rFonts w:ascii="宋体" w:hAnsi="宋体"/>
          <w:color w:val="auto"/>
          <w:sz w:val="24"/>
          <w:highlight w:val="none"/>
        </w:rPr>
      </w:pPr>
    </w:p>
    <w:p w14:paraId="1D5A2E28">
      <w:pPr>
        <w:rPr>
          <w:rFonts w:ascii="宋体" w:hAnsi="宋体"/>
          <w:color w:val="auto"/>
          <w:sz w:val="22"/>
          <w:highlight w:val="none"/>
        </w:rPr>
      </w:pPr>
    </w:p>
    <w:p w14:paraId="118605EF">
      <w:pPr>
        <w:rPr>
          <w:rFonts w:ascii="宋体" w:hAnsi="宋体"/>
          <w:color w:val="auto"/>
          <w:sz w:val="18"/>
          <w:highlight w:val="none"/>
        </w:rPr>
      </w:pPr>
      <w:r>
        <w:rPr>
          <w:rFonts w:hint="eastAsia" w:ascii="宋体" w:hAnsi="宋体"/>
          <w:color w:val="auto"/>
          <w:sz w:val="18"/>
          <w:highlight w:val="none"/>
          <w:vertAlign w:val="superscript"/>
        </w:rPr>
        <w:t>1</w:t>
      </w:r>
      <w:r>
        <w:rPr>
          <w:rFonts w:hint="eastAsia" w:ascii="宋体" w:hAnsi="宋体"/>
          <w:color w:val="auto"/>
          <w:sz w:val="18"/>
          <w:highlight w:val="none"/>
        </w:rPr>
        <w:t>注：投标文件格式中工程量清单报价书（封面）及投标报价编制人信息表与投标文件制作工具导出文件不一致的，以投标文件格式文件为准。</w:t>
      </w:r>
    </w:p>
    <w:p w14:paraId="09AC638E">
      <w:pPr>
        <w:jc w:val="center"/>
        <w:rPr>
          <w:rFonts w:hint="eastAsia" w:ascii="Calibri" w:hAnsi="Calibri"/>
          <w:color w:val="auto"/>
          <w:sz w:val="32"/>
          <w:szCs w:val="32"/>
          <w:highlight w:val="none"/>
        </w:rPr>
      </w:pPr>
    </w:p>
    <w:p w14:paraId="37D7694D">
      <w:pPr>
        <w:rPr>
          <w:rFonts w:hint="eastAsia"/>
          <w:color w:val="auto"/>
          <w:highlight w:val="none"/>
        </w:rPr>
      </w:pPr>
      <w:r>
        <w:rPr>
          <w:rFonts w:hint="eastAsia"/>
          <w:color w:val="auto"/>
          <w:highlight w:val="none"/>
        </w:rPr>
        <w:br w:type="page"/>
      </w:r>
    </w:p>
    <w:p w14:paraId="426CFF52">
      <w:pPr>
        <w:pStyle w:val="4"/>
        <w:adjustRightInd w:val="0"/>
        <w:snapToGrid w:val="0"/>
        <w:spacing w:before="0" w:after="0" w:line="560" w:lineRule="exact"/>
        <w:jc w:val="center"/>
        <w:rPr>
          <w:rFonts w:hint="eastAsia" w:eastAsia="宋体"/>
          <w:color w:val="auto"/>
          <w:highlight w:val="none"/>
          <w:lang w:eastAsia="zh-CN"/>
        </w:rPr>
      </w:pPr>
      <w:r>
        <w:rPr>
          <w:rFonts w:hint="eastAsia"/>
          <w:color w:val="auto"/>
          <w:highlight w:val="none"/>
        </w:rPr>
        <w:t>（</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承诺函</w:t>
      </w:r>
    </w:p>
    <w:p w14:paraId="7854843C">
      <w:pPr>
        <w:rPr>
          <w:rFonts w:hint="eastAsia"/>
        </w:rPr>
      </w:pPr>
    </w:p>
    <w:p w14:paraId="01BE88E0">
      <w:pPr>
        <w:keepNext w:val="0"/>
        <w:keepLines w:val="0"/>
        <w:pageBreakBefore w:val="0"/>
        <w:widowControl w:val="0"/>
        <w:kinsoku/>
        <w:wordWrap/>
        <w:overflowPunct/>
        <w:topLinePunct w:val="0"/>
        <w:autoSpaceDE/>
        <w:autoSpaceDN/>
        <w:bidi w:val="0"/>
        <w:adjustRightInd/>
        <w:snapToGrid/>
        <w:spacing w:line="720" w:lineRule="exact"/>
        <w:ind w:firstLine="480" w:firstLineChars="200"/>
        <w:jc w:val="left"/>
        <w:textAlignment w:val="auto"/>
        <w:rPr>
          <w:rFonts w:hint="eastAsia" w:ascii="宋体" w:hAnsi="宋体" w:eastAsia="宋体" w:cs="宋体"/>
          <w:b/>
          <w:color w:val="auto"/>
          <w:sz w:val="24"/>
          <w:highlight w:val="none"/>
        </w:rPr>
      </w:pPr>
      <w:bookmarkStart w:id="1517" w:name="_Toc95223545"/>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滁州苏滁产城开发有限公司</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w:t>
      </w:r>
    </w:p>
    <w:p w14:paraId="21258B45">
      <w:pPr>
        <w:keepNext w:val="0"/>
        <w:keepLines w:val="0"/>
        <w:pageBreakBefore w:val="0"/>
        <w:widowControl w:val="0"/>
        <w:kinsoku/>
        <w:wordWrap/>
        <w:overflowPunct/>
        <w:topLinePunct w:val="0"/>
        <w:autoSpaceDE/>
        <w:autoSpaceDN/>
        <w:bidi w:val="0"/>
        <w:adjustRightInd/>
        <w:snapToGrid/>
        <w:spacing w:line="720" w:lineRule="exact"/>
        <w:ind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我公司郑重</w:t>
      </w:r>
      <w:r>
        <w:rPr>
          <w:rFonts w:hint="eastAsia" w:ascii="宋体" w:hAnsi="宋体" w:eastAsia="宋体" w:cs="宋体"/>
          <w:color w:val="auto"/>
          <w:sz w:val="24"/>
          <w:highlight w:val="none"/>
        </w:rPr>
        <w:t>承诺：</w:t>
      </w:r>
      <w:r>
        <w:rPr>
          <w:rFonts w:hint="eastAsia" w:ascii="宋体" w:hAnsi="宋体" w:eastAsia="宋体" w:cs="宋体"/>
          <w:color w:val="auto"/>
          <w:sz w:val="24"/>
          <w:highlight w:val="none"/>
          <w:lang w:val="en-US" w:eastAsia="zh-CN"/>
        </w:rPr>
        <w:t>我单位提供的本项目工程量清单报价书严格按照清单计价规则进行报价，我单位若违反相关规定，按无效标处理（若已签订合同，则招标人有权单方终止合同），处以中标金额*2%作为违约金，并承担由此造成的所有后果。</w:t>
      </w:r>
    </w:p>
    <w:p w14:paraId="765B5A4A">
      <w:pPr>
        <w:keepNext w:val="0"/>
        <w:keepLines w:val="0"/>
        <w:pageBreakBefore w:val="0"/>
        <w:widowControl w:val="0"/>
        <w:kinsoku/>
        <w:wordWrap/>
        <w:overflowPunct/>
        <w:topLinePunct w:val="0"/>
        <w:autoSpaceDE/>
        <w:autoSpaceDN/>
        <w:bidi w:val="0"/>
        <w:adjustRightInd/>
        <w:snapToGrid/>
        <w:spacing w:line="7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特此</w:t>
      </w:r>
      <w:r>
        <w:rPr>
          <w:rFonts w:hint="eastAsia" w:ascii="宋体" w:hAnsi="宋体" w:eastAsia="宋体" w:cs="宋体"/>
          <w:color w:val="auto"/>
          <w:sz w:val="24"/>
          <w:highlight w:val="none"/>
          <w:lang w:val="en-US" w:eastAsia="zh-CN"/>
        </w:rPr>
        <w:t>承诺</w:t>
      </w:r>
      <w:r>
        <w:rPr>
          <w:rFonts w:hint="eastAsia" w:ascii="宋体" w:hAnsi="宋体" w:eastAsia="宋体" w:cs="宋体"/>
          <w:color w:val="auto"/>
          <w:sz w:val="24"/>
          <w:highlight w:val="none"/>
        </w:rPr>
        <w:t>。</w:t>
      </w:r>
    </w:p>
    <w:p w14:paraId="7A1CFA99">
      <w:pPr>
        <w:keepNext w:val="0"/>
        <w:keepLines w:val="0"/>
        <w:pageBreakBefore w:val="0"/>
        <w:widowControl w:val="0"/>
        <w:kinsoku/>
        <w:wordWrap/>
        <w:overflowPunct/>
        <w:topLinePunct w:val="0"/>
        <w:autoSpaceDE/>
        <w:autoSpaceDN/>
        <w:bidi w:val="0"/>
        <w:adjustRightInd/>
        <w:snapToGrid/>
        <w:spacing w:line="720" w:lineRule="exact"/>
        <w:ind w:firstLine="480" w:firstLineChars="200"/>
        <w:textAlignment w:val="auto"/>
        <w:rPr>
          <w:rFonts w:ascii="宋体" w:hAnsi="宋体"/>
          <w:color w:val="auto"/>
          <w:sz w:val="24"/>
          <w:szCs w:val="21"/>
          <w:highlight w:val="none"/>
        </w:rPr>
      </w:pPr>
      <w:r>
        <w:rPr>
          <w:rFonts w:hint="eastAsia" w:ascii="宋体"/>
          <w:color w:val="auto"/>
          <w:sz w:val="24"/>
          <w:highlight w:val="none"/>
        </w:rPr>
        <w:t xml:space="preserve">            </w:t>
      </w:r>
      <w:r>
        <w:rPr>
          <w:rFonts w:hint="eastAsia" w:ascii="宋体"/>
          <w:color w:val="auto"/>
          <w:sz w:val="24"/>
          <w:highlight w:val="none"/>
          <w:lang w:val="en-US" w:eastAsia="zh-CN"/>
        </w:rPr>
        <w:t xml:space="preserve">            </w:t>
      </w:r>
      <w:r>
        <w:rPr>
          <w:rFonts w:hint="eastAsia" w:ascii="宋体"/>
          <w:color w:val="auto"/>
          <w:sz w:val="24"/>
          <w:highlight w:val="none"/>
        </w:rPr>
        <w:t xml:space="preserve">   </w:t>
      </w:r>
      <w:r>
        <w:rPr>
          <w:rFonts w:hint="eastAsia" w:ascii="宋体"/>
          <w:color w:val="auto"/>
          <w:sz w:val="24"/>
          <w:highlight w:val="none"/>
          <w:lang w:val="en-US" w:eastAsia="zh-CN"/>
        </w:rPr>
        <w:t xml:space="preserve">    </w:t>
      </w:r>
      <w:r>
        <w:rPr>
          <w:rFonts w:hint="eastAsia" w:ascii="宋体"/>
          <w:color w:val="auto"/>
          <w:sz w:val="24"/>
          <w:highlight w:val="none"/>
        </w:rPr>
        <w:t xml:space="preserve"> </w:t>
      </w:r>
      <w:r>
        <w:rPr>
          <w:rFonts w:hint="eastAsia" w:ascii="宋体" w:hAnsi="宋体"/>
          <w:color w:val="auto"/>
          <w:sz w:val="24"/>
          <w:szCs w:val="21"/>
          <w:highlight w:val="none"/>
        </w:rPr>
        <w:t>投标人名称：</w:t>
      </w:r>
      <w:r>
        <w:rPr>
          <w:rFonts w:ascii="宋体" w:hAnsi="宋体"/>
          <w:color w:val="auto"/>
          <w:sz w:val="24"/>
          <w:szCs w:val="21"/>
          <w:highlight w:val="none"/>
          <w:u w:val="single"/>
        </w:rPr>
        <w:t xml:space="preserve">      </w:t>
      </w:r>
      <w:r>
        <w:rPr>
          <w:rFonts w:hint="eastAsia" w:ascii="宋体" w:hAnsi="宋体"/>
          <w:color w:val="auto"/>
          <w:sz w:val="24"/>
          <w:szCs w:val="21"/>
          <w:highlight w:val="none"/>
          <w:u w:val="single"/>
        </w:rPr>
        <w:t xml:space="preserve">                    </w:t>
      </w:r>
      <w:r>
        <w:rPr>
          <w:rFonts w:hint="eastAsia" w:ascii="宋体" w:hAnsi="宋体"/>
          <w:color w:val="auto"/>
          <w:sz w:val="24"/>
          <w:szCs w:val="21"/>
          <w:highlight w:val="none"/>
        </w:rPr>
        <w:t>（签章）</w:t>
      </w:r>
    </w:p>
    <w:p w14:paraId="2E2963B7">
      <w:pPr>
        <w:keepNext w:val="0"/>
        <w:keepLines w:val="0"/>
        <w:pageBreakBefore w:val="0"/>
        <w:widowControl w:val="0"/>
        <w:kinsoku/>
        <w:wordWrap/>
        <w:overflowPunct/>
        <w:topLinePunct w:val="0"/>
        <w:autoSpaceDE/>
        <w:autoSpaceDN/>
        <w:bidi w:val="0"/>
        <w:adjustRightInd/>
        <w:snapToGrid/>
        <w:spacing w:line="720" w:lineRule="exact"/>
        <w:ind w:firstLine="480" w:firstLineChars="200"/>
        <w:jc w:val="right"/>
        <w:textAlignment w:val="auto"/>
        <w:rPr>
          <w:rFonts w:ascii="宋体" w:hAnsi="宋体"/>
          <w:color w:val="auto"/>
          <w:sz w:val="24"/>
          <w:szCs w:val="21"/>
          <w:highlight w:val="none"/>
        </w:rPr>
      </w:pPr>
      <w:r>
        <w:rPr>
          <w:rFonts w:hint="eastAsia" w:ascii="宋体" w:hAnsi="宋体"/>
          <w:color w:val="auto"/>
          <w:sz w:val="24"/>
          <w:szCs w:val="21"/>
          <w:highlight w:val="none"/>
        </w:rPr>
        <w:t>法定代表人：</w:t>
      </w:r>
      <w:r>
        <w:rPr>
          <w:rFonts w:hint="eastAsia" w:ascii="宋体" w:hAnsi="宋体"/>
          <w:color w:val="auto"/>
          <w:sz w:val="24"/>
          <w:szCs w:val="21"/>
          <w:highlight w:val="none"/>
          <w:u w:val="single"/>
        </w:rPr>
        <w:t xml:space="preserve">                               </w:t>
      </w:r>
      <w:r>
        <w:rPr>
          <w:rFonts w:hint="eastAsia" w:ascii="宋体" w:hAnsi="宋体"/>
          <w:color w:val="auto"/>
          <w:sz w:val="24"/>
          <w:szCs w:val="21"/>
          <w:highlight w:val="none"/>
        </w:rPr>
        <w:t>(签章)</w:t>
      </w:r>
    </w:p>
    <w:p w14:paraId="107EEAA5">
      <w:pPr>
        <w:keepNext w:val="0"/>
        <w:keepLines w:val="0"/>
        <w:pageBreakBefore w:val="0"/>
        <w:widowControl w:val="0"/>
        <w:kinsoku/>
        <w:wordWrap/>
        <w:overflowPunct/>
        <w:topLinePunct w:val="0"/>
        <w:autoSpaceDE/>
        <w:autoSpaceDN/>
        <w:bidi w:val="0"/>
        <w:adjustRightInd/>
        <w:snapToGrid/>
        <w:spacing w:line="720" w:lineRule="exact"/>
        <w:textAlignment w:val="auto"/>
        <w:rPr>
          <w:rFonts w:hint="eastAsia" w:ascii="宋体" w:hAnsi="宋体"/>
          <w:color w:val="auto"/>
          <w:sz w:val="24"/>
          <w:szCs w:val="21"/>
          <w:highlight w:val="none"/>
        </w:rPr>
      </w:pPr>
      <w:r>
        <w:rPr>
          <w:rFonts w:hint="eastAsia" w:ascii="宋体" w:hAnsi="宋体"/>
          <w:color w:val="auto"/>
          <w:sz w:val="24"/>
          <w:szCs w:val="21"/>
          <w:highlight w:val="none"/>
          <w:lang w:val="en-US" w:eastAsia="zh-CN"/>
        </w:rPr>
        <w:t xml:space="preserve">                                    </w:t>
      </w:r>
      <w:r>
        <w:rPr>
          <w:rFonts w:hint="eastAsia" w:ascii="宋体" w:hAnsi="宋体"/>
          <w:color w:val="auto"/>
          <w:sz w:val="24"/>
          <w:szCs w:val="21"/>
          <w:highlight w:val="none"/>
        </w:rPr>
        <w:t>日    期：</w:t>
      </w:r>
      <w:r>
        <w:rPr>
          <w:rFonts w:hint="eastAsia" w:ascii="宋体" w:hAnsi="宋体"/>
          <w:color w:val="auto"/>
          <w:sz w:val="24"/>
          <w:szCs w:val="21"/>
          <w:highlight w:val="none"/>
          <w:u w:val="single"/>
        </w:rPr>
        <w:t xml:space="preserve">        </w:t>
      </w:r>
      <w:r>
        <w:rPr>
          <w:rFonts w:hint="eastAsia" w:ascii="宋体" w:hAnsi="宋体"/>
          <w:color w:val="auto"/>
          <w:sz w:val="24"/>
          <w:szCs w:val="21"/>
          <w:highlight w:val="none"/>
        </w:rPr>
        <w:t>年</w:t>
      </w:r>
      <w:r>
        <w:rPr>
          <w:rFonts w:hint="eastAsia" w:ascii="宋体" w:hAnsi="宋体"/>
          <w:color w:val="auto"/>
          <w:sz w:val="24"/>
          <w:szCs w:val="21"/>
          <w:highlight w:val="none"/>
          <w:u w:val="single"/>
        </w:rPr>
        <w:t xml:space="preserve">      </w:t>
      </w:r>
      <w:r>
        <w:rPr>
          <w:rFonts w:hint="eastAsia" w:ascii="宋体" w:hAnsi="宋体"/>
          <w:color w:val="auto"/>
          <w:sz w:val="24"/>
          <w:szCs w:val="21"/>
          <w:highlight w:val="none"/>
        </w:rPr>
        <w:t>月</w:t>
      </w:r>
      <w:r>
        <w:rPr>
          <w:rFonts w:hint="eastAsia" w:ascii="宋体" w:hAnsi="宋体"/>
          <w:color w:val="auto"/>
          <w:sz w:val="24"/>
          <w:szCs w:val="21"/>
          <w:highlight w:val="none"/>
          <w:u w:val="single"/>
        </w:rPr>
        <w:t xml:space="preserve">      </w:t>
      </w:r>
      <w:r>
        <w:rPr>
          <w:rFonts w:hint="eastAsia" w:ascii="宋体" w:hAnsi="宋体"/>
          <w:color w:val="auto"/>
          <w:sz w:val="24"/>
          <w:szCs w:val="21"/>
          <w:highlight w:val="none"/>
        </w:rPr>
        <w:t>日</w:t>
      </w:r>
    </w:p>
    <w:p w14:paraId="5FAC7414">
      <w:pPr>
        <w:pStyle w:val="4"/>
        <w:adjustRightInd w:val="0"/>
        <w:snapToGrid w:val="0"/>
        <w:spacing w:before="0" w:after="0" w:line="560" w:lineRule="exact"/>
        <w:jc w:val="center"/>
        <w:rPr>
          <w:rFonts w:hint="eastAsia"/>
          <w:color w:val="auto"/>
          <w:highlight w:val="none"/>
        </w:rPr>
      </w:pPr>
    </w:p>
    <w:p w14:paraId="45D34A37">
      <w:pPr>
        <w:pStyle w:val="4"/>
        <w:adjustRightInd w:val="0"/>
        <w:snapToGrid w:val="0"/>
        <w:spacing w:before="0" w:after="0" w:line="560" w:lineRule="exact"/>
        <w:jc w:val="center"/>
        <w:rPr>
          <w:rFonts w:hint="eastAsia"/>
          <w:color w:val="auto"/>
          <w:highlight w:val="none"/>
        </w:rPr>
      </w:pPr>
    </w:p>
    <w:p w14:paraId="0A97F8FF">
      <w:pPr>
        <w:pStyle w:val="4"/>
        <w:adjustRightInd w:val="0"/>
        <w:snapToGrid w:val="0"/>
        <w:spacing w:before="0" w:after="0" w:line="560" w:lineRule="exact"/>
        <w:jc w:val="center"/>
        <w:rPr>
          <w:rFonts w:hint="eastAsia"/>
          <w:color w:val="auto"/>
          <w:highlight w:val="none"/>
        </w:rPr>
      </w:pPr>
    </w:p>
    <w:p w14:paraId="538BFAC8">
      <w:pPr>
        <w:rPr>
          <w:rFonts w:hint="eastAsia"/>
          <w:color w:val="auto"/>
          <w:highlight w:val="none"/>
        </w:rPr>
      </w:pPr>
      <w:r>
        <w:rPr>
          <w:rFonts w:hint="eastAsia"/>
          <w:color w:val="auto"/>
          <w:highlight w:val="none"/>
        </w:rPr>
        <w:br w:type="page"/>
      </w:r>
    </w:p>
    <w:p w14:paraId="71FDAD1D">
      <w:pPr>
        <w:pStyle w:val="4"/>
        <w:adjustRightInd w:val="0"/>
        <w:snapToGrid w:val="0"/>
        <w:spacing w:before="0" w:after="0" w:line="560" w:lineRule="exact"/>
        <w:jc w:val="center"/>
        <w:rPr>
          <w:color w:val="auto"/>
          <w:highlight w:val="none"/>
        </w:rPr>
      </w:pPr>
      <w:r>
        <w:rPr>
          <w:rFonts w:hint="eastAsia"/>
          <w:color w:val="auto"/>
          <w:highlight w:val="none"/>
        </w:rPr>
        <w:t>（</w:t>
      </w:r>
      <w:r>
        <w:rPr>
          <w:rFonts w:hint="eastAsia"/>
          <w:color w:val="auto"/>
          <w:highlight w:val="none"/>
          <w:lang w:val="en-US" w:eastAsia="zh-CN"/>
        </w:rPr>
        <w:t>4</w:t>
      </w:r>
      <w:r>
        <w:rPr>
          <w:rFonts w:hint="eastAsia"/>
          <w:color w:val="auto"/>
          <w:highlight w:val="none"/>
        </w:rPr>
        <w:t>）</w:t>
      </w:r>
      <w:r>
        <w:rPr>
          <w:color w:val="auto"/>
          <w:highlight w:val="none"/>
        </w:rPr>
        <w:t>招标人推荐的材料品牌响应表</w:t>
      </w:r>
      <w:bookmarkEnd w:id="1517"/>
    </w:p>
    <w:p w14:paraId="36BD03D9">
      <w:pPr>
        <w:pStyle w:val="11"/>
        <w:tabs>
          <w:tab w:val="left" w:pos="6462"/>
          <w:tab w:val="left" w:pos="6988"/>
          <w:tab w:val="left" w:pos="7722"/>
        </w:tabs>
        <w:adjustRightInd w:val="0"/>
        <w:snapToGrid w:val="0"/>
        <w:spacing w:after="0" w:line="560" w:lineRule="exact"/>
        <w:jc w:val="center"/>
        <w:rPr>
          <w:color w:val="auto"/>
          <w:highlight w:val="none"/>
        </w:rPr>
      </w:pPr>
      <w:r>
        <w:rPr>
          <w:color w:val="auto"/>
          <w:highlight w:val="none"/>
        </w:rPr>
        <w:t>工程</w:t>
      </w:r>
      <w:r>
        <w:rPr>
          <w:color w:val="auto"/>
          <w:spacing w:val="-3"/>
          <w:highlight w:val="none"/>
        </w:rPr>
        <w:t>名</w:t>
      </w:r>
      <w:r>
        <w:rPr>
          <w:color w:val="auto"/>
          <w:highlight w:val="none"/>
        </w:rPr>
        <w:t>称：</w:t>
      </w:r>
      <w:r>
        <w:rPr>
          <w:rFonts w:hint="eastAsia"/>
          <w:color w:val="auto"/>
          <w:highlight w:val="none"/>
        </w:rPr>
        <w:t xml:space="preserve"> </w:t>
      </w:r>
      <w:r>
        <w:rPr>
          <w:color w:val="auto"/>
          <w:highlight w:val="none"/>
        </w:rPr>
        <w:tab/>
      </w:r>
      <w:r>
        <w:rPr>
          <w:color w:val="auto"/>
          <w:highlight w:val="none"/>
        </w:rPr>
        <w:t>第</w:t>
      </w:r>
      <w:r>
        <w:rPr>
          <w:color w:val="auto"/>
          <w:highlight w:val="none"/>
        </w:rPr>
        <w:tab/>
      </w:r>
      <w:r>
        <w:rPr>
          <w:color w:val="auto"/>
          <w:spacing w:val="-3"/>
          <w:highlight w:val="none"/>
        </w:rPr>
        <w:t>页</w:t>
      </w:r>
      <w:r>
        <w:rPr>
          <w:color w:val="auto"/>
          <w:highlight w:val="none"/>
        </w:rPr>
        <w:t>共</w:t>
      </w:r>
      <w:r>
        <w:rPr>
          <w:color w:val="auto"/>
          <w:highlight w:val="none"/>
        </w:rPr>
        <w:tab/>
      </w:r>
      <w:r>
        <w:rPr>
          <w:color w:val="auto"/>
          <w:highlight w:val="none"/>
        </w:rPr>
        <w:t>页</w:t>
      </w:r>
    </w:p>
    <w:p w14:paraId="47960EBB">
      <w:pPr>
        <w:pStyle w:val="11"/>
        <w:tabs>
          <w:tab w:val="left" w:pos="6462"/>
          <w:tab w:val="left" w:pos="6988"/>
          <w:tab w:val="left" w:pos="7722"/>
        </w:tabs>
        <w:adjustRightInd w:val="0"/>
        <w:snapToGrid w:val="0"/>
        <w:spacing w:after="0" w:line="560" w:lineRule="exact"/>
        <w:jc w:val="center"/>
        <w:rPr>
          <w:b/>
          <w:color w:val="auto"/>
          <w:sz w:val="28"/>
          <w:highlight w:val="none"/>
        </w:rPr>
      </w:pPr>
      <w:r>
        <w:rPr>
          <w:b/>
          <w:color w:val="auto"/>
          <w:sz w:val="28"/>
          <w:highlight w:val="none"/>
        </w:rPr>
        <w:t>品牌推荐表（如要求）</w:t>
      </w:r>
    </w:p>
    <w:p w14:paraId="45187331">
      <w:pPr>
        <w:pStyle w:val="11"/>
        <w:adjustRightInd w:val="0"/>
        <w:snapToGrid w:val="0"/>
        <w:spacing w:after="0" w:line="560" w:lineRule="exact"/>
        <w:rPr>
          <w:b/>
          <w:color w:val="auto"/>
          <w:sz w:val="5"/>
          <w:highlight w:val="none"/>
        </w:rPr>
      </w:pPr>
    </w:p>
    <w:tbl>
      <w:tblPr>
        <w:tblStyle w:val="20"/>
        <w:tblW w:w="7816" w:type="dxa"/>
        <w:tblInd w:w="9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6"/>
        <w:gridCol w:w="1685"/>
        <w:gridCol w:w="794"/>
        <w:gridCol w:w="794"/>
        <w:gridCol w:w="794"/>
        <w:gridCol w:w="791"/>
        <w:gridCol w:w="635"/>
        <w:gridCol w:w="1687"/>
      </w:tblGrid>
      <w:tr w14:paraId="2073D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636" w:type="dxa"/>
            <w:noWrap w:val="0"/>
            <w:vAlign w:val="top"/>
          </w:tcPr>
          <w:p w14:paraId="36A62AA2">
            <w:pPr>
              <w:pStyle w:val="38"/>
              <w:adjustRightInd w:val="0"/>
              <w:snapToGrid w:val="0"/>
              <w:spacing w:line="560" w:lineRule="exact"/>
              <w:jc w:val="center"/>
              <w:rPr>
                <w:rFonts w:hint="eastAsia" w:ascii="黑体" w:eastAsia="黑体"/>
                <w:color w:val="auto"/>
                <w:highlight w:val="none"/>
              </w:rPr>
            </w:pPr>
            <w:r>
              <w:rPr>
                <w:rFonts w:hint="eastAsia" w:ascii="黑体" w:eastAsia="黑体"/>
                <w:color w:val="auto"/>
                <w:highlight w:val="none"/>
              </w:rPr>
              <w:t>序号</w:t>
            </w:r>
          </w:p>
        </w:tc>
        <w:tc>
          <w:tcPr>
            <w:tcW w:w="1685" w:type="dxa"/>
            <w:noWrap w:val="0"/>
            <w:vAlign w:val="top"/>
          </w:tcPr>
          <w:p w14:paraId="3BC5CA3B">
            <w:pPr>
              <w:pStyle w:val="38"/>
              <w:adjustRightInd w:val="0"/>
              <w:snapToGrid w:val="0"/>
              <w:spacing w:line="560" w:lineRule="exact"/>
              <w:rPr>
                <w:rFonts w:hint="eastAsia" w:ascii="黑体" w:eastAsia="黑体"/>
                <w:color w:val="auto"/>
                <w:highlight w:val="none"/>
              </w:rPr>
            </w:pPr>
            <w:r>
              <w:rPr>
                <w:rFonts w:hint="eastAsia" w:ascii="黑体" w:eastAsia="黑体"/>
                <w:color w:val="auto"/>
                <w:highlight w:val="none"/>
              </w:rPr>
              <w:t>材料、设备名称</w:t>
            </w:r>
          </w:p>
        </w:tc>
        <w:tc>
          <w:tcPr>
            <w:tcW w:w="794" w:type="dxa"/>
            <w:noWrap w:val="0"/>
            <w:vAlign w:val="top"/>
          </w:tcPr>
          <w:p w14:paraId="770A690B">
            <w:pPr>
              <w:pStyle w:val="38"/>
              <w:adjustRightInd w:val="0"/>
              <w:snapToGrid w:val="0"/>
              <w:spacing w:line="560" w:lineRule="exact"/>
              <w:rPr>
                <w:rFonts w:hint="eastAsia" w:ascii="黑体" w:eastAsia="黑体"/>
                <w:color w:val="auto"/>
                <w:highlight w:val="none"/>
              </w:rPr>
            </w:pPr>
            <w:r>
              <w:rPr>
                <w:rFonts w:hint="eastAsia" w:ascii="黑体" w:eastAsia="黑体"/>
                <w:color w:val="auto"/>
                <w:highlight w:val="none"/>
              </w:rPr>
              <w:t>品牌 1</w:t>
            </w:r>
          </w:p>
        </w:tc>
        <w:tc>
          <w:tcPr>
            <w:tcW w:w="794" w:type="dxa"/>
            <w:noWrap w:val="0"/>
            <w:vAlign w:val="top"/>
          </w:tcPr>
          <w:p w14:paraId="458E2229">
            <w:pPr>
              <w:pStyle w:val="38"/>
              <w:adjustRightInd w:val="0"/>
              <w:snapToGrid w:val="0"/>
              <w:spacing w:line="560" w:lineRule="exact"/>
              <w:rPr>
                <w:rFonts w:hint="eastAsia" w:ascii="黑体" w:eastAsia="黑体"/>
                <w:color w:val="auto"/>
                <w:highlight w:val="none"/>
              </w:rPr>
            </w:pPr>
            <w:r>
              <w:rPr>
                <w:rFonts w:hint="eastAsia" w:ascii="黑体" w:eastAsia="黑体"/>
                <w:color w:val="auto"/>
                <w:highlight w:val="none"/>
              </w:rPr>
              <w:t>品牌 2</w:t>
            </w:r>
          </w:p>
        </w:tc>
        <w:tc>
          <w:tcPr>
            <w:tcW w:w="794" w:type="dxa"/>
            <w:noWrap w:val="0"/>
            <w:vAlign w:val="top"/>
          </w:tcPr>
          <w:p w14:paraId="3C9C583C">
            <w:pPr>
              <w:pStyle w:val="38"/>
              <w:adjustRightInd w:val="0"/>
              <w:snapToGrid w:val="0"/>
              <w:spacing w:line="560" w:lineRule="exact"/>
              <w:rPr>
                <w:rFonts w:hint="eastAsia" w:ascii="黑体" w:eastAsia="黑体"/>
                <w:color w:val="auto"/>
                <w:highlight w:val="none"/>
              </w:rPr>
            </w:pPr>
            <w:r>
              <w:rPr>
                <w:rFonts w:hint="eastAsia" w:ascii="黑体" w:eastAsia="黑体"/>
                <w:color w:val="auto"/>
                <w:highlight w:val="none"/>
              </w:rPr>
              <w:t>品牌 3</w:t>
            </w:r>
          </w:p>
        </w:tc>
        <w:tc>
          <w:tcPr>
            <w:tcW w:w="791" w:type="dxa"/>
            <w:noWrap w:val="0"/>
            <w:vAlign w:val="top"/>
          </w:tcPr>
          <w:p w14:paraId="33C0D5CA">
            <w:pPr>
              <w:pStyle w:val="38"/>
              <w:adjustRightInd w:val="0"/>
              <w:snapToGrid w:val="0"/>
              <w:spacing w:line="560" w:lineRule="exact"/>
              <w:rPr>
                <w:rFonts w:hint="eastAsia" w:ascii="黑体" w:eastAsia="黑体"/>
                <w:color w:val="auto"/>
                <w:highlight w:val="none"/>
              </w:rPr>
            </w:pPr>
            <w:r>
              <w:rPr>
                <w:rFonts w:hint="eastAsia" w:ascii="黑体" w:eastAsia="黑体"/>
                <w:color w:val="auto"/>
                <w:highlight w:val="none"/>
              </w:rPr>
              <w:t>品牌 4</w:t>
            </w:r>
          </w:p>
        </w:tc>
        <w:tc>
          <w:tcPr>
            <w:tcW w:w="635" w:type="dxa"/>
            <w:noWrap w:val="0"/>
            <w:vAlign w:val="top"/>
          </w:tcPr>
          <w:p w14:paraId="4989434F">
            <w:pPr>
              <w:pStyle w:val="38"/>
              <w:adjustRightInd w:val="0"/>
              <w:snapToGrid w:val="0"/>
              <w:spacing w:line="560" w:lineRule="exact"/>
              <w:rPr>
                <w:rFonts w:hint="eastAsia" w:ascii="黑体" w:eastAsia="黑体"/>
                <w:color w:val="auto"/>
                <w:highlight w:val="none"/>
              </w:rPr>
            </w:pPr>
            <w:r>
              <w:rPr>
                <w:rFonts w:hint="eastAsia" w:ascii="黑体" w:eastAsia="黑体"/>
                <w:color w:val="auto"/>
                <w:highlight w:val="none"/>
              </w:rPr>
              <w:t>备注</w:t>
            </w:r>
          </w:p>
        </w:tc>
        <w:tc>
          <w:tcPr>
            <w:tcW w:w="1687" w:type="dxa"/>
            <w:noWrap w:val="0"/>
            <w:vAlign w:val="top"/>
          </w:tcPr>
          <w:p w14:paraId="178A28AC">
            <w:pPr>
              <w:pStyle w:val="38"/>
              <w:adjustRightInd w:val="0"/>
              <w:snapToGrid w:val="0"/>
              <w:spacing w:line="560" w:lineRule="exact"/>
              <w:rPr>
                <w:rFonts w:hint="eastAsia" w:ascii="黑体" w:eastAsia="黑体"/>
                <w:color w:val="auto"/>
                <w:highlight w:val="none"/>
              </w:rPr>
            </w:pPr>
            <w:r>
              <w:rPr>
                <w:rFonts w:hint="eastAsia" w:ascii="黑体" w:eastAsia="黑体"/>
                <w:color w:val="auto"/>
                <w:highlight w:val="none"/>
              </w:rPr>
              <w:t>投标人选定品牌</w:t>
            </w:r>
          </w:p>
        </w:tc>
      </w:tr>
      <w:tr w14:paraId="39342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noWrap w:val="0"/>
            <w:vAlign w:val="top"/>
          </w:tcPr>
          <w:p w14:paraId="0C2FFB84">
            <w:pPr>
              <w:pStyle w:val="38"/>
              <w:adjustRightInd w:val="0"/>
              <w:snapToGrid w:val="0"/>
              <w:spacing w:line="560" w:lineRule="exact"/>
              <w:jc w:val="center"/>
              <w:rPr>
                <w:color w:val="auto"/>
                <w:highlight w:val="none"/>
              </w:rPr>
            </w:pPr>
            <w:r>
              <w:rPr>
                <w:color w:val="auto"/>
                <w:highlight w:val="none"/>
              </w:rPr>
              <w:t>1</w:t>
            </w:r>
          </w:p>
        </w:tc>
        <w:tc>
          <w:tcPr>
            <w:tcW w:w="1685" w:type="dxa"/>
            <w:noWrap w:val="0"/>
            <w:vAlign w:val="top"/>
          </w:tcPr>
          <w:p w14:paraId="75257A3D">
            <w:pPr>
              <w:pStyle w:val="38"/>
              <w:adjustRightInd w:val="0"/>
              <w:snapToGrid w:val="0"/>
              <w:spacing w:line="560" w:lineRule="exact"/>
              <w:rPr>
                <w:rFonts w:ascii="Times New Roman"/>
                <w:color w:val="auto"/>
                <w:sz w:val="20"/>
                <w:highlight w:val="none"/>
              </w:rPr>
            </w:pPr>
          </w:p>
        </w:tc>
        <w:tc>
          <w:tcPr>
            <w:tcW w:w="794" w:type="dxa"/>
            <w:noWrap w:val="0"/>
            <w:vAlign w:val="top"/>
          </w:tcPr>
          <w:p w14:paraId="2E47853D">
            <w:pPr>
              <w:pStyle w:val="38"/>
              <w:adjustRightInd w:val="0"/>
              <w:snapToGrid w:val="0"/>
              <w:spacing w:line="560" w:lineRule="exact"/>
              <w:rPr>
                <w:rFonts w:ascii="Times New Roman"/>
                <w:color w:val="auto"/>
                <w:sz w:val="20"/>
                <w:highlight w:val="none"/>
              </w:rPr>
            </w:pPr>
          </w:p>
        </w:tc>
        <w:tc>
          <w:tcPr>
            <w:tcW w:w="794" w:type="dxa"/>
            <w:noWrap w:val="0"/>
            <w:vAlign w:val="top"/>
          </w:tcPr>
          <w:p w14:paraId="05C4666D">
            <w:pPr>
              <w:pStyle w:val="38"/>
              <w:adjustRightInd w:val="0"/>
              <w:snapToGrid w:val="0"/>
              <w:spacing w:line="560" w:lineRule="exact"/>
              <w:rPr>
                <w:rFonts w:ascii="Times New Roman"/>
                <w:color w:val="auto"/>
                <w:sz w:val="20"/>
                <w:highlight w:val="none"/>
              </w:rPr>
            </w:pPr>
          </w:p>
        </w:tc>
        <w:tc>
          <w:tcPr>
            <w:tcW w:w="794" w:type="dxa"/>
            <w:noWrap w:val="0"/>
            <w:vAlign w:val="top"/>
          </w:tcPr>
          <w:p w14:paraId="27447A2C">
            <w:pPr>
              <w:pStyle w:val="38"/>
              <w:adjustRightInd w:val="0"/>
              <w:snapToGrid w:val="0"/>
              <w:spacing w:line="560" w:lineRule="exact"/>
              <w:rPr>
                <w:rFonts w:ascii="Times New Roman"/>
                <w:color w:val="auto"/>
                <w:sz w:val="20"/>
                <w:highlight w:val="none"/>
              </w:rPr>
            </w:pPr>
          </w:p>
        </w:tc>
        <w:tc>
          <w:tcPr>
            <w:tcW w:w="791" w:type="dxa"/>
            <w:noWrap w:val="0"/>
            <w:vAlign w:val="top"/>
          </w:tcPr>
          <w:p w14:paraId="1C6A906B">
            <w:pPr>
              <w:pStyle w:val="38"/>
              <w:adjustRightInd w:val="0"/>
              <w:snapToGrid w:val="0"/>
              <w:spacing w:line="560" w:lineRule="exact"/>
              <w:rPr>
                <w:rFonts w:ascii="Times New Roman"/>
                <w:color w:val="auto"/>
                <w:sz w:val="20"/>
                <w:highlight w:val="none"/>
              </w:rPr>
            </w:pPr>
          </w:p>
        </w:tc>
        <w:tc>
          <w:tcPr>
            <w:tcW w:w="635" w:type="dxa"/>
            <w:noWrap w:val="0"/>
            <w:vAlign w:val="top"/>
          </w:tcPr>
          <w:p w14:paraId="7C3B918E">
            <w:pPr>
              <w:pStyle w:val="38"/>
              <w:adjustRightInd w:val="0"/>
              <w:snapToGrid w:val="0"/>
              <w:spacing w:line="560" w:lineRule="exact"/>
              <w:rPr>
                <w:rFonts w:ascii="Times New Roman"/>
                <w:color w:val="auto"/>
                <w:sz w:val="20"/>
                <w:highlight w:val="none"/>
              </w:rPr>
            </w:pPr>
          </w:p>
        </w:tc>
        <w:tc>
          <w:tcPr>
            <w:tcW w:w="1687" w:type="dxa"/>
            <w:noWrap w:val="0"/>
            <w:vAlign w:val="top"/>
          </w:tcPr>
          <w:p w14:paraId="23D1D87C">
            <w:pPr>
              <w:pStyle w:val="38"/>
              <w:adjustRightInd w:val="0"/>
              <w:snapToGrid w:val="0"/>
              <w:spacing w:line="560" w:lineRule="exact"/>
              <w:rPr>
                <w:rFonts w:ascii="Times New Roman"/>
                <w:color w:val="auto"/>
                <w:sz w:val="20"/>
                <w:highlight w:val="none"/>
              </w:rPr>
            </w:pPr>
          </w:p>
        </w:tc>
      </w:tr>
      <w:tr w14:paraId="051C0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noWrap w:val="0"/>
            <w:vAlign w:val="top"/>
          </w:tcPr>
          <w:p w14:paraId="7C0D6794">
            <w:pPr>
              <w:pStyle w:val="38"/>
              <w:adjustRightInd w:val="0"/>
              <w:snapToGrid w:val="0"/>
              <w:spacing w:line="560" w:lineRule="exact"/>
              <w:jc w:val="center"/>
              <w:rPr>
                <w:color w:val="auto"/>
                <w:highlight w:val="none"/>
              </w:rPr>
            </w:pPr>
            <w:r>
              <w:rPr>
                <w:color w:val="auto"/>
                <w:highlight w:val="none"/>
              </w:rPr>
              <w:t>2</w:t>
            </w:r>
          </w:p>
        </w:tc>
        <w:tc>
          <w:tcPr>
            <w:tcW w:w="1685" w:type="dxa"/>
            <w:noWrap w:val="0"/>
            <w:vAlign w:val="top"/>
          </w:tcPr>
          <w:p w14:paraId="102EE043">
            <w:pPr>
              <w:pStyle w:val="38"/>
              <w:adjustRightInd w:val="0"/>
              <w:snapToGrid w:val="0"/>
              <w:spacing w:line="560" w:lineRule="exact"/>
              <w:rPr>
                <w:rFonts w:ascii="Times New Roman"/>
                <w:color w:val="auto"/>
                <w:sz w:val="20"/>
                <w:highlight w:val="none"/>
              </w:rPr>
            </w:pPr>
          </w:p>
        </w:tc>
        <w:tc>
          <w:tcPr>
            <w:tcW w:w="794" w:type="dxa"/>
            <w:noWrap w:val="0"/>
            <w:vAlign w:val="top"/>
          </w:tcPr>
          <w:p w14:paraId="4B2208A1">
            <w:pPr>
              <w:pStyle w:val="38"/>
              <w:adjustRightInd w:val="0"/>
              <w:snapToGrid w:val="0"/>
              <w:spacing w:line="560" w:lineRule="exact"/>
              <w:rPr>
                <w:rFonts w:ascii="Times New Roman"/>
                <w:color w:val="auto"/>
                <w:sz w:val="20"/>
                <w:highlight w:val="none"/>
              </w:rPr>
            </w:pPr>
          </w:p>
        </w:tc>
        <w:tc>
          <w:tcPr>
            <w:tcW w:w="794" w:type="dxa"/>
            <w:noWrap w:val="0"/>
            <w:vAlign w:val="top"/>
          </w:tcPr>
          <w:p w14:paraId="6CEC2E4E">
            <w:pPr>
              <w:pStyle w:val="38"/>
              <w:adjustRightInd w:val="0"/>
              <w:snapToGrid w:val="0"/>
              <w:spacing w:line="560" w:lineRule="exact"/>
              <w:rPr>
                <w:rFonts w:ascii="Times New Roman"/>
                <w:color w:val="auto"/>
                <w:sz w:val="20"/>
                <w:highlight w:val="none"/>
              </w:rPr>
            </w:pPr>
          </w:p>
        </w:tc>
        <w:tc>
          <w:tcPr>
            <w:tcW w:w="794" w:type="dxa"/>
            <w:noWrap w:val="0"/>
            <w:vAlign w:val="top"/>
          </w:tcPr>
          <w:p w14:paraId="48CDA35A">
            <w:pPr>
              <w:pStyle w:val="38"/>
              <w:adjustRightInd w:val="0"/>
              <w:snapToGrid w:val="0"/>
              <w:spacing w:line="560" w:lineRule="exact"/>
              <w:rPr>
                <w:rFonts w:ascii="Times New Roman"/>
                <w:color w:val="auto"/>
                <w:sz w:val="20"/>
                <w:highlight w:val="none"/>
              </w:rPr>
            </w:pPr>
          </w:p>
        </w:tc>
        <w:tc>
          <w:tcPr>
            <w:tcW w:w="791" w:type="dxa"/>
            <w:noWrap w:val="0"/>
            <w:vAlign w:val="top"/>
          </w:tcPr>
          <w:p w14:paraId="7D453FAF">
            <w:pPr>
              <w:pStyle w:val="38"/>
              <w:adjustRightInd w:val="0"/>
              <w:snapToGrid w:val="0"/>
              <w:spacing w:line="560" w:lineRule="exact"/>
              <w:rPr>
                <w:rFonts w:ascii="Times New Roman"/>
                <w:color w:val="auto"/>
                <w:sz w:val="20"/>
                <w:highlight w:val="none"/>
              </w:rPr>
            </w:pPr>
          </w:p>
        </w:tc>
        <w:tc>
          <w:tcPr>
            <w:tcW w:w="635" w:type="dxa"/>
            <w:noWrap w:val="0"/>
            <w:vAlign w:val="top"/>
          </w:tcPr>
          <w:p w14:paraId="1A5B3797">
            <w:pPr>
              <w:pStyle w:val="38"/>
              <w:adjustRightInd w:val="0"/>
              <w:snapToGrid w:val="0"/>
              <w:spacing w:line="560" w:lineRule="exact"/>
              <w:rPr>
                <w:rFonts w:ascii="Times New Roman"/>
                <w:color w:val="auto"/>
                <w:sz w:val="20"/>
                <w:highlight w:val="none"/>
              </w:rPr>
            </w:pPr>
          </w:p>
        </w:tc>
        <w:tc>
          <w:tcPr>
            <w:tcW w:w="1687" w:type="dxa"/>
            <w:noWrap w:val="0"/>
            <w:vAlign w:val="top"/>
          </w:tcPr>
          <w:p w14:paraId="4380D0D3">
            <w:pPr>
              <w:pStyle w:val="38"/>
              <w:adjustRightInd w:val="0"/>
              <w:snapToGrid w:val="0"/>
              <w:spacing w:line="560" w:lineRule="exact"/>
              <w:rPr>
                <w:rFonts w:ascii="Times New Roman"/>
                <w:color w:val="auto"/>
                <w:sz w:val="20"/>
                <w:highlight w:val="none"/>
              </w:rPr>
            </w:pPr>
          </w:p>
        </w:tc>
      </w:tr>
      <w:tr w14:paraId="2005F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636" w:type="dxa"/>
            <w:tcBorders>
              <w:bottom w:val="single" w:color="000000" w:sz="6" w:space="0"/>
            </w:tcBorders>
            <w:noWrap w:val="0"/>
            <w:vAlign w:val="top"/>
          </w:tcPr>
          <w:p w14:paraId="0EF45DA2">
            <w:pPr>
              <w:pStyle w:val="38"/>
              <w:adjustRightInd w:val="0"/>
              <w:snapToGrid w:val="0"/>
              <w:spacing w:line="560" w:lineRule="exact"/>
              <w:jc w:val="center"/>
              <w:rPr>
                <w:color w:val="auto"/>
                <w:highlight w:val="none"/>
              </w:rPr>
            </w:pPr>
            <w:r>
              <w:rPr>
                <w:color w:val="auto"/>
                <w:highlight w:val="none"/>
              </w:rPr>
              <w:t>3</w:t>
            </w:r>
          </w:p>
        </w:tc>
        <w:tc>
          <w:tcPr>
            <w:tcW w:w="1685" w:type="dxa"/>
            <w:tcBorders>
              <w:bottom w:val="single" w:color="000000" w:sz="6" w:space="0"/>
            </w:tcBorders>
            <w:noWrap w:val="0"/>
            <w:vAlign w:val="top"/>
          </w:tcPr>
          <w:p w14:paraId="5A322612">
            <w:pPr>
              <w:pStyle w:val="38"/>
              <w:adjustRightInd w:val="0"/>
              <w:snapToGrid w:val="0"/>
              <w:spacing w:line="560" w:lineRule="exact"/>
              <w:rPr>
                <w:rFonts w:ascii="Times New Roman"/>
                <w:color w:val="auto"/>
                <w:sz w:val="20"/>
                <w:highlight w:val="none"/>
              </w:rPr>
            </w:pPr>
          </w:p>
        </w:tc>
        <w:tc>
          <w:tcPr>
            <w:tcW w:w="794" w:type="dxa"/>
            <w:tcBorders>
              <w:bottom w:val="single" w:color="000000" w:sz="6" w:space="0"/>
            </w:tcBorders>
            <w:noWrap w:val="0"/>
            <w:vAlign w:val="top"/>
          </w:tcPr>
          <w:p w14:paraId="6784DCF1">
            <w:pPr>
              <w:pStyle w:val="38"/>
              <w:adjustRightInd w:val="0"/>
              <w:snapToGrid w:val="0"/>
              <w:spacing w:line="560" w:lineRule="exact"/>
              <w:rPr>
                <w:rFonts w:ascii="Times New Roman"/>
                <w:color w:val="auto"/>
                <w:sz w:val="20"/>
                <w:highlight w:val="none"/>
              </w:rPr>
            </w:pPr>
          </w:p>
        </w:tc>
        <w:tc>
          <w:tcPr>
            <w:tcW w:w="794" w:type="dxa"/>
            <w:tcBorders>
              <w:bottom w:val="single" w:color="000000" w:sz="6" w:space="0"/>
            </w:tcBorders>
            <w:noWrap w:val="0"/>
            <w:vAlign w:val="top"/>
          </w:tcPr>
          <w:p w14:paraId="7FDD5ADE">
            <w:pPr>
              <w:pStyle w:val="38"/>
              <w:adjustRightInd w:val="0"/>
              <w:snapToGrid w:val="0"/>
              <w:spacing w:line="560" w:lineRule="exact"/>
              <w:rPr>
                <w:rFonts w:ascii="Times New Roman"/>
                <w:color w:val="auto"/>
                <w:sz w:val="20"/>
                <w:highlight w:val="none"/>
              </w:rPr>
            </w:pPr>
          </w:p>
        </w:tc>
        <w:tc>
          <w:tcPr>
            <w:tcW w:w="794" w:type="dxa"/>
            <w:tcBorders>
              <w:bottom w:val="single" w:color="000000" w:sz="6" w:space="0"/>
            </w:tcBorders>
            <w:noWrap w:val="0"/>
            <w:vAlign w:val="top"/>
          </w:tcPr>
          <w:p w14:paraId="469BF504">
            <w:pPr>
              <w:pStyle w:val="38"/>
              <w:adjustRightInd w:val="0"/>
              <w:snapToGrid w:val="0"/>
              <w:spacing w:line="560" w:lineRule="exact"/>
              <w:rPr>
                <w:rFonts w:ascii="Times New Roman"/>
                <w:color w:val="auto"/>
                <w:sz w:val="20"/>
                <w:highlight w:val="none"/>
              </w:rPr>
            </w:pPr>
          </w:p>
        </w:tc>
        <w:tc>
          <w:tcPr>
            <w:tcW w:w="791" w:type="dxa"/>
            <w:tcBorders>
              <w:bottom w:val="single" w:color="000000" w:sz="6" w:space="0"/>
            </w:tcBorders>
            <w:noWrap w:val="0"/>
            <w:vAlign w:val="top"/>
          </w:tcPr>
          <w:p w14:paraId="436832B9">
            <w:pPr>
              <w:pStyle w:val="38"/>
              <w:adjustRightInd w:val="0"/>
              <w:snapToGrid w:val="0"/>
              <w:spacing w:line="560" w:lineRule="exact"/>
              <w:rPr>
                <w:rFonts w:ascii="Times New Roman"/>
                <w:color w:val="auto"/>
                <w:sz w:val="20"/>
                <w:highlight w:val="none"/>
              </w:rPr>
            </w:pPr>
          </w:p>
        </w:tc>
        <w:tc>
          <w:tcPr>
            <w:tcW w:w="635" w:type="dxa"/>
            <w:tcBorders>
              <w:bottom w:val="single" w:color="000000" w:sz="6" w:space="0"/>
            </w:tcBorders>
            <w:noWrap w:val="0"/>
            <w:vAlign w:val="top"/>
          </w:tcPr>
          <w:p w14:paraId="0D94F4E5">
            <w:pPr>
              <w:pStyle w:val="38"/>
              <w:adjustRightInd w:val="0"/>
              <w:snapToGrid w:val="0"/>
              <w:spacing w:line="560" w:lineRule="exact"/>
              <w:rPr>
                <w:rFonts w:ascii="Times New Roman"/>
                <w:color w:val="auto"/>
                <w:sz w:val="20"/>
                <w:highlight w:val="none"/>
              </w:rPr>
            </w:pPr>
          </w:p>
        </w:tc>
        <w:tc>
          <w:tcPr>
            <w:tcW w:w="1687" w:type="dxa"/>
            <w:tcBorders>
              <w:bottom w:val="single" w:color="000000" w:sz="6" w:space="0"/>
            </w:tcBorders>
            <w:noWrap w:val="0"/>
            <w:vAlign w:val="top"/>
          </w:tcPr>
          <w:p w14:paraId="09CF46B0">
            <w:pPr>
              <w:pStyle w:val="38"/>
              <w:adjustRightInd w:val="0"/>
              <w:snapToGrid w:val="0"/>
              <w:spacing w:line="560" w:lineRule="exact"/>
              <w:rPr>
                <w:rFonts w:ascii="Times New Roman"/>
                <w:color w:val="auto"/>
                <w:sz w:val="20"/>
                <w:highlight w:val="none"/>
              </w:rPr>
            </w:pPr>
          </w:p>
        </w:tc>
      </w:tr>
      <w:tr w14:paraId="7F93C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636" w:type="dxa"/>
            <w:tcBorders>
              <w:top w:val="single" w:color="000000" w:sz="6" w:space="0"/>
            </w:tcBorders>
            <w:noWrap w:val="0"/>
            <w:vAlign w:val="top"/>
          </w:tcPr>
          <w:p w14:paraId="7752629B">
            <w:pPr>
              <w:pStyle w:val="38"/>
              <w:adjustRightInd w:val="0"/>
              <w:snapToGrid w:val="0"/>
              <w:spacing w:line="560" w:lineRule="exact"/>
              <w:jc w:val="center"/>
              <w:rPr>
                <w:color w:val="auto"/>
                <w:highlight w:val="none"/>
              </w:rPr>
            </w:pPr>
            <w:r>
              <w:rPr>
                <w:color w:val="auto"/>
                <w:highlight w:val="none"/>
              </w:rPr>
              <w:t>4</w:t>
            </w:r>
          </w:p>
        </w:tc>
        <w:tc>
          <w:tcPr>
            <w:tcW w:w="1685" w:type="dxa"/>
            <w:tcBorders>
              <w:top w:val="single" w:color="000000" w:sz="6" w:space="0"/>
            </w:tcBorders>
            <w:noWrap w:val="0"/>
            <w:vAlign w:val="top"/>
          </w:tcPr>
          <w:p w14:paraId="68055766">
            <w:pPr>
              <w:pStyle w:val="38"/>
              <w:adjustRightInd w:val="0"/>
              <w:snapToGrid w:val="0"/>
              <w:spacing w:line="560" w:lineRule="exact"/>
              <w:rPr>
                <w:rFonts w:ascii="Times New Roman"/>
                <w:color w:val="auto"/>
                <w:sz w:val="20"/>
                <w:highlight w:val="none"/>
              </w:rPr>
            </w:pPr>
          </w:p>
        </w:tc>
        <w:tc>
          <w:tcPr>
            <w:tcW w:w="794" w:type="dxa"/>
            <w:tcBorders>
              <w:top w:val="single" w:color="000000" w:sz="6" w:space="0"/>
            </w:tcBorders>
            <w:noWrap w:val="0"/>
            <w:vAlign w:val="top"/>
          </w:tcPr>
          <w:p w14:paraId="6FEF92EE">
            <w:pPr>
              <w:pStyle w:val="38"/>
              <w:adjustRightInd w:val="0"/>
              <w:snapToGrid w:val="0"/>
              <w:spacing w:line="560" w:lineRule="exact"/>
              <w:rPr>
                <w:rFonts w:ascii="Times New Roman"/>
                <w:color w:val="auto"/>
                <w:sz w:val="20"/>
                <w:highlight w:val="none"/>
              </w:rPr>
            </w:pPr>
          </w:p>
        </w:tc>
        <w:tc>
          <w:tcPr>
            <w:tcW w:w="794" w:type="dxa"/>
            <w:tcBorders>
              <w:top w:val="single" w:color="000000" w:sz="6" w:space="0"/>
            </w:tcBorders>
            <w:noWrap w:val="0"/>
            <w:vAlign w:val="top"/>
          </w:tcPr>
          <w:p w14:paraId="4FC9F9AA">
            <w:pPr>
              <w:pStyle w:val="38"/>
              <w:adjustRightInd w:val="0"/>
              <w:snapToGrid w:val="0"/>
              <w:spacing w:line="560" w:lineRule="exact"/>
              <w:rPr>
                <w:rFonts w:ascii="Times New Roman"/>
                <w:color w:val="auto"/>
                <w:sz w:val="20"/>
                <w:highlight w:val="none"/>
              </w:rPr>
            </w:pPr>
          </w:p>
        </w:tc>
        <w:tc>
          <w:tcPr>
            <w:tcW w:w="794" w:type="dxa"/>
            <w:tcBorders>
              <w:top w:val="single" w:color="000000" w:sz="6" w:space="0"/>
            </w:tcBorders>
            <w:noWrap w:val="0"/>
            <w:vAlign w:val="top"/>
          </w:tcPr>
          <w:p w14:paraId="54F190EA">
            <w:pPr>
              <w:pStyle w:val="38"/>
              <w:adjustRightInd w:val="0"/>
              <w:snapToGrid w:val="0"/>
              <w:spacing w:line="560" w:lineRule="exact"/>
              <w:rPr>
                <w:rFonts w:ascii="Times New Roman"/>
                <w:color w:val="auto"/>
                <w:sz w:val="20"/>
                <w:highlight w:val="none"/>
              </w:rPr>
            </w:pPr>
          </w:p>
        </w:tc>
        <w:tc>
          <w:tcPr>
            <w:tcW w:w="791" w:type="dxa"/>
            <w:tcBorders>
              <w:top w:val="single" w:color="000000" w:sz="6" w:space="0"/>
            </w:tcBorders>
            <w:noWrap w:val="0"/>
            <w:vAlign w:val="top"/>
          </w:tcPr>
          <w:p w14:paraId="5A99E98E">
            <w:pPr>
              <w:pStyle w:val="38"/>
              <w:adjustRightInd w:val="0"/>
              <w:snapToGrid w:val="0"/>
              <w:spacing w:line="560" w:lineRule="exact"/>
              <w:rPr>
                <w:rFonts w:ascii="Times New Roman"/>
                <w:color w:val="auto"/>
                <w:sz w:val="20"/>
                <w:highlight w:val="none"/>
              </w:rPr>
            </w:pPr>
          </w:p>
        </w:tc>
        <w:tc>
          <w:tcPr>
            <w:tcW w:w="635" w:type="dxa"/>
            <w:tcBorders>
              <w:top w:val="single" w:color="000000" w:sz="6" w:space="0"/>
            </w:tcBorders>
            <w:noWrap w:val="0"/>
            <w:vAlign w:val="top"/>
          </w:tcPr>
          <w:p w14:paraId="45F7F55B">
            <w:pPr>
              <w:pStyle w:val="38"/>
              <w:adjustRightInd w:val="0"/>
              <w:snapToGrid w:val="0"/>
              <w:spacing w:line="560" w:lineRule="exact"/>
              <w:rPr>
                <w:rFonts w:ascii="Times New Roman"/>
                <w:color w:val="auto"/>
                <w:sz w:val="20"/>
                <w:highlight w:val="none"/>
              </w:rPr>
            </w:pPr>
          </w:p>
        </w:tc>
        <w:tc>
          <w:tcPr>
            <w:tcW w:w="1687" w:type="dxa"/>
            <w:tcBorders>
              <w:top w:val="single" w:color="000000" w:sz="6" w:space="0"/>
            </w:tcBorders>
            <w:noWrap w:val="0"/>
            <w:vAlign w:val="top"/>
          </w:tcPr>
          <w:p w14:paraId="17CE11FF">
            <w:pPr>
              <w:pStyle w:val="38"/>
              <w:adjustRightInd w:val="0"/>
              <w:snapToGrid w:val="0"/>
              <w:spacing w:line="560" w:lineRule="exact"/>
              <w:rPr>
                <w:rFonts w:ascii="Times New Roman"/>
                <w:color w:val="auto"/>
                <w:sz w:val="20"/>
                <w:highlight w:val="none"/>
              </w:rPr>
            </w:pPr>
          </w:p>
        </w:tc>
      </w:tr>
      <w:tr w14:paraId="028C0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noWrap w:val="0"/>
            <w:vAlign w:val="top"/>
          </w:tcPr>
          <w:p w14:paraId="2539152F">
            <w:pPr>
              <w:pStyle w:val="38"/>
              <w:adjustRightInd w:val="0"/>
              <w:snapToGrid w:val="0"/>
              <w:spacing w:line="560" w:lineRule="exact"/>
              <w:jc w:val="center"/>
              <w:rPr>
                <w:color w:val="auto"/>
                <w:highlight w:val="none"/>
              </w:rPr>
            </w:pPr>
            <w:r>
              <w:rPr>
                <w:color w:val="auto"/>
                <w:highlight w:val="none"/>
              </w:rPr>
              <w:t>5</w:t>
            </w:r>
          </w:p>
        </w:tc>
        <w:tc>
          <w:tcPr>
            <w:tcW w:w="1685" w:type="dxa"/>
            <w:noWrap w:val="0"/>
            <w:vAlign w:val="top"/>
          </w:tcPr>
          <w:p w14:paraId="73268974">
            <w:pPr>
              <w:pStyle w:val="38"/>
              <w:adjustRightInd w:val="0"/>
              <w:snapToGrid w:val="0"/>
              <w:spacing w:line="560" w:lineRule="exact"/>
              <w:rPr>
                <w:rFonts w:ascii="Times New Roman"/>
                <w:color w:val="auto"/>
                <w:sz w:val="20"/>
                <w:highlight w:val="none"/>
              </w:rPr>
            </w:pPr>
          </w:p>
        </w:tc>
        <w:tc>
          <w:tcPr>
            <w:tcW w:w="794" w:type="dxa"/>
            <w:noWrap w:val="0"/>
            <w:vAlign w:val="top"/>
          </w:tcPr>
          <w:p w14:paraId="4BD245A1">
            <w:pPr>
              <w:pStyle w:val="38"/>
              <w:adjustRightInd w:val="0"/>
              <w:snapToGrid w:val="0"/>
              <w:spacing w:line="560" w:lineRule="exact"/>
              <w:rPr>
                <w:rFonts w:ascii="Times New Roman"/>
                <w:color w:val="auto"/>
                <w:sz w:val="20"/>
                <w:highlight w:val="none"/>
              </w:rPr>
            </w:pPr>
          </w:p>
        </w:tc>
        <w:tc>
          <w:tcPr>
            <w:tcW w:w="794" w:type="dxa"/>
            <w:noWrap w:val="0"/>
            <w:vAlign w:val="top"/>
          </w:tcPr>
          <w:p w14:paraId="4DB4AFEC">
            <w:pPr>
              <w:pStyle w:val="38"/>
              <w:adjustRightInd w:val="0"/>
              <w:snapToGrid w:val="0"/>
              <w:spacing w:line="560" w:lineRule="exact"/>
              <w:rPr>
                <w:rFonts w:ascii="Times New Roman"/>
                <w:color w:val="auto"/>
                <w:sz w:val="20"/>
                <w:highlight w:val="none"/>
              </w:rPr>
            </w:pPr>
          </w:p>
        </w:tc>
        <w:tc>
          <w:tcPr>
            <w:tcW w:w="794" w:type="dxa"/>
            <w:noWrap w:val="0"/>
            <w:vAlign w:val="top"/>
          </w:tcPr>
          <w:p w14:paraId="30A3DA1F">
            <w:pPr>
              <w:pStyle w:val="38"/>
              <w:adjustRightInd w:val="0"/>
              <w:snapToGrid w:val="0"/>
              <w:spacing w:line="560" w:lineRule="exact"/>
              <w:rPr>
                <w:rFonts w:ascii="Times New Roman"/>
                <w:color w:val="auto"/>
                <w:sz w:val="20"/>
                <w:highlight w:val="none"/>
              </w:rPr>
            </w:pPr>
          </w:p>
        </w:tc>
        <w:tc>
          <w:tcPr>
            <w:tcW w:w="791" w:type="dxa"/>
            <w:noWrap w:val="0"/>
            <w:vAlign w:val="top"/>
          </w:tcPr>
          <w:p w14:paraId="29B1217A">
            <w:pPr>
              <w:pStyle w:val="38"/>
              <w:adjustRightInd w:val="0"/>
              <w:snapToGrid w:val="0"/>
              <w:spacing w:line="560" w:lineRule="exact"/>
              <w:rPr>
                <w:rFonts w:ascii="Times New Roman"/>
                <w:color w:val="auto"/>
                <w:sz w:val="20"/>
                <w:highlight w:val="none"/>
              </w:rPr>
            </w:pPr>
          </w:p>
        </w:tc>
        <w:tc>
          <w:tcPr>
            <w:tcW w:w="635" w:type="dxa"/>
            <w:noWrap w:val="0"/>
            <w:vAlign w:val="top"/>
          </w:tcPr>
          <w:p w14:paraId="0C5AA31B">
            <w:pPr>
              <w:pStyle w:val="38"/>
              <w:adjustRightInd w:val="0"/>
              <w:snapToGrid w:val="0"/>
              <w:spacing w:line="560" w:lineRule="exact"/>
              <w:rPr>
                <w:rFonts w:ascii="Times New Roman"/>
                <w:color w:val="auto"/>
                <w:sz w:val="20"/>
                <w:highlight w:val="none"/>
              </w:rPr>
            </w:pPr>
          </w:p>
        </w:tc>
        <w:tc>
          <w:tcPr>
            <w:tcW w:w="1687" w:type="dxa"/>
            <w:noWrap w:val="0"/>
            <w:vAlign w:val="top"/>
          </w:tcPr>
          <w:p w14:paraId="5BC1C5F4">
            <w:pPr>
              <w:pStyle w:val="38"/>
              <w:adjustRightInd w:val="0"/>
              <w:snapToGrid w:val="0"/>
              <w:spacing w:line="560" w:lineRule="exact"/>
              <w:rPr>
                <w:rFonts w:ascii="Times New Roman"/>
                <w:color w:val="auto"/>
                <w:sz w:val="20"/>
                <w:highlight w:val="none"/>
              </w:rPr>
            </w:pPr>
          </w:p>
        </w:tc>
      </w:tr>
      <w:tr w14:paraId="1BEEC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noWrap w:val="0"/>
            <w:vAlign w:val="top"/>
          </w:tcPr>
          <w:p w14:paraId="79C1517D">
            <w:pPr>
              <w:pStyle w:val="38"/>
              <w:adjustRightInd w:val="0"/>
              <w:snapToGrid w:val="0"/>
              <w:spacing w:line="560" w:lineRule="exact"/>
              <w:jc w:val="center"/>
              <w:rPr>
                <w:color w:val="auto"/>
                <w:highlight w:val="none"/>
              </w:rPr>
            </w:pPr>
            <w:r>
              <w:rPr>
                <w:color w:val="auto"/>
                <w:highlight w:val="none"/>
              </w:rPr>
              <w:t>6</w:t>
            </w:r>
          </w:p>
        </w:tc>
        <w:tc>
          <w:tcPr>
            <w:tcW w:w="1685" w:type="dxa"/>
            <w:noWrap w:val="0"/>
            <w:vAlign w:val="top"/>
          </w:tcPr>
          <w:p w14:paraId="007D00BF">
            <w:pPr>
              <w:pStyle w:val="38"/>
              <w:adjustRightInd w:val="0"/>
              <w:snapToGrid w:val="0"/>
              <w:spacing w:line="560" w:lineRule="exact"/>
              <w:rPr>
                <w:rFonts w:ascii="Times New Roman"/>
                <w:color w:val="auto"/>
                <w:sz w:val="20"/>
                <w:highlight w:val="none"/>
              </w:rPr>
            </w:pPr>
          </w:p>
        </w:tc>
        <w:tc>
          <w:tcPr>
            <w:tcW w:w="794" w:type="dxa"/>
            <w:noWrap w:val="0"/>
            <w:vAlign w:val="top"/>
          </w:tcPr>
          <w:p w14:paraId="27EE620B">
            <w:pPr>
              <w:pStyle w:val="38"/>
              <w:adjustRightInd w:val="0"/>
              <w:snapToGrid w:val="0"/>
              <w:spacing w:line="560" w:lineRule="exact"/>
              <w:rPr>
                <w:rFonts w:ascii="Times New Roman"/>
                <w:color w:val="auto"/>
                <w:sz w:val="20"/>
                <w:highlight w:val="none"/>
              </w:rPr>
            </w:pPr>
          </w:p>
        </w:tc>
        <w:tc>
          <w:tcPr>
            <w:tcW w:w="794" w:type="dxa"/>
            <w:noWrap w:val="0"/>
            <w:vAlign w:val="top"/>
          </w:tcPr>
          <w:p w14:paraId="6E64A987">
            <w:pPr>
              <w:pStyle w:val="38"/>
              <w:adjustRightInd w:val="0"/>
              <w:snapToGrid w:val="0"/>
              <w:spacing w:line="560" w:lineRule="exact"/>
              <w:rPr>
                <w:rFonts w:ascii="Times New Roman"/>
                <w:color w:val="auto"/>
                <w:sz w:val="20"/>
                <w:highlight w:val="none"/>
              </w:rPr>
            </w:pPr>
          </w:p>
        </w:tc>
        <w:tc>
          <w:tcPr>
            <w:tcW w:w="794" w:type="dxa"/>
            <w:noWrap w:val="0"/>
            <w:vAlign w:val="top"/>
          </w:tcPr>
          <w:p w14:paraId="54224FC9">
            <w:pPr>
              <w:pStyle w:val="38"/>
              <w:adjustRightInd w:val="0"/>
              <w:snapToGrid w:val="0"/>
              <w:spacing w:line="560" w:lineRule="exact"/>
              <w:rPr>
                <w:rFonts w:ascii="Times New Roman"/>
                <w:color w:val="auto"/>
                <w:sz w:val="20"/>
                <w:highlight w:val="none"/>
              </w:rPr>
            </w:pPr>
          </w:p>
        </w:tc>
        <w:tc>
          <w:tcPr>
            <w:tcW w:w="791" w:type="dxa"/>
            <w:noWrap w:val="0"/>
            <w:vAlign w:val="top"/>
          </w:tcPr>
          <w:p w14:paraId="032068B7">
            <w:pPr>
              <w:pStyle w:val="38"/>
              <w:adjustRightInd w:val="0"/>
              <w:snapToGrid w:val="0"/>
              <w:spacing w:line="560" w:lineRule="exact"/>
              <w:rPr>
                <w:rFonts w:ascii="Times New Roman"/>
                <w:color w:val="auto"/>
                <w:sz w:val="20"/>
                <w:highlight w:val="none"/>
              </w:rPr>
            </w:pPr>
          </w:p>
        </w:tc>
        <w:tc>
          <w:tcPr>
            <w:tcW w:w="635" w:type="dxa"/>
            <w:noWrap w:val="0"/>
            <w:vAlign w:val="top"/>
          </w:tcPr>
          <w:p w14:paraId="7F120A1C">
            <w:pPr>
              <w:pStyle w:val="38"/>
              <w:adjustRightInd w:val="0"/>
              <w:snapToGrid w:val="0"/>
              <w:spacing w:line="560" w:lineRule="exact"/>
              <w:rPr>
                <w:rFonts w:ascii="Times New Roman"/>
                <w:color w:val="auto"/>
                <w:sz w:val="20"/>
                <w:highlight w:val="none"/>
              </w:rPr>
            </w:pPr>
          </w:p>
        </w:tc>
        <w:tc>
          <w:tcPr>
            <w:tcW w:w="1687" w:type="dxa"/>
            <w:noWrap w:val="0"/>
            <w:vAlign w:val="top"/>
          </w:tcPr>
          <w:p w14:paraId="794415BA">
            <w:pPr>
              <w:pStyle w:val="38"/>
              <w:adjustRightInd w:val="0"/>
              <w:snapToGrid w:val="0"/>
              <w:spacing w:line="560" w:lineRule="exact"/>
              <w:rPr>
                <w:rFonts w:ascii="Times New Roman"/>
                <w:color w:val="auto"/>
                <w:sz w:val="20"/>
                <w:highlight w:val="none"/>
              </w:rPr>
            </w:pPr>
          </w:p>
        </w:tc>
      </w:tr>
      <w:tr w14:paraId="599CD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noWrap w:val="0"/>
            <w:vAlign w:val="top"/>
          </w:tcPr>
          <w:p w14:paraId="0814782D">
            <w:pPr>
              <w:pStyle w:val="38"/>
              <w:adjustRightInd w:val="0"/>
              <w:snapToGrid w:val="0"/>
              <w:spacing w:line="560" w:lineRule="exact"/>
              <w:rPr>
                <w:rFonts w:ascii="Times New Roman"/>
                <w:color w:val="auto"/>
                <w:sz w:val="20"/>
                <w:highlight w:val="none"/>
              </w:rPr>
            </w:pPr>
          </w:p>
        </w:tc>
        <w:tc>
          <w:tcPr>
            <w:tcW w:w="1685" w:type="dxa"/>
            <w:noWrap w:val="0"/>
            <w:vAlign w:val="top"/>
          </w:tcPr>
          <w:p w14:paraId="5769B93B">
            <w:pPr>
              <w:pStyle w:val="38"/>
              <w:adjustRightInd w:val="0"/>
              <w:snapToGrid w:val="0"/>
              <w:spacing w:line="560" w:lineRule="exact"/>
              <w:rPr>
                <w:rFonts w:ascii="Times New Roman"/>
                <w:color w:val="auto"/>
                <w:sz w:val="20"/>
                <w:highlight w:val="none"/>
              </w:rPr>
            </w:pPr>
          </w:p>
        </w:tc>
        <w:tc>
          <w:tcPr>
            <w:tcW w:w="794" w:type="dxa"/>
            <w:noWrap w:val="0"/>
            <w:vAlign w:val="top"/>
          </w:tcPr>
          <w:p w14:paraId="714542E3">
            <w:pPr>
              <w:pStyle w:val="38"/>
              <w:adjustRightInd w:val="0"/>
              <w:snapToGrid w:val="0"/>
              <w:spacing w:line="560" w:lineRule="exact"/>
              <w:rPr>
                <w:rFonts w:ascii="Times New Roman"/>
                <w:color w:val="auto"/>
                <w:sz w:val="20"/>
                <w:highlight w:val="none"/>
              </w:rPr>
            </w:pPr>
          </w:p>
        </w:tc>
        <w:tc>
          <w:tcPr>
            <w:tcW w:w="794" w:type="dxa"/>
            <w:noWrap w:val="0"/>
            <w:vAlign w:val="top"/>
          </w:tcPr>
          <w:p w14:paraId="6BA1E954">
            <w:pPr>
              <w:pStyle w:val="38"/>
              <w:adjustRightInd w:val="0"/>
              <w:snapToGrid w:val="0"/>
              <w:spacing w:line="560" w:lineRule="exact"/>
              <w:rPr>
                <w:rFonts w:ascii="Times New Roman"/>
                <w:color w:val="auto"/>
                <w:sz w:val="20"/>
                <w:highlight w:val="none"/>
              </w:rPr>
            </w:pPr>
          </w:p>
        </w:tc>
        <w:tc>
          <w:tcPr>
            <w:tcW w:w="794" w:type="dxa"/>
            <w:noWrap w:val="0"/>
            <w:vAlign w:val="top"/>
          </w:tcPr>
          <w:p w14:paraId="421295B3">
            <w:pPr>
              <w:pStyle w:val="38"/>
              <w:adjustRightInd w:val="0"/>
              <w:snapToGrid w:val="0"/>
              <w:spacing w:line="560" w:lineRule="exact"/>
              <w:rPr>
                <w:rFonts w:ascii="Times New Roman"/>
                <w:color w:val="auto"/>
                <w:sz w:val="20"/>
                <w:highlight w:val="none"/>
              </w:rPr>
            </w:pPr>
          </w:p>
        </w:tc>
        <w:tc>
          <w:tcPr>
            <w:tcW w:w="791" w:type="dxa"/>
            <w:noWrap w:val="0"/>
            <w:vAlign w:val="top"/>
          </w:tcPr>
          <w:p w14:paraId="116FBDD1">
            <w:pPr>
              <w:pStyle w:val="38"/>
              <w:adjustRightInd w:val="0"/>
              <w:snapToGrid w:val="0"/>
              <w:spacing w:line="560" w:lineRule="exact"/>
              <w:rPr>
                <w:rFonts w:ascii="Times New Roman"/>
                <w:color w:val="auto"/>
                <w:sz w:val="20"/>
                <w:highlight w:val="none"/>
              </w:rPr>
            </w:pPr>
          </w:p>
        </w:tc>
        <w:tc>
          <w:tcPr>
            <w:tcW w:w="635" w:type="dxa"/>
            <w:noWrap w:val="0"/>
            <w:vAlign w:val="top"/>
          </w:tcPr>
          <w:p w14:paraId="698C9897">
            <w:pPr>
              <w:pStyle w:val="38"/>
              <w:adjustRightInd w:val="0"/>
              <w:snapToGrid w:val="0"/>
              <w:spacing w:line="560" w:lineRule="exact"/>
              <w:rPr>
                <w:rFonts w:ascii="Times New Roman"/>
                <w:color w:val="auto"/>
                <w:sz w:val="20"/>
                <w:highlight w:val="none"/>
              </w:rPr>
            </w:pPr>
          </w:p>
        </w:tc>
        <w:tc>
          <w:tcPr>
            <w:tcW w:w="1687" w:type="dxa"/>
            <w:noWrap w:val="0"/>
            <w:vAlign w:val="top"/>
          </w:tcPr>
          <w:p w14:paraId="7E043F77">
            <w:pPr>
              <w:pStyle w:val="38"/>
              <w:adjustRightInd w:val="0"/>
              <w:snapToGrid w:val="0"/>
              <w:spacing w:line="560" w:lineRule="exact"/>
              <w:rPr>
                <w:rFonts w:ascii="Times New Roman"/>
                <w:color w:val="auto"/>
                <w:sz w:val="20"/>
                <w:highlight w:val="none"/>
              </w:rPr>
            </w:pPr>
          </w:p>
        </w:tc>
      </w:tr>
      <w:tr w14:paraId="75571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noWrap w:val="0"/>
            <w:vAlign w:val="top"/>
          </w:tcPr>
          <w:p w14:paraId="32AF6E21">
            <w:pPr>
              <w:pStyle w:val="38"/>
              <w:adjustRightInd w:val="0"/>
              <w:snapToGrid w:val="0"/>
              <w:spacing w:line="560" w:lineRule="exact"/>
              <w:rPr>
                <w:rFonts w:ascii="Times New Roman"/>
                <w:color w:val="auto"/>
                <w:sz w:val="20"/>
                <w:highlight w:val="none"/>
              </w:rPr>
            </w:pPr>
          </w:p>
        </w:tc>
        <w:tc>
          <w:tcPr>
            <w:tcW w:w="1685" w:type="dxa"/>
            <w:noWrap w:val="0"/>
            <w:vAlign w:val="top"/>
          </w:tcPr>
          <w:p w14:paraId="6D813472">
            <w:pPr>
              <w:pStyle w:val="38"/>
              <w:adjustRightInd w:val="0"/>
              <w:snapToGrid w:val="0"/>
              <w:spacing w:line="560" w:lineRule="exact"/>
              <w:rPr>
                <w:rFonts w:ascii="Times New Roman"/>
                <w:color w:val="auto"/>
                <w:sz w:val="20"/>
                <w:highlight w:val="none"/>
              </w:rPr>
            </w:pPr>
          </w:p>
        </w:tc>
        <w:tc>
          <w:tcPr>
            <w:tcW w:w="794" w:type="dxa"/>
            <w:noWrap w:val="0"/>
            <w:vAlign w:val="top"/>
          </w:tcPr>
          <w:p w14:paraId="688496D6">
            <w:pPr>
              <w:pStyle w:val="38"/>
              <w:adjustRightInd w:val="0"/>
              <w:snapToGrid w:val="0"/>
              <w:spacing w:line="560" w:lineRule="exact"/>
              <w:rPr>
                <w:rFonts w:ascii="Times New Roman"/>
                <w:color w:val="auto"/>
                <w:sz w:val="20"/>
                <w:highlight w:val="none"/>
              </w:rPr>
            </w:pPr>
          </w:p>
        </w:tc>
        <w:tc>
          <w:tcPr>
            <w:tcW w:w="794" w:type="dxa"/>
            <w:noWrap w:val="0"/>
            <w:vAlign w:val="top"/>
          </w:tcPr>
          <w:p w14:paraId="41B18B7A">
            <w:pPr>
              <w:pStyle w:val="38"/>
              <w:adjustRightInd w:val="0"/>
              <w:snapToGrid w:val="0"/>
              <w:spacing w:line="560" w:lineRule="exact"/>
              <w:rPr>
                <w:rFonts w:ascii="Times New Roman"/>
                <w:color w:val="auto"/>
                <w:sz w:val="20"/>
                <w:highlight w:val="none"/>
              </w:rPr>
            </w:pPr>
          </w:p>
        </w:tc>
        <w:tc>
          <w:tcPr>
            <w:tcW w:w="794" w:type="dxa"/>
            <w:noWrap w:val="0"/>
            <w:vAlign w:val="top"/>
          </w:tcPr>
          <w:p w14:paraId="3EFC4F27">
            <w:pPr>
              <w:pStyle w:val="38"/>
              <w:adjustRightInd w:val="0"/>
              <w:snapToGrid w:val="0"/>
              <w:spacing w:line="560" w:lineRule="exact"/>
              <w:rPr>
                <w:rFonts w:ascii="Times New Roman"/>
                <w:color w:val="auto"/>
                <w:sz w:val="20"/>
                <w:highlight w:val="none"/>
              </w:rPr>
            </w:pPr>
          </w:p>
        </w:tc>
        <w:tc>
          <w:tcPr>
            <w:tcW w:w="791" w:type="dxa"/>
            <w:noWrap w:val="0"/>
            <w:vAlign w:val="top"/>
          </w:tcPr>
          <w:p w14:paraId="0428F0BA">
            <w:pPr>
              <w:pStyle w:val="38"/>
              <w:adjustRightInd w:val="0"/>
              <w:snapToGrid w:val="0"/>
              <w:spacing w:line="560" w:lineRule="exact"/>
              <w:rPr>
                <w:rFonts w:ascii="Times New Roman"/>
                <w:color w:val="auto"/>
                <w:sz w:val="20"/>
                <w:highlight w:val="none"/>
              </w:rPr>
            </w:pPr>
          </w:p>
        </w:tc>
        <w:tc>
          <w:tcPr>
            <w:tcW w:w="635" w:type="dxa"/>
            <w:noWrap w:val="0"/>
            <w:vAlign w:val="top"/>
          </w:tcPr>
          <w:p w14:paraId="3C03D27C">
            <w:pPr>
              <w:pStyle w:val="38"/>
              <w:adjustRightInd w:val="0"/>
              <w:snapToGrid w:val="0"/>
              <w:spacing w:line="560" w:lineRule="exact"/>
              <w:rPr>
                <w:rFonts w:ascii="Times New Roman"/>
                <w:color w:val="auto"/>
                <w:sz w:val="20"/>
                <w:highlight w:val="none"/>
              </w:rPr>
            </w:pPr>
          </w:p>
        </w:tc>
        <w:tc>
          <w:tcPr>
            <w:tcW w:w="1687" w:type="dxa"/>
            <w:noWrap w:val="0"/>
            <w:vAlign w:val="top"/>
          </w:tcPr>
          <w:p w14:paraId="395CDEBC">
            <w:pPr>
              <w:pStyle w:val="38"/>
              <w:adjustRightInd w:val="0"/>
              <w:snapToGrid w:val="0"/>
              <w:spacing w:line="560" w:lineRule="exact"/>
              <w:rPr>
                <w:rFonts w:ascii="Times New Roman"/>
                <w:color w:val="auto"/>
                <w:sz w:val="20"/>
                <w:highlight w:val="none"/>
              </w:rPr>
            </w:pPr>
          </w:p>
        </w:tc>
      </w:tr>
      <w:tr w14:paraId="4F1D7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noWrap w:val="0"/>
            <w:vAlign w:val="top"/>
          </w:tcPr>
          <w:p w14:paraId="6246BACF">
            <w:pPr>
              <w:pStyle w:val="38"/>
              <w:adjustRightInd w:val="0"/>
              <w:snapToGrid w:val="0"/>
              <w:spacing w:line="560" w:lineRule="exact"/>
              <w:rPr>
                <w:rFonts w:ascii="Times New Roman"/>
                <w:color w:val="auto"/>
                <w:sz w:val="20"/>
                <w:highlight w:val="none"/>
              </w:rPr>
            </w:pPr>
          </w:p>
        </w:tc>
        <w:tc>
          <w:tcPr>
            <w:tcW w:w="1685" w:type="dxa"/>
            <w:noWrap w:val="0"/>
            <w:vAlign w:val="top"/>
          </w:tcPr>
          <w:p w14:paraId="6A6EB019">
            <w:pPr>
              <w:pStyle w:val="38"/>
              <w:adjustRightInd w:val="0"/>
              <w:snapToGrid w:val="0"/>
              <w:spacing w:line="560" w:lineRule="exact"/>
              <w:rPr>
                <w:rFonts w:ascii="Times New Roman"/>
                <w:color w:val="auto"/>
                <w:sz w:val="20"/>
                <w:highlight w:val="none"/>
              </w:rPr>
            </w:pPr>
          </w:p>
        </w:tc>
        <w:tc>
          <w:tcPr>
            <w:tcW w:w="794" w:type="dxa"/>
            <w:noWrap w:val="0"/>
            <w:vAlign w:val="top"/>
          </w:tcPr>
          <w:p w14:paraId="3FFF1990">
            <w:pPr>
              <w:pStyle w:val="38"/>
              <w:adjustRightInd w:val="0"/>
              <w:snapToGrid w:val="0"/>
              <w:spacing w:line="560" w:lineRule="exact"/>
              <w:rPr>
                <w:rFonts w:ascii="Times New Roman"/>
                <w:color w:val="auto"/>
                <w:sz w:val="20"/>
                <w:highlight w:val="none"/>
              </w:rPr>
            </w:pPr>
          </w:p>
        </w:tc>
        <w:tc>
          <w:tcPr>
            <w:tcW w:w="794" w:type="dxa"/>
            <w:noWrap w:val="0"/>
            <w:vAlign w:val="top"/>
          </w:tcPr>
          <w:p w14:paraId="1CF20268">
            <w:pPr>
              <w:pStyle w:val="38"/>
              <w:adjustRightInd w:val="0"/>
              <w:snapToGrid w:val="0"/>
              <w:spacing w:line="560" w:lineRule="exact"/>
              <w:rPr>
                <w:rFonts w:ascii="Times New Roman"/>
                <w:color w:val="auto"/>
                <w:sz w:val="20"/>
                <w:highlight w:val="none"/>
              </w:rPr>
            </w:pPr>
          </w:p>
        </w:tc>
        <w:tc>
          <w:tcPr>
            <w:tcW w:w="794" w:type="dxa"/>
            <w:noWrap w:val="0"/>
            <w:vAlign w:val="top"/>
          </w:tcPr>
          <w:p w14:paraId="260BB0C4">
            <w:pPr>
              <w:pStyle w:val="38"/>
              <w:adjustRightInd w:val="0"/>
              <w:snapToGrid w:val="0"/>
              <w:spacing w:line="560" w:lineRule="exact"/>
              <w:rPr>
                <w:rFonts w:ascii="Times New Roman"/>
                <w:color w:val="auto"/>
                <w:sz w:val="20"/>
                <w:highlight w:val="none"/>
              </w:rPr>
            </w:pPr>
          </w:p>
        </w:tc>
        <w:tc>
          <w:tcPr>
            <w:tcW w:w="791" w:type="dxa"/>
            <w:noWrap w:val="0"/>
            <w:vAlign w:val="top"/>
          </w:tcPr>
          <w:p w14:paraId="30F65037">
            <w:pPr>
              <w:pStyle w:val="38"/>
              <w:adjustRightInd w:val="0"/>
              <w:snapToGrid w:val="0"/>
              <w:spacing w:line="560" w:lineRule="exact"/>
              <w:rPr>
                <w:rFonts w:ascii="Times New Roman"/>
                <w:color w:val="auto"/>
                <w:sz w:val="20"/>
                <w:highlight w:val="none"/>
              </w:rPr>
            </w:pPr>
          </w:p>
        </w:tc>
        <w:tc>
          <w:tcPr>
            <w:tcW w:w="635" w:type="dxa"/>
            <w:noWrap w:val="0"/>
            <w:vAlign w:val="top"/>
          </w:tcPr>
          <w:p w14:paraId="3C694EEE">
            <w:pPr>
              <w:pStyle w:val="38"/>
              <w:adjustRightInd w:val="0"/>
              <w:snapToGrid w:val="0"/>
              <w:spacing w:line="560" w:lineRule="exact"/>
              <w:rPr>
                <w:rFonts w:ascii="Times New Roman"/>
                <w:color w:val="auto"/>
                <w:sz w:val="20"/>
                <w:highlight w:val="none"/>
              </w:rPr>
            </w:pPr>
          </w:p>
        </w:tc>
        <w:tc>
          <w:tcPr>
            <w:tcW w:w="1687" w:type="dxa"/>
            <w:noWrap w:val="0"/>
            <w:vAlign w:val="top"/>
          </w:tcPr>
          <w:p w14:paraId="1713A0DA">
            <w:pPr>
              <w:pStyle w:val="38"/>
              <w:adjustRightInd w:val="0"/>
              <w:snapToGrid w:val="0"/>
              <w:spacing w:line="560" w:lineRule="exact"/>
              <w:rPr>
                <w:rFonts w:ascii="Times New Roman"/>
                <w:color w:val="auto"/>
                <w:sz w:val="20"/>
                <w:highlight w:val="none"/>
              </w:rPr>
            </w:pPr>
          </w:p>
        </w:tc>
      </w:tr>
      <w:tr w14:paraId="5BC29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636" w:type="dxa"/>
            <w:noWrap w:val="0"/>
            <w:vAlign w:val="top"/>
          </w:tcPr>
          <w:p w14:paraId="5B5D9C7E">
            <w:pPr>
              <w:pStyle w:val="38"/>
              <w:adjustRightInd w:val="0"/>
              <w:snapToGrid w:val="0"/>
              <w:spacing w:line="560" w:lineRule="exact"/>
              <w:rPr>
                <w:rFonts w:ascii="Times New Roman"/>
                <w:color w:val="auto"/>
                <w:sz w:val="20"/>
                <w:highlight w:val="none"/>
              </w:rPr>
            </w:pPr>
          </w:p>
        </w:tc>
        <w:tc>
          <w:tcPr>
            <w:tcW w:w="1685" w:type="dxa"/>
            <w:noWrap w:val="0"/>
            <w:vAlign w:val="top"/>
          </w:tcPr>
          <w:p w14:paraId="3F5F8FB9">
            <w:pPr>
              <w:pStyle w:val="38"/>
              <w:adjustRightInd w:val="0"/>
              <w:snapToGrid w:val="0"/>
              <w:spacing w:line="560" w:lineRule="exact"/>
              <w:rPr>
                <w:rFonts w:ascii="Times New Roman"/>
                <w:color w:val="auto"/>
                <w:sz w:val="20"/>
                <w:highlight w:val="none"/>
              </w:rPr>
            </w:pPr>
          </w:p>
        </w:tc>
        <w:tc>
          <w:tcPr>
            <w:tcW w:w="794" w:type="dxa"/>
            <w:noWrap w:val="0"/>
            <w:vAlign w:val="top"/>
          </w:tcPr>
          <w:p w14:paraId="67588461">
            <w:pPr>
              <w:pStyle w:val="38"/>
              <w:adjustRightInd w:val="0"/>
              <w:snapToGrid w:val="0"/>
              <w:spacing w:line="560" w:lineRule="exact"/>
              <w:rPr>
                <w:rFonts w:ascii="Times New Roman"/>
                <w:color w:val="auto"/>
                <w:sz w:val="20"/>
                <w:highlight w:val="none"/>
              </w:rPr>
            </w:pPr>
          </w:p>
        </w:tc>
        <w:tc>
          <w:tcPr>
            <w:tcW w:w="794" w:type="dxa"/>
            <w:noWrap w:val="0"/>
            <w:vAlign w:val="top"/>
          </w:tcPr>
          <w:p w14:paraId="4445E0D9">
            <w:pPr>
              <w:pStyle w:val="38"/>
              <w:adjustRightInd w:val="0"/>
              <w:snapToGrid w:val="0"/>
              <w:spacing w:line="560" w:lineRule="exact"/>
              <w:rPr>
                <w:rFonts w:ascii="Times New Roman"/>
                <w:color w:val="auto"/>
                <w:sz w:val="20"/>
                <w:highlight w:val="none"/>
              </w:rPr>
            </w:pPr>
          </w:p>
        </w:tc>
        <w:tc>
          <w:tcPr>
            <w:tcW w:w="794" w:type="dxa"/>
            <w:noWrap w:val="0"/>
            <w:vAlign w:val="top"/>
          </w:tcPr>
          <w:p w14:paraId="3A2D9AE5">
            <w:pPr>
              <w:pStyle w:val="38"/>
              <w:adjustRightInd w:val="0"/>
              <w:snapToGrid w:val="0"/>
              <w:spacing w:line="560" w:lineRule="exact"/>
              <w:rPr>
                <w:rFonts w:ascii="Times New Roman"/>
                <w:color w:val="auto"/>
                <w:sz w:val="20"/>
                <w:highlight w:val="none"/>
              </w:rPr>
            </w:pPr>
          </w:p>
        </w:tc>
        <w:tc>
          <w:tcPr>
            <w:tcW w:w="791" w:type="dxa"/>
            <w:noWrap w:val="0"/>
            <w:vAlign w:val="top"/>
          </w:tcPr>
          <w:p w14:paraId="483F3A8B">
            <w:pPr>
              <w:pStyle w:val="38"/>
              <w:adjustRightInd w:val="0"/>
              <w:snapToGrid w:val="0"/>
              <w:spacing w:line="560" w:lineRule="exact"/>
              <w:rPr>
                <w:rFonts w:ascii="Times New Roman"/>
                <w:color w:val="auto"/>
                <w:sz w:val="20"/>
                <w:highlight w:val="none"/>
              </w:rPr>
            </w:pPr>
          </w:p>
        </w:tc>
        <w:tc>
          <w:tcPr>
            <w:tcW w:w="635" w:type="dxa"/>
            <w:noWrap w:val="0"/>
            <w:vAlign w:val="top"/>
          </w:tcPr>
          <w:p w14:paraId="11E5467F">
            <w:pPr>
              <w:pStyle w:val="38"/>
              <w:adjustRightInd w:val="0"/>
              <w:snapToGrid w:val="0"/>
              <w:spacing w:line="560" w:lineRule="exact"/>
              <w:rPr>
                <w:rFonts w:ascii="Times New Roman"/>
                <w:color w:val="auto"/>
                <w:sz w:val="20"/>
                <w:highlight w:val="none"/>
              </w:rPr>
            </w:pPr>
          </w:p>
        </w:tc>
        <w:tc>
          <w:tcPr>
            <w:tcW w:w="1687" w:type="dxa"/>
            <w:noWrap w:val="0"/>
            <w:vAlign w:val="top"/>
          </w:tcPr>
          <w:p w14:paraId="7E4AF19A">
            <w:pPr>
              <w:pStyle w:val="38"/>
              <w:adjustRightInd w:val="0"/>
              <w:snapToGrid w:val="0"/>
              <w:spacing w:line="560" w:lineRule="exact"/>
              <w:rPr>
                <w:rFonts w:ascii="Times New Roman"/>
                <w:color w:val="auto"/>
                <w:sz w:val="20"/>
                <w:highlight w:val="none"/>
              </w:rPr>
            </w:pPr>
          </w:p>
        </w:tc>
      </w:tr>
      <w:tr w14:paraId="34304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636" w:type="dxa"/>
            <w:noWrap w:val="0"/>
            <w:vAlign w:val="top"/>
          </w:tcPr>
          <w:p w14:paraId="7269FC8E">
            <w:pPr>
              <w:pStyle w:val="38"/>
              <w:adjustRightInd w:val="0"/>
              <w:snapToGrid w:val="0"/>
              <w:spacing w:line="560" w:lineRule="exact"/>
              <w:rPr>
                <w:rFonts w:ascii="Times New Roman"/>
                <w:color w:val="auto"/>
                <w:sz w:val="20"/>
                <w:highlight w:val="none"/>
              </w:rPr>
            </w:pPr>
          </w:p>
        </w:tc>
        <w:tc>
          <w:tcPr>
            <w:tcW w:w="1685" w:type="dxa"/>
            <w:noWrap w:val="0"/>
            <w:vAlign w:val="top"/>
          </w:tcPr>
          <w:p w14:paraId="588EF67D">
            <w:pPr>
              <w:pStyle w:val="38"/>
              <w:adjustRightInd w:val="0"/>
              <w:snapToGrid w:val="0"/>
              <w:spacing w:line="560" w:lineRule="exact"/>
              <w:rPr>
                <w:rFonts w:ascii="Times New Roman"/>
                <w:color w:val="auto"/>
                <w:sz w:val="20"/>
                <w:highlight w:val="none"/>
              </w:rPr>
            </w:pPr>
          </w:p>
        </w:tc>
        <w:tc>
          <w:tcPr>
            <w:tcW w:w="794" w:type="dxa"/>
            <w:noWrap w:val="0"/>
            <w:vAlign w:val="top"/>
          </w:tcPr>
          <w:p w14:paraId="503C2507">
            <w:pPr>
              <w:pStyle w:val="38"/>
              <w:adjustRightInd w:val="0"/>
              <w:snapToGrid w:val="0"/>
              <w:spacing w:line="560" w:lineRule="exact"/>
              <w:rPr>
                <w:rFonts w:ascii="Times New Roman"/>
                <w:color w:val="auto"/>
                <w:sz w:val="20"/>
                <w:highlight w:val="none"/>
              </w:rPr>
            </w:pPr>
          </w:p>
        </w:tc>
        <w:tc>
          <w:tcPr>
            <w:tcW w:w="794" w:type="dxa"/>
            <w:noWrap w:val="0"/>
            <w:vAlign w:val="top"/>
          </w:tcPr>
          <w:p w14:paraId="0028B7C2">
            <w:pPr>
              <w:pStyle w:val="38"/>
              <w:adjustRightInd w:val="0"/>
              <w:snapToGrid w:val="0"/>
              <w:spacing w:line="560" w:lineRule="exact"/>
              <w:rPr>
                <w:rFonts w:ascii="Times New Roman"/>
                <w:color w:val="auto"/>
                <w:sz w:val="20"/>
                <w:highlight w:val="none"/>
              </w:rPr>
            </w:pPr>
          </w:p>
        </w:tc>
        <w:tc>
          <w:tcPr>
            <w:tcW w:w="794" w:type="dxa"/>
            <w:noWrap w:val="0"/>
            <w:vAlign w:val="top"/>
          </w:tcPr>
          <w:p w14:paraId="77E5747C">
            <w:pPr>
              <w:pStyle w:val="38"/>
              <w:adjustRightInd w:val="0"/>
              <w:snapToGrid w:val="0"/>
              <w:spacing w:line="560" w:lineRule="exact"/>
              <w:rPr>
                <w:rFonts w:ascii="Times New Roman"/>
                <w:color w:val="auto"/>
                <w:sz w:val="20"/>
                <w:highlight w:val="none"/>
              </w:rPr>
            </w:pPr>
          </w:p>
        </w:tc>
        <w:tc>
          <w:tcPr>
            <w:tcW w:w="791" w:type="dxa"/>
            <w:noWrap w:val="0"/>
            <w:vAlign w:val="top"/>
          </w:tcPr>
          <w:p w14:paraId="02F50797">
            <w:pPr>
              <w:pStyle w:val="38"/>
              <w:adjustRightInd w:val="0"/>
              <w:snapToGrid w:val="0"/>
              <w:spacing w:line="560" w:lineRule="exact"/>
              <w:rPr>
                <w:rFonts w:ascii="Times New Roman"/>
                <w:color w:val="auto"/>
                <w:sz w:val="20"/>
                <w:highlight w:val="none"/>
              </w:rPr>
            </w:pPr>
          </w:p>
        </w:tc>
        <w:tc>
          <w:tcPr>
            <w:tcW w:w="635" w:type="dxa"/>
            <w:noWrap w:val="0"/>
            <w:vAlign w:val="top"/>
          </w:tcPr>
          <w:p w14:paraId="01F63292">
            <w:pPr>
              <w:pStyle w:val="38"/>
              <w:adjustRightInd w:val="0"/>
              <w:snapToGrid w:val="0"/>
              <w:spacing w:line="560" w:lineRule="exact"/>
              <w:rPr>
                <w:rFonts w:ascii="Times New Roman"/>
                <w:color w:val="auto"/>
                <w:sz w:val="20"/>
                <w:highlight w:val="none"/>
              </w:rPr>
            </w:pPr>
          </w:p>
        </w:tc>
        <w:tc>
          <w:tcPr>
            <w:tcW w:w="1687" w:type="dxa"/>
            <w:noWrap w:val="0"/>
            <w:vAlign w:val="top"/>
          </w:tcPr>
          <w:p w14:paraId="17A63EF7">
            <w:pPr>
              <w:pStyle w:val="38"/>
              <w:adjustRightInd w:val="0"/>
              <w:snapToGrid w:val="0"/>
              <w:spacing w:line="560" w:lineRule="exact"/>
              <w:rPr>
                <w:rFonts w:ascii="Times New Roman"/>
                <w:color w:val="auto"/>
                <w:sz w:val="20"/>
                <w:highlight w:val="none"/>
              </w:rPr>
            </w:pPr>
          </w:p>
        </w:tc>
      </w:tr>
    </w:tbl>
    <w:p w14:paraId="41E1CD00">
      <w:pPr>
        <w:pStyle w:val="11"/>
        <w:adjustRightInd w:val="0"/>
        <w:snapToGrid w:val="0"/>
        <w:spacing w:after="0" w:line="560" w:lineRule="exact"/>
        <w:ind w:firstLine="420"/>
        <w:rPr>
          <w:color w:val="auto"/>
          <w:highlight w:val="none"/>
        </w:rPr>
      </w:pPr>
      <w:r>
        <w:rPr>
          <w:color w:val="auto"/>
          <w:highlight w:val="none"/>
        </w:rPr>
        <w:t>注：</w:t>
      </w:r>
      <w:r>
        <w:rPr>
          <w:rFonts w:hint="eastAsia"/>
          <w:color w:val="auto"/>
          <w:highlight w:val="none"/>
        </w:rPr>
        <w:t>1、</w:t>
      </w:r>
      <w:r>
        <w:rPr>
          <w:color w:val="auto"/>
          <w:highlight w:val="none"/>
        </w:rPr>
        <w:t>本表仅针对不采用招标人推荐品牌，采用其他品牌的投标人填写，并注明并提供相关技术参数、业绩等供评标委员会评审，未在上表中注明且未提供相关技术参数、业绩，或经评标委员会评审未通过的，中标后只能从招标人推荐品牌中进行选择，价格不予调整。</w:t>
      </w:r>
    </w:p>
    <w:p w14:paraId="669A069E">
      <w:pPr>
        <w:pStyle w:val="45"/>
        <w:tabs>
          <w:tab w:val="left" w:pos="1319"/>
        </w:tabs>
        <w:adjustRightInd w:val="0"/>
        <w:snapToGrid w:val="0"/>
        <w:spacing w:line="560" w:lineRule="exact"/>
        <w:ind w:left="0" w:firstLine="408" w:firstLineChars="200"/>
        <w:rPr>
          <w:color w:val="auto"/>
          <w:highlight w:val="none"/>
        </w:rPr>
        <w:sectPr>
          <w:pgSz w:w="11910" w:h="16840"/>
          <w:pgMar w:top="1060" w:right="660" w:bottom="1020" w:left="1120" w:header="0" w:footer="833" w:gutter="0"/>
          <w:pgNumType w:fmt="numberInDash"/>
          <w:cols w:space="720" w:num="1"/>
        </w:sectPr>
      </w:pPr>
      <w:r>
        <w:rPr>
          <w:rFonts w:hint="eastAsia"/>
          <w:color w:val="auto"/>
          <w:spacing w:val="-3"/>
          <w:highlight w:val="none"/>
        </w:rPr>
        <w:t>2、</w:t>
      </w:r>
      <w:r>
        <w:rPr>
          <w:color w:val="auto"/>
          <w:spacing w:val="-3"/>
          <w:highlight w:val="none"/>
        </w:rPr>
        <w:t>对于招标人推荐品牌的材料、设备等，投标人如认为招标人推荐的品牌有限定性、唯一性、明显不在同一档次等级的或者其他疑问的，应在本项目</w:t>
      </w:r>
      <w:r>
        <w:rPr>
          <w:rFonts w:hint="eastAsia"/>
          <w:color w:val="auto"/>
          <w:spacing w:val="-3"/>
          <w:highlight w:val="none"/>
        </w:rPr>
        <w:t>异议</w:t>
      </w:r>
      <w:r>
        <w:rPr>
          <w:color w:val="auto"/>
          <w:spacing w:val="-3"/>
          <w:highlight w:val="none"/>
        </w:rPr>
        <w:t>提出的截止时间前通过电子交易系统</w:t>
      </w:r>
      <w:r>
        <w:rPr>
          <w:rFonts w:hint="eastAsia"/>
          <w:color w:val="auto"/>
          <w:spacing w:val="-3"/>
          <w:highlight w:val="none"/>
        </w:rPr>
        <w:t>向招标人提出。</w:t>
      </w:r>
    </w:p>
    <w:p w14:paraId="13308A86">
      <w:pPr>
        <w:pStyle w:val="4"/>
        <w:adjustRightInd w:val="0"/>
        <w:snapToGrid w:val="0"/>
        <w:spacing w:before="0" w:after="0" w:line="560" w:lineRule="exact"/>
        <w:jc w:val="center"/>
        <w:rPr>
          <w:rFonts w:hint="eastAsia"/>
          <w:color w:val="auto"/>
          <w:highlight w:val="none"/>
        </w:rPr>
      </w:pPr>
      <w:bookmarkStart w:id="1518" w:name="_Toc95223546"/>
      <w:r>
        <w:rPr>
          <w:rFonts w:hint="eastAsia"/>
          <w:color w:val="auto"/>
          <w:highlight w:val="none"/>
        </w:rPr>
        <w:t>（</w:t>
      </w:r>
      <w:r>
        <w:rPr>
          <w:rFonts w:hint="eastAsia"/>
          <w:color w:val="auto"/>
          <w:highlight w:val="none"/>
          <w:lang w:val="en-US" w:eastAsia="zh-CN"/>
        </w:rPr>
        <w:t>5</w:t>
      </w:r>
      <w:r>
        <w:rPr>
          <w:rFonts w:hint="eastAsia"/>
          <w:color w:val="auto"/>
          <w:highlight w:val="none"/>
        </w:rPr>
        <w:t>）详细评审所需其他材料（如有）</w:t>
      </w:r>
      <w:bookmarkEnd w:id="1518"/>
    </w:p>
    <w:p w14:paraId="79727DA1">
      <w:pPr>
        <w:adjustRightInd w:val="0"/>
        <w:snapToGrid w:val="0"/>
        <w:spacing w:line="560" w:lineRule="exact"/>
        <w:ind w:firstLine="1928" w:firstLineChars="600"/>
        <w:rPr>
          <w:rFonts w:hint="eastAsia" w:ascii="宋体"/>
          <w:b/>
          <w:color w:val="auto"/>
          <w:sz w:val="32"/>
          <w:szCs w:val="32"/>
          <w:highlight w:val="none"/>
        </w:rPr>
      </w:pPr>
    </w:p>
    <w:p w14:paraId="304036A9">
      <w:pPr>
        <w:adjustRightInd w:val="0"/>
        <w:snapToGrid w:val="0"/>
        <w:spacing w:line="560" w:lineRule="exact"/>
        <w:ind w:firstLine="1928" w:firstLineChars="600"/>
        <w:rPr>
          <w:rFonts w:hint="eastAsia" w:ascii="宋体"/>
          <w:b/>
          <w:color w:val="auto"/>
          <w:sz w:val="32"/>
          <w:szCs w:val="32"/>
          <w:highlight w:val="none"/>
        </w:rPr>
      </w:pPr>
    </w:p>
    <w:p w14:paraId="03DEB99D">
      <w:pPr>
        <w:adjustRightInd w:val="0"/>
        <w:snapToGrid w:val="0"/>
        <w:spacing w:line="560" w:lineRule="exact"/>
        <w:rPr>
          <w:rFonts w:hint="eastAsia"/>
          <w:b/>
          <w:color w:val="auto"/>
          <w:sz w:val="32"/>
          <w:szCs w:val="32"/>
          <w:highlight w:val="none"/>
        </w:rPr>
      </w:pPr>
    </w:p>
    <w:p w14:paraId="4C61EA84">
      <w:pPr>
        <w:adjustRightInd w:val="0"/>
        <w:snapToGrid w:val="0"/>
        <w:spacing w:line="560" w:lineRule="exact"/>
        <w:jc w:val="center"/>
        <w:rPr>
          <w:rFonts w:hint="eastAsia"/>
          <w:b/>
          <w:color w:val="auto"/>
          <w:sz w:val="32"/>
          <w:szCs w:val="32"/>
          <w:highlight w:val="none"/>
        </w:rPr>
      </w:pPr>
    </w:p>
    <w:p w14:paraId="39E3743D">
      <w:pPr>
        <w:adjustRightInd w:val="0"/>
        <w:snapToGrid w:val="0"/>
        <w:spacing w:line="560" w:lineRule="exact"/>
        <w:jc w:val="center"/>
        <w:rPr>
          <w:rFonts w:hint="eastAsia"/>
          <w:b/>
          <w:color w:val="auto"/>
          <w:sz w:val="32"/>
          <w:szCs w:val="32"/>
          <w:highlight w:val="none"/>
        </w:rPr>
      </w:pPr>
    </w:p>
    <w:p w14:paraId="00E5FCC4">
      <w:pPr>
        <w:adjustRightInd w:val="0"/>
        <w:snapToGrid w:val="0"/>
        <w:spacing w:line="560" w:lineRule="exact"/>
        <w:jc w:val="center"/>
        <w:rPr>
          <w:rFonts w:hint="eastAsia"/>
          <w:b/>
          <w:color w:val="auto"/>
          <w:sz w:val="32"/>
          <w:szCs w:val="32"/>
          <w:highlight w:val="none"/>
        </w:rPr>
      </w:pPr>
    </w:p>
    <w:p w14:paraId="2F6ECDF1">
      <w:pPr>
        <w:adjustRightInd w:val="0"/>
        <w:snapToGrid w:val="0"/>
        <w:spacing w:line="560" w:lineRule="exact"/>
        <w:rPr>
          <w:rFonts w:hint="eastAsia"/>
          <w:color w:val="auto"/>
          <w:highlight w:val="none"/>
        </w:rPr>
      </w:pPr>
    </w:p>
    <w:p w14:paraId="12FD4819">
      <w:pPr>
        <w:adjustRightInd w:val="0"/>
        <w:snapToGrid w:val="0"/>
        <w:spacing w:line="560" w:lineRule="exact"/>
        <w:rPr>
          <w:rFonts w:hint="eastAsia"/>
          <w:color w:val="auto"/>
          <w:highlight w:val="none"/>
        </w:rPr>
      </w:pPr>
    </w:p>
    <w:p w14:paraId="503CB0E0">
      <w:pPr>
        <w:adjustRightInd w:val="0"/>
        <w:snapToGrid w:val="0"/>
        <w:spacing w:line="560" w:lineRule="exact"/>
        <w:rPr>
          <w:rFonts w:hint="eastAsia"/>
          <w:color w:val="auto"/>
          <w:highlight w:val="none"/>
        </w:rPr>
      </w:pPr>
    </w:p>
    <w:p w14:paraId="510B0C4D">
      <w:pPr>
        <w:adjustRightInd w:val="0"/>
        <w:snapToGrid w:val="0"/>
        <w:spacing w:line="560" w:lineRule="exact"/>
        <w:rPr>
          <w:rFonts w:hint="eastAsia"/>
          <w:color w:val="auto"/>
          <w:highlight w:val="none"/>
        </w:rPr>
      </w:pPr>
    </w:p>
    <w:p w14:paraId="35179A8A">
      <w:pPr>
        <w:adjustRightInd w:val="0"/>
        <w:snapToGrid w:val="0"/>
        <w:spacing w:line="560" w:lineRule="exact"/>
        <w:rPr>
          <w:rFonts w:hint="eastAsia"/>
          <w:color w:val="auto"/>
          <w:highlight w:val="none"/>
        </w:rPr>
      </w:pPr>
    </w:p>
    <w:p w14:paraId="4A12BBE7">
      <w:pPr>
        <w:adjustRightInd w:val="0"/>
        <w:snapToGrid w:val="0"/>
        <w:spacing w:line="560" w:lineRule="exact"/>
        <w:rPr>
          <w:rFonts w:hint="eastAsia"/>
          <w:color w:val="auto"/>
          <w:highlight w:val="none"/>
        </w:rPr>
      </w:pPr>
    </w:p>
    <w:p w14:paraId="79C9466B">
      <w:pPr>
        <w:adjustRightInd w:val="0"/>
        <w:snapToGrid w:val="0"/>
        <w:spacing w:line="560" w:lineRule="exact"/>
        <w:rPr>
          <w:rFonts w:hint="eastAsia"/>
          <w:color w:val="auto"/>
          <w:highlight w:val="none"/>
        </w:rPr>
      </w:pPr>
    </w:p>
    <w:p w14:paraId="41592EE1">
      <w:pPr>
        <w:adjustRightInd w:val="0"/>
        <w:snapToGrid w:val="0"/>
        <w:spacing w:line="560" w:lineRule="exact"/>
        <w:rPr>
          <w:rFonts w:hint="eastAsia"/>
          <w:color w:val="auto"/>
          <w:highlight w:val="none"/>
        </w:rPr>
      </w:pPr>
    </w:p>
    <w:p w14:paraId="35F2390A">
      <w:pPr>
        <w:adjustRightInd w:val="0"/>
        <w:snapToGrid w:val="0"/>
        <w:spacing w:line="560" w:lineRule="exact"/>
        <w:rPr>
          <w:rFonts w:hint="eastAsia"/>
          <w:color w:val="auto"/>
          <w:highlight w:val="none"/>
        </w:rPr>
      </w:pPr>
    </w:p>
    <w:p w14:paraId="1291CA1E">
      <w:pPr>
        <w:adjustRightInd w:val="0"/>
        <w:snapToGrid w:val="0"/>
        <w:spacing w:line="560" w:lineRule="exact"/>
        <w:rPr>
          <w:rFonts w:hint="eastAsia"/>
          <w:color w:val="auto"/>
          <w:highlight w:val="none"/>
        </w:rPr>
      </w:pPr>
    </w:p>
    <w:p w14:paraId="18DB8066">
      <w:pPr>
        <w:adjustRightInd w:val="0"/>
        <w:snapToGrid w:val="0"/>
        <w:spacing w:line="560" w:lineRule="exact"/>
        <w:rPr>
          <w:rFonts w:hint="eastAsia"/>
          <w:color w:val="auto"/>
          <w:highlight w:val="none"/>
        </w:rPr>
      </w:pPr>
    </w:p>
    <w:p w14:paraId="4FA80D39">
      <w:pPr>
        <w:adjustRightInd w:val="0"/>
        <w:snapToGrid w:val="0"/>
        <w:spacing w:line="560" w:lineRule="exact"/>
        <w:rPr>
          <w:rFonts w:hint="eastAsia"/>
          <w:color w:val="auto"/>
          <w:highlight w:val="none"/>
        </w:rPr>
      </w:pPr>
    </w:p>
    <w:p w14:paraId="6911783D">
      <w:pPr>
        <w:adjustRightInd w:val="0"/>
        <w:snapToGrid w:val="0"/>
        <w:spacing w:line="560" w:lineRule="exact"/>
        <w:rPr>
          <w:rFonts w:hint="eastAsia"/>
          <w:color w:val="auto"/>
          <w:highlight w:val="none"/>
        </w:rPr>
      </w:pPr>
    </w:p>
    <w:p w14:paraId="69CB8C14">
      <w:pPr>
        <w:adjustRightInd w:val="0"/>
        <w:snapToGrid w:val="0"/>
        <w:spacing w:line="560" w:lineRule="exact"/>
        <w:rPr>
          <w:rFonts w:hint="eastAsia"/>
          <w:color w:val="auto"/>
          <w:highlight w:val="none"/>
        </w:rPr>
      </w:pPr>
    </w:p>
    <w:p w14:paraId="1F4BE491">
      <w:pPr>
        <w:adjustRightInd w:val="0"/>
        <w:snapToGrid w:val="0"/>
        <w:spacing w:line="560" w:lineRule="exact"/>
        <w:rPr>
          <w:rFonts w:hint="eastAsia"/>
          <w:color w:val="auto"/>
          <w:highlight w:val="none"/>
        </w:rPr>
      </w:pPr>
    </w:p>
    <w:p w14:paraId="16D1DFEE">
      <w:pPr>
        <w:pStyle w:val="19"/>
        <w:rPr>
          <w:rFonts w:hint="eastAsia"/>
          <w:color w:val="auto"/>
          <w:highlight w:val="none"/>
        </w:rPr>
      </w:pPr>
    </w:p>
    <w:p w14:paraId="5C7C7899">
      <w:pPr>
        <w:adjustRightInd w:val="0"/>
        <w:snapToGrid w:val="0"/>
        <w:spacing w:line="560" w:lineRule="exact"/>
        <w:rPr>
          <w:rFonts w:hint="eastAsia"/>
          <w:color w:val="auto"/>
          <w:highlight w:val="none"/>
        </w:rPr>
      </w:pPr>
    </w:p>
    <w:p w14:paraId="79621427">
      <w:pPr>
        <w:pStyle w:val="19"/>
        <w:rPr>
          <w:rFonts w:hint="eastAsia"/>
          <w:color w:val="auto"/>
          <w:highlight w:val="none"/>
        </w:rPr>
      </w:pPr>
    </w:p>
    <w:p w14:paraId="08632035">
      <w:pPr>
        <w:rPr>
          <w:rFonts w:hint="eastAsia"/>
          <w:color w:val="auto"/>
          <w:highlight w:val="none"/>
        </w:rPr>
      </w:pPr>
    </w:p>
    <w:p w14:paraId="16876A8D">
      <w:pPr>
        <w:pStyle w:val="11"/>
        <w:adjustRightInd w:val="0"/>
        <w:snapToGrid w:val="0"/>
        <w:spacing w:after="0" w:line="560" w:lineRule="exact"/>
        <w:jc w:val="both"/>
        <w:outlineLvl w:val="0"/>
        <w:rPr>
          <w:rFonts w:eastAsia="黑体"/>
          <w:b/>
          <w:bCs/>
          <w:color w:val="auto"/>
          <w:sz w:val="32"/>
          <w:highlight w:val="none"/>
        </w:rPr>
        <w:sectPr>
          <w:pgSz w:w="11906" w:h="16838"/>
          <w:pgMar w:top="1134" w:right="1417" w:bottom="1134" w:left="1417" w:header="851" w:footer="992" w:gutter="0"/>
          <w:pgNumType w:fmt="numberInDash"/>
          <w:cols w:space="720" w:num="1"/>
          <w:docGrid w:type="lines" w:linePitch="312" w:charSpace="0"/>
        </w:sectPr>
      </w:pPr>
      <w:bookmarkStart w:id="1519" w:name="_Toc95223547"/>
    </w:p>
    <w:p w14:paraId="4A6952B3">
      <w:pPr>
        <w:pStyle w:val="11"/>
        <w:adjustRightInd w:val="0"/>
        <w:snapToGrid w:val="0"/>
        <w:spacing w:after="0" w:line="560" w:lineRule="exact"/>
        <w:jc w:val="center"/>
        <w:outlineLvl w:val="0"/>
        <w:rPr>
          <w:rFonts w:eastAsia="黑体"/>
          <w:b/>
          <w:bCs/>
          <w:color w:val="auto"/>
          <w:sz w:val="32"/>
          <w:highlight w:val="none"/>
        </w:rPr>
      </w:pPr>
      <w:r>
        <w:rPr>
          <w:rFonts w:hint="eastAsia" w:eastAsia="黑体"/>
          <w:b/>
          <w:bCs/>
          <w:color w:val="auto"/>
          <w:sz w:val="32"/>
          <w:highlight w:val="none"/>
        </w:rPr>
        <w:t>第十章  招标</w:t>
      </w:r>
      <w:bookmarkStart w:id="1520" w:name="_Toc60061593"/>
      <w:r>
        <w:rPr>
          <w:rFonts w:hint="eastAsia" w:eastAsia="黑体"/>
          <w:b/>
          <w:bCs/>
          <w:color w:val="auto"/>
          <w:sz w:val="32"/>
          <w:highlight w:val="none"/>
        </w:rPr>
        <w:t>人、招标代理机构对本招标文件的确认</w:t>
      </w:r>
      <w:bookmarkEnd w:id="1519"/>
      <w:bookmarkEnd w:id="1520"/>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0"/>
      </w:tblGrid>
      <w:tr w14:paraId="40FFA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3" w:hRule="atLeast"/>
          <w:jc w:val="center"/>
        </w:trPr>
        <w:tc>
          <w:tcPr>
            <w:tcW w:w="9580" w:type="dxa"/>
            <w:noWrap w:val="0"/>
            <w:vAlign w:val="top"/>
          </w:tcPr>
          <w:p w14:paraId="1692BFF3">
            <w:pPr>
              <w:adjustRightInd w:val="0"/>
              <w:snapToGrid w:val="0"/>
              <w:spacing w:line="560" w:lineRule="exact"/>
              <w:rPr>
                <w:rFonts w:hint="eastAsia"/>
                <w:color w:val="auto"/>
                <w:sz w:val="30"/>
                <w:highlight w:val="none"/>
              </w:rPr>
            </w:pPr>
          </w:p>
          <w:p w14:paraId="34B87A2D">
            <w:pPr>
              <w:adjustRightInd w:val="0"/>
              <w:snapToGrid w:val="0"/>
              <w:spacing w:line="560" w:lineRule="exact"/>
              <w:ind w:firstLine="700" w:firstLineChars="250"/>
              <w:rPr>
                <w:rFonts w:hint="eastAsia"/>
                <w:color w:val="auto"/>
                <w:sz w:val="28"/>
                <w:szCs w:val="28"/>
                <w:highlight w:val="none"/>
              </w:rPr>
            </w:pPr>
            <w:r>
              <w:rPr>
                <w:rFonts w:hint="eastAsia"/>
                <w:color w:val="auto"/>
                <w:sz w:val="28"/>
                <w:szCs w:val="28"/>
                <w:highlight w:val="none"/>
              </w:rPr>
              <w:t>我单位对</w:t>
            </w:r>
            <w:r>
              <w:rPr>
                <w:rFonts w:hint="eastAsia" w:ascii="宋体" w:hAnsi="宋体" w:cs="宋体"/>
                <w:b/>
                <w:color w:val="auto"/>
                <w:kern w:val="0"/>
                <w:sz w:val="28"/>
                <w:szCs w:val="28"/>
                <w:highlight w:val="none"/>
                <w:u w:val="single"/>
              </w:rPr>
              <w:t xml:space="preserve"> </w:t>
            </w:r>
            <w:bookmarkStart w:id="1521" w:name="_Toc15058950"/>
            <w:bookmarkStart w:id="1522" w:name="_Toc506107366"/>
            <w:bookmarkStart w:id="1523" w:name="_Toc60061594"/>
            <w:r>
              <w:rPr>
                <w:rFonts w:hint="eastAsia" w:ascii="宋体" w:hAnsi="宋体" w:cs="宋体"/>
                <w:b/>
                <w:color w:val="auto"/>
                <w:kern w:val="0"/>
                <w:sz w:val="28"/>
                <w:szCs w:val="28"/>
                <w:highlight w:val="none"/>
                <w:u w:val="single"/>
                <w:lang w:val="en-US" w:eastAsia="zh-CN"/>
              </w:rPr>
              <w:t>中新苏滁高新区（未来产业园）智能制造工业坊项目</w:t>
            </w:r>
            <w:r>
              <w:rPr>
                <w:rFonts w:hint="eastAsia" w:ascii="宋体" w:hAnsi="宋体" w:cs="宋体"/>
                <w:color w:val="auto"/>
                <w:kern w:val="0"/>
                <w:sz w:val="28"/>
                <w:szCs w:val="28"/>
                <w:highlight w:val="none"/>
              </w:rPr>
              <w:t>施工招</w:t>
            </w:r>
            <w:bookmarkEnd w:id="1521"/>
            <w:bookmarkEnd w:id="1522"/>
            <w:bookmarkEnd w:id="1523"/>
            <w:r>
              <w:rPr>
                <w:rFonts w:hint="eastAsia" w:ascii="宋体" w:hAnsi="宋体" w:cs="宋体"/>
                <w:color w:val="auto"/>
                <w:kern w:val="0"/>
                <w:sz w:val="28"/>
                <w:szCs w:val="28"/>
                <w:highlight w:val="none"/>
              </w:rPr>
              <w:t>标</w:t>
            </w:r>
            <w:r>
              <w:rPr>
                <w:rFonts w:hint="eastAsia"/>
                <w:color w:val="auto"/>
                <w:sz w:val="28"/>
                <w:szCs w:val="28"/>
                <w:highlight w:val="none"/>
              </w:rPr>
              <w:t>的招标文件进行确认。</w:t>
            </w:r>
          </w:p>
          <w:p w14:paraId="09BEC2BC">
            <w:pPr>
              <w:adjustRightInd w:val="0"/>
              <w:snapToGrid w:val="0"/>
              <w:spacing w:line="560" w:lineRule="exact"/>
              <w:rPr>
                <w:rFonts w:hint="eastAsia" w:ascii="宋体" w:hAnsi="宋体"/>
                <w:color w:val="auto"/>
                <w:sz w:val="28"/>
                <w:szCs w:val="28"/>
                <w:highlight w:val="none"/>
              </w:rPr>
            </w:pPr>
            <w:r>
              <w:rPr>
                <w:rFonts w:hint="eastAsia"/>
                <w:color w:val="auto"/>
                <w:sz w:val="30"/>
                <w:szCs w:val="30"/>
                <w:highlight w:val="none"/>
              </w:rPr>
              <w:t xml:space="preserve">   </w:t>
            </w:r>
            <w:r>
              <w:rPr>
                <w:rFonts w:hint="eastAsia" w:ascii="宋体" w:hAnsi="宋体"/>
                <w:color w:val="auto"/>
                <w:sz w:val="30"/>
                <w:szCs w:val="30"/>
                <w:highlight w:val="none"/>
              </w:rPr>
              <w:t xml:space="preserve"> </w:t>
            </w:r>
            <w:r>
              <w:rPr>
                <w:rFonts w:hint="eastAsia" w:ascii="宋体" w:hAnsi="宋体"/>
                <w:color w:val="auto"/>
                <w:sz w:val="28"/>
                <w:szCs w:val="28"/>
                <w:highlight w:val="none"/>
              </w:rPr>
              <w:t>招 标 人：</w:t>
            </w:r>
            <w:r>
              <w:rPr>
                <w:rFonts w:hint="eastAsia" w:ascii="宋体" w:hAnsi="宋体" w:cs="宋体"/>
                <w:color w:val="auto"/>
                <w:sz w:val="28"/>
                <w:szCs w:val="28"/>
                <w:highlight w:val="none"/>
                <w:lang w:eastAsia="zh-CN"/>
              </w:rPr>
              <w:t>滁州苏滁产城开发有限公司</w:t>
            </w:r>
          </w:p>
          <w:p w14:paraId="0CF04B67">
            <w:pPr>
              <w:adjustRightInd w:val="0"/>
              <w:snapToGrid w:val="0"/>
              <w:spacing w:line="560" w:lineRule="exact"/>
              <w:ind w:firstLine="560" w:firstLineChars="200"/>
              <w:rPr>
                <w:rFonts w:hint="eastAsia" w:ascii="宋体" w:hAnsi="宋体"/>
                <w:color w:val="auto"/>
                <w:sz w:val="28"/>
                <w:szCs w:val="28"/>
                <w:highlight w:val="none"/>
              </w:rPr>
            </w:pPr>
            <w:r>
              <w:rPr>
                <w:rFonts w:hint="eastAsia" w:ascii="宋体" w:hAnsi="宋体"/>
                <w:color w:val="auto"/>
                <w:sz w:val="28"/>
                <w:szCs w:val="28"/>
                <w:highlight w:val="none"/>
              </w:rPr>
              <w:t>联 系 人：</w:t>
            </w:r>
            <w:r>
              <w:rPr>
                <w:rFonts w:hint="eastAsia" w:ascii="宋体" w:hAnsi="宋体"/>
                <w:color w:val="auto"/>
                <w:sz w:val="28"/>
                <w:szCs w:val="28"/>
                <w:highlight w:val="none"/>
                <w:lang w:val="en-US" w:eastAsia="zh-CN"/>
              </w:rPr>
              <w:t>李工</w:t>
            </w:r>
            <w:r>
              <w:rPr>
                <w:rFonts w:hint="eastAsia" w:ascii="宋体" w:hAnsi="宋体"/>
                <w:color w:val="auto"/>
                <w:sz w:val="28"/>
                <w:szCs w:val="28"/>
                <w:highlight w:val="none"/>
              </w:rPr>
              <w:t xml:space="preserve"> </w:t>
            </w:r>
          </w:p>
          <w:p w14:paraId="2F99AFC3">
            <w:pPr>
              <w:adjustRightInd w:val="0"/>
              <w:snapToGrid w:val="0"/>
              <w:spacing w:line="560" w:lineRule="exact"/>
              <w:ind w:firstLine="560" w:firstLineChars="200"/>
              <w:rPr>
                <w:rFonts w:hint="eastAsia" w:ascii="宋体" w:hAnsi="宋体"/>
                <w:color w:val="auto"/>
                <w:sz w:val="28"/>
                <w:szCs w:val="28"/>
                <w:highlight w:val="none"/>
              </w:rPr>
            </w:pPr>
            <w:r>
              <w:rPr>
                <w:rFonts w:hint="eastAsia" w:ascii="宋体" w:hAnsi="宋体"/>
                <w:color w:val="auto"/>
                <w:sz w:val="28"/>
                <w:szCs w:val="28"/>
                <w:highlight w:val="none"/>
              </w:rPr>
              <w:t>联系电话</w:t>
            </w:r>
            <w:r>
              <w:rPr>
                <w:rFonts w:hint="eastAsia" w:ascii="宋体" w:hAnsi="宋体"/>
                <w:color w:val="auto"/>
                <w:sz w:val="28"/>
                <w:szCs w:val="28"/>
                <w:highlight w:val="none"/>
                <w:lang w:eastAsia="zh-CN"/>
              </w:rPr>
              <w:t>：</w:t>
            </w:r>
            <w:r>
              <w:rPr>
                <w:rFonts w:hint="eastAsia" w:ascii="宋体" w:hAnsi="宋体"/>
                <w:color w:val="auto"/>
                <w:sz w:val="28"/>
                <w:szCs w:val="28"/>
                <w:highlight w:val="none"/>
                <w:lang w:val="en-US" w:eastAsia="zh-CN"/>
              </w:rPr>
              <w:t>0550-3026900</w:t>
            </w:r>
            <w:r>
              <w:rPr>
                <w:rFonts w:hint="eastAsia" w:ascii="宋体" w:hAnsi="宋体"/>
                <w:color w:val="auto"/>
                <w:sz w:val="28"/>
                <w:szCs w:val="28"/>
                <w:highlight w:val="none"/>
              </w:rPr>
              <w:t xml:space="preserve">  </w:t>
            </w:r>
          </w:p>
          <w:p w14:paraId="4FA861F6">
            <w:pPr>
              <w:adjustRightInd w:val="0"/>
              <w:snapToGrid w:val="0"/>
              <w:spacing w:line="560" w:lineRule="exact"/>
              <w:ind w:firstLine="560" w:firstLineChars="200"/>
              <w:rPr>
                <w:rFonts w:hint="eastAsia" w:ascii="宋体" w:hAnsi="宋体"/>
                <w:color w:val="auto"/>
                <w:sz w:val="28"/>
                <w:szCs w:val="28"/>
                <w:highlight w:val="none"/>
              </w:rPr>
            </w:pPr>
            <w:r>
              <w:rPr>
                <w:rFonts w:hint="eastAsia" w:ascii="宋体" w:hAnsi="宋体"/>
                <w:color w:val="auto"/>
                <w:sz w:val="28"/>
                <w:szCs w:val="28"/>
                <w:highlight w:val="none"/>
              </w:rPr>
              <w:t xml:space="preserve">                                                                      </w:t>
            </w:r>
          </w:p>
          <w:p w14:paraId="127538E2">
            <w:pPr>
              <w:adjustRightInd w:val="0"/>
              <w:snapToGrid w:val="0"/>
              <w:spacing w:line="560" w:lineRule="exact"/>
              <w:ind w:firstLine="6580" w:firstLineChars="2350"/>
              <w:rPr>
                <w:rFonts w:hint="eastAsia" w:ascii="宋体" w:hAnsi="宋体"/>
                <w:color w:val="auto"/>
                <w:sz w:val="28"/>
                <w:szCs w:val="28"/>
                <w:highlight w:val="none"/>
              </w:rPr>
            </w:pPr>
            <w:r>
              <w:rPr>
                <w:rFonts w:hint="eastAsia" w:ascii="宋体" w:hAnsi="宋体"/>
                <w:color w:val="auto"/>
                <w:sz w:val="28"/>
                <w:szCs w:val="28"/>
                <w:highlight w:val="none"/>
              </w:rPr>
              <w:t>（</w:t>
            </w:r>
            <w:r>
              <w:rPr>
                <w:rFonts w:eastAsia="黑体"/>
                <w:color w:val="auto"/>
                <w:sz w:val="28"/>
                <w:szCs w:val="28"/>
                <w:highlight w:val="none"/>
              </w:rPr>
              <w:t>签</w:t>
            </w:r>
            <w:r>
              <w:rPr>
                <w:rFonts w:hint="eastAsia" w:eastAsia="黑体"/>
                <w:color w:val="auto"/>
                <w:sz w:val="28"/>
                <w:szCs w:val="28"/>
                <w:highlight w:val="none"/>
              </w:rPr>
              <w:t>章</w:t>
            </w:r>
            <w:r>
              <w:rPr>
                <w:rFonts w:hint="eastAsia" w:ascii="宋体" w:hAnsi="宋体"/>
                <w:color w:val="auto"/>
                <w:sz w:val="28"/>
                <w:szCs w:val="28"/>
                <w:highlight w:val="none"/>
              </w:rPr>
              <w:t>）</w:t>
            </w:r>
          </w:p>
          <w:p w14:paraId="2C7F95D7">
            <w:pPr>
              <w:adjustRightInd w:val="0"/>
              <w:snapToGrid w:val="0"/>
              <w:spacing w:line="560" w:lineRule="exact"/>
              <w:ind w:firstLine="5040" w:firstLineChars="1800"/>
              <w:rPr>
                <w:rFonts w:hint="eastAsia"/>
                <w:color w:val="auto"/>
                <w:sz w:val="30"/>
                <w:highlight w:val="none"/>
              </w:rPr>
            </w:pPr>
            <w:r>
              <w:rPr>
                <w:rFonts w:hint="eastAsia" w:ascii="宋体" w:hAnsi="宋体"/>
                <w:color w:val="auto"/>
                <w:sz w:val="28"/>
                <w:szCs w:val="28"/>
                <w:highlight w:val="none"/>
              </w:rPr>
              <w:t xml:space="preserve"> </w:t>
            </w:r>
            <w:r>
              <w:rPr>
                <w:rFonts w:hint="eastAsia" w:ascii="宋体" w:hAnsi="宋体"/>
                <w:color w:val="auto"/>
                <w:sz w:val="28"/>
                <w:szCs w:val="28"/>
                <w:highlight w:val="none"/>
                <w:lang w:val="en-US" w:eastAsia="zh-CN"/>
              </w:rPr>
              <w:t xml:space="preserve">       2026</w:t>
            </w:r>
            <w:r>
              <w:rPr>
                <w:rFonts w:hint="eastAsia" w:ascii="宋体" w:hAnsi="宋体"/>
                <w:color w:val="auto"/>
                <w:sz w:val="28"/>
                <w:szCs w:val="28"/>
                <w:highlight w:val="none"/>
              </w:rPr>
              <w:t>年</w:t>
            </w:r>
            <w:r>
              <w:rPr>
                <w:rFonts w:hint="eastAsia" w:ascii="宋体" w:hAnsi="宋体"/>
                <w:color w:val="auto"/>
                <w:sz w:val="28"/>
                <w:szCs w:val="28"/>
                <w:highlight w:val="none"/>
                <w:lang w:val="en-US" w:eastAsia="zh-CN"/>
              </w:rPr>
              <w:t>3</w:t>
            </w:r>
            <w:r>
              <w:rPr>
                <w:rFonts w:hint="eastAsia" w:ascii="宋体" w:hAnsi="宋体"/>
                <w:color w:val="auto"/>
                <w:sz w:val="28"/>
                <w:szCs w:val="28"/>
                <w:highlight w:val="none"/>
              </w:rPr>
              <w:t>月</w:t>
            </w:r>
            <w:r>
              <w:rPr>
                <w:rFonts w:hint="eastAsia" w:ascii="宋体" w:hAnsi="宋体"/>
                <w:color w:val="auto"/>
                <w:sz w:val="28"/>
                <w:szCs w:val="28"/>
                <w:highlight w:val="none"/>
                <w:lang w:val="en-US" w:eastAsia="zh-CN"/>
              </w:rPr>
              <w:t>13</w:t>
            </w:r>
            <w:r>
              <w:rPr>
                <w:rFonts w:hint="eastAsia" w:ascii="宋体" w:hAnsi="宋体"/>
                <w:color w:val="auto"/>
                <w:sz w:val="28"/>
                <w:szCs w:val="28"/>
                <w:highlight w:val="none"/>
              </w:rPr>
              <w:t>日</w:t>
            </w:r>
          </w:p>
        </w:tc>
      </w:tr>
      <w:tr w14:paraId="2F742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6" w:hRule="atLeast"/>
          <w:jc w:val="center"/>
        </w:trPr>
        <w:tc>
          <w:tcPr>
            <w:tcW w:w="9580" w:type="dxa"/>
            <w:noWrap w:val="0"/>
            <w:vAlign w:val="top"/>
          </w:tcPr>
          <w:p w14:paraId="2913CEF7">
            <w:pPr>
              <w:adjustRightInd w:val="0"/>
              <w:snapToGrid w:val="0"/>
              <w:spacing w:line="560" w:lineRule="exact"/>
              <w:ind w:firstLine="600" w:firstLineChars="200"/>
              <w:rPr>
                <w:rFonts w:hint="eastAsia"/>
                <w:color w:val="auto"/>
                <w:sz w:val="30"/>
                <w:highlight w:val="none"/>
              </w:rPr>
            </w:pPr>
          </w:p>
          <w:p w14:paraId="791EFE1A">
            <w:pPr>
              <w:adjustRightInd w:val="0"/>
              <w:snapToGrid w:val="0"/>
              <w:spacing w:line="560" w:lineRule="exact"/>
              <w:ind w:firstLine="560" w:firstLineChars="200"/>
              <w:rPr>
                <w:rFonts w:hint="eastAsia"/>
                <w:color w:val="auto"/>
                <w:sz w:val="28"/>
                <w:szCs w:val="28"/>
                <w:highlight w:val="none"/>
              </w:rPr>
            </w:pPr>
            <w:r>
              <w:rPr>
                <w:rFonts w:hint="eastAsia"/>
                <w:color w:val="auto"/>
                <w:sz w:val="28"/>
                <w:szCs w:val="28"/>
                <w:highlight w:val="none"/>
              </w:rPr>
              <w:t>招标代理机构：</w:t>
            </w:r>
            <w:r>
              <w:rPr>
                <w:rFonts w:hint="eastAsia"/>
                <w:color w:val="auto"/>
                <w:sz w:val="28"/>
                <w:szCs w:val="28"/>
                <w:highlight w:val="none"/>
                <w:lang w:val="en-US" w:eastAsia="zh-CN"/>
              </w:rPr>
              <w:t>滁州市城投工程咨询管理有限公司</w:t>
            </w:r>
            <w:r>
              <w:rPr>
                <w:rFonts w:hint="eastAsia"/>
                <w:color w:val="auto"/>
                <w:sz w:val="28"/>
                <w:szCs w:val="28"/>
                <w:highlight w:val="none"/>
              </w:rPr>
              <w:t xml:space="preserve"> </w:t>
            </w:r>
          </w:p>
          <w:p w14:paraId="529BC712">
            <w:pPr>
              <w:adjustRightInd w:val="0"/>
              <w:snapToGrid w:val="0"/>
              <w:spacing w:line="560" w:lineRule="exact"/>
              <w:ind w:firstLine="560" w:firstLineChars="200"/>
              <w:rPr>
                <w:rFonts w:hint="eastAsia"/>
                <w:color w:val="auto"/>
                <w:sz w:val="28"/>
                <w:szCs w:val="28"/>
                <w:highlight w:val="none"/>
              </w:rPr>
            </w:pPr>
            <w:r>
              <w:rPr>
                <w:rFonts w:hint="eastAsia"/>
                <w:color w:val="auto"/>
                <w:sz w:val="28"/>
                <w:szCs w:val="28"/>
                <w:highlight w:val="none"/>
              </w:rPr>
              <w:t>联系人：</w:t>
            </w:r>
            <w:r>
              <w:rPr>
                <w:rFonts w:hint="eastAsia"/>
                <w:color w:val="auto"/>
                <w:sz w:val="28"/>
                <w:szCs w:val="28"/>
                <w:highlight w:val="none"/>
                <w:lang w:val="en-US" w:eastAsia="zh-CN"/>
              </w:rPr>
              <w:t>杨韦</w:t>
            </w:r>
            <w:r>
              <w:rPr>
                <w:rFonts w:hint="eastAsia"/>
                <w:color w:val="auto"/>
                <w:sz w:val="28"/>
                <w:szCs w:val="28"/>
                <w:highlight w:val="none"/>
              </w:rPr>
              <w:t xml:space="preserve"> </w:t>
            </w:r>
          </w:p>
          <w:p w14:paraId="4865B8FE">
            <w:pPr>
              <w:adjustRightInd w:val="0"/>
              <w:snapToGrid w:val="0"/>
              <w:spacing w:line="560" w:lineRule="exact"/>
              <w:ind w:firstLine="560" w:firstLineChars="200"/>
              <w:rPr>
                <w:rFonts w:hint="eastAsia"/>
                <w:color w:val="auto"/>
                <w:sz w:val="28"/>
                <w:szCs w:val="28"/>
                <w:highlight w:val="none"/>
              </w:rPr>
            </w:pPr>
            <w:r>
              <w:rPr>
                <w:rFonts w:hint="eastAsia"/>
                <w:color w:val="auto"/>
                <w:sz w:val="28"/>
                <w:szCs w:val="28"/>
                <w:highlight w:val="none"/>
              </w:rPr>
              <w:t>联系电话：</w:t>
            </w:r>
            <w:r>
              <w:rPr>
                <w:rFonts w:hint="eastAsia"/>
                <w:color w:val="auto"/>
                <w:sz w:val="28"/>
                <w:szCs w:val="28"/>
                <w:highlight w:val="none"/>
                <w:lang w:val="en-US" w:eastAsia="zh-CN"/>
              </w:rPr>
              <w:t>0550-3519590、18005501210</w:t>
            </w:r>
            <w:r>
              <w:rPr>
                <w:rFonts w:hint="eastAsia"/>
                <w:color w:val="auto"/>
                <w:sz w:val="28"/>
                <w:szCs w:val="28"/>
                <w:highlight w:val="none"/>
              </w:rPr>
              <w:t xml:space="preserve"> </w:t>
            </w:r>
          </w:p>
          <w:p w14:paraId="6B17227F">
            <w:pPr>
              <w:adjustRightInd w:val="0"/>
              <w:snapToGrid w:val="0"/>
              <w:spacing w:line="560" w:lineRule="exact"/>
              <w:ind w:firstLine="280" w:firstLineChars="100"/>
              <w:rPr>
                <w:rFonts w:hint="eastAsia"/>
                <w:color w:val="auto"/>
                <w:sz w:val="28"/>
                <w:szCs w:val="28"/>
                <w:highlight w:val="none"/>
              </w:rPr>
            </w:pPr>
            <w:r>
              <w:rPr>
                <w:rFonts w:hint="eastAsia"/>
                <w:color w:val="auto"/>
                <w:sz w:val="28"/>
                <w:szCs w:val="28"/>
                <w:highlight w:val="none"/>
              </w:rPr>
              <w:t xml:space="preserve">                                  </w:t>
            </w:r>
          </w:p>
          <w:p w14:paraId="3E49338B">
            <w:pPr>
              <w:adjustRightInd w:val="0"/>
              <w:snapToGrid w:val="0"/>
              <w:spacing w:line="560" w:lineRule="exact"/>
              <w:ind w:firstLine="280" w:firstLineChars="100"/>
              <w:rPr>
                <w:rFonts w:hint="eastAsia"/>
                <w:color w:val="auto"/>
                <w:sz w:val="28"/>
                <w:szCs w:val="28"/>
                <w:highlight w:val="none"/>
              </w:rPr>
            </w:pPr>
          </w:p>
          <w:p w14:paraId="533B7B42">
            <w:pPr>
              <w:adjustRightInd w:val="0"/>
              <w:snapToGrid w:val="0"/>
              <w:spacing w:line="560" w:lineRule="exact"/>
              <w:ind w:firstLine="280" w:firstLineChars="100"/>
              <w:jc w:val="center"/>
              <w:rPr>
                <w:rFonts w:hint="eastAsia"/>
                <w:color w:val="auto"/>
                <w:sz w:val="28"/>
                <w:szCs w:val="28"/>
                <w:highlight w:val="none"/>
              </w:rPr>
            </w:pPr>
            <w:r>
              <w:rPr>
                <w:rFonts w:hint="eastAsia"/>
                <w:color w:val="auto"/>
                <w:sz w:val="28"/>
                <w:szCs w:val="28"/>
                <w:highlight w:val="none"/>
              </w:rPr>
              <w:t xml:space="preserve">                               （</w:t>
            </w:r>
            <w:r>
              <w:rPr>
                <w:rFonts w:eastAsia="黑体"/>
                <w:color w:val="auto"/>
                <w:sz w:val="28"/>
                <w:szCs w:val="28"/>
                <w:highlight w:val="none"/>
              </w:rPr>
              <w:t>签</w:t>
            </w:r>
            <w:r>
              <w:rPr>
                <w:rFonts w:hint="eastAsia" w:eastAsia="黑体"/>
                <w:color w:val="auto"/>
                <w:sz w:val="28"/>
                <w:szCs w:val="28"/>
                <w:highlight w:val="none"/>
              </w:rPr>
              <w:t>章</w:t>
            </w:r>
            <w:r>
              <w:rPr>
                <w:rFonts w:hint="eastAsia"/>
                <w:color w:val="auto"/>
                <w:sz w:val="28"/>
                <w:szCs w:val="28"/>
                <w:highlight w:val="none"/>
              </w:rPr>
              <w:t>）</w:t>
            </w:r>
          </w:p>
          <w:p w14:paraId="41B0B2E5">
            <w:pPr>
              <w:adjustRightInd w:val="0"/>
              <w:snapToGrid w:val="0"/>
              <w:spacing w:line="560" w:lineRule="exact"/>
              <w:ind w:firstLine="4900" w:firstLineChars="1750"/>
              <w:rPr>
                <w:rFonts w:hint="eastAsia"/>
                <w:color w:val="auto"/>
                <w:sz w:val="30"/>
                <w:highlight w:val="none"/>
              </w:rPr>
            </w:pPr>
            <w:r>
              <w:rPr>
                <w:rFonts w:hint="eastAsia"/>
                <w:color w:val="auto"/>
                <w:sz w:val="28"/>
                <w:szCs w:val="28"/>
                <w:highlight w:val="none"/>
              </w:rPr>
              <w:t xml:space="preserve"> </w:t>
            </w:r>
            <w:r>
              <w:rPr>
                <w:rFonts w:hint="eastAsia"/>
                <w:color w:val="auto"/>
                <w:sz w:val="28"/>
                <w:szCs w:val="28"/>
                <w:highlight w:val="none"/>
                <w:lang w:val="en-US" w:eastAsia="zh-CN"/>
              </w:rPr>
              <w:t xml:space="preserve">       </w:t>
            </w:r>
            <w:r>
              <w:rPr>
                <w:rFonts w:hint="eastAsia"/>
                <w:color w:val="auto"/>
                <w:sz w:val="28"/>
                <w:szCs w:val="28"/>
                <w:highlight w:val="none"/>
              </w:rPr>
              <w:t xml:space="preserve"> </w:t>
            </w:r>
            <w:r>
              <w:rPr>
                <w:rFonts w:hint="eastAsia"/>
                <w:color w:val="auto"/>
                <w:sz w:val="28"/>
                <w:szCs w:val="28"/>
                <w:highlight w:val="none"/>
                <w:lang w:val="en-US" w:eastAsia="zh-CN"/>
              </w:rPr>
              <w:t>2026</w:t>
            </w:r>
            <w:r>
              <w:rPr>
                <w:rFonts w:hint="eastAsia"/>
                <w:color w:val="auto"/>
                <w:sz w:val="28"/>
                <w:szCs w:val="28"/>
                <w:highlight w:val="none"/>
              </w:rPr>
              <w:t>年</w:t>
            </w:r>
            <w:r>
              <w:rPr>
                <w:rFonts w:hint="eastAsia"/>
                <w:color w:val="auto"/>
                <w:sz w:val="28"/>
                <w:szCs w:val="28"/>
                <w:highlight w:val="none"/>
                <w:lang w:val="en-US" w:eastAsia="zh-CN"/>
              </w:rPr>
              <w:t>3</w:t>
            </w:r>
            <w:r>
              <w:rPr>
                <w:rFonts w:hint="eastAsia"/>
                <w:color w:val="auto"/>
                <w:sz w:val="28"/>
                <w:szCs w:val="28"/>
                <w:highlight w:val="none"/>
              </w:rPr>
              <w:t>月</w:t>
            </w:r>
            <w:r>
              <w:rPr>
                <w:rFonts w:hint="eastAsia"/>
                <w:color w:val="auto"/>
                <w:sz w:val="28"/>
                <w:szCs w:val="28"/>
                <w:highlight w:val="none"/>
                <w:lang w:val="en-US" w:eastAsia="zh-CN"/>
              </w:rPr>
              <w:t>13</w:t>
            </w:r>
            <w:r>
              <w:rPr>
                <w:rFonts w:hint="eastAsia"/>
                <w:color w:val="auto"/>
                <w:sz w:val="28"/>
                <w:szCs w:val="28"/>
                <w:highlight w:val="none"/>
              </w:rPr>
              <w:t>日</w:t>
            </w:r>
          </w:p>
        </w:tc>
      </w:tr>
    </w:tbl>
    <w:p w14:paraId="490C3495">
      <w:pPr>
        <w:keepNext/>
        <w:keepLines/>
        <w:spacing w:before="200" w:after="200" w:line="600" w:lineRule="exact"/>
        <w:outlineLvl w:val="0"/>
        <w:rPr>
          <w:rFonts w:ascii="黑体" w:hAnsi="黑体" w:eastAsia="黑体"/>
          <w:b/>
          <w:bCs/>
          <w:color w:val="000000"/>
          <w:kern w:val="44"/>
          <w:sz w:val="28"/>
          <w:szCs w:val="28"/>
        </w:rPr>
      </w:pPr>
      <w:r>
        <w:rPr>
          <w:rFonts w:hint="eastAsia"/>
          <w:color w:val="auto"/>
          <w:sz w:val="24"/>
          <w:highlight w:val="none"/>
        </w:rPr>
        <w:br w:type="page"/>
      </w:r>
      <w:bookmarkEnd w:id="4"/>
      <w:bookmarkEnd w:id="5"/>
      <w:bookmarkEnd w:id="6"/>
      <w:bookmarkEnd w:id="7"/>
      <w:bookmarkEnd w:id="8"/>
      <w:bookmarkStart w:id="1524" w:name="OLE_LINK7"/>
      <w:bookmarkStart w:id="1525" w:name="OLE_LINK24"/>
      <w:bookmarkStart w:id="1526" w:name="OLE_LINK25"/>
      <w:r>
        <w:rPr>
          <w:rFonts w:hint="eastAsia" w:ascii="黑体" w:hAnsi="黑体" w:eastAsia="黑体"/>
          <w:b/>
          <w:bCs/>
          <w:color w:val="000000"/>
          <w:kern w:val="44"/>
          <w:sz w:val="36"/>
          <w:szCs w:val="28"/>
        </w:rPr>
        <w:t>附件1 关于联合惩戒失信行为加强信用查询管理的通知</w:t>
      </w:r>
    </w:p>
    <w:bookmarkEnd w:id="1524"/>
    <w:p w14:paraId="24EBAF55">
      <w:pPr>
        <w:adjustRightInd w:val="0"/>
        <w:snapToGrid w:val="0"/>
        <w:spacing w:line="560" w:lineRule="exact"/>
        <w:ind w:firstLine="562" w:firstLineChars="200"/>
        <w:rPr>
          <w:rFonts w:hint="eastAsia" w:ascii="仿宋_GB2312" w:hAnsi="宋体" w:eastAsia="仿宋_GB2312"/>
          <w:b/>
          <w:color w:val="000000"/>
          <w:sz w:val="28"/>
          <w:szCs w:val="28"/>
        </w:rPr>
      </w:pPr>
      <w:r>
        <w:rPr>
          <w:rFonts w:hint="eastAsia" w:ascii="仿宋_GB2312" w:hAnsi="宋体" w:eastAsia="仿宋_GB2312"/>
          <w:b/>
          <w:color w:val="000000"/>
          <w:sz w:val="28"/>
          <w:szCs w:val="28"/>
        </w:rPr>
        <w:t>一、失信行为联合惩戒的范围和查询渠道</w:t>
      </w:r>
    </w:p>
    <w:p w14:paraId="55C0E538">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在我市公共资源交易活动中对存在下列失信行为的投标人、法定代表人及其项目经理（建造师）实施联合惩戒，禁止参与我市公共资源交易活动。</w:t>
      </w:r>
    </w:p>
    <w:p w14:paraId="600A89B5">
      <w:pPr>
        <w:adjustRightInd w:val="0"/>
        <w:snapToGrid w:val="0"/>
        <w:spacing w:line="560" w:lineRule="exact"/>
        <w:ind w:firstLine="562" w:firstLineChars="200"/>
        <w:rPr>
          <w:rFonts w:hint="eastAsia" w:ascii="仿宋_GB2312" w:hAnsi="宋体" w:eastAsia="仿宋_GB2312"/>
          <w:b/>
          <w:color w:val="000000"/>
          <w:sz w:val="28"/>
          <w:szCs w:val="28"/>
        </w:rPr>
      </w:pPr>
      <w:r>
        <w:rPr>
          <w:rFonts w:hint="eastAsia" w:ascii="仿宋_GB2312" w:hAnsi="宋体" w:eastAsia="仿宋_GB2312"/>
          <w:b/>
          <w:color w:val="000000"/>
          <w:sz w:val="28"/>
          <w:szCs w:val="28"/>
        </w:rPr>
        <w:t>（一）工程建设项目</w:t>
      </w:r>
    </w:p>
    <w:bookmarkEnd w:id="1525"/>
    <w:bookmarkEnd w:id="1526"/>
    <w:p w14:paraId="428938C3">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1、“信用中国”网站（www.creditchina.gov.cn）查询</w:t>
      </w:r>
      <w:bookmarkStart w:id="1527" w:name="OLE_LINK92"/>
      <w:bookmarkStart w:id="1528" w:name="OLE_LINK93"/>
      <w:bookmarkStart w:id="1529" w:name="OLE_LINK91"/>
      <w:bookmarkStart w:id="1530" w:name="OLE_LINK103"/>
      <w:r>
        <w:rPr>
          <w:rFonts w:hint="eastAsia" w:ascii="仿宋_GB2312" w:hAnsi="宋体" w:eastAsia="仿宋_GB2312"/>
          <w:color w:val="000000"/>
          <w:sz w:val="28"/>
          <w:szCs w:val="28"/>
        </w:rPr>
        <w:t>投标人、法定代表人及其项目经理(建造师)</w:t>
      </w:r>
      <w:bookmarkEnd w:id="1527"/>
      <w:bookmarkEnd w:id="1528"/>
      <w:bookmarkEnd w:id="1529"/>
      <w:bookmarkEnd w:id="1530"/>
      <w:r>
        <w:rPr>
          <w:rFonts w:hint="eastAsia" w:ascii="仿宋_GB2312" w:hAnsi="宋体" w:eastAsia="仿宋_GB2312"/>
          <w:color w:val="000000"/>
          <w:sz w:val="28"/>
          <w:szCs w:val="28"/>
        </w:rPr>
        <w:t>以下失信行为：</w:t>
      </w:r>
    </w:p>
    <w:p w14:paraId="6678F332">
      <w:pPr>
        <w:adjustRightInd w:val="0"/>
        <w:snapToGrid w:val="0"/>
        <w:spacing w:line="560" w:lineRule="exact"/>
        <w:ind w:firstLine="560" w:firstLineChars="200"/>
        <w:rPr>
          <w:rFonts w:hint="eastAsia" w:ascii="仿宋_GB2312" w:hAnsi="宋体" w:eastAsia="仿宋_GB2312"/>
          <w:color w:val="000000"/>
          <w:sz w:val="28"/>
          <w:szCs w:val="28"/>
        </w:rPr>
      </w:pPr>
      <w:bookmarkStart w:id="1531" w:name="OLE_LINK87"/>
      <w:bookmarkStart w:id="1532" w:name="OLE_LINK86"/>
      <w:bookmarkStart w:id="1533" w:name="OLE_LINK119"/>
      <w:bookmarkStart w:id="1534" w:name="OLE_LINK94"/>
      <w:r>
        <w:rPr>
          <w:rFonts w:hint="eastAsia" w:ascii="仿宋_GB2312" w:hAnsi="宋体" w:eastAsia="仿宋_GB2312"/>
          <w:color w:val="000000"/>
          <w:sz w:val="28"/>
          <w:szCs w:val="28"/>
        </w:rPr>
        <w:t>①被列入“失信被执行人”的;</w:t>
      </w:r>
    </w:p>
    <w:p w14:paraId="5C0C3093">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②被列入</w:t>
      </w:r>
      <w:bookmarkStart w:id="1535" w:name="OLE_LINK115"/>
      <w:bookmarkStart w:id="1536" w:name="OLE_LINK118"/>
      <w:bookmarkStart w:id="1537" w:name="OLE_LINK116"/>
      <w:bookmarkStart w:id="1538" w:name="OLE_LINK117"/>
      <w:r>
        <w:rPr>
          <w:rFonts w:hint="eastAsia" w:ascii="仿宋_GB2312" w:hAnsi="宋体" w:eastAsia="仿宋_GB2312"/>
          <w:color w:val="000000"/>
          <w:sz w:val="28"/>
          <w:szCs w:val="28"/>
        </w:rPr>
        <w:t>“重大税收违法失信主体”</w:t>
      </w:r>
      <w:bookmarkEnd w:id="1535"/>
      <w:bookmarkEnd w:id="1536"/>
      <w:bookmarkEnd w:id="1537"/>
      <w:bookmarkEnd w:id="1538"/>
      <w:r>
        <w:rPr>
          <w:rFonts w:hint="eastAsia" w:ascii="仿宋_GB2312" w:hAnsi="宋体" w:eastAsia="仿宋_GB2312"/>
          <w:color w:val="000000"/>
          <w:sz w:val="28"/>
          <w:szCs w:val="28"/>
        </w:rPr>
        <w:t>的；</w:t>
      </w:r>
    </w:p>
    <w:p w14:paraId="6EB42AF1">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③被列入“拖欠</w:t>
      </w:r>
      <w:bookmarkStart w:id="1539" w:name="OLE_LINK84"/>
      <w:bookmarkStart w:id="1540" w:name="OLE_LINK85"/>
      <w:r>
        <w:rPr>
          <w:rFonts w:hint="eastAsia" w:ascii="仿宋_GB2312" w:hAnsi="宋体" w:eastAsia="仿宋_GB2312"/>
          <w:color w:val="000000"/>
          <w:sz w:val="28"/>
          <w:szCs w:val="28"/>
        </w:rPr>
        <w:t>农民工工资失信联合惩戒对象</w:t>
      </w:r>
      <w:bookmarkEnd w:id="1539"/>
      <w:bookmarkEnd w:id="1540"/>
      <w:r>
        <w:rPr>
          <w:rFonts w:hint="eastAsia" w:ascii="仿宋_GB2312" w:hAnsi="宋体" w:eastAsia="仿宋_GB2312"/>
          <w:color w:val="000000"/>
          <w:sz w:val="28"/>
          <w:szCs w:val="28"/>
        </w:rPr>
        <w:t>名单”的；</w:t>
      </w:r>
    </w:p>
    <w:p w14:paraId="365C857A">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④被列入 “严重失信主体名单”的；</w:t>
      </w:r>
    </w:p>
    <w:p w14:paraId="47286B5F">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⑤在“信用中国”网站上披露的仍在公示期的严重失信行为(具体行为类别及判定依据见附件2)的。</w:t>
      </w:r>
    </w:p>
    <w:bookmarkEnd w:id="1531"/>
    <w:bookmarkEnd w:id="1532"/>
    <w:bookmarkEnd w:id="1533"/>
    <w:bookmarkEnd w:id="1534"/>
    <w:p w14:paraId="56D6F930">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2、</w:t>
      </w:r>
      <w:bookmarkStart w:id="1541" w:name="OLE_LINK130"/>
      <w:r>
        <w:rPr>
          <w:rFonts w:hint="eastAsia" w:ascii="仿宋_GB2312" w:hAnsi="宋体" w:eastAsia="仿宋_GB2312"/>
          <w:color w:val="000000"/>
          <w:sz w:val="28"/>
          <w:szCs w:val="28"/>
        </w:rPr>
        <w:t>国家企业信用信息公示系统网站</w:t>
      </w:r>
      <w:bookmarkEnd w:id="1541"/>
      <w:r>
        <w:rPr>
          <w:rFonts w:hint="eastAsia" w:ascii="仿宋_GB2312" w:hAnsi="宋体" w:eastAsia="仿宋_GB2312"/>
          <w:color w:val="000000"/>
          <w:sz w:val="28"/>
          <w:szCs w:val="28"/>
        </w:rPr>
        <w:t>（</w:t>
      </w:r>
      <w:r>
        <w:rPr>
          <w:color w:val="000000"/>
        </w:rPr>
        <w:fldChar w:fldCharType="begin"/>
      </w:r>
      <w:r>
        <w:rPr>
          <w:color w:val="000000"/>
        </w:rPr>
        <w:instrText xml:space="preserve"> </w:instrText>
      </w:r>
      <w:r>
        <w:rPr>
          <w:rFonts w:hint="eastAsia"/>
          <w:color w:val="000000"/>
        </w:rPr>
        <w:instrText xml:space="preserve">HYPERLINK "http://www.gsxt.gov.cn）查询"</w:instrText>
      </w:r>
      <w:r>
        <w:rPr>
          <w:color w:val="000000"/>
        </w:rPr>
        <w:instrText xml:space="preserve"> </w:instrText>
      </w:r>
      <w:r>
        <w:rPr>
          <w:color w:val="000000"/>
        </w:rPr>
        <w:fldChar w:fldCharType="separate"/>
      </w:r>
      <w:bookmarkStart w:id="1542" w:name="OLE_LINK90"/>
      <w:bookmarkStart w:id="1543" w:name="OLE_LINK89"/>
      <w:r>
        <w:rPr>
          <w:rStyle w:val="30"/>
          <w:rFonts w:hint="eastAsia" w:ascii="仿宋_GB2312" w:hAnsi="宋体" w:eastAsia="仿宋_GB2312"/>
          <w:color w:val="000000"/>
          <w:sz w:val="28"/>
          <w:szCs w:val="28"/>
        </w:rPr>
        <w:t>www.gsxt.gov.cn</w:t>
      </w:r>
      <w:bookmarkEnd w:id="1542"/>
      <w:bookmarkEnd w:id="1543"/>
      <w:r>
        <w:rPr>
          <w:rStyle w:val="30"/>
          <w:rFonts w:hint="eastAsia" w:ascii="仿宋_GB2312" w:hAnsi="宋体" w:eastAsia="仿宋_GB2312"/>
          <w:color w:val="000000"/>
          <w:sz w:val="28"/>
          <w:szCs w:val="28"/>
        </w:rPr>
        <w:t>）</w:t>
      </w:r>
      <w:r>
        <w:rPr>
          <w:color w:val="000000"/>
        </w:rPr>
        <w:fldChar w:fldCharType="end"/>
      </w:r>
      <w:r>
        <w:rPr>
          <w:rFonts w:hint="eastAsia" w:ascii="仿宋_GB2312" w:hAnsi="宋体" w:eastAsia="仿宋_GB2312"/>
          <w:color w:val="000000"/>
          <w:sz w:val="28"/>
          <w:szCs w:val="28"/>
        </w:rPr>
        <w:t>查询投标人以下失信行为：</w:t>
      </w:r>
    </w:p>
    <w:p w14:paraId="399E9CDB">
      <w:pPr>
        <w:adjustRightInd w:val="0"/>
        <w:snapToGrid w:val="0"/>
        <w:spacing w:line="560" w:lineRule="exact"/>
        <w:ind w:firstLine="560" w:firstLineChars="200"/>
        <w:rPr>
          <w:rFonts w:hint="eastAsia" w:ascii="仿宋_GB2312" w:hAnsi="宋体" w:eastAsia="仿宋_GB2312"/>
          <w:color w:val="000000"/>
          <w:sz w:val="28"/>
          <w:szCs w:val="28"/>
        </w:rPr>
      </w:pPr>
      <w:bookmarkStart w:id="1544" w:name="OLE_LINK121"/>
      <w:bookmarkStart w:id="1545" w:name="OLE_LINK122"/>
      <w:bookmarkStart w:id="1546" w:name="OLE_LINK120"/>
      <w:r>
        <w:rPr>
          <w:rFonts w:hint="eastAsia" w:ascii="仿宋_GB2312" w:hAnsi="宋体" w:eastAsia="仿宋_GB2312"/>
          <w:color w:val="000000"/>
          <w:sz w:val="28"/>
          <w:szCs w:val="28"/>
        </w:rPr>
        <w:t>①被列入“经营异常名录”或者“严重违法失信名单”的。</w:t>
      </w:r>
      <w:bookmarkEnd w:id="1544"/>
      <w:bookmarkEnd w:id="1545"/>
      <w:bookmarkEnd w:id="1546"/>
    </w:p>
    <w:p w14:paraId="4F59C5E5">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3、由</w:t>
      </w:r>
      <w:r>
        <w:rPr>
          <w:rFonts w:hint="eastAsia" w:ascii="仿宋_GB2312" w:hAnsi="宋体" w:eastAsia="仿宋_GB2312"/>
          <w:color w:val="000000"/>
          <w:kern w:val="0"/>
          <w:sz w:val="28"/>
          <w:szCs w:val="28"/>
        </w:rPr>
        <w:t>投标人、法定代表人及其项目经理(建造师)</w:t>
      </w:r>
      <w:r>
        <w:rPr>
          <w:rFonts w:hint="eastAsia" w:ascii="仿宋_GB2312" w:hAnsi="宋体" w:eastAsia="仿宋_GB2312"/>
          <w:color w:val="000000"/>
          <w:sz w:val="28"/>
          <w:szCs w:val="28"/>
        </w:rPr>
        <w:t>进行承诺，不进行现场网上信用查询的失信行为：</w:t>
      </w:r>
    </w:p>
    <w:p w14:paraId="4B080444">
      <w:pPr>
        <w:adjustRightInd w:val="0"/>
        <w:snapToGrid w:val="0"/>
        <w:spacing w:line="560" w:lineRule="exact"/>
        <w:ind w:firstLine="560" w:firstLineChars="200"/>
        <w:rPr>
          <w:rFonts w:hint="eastAsia" w:ascii="仿宋_GB2312" w:hAnsi="宋体" w:eastAsia="仿宋_GB2312" w:cs="楷体"/>
          <w:color w:val="000000"/>
          <w:sz w:val="28"/>
          <w:szCs w:val="28"/>
        </w:rPr>
      </w:pPr>
      <w:bookmarkStart w:id="1547" w:name="OLE_LINK124"/>
      <w:bookmarkStart w:id="1548" w:name="OLE_LINK123"/>
      <w:r>
        <w:rPr>
          <w:rFonts w:hint="eastAsia" w:ascii="仿宋_GB2312" w:hAnsi="宋体" w:eastAsia="仿宋_GB2312"/>
          <w:color w:val="000000"/>
          <w:sz w:val="28"/>
          <w:szCs w:val="28"/>
        </w:rPr>
        <w:t>①</w:t>
      </w:r>
      <w:r>
        <w:rPr>
          <w:rFonts w:hint="eastAsia" w:ascii="仿宋_GB2312" w:hAnsi="宋体" w:eastAsia="仿宋_GB2312" w:cs="楷体"/>
          <w:color w:val="000000"/>
          <w:sz w:val="28"/>
          <w:szCs w:val="28"/>
        </w:rPr>
        <w:t>前三年有行贿犯罪行为的单位和个人；</w:t>
      </w:r>
    </w:p>
    <w:p w14:paraId="40790E66">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②被滁州市县两级公管部门取消在一定期限内的投标资格且在取消期限内的；</w:t>
      </w:r>
    </w:p>
    <w:p w14:paraId="3C737B7F">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③被滁州市县两级各行业主管部门取消在一定期限内的投标资格且在取消期限内的；</w:t>
      </w:r>
    </w:p>
    <w:p w14:paraId="47952BCB">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④因拖欠农民工工资被</w:t>
      </w:r>
      <w:bookmarkStart w:id="1549" w:name="OLE_LINK107"/>
      <w:bookmarkStart w:id="1550" w:name="OLE_LINK108"/>
      <w:r>
        <w:rPr>
          <w:rFonts w:hint="eastAsia" w:ascii="仿宋_GB2312" w:hAnsi="宋体" w:eastAsia="仿宋_GB2312"/>
          <w:color w:val="000000"/>
          <w:sz w:val="28"/>
          <w:szCs w:val="28"/>
        </w:rPr>
        <w:t>县级及以上有关行政主管部门限制投标资格且在限制期限内的</w:t>
      </w:r>
      <w:bookmarkEnd w:id="1549"/>
      <w:bookmarkEnd w:id="1550"/>
      <w:r>
        <w:rPr>
          <w:rFonts w:hint="eastAsia" w:ascii="仿宋_GB2312" w:hAnsi="宋体" w:eastAsia="仿宋_GB2312"/>
          <w:color w:val="000000"/>
          <w:sz w:val="28"/>
          <w:szCs w:val="28"/>
        </w:rPr>
        <w:t>；</w:t>
      </w:r>
    </w:p>
    <w:p w14:paraId="6C18336F">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⑤被列入省级、市级农民工工资支付异常名录的施工企业，在限制其参加全市范围内房建和市政工程建设项目投标的期限内的；列入县级异常名录的施工企业，在限制其参加本行政区域内房建和市政建设项目投标的期限内的。</w:t>
      </w:r>
    </w:p>
    <w:bookmarkEnd w:id="1547"/>
    <w:bookmarkEnd w:id="1548"/>
    <w:p w14:paraId="0807273C">
      <w:pPr>
        <w:adjustRightInd w:val="0"/>
        <w:snapToGrid w:val="0"/>
        <w:spacing w:line="560" w:lineRule="exact"/>
        <w:ind w:firstLine="562" w:firstLineChars="200"/>
        <w:rPr>
          <w:rFonts w:hint="eastAsia" w:ascii="仿宋_GB2312" w:hAnsi="宋体" w:eastAsia="仿宋_GB2312"/>
          <w:b/>
          <w:color w:val="000000"/>
          <w:sz w:val="28"/>
          <w:szCs w:val="28"/>
        </w:rPr>
      </w:pPr>
      <w:r>
        <w:rPr>
          <w:rFonts w:hint="eastAsia" w:ascii="仿宋_GB2312" w:hAnsi="宋体" w:eastAsia="仿宋_GB2312"/>
          <w:b/>
          <w:color w:val="000000"/>
          <w:sz w:val="28"/>
          <w:szCs w:val="28"/>
        </w:rPr>
        <w:t>（二）政府采购项目</w:t>
      </w:r>
    </w:p>
    <w:p w14:paraId="40B870A5">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1、“信用中国”网站</w:t>
      </w:r>
      <w:r>
        <w:rPr>
          <w:rFonts w:hint="eastAsia" w:ascii="仿宋" w:hAnsi="仿宋" w:eastAsia="仿宋"/>
          <w:color w:val="000000"/>
          <w:sz w:val="28"/>
          <w:szCs w:val="28"/>
        </w:rPr>
        <w:t>（</w:t>
      </w:r>
      <w:r>
        <w:rPr>
          <w:rStyle w:val="30"/>
          <w:rFonts w:hint="eastAsia" w:ascii="仿宋" w:hAnsi="仿宋" w:eastAsia="仿宋"/>
          <w:color w:val="000000"/>
          <w:sz w:val="28"/>
          <w:szCs w:val="28"/>
        </w:rPr>
        <w:t>www.creditchina.gov.cn</w:t>
      </w:r>
      <w:r>
        <w:rPr>
          <w:rFonts w:hint="eastAsia" w:ascii="仿宋" w:hAnsi="仿宋" w:eastAsia="仿宋"/>
          <w:color w:val="000000"/>
          <w:sz w:val="28"/>
          <w:szCs w:val="28"/>
        </w:rPr>
        <w:t>）</w:t>
      </w:r>
      <w:r>
        <w:rPr>
          <w:rFonts w:hint="eastAsia" w:ascii="仿宋_GB2312" w:hAnsi="宋体" w:eastAsia="仿宋_GB2312"/>
          <w:color w:val="000000"/>
          <w:sz w:val="28"/>
          <w:szCs w:val="28"/>
        </w:rPr>
        <w:t>查询供应商、法定代表人及其项目负责人以下失信行为：</w:t>
      </w:r>
    </w:p>
    <w:p w14:paraId="0AC13E91">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①被列入“失信被执行人”的;</w:t>
      </w:r>
    </w:p>
    <w:p w14:paraId="249F80E3">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②被列入“重大税收违法失信主体”的；</w:t>
      </w:r>
    </w:p>
    <w:p w14:paraId="6CB10FD3">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③被列入“拖欠农民工工资失信联合惩戒对象名单”的；</w:t>
      </w:r>
    </w:p>
    <w:p w14:paraId="33E45F97">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④被列入 “严重失信主体名单”的；</w:t>
      </w:r>
    </w:p>
    <w:p w14:paraId="00DF25E9">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⑤在“信用中国”网站上披露的仍在公示期的严重失信行为(具体行为类别及判定依据见附件2)的。</w:t>
      </w:r>
    </w:p>
    <w:p w14:paraId="7893332F">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2、国家企业信用信息公示系统网站</w:t>
      </w:r>
      <w:r>
        <w:rPr>
          <w:rFonts w:hint="eastAsia" w:ascii="仿宋" w:hAnsi="仿宋" w:eastAsia="仿宋"/>
          <w:color w:val="000000"/>
          <w:sz w:val="28"/>
          <w:szCs w:val="28"/>
        </w:rPr>
        <w:t>（</w:t>
      </w:r>
      <w:r>
        <w:rPr>
          <w:color w:val="000000"/>
        </w:rPr>
        <w:fldChar w:fldCharType="begin"/>
      </w:r>
      <w:r>
        <w:rPr>
          <w:color w:val="000000"/>
        </w:rPr>
        <w:instrText xml:space="preserve"> </w:instrText>
      </w:r>
      <w:r>
        <w:rPr>
          <w:rFonts w:hint="eastAsia"/>
          <w:color w:val="000000"/>
        </w:rPr>
        <w:instrText xml:space="preserve">HYPERLINK "http://www.gsxt.gov.cn）查询"</w:instrText>
      </w:r>
      <w:r>
        <w:rPr>
          <w:color w:val="000000"/>
        </w:rPr>
        <w:instrText xml:space="preserve"> </w:instrText>
      </w:r>
      <w:r>
        <w:rPr>
          <w:color w:val="000000"/>
        </w:rPr>
        <w:fldChar w:fldCharType="separate"/>
      </w:r>
      <w:r>
        <w:rPr>
          <w:rStyle w:val="30"/>
          <w:rFonts w:hint="eastAsia" w:ascii="仿宋" w:hAnsi="仿宋" w:eastAsia="仿宋"/>
          <w:color w:val="000000"/>
          <w:sz w:val="28"/>
          <w:szCs w:val="28"/>
        </w:rPr>
        <w:t>www.gsxt.gov.cn）</w:t>
      </w:r>
      <w:r>
        <w:rPr>
          <w:color w:val="000000"/>
        </w:rPr>
        <w:fldChar w:fldCharType="end"/>
      </w:r>
      <w:r>
        <w:rPr>
          <w:rFonts w:hint="eastAsia" w:ascii="仿宋_GB2312" w:hAnsi="宋体" w:eastAsia="仿宋_GB2312"/>
          <w:color w:val="000000"/>
          <w:sz w:val="28"/>
          <w:szCs w:val="28"/>
        </w:rPr>
        <w:t>查询供应商以下失信行为：</w:t>
      </w:r>
    </w:p>
    <w:p w14:paraId="79633F5A">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①</w:t>
      </w:r>
      <w:bookmarkStart w:id="1551" w:name="OLE_LINK100"/>
      <w:bookmarkStart w:id="1552" w:name="OLE_LINK102"/>
      <w:bookmarkStart w:id="1553" w:name="OLE_LINK101"/>
      <w:r>
        <w:rPr>
          <w:rFonts w:hint="eastAsia" w:ascii="仿宋_GB2312" w:hAnsi="宋体" w:eastAsia="仿宋_GB2312"/>
          <w:color w:val="000000"/>
          <w:sz w:val="28"/>
          <w:szCs w:val="28"/>
        </w:rPr>
        <w:t>被列入“经营异常名录”或者“严重违法失信名单”的</w:t>
      </w:r>
      <w:bookmarkEnd w:id="1551"/>
      <w:bookmarkEnd w:id="1552"/>
      <w:bookmarkEnd w:id="1553"/>
      <w:r>
        <w:rPr>
          <w:rFonts w:hint="eastAsia" w:ascii="仿宋_GB2312" w:hAnsi="宋体" w:eastAsia="仿宋_GB2312"/>
          <w:color w:val="000000"/>
          <w:sz w:val="28"/>
          <w:szCs w:val="28"/>
        </w:rPr>
        <w:t>。</w:t>
      </w:r>
    </w:p>
    <w:p w14:paraId="2440129F">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3、中国政府采购网站</w:t>
      </w:r>
      <w:r>
        <w:rPr>
          <w:rFonts w:hint="eastAsia" w:ascii="仿宋" w:hAnsi="仿宋" w:eastAsia="仿宋"/>
          <w:color w:val="000000"/>
          <w:sz w:val="28"/>
          <w:szCs w:val="28"/>
        </w:rPr>
        <w:t>（</w:t>
      </w:r>
      <w:bookmarkStart w:id="1554" w:name="OLE_LINK96"/>
      <w:bookmarkStart w:id="1555" w:name="OLE_LINK95"/>
      <w:r>
        <w:rPr>
          <w:rFonts w:ascii="仿宋" w:hAnsi="仿宋" w:eastAsia="仿宋"/>
          <w:color w:val="000000"/>
          <w:sz w:val="28"/>
          <w:szCs w:val="28"/>
        </w:rPr>
        <w:fldChar w:fldCharType="begin"/>
      </w:r>
      <w:r>
        <w:rPr>
          <w:rFonts w:ascii="仿宋" w:hAnsi="仿宋" w:eastAsia="仿宋"/>
          <w:color w:val="000000"/>
          <w:sz w:val="28"/>
          <w:szCs w:val="28"/>
        </w:rPr>
        <w:instrText xml:space="preserve"> HYPERLINK "http://www.ccgp.gov.cn" </w:instrText>
      </w:r>
      <w:r>
        <w:rPr>
          <w:rFonts w:ascii="仿宋" w:hAnsi="仿宋" w:eastAsia="仿宋"/>
          <w:color w:val="000000"/>
          <w:sz w:val="28"/>
          <w:szCs w:val="28"/>
        </w:rPr>
        <w:fldChar w:fldCharType="separate"/>
      </w:r>
      <w:r>
        <w:rPr>
          <w:rStyle w:val="30"/>
          <w:rFonts w:hint="eastAsia" w:ascii="仿宋" w:hAnsi="仿宋" w:eastAsia="仿宋"/>
          <w:color w:val="000000"/>
          <w:sz w:val="28"/>
          <w:szCs w:val="28"/>
        </w:rPr>
        <w:t>www.ccgp.gov.cn</w:t>
      </w:r>
      <w:r>
        <w:rPr>
          <w:rFonts w:ascii="仿宋" w:hAnsi="仿宋" w:eastAsia="仿宋"/>
          <w:color w:val="000000"/>
          <w:sz w:val="28"/>
          <w:szCs w:val="28"/>
        </w:rPr>
        <w:fldChar w:fldCharType="end"/>
      </w:r>
      <w:bookmarkEnd w:id="1554"/>
      <w:bookmarkEnd w:id="1555"/>
      <w:r>
        <w:rPr>
          <w:rFonts w:hint="eastAsia" w:ascii="仿宋" w:hAnsi="仿宋" w:eastAsia="仿宋"/>
          <w:color w:val="000000"/>
          <w:sz w:val="28"/>
          <w:szCs w:val="28"/>
        </w:rPr>
        <w:t>）</w:t>
      </w:r>
      <w:r>
        <w:rPr>
          <w:rFonts w:hint="eastAsia" w:ascii="仿宋_GB2312" w:hAnsi="宋体" w:eastAsia="仿宋_GB2312"/>
          <w:color w:val="000000"/>
          <w:sz w:val="28"/>
          <w:szCs w:val="28"/>
        </w:rPr>
        <w:t>查询以下失信行为：</w:t>
      </w:r>
    </w:p>
    <w:p w14:paraId="5C6F141D">
      <w:pPr>
        <w:adjustRightInd w:val="0"/>
        <w:snapToGrid w:val="0"/>
        <w:spacing w:line="560" w:lineRule="exact"/>
        <w:ind w:firstLine="560" w:firstLineChars="200"/>
        <w:rPr>
          <w:rFonts w:hint="eastAsia" w:ascii="仿宋_GB2312" w:hAnsi="宋体" w:eastAsia="仿宋_GB2312" w:cs="楷体"/>
          <w:color w:val="000000"/>
          <w:sz w:val="28"/>
          <w:szCs w:val="28"/>
        </w:rPr>
      </w:pPr>
      <w:r>
        <w:rPr>
          <w:rFonts w:hint="eastAsia" w:ascii="仿宋_GB2312" w:hAnsi="宋体" w:eastAsia="仿宋_GB2312"/>
          <w:color w:val="000000"/>
          <w:sz w:val="28"/>
          <w:szCs w:val="28"/>
        </w:rPr>
        <w:t>①</w:t>
      </w:r>
      <w:bookmarkStart w:id="1556" w:name="OLE_LINK105"/>
      <w:bookmarkStart w:id="1557" w:name="OLE_LINK104"/>
      <w:bookmarkStart w:id="1558" w:name="OLE_LINK106"/>
      <w:r>
        <w:rPr>
          <w:rFonts w:hint="eastAsia" w:ascii="仿宋_GB2312" w:hAnsi="宋体" w:eastAsia="仿宋_GB2312"/>
          <w:color w:val="000000"/>
          <w:sz w:val="28"/>
          <w:szCs w:val="28"/>
        </w:rPr>
        <w:t>被列入“政府采购严重违法失信行为信息记录”的</w:t>
      </w:r>
      <w:bookmarkEnd w:id="1556"/>
      <w:bookmarkEnd w:id="1557"/>
      <w:bookmarkEnd w:id="1558"/>
      <w:r>
        <w:rPr>
          <w:rFonts w:hint="eastAsia" w:ascii="仿宋_GB2312" w:hAnsi="宋体" w:eastAsia="仿宋_GB2312" w:cs="楷体"/>
          <w:color w:val="000000"/>
          <w:sz w:val="28"/>
          <w:szCs w:val="28"/>
        </w:rPr>
        <w:t>。</w:t>
      </w:r>
    </w:p>
    <w:p w14:paraId="6A175079">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4、由竞争主体进行承诺，不进行现场网上信用查询的失信行为：</w:t>
      </w:r>
    </w:p>
    <w:p w14:paraId="7F442415">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①</w:t>
      </w:r>
      <w:r>
        <w:rPr>
          <w:rFonts w:hint="eastAsia" w:ascii="仿宋_GB2312" w:hAnsi="宋体" w:eastAsia="仿宋_GB2312" w:cs="楷体"/>
          <w:color w:val="000000"/>
          <w:sz w:val="28"/>
          <w:szCs w:val="28"/>
        </w:rPr>
        <w:t>前三年有行贿犯罪行为的单位和个人</w:t>
      </w:r>
      <w:r>
        <w:rPr>
          <w:rFonts w:hint="eastAsia" w:ascii="仿宋_GB2312" w:hAnsi="宋体" w:eastAsia="仿宋_GB2312"/>
          <w:color w:val="000000"/>
          <w:sz w:val="28"/>
          <w:szCs w:val="28"/>
        </w:rPr>
        <w:t>。</w:t>
      </w:r>
    </w:p>
    <w:p w14:paraId="6D207566">
      <w:pPr>
        <w:adjustRightInd w:val="0"/>
        <w:snapToGrid w:val="0"/>
        <w:spacing w:line="560" w:lineRule="exact"/>
        <w:ind w:firstLine="562" w:firstLineChars="200"/>
        <w:rPr>
          <w:rFonts w:hint="eastAsia" w:ascii="仿宋_GB2312" w:hAnsi="宋体" w:eastAsia="仿宋_GB2312"/>
          <w:b/>
          <w:color w:val="000000"/>
          <w:sz w:val="28"/>
          <w:szCs w:val="28"/>
        </w:rPr>
      </w:pPr>
      <w:r>
        <w:rPr>
          <w:rFonts w:hint="eastAsia" w:ascii="仿宋_GB2312" w:hAnsi="宋体" w:eastAsia="仿宋_GB2312"/>
          <w:b/>
          <w:color w:val="000000"/>
          <w:sz w:val="28"/>
          <w:szCs w:val="28"/>
        </w:rPr>
        <w:t>二、在开评标活动中的查询程序</w:t>
      </w:r>
    </w:p>
    <w:p w14:paraId="234FA0BB">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1、实行有限数量制资格审查的项目，由项目单位（代理机构）对入围的投标人、法定代表人及其项目经理（建造师）是否存在上述要求查询的失信行为进行网上核查；若核查结果与投标人承诺不一致，则提交评标委员会取消其入围资格，依次进行替补，并对替补单位进行核查。评审结论以核查后入围的结果重新计算最终评标基准价。</w:t>
      </w:r>
    </w:p>
    <w:p w14:paraId="5E8519AE">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2、不实行有限数量制资格审查的项目，由项目单位（代理机构）对预中标候选人、法定代表人及其项目经理（建造师）是否存在上述要求查询的失信行为进行网上核查后，提交网站截图等查询记录给评标委员会复核。若核查结果不符合招标文件规定的投标人资格条件信誉要求，由评标委员会取消其预中标候选人资格，并依次替补，再次对替补单位进行核查。如评标现场未发现问题但标后质疑（异议）、投诉发现中标候选人存在信誉问题，则组织评标委员会重新启动复核程序。核查结果不改变原评标基准价。</w:t>
      </w:r>
    </w:p>
    <w:p w14:paraId="3EBA993A">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3、项目单位及其委托的代理机构应当做好信用查询结果截图和记录留存。</w:t>
      </w:r>
    </w:p>
    <w:p w14:paraId="529A91F4">
      <w:pPr>
        <w:adjustRightInd w:val="0"/>
        <w:snapToGrid w:val="0"/>
        <w:spacing w:line="560" w:lineRule="exact"/>
        <w:ind w:firstLine="562" w:firstLineChars="200"/>
        <w:rPr>
          <w:rFonts w:hint="eastAsia" w:ascii="仿宋_GB2312" w:hAnsi="宋体" w:eastAsia="仿宋_GB2312"/>
          <w:b/>
          <w:color w:val="000000"/>
          <w:sz w:val="28"/>
          <w:szCs w:val="28"/>
        </w:rPr>
      </w:pPr>
      <w:r>
        <w:rPr>
          <w:rFonts w:hint="eastAsia" w:ascii="仿宋_GB2312" w:hAnsi="宋体" w:eastAsia="仿宋_GB2312"/>
          <w:b/>
          <w:color w:val="000000"/>
          <w:sz w:val="28"/>
          <w:szCs w:val="28"/>
        </w:rPr>
        <w:t>三、相关要求</w:t>
      </w:r>
    </w:p>
    <w:p w14:paraId="0CF5816E">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1、参与公共资源交易活动的竞争主体根据上述范围查询的内容进行自查并承诺，出具《诚信投标承诺书》（诚信投标承诺书包括但不限于上述自查并承诺内容）并注明承诺日期（投标截止时间前5日内）。</w:t>
      </w:r>
    </w:p>
    <w:p w14:paraId="314D80AC">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经核查，竞争主体在承诺日期之前（没有承诺日期的以资格审查日或开标日之前）有上述失信行为进行虚假承诺的，将视作不诚信行为，资格审查委员会或评标委员会及代理机构应当及时报告公共资源监管部门，依法依规予以处理。</w:t>
      </w:r>
    </w:p>
    <w:p w14:paraId="5A1E728F">
      <w:pPr>
        <w:wordWrap w:val="0"/>
        <w:adjustRightInd w:val="0"/>
        <w:snapToGrid w:val="0"/>
        <w:spacing w:line="560" w:lineRule="exact"/>
        <w:ind w:firstLine="560" w:firstLineChars="200"/>
        <w:rPr>
          <w:rFonts w:hint="eastAsia"/>
          <w:color w:val="000000"/>
        </w:rPr>
      </w:pPr>
      <w:r>
        <w:rPr>
          <w:rFonts w:hint="eastAsia" w:ascii="仿宋_GB2312" w:hAnsi="宋体" w:eastAsia="仿宋_GB2312"/>
          <w:color w:val="000000"/>
          <w:sz w:val="28"/>
          <w:szCs w:val="28"/>
        </w:rPr>
        <w:t xml:space="preserve">注册地在安徽省内且未在安徽省外开展业务、省外无违法违规行为的企业可通过安徽政务服务网开具由安徽省公共信用信息服务中心出具的《公共信用信息报告（无违法违规证明版或核查版）》代替《诚信投标承诺书》。《公共信用信息报告（无违法违规证明版或核查版）》可通过 “信用中国(安徽)”网站信用报告核验系统 ( </w:t>
      </w:r>
      <w:r>
        <w:rPr>
          <w:color w:val="000000"/>
        </w:rPr>
        <w:fldChar w:fldCharType="begin"/>
      </w:r>
      <w:r>
        <w:rPr>
          <w:color w:val="000000"/>
        </w:rPr>
        <w:instrText xml:space="preserve"> HYPERLINK "https://credit.ah.gov.cn/xinyong-fuwu/xvbahv/index.html" </w:instrText>
      </w:r>
      <w:r>
        <w:rPr>
          <w:color w:val="000000"/>
        </w:rPr>
        <w:fldChar w:fldCharType="separate"/>
      </w:r>
      <w:r>
        <w:rPr>
          <w:rStyle w:val="30"/>
          <w:rFonts w:hint="eastAsia" w:ascii="仿宋_GB2312" w:hAnsi="宋体" w:eastAsia="仿宋_GB2312"/>
          <w:color w:val="000000"/>
          <w:sz w:val="28"/>
          <w:szCs w:val="28"/>
        </w:rPr>
        <w:t>https://credit.ah.gov.cn/xinyong-fuwu/xvbahv/index.html</w:t>
      </w:r>
      <w:r>
        <w:rPr>
          <w:color w:val="000000"/>
        </w:rPr>
        <w:fldChar w:fldCharType="end"/>
      </w:r>
      <w:r>
        <w:rPr>
          <w:rFonts w:hint="eastAsia" w:ascii="仿宋_GB2312" w:hAnsi="宋体" w:eastAsia="仿宋_GB2312"/>
          <w:color w:val="000000"/>
          <w:sz w:val="28"/>
          <w:szCs w:val="28"/>
        </w:rPr>
        <w:t>)进行核验。核验不一致或提交《公共信用信息报告（无违法违规证明版或核查版）》的企业在省外有失信行为的将视作不诚信行为，资格审查委员会或评标委员会及代理机构应当及时报告公共资源监管部门，依法依规予以处理。</w:t>
      </w:r>
    </w:p>
    <w:p w14:paraId="2FDF6E34">
      <w:pPr>
        <w:adjustRightInd w:val="0"/>
        <w:snapToGrid w:val="0"/>
        <w:spacing w:line="560" w:lineRule="exact"/>
        <w:ind w:firstLine="562" w:firstLineChars="200"/>
        <w:rPr>
          <w:rFonts w:ascii="仿宋_GB2312" w:hAnsi="宋体" w:eastAsia="仿宋_GB2312"/>
          <w:b/>
          <w:color w:val="000000"/>
          <w:sz w:val="28"/>
          <w:szCs w:val="28"/>
        </w:rPr>
      </w:pPr>
      <w:r>
        <w:rPr>
          <w:rFonts w:hint="eastAsia" w:ascii="仿宋_GB2312" w:hAnsi="宋体" w:eastAsia="仿宋_GB2312"/>
          <w:b/>
          <w:color w:val="000000"/>
          <w:sz w:val="28"/>
          <w:szCs w:val="28"/>
        </w:rPr>
        <w:t>2、“信用中国”查询的严重失信行为判定依据为各行业主管部门下发的联合惩戒文件中规定的行为（按附件2执行）。</w:t>
      </w:r>
    </w:p>
    <w:p w14:paraId="15FFD3B3">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3、资格预审的项目以递交资格预审申请文件截止时间查询为准；资格后审的项目以递交投标文件截止时间查询为准。</w:t>
      </w:r>
    </w:p>
    <w:p w14:paraId="13C99087">
      <w:pPr>
        <w:ind w:right="960"/>
        <w:rPr>
          <w:rFonts w:hint="eastAsia" w:ascii="仿宋" w:hAnsi="仿宋" w:eastAsia="仿宋"/>
          <w:color w:val="000000"/>
          <w:sz w:val="32"/>
          <w:szCs w:val="32"/>
        </w:rPr>
      </w:pPr>
    </w:p>
    <w:p w14:paraId="5DAE1512">
      <w:pPr>
        <w:ind w:right="960"/>
        <w:rPr>
          <w:rFonts w:hint="eastAsia" w:ascii="仿宋" w:hAnsi="仿宋" w:eastAsia="仿宋"/>
          <w:color w:val="000000"/>
          <w:sz w:val="32"/>
          <w:szCs w:val="32"/>
        </w:rPr>
      </w:pPr>
    </w:p>
    <w:p w14:paraId="78165CA2">
      <w:pPr>
        <w:ind w:right="960"/>
        <w:rPr>
          <w:rFonts w:hint="eastAsia" w:ascii="仿宋" w:hAnsi="仿宋" w:eastAsia="仿宋"/>
          <w:color w:val="000000"/>
          <w:sz w:val="32"/>
          <w:szCs w:val="32"/>
        </w:rPr>
      </w:pPr>
    </w:p>
    <w:p w14:paraId="6D258885">
      <w:pPr>
        <w:ind w:right="960"/>
        <w:rPr>
          <w:rFonts w:hint="eastAsia" w:ascii="仿宋" w:hAnsi="仿宋" w:eastAsia="仿宋"/>
          <w:color w:val="000000"/>
          <w:sz w:val="32"/>
          <w:szCs w:val="32"/>
        </w:rPr>
      </w:pPr>
    </w:p>
    <w:p w14:paraId="1E8A9EBA">
      <w:pPr>
        <w:ind w:right="960"/>
        <w:rPr>
          <w:rFonts w:hint="eastAsia" w:ascii="仿宋" w:hAnsi="仿宋" w:eastAsia="仿宋"/>
          <w:color w:val="000000"/>
          <w:sz w:val="32"/>
          <w:szCs w:val="32"/>
        </w:rPr>
      </w:pPr>
    </w:p>
    <w:p w14:paraId="11B74907">
      <w:pPr>
        <w:ind w:right="960"/>
        <w:rPr>
          <w:rFonts w:hint="eastAsia" w:ascii="仿宋" w:hAnsi="仿宋" w:eastAsia="仿宋"/>
          <w:color w:val="000000"/>
          <w:sz w:val="32"/>
          <w:szCs w:val="32"/>
        </w:rPr>
      </w:pPr>
    </w:p>
    <w:p w14:paraId="61D30852">
      <w:pPr>
        <w:ind w:right="960"/>
        <w:rPr>
          <w:rFonts w:hint="eastAsia" w:ascii="仿宋" w:hAnsi="仿宋" w:eastAsia="仿宋"/>
          <w:color w:val="000000"/>
          <w:sz w:val="32"/>
          <w:szCs w:val="32"/>
        </w:rPr>
      </w:pPr>
    </w:p>
    <w:p w14:paraId="6600BBBB">
      <w:pPr>
        <w:ind w:right="960"/>
        <w:rPr>
          <w:rFonts w:hint="eastAsia" w:ascii="仿宋" w:hAnsi="仿宋" w:eastAsia="仿宋"/>
          <w:color w:val="000000"/>
          <w:sz w:val="32"/>
          <w:szCs w:val="32"/>
        </w:rPr>
      </w:pPr>
    </w:p>
    <w:p w14:paraId="6080FFCF">
      <w:pPr>
        <w:pStyle w:val="19"/>
        <w:rPr>
          <w:rFonts w:hint="eastAsia"/>
          <w:color w:val="000000"/>
        </w:rPr>
      </w:pPr>
    </w:p>
    <w:p w14:paraId="05591AE2">
      <w:pPr>
        <w:rPr>
          <w:color w:val="000000"/>
        </w:rPr>
      </w:pPr>
    </w:p>
    <w:p w14:paraId="64240985">
      <w:pPr>
        <w:pStyle w:val="19"/>
        <w:rPr>
          <w:color w:val="000000"/>
        </w:rPr>
      </w:pPr>
    </w:p>
    <w:p w14:paraId="7ED8967E">
      <w:pPr>
        <w:rPr>
          <w:color w:val="000000"/>
        </w:rPr>
      </w:pPr>
    </w:p>
    <w:p w14:paraId="5511E60B">
      <w:pPr>
        <w:pStyle w:val="19"/>
        <w:rPr>
          <w:color w:val="000000"/>
        </w:rPr>
      </w:pPr>
    </w:p>
    <w:p w14:paraId="25A51BBD">
      <w:pPr>
        <w:rPr>
          <w:color w:val="000000"/>
        </w:rPr>
      </w:pPr>
    </w:p>
    <w:p w14:paraId="089F3F34">
      <w:pPr>
        <w:pStyle w:val="19"/>
        <w:rPr>
          <w:color w:val="000000"/>
        </w:rPr>
      </w:pPr>
    </w:p>
    <w:p w14:paraId="257A894E">
      <w:pPr>
        <w:rPr>
          <w:color w:val="000000"/>
        </w:rPr>
      </w:pPr>
    </w:p>
    <w:p w14:paraId="178CD41F">
      <w:pPr>
        <w:ind w:right="960"/>
        <w:rPr>
          <w:rFonts w:ascii="仿宋" w:hAnsi="仿宋" w:eastAsia="仿宋"/>
          <w:color w:val="000000"/>
          <w:sz w:val="32"/>
          <w:szCs w:val="32"/>
        </w:rPr>
      </w:pPr>
    </w:p>
    <w:p w14:paraId="4CF53987">
      <w:pPr>
        <w:keepNext/>
        <w:keepLines/>
        <w:spacing w:before="200" w:after="200" w:line="600" w:lineRule="exact"/>
        <w:outlineLvl w:val="0"/>
        <w:rPr>
          <w:rFonts w:hint="eastAsia" w:ascii="黑体" w:hAnsi="黑体" w:eastAsia="黑体"/>
          <w:b/>
          <w:bCs/>
          <w:color w:val="000000"/>
          <w:kern w:val="44"/>
          <w:sz w:val="36"/>
          <w:szCs w:val="28"/>
        </w:rPr>
      </w:pPr>
      <w:bookmarkStart w:id="1559" w:name="_Toc95223549"/>
      <w:bookmarkStart w:id="1560" w:name="OLE_LINK31"/>
      <w:bookmarkStart w:id="1561" w:name="OLE_LINK41"/>
      <w:bookmarkStart w:id="1562" w:name="OLE_LINK32"/>
      <w:r>
        <w:rPr>
          <w:rFonts w:hint="eastAsia" w:ascii="黑体" w:hAnsi="黑体" w:eastAsia="黑体"/>
          <w:b/>
          <w:bCs/>
          <w:color w:val="000000"/>
          <w:kern w:val="44"/>
          <w:sz w:val="36"/>
          <w:szCs w:val="28"/>
        </w:rPr>
        <w:t xml:space="preserve">附件2 </w:t>
      </w:r>
      <w:bookmarkStart w:id="1563" w:name="OLE_LINK74"/>
      <w:bookmarkStart w:id="1564" w:name="OLE_LINK75"/>
      <w:r>
        <w:rPr>
          <w:rFonts w:hint="eastAsia" w:ascii="黑体" w:hAnsi="黑体" w:eastAsia="黑体"/>
          <w:b/>
          <w:bCs/>
          <w:color w:val="000000"/>
          <w:kern w:val="44"/>
          <w:sz w:val="36"/>
          <w:szCs w:val="28"/>
        </w:rPr>
        <w:t>“信用中国”查询的严重失信行为</w:t>
      </w:r>
      <w:bookmarkStart w:id="1565" w:name="OLE_LINK40"/>
      <w:bookmarkStart w:id="1566" w:name="OLE_LINK38"/>
      <w:bookmarkStart w:id="1567" w:name="OLE_LINK39"/>
      <w:bookmarkStart w:id="1568" w:name="OLE_LINK76"/>
      <w:r>
        <w:rPr>
          <w:rFonts w:hint="eastAsia" w:ascii="黑体" w:hAnsi="黑体" w:eastAsia="黑体"/>
          <w:b/>
          <w:bCs/>
          <w:color w:val="000000"/>
          <w:kern w:val="44"/>
          <w:sz w:val="36"/>
          <w:szCs w:val="28"/>
        </w:rPr>
        <w:t>类别及判定依据</w:t>
      </w:r>
      <w:bookmarkEnd w:id="1559"/>
      <w:bookmarkEnd w:id="1563"/>
      <w:bookmarkEnd w:id="1564"/>
      <w:bookmarkEnd w:id="1565"/>
      <w:bookmarkEnd w:id="1566"/>
      <w:bookmarkEnd w:id="1567"/>
      <w:bookmarkEnd w:id="1568"/>
    </w:p>
    <w:bookmarkEnd w:id="1560"/>
    <w:bookmarkEnd w:id="1561"/>
    <w:bookmarkEnd w:id="1562"/>
    <w:p w14:paraId="7F7CE819">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32"/>
          <w:szCs w:val="32"/>
        </w:rPr>
        <w:t>“</w:t>
      </w:r>
      <w:r>
        <w:rPr>
          <w:rFonts w:hint="eastAsia" w:ascii="仿宋_GB2312" w:hAnsi="宋体" w:eastAsia="仿宋_GB2312"/>
          <w:color w:val="000000"/>
          <w:sz w:val="28"/>
          <w:szCs w:val="28"/>
        </w:rPr>
        <w:t>信用中国”查询的严重失信行为判定依据为各行业主管部门下发的联合惩戒文件中规定的行为。下面将部分类别的严重失信行为列举如下：</w:t>
      </w:r>
    </w:p>
    <w:p w14:paraId="66D1EBBF">
      <w:pPr>
        <w:adjustRightInd w:val="0"/>
        <w:snapToGrid w:val="0"/>
        <w:spacing w:line="560" w:lineRule="exact"/>
        <w:ind w:firstLine="645"/>
        <w:jc w:val="left"/>
        <w:rPr>
          <w:rFonts w:hint="eastAsia" w:ascii="仿宋_GB2312" w:hAnsi="宋体" w:eastAsia="仿宋_GB2312"/>
          <w:b/>
          <w:color w:val="000000"/>
          <w:sz w:val="28"/>
          <w:szCs w:val="28"/>
        </w:rPr>
      </w:pPr>
      <w:r>
        <w:rPr>
          <w:rFonts w:hint="eastAsia" w:ascii="仿宋_GB2312" w:hAnsi="宋体" w:eastAsia="仿宋_GB2312"/>
          <w:b/>
          <w:color w:val="000000"/>
          <w:sz w:val="28"/>
          <w:szCs w:val="28"/>
        </w:rPr>
        <w:t>一、安全生产领域严重失信行为：</w:t>
      </w:r>
    </w:p>
    <w:p w14:paraId="5B5D6D19">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（一）下列发生生产安全事故的生产经营单位及其有关人员应当列入严重失信主体名单：</w:t>
      </w:r>
    </w:p>
    <w:p w14:paraId="41708719">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1、发生特别重大、重大生产安全事故的生产经营单位及其主要负责人，以及经调查认定对该事故发生负有责任，应当列入名单的其他单位和人员；</w:t>
      </w:r>
    </w:p>
    <w:p w14:paraId="339AA054">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2、12个月内累计发生2起以上较大生产安全事故的生产经营单位及其主要负责人；</w:t>
      </w:r>
    </w:p>
    <w:p w14:paraId="01672B0C">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3、发生生产安全事故，情节特别严重、影响特别恶劣，依照《中华人民共和国安全生产法》第一百一十四条的规定被处以罚款数额2倍以上5倍以下罚款的生产经营单位及其主要负责人；</w:t>
      </w:r>
    </w:p>
    <w:p w14:paraId="0927100F">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4、瞒报、谎报生产安全事故的生产经营单位及其有关责任人员；</w:t>
      </w:r>
    </w:p>
    <w:p w14:paraId="54B5A84B">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5、发生生产安全事故后，不立即组织抢救或者在事故调查处理期间擅离职守或者逃匿的生产经营单位主要负责人。</w:t>
      </w:r>
    </w:p>
    <w:p w14:paraId="222EDB9A">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（二）下列未发生生产安全事故，但因安全生产违法行为，受到行政处罚的生产经营单位或者机构及其有关人员，应当列入严重失信主体名单：</w:t>
      </w:r>
    </w:p>
    <w:p w14:paraId="26CC645F">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1、未依法取得安全生产相关许可或者许可被暂扣、吊销期间从事相关生产经营活动的生产经营单位及其主要负责人；</w:t>
      </w:r>
    </w:p>
    <w:p w14:paraId="130AA996">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2、承担安全评价、认证、检测、检验职责的机构及其直接责任人员租借资质、挂靠、出具虚假报告或者证书的；</w:t>
      </w:r>
    </w:p>
    <w:p w14:paraId="18EF6B48">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3、在应急管理部门作出行政处罚后，有执行能力拒不执行或者逃避执行的生产经营单位及其主要负责人；</w:t>
      </w:r>
    </w:p>
    <w:p w14:paraId="7884738A">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4、其他违反安全生产法律法规受到行政处罚，且性质恶劣、情节严重的。</w:t>
      </w:r>
    </w:p>
    <w:p w14:paraId="29BFEEBB">
      <w:pPr>
        <w:adjustRightInd w:val="0"/>
        <w:snapToGrid w:val="0"/>
        <w:spacing w:line="560" w:lineRule="exact"/>
        <w:ind w:firstLine="645"/>
        <w:jc w:val="left"/>
        <w:rPr>
          <w:rFonts w:hint="eastAsia" w:ascii="仿宋_GB2312" w:hAnsi="Calibri" w:eastAsia="仿宋_GB2312"/>
          <w:b/>
          <w:color w:val="000000"/>
          <w:sz w:val="28"/>
          <w:szCs w:val="28"/>
        </w:rPr>
      </w:pPr>
      <w:r>
        <w:rPr>
          <w:rFonts w:hint="eastAsia" w:ascii="仿宋_GB2312" w:hAnsi="宋体" w:eastAsia="仿宋_GB2312"/>
          <w:b/>
          <w:color w:val="000000"/>
          <w:sz w:val="28"/>
          <w:szCs w:val="28"/>
        </w:rPr>
        <w:t>依据：《安全生产严重失信主体名单管理办法》</w:t>
      </w:r>
      <w:r>
        <w:rPr>
          <w:rFonts w:hint="eastAsia" w:ascii="仿宋_GB2312" w:hAnsi="Calibri" w:eastAsia="仿宋_GB2312"/>
          <w:b/>
          <w:color w:val="000000"/>
          <w:sz w:val="28"/>
          <w:szCs w:val="28"/>
        </w:rPr>
        <w:t>（2023年8月8日应急管理部令第11号）</w:t>
      </w:r>
    </w:p>
    <w:p w14:paraId="46FAF72E">
      <w:pPr>
        <w:adjustRightInd w:val="0"/>
        <w:snapToGrid w:val="0"/>
        <w:spacing w:line="560" w:lineRule="exact"/>
        <w:ind w:firstLine="645"/>
        <w:jc w:val="left"/>
        <w:rPr>
          <w:rFonts w:hint="eastAsia" w:ascii="仿宋_GB2312" w:hAnsi="宋体" w:eastAsia="仿宋_GB2312"/>
          <w:b/>
          <w:color w:val="000000"/>
          <w:sz w:val="28"/>
          <w:szCs w:val="28"/>
        </w:rPr>
      </w:pPr>
    </w:p>
    <w:p w14:paraId="6EA3E009">
      <w:pPr>
        <w:adjustRightInd w:val="0"/>
        <w:snapToGrid w:val="0"/>
        <w:spacing w:line="560" w:lineRule="exact"/>
        <w:ind w:firstLine="645"/>
        <w:jc w:val="left"/>
        <w:rPr>
          <w:rFonts w:hint="eastAsia" w:ascii="仿宋_GB2312" w:hAnsi="宋体" w:eastAsia="仿宋_GB2312"/>
          <w:b/>
          <w:color w:val="000000"/>
          <w:sz w:val="28"/>
          <w:szCs w:val="28"/>
        </w:rPr>
      </w:pPr>
      <w:r>
        <w:rPr>
          <w:rFonts w:hint="eastAsia" w:ascii="仿宋_GB2312" w:hAnsi="宋体" w:eastAsia="仿宋_GB2312"/>
          <w:b/>
          <w:color w:val="000000"/>
          <w:sz w:val="28"/>
          <w:szCs w:val="28"/>
        </w:rPr>
        <w:t>二、环境保护领域严重失信行为：</w:t>
      </w:r>
    </w:p>
    <w:p w14:paraId="01A7F7D3">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（一）因为环境违法构成</w:t>
      </w:r>
      <w:r>
        <w:rPr>
          <w:color w:val="000000"/>
        </w:rPr>
        <w:fldChar w:fldCharType="begin"/>
      </w:r>
      <w:r>
        <w:rPr>
          <w:color w:val="000000"/>
        </w:rPr>
        <w:instrText xml:space="preserve"> HYPERLINK "https://baike.sogou.com/m/fullLemma?lid=10403954&amp;g_ut=3" \t "https://baike.sogou.com/m/_blank" </w:instrText>
      </w:r>
      <w:r>
        <w:rPr>
          <w:color w:val="000000"/>
        </w:rPr>
        <w:fldChar w:fldCharType="separate"/>
      </w:r>
      <w:r>
        <w:rPr>
          <w:rStyle w:val="30"/>
          <w:rFonts w:hint="eastAsia" w:ascii="仿宋_GB2312" w:hAnsi="宋体" w:eastAsia="仿宋_GB2312"/>
          <w:color w:val="000000"/>
          <w:sz w:val="28"/>
          <w:szCs w:val="28"/>
        </w:rPr>
        <w:t>环境犯罪</w:t>
      </w:r>
      <w:r>
        <w:rPr>
          <w:color w:val="000000"/>
        </w:rPr>
        <w:fldChar w:fldCharType="end"/>
      </w:r>
      <w:r>
        <w:rPr>
          <w:rFonts w:hint="eastAsia" w:ascii="仿宋_GB2312" w:hAnsi="宋体" w:eastAsia="仿宋_GB2312"/>
          <w:color w:val="000000"/>
          <w:sz w:val="28"/>
          <w:szCs w:val="28"/>
        </w:rPr>
        <w:t>的；</w:t>
      </w:r>
    </w:p>
    <w:p w14:paraId="4BE94FFD">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（二）</w:t>
      </w:r>
      <w:r>
        <w:rPr>
          <w:color w:val="000000"/>
        </w:rPr>
        <w:fldChar w:fldCharType="begin"/>
      </w:r>
      <w:r>
        <w:rPr>
          <w:color w:val="000000"/>
        </w:rPr>
        <w:instrText xml:space="preserve"> HYPERLINK "https://baike.sogou.com/m/fullLemma?lid=76033123&amp;g_ut=3" \t "https://baike.sogou.com/m/_blank" </w:instrText>
      </w:r>
      <w:r>
        <w:rPr>
          <w:color w:val="000000"/>
        </w:rPr>
        <w:fldChar w:fldCharType="separate"/>
      </w:r>
      <w:r>
        <w:rPr>
          <w:rStyle w:val="30"/>
          <w:rFonts w:hint="eastAsia" w:ascii="仿宋_GB2312" w:hAnsi="宋体" w:eastAsia="仿宋_GB2312"/>
          <w:color w:val="000000"/>
          <w:sz w:val="28"/>
          <w:szCs w:val="28"/>
        </w:rPr>
        <w:t>建设项目环境影响评价</w:t>
      </w:r>
      <w:r>
        <w:rPr>
          <w:color w:val="000000"/>
        </w:rPr>
        <w:fldChar w:fldCharType="end"/>
      </w:r>
      <w:r>
        <w:rPr>
          <w:rFonts w:hint="eastAsia" w:ascii="仿宋_GB2312" w:hAnsi="宋体" w:eastAsia="仿宋_GB2312"/>
          <w:color w:val="000000"/>
          <w:sz w:val="28"/>
          <w:szCs w:val="28"/>
        </w:rPr>
        <w:t>文件未按规定通过审批，擅自开工建设的；</w:t>
      </w:r>
    </w:p>
    <w:p w14:paraId="0CA417BB">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（三）建设项目环保设施未建成、环保措施未落实、未通过</w:t>
      </w:r>
      <w:r>
        <w:rPr>
          <w:color w:val="000000"/>
        </w:rPr>
        <w:fldChar w:fldCharType="begin"/>
      </w:r>
      <w:r>
        <w:rPr>
          <w:color w:val="000000"/>
        </w:rPr>
        <w:instrText xml:space="preserve"> HYPERLINK "https://baike.sogou.com/m/fullLemma?lid=6470550&amp;g_ut=3" \t "https://baike.sogou.com/m/_blank" </w:instrText>
      </w:r>
      <w:r>
        <w:rPr>
          <w:color w:val="000000"/>
        </w:rPr>
        <w:fldChar w:fldCharType="separate"/>
      </w:r>
      <w:r>
        <w:rPr>
          <w:rStyle w:val="30"/>
          <w:rFonts w:hint="eastAsia" w:ascii="仿宋_GB2312" w:hAnsi="宋体" w:eastAsia="仿宋_GB2312"/>
          <w:color w:val="000000"/>
          <w:sz w:val="28"/>
          <w:szCs w:val="28"/>
        </w:rPr>
        <w:t>竣工环保验收</w:t>
      </w:r>
      <w:r>
        <w:rPr>
          <w:color w:val="000000"/>
        </w:rPr>
        <w:fldChar w:fldCharType="end"/>
      </w:r>
      <w:r>
        <w:rPr>
          <w:rFonts w:hint="eastAsia" w:ascii="仿宋_GB2312" w:hAnsi="宋体" w:eastAsia="仿宋_GB2312"/>
          <w:color w:val="000000"/>
          <w:sz w:val="28"/>
          <w:szCs w:val="28"/>
        </w:rPr>
        <w:t>或者验收不合格，主体工程正式投入生产或者使用的；</w:t>
      </w:r>
    </w:p>
    <w:p w14:paraId="0114EB10">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（四）建设项目性质、规模、地点、采用的生产工艺或者防治污染、防止生态破坏的措施发生重大变动，未重新报批环境影响评价文件，擅自投入生产或者使用的；</w:t>
      </w:r>
    </w:p>
    <w:p w14:paraId="75ABE0EE">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（五）主要污染物排放总量超过控制指标的；</w:t>
      </w:r>
    </w:p>
    <w:p w14:paraId="7E14118C">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（六）私设暗管或者利用</w:t>
      </w:r>
      <w:r>
        <w:rPr>
          <w:color w:val="000000"/>
        </w:rPr>
        <w:fldChar w:fldCharType="begin"/>
      </w:r>
      <w:r>
        <w:rPr>
          <w:color w:val="000000"/>
        </w:rPr>
        <w:instrText xml:space="preserve"> HYPERLINK "https://baike.sogou.com/m/fullLemma?lid=41657319&amp;g_ut=3" \t "https://baike.sogou.com/m/_blank" </w:instrText>
      </w:r>
      <w:r>
        <w:rPr>
          <w:color w:val="000000"/>
        </w:rPr>
        <w:fldChar w:fldCharType="separate"/>
      </w:r>
      <w:r>
        <w:rPr>
          <w:rStyle w:val="30"/>
          <w:rFonts w:hint="eastAsia" w:ascii="仿宋_GB2312" w:hAnsi="宋体" w:eastAsia="仿宋_GB2312"/>
          <w:color w:val="000000"/>
          <w:sz w:val="28"/>
          <w:szCs w:val="28"/>
        </w:rPr>
        <w:t>渗井</w:t>
      </w:r>
      <w:r>
        <w:rPr>
          <w:color w:val="000000"/>
        </w:rPr>
        <w:fldChar w:fldCharType="end"/>
      </w:r>
      <w:r>
        <w:rPr>
          <w:rFonts w:hint="eastAsia" w:ascii="仿宋_GB2312" w:hAnsi="宋体" w:eastAsia="仿宋_GB2312"/>
          <w:color w:val="000000"/>
          <w:sz w:val="28"/>
          <w:szCs w:val="28"/>
        </w:rPr>
        <w:t>、渗坑、裂隙、溶洞等排放、倾倒、处置水污染物，或者通过私设旁路排放</w:t>
      </w:r>
      <w:r>
        <w:rPr>
          <w:color w:val="000000"/>
        </w:rPr>
        <w:fldChar w:fldCharType="begin"/>
      </w:r>
      <w:r>
        <w:rPr>
          <w:color w:val="000000"/>
        </w:rPr>
        <w:instrText xml:space="preserve"> HYPERLINK "https://baike.sogou.com/m/fullLemma?lid=7758328&amp;g_ut=3" \t "https://baike.sogou.com/m/_blank" </w:instrText>
      </w:r>
      <w:r>
        <w:rPr>
          <w:color w:val="000000"/>
        </w:rPr>
        <w:fldChar w:fldCharType="separate"/>
      </w:r>
      <w:r>
        <w:rPr>
          <w:rStyle w:val="30"/>
          <w:rFonts w:hint="eastAsia" w:ascii="仿宋_GB2312" w:hAnsi="宋体" w:eastAsia="仿宋_GB2312"/>
          <w:color w:val="000000"/>
          <w:sz w:val="28"/>
          <w:szCs w:val="28"/>
        </w:rPr>
        <w:t>大气污染物</w:t>
      </w:r>
      <w:r>
        <w:rPr>
          <w:color w:val="000000"/>
        </w:rPr>
        <w:fldChar w:fldCharType="end"/>
      </w:r>
      <w:r>
        <w:rPr>
          <w:rFonts w:hint="eastAsia" w:ascii="仿宋_GB2312" w:hAnsi="宋体" w:eastAsia="仿宋_GB2312"/>
          <w:color w:val="000000"/>
          <w:sz w:val="28"/>
          <w:szCs w:val="28"/>
        </w:rPr>
        <w:t>的；</w:t>
      </w:r>
    </w:p>
    <w:p w14:paraId="6793823C">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（七）非法排放、倾倒、处置危险废物，或者向无</w:t>
      </w:r>
      <w:r>
        <w:rPr>
          <w:color w:val="000000"/>
        </w:rPr>
        <w:fldChar w:fldCharType="begin"/>
      </w:r>
      <w:r>
        <w:rPr>
          <w:color w:val="000000"/>
        </w:rPr>
        <w:instrText xml:space="preserve"> HYPERLINK "https://baike.sogou.com/m/fullLemma?lid=5923292&amp;g_ut=3" \t "https://baike.sogou.com/m/_blank" </w:instrText>
      </w:r>
      <w:r>
        <w:rPr>
          <w:color w:val="000000"/>
        </w:rPr>
        <w:fldChar w:fldCharType="separate"/>
      </w:r>
      <w:r>
        <w:rPr>
          <w:rStyle w:val="30"/>
          <w:rFonts w:hint="eastAsia" w:ascii="仿宋_GB2312" w:hAnsi="宋体" w:eastAsia="仿宋_GB2312"/>
          <w:color w:val="000000"/>
          <w:sz w:val="28"/>
          <w:szCs w:val="28"/>
        </w:rPr>
        <w:t>经营许可证</w:t>
      </w:r>
      <w:r>
        <w:rPr>
          <w:color w:val="000000"/>
        </w:rPr>
        <w:fldChar w:fldCharType="end"/>
      </w:r>
      <w:r>
        <w:rPr>
          <w:rFonts w:hint="eastAsia" w:ascii="仿宋_GB2312" w:hAnsi="宋体" w:eastAsia="仿宋_GB2312"/>
          <w:color w:val="000000"/>
          <w:sz w:val="28"/>
          <w:szCs w:val="28"/>
        </w:rPr>
        <w:t>或者超出经营许可范围的单位或个人提供或者委托其收集、贮存、利用、处置危险废物的；</w:t>
      </w:r>
    </w:p>
    <w:p w14:paraId="186FF068">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（八）</w:t>
      </w:r>
      <w:r>
        <w:rPr>
          <w:color w:val="000000"/>
        </w:rPr>
        <w:fldChar w:fldCharType="begin"/>
      </w:r>
      <w:r>
        <w:rPr>
          <w:color w:val="000000"/>
        </w:rPr>
        <w:instrText xml:space="preserve"> HYPERLINK "https://baike.sogou.com/m/fullLemma?lid=167759803&amp;g_ut=3" \t "https://baike.sogou.com/m/_blank" </w:instrText>
      </w:r>
      <w:r>
        <w:rPr>
          <w:color w:val="000000"/>
        </w:rPr>
        <w:fldChar w:fldCharType="separate"/>
      </w:r>
      <w:r>
        <w:rPr>
          <w:rStyle w:val="30"/>
          <w:rFonts w:hint="eastAsia" w:ascii="仿宋_GB2312" w:hAnsi="宋体" w:eastAsia="仿宋_GB2312"/>
          <w:color w:val="000000"/>
          <w:sz w:val="28"/>
          <w:szCs w:val="28"/>
        </w:rPr>
        <w:t>环境违法行为</w:t>
      </w:r>
      <w:r>
        <w:rPr>
          <w:color w:val="000000"/>
        </w:rPr>
        <w:fldChar w:fldCharType="end"/>
      </w:r>
      <w:r>
        <w:rPr>
          <w:rFonts w:hint="eastAsia" w:ascii="仿宋_GB2312" w:hAnsi="宋体" w:eastAsia="仿宋_GB2312"/>
          <w:color w:val="000000"/>
          <w:sz w:val="28"/>
          <w:szCs w:val="28"/>
        </w:rPr>
        <w:t>造成集中式生活饮用水水源取水中断的；</w:t>
      </w:r>
    </w:p>
    <w:p w14:paraId="5BEDFEB6">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（九）环境违法行为对生活饮用水水源保护区、自然保护区、</w:t>
      </w:r>
      <w:r>
        <w:rPr>
          <w:color w:val="000000"/>
        </w:rPr>
        <w:fldChar w:fldCharType="begin"/>
      </w:r>
      <w:r>
        <w:rPr>
          <w:color w:val="000000"/>
        </w:rPr>
        <w:instrText xml:space="preserve"> HYPERLINK "https://baike.sogou.com/m/fullLemma?lid=155199213&amp;g_ut=3" \t "https://baike.sogou.com/m/_blank" </w:instrText>
      </w:r>
      <w:r>
        <w:rPr>
          <w:color w:val="000000"/>
        </w:rPr>
        <w:fldChar w:fldCharType="separate"/>
      </w:r>
      <w:r>
        <w:rPr>
          <w:rStyle w:val="30"/>
          <w:rFonts w:hint="eastAsia" w:ascii="仿宋_GB2312" w:hAnsi="宋体" w:eastAsia="仿宋_GB2312"/>
          <w:color w:val="000000"/>
          <w:sz w:val="28"/>
          <w:szCs w:val="28"/>
        </w:rPr>
        <w:t>国家重点生态功能区</w:t>
      </w:r>
      <w:r>
        <w:rPr>
          <w:color w:val="000000"/>
        </w:rPr>
        <w:fldChar w:fldCharType="end"/>
      </w:r>
      <w:r>
        <w:rPr>
          <w:rFonts w:hint="eastAsia" w:ascii="仿宋_GB2312" w:hAnsi="宋体" w:eastAsia="仿宋_GB2312"/>
          <w:color w:val="000000"/>
          <w:sz w:val="28"/>
          <w:szCs w:val="28"/>
        </w:rPr>
        <w:t>、风景名胜区、居住功能区、</w:t>
      </w:r>
      <w:r>
        <w:rPr>
          <w:color w:val="000000"/>
        </w:rPr>
        <w:fldChar w:fldCharType="begin"/>
      </w:r>
      <w:r>
        <w:rPr>
          <w:color w:val="000000"/>
        </w:rPr>
        <w:instrText xml:space="preserve"> HYPERLINK "https://baike.sogou.com/m/fullLemma?lid=7757164&amp;g_ut=3" \t "https://baike.sogou.com/m/_blank" </w:instrText>
      </w:r>
      <w:r>
        <w:rPr>
          <w:color w:val="000000"/>
        </w:rPr>
        <w:fldChar w:fldCharType="separate"/>
      </w:r>
      <w:r>
        <w:rPr>
          <w:rStyle w:val="30"/>
          <w:rFonts w:hint="eastAsia" w:ascii="仿宋_GB2312" w:hAnsi="宋体" w:eastAsia="仿宋_GB2312"/>
          <w:color w:val="000000"/>
          <w:sz w:val="28"/>
          <w:szCs w:val="28"/>
        </w:rPr>
        <w:t>基本农田保护区</w:t>
      </w:r>
      <w:r>
        <w:rPr>
          <w:color w:val="000000"/>
        </w:rPr>
        <w:fldChar w:fldCharType="end"/>
      </w:r>
      <w:r>
        <w:rPr>
          <w:rFonts w:hint="eastAsia" w:ascii="仿宋_GB2312" w:hAnsi="宋体" w:eastAsia="仿宋_GB2312"/>
          <w:color w:val="000000"/>
          <w:sz w:val="28"/>
          <w:szCs w:val="28"/>
        </w:rPr>
        <w:t>等环境敏感区造成重大不利影响的；</w:t>
      </w:r>
    </w:p>
    <w:p w14:paraId="5C79BBBE">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（十）违法从事自然资源开发、交通基础设施建设，以及其他开发建设活动，造成严重生态破坏的；</w:t>
      </w:r>
    </w:p>
    <w:p w14:paraId="5B57C222">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（十一）发生较大及以上突发环境事件的；</w:t>
      </w:r>
    </w:p>
    <w:p w14:paraId="057463E2">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（十二）被环保部门挂牌督办，整改逾期未完成的；</w:t>
      </w:r>
    </w:p>
    <w:p w14:paraId="39DE2FA1">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（十三）以暴力、威胁等方式拒绝、阻挠环保部门工作人员现场检查的；</w:t>
      </w:r>
    </w:p>
    <w:p w14:paraId="578CBA39">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（十四）违反重污染天气应急预案有关规定，对重污染天气响应不力的。</w:t>
      </w:r>
    </w:p>
    <w:p w14:paraId="0EAB122F">
      <w:pPr>
        <w:adjustRightInd w:val="0"/>
        <w:snapToGrid w:val="0"/>
        <w:spacing w:line="560" w:lineRule="exact"/>
        <w:ind w:firstLine="645"/>
        <w:jc w:val="left"/>
        <w:rPr>
          <w:rFonts w:hint="eastAsia" w:ascii="仿宋_GB2312" w:hAnsi="宋体" w:eastAsia="仿宋_GB2312"/>
          <w:b/>
          <w:color w:val="000000"/>
          <w:sz w:val="28"/>
          <w:szCs w:val="28"/>
        </w:rPr>
      </w:pPr>
      <w:r>
        <w:rPr>
          <w:rFonts w:hint="eastAsia" w:ascii="仿宋_GB2312" w:hAnsi="宋体" w:eastAsia="仿宋_GB2312"/>
          <w:b/>
          <w:color w:val="000000"/>
          <w:sz w:val="28"/>
          <w:szCs w:val="28"/>
        </w:rPr>
        <w:t>依据：《</w:t>
      </w:r>
      <w:bookmarkStart w:id="1569" w:name="OLE_LINK10"/>
      <w:bookmarkStart w:id="1570" w:name="OLE_LINK9"/>
      <w:bookmarkStart w:id="1571" w:name="OLE_LINK8"/>
      <w:r>
        <w:rPr>
          <w:rFonts w:hint="eastAsia" w:ascii="仿宋_GB2312" w:hAnsi="宋体" w:eastAsia="仿宋_GB2312"/>
          <w:b/>
          <w:color w:val="000000"/>
          <w:sz w:val="28"/>
          <w:szCs w:val="28"/>
        </w:rPr>
        <w:t>关于对环境保护领域失信生产经营单位及其有关人员开展联合惩戒的合作备忘录</w:t>
      </w:r>
      <w:bookmarkEnd w:id="1569"/>
      <w:bookmarkEnd w:id="1570"/>
      <w:bookmarkEnd w:id="1571"/>
      <w:r>
        <w:rPr>
          <w:rFonts w:hint="eastAsia" w:ascii="仿宋_GB2312" w:hAnsi="宋体" w:eastAsia="仿宋_GB2312"/>
          <w:b/>
          <w:color w:val="000000"/>
          <w:sz w:val="28"/>
          <w:szCs w:val="28"/>
        </w:rPr>
        <w:t>》、《</w:t>
      </w:r>
      <w:bookmarkStart w:id="1572" w:name="OLE_LINK11"/>
      <w:bookmarkStart w:id="1573" w:name="OLE_LINK12"/>
      <w:r>
        <w:rPr>
          <w:rFonts w:hint="eastAsia" w:ascii="仿宋_GB2312" w:hAnsi="宋体" w:eastAsia="仿宋_GB2312"/>
          <w:b/>
          <w:color w:val="000000"/>
          <w:sz w:val="28"/>
          <w:szCs w:val="28"/>
        </w:rPr>
        <w:t>企业环境信用评价办法（试行）</w:t>
      </w:r>
      <w:bookmarkEnd w:id="1572"/>
      <w:bookmarkEnd w:id="1573"/>
      <w:r>
        <w:rPr>
          <w:rFonts w:hint="eastAsia" w:ascii="仿宋_GB2312" w:hAnsi="宋体" w:eastAsia="仿宋_GB2312"/>
          <w:b/>
          <w:color w:val="000000"/>
          <w:sz w:val="28"/>
          <w:szCs w:val="28"/>
        </w:rPr>
        <w:t>》（环发〔2013〕150号）</w:t>
      </w:r>
    </w:p>
    <w:p w14:paraId="345E89C4">
      <w:pPr>
        <w:adjustRightInd w:val="0"/>
        <w:snapToGrid w:val="0"/>
        <w:spacing w:line="560" w:lineRule="exact"/>
        <w:ind w:firstLine="645"/>
        <w:jc w:val="left"/>
        <w:rPr>
          <w:rFonts w:hint="eastAsia" w:ascii="仿宋_GB2312" w:hAnsi="宋体" w:eastAsia="仿宋_GB2312"/>
          <w:b/>
          <w:color w:val="000000"/>
          <w:sz w:val="28"/>
          <w:szCs w:val="28"/>
        </w:rPr>
      </w:pPr>
    </w:p>
    <w:p w14:paraId="419487F1">
      <w:pPr>
        <w:adjustRightInd w:val="0"/>
        <w:snapToGrid w:val="0"/>
        <w:spacing w:line="560" w:lineRule="exact"/>
        <w:ind w:firstLine="645"/>
        <w:jc w:val="left"/>
        <w:rPr>
          <w:rFonts w:hint="eastAsia" w:ascii="仿宋_GB2312" w:hAnsi="宋体" w:eastAsia="仿宋_GB2312"/>
          <w:b/>
          <w:color w:val="000000"/>
          <w:sz w:val="28"/>
          <w:szCs w:val="28"/>
        </w:rPr>
      </w:pPr>
      <w:r>
        <w:rPr>
          <w:rFonts w:hint="eastAsia" w:ascii="仿宋_GB2312" w:hAnsi="宋体" w:eastAsia="仿宋_GB2312"/>
          <w:b/>
          <w:color w:val="000000"/>
          <w:sz w:val="28"/>
          <w:szCs w:val="28"/>
        </w:rPr>
        <w:t>三、</w:t>
      </w:r>
      <w:r>
        <w:rPr>
          <w:rFonts w:hint="eastAsia" w:ascii="仿宋_GB2312" w:hAnsi="宋体" w:eastAsia="仿宋_GB2312"/>
          <w:b/>
          <w:bCs/>
          <w:color w:val="000000"/>
          <w:sz w:val="28"/>
          <w:szCs w:val="28"/>
        </w:rPr>
        <w:t>公共资源交易领域严重失信行为</w:t>
      </w:r>
    </w:p>
    <w:p w14:paraId="0EA100AB">
      <w:pPr>
        <w:adjustRightInd w:val="0"/>
        <w:snapToGrid w:val="0"/>
        <w:spacing w:line="560" w:lineRule="exact"/>
        <w:ind w:firstLine="645"/>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（一）违反法律规定，必须进行招标的项目而不招标的，将必须进行招标的项目化整为零或者以其他任何方式规避招标的； </w:t>
      </w:r>
    </w:p>
    <w:p w14:paraId="29942D17">
      <w:pPr>
        <w:adjustRightInd w:val="0"/>
        <w:snapToGrid w:val="0"/>
        <w:spacing w:line="560" w:lineRule="exact"/>
        <w:ind w:firstLine="645"/>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（二）招标代理机构违反法律规定，泄露应当保密的与招标投标活动有关的情况和资料的，或者与招标人、投标人串通损害 国家利益、社会公共利益或者他人合法权益的；</w:t>
      </w:r>
    </w:p>
    <w:p w14:paraId="3229BE44">
      <w:pPr>
        <w:adjustRightInd w:val="0"/>
        <w:snapToGrid w:val="0"/>
        <w:spacing w:line="560" w:lineRule="exact"/>
        <w:ind w:firstLine="560" w:firstLineChars="20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（三）招标人以不合理的条件限制或者排斥潜在投标人的，对潜在投标人实行歧视待遇的，强制要求投标人组成联合体共同 投标的，或者限制投标人之间竞争的；</w:t>
      </w:r>
    </w:p>
    <w:p w14:paraId="39851125">
      <w:pPr>
        <w:adjustRightInd w:val="0"/>
        <w:snapToGrid w:val="0"/>
        <w:spacing w:line="560" w:lineRule="exact"/>
        <w:ind w:firstLine="560" w:firstLineChars="20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（四）依法必须进行招标的项目的招标人向他人透露已获取招标文件的潜在投标人的名称、数量或者可能影响公平竞争的有 关招标投标的其他情况的，或者泄露标底的；</w:t>
      </w:r>
    </w:p>
    <w:p w14:paraId="10005C67">
      <w:pPr>
        <w:adjustRightInd w:val="0"/>
        <w:snapToGrid w:val="0"/>
        <w:spacing w:line="560" w:lineRule="exact"/>
        <w:ind w:firstLine="560" w:firstLineChars="20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（五）投标人相互串通投标或者与招标人串通投标的，投标人以向招标人或者评标委员会成员行贿的手段谋取中标的； </w:t>
      </w:r>
    </w:p>
    <w:p w14:paraId="3A02AFD8">
      <w:pPr>
        <w:adjustRightInd w:val="0"/>
        <w:snapToGrid w:val="0"/>
        <w:spacing w:line="560" w:lineRule="exact"/>
        <w:ind w:firstLine="560" w:firstLineChars="20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（六）投标人以他人名义投标或者以其他方式弄虚作假，骗取中标的；</w:t>
      </w:r>
    </w:p>
    <w:p w14:paraId="413854C5">
      <w:pPr>
        <w:adjustRightInd w:val="0"/>
        <w:snapToGrid w:val="0"/>
        <w:spacing w:line="560" w:lineRule="exact"/>
        <w:ind w:firstLine="560" w:firstLineChars="20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（七）依法必须进行招标的项目，招标人违反法律规定，与投标人就投标价格、投标方案等实质性内容进行谈判的；</w:t>
      </w:r>
    </w:p>
    <w:p w14:paraId="748DF812">
      <w:pPr>
        <w:adjustRightInd w:val="0"/>
        <w:snapToGrid w:val="0"/>
        <w:spacing w:line="560" w:lineRule="exact"/>
        <w:ind w:firstLine="645"/>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（八）评标委员会成员收受投标人的财物或者其他好处的，评标委员会成员或者参加评标的有关工作人员向他人透露对投 标文件的评审和比较、中标候选人的推荐以及与评标有关的其他 情况的； </w:t>
      </w:r>
    </w:p>
    <w:p w14:paraId="69D57096">
      <w:pPr>
        <w:adjustRightInd w:val="0"/>
        <w:snapToGrid w:val="0"/>
        <w:spacing w:line="560" w:lineRule="exact"/>
        <w:ind w:firstLine="645"/>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（九）招标人在评标委员会依法推荐的中标候选人以外确定中标人的，依法必须进行招标的项目在所有投标被评标委员会否 决后自行确定中标人的； </w:t>
      </w:r>
    </w:p>
    <w:p w14:paraId="6DE04629">
      <w:pPr>
        <w:adjustRightInd w:val="0"/>
        <w:snapToGrid w:val="0"/>
        <w:spacing w:line="560" w:lineRule="exact"/>
        <w:ind w:firstLine="645"/>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（十）中标人将中标项目转让给他人的，将中标项目肢解后分别转让给他人的，违反法律规定将中标项目的部分主体、关键 性工作分包给他人的，或者分包人再次分包的； </w:t>
      </w:r>
    </w:p>
    <w:p w14:paraId="30A14563">
      <w:pPr>
        <w:adjustRightInd w:val="0"/>
        <w:snapToGrid w:val="0"/>
        <w:spacing w:line="560" w:lineRule="exact"/>
        <w:ind w:firstLine="645"/>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（十一）招标人与中标人不按照招标文件和中标人的投标文件订立合同的，或者招标人、中标人订立背离合同实质性内容的 协议的； </w:t>
      </w:r>
    </w:p>
    <w:p w14:paraId="21B9E921">
      <w:pPr>
        <w:adjustRightInd w:val="0"/>
        <w:snapToGrid w:val="0"/>
        <w:spacing w:line="560" w:lineRule="exact"/>
        <w:ind w:firstLine="645"/>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（十二）中标人不按照与招标人订立的合同履行义务，情节严重的； </w:t>
      </w:r>
    </w:p>
    <w:p w14:paraId="612664AD">
      <w:pPr>
        <w:adjustRightInd w:val="0"/>
        <w:snapToGrid w:val="0"/>
        <w:spacing w:line="560" w:lineRule="exact"/>
        <w:ind w:firstLine="645"/>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（十三）采购人、采购代理机构存在应当采用公开招标方式而擅自采用其他方式采购，擅自提高采购标准，以不合理的条件 对供应商实行差别待遇或者歧视待遇，在招标采购过程中与投标 人进行协商谈判，中标、成交通知书发出后不与中标、成交供应商签订采购合同，或者拒绝有关部门依法实施监督检查等情形的；</w:t>
      </w:r>
    </w:p>
    <w:p w14:paraId="4C2337B5">
      <w:pPr>
        <w:adjustRightInd w:val="0"/>
        <w:snapToGrid w:val="0"/>
        <w:spacing w:line="560" w:lineRule="exact"/>
        <w:ind w:firstLine="645"/>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 （十四）采购人、采购代理机构及其工作人员存在与供应商 或者采购代理机构恶意串通，在采购过程中接受贿赂或者获取其 他不正当利益，在有关部门依法实施的监督检查中提供虚假情况， 或者开标前泄露标底等情形的；</w:t>
      </w:r>
    </w:p>
    <w:p w14:paraId="63507B0A">
      <w:pPr>
        <w:adjustRightInd w:val="0"/>
        <w:snapToGrid w:val="0"/>
        <w:spacing w:line="560" w:lineRule="exact"/>
        <w:ind w:firstLine="645"/>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 （十五）采购人对应当实行集中采购的政府采购项目，不委托集中采购机构实行集中采购的； </w:t>
      </w:r>
    </w:p>
    <w:p w14:paraId="36164D50">
      <w:pPr>
        <w:adjustRightInd w:val="0"/>
        <w:snapToGrid w:val="0"/>
        <w:spacing w:line="560" w:lineRule="exact"/>
        <w:ind w:firstLine="645"/>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（十六）采购人、采购代理机构违反法律规定隐匿、销毁应当保存的采购文件或者伪造、变造采购文件的； </w:t>
      </w:r>
    </w:p>
    <w:p w14:paraId="30C8626A">
      <w:pPr>
        <w:adjustRightInd w:val="0"/>
        <w:snapToGrid w:val="0"/>
        <w:spacing w:line="560" w:lineRule="exact"/>
        <w:ind w:firstLine="645"/>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（十七）供应商存在提供虚假材料谋取中标、成交，采取不 正当手段诋毁、排挤其他供应商，与采购人、其他供应商或者采 购代理机构恶意串通，向采购人、采购代理机构行贿或者提供其 他不正当利益，在招标采购过程中与采购人进行协商谈判，或拒 绝有关部门监督检查或者提供虚假情况等情形的； </w:t>
      </w:r>
    </w:p>
    <w:p w14:paraId="7F22122F">
      <w:pPr>
        <w:adjustRightInd w:val="0"/>
        <w:snapToGrid w:val="0"/>
        <w:spacing w:line="560" w:lineRule="exact"/>
        <w:ind w:left="141" w:leftChars="67" w:firstLine="420" w:firstLineChars="15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（十八）疫苗生产企业向县级疾病预防控制机构以外的单位或者个人销售第二类疫苗的； </w:t>
      </w:r>
    </w:p>
    <w:p w14:paraId="7818F1DC">
      <w:pPr>
        <w:adjustRightInd w:val="0"/>
        <w:snapToGrid w:val="0"/>
        <w:spacing w:line="560" w:lineRule="exact"/>
        <w:ind w:left="141" w:leftChars="67" w:firstLine="420" w:firstLineChars="150"/>
        <w:jc w:val="left"/>
        <w:rPr>
          <w:rFonts w:hint="eastAsia" w:ascii="仿宋_GB2312" w:hAnsi="宋体" w:eastAsia="仿宋_GB2312"/>
          <w:color w:val="000000"/>
          <w:sz w:val="28"/>
          <w:szCs w:val="28"/>
        </w:rPr>
      </w:pPr>
      <w:r>
        <w:rPr>
          <w:rFonts w:hint="eastAsia" w:ascii="仿宋_GB2312" w:hAnsi="Calibri" w:eastAsia="仿宋_GB2312"/>
          <w:color w:val="000000"/>
          <w:sz w:val="28"/>
          <w:szCs w:val="28"/>
        </w:rPr>
        <w:t>（十九）存在其他违反公共资源交易法律法规行为的。</w:t>
      </w:r>
    </w:p>
    <w:p w14:paraId="3C18C44A">
      <w:pPr>
        <w:adjustRightInd w:val="0"/>
        <w:snapToGrid w:val="0"/>
        <w:spacing w:line="560" w:lineRule="exact"/>
        <w:ind w:firstLine="894" w:firstLineChars="318"/>
        <w:jc w:val="left"/>
        <w:rPr>
          <w:rFonts w:hint="eastAsia" w:ascii="仿宋_GB2312" w:hAnsi="宋体" w:eastAsia="仿宋_GB2312"/>
          <w:b/>
          <w:color w:val="000000"/>
          <w:sz w:val="28"/>
          <w:szCs w:val="28"/>
        </w:rPr>
      </w:pPr>
      <w:r>
        <w:rPr>
          <w:rFonts w:hint="eastAsia" w:ascii="仿宋_GB2312" w:hAnsi="宋体" w:eastAsia="仿宋_GB2312"/>
          <w:b/>
          <w:color w:val="000000"/>
          <w:sz w:val="28"/>
          <w:szCs w:val="28"/>
        </w:rPr>
        <w:t>依据：《</w:t>
      </w:r>
      <w:bookmarkStart w:id="1574" w:name="OLE_LINK13"/>
      <w:bookmarkStart w:id="1575" w:name="OLE_LINK14"/>
      <w:r>
        <w:rPr>
          <w:rFonts w:hint="eastAsia" w:ascii="仿宋_GB2312" w:hAnsi="宋体" w:eastAsia="仿宋_GB2312"/>
          <w:b/>
          <w:color w:val="000000"/>
          <w:sz w:val="28"/>
          <w:szCs w:val="28"/>
        </w:rPr>
        <w:t>关于对公共资源交易领域严重失信主体开展联合惩戒的备忘录</w:t>
      </w:r>
      <w:bookmarkEnd w:id="1574"/>
      <w:bookmarkEnd w:id="1575"/>
      <w:r>
        <w:rPr>
          <w:rFonts w:hint="eastAsia" w:ascii="仿宋_GB2312" w:hAnsi="宋体" w:eastAsia="仿宋_GB2312"/>
          <w:b/>
          <w:color w:val="000000"/>
          <w:sz w:val="28"/>
          <w:szCs w:val="28"/>
        </w:rPr>
        <w:t>》（发改法规〔2018〕457号）</w:t>
      </w:r>
    </w:p>
    <w:p w14:paraId="151FED88">
      <w:pPr>
        <w:adjustRightInd w:val="0"/>
        <w:snapToGrid w:val="0"/>
        <w:spacing w:line="560" w:lineRule="exact"/>
        <w:ind w:firstLine="645"/>
        <w:jc w:val="left"/>
        <w:rPr>
          <w:rFonts w:hint="eastAsia" w:ascii="仿宋_GB2312" w:hAnsi="宋体" w:eastAsia="仿宋_GB2312"/>
          <w:color w:val="000000"/>
          <w:sz w:val="28"/>
          <w:szCs w:val="28"/>
        </w:rPr>
      </w:pPr>
    </w:p>
    <w:p w14:paraId="49F706E7">
      <w:pPr>
        <w:adjustRightInd w:val="0"/>
        <w:snapToGrid w:val="0"/>
        <w:spacing w:line="560" w:lineRule="exact"/>
        <w:ind w:firstLine="645"/>
        <w:jc w:val="left"/>
        <w:rPr>
          <w:rFonts w:hint="eastAsia" w:ascii="仿宋_GB2312" w:hAnsi="宋体" w:eastAsia="仿宋_GB2312"/>
          <w:b/>
          <w:bCs/>
          <w:color w:val="000000"/>
          <w:sz w:val="28"/>
          <w:szCs w:val="28"/>
        </w:rPr>
      </w:pPr>
      <w:r>
        <w:rPr>
          <w:rFonts w:hint="eastAsia" w:ascii="仿宋_GB2312" w:hAnsi="宋体" w:eastAsia="仿宋_GB2312"/>
          <w:b/>
          <w:color w:val="000000"/>
          <w:sz w:val="28"/>
          <w:szCs w:val="28"/>
        </w:rPr>
        <w:t>四、</w:t>
      </w:r>
      <w:r>
        <w:rPr>
          <w:rFonts w:hint="eastAsia" w:ascii="仿宋_GB2312" w:hAnsi="宋体" w:eastAsia="仿宋_GB2312"/>
          <w:b/>
          <w:bCs/>
          <w:color w:val="000000"/>
          <w:sz w:val="28"/>
          <w:szCs w:val="28"/>
        </w:rPr>
        <w:t>社会保险领域严重失信行为</w:t>
      </w:r>
    </w:p>
    <w:p w14:paraId="3AC18FC5">
      <w:pPr>
        <w:adjustRightInd w:val="0"/>
        <w:snapToGrid w:val="0"/>
        <w:spacing w:line="560" w:lineRule="exact"/>
        <w:ind w:left="141" w:leftChars="67" w:firstLine="420" w:firstLineChars="15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（一）用人单位未按相关规定参加社会保险且拒不整改的； </w:t>
      </w:r>
    </w:p>
    <w:p w14:paraId="7343C111">
      <w:pPr>
        <w:adjustRightInd w:val="0"/>
        <w:snapToGrid w:val="0"/>
        <w:spacing w:line="560" w:lineRule="exact"/>
        <w:ind w:left="141" w:leftChars="67" w:firstLine="420" w:firstLineChars="15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（二）用人单位未如实申报社会保险缴费基数且拒不整改的； </w:t>
      </w:r>
    </w:p>
    <w:p w14:paraId="3A948490">
      <w:pPr>
        <w:adjustRightInd w:val="0"/>
        <w:snapToGrid w:val="0"/>
        <w:spacing w:line="560" w:lineRule="exact"/>
        <w:ind w:left="141" w:leftChars="67" w:firstLine="420" w:firstLineChars="15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（三）应缴纳社会保险费却拒不缴纳的； </w:t>
      </w:r>
    </w:p>
    <w:p w14:paraId="71039E2E">
      <w:pPr>
        <w:adjustRightInd w:val="0"/>
        <w:snapToGrid w:val="0"/>
        <w:spacing w:line="560" w:lineRule="exact"/>
        <w:ind w:left="141" w:leftChars="67" w:firstLine="420" w:firstLineChars="15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（四）隐匿、转移、侵占、挪用社会保险费款、基金或者违规投资运营的；</w:t>
      </w:r>
    </w:p>
    <w:p w14:paraId="0D85B4C6">
      <w:pPr>
        <w:adjustRightInd w:val="0"/>
        <w:snapToGrid w:val="0"/>
        <w:spacing w:line="560" w:lineRule="exact"/>
        <w:ind w:left="141" w:leftChars="67" w:firstLine="420" w:firstLineChars="15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（五）以欺诈、伪造证明材料或者其他手段参加、申报社会保险和骗取社会保险基金支出或社会保险待遇的； </w:t>
      </w:r>
    </w:p>
    <w:p w14:paraId="394A69B7">
      <w:pPr>
        <w:adjustRightInd w:val="0"/>
        <w:snapToGrid w:val="0"/>
        <w:spacing w:line="560" w:lineRule="exact"/>
        <w:ind w:left="141" w:leftChars="67" w:firstLine="420" w:firstLineChars="15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（六）非法获取、出售或变相交易社会保险个人权益数据的； </w:t>
      </w:r>
    </w:p>
    <w:p w14:paraId="1105E0E9">
      <w:pPr>
        <w:adjustRightInd w:val="0"/>
        <w:snapToGrid w:val="0"/>
        <w:spacing w:line="560" w:lineRule="exact"/>
        <w:ind w:left="141" w:leftChars="67" w:firstLine="420" w:firstLineChars="15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（七）社会保险服务机构违反服务协议或相关规定的； </w:t>
      </w:r>
    </w:p>
    <w:p w14:paraId="6FDD300C">
      <w:pPr>
        <w:adjustRightInd w:val="0"/>
        <w:snapToGrid w:val="0"/>
        <w:spacing w:line="560" w:lineRule="exact"/>
        <w:ind w:left="141" w:leftChars="67" w:firstLine="420" w:firstLineChars="15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（八）拒绝协助社会保险行政部门、经办机构对事故和问题进 行调查核实的；拒绝接受或协助税务部门对社会保险实施监督检查， 不如实提供与社会保险相关各项资料的； </w:t>
      </w:r>
    </w:p>
    <w:p w14:paraId="47BD00A9">
      <w:pPr>
        <w:adjustRightInd w:val="0"/>
        <w:snapToGrid w:val="0"/>
        <w:spacing w:line="560" w:lineRule="exact"/>
        <w:ind w:left="141" w:leftChars="67" w:firstLine="420" w:firstLineChars="15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（九）其他违反法律法规规定的。</w:t>
      </w:r>
    </w:p>
    <w:p w14:paraId="0064C2CC">
      <w:pPr>
        <w:adjustRightInd w:val="0"/>
        <w:snapToGrid w:val="0"/>
        <w:spacing w:line="560" w:lineRule="exact"/>
        <w:ind w:firstLine="551" w:firstLineChars="196"/>
        <w:jc w:val="left"/>
        <w:rPr>
          <w:rFonts w:hint="eastAsia" w:ascii="仿宋_GB2312" w:hAnsi="Calibri" w:eastAsia="仿宋_GB2312"/>
          <w:color w:val="000000"/>
          <w:sz w:val="28"/>
          <w:szCs w:val="28"/>
        </w:rPr>
      </w:pPr>
      <w:r>
        <w:rPr>
          <w:rFonts w:hint="eastAsia" w:ascii="仿宋_GB2312" w:hAnsi="Calibri" w:eastAsia="仿宋_GB2312"/>
          <w:b/>
          <w:color w:val="000000"/>
          <w:sz w:val="28"/>
          <w:szCs w:val="28"/>
        </w:rPr>
        <w:t>依据：《</w:t>
      </w:r>
      <w:bookmarkStart w:id="1576" w:name="OLE_LINK16"/>
      <w:bookmarkStart w:id="1577" w:name="OLE_LINK15"/>
      <w:r>
        <w:rPr>
          <w:rFonts w:hint="eastAsia" w:ascii="仿宋_GB2312" w:hAnsi="Calibri" w:eastAsia="仿宋_GB2312"/>
          <w:b/>
          <w:color w:val="000000"/>
          <w:sz w:val="28"/>
          <w:szCs w:val="28"/>
        </w:rPr>
        <w:t>关于对社会保险领域严重失信企业及其有关人员实施联合惩戒的合作备忘录</w:t>
      </w:r>
      <w:bookmarkEnd w:id="1576"/>
      <w:bookmarkEnd w:id="1577"/>
      <w:r>
        <w:rPr>
          <w:rFonts w:hint="eastAsia" w:ascii="仿宋_GB2312" w:hAnsi="Calibri" w:eastAsia="仿宋_GB2312"/>
          <w:b/>
          <w:color w:val="000000"/>
          <w:sz w:val="28"/>
          <w:szCs w:val="28"/>
        </w:rPr>
        <w:t>》（发改财金〔2018〕1704号）</w:t>
      </w:r>
    </w:p>
    <w:p w14:paraId="20E9231F">
      <w:pPr>
        <w:adjustRightInd w:val="0"/>
        <w:snapToGrid w:val="0"/>
        <w:spacing w:line="560" w:lineRule="exact"/>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 xml:space="preserve">     </w:t>
      </w:r>
    </w:p>
    <w:p w14:paraId="0583F51B">
      <w:pPr>
        <w:adjustRightInd w:val="0"/>
        <w:snapToGrid w:val="0"/>
        <w:spacing w:line="560" w:lineRule="exact"/>
        <w:ind w:firstLine="562" w:firstLineChars="200"/>
        <w:jc w:val="left"/>
        <w:rPr>
          <w:rFonts w:hint="eastAsia" w:ascii="仿宋_GB2312" w:hAnsi="宋体" w:eastAsia="仿宋_GB2312"/>
          <w:b/>
          <w:bCs/>
          <w:color w:val="000000"/>
          <w:sz w:val="28"/>
          <w:szCs w:val="28"/>
        </w:rPr>
      </w:pPr>
      <w:r>
        <w:rPr>
          <w:rFonts w:hint="eastAsia" w:ascii="仿宋_GB2312" w:hAnsi="宋体" w:eastAsia="仿宋_GB2312"/>
          <w:b/>
          <w:color w:val="000000"/>
          <w:sz w:val="28"/>
          <w:szCs w:val="28"/>
        </w:rPr>
        <w:t>五、建筑市场领域</w:t>
      </w:r>
      <w:r>
        <w:rPr>
          <w:rFonts w:hint="eastAsia" w:ascii="仿宋_GB2312" w:hAnsi="宋体" w:eastAsia="仿宋_GB2312"/>
          <w:b/>
          <w:bCs/>
          <w:color w:val="000000"/>
          <w:sz w:val="28"/>
          <w:szCs w:val="28"/>
        </w:rPr>
        <w:t>严重失信行为</w:t>
      </w:r>
    </w:p>
    <w:p w14:paraId="2814F207">
      <w:pPr>
        <w:adjustRightInd w:val="0"/>
        <w:snapToGrid w:val="0"/>
        <w:spacing w:line="560" w:lineRule="exact"/>
        <w:ind w:firstLine="560" w:firstLineChars="20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（一）利用虚假材料、以欺骗手段取得企业资质的；</w:t>
      </w:r>
    </w:p>
    <w:p w14:paraId="14DFC370">
      <w:pPr>
        <w:adjustRightInd w:val="0"/>
        <w:snapToGrid w:val="0"/>
        <w:spacing w:line="560" w:lineRule="exact"/>
        <w:ind w:firstLine="560" w:firstLineChars="20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（二）发生转包、出借资质，受到行政处罚的；</w:t>
      </w:r>
    </w:p>
    <w:p w14:paraId="3AD0DE6E">
      <w:pPr>
        <w:adjustRightInd w:val="0"/>
        <w:snapToGrid w:val="0"/>
        <w:spacing w:line="560" w:lineRule="exact"/>
        <w:ind w:firstLine="560" w:firstLineChars="20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（三）发生重大及以上工程质量安全事故，或1年内累计发生2次及以上较大工程质量安全事故，或发生性质恶劣、危害性严重、社会影响大的较大工程质量安全事故，受到行政处罚的；</w:t>
      </w:r>
    </w:p>
    <w:p w14:paraId="0DE97959">
      <w:pPr>
        <w:adjustRightInd w:val="0"/>
        <w:snapToGrid w:val="0"/>
        <w:spacing w:line="560" w:lineRule="exact"/>
        <w:ind w:firstLine="560" w:firstLineChars="20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（四）经法院判决或仲裁机构裁决，认定为拖欠工程款,且拒不履行生效法律文书确定的义务的。</w:t>
      </w:r>
    </w:p>
    <w:p w14:paraId="03ECDCC3">
      <w:pPr>
        <w:adjustRightInd w:val="0"/>
        <w:snapToGrid w:val="0"/>
        <w:spacing w:line="560" w:lineRule="exact"/>
        <w:ind w:firstLine="560" w:firstLineChars="20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各级住房城乡建设主管部门应当参照建筑市场主体“黑名单”，对被人力资源社会保障行政部门列入拖欠农民工工资“黑名单”的建筑市场各方主体加强监管。</w:t>
      </w:r>
    </w:p>
    <w:p w14:paraId="24809104">
      <w:pPr>
        <w:ind w:firstLine="562" w:firstLineChars="200"/>
        <w:jc w:val="left"/>
        <w:rPr>
          <w:rFonts w:hint="eastAsia" w:ascii="宋体" w:hAnsi="宋体"/>
          <w:color w:val="000000"/>
          <w:sz w:val="28"/>
          <w:szCs w:val="28"/>
        </w:rPr>
      </w:pPr>
      <w:r>
        <w:rPr>
          <w:rFonts w:hint="eastAsia" w:ascii="仿宋_GB2312" w:hAnsi="Calibri" w:eastAsia="仿宋_GB2312"/>
          <w:b/>
          <w:color w:val="000000"/>
          <w:sz w:val="28"/>
          <w:szCs w:val="28"/>
        </w:rPr>
        <w:t>依据：《</w:t>
      </w:r>
      <w:bookmarkStart w:id="1578" w:name="OLE_LINK18"/>
      <w:bookmarkStart w:id="1579" w:name="OLE_LINK17"/>
      <w:r>
        <w:rPr>
          <w:rFonts w:hint="eastAsia" w:ascii="仿宋_GB2312" w:hAnsi="Calibri" w:eastAsia="仿宋_GB2312"/>
          <w:b/>
          <w:color w:val="000000"/>
          <w:sz w:val="28"/>
          <w:szCs w:val="28"/>
        </w:rPr>
        <w:t>建筑市场信用管理暂行办法</w:t>
      </w:r>
      <w:bookmarkEnd w:id="1578"/>
      <w:bookmarkEnd w:id="1579"/>
      <w:r>
        <w:rPr>
          <w:rFonts w:hint="eastAsia" w:ascii="仿宋_GB2312" w:hAnsi="Calibri" w:eastAsia="仿宋_GB2312"/>
          <w:b/>
          <w:color w:val="000000"/>
          <w:sz w:val="28"/>
          <w:szCs w:val="28"/>
        </w:rPr>
        <w:t>》（建市〔2017〕241号）</w:t>
      </w:r>
    </w:p>
    <w:p w14:paraId="09F06922">
      <w:pPr>
        <w:adjustRightInd w:val="0"/>
        <w:snapToGrid w:val="0"/>
        <w:spacing w:line="560" w:lineRule="exact"/>
        <w:rPr>
          <w:rFonts w:hint="eastAsia" w:ascii="仿宋_GB2312" w:hAnsi="宋体" w:eastAsia="仿宋_GB2312"/>
          <w:b/>
          <w:color w:val="000000"/>
          <w:sz w:val="28"/>
          <w:szCs w:val="28"/>
        </w:rPr>
      </w:pPr>
    </w:p>
    <w:p w14:paraId="0C97252B">
      <w:pPr>
        <w:adjustRightInd w:val="0"/>
        <w:snapToGrid w:val="0"/>
        <w:spacing w:line="560" w:lineRule="exact"/>
        <w:ind w:firstLine="562" w:firstLineChars="200"/>
        <w:rPr>
          <w:rFonts w:hint="eastAsia" w:ascii="仿宋_GB2312" w:hAnsi="宋体" w:eastAsia="仿宋_GB2312"/>
          <w:b/>
          <w:color w:val="000000"/>
          <w:sz w:val="28"/>
          <w:szCs w:val="28"/>
        </w:rPr>
      </w:pPr>
      <w:r>
        <w:rPr>
          <w:rFonts w:hint="eastAsia" w:ascii="仿宋_GB2312" w:hAnsi="宋体" w:eastAsia="仿宋_GB2312"/>
          <w:b/>
          <w:color w:val="000000"/>
          <w:sz w:val="28"/>
          <w:szCs w:val="28"/>
        </w:rPr>
        <w:t>六、</w:t>
      </w:r>
      <w:bookmarkStart w:id="1580" w:name="OLE_LINK19"/>
      <w:bookmarkStart w:id="1581" w:name="OLE_LINK20"/>
      <w:r>
        <w:rPr>
          <w:rFonts w:hint="eastAsia" w:ascii="仿宋_GB2312" w:hAnsi="宋体" w:eastAsia="仿宋_GB2312"/>
          <w:b/>
          <w:color w:val="000000"/>
          <w:sz w:val="28"/>
          <w:szCs w:val="28"/>
        </w:rPr>
        <w:t>政府采购严重失信行为</w:t>
      </w:r>
      <w:bookmarkEnd w:id="1580"/>
      <w:bookmarkEnd w:id="1581"/>
    </w:p>
    <w:p w14:paraId="71C946AC">
      <w:pPr>
        <w:adjustRightInd w:val="0"/>
        <w:snapToGrid w:val="0"/>
        <w:spacing w:line="560" w:lineRule="exact"/>
        <w:ind w:firstLine="615"/>
        <w:rPr>
          <w:rFonts w:hint="eastAsia" w:ascii="仿宋_GB2312" w:hAnsi="Calibri" w:eastAsia="仿宋_GB2312"/>
          <w:color w:val="000000"/>
          <w:sz w:val="28"/>
          <w:szCs w:val="28"/>
        </w:rPr>
      </w:pPr>
      <w:r>
        <w:rPr>
          <w:rFonts w:hint="eastAsia" w:ascii="仿宋_GB2312" w:hAnsi="Calibri" w:eastAsia="仿宋_GB2312"/>
          <w:color w:val="000000"/>
          <w:sz w:val="28"/>
          <w:szCs w:val="28"/>
        </w:rPr>
        <w:t>供应商、采购代理机构在三年内受到财政部门作出下列情形之一的行政处罚，列入政府采购严重违法失信行为记录名单。</w:t>
      </w:r>
      <w:r>
        <w:rPr>
          <w:rFonts w:hint="eastAsia" w:ascii="仿宋_GB2312" w:hAnsi="Calibri" w:eastAsia="仿宋_GB2312"/>
          <w:color w:val="000000"/>
          <w:sz w:val="28"/>
          <w:szCs w:val="28"/>
        </w:rPr>
        <w:br w:type="textWrapping"/>
      </w:r>
      <w:r>
        <w:rPr>
          <w:rFonts w:hint="eastAsia" w:ascii="仿宋_GB2312" w:hAnsi="Calibri" w:eastAsia="仿宋_GB2312"/>
          <w:color w:val="000000"/>
          <w:sz w:val="28"/>
          <w:szCs w:val="28"/>
        </w:rPr>
        <w:t>　　（一）三万元以上罚款；</w:t>
      </w:r>
      <w:r>
        <w:rPr>
          <w:rFonts w:hint="eastAsia" w:ascii="仿宋_GB2312" w:hAnsi="Calibri" w:eastAsia="仿宋_GB2312"/>
          <w:color w:val="000000"/>
          <w:sz w:val="28"/>
          <w:szCs w:val="28"/>
        </w:rPr>
        <w:br w:type="textWrapping"/>
      </w:r>
      <w:r>
        <w:rPr>
          <w:rFonts w:hint="eastAsia" w:ascii="仿宋_GB2312" w:hAnsi="Calibri" w:eastAsia="仿宋_GB2312"/>
          <w:color w:val="000000"/>
          <w:sz w:val="28"/>
          <w:szCs w:val="28"/>
        </w:rPr>
        <w:t>　　（二）在一至三年内禁止参加政府采购活动（处罚期限届满的除外）；</w:t>
      </w:r>
      <w:r>
        <w:rPr>
          <w:rFonts w:hint="eastAsia" w:ascii="仿宋_GB2312" w:hAnsi="Calibri" w:eastAsia="仿宋_GB2312"/>
          <w:color w:val="000000"/>
          <w:sz w:val="28"/>
          <w:szCs w:val="28"/>
        </w:rPr>
        <w:br w:type="textWrapping"/>
      </w:r>
      <w:r>
        <w:rPr>
          <w:rFonts w:hint="eastAsia" w:ascii="仿宋_GB2312" w:hAnsi="Calibri" w:eastAsia="仿宋_GB2312"/>
          <w:color w:val="000000"/>
          <w:sz w:val="28"/>
          <w:szCs w:val="28"/>
        </w:rPr>
        <w:t>　　（三）在一至三年内禁止代理政府采购业务（处罚期限届满的除外）；</w:t>
      </w:r>
      <w:r>
        <w:rPr>
          <w:rFonts w:hint="eastAsia" w:ascii="仿宋_GB2312" w:hAnsi="Calibri" w:eastAsia="仿宋_GB2312"/>
          <w:color w:val="000000"/>
          <w:sz w:val="28"/>
          <w:szCs w:val="28"/>
        </w:rPr>
        <w:br w:type="textWrapping"/>
      </w:r>
      <w:r>
        <w:rPr>
          <w:rFonts w:hint="eastAsia" w:ascii="仿宋_GB2312" w:hAnsi="宋体" w:eastAsia="仿宋_GB2312"/>
          <w:color w:val="000000"/>
          <w:sz w:val="28"/>
          <w:szCs w:val="28"/>
        </w:rPr>
        <w:t xml:space="preserve">　 </w:t>
      </w:r>
      <w:r>
        <w:rPr>
          <w:rFonts w:hint="eastAsia" w:ascii="仿宋_GB2312" w:hAnsi="Calibri" w:eastAsia="仿宋_GB2312"/>
          <w:color w:val="000000"/>
          <w:sz w:val="28"/>
          <w:szCs w:val="28"/>
        </w:rPr>
        <w:t>（四）撤销政府采购代理机构资格（仅针对《政府采购法》第78条修改前作出的处罚决定）。</w:t>
      </w:r>
    </w:p>
    <w:p w14:paraId="37AA3A66">
      <w:pPr>
        <w:adjustRightInd w:val="0"/>
        <w:snapToGrid w:val="0"/>
        <w:spacing w:line="560" w:lineRule="exact"/>
        <w:ind w:firstLine="562" w:firstLineChars="200"/>
        <w:jc w:val="left"/>
        <w:rPr>
          <w:rFonts w:hint="eastAsia" w:ascii="仿宋_GB2312" w:hAnsi="Calibri" w:eastAsia="仿宋_GB2312"/>
          <w:b/>
          <w:color w:val="000000"/>
          <w:sz w:val="28"/>
          <w:szCs w:val="28"/>
        </w:rPr>
      </w:pPr>
      <w:r>
        <w:rPr>
          <w:rFonts w:hint="eastAsia" w:ascii="仿宋_GB2312" w:hAnsi="Calibri" w:eastAsia="仿宋_GB2312"/>
          <w:b/>
          <w:color w:val="000000"/>
          <w:sz w:val="28"/>
          <w:szCs w:val="28"/>
        </w:rPr>
        <w:t>依据：《关于报送政府采购严重违法失信行为信息记录的通知》</w:t>
      </w:r>
      <w:r>
        <w:rPr>
          <w:rFonts w:hint="eastAsia" w:ascii="Calibri" w:hAnsi="Calibri"/>
          <w:b/>
          <w:color w:val="000000"/>
          <w:sz w:val="28"/>
          <w:szCs w:val="28"/>
        </w:rPr>
        <w:t>（财办库〔</w:t>
      </w:r>
      <w:r>
        <w:rPr>
          <w:rFonts w:ascii="Calibri" w:hAnsi="Calibri"/>
          <w:b/>
          <w:color w:val="000000"/>
          <w:sz w:val="28"/>
          <w:szCs w:val="28"/>
        </w:rPr>
        <w:t>2014</w:t>
      </w:r>
      <w:r>
        <w:rPr>
          <w:rFonts w:hint="eastAsia" w:ascii="Calibri" w:hAnsi="Calibri"/>
          <w:b/>
          <w:color w:val="000000"/>
          <w:sz w:val="28"/>
          <w:szCs w:val="28"/>
        </w:rPr>
        <w:t>〕</w:t>
      </w:r>
      <w:r>
        <w:rPr>
          <w:rFonts w:ascii="Calibri" w:hAnsi="Calibri"/>
          <w:b/>
          <w:color w:val="000000"/>
          <w:sz w:val="28"/>
          <w:szCs w:val="28"/>
        </w:rPr>
        <w:t>526</w:t>
      </w:r>
      <w:r>
        <w:rPr>
          <w:rFonts w:hint="eastAsia" w:ascii="Calibri" w:hAnsi="Calibri"/>
          <w:b/>
          <w:color w:val="000000"/>
          <w:sz w:val="28"/>
          <w:szCs w:val="28"/>
        </w:rPr>
        <w:t>号）</w:t>
      </w:r>
    </w:p>
    <w:p w14:paraId="02DA2252">
      <w:pPr>
        <w:adjustRightInd w:val="0"/>
        <w:snapToGrid w:val="0"/>
        <w:spacing w:line="560" w:lineRule="exact"/>
        <w:rPr>
          <w:rFonts w:hint="eastAsia" w:ascii="仿宋_GB2312" w:hAnsi="宋体" w:eastAsia="仿宋_GB2312"/>
          <w:b/>
          <w:color w:val="000000"/>
          <w:sz w:val="28"/>
          <w:szCs w:val="28"/>
        </w:rPr>
      </w:pPr>
    </w:p>
    <w:p w14:paraId="4D4EA6AB">
      <w:pPr>
        <w:adjustRightInd w:val="0"/>
        <w:snapToGrid w:val="0"/>
        <w:spacing w:line="560" w:lineRule="exact"/>
        <w:ind w:firstLine="615"/>
        <w:rPr>
          <w:rFonts w:hint="eastAsia" w:ascii="仿宋_GB2312" w:hAnsi="Calibri" w:eastAsia="仿宋_GB2312"/>
          <w:b/>
          <w:color w:val="auto"/>
          <w:sz w:val="32"/>
          <w:szCs w:val="32"/>
          <w:highlight w:val="none"/>
        </w:rPr>
      </w:pPr>
      <w:r>
        <w:rPr>
          <w:rFonts w:hint="eastAsia" w:ascii="仿宋_GB2312" w:hAnsi="宋体" w:eastAsia="仿宋_GB2312"/>
          <w:b/>
          <w:color w:val="000000"/>
          <w:sz w:val="28"/>
          <w:szCs w:val="28"/>
        </w:rPr>
        <w:t>未列出的其他类别严重失信行为，由招标人（代理机构）根据各类别行业主管部门下发的联合惩戒文件进行判</w:t>
      </w:r>
      <w:r>
        <w:rPr>
          <w:rFonts w:hint="eastAsia" w:ascii="仿宋_GB2312" w:hAnsi="宋体" w:eastAsia="仿宋_GB2312"/>
          <w:b/>
          <w:color w:val="000000"/>
          <w:sz w:val="32"/>
          <w:szCs w:val="32"/>
        </w:rPr>
        <w:t>断</w:t>
      </w:r>
      <w:r>
        <w:rPr>
          <w:rFonts w:hint="eastAsia" w:ascii="仿宋_GB2312" w:hAnsi="宋体" w:eastAsia="仿宋_GB2312"/>
          <w:b/>
          <w:color w:val="auto"/>
          <w:sz w:val="32"/>
          <w:szCs w:val="32"/>
          <w:highlight w:val="none"/>
        </w:rPr>
        <w:t>。</w:t>
      </w:r>
    </w:p>
    <w:p w14:paraId="252351E6">
      <w:pPr>
        <w:pStyle w:val="2"/>
        <w:spacing w:before="200" w:after="200" w:line="600" w:lineRule="exact"/>
        <w:rPr>
          <w:rFonts w:hint="eastAsia" w:ascii="仿宋_GB2312" w:eastAsia="仿宋_GB2312"/>
          <w:b w:val="0"/>
          <w:color w:val="auto"/>
          <w:sz w:val="32"/>
          <w:szCs w:val="32"/>
          <w:highlight w:val="none"/>
        </w:rPr>
      </w:pPr>
    </w:p>
    <w:p w14:paraId="66E5473A">
      <w:pPr>
        <w:rPr>
          <w:color w:val="auto"/>
          <w:highlight w:val="none"/>
        </w:rPr>
      </w:pPr>
    </w:p>
    <w:sectPr>
      <w:pgSz w:w="11906" w:h="16838"/>
      <w:pgMar w:top="1134" w:right="1417" w:bottom="1134" w:left="141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8EF2C1F-9376-403D-9231-C8922422B279}"/>
  </w:font>
  <w:font w:name="黑体">
    <w:panose1 w:val="02010609060101010101"/>
    <w:charset w:val="86"/>
    <w:family w:val="auto"/>
    <w:pitch w:val="default"/>
    <w:sig w:usb0="800002BF" w:usb1="38CF7CFA" w:usb2="00000016" w:usb3="00000000" w:csb0="00040001" w:csb1="00000000"/>
    <w:embedRegular r:id="rId2" w:fontKey="{5D5142AF-9AE4-456B-A83D-0F900D55B4A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9F481BA-F05A-4CFA-89B8-A8983B152DE8}"/>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MS Mincho">
    <w:panose1 w:val="02020609040205080304"/>
    <w:charset w:val="80"/>
    <w:family w:val="modern"/>
    <w:pitch w:val="default"/>
    <w:sig w:usb0="A00002BF" w:usb1="68C7FCFB" w:usb2="00000010" w:usb3="00000000" w:csb0="4002009F" w:csb1="DFD70000"/>
    <w:embedRegular r:id="rId4" w:fontKey="{72E98C5D-A275-475E-8A4D-075839123000}"/>
  </w:font>
  <w:font w:name="仿宋_GB2312">
    <w:panose1 w:val="02010609030101010101"/>
    <w:charset w:val="86"/>
    <w:family w:val="modern"/>
    <w:pitch w:val="default"/>
    <w:sig w:usb0="00000001" w:usb1="080E0000" w:usb2="00000000" w:usb3="00000000" w:csb0="00040000" w:csb1="00000000"/>
    <w:embedRegular r:id="rId5" w:fontKey="{3888AADE-CAE1-4422-AC67-EBD629BB0AEA}"/>
  </w:font>
  <w:font w:name="华文中宋">
    <w:panose1 w:val="02010600040101010101"/>
    <w:charset w:val="86"/>
    <w:family w:val="auto"/>
    <w:pitch w:val="default"/>
    <w:sig w:usb0="00000287" w:usb1="080F0000" w:usb2="00000000" w:usb3="00000000" w:csb0="0004009F" w:csb1="DFD70000"/>
    <w:embedRegular r:id="rId6" w:fontKey="{8813F15C-1BDE-4430-964D-89A1EAEE7628}"/>
  </w:font>
  <w:font w:name="仿宋">
    <w:panose1 w:val="02010609060101010101"/>
    <w:charset w:val="86"/>
    <w:family w:val="auto"/>
    <w:pitch w:val="default"/>
    <w:sig w:usb0="800002BF" w:usb1="38CF7CFA" w:usb2="00000016" w:usb3="00000000" w:csb0="00040001" w:csb1="00000000"/>
    <w:embedRegular r:id="rId7" w:fontKey="{97D3E5B4-532A-47B8-8887-5E9B734F4ED4}"/>
  </w:font>
  <w:font w:name="@仿宋_GB2312">
    <w:panose1 w:val="02010609030101010101"/>
    <w:charset w:val="86"/>
    <w:family w:val="modern"/>
    <w:pitch w:val="default"/>
    <w:sig w:usb0="00000001" w:usb1="080E0000" w:usb2="00000000" w:usb3="00000000" w:csb0="00040000" w:csb1="00000000"/>
    <w:embedRegular r:id="rId8" w:fontKey="{91C8F4CA-BBB9-4584-BB99-47E79F44F7A0}"/>
  </w:font>
  <w:font w:name="Cambria Math">
    <w:panose1 w:val="02040503050406030204"/>
    <w:charset w:val="00"/>
    <w:family w:val="roman"/>
    <w:pitch w:val="default"/>
    <w:sig w:usb0="E00006FF" w:usb1="420024FF" w:usb2="02000000" w:usb3="00000000" w:csb0="2000019F" w:csb1="00000000"/>
    <w:embedRegular r:id="rId9" w:fontKey="{851F23E6-A827-46E3-8DAA-C5670B2CB047}"/>
  </w:font>
  <w:font w:name="楷体">
    <w:panose1 w:val="02010609060101010101"/>
    <w:charset w:val="86"/>
    <w:family w:val="modern"/>
    <w:pitch w:val="default"/>
    <w:sig w:usb0="800002BF" w:usb1="38CF7CFA" w:usb2="00000016" w:usb3="00000000" w:csb0="00040001" w:csb1="00000000"/>
    <w:embedRegular r:id="rId10" w:fontKey="{CBDE5C37-BB4B-4D30-B9E2-F4737957F9AF}"/>
  </w:font>
  <w:font w:name="WPSEMBED12">
    <w:panose1 w:val="02020609040205080304"/>
    <w:charset w:val="80"/>
    <w:family w:val="auto"/>
    <w:pitch w:val="default"/>
    <w:sig w:usb0="A00002BF" w:usb1="68C7FCFB" w:usb2="00000010"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EC358">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B60DBE">
                          <w:pPr>
                            <w:pStyle w:val="1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0B60DBE">
                    <w:pPr>
                      <w:pStyle w:val="14"/>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AEE93">
    <w:pPr>
      <w:pStyle w:val="15"/>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3EC36">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93ACB6"/>
    <w:multiLevelType w:val="singleLevel"/>
    <w:tmpl w:val="BB93ACB6"/>
    <w:lvl w:ilvl="0" w:tentative="0">
      <w:start w:val="1"/>
      <w:numFmt w:val="chineseCounting"/>
      <w:suff w:val="nothing"/>
      <w:lvlText w:val="%1、"/>
      <w:lvlJc w:val="left"/>
      <w:pPr>
        <w:ind w:left="120" w:firstLine="0"/>
      </w:pPr>
      <w:rPr>
        <w:rFonts w:hint="eastAsia"/>
      </w:rPr>
    </w:lvl>
  </w:abstractNum>
  <w:abstractNum w:abstractNumId="1">
    <w:nsid w:val="BFD0D545"/>
    <w:multiLevelType w:val="singleLevel"/>
    <w:tmpl w:val="BFD0D545"/>
    <w:lvl w:ilvl="0" w:tentative="0">
      <w:start w:val="3"/>
      <w:numFmt w:val="decimal"/>
      <w:suff w:val="nothing"/>
      <w:lvlText w:val="（%1）"/>
      <w:lvlJc w:val="left"/>
    </w:lvl>
  </w:abstractNum>
  <w:abstractNum w:abstractNumId="2">
    <w:nsid w:val="2469195F"/>
    <w:multiLevelType w:val="multilevel"/>
    <w:tmpl w:val="2469195F"/>
    <w:lvl w:ilvl="0" w:tentative="0">
      <w:start w:val="1"/>
      <w:numFmt w:val="lowerLetter"/>
      <w:lvlText w:val="%1)"/>
      <w:lvlJc w:val="left"/>
      <w:pPr>
        <w:tabs>
          <w:tab w:val="left" w:pos="360"/>
        </w:tabs>
        <w:ind w:left="360" w:hanging="360"/>
      </w:pPr>
      <w:rPr>
        <w:rFonts w:hint="default"/>
        <w:b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3DA77DBC"/>
    <w:multiLevelType w:val="multilevel"/>
    <w:tmpl w:val="3DA77DBC"/>
    <w:lvl w:ilvl="0" w:tentative="0">
      <w:start w:val="1"/>
      <w:numFmt w:val="upperLetter"/>
      <w:lvlText w:val="%1、"/>
      <w:lvlJc w:val="left"/>
      <w:pPr>
        <w:ind w:left="360" w:hanging="360"/>
      </w:pPr>
      <w:rPr>
        <w:rFonts w:hint="default"/>
      </w:rPr>
    </w:lvl>
    <w:lvl w:ilvl="1" w:tentative="0">
      <w:start w:val="3"/>
      <w:numFmt w:val="japaneseCounting"/>
      <w:lvlText w:val="%2、"/>
      <w:lvlJc w:val="left"/>
      <w:pPr>
        <w:ind w:left="900" w:hanging="48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8F83098"/>
    <w:multiLevelType w:val="singleLevel"/>
    <w:tmpl w:val="48F83098"/>
    <w:lvl w:ilvl="0" w:tentative="0">
      <w:start w:val="1"/>
      <w:numFmt w:val="decimal"/>
      <w:suff w:val="nothing"/>
      <w:lvlText w:val="（%1）"/>
      <w:lvlJc w:val="left"/>
    </w:lvl>
  </w:abstractNum>
  <w:abstractNum w:abstractNumId="5">
    <w:nsid w:val="4BB24E58"/>
    <w:multiLevelType w:val="singleLevel"/>
    <w:tmpl w:val="4BB24E58"/>
    <w:lvl w:ilvl="0" w:tentative="0">
      <w:start w:val="1"/>
      <w:numFmt w:val="decimal"/>
      <w:suff w:val="space"/>
      <w:lvlText w:val="%1."/>
      <w:lvlJc w:val="left"/>
    </w:lvl>
  </w:abstractNum>
  <w:abstractNum w:abstractNumId="6">
    <w:nsid w:val="6FBF3256"/>
    <w:multiLevelType w:val="multilevel"/>
    <w:tmpl w:val="6FBF3256"/>
    <w:lvl w:ilvl="0" w:tentative="0">
      <w:start w:val="1"/>
      <w:numFmt w:val="japaneseCounting"/>
      <w:lvlText w:val="（%1）"/>
      <w:lvlJc w:val="left"/>
      <w:pPr>
        <w:ind w:left="900" w:hanging="9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6"/>
  </w:num>
  <w:num w:numId="4">
    <w:abstractNumId w:val="3"/>
  </w:num>
  <w:num w:numId="5">
    <w:abstractNumId w:val="2"/>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wNTc2ZWQzOTA0MzE0NWU1ZTZhZGFiZDdiZjMzYzcifQ=="/>
  </w:docVars>
  <w:rsids>
    <w:rsidRoot w:val="04C200ED"/>
    <w:rsid w:val="002108CA"/>
    <w:rsid w:val="00555609"/>
    <w:rsid w:val="00681EDA"/>
    <w:rsid w:val="00BC57CD"/>
    <w:rsid w:val="00DE5743"/>
    <w:rsid w:val="01227D26"/>
    <w:rsid w:val="013D4B60"/>
    <w:rsid w:val="013F77F9"/>
    <w:rsid w:val="017D31AE"/>
    <w:rsid w:val="01CF32DE"/>
    <w:rsid w:val="02180E2A"/>
    <w:rsid w:val="028B7948"/>
    <w:rsid w:val="02B072E7"/>
    <w:rsid w:val="034620B4"/>
    <w:rsid w:val="03676684"/>
    <w:rsid w:val="036902F4"/>
    <w:rsid w:val="03EA2651"/>
    <w:rsid w:val="041F21D1"/>
    <w:rsid w:val="047107B7"/>
    <w:rsid w:val="04965593"/>
    <w:rsid w:val="04C200ED"/>
    <w:rsid w:val="04C74740"/>
    <w:rsid w:val="04EA6DAD"/>
    <w:rsid w:val="052E656D"/>
    <w:rsid w:val="05445D91"/>
    <w:rsid w:val="057C377D"/>
    <w:rsid w:val="059127FB"/>
    <w:rsid w:val="05AA02EA"/>
    <w:rsid w:val="05BF6CDE"/>
    <w:rsid w:val="05C36FC4"/>
    <w:rsid w:val="05D62E8D"/>
    <w:rsid w:val="05FE23E4"/>
    <w:rsid w:val="060168C2"/>
    <w:rsid w:val="06372E72"/>
    <w:rsid w:val="064810A9"/>
    <w:rsid w:val="068D39FF"/>
    <w:rsid w:val="06A26B68"/>
    <w:rsid w:val="07395C28"/>
    <w:rsid w:val="08365E65"/>
    <w:rsid w:val="084B4405"/>
    <w:rsid w:val="08BC746A"/>
    <w:rsid w:val="08DC4C5E"/>
    <w:rsid w:val="092E5190"/>
    <w:rsid w:val="09375566"/>
    <w:rsid w:val="099941A3"/>
    <w:rsid w:val="09CB187F"/>
    <w:rsid w:val="09EE51E0"/>
    <w:rsid w:val="0A171CC6"/>
    <w:rsid w:val="0A4E22FB"/>
    <w:rsid w:val="0A4E7F3C"/>
    <w:rsid w:val="0A8464FD"/>
    <w:rsid w:val="0AEC4F01"/>
    <w:rsid w:val="0B112AF1"/>
    <w:rsid w:val="0B9338DE"/>
    <w:rsid w:val="0BC47C2C"/>
    <w:rsid w:val="0BE8391A"/>
    <w:rsid w:val="0BF978D5"/>
    <w:rsid w:val="0C7B4653"/>
    <w:rsid w:val="0C88602A"/>
    <w:rsid w:val="0C922E8C"/>
    <w:rsid w:val="0CFD1647"/>
    <w:rsid w:val="0D016552"/>
    <w:rsid w:val="0D2E1801"/>
    <w:rsid w:val="0D6339B7"/>
    <w:rsid w:val="0D887163"/>
    <w:rsid w:val="0DB5188A"/>
    <w:rsid w:val="0DFA2A11"/>
    <w:rsid w:val="0E197DBB"/>
    <w:rsid w:val="0E6D6359"/>
    <w:rsid w:val="0ED71A24"/>
    <w:rsid w:val="0F8370B3"/>
    <w:rsid w:val="0F8971C2"/>
    <w:rsid w:val="0FE642B6"/>
    <w:rsid w:val="0FEC7C3F"/>
    <w:rsid w:val="0FF46D31"/>
    <w:rsid w:val="10020573"/>
    <w:rsid w:val="102913E9"/>
    <w:rsid w:val="10B4026F"/>
    <w:rsid w:val="10B60B86"/>
    <w:rsid w:val="10DE353E"/>
    <w:rsid w:val="117A5014"/>
    <w:rsid w:val="11EE155E"/>
    <w:rsid w:val="12767ED2"/>
    <w:rsid w:val="128807D2"/>
    <w:rsid w:val="12BA7692"/>
    <w:rsid w:val="13174AE5"/>
    <w:rsid w:val="13196F8B"/>
    <w:rsid w:val="13217712"/>
    <w:rsid w:val="13533A71"/>
    <w:rsid w:val="1372527A"/>
    <w:rsid w:val="13986D70"/>
    <w:rsid w:val="13AF6B58"/>
    <w:rsid w:val="146D463D"/>
    <w:rsid w:val="14BA1BCC"/>
    <w:rsid w:val="152A6D51"/>
    <w:rsid w:val="152A7A45"/>
    <w:rsid w:val="154E6CD0"/>
    <w:rsid w:val="15796456"/>
    <w:rsid w:val="15B739BD"/>
    <w:rsid w:val="15BD1BCA"/>
    <w:rsid w:val="15E52C78"/>
    <w:rsid w:val="163A2906"/>
    <w:rsid w:val="163D313F"/>
    <w:rsid w:val="164125A5"/>
    <w:rsid w:val="16914904"/>
    <w:rsid w:val="16924BAE"/>
    <w:rsid w:val="16B8213B"/>
    <w:rsid w:val="170B2D8B"/>
    <w:rsid w:val="17112A73"/>
    <w:rsid w:val="1720040C"/>
    <w:rsid w:val="17614581"/>
    <w:rsid w:val="177E5132"/>
    <w:rsid w:val="178A6601"/>
    <w:rsid w:val="17EB193D"/>
    <w:rsid w:val="185D743E"/>
    <w:rsid w:val="18932E60"/>
    <w:rsid w:val="18C57A32"/>
    <w:rsid w:val="18F45F0D"/>
    <w:rsid w:val="19046B90"/>
    <w:rsid w:val="1A845156"/>
    <w:rsid w:val="1AA94BBC"/>
    <w:rsid w:val="1AEA05DF"/>
    <w:rsid w:val="1B487F31"/>
    <w:rsid w:val="1B787A2E"/>
    <w:rsid w:val="1BAE0ABF"/>
    <w:rsid w:val="1BBC5A4A"/>
    <w:rsid w:val="1BEE218B"/>
    <w:rsid w:val="1C146536"/>
    <w:rsid w:val="1C4C33DE"/>
    <w:rsid w:val="1C8A474A"/>
    <w:rsid w:val="1C9378D2"/>
    <w:rsid w:val="1D2642A2"/>
    <w:rsid w:val="1DA17203"/>
    <w:rsid w:val="1DB913DB"/>
    <w:rsid w:val="1DBA11F5"/>
    <w:rsid w:val="1DBE097F"/>
    <w:rsid w:val="1DE71C83"/>
    <w:rsid w:val="1EC27237"/>
    <w:rsid w:val="1EFC05DA"/>
    <w:rsid w:val="1F170346"/>
    <w:rsid w:val="1F9D2589"/>
    <w:rsid w:val="205B0D8E"/>
    <w:rsid w:val="20931C4F"/>
    <w:rsid w:val="20D63E58"/>
    <w:rsid w:val="210C5F98"/>
    <w:rsid w:val="214178FD"/>
    <w:rsid w:val="21A06893"/>
    <w:rsid w:val="21E32B5E"/>
    <w:rsid w:val="221A3813"/>
    <w:rsid w:val="22407BB4"/>
    <w:rsid w:val="22574EFE"/>
    <w:rsid w:val="22AC788E"/>
    <w:rsid w:val="22F07A78"/>
    <w:rsid w:val="231040B3"/>
    <w:rsid w:val="235002CB"/>
    <w:rsid w:val="23711FEF"/>
    <w:rsid w:val="23762DDD"/>
    <w:rsid w:val="23D22A8E"/>
    <w:rsid w:val="23EF693F"/>
    <w:rsid w:val="245E07C6"/>
    <w:rsid w:val="249D7540"/>
    <w:rsid w:val="24AB3C18"/>
    <w:rsid w:val="24AC1531"/>
    <w:rsid w:val="25021151"/>
    <w:rsid w:val="26164C47"/>
    <w:rsid w:val="26466C94"/>
    <w:rsid w:val="266235BB"/>
    <w:rsid w:val="26751385"/>
    <w:rsid w:val="26B26BA7"/>
    <w:rsid w:val="26E42110"/>
    <w:rsid w:val="26FB65F8"/>
    <w:rsid w:val="271E5FEA"/>
    <w:rsid w:val="273075E2"/>
    <w:rsid w:val="27457A1B"/>
    <w:rsid w:val="278E3654"/>
    <w:rsid w:val="27C92BBA"/>
    <w:rsid w:val="282A2D36"/>
    <w:rsid w:val="28642123"/>
    <w:rsid w:val="28757E8C"/>
    <w:rsid w:val="29023CB8"/>
    <w:rsid w:val="2940255A"/>
    <w:rsid w:val="298133BF"/>
    <w:rsid w:val="29A077CD"/>
    <w:rsid w:val="29E3739C"/>
    <w:rsid w:val="2A467D32"/>
    <w:rsid w:val="2ABF5E91"/>
    <w:rsid w:val="2ADF3CE2"/>
    <w:rsid w:val="2BB138D1"/>
    <w:rsid w:val="2BB4516F"/>
    <w:rsid w:val="2BE07D12"/>
    <w:rsid w:val="2C7F71B4"/>
    <w:rsid w:val="2C8D572B"/>
    <w:rsid w:val="2CB66D78"/>
    <w:rsid w:val="2D3A499E"/>
    <w:rsid w:val="2D3C3E3E"/>
    <w:rsid w:val="2D523989"/>
    <w:rsid w:val="2D6629C0"/>
    <w:rsid w:val="2D687FBF"/>
    <w:rsid w:val="2D6C4A4A"/>
    <w:rsid w:val="2E1F2D74"/>
    <w:rsid w:val="2EC8785D"/>
    <w:rsid w:val="2F3960B7"/>
    <w:rsid w:val="2FF93442"/>
    <w:rsid w:val="305807BF"/>
    <w:rsid w:val="30D64D73"/>
    <w:rsid w:val="3119625B"/>
    <w:rsid w:val="315471D8"/>
    <w:rsid w:val="31E700F2"/>
    <w:rsid w:val="31F500A1"/>
    <w:rsid w:val="320F1351"/>
    <w:rsid w:val="322873BD"/>
    <w:rsid w:val="322F554F"/>
    <w:rsid w:val="3276317E"/>
    <w:rsid w:val="32B55A55"/>
    <w:rsid w:val="32CC36BF"/>
    <w:rsid w:val="32E922D7"/>
    <w:rsid w:val="32EB76C8"/>
    <w:rsid w:val="3321133C"/>
    <w:rsid w:val="3351311A"/>
    <w:rsid w:val="33610A26"/>
    <w:rsid w:val="33D30C84"/>
    <w:rsid w:val="33FC5905"/>
    <w:rsid w:val="343D21A6"/>
    <w:rsid w:val="344C561A"/>
    <w:rsid w:val="35331788"/>
    <w:rsid w:val="35C74E92"/>
    <w:rsid w:val="35D10F79"/>
    <w:rsid w:val="35D1112E"/>
    <w:rsid w:val="35ED7BFB"/>
    <w:rsid w:val="360B5E16"/>
    <w:rsid w:val="36136D0A"/>
    <w:rsid w:val="361A4FF4"/>
    <w:rsid w:val="36B10C29"/>
    <w:rsid w:val="36D6243D"/>
    <w:rsid w:val="36DF7544"/>
    <w:rsid w:val="373D24BC"/>
    <w:rsid w:val="374E6478"/>
    <w:rsid w:val="37B2264E"/>
    <w:rsid w:val="37DC3A83"/>
    <w:rsid w:val="38014680"/>
    <w:rsid w:val="38267B9B"/>
    <w:rsid w:val="38697764"/>
    <w:rsid w:val="38926C41"/>
    <w:rsid w:val="392C0A3B"/>
    <w:rsid w:val="39424B74"/>
    <w:rsid w:val="39447B32"/>
    <w:rsid w:val="397C544B"/>
    <w:rsid w:val="39B527DE"/>
    <w:rsid w:val="3A3A2CE3"/>
    <w:rsid w:val="3A8F1281"/>
    <w:rsid w:val="3A900B55"/>
    <w:rsid w:val="3AA665E2"/>
    <w:rsid w:val="3AB42A96"/>
    <w:rsid w:val="3ADE5D64"/>
    <w:rsid w:val="3B46796D"/>
    <w:rsid w:val="3B61689A"/>
    <w:rsid w:val="3BA541E0"/>
    <w:rsid w:val="3BC27434"/>
    <w:rsid w:val="3C2D0D52"/>
    <w:rsid w:val="3C4D6CFE"/>
    <w:rsid w:val="3CF96B37"/>
    <w:rsid w:val="3D6168CB"/>
    <w:rsid w:val="3DA02E6A"/>
    <w:rsid w:val="3DD32C78"/>
    <w:rsid w:val="3E40209B"/>
    <w:rsid w:val="3E4156DC"/>
    <w:rsid w:val="3E612F34"/>
    <w:rsid w:val="3EC97461"/>
    <w:rsid w:val="3F30190B"/>
    <w:rsid w:val="3F3E5E4B"/>
    <w:rsid w:val="3FAF7CCF"/>
    <w:rsid w:val="40B90E06"/>
    <w:rsid w:val="40E345BE"/>
    <w:rsid w:val="41765F5A"/>
    <w:rsid w:val="417E204F"/>
    <w:rsid w:val="41A2478F"/>
    <w:rsid w:val="41A27AEC"/>
    <w:rsid w:val="421742D4"/>
    <w:rsid w:val="421F738E"/>
    <w:rsid w:val="42334F9F"/>
    <w:rsid w:val="428914FE"/>
    <w:rsid w:val="42B605BA"/>
    <w:rsid w:val="42F72B39"/>
    <w:rsid w:val="43300440"/>
    <w:rsid w:val="43543068"/>
    <w:rsid w:val="43944DF9"/>
    <w:rsid w:val="43C03ED8"/>
    <w:rsid w:val="43D63D74"/>
    <w:rsid w:val="442347E8"/>
    <w:rsid w:val="4469669F"/>
    <w:rsid w:val="451D65DD"/>
    <w:rsid w:val="453E18DA"/>
    <w:rsid w:val="459C6CDB"/>
    <w:rsid w:val="45D60A99"/>
    <w:rsid w:val="460C19D8"/>
    <w:rsid w:val="462E4906"/>
    <w:rsid w:val="46B34F8B"/>
    <w:rsid w:val="46BB09F6"/>
    <w:rsid w:val="46CE7B4A"/>
    <w:rsid w:val="46E26BDC"/>
    <w:rsid w:val="470276B2"/>
    <w:rsid w:val="47627777"/>
    <w:rsid w:val="47727F60"/>
    <w:rsid w:val="47E334DF"/>
    <w:rsid w:val="47F96828"/>
    <w:rsid w:val="486A6E89"/>
    <w:rsid w:val="486F44A0"/>
    <w:rsid w:val="48A06C6D"/>
    <w:rsid w:val="49060960"/>
    <w:rsid w:val="493059DD"/>
    <w:rsid w:val="49896373"/>
    <w:rsid w:val="498B5309"/>
    <w:rsid w:val="499E503D"/>
    <w:rsid w:val="49C32CF5"/>
    <w:rsid w:val="49FA5FEB"/>
    <w:rsid w:val="4A0F5F3A"/>
    <w:rsid w:val="4A464097"/>
    <w:rsid w:val="4B1A0571"/>
    <w:rsid w:val="4B4A7B6A"/>
    <w:rsid w:val="4B983D0E"/>
    <w:rsid w:val="4B9F509C"/>
    <w:rsid w:val="4BDC6CF8"/>
    <w:rsid w:val="4C137FAF"/>
    <w:rsid w:val="4C3677AE"/>
    <w:rsid w:val="4C465B56"/>
    <w:rsid w:val="4C59349D"/>
    <w:rsid w:val="4CA77FB6"/>
    <w:rsid w:val="4CAC6F1D"/>
    <w:rsid w:val="4CF66F3E"/>
    <w:rsid w:val="4D453A21"/>
    <w:rsid w:val="4D8C1117"/>
    <w:rsid w:val="4DFC0584"/>
    <w:rsid w:val="4E06542A"/>
    <w:rsid w:val="4E086F29"/>
    <w:rsid w:val="4E3221F7"/>
    <w:rsid w:val="4EAC1FAA"/>
    <w:rsid w:val="4F0C7024"/>
    <w:rsid w:val="4F380341"/>
    <w:rsid w:val="4F4A3571"/>
    <w:rsid w:val="4F9D5D96"/>
    <w:rsid w:val="50863BA3"/>
    <w:rsid w:val="510F3A86"/>
    <w:rsid w:val="51255A35"/>
    <w:rsid w:val="51A451BA"/>
    <w:rsid w:val="523753C9"/>
    <w:rsid w:val="52410C5B"/>
    <w:rsid w:val="52506A55"/>
    <w:rsid w:val="528A0854"/>
    <w:rsid w:val="52C84ED8"/>
    <w:rsid w:val="52CA29FF"/>
    <w:rsid w:val="52F30D1F"/>
    <w:rsid w:val="5313262A"/>
    <w:rsid w:val="53603363"/>
    <w:rsid w:val="53A17FF4"/>
    <w:rsid w:val="53BB4A3D"/>
    <w:rsid w:val="53BF536C"/>
    <w:rsid w:val="53F35F85"/>
    <w:rsid w:val="5429409D"/>
    <w:rsid w:val="545A24A8"/>
    <w:rsid w:val="547E7F44"/>
    <w:rsid w:val="54F2623D"/>
    <w:rsid w:val="552C2EC0"/>
    <w:rsid w:val="5546361F"/>
    <w:rsid w:val="555251D5"/>
    <w:rsid w:val="56243BF4"/>
    <w:rsid w:val="566A0BDF"/>
    <w:rsid w:val="567D5154"/>
    <w:rsid w:val="56C02A99"/>
    <w:rsid w:val="56D014DF"/>
    <w:rsid w:val="56FC7846"/>
    <w:rsid w:val="5740208C"/>
    <w:rsid w:val="5740490C"/>
    <w:rsid w:val="575536ED"/>
    <w:rsid w:val="57781E36"/>
    <w:rsid w:val="57A74D78"/>
    <w:rsid w:val="58237473"/>
    <w:rsid w:val="589870FB"/>
    <w:rsid w:val="593C217C"/>
    <w:rsid w:val="5999137D"/>
    <w:rsid w:val="5A236E98"/>
    <w:rsid w:val="5A2F1CE1"/>
    <w:rsid w:val="5A62218C"/>
    <w:rsid w:val="5ABF6EB9"/>
    <w:rsid w:val="5AC25AE6"/>
    <w:rsid w:val="5AC42E7D"/>
    <w:rsid w:val="5B062A42"/>
    <w:rsid w:val="5B286E5C"/>
    <w:rsid w:val="5B5E178C"/>
    <w:rsid w:val="5BBE0E30"/>
    <w:rsid w:val="5CBC1B3E"/>
    <w:rsid w:val="5CF52036"/>
    <w:rsid w:val="5D3025C8"/>
    <w:rsid w:val="5E50299B"/>
    <w:rsid w:val="5E8F7AC1"/>
    <w:rsid w:val="5E9B7945"/>
    <w:rsid w:val="5EF32416"/>
    <w:rsid w:val="5F592854"/>
    <w:rsid w:val="5F645E8C"/>
    <w:rsid w:val="5F8959EF"/>
    <w:rsid w:val="5FDC1FC3"/>
    <w:rsid w:val="6008663C"/>
    <w:rsid w:val="60310561"/>
    <w:rsid w:val="60651FB9"/>
    <w:rsid w:val="60D33F85"/>
    <w:rsid w:val="60D373D4"/>
    <w:rsid w:val="60DE326C"/>
    <w:rsid w:val="60F514A7"/>
    <w:rsid w:val="61B52ACC"/>
    <w:rsid w:val="61CA2A1B"/>
    <w:rsid w:val="61E433B1"/>
    <w:rsid w:val="61FF4ABA"/>
    <w:rsid w:val="623E0D13"/>
    <w:rsid w:val="62791D57"/>
    <w:rsid w:val="62D35345"/>
    <w:rsid w:val="62D653F0"/>
    <w:rsid w:val="62DC3CFB"/>
    <w:rsid w:val="63041BFB"/>
    <w:rsid w:val="631269A0"/>
    <w:rsid w:val="631E0807"/>
    <w:rsid w:val="64153CF6"/>
    <w:rsid w:val="64526CF8"/>
    <w:rsid w:val="6457430E"/>
    <w:rsid w:val="64662CCF"/>
    <w:rsid w:val="64857089"/>
    <w:rsid w:val="64D63485"/>
    <w:rsid w:val="65841133"/>
    <w:rsid w:val="65A87ECA"/>
    <w:rsid w:val="65B33BEC"/>
    <w:rsid w:val="66212E26"/>
    <w:rsid w:val="66321666"/>
    <w:rsid w:val="669E42B5"/>
    <w:rsid w:val="66E17CE4"/>
    <w:rsid w:val="671C3FB3"/>
    <w:rsid w:val="677130A1"/>
    <w:rsid w:val="677B1F86"/>
    <w:rsid w:val="67BA708E"/>
    <w:rsid w:val="67DA0982"/>
    <w:rsid w:val="681646F1"/>
    <w:rsid w:val="688D300E"/>
    <w:rsid w:val="68A11FFC"/>
    <w:rsid w:val="68B71DBC"/>
    <w:rsid w:val="68FE1A22"/>
    <w:rsid w:val="690E50A9"/>
    <w:rsid w:val="69181B01"/>
    <w:rsid w:val="694C1F68"/>
    <w:rsid w:val="69C77840"/>
    <w:rsid w:val="69DD18D6"/>
    <w:rsid w:val="6A1F745E"/>
    <w:rsid w:val="6A350C4E"/>
    <w:rsid w:val="6AB04778"/>
    <w:rsid w:val="6AC34955"/>
    <w:rsid w:val="6BCB0EE9"/>
    <w:rsid w:val="6C3659BD"/>
    <w:rsid w:val="6C727F37"/>
    <w:rsid w:val="6C787517"/>
    <w:rsid w:val="6CB322FE"/>
    <w:rsid w:val="6CC664D5"/>
    <w:rsid w:val="6CCD33BF"/>
    <w:rsid w:val="6D0D2A3E"/>
    <w:rsid w:val="6E533773"/>
    <w:rsid w:val="6E8A3EFB"/>
    <w:rsid w:val="6E9248C1"/>
    <w:rsid w:val="6ECE183D"/>
    <w:rsid w:val="6F423F95"/>
    <w:rsid w:val="6FCA1E38"/>
    <w:rsid w:val="6FD3454E"/>
    <w:rsid w:val="7046283D"/>
    <w:rsid w:val="71EF5B86"/>
    <w:rsid w:val="7306762B"/>
    <w:rsid w:val="730F7446"/>
    <w:rsid w:val="735F4F8D"/>
    <w:rsid w:val="73750E39"/>
    <w:rsid w:val="73A1609D"/>
    <w:rsid w:val="73B01345"/>
    <w:rsid w:val="73C31078"/>
    <w:rsid w:val="73F27BAF"/>
    <w:rsid w:val="73FA488D"/>
    <w:rsid w:val="74AE64EB"/>
    <w:rsid w:val="74D30172"/>
    <w:rsid w:val="75104791"/>
    <w:rsid w:val="75814D02"/>
    <w:rsid w:val="75E95B16"/>
    <w:rsid w:val="76022B63"/>
    <w:rsid w:val="766957AF"/>
    <w:rsid w:val="76BD6322"/>
    <w:rsid w:val="76CF3B75"/>
    <w:rsid w:val="7725204A"/>
    <w:rsid w:val="772750DB"/>
    <w:rsid w:val="77336515"/>
    <w:rsid w:val="77361AE6"/>
    <w:rsid w:val="775C1F10"/>
    <w:rsid w:val="78191BAF"/>
    <w:rsid w:val="785276AB"/>
    <w:rsid w:val="789B25C4"/>
    <w:rsid w:val="79336CA0"/>
    <w:rsid w:val="796055BB"/>
    <w:rsid w:val="79CD5799"/>
    <w:rsid w:val="79CE4C1B"/>
    <w:rsid w:val="79D7762B"/>
    <w:rsid w:val="79E00282"/>
    <w:rsid w:val="79F53F55"/>
    <w:rsid w:val="7ACD0560"/>
    <w:rsid w:val="7AD24979"/>
    <w:rsid w:val="7AD87AFF"/>
    <w:rsid w:val="7AE2097E"/>
    <w:rsid w:val="7AEA1E0E"/>
    <w:rsid w:val="7AFE508C"/>
    <w:rsid w:val="7B0363F4"/>
    <w:rsid w:val="7C2E56AF"/>
    <w:rsid w:val="7C5E4034"/>
    <w:rsid w:val="7D581EF7"/>
    <w:rsid w:val="7D8950E1"/>
    <w:rsid w:val="7D9817C8"/>
    <w:rsid w:val="7DCE51E9"/>
    <w:rsid w:val="7E1150D6"/>
    <w:rsid w:val="7E301A00"/>
    <w:rsid w:val="7E730D4D"/>
    <w:rsid w:val="7ED56104"/>
    <w:rsid w:val="7F743BAB"/>
    <w:rsid w:val="7F7E679B"/>
    <w:rsid w:val="7F8B59A9"/>
    <w:rsid w:val="7F9F50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39"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6" w:lineRule="auto"/>
      <w:outlineLvl w:val="0"/>
    </w:pPr>
    <w:rPr>
      <w:b/>
      <w:bCs/>
      <w:kern w:val="44"/>
      <w:sz w:val="44"/>
      <w:szCs w:val="44"/>
    </w:rPr>
  </w:style>
  <w:style w:type="paragraph" w:styleId="3">
    <w:name w:val="heading 2"/>
    <w:basedOn w:val="1"/>
    <w:next w:val="1"/>
    <w:qFormat/>
    <w:uiPriority w:val="0"/>
    <w:pPr>
      <w:keepNext/>
      <w:keepLines/>
      <w:spacing w:before="260" w:beforeLines="0" w:after="260" w:afterLines="0" w:line="415"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beforeLines="0" w:after="260" w:afterLines="0" w:line="415" w:lineRule="auto"/>
      <w:outlineLvl w:val="2"/>
    </w:pPr>
    <w:rPr>
      <w:b/>
      <w:bCs/>
      <w:kern w:val="0"/>
      <w:sz w:val="32"/>
      <w:szCs w:val="32"/>
    </w:rPr>
  </w:style>
  <w:style w:type="paragraph" w:styleId="5">
    <w:name w:val="heading 4"/>
    <w:basedOn w:val="1"/>
    <w:next w:val="6"/>
    <w:qFormat/>
    <w:uiPriority w:val="0"/>
    <w:pPr>
      <w:keepNext/>
      <w:keepLines/>
      <w:spacing w:before="280" w:beforeLines="0" w:after="290" w:afterLines="0" w:line="374" w:lineRule="auto"/>
      <w:outlineLvl w:val="3"/>
    </w:pPr>
    <w:rPr>
      <w:rFonts w:ascii="Arial" w:hAnsi="Arial" w:eastAsia="黑体"/>
      <w:b/>
      <w:bCs/>
      <w:sz w:val="28"/>
      <w:szCs w:val="28"/>
    </w:rPr>
  </w:style>
  <w:style w:type="paragraph" w:styleId="7">
    <w:name w:val="heading 5"/>
    <w:basedOn w:val="1"/>
    <w:next w:val="1"/>
    <w:qFormat/>
    <w:uiPriority w:val="0"/>
    <w:pPr>
      <w:keepNext/>
      <w:keepLines/>
      <w:spacing w:before="280" w:beforeLines="0" w:after="290" w:afterLines="0" w:line="376" w:lineRule="auto"/>
      <w:outlineLvl w:val="4"/>
    </w:pPr>
    <w:rPr>
      <w:b/>
      <w:bCs/>
      <w:sz w:val="28"/>
      <w:szCs w:val="28"/>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firstLineChars="200"/>
    </w:pPr>
  </w:style>
  <w:style w:type="paragraph" w:styleId="8">
    <w:name w:val="toc 7"/>
    <w:basedOn w:val="1"/>
    <w:next w:val="1"/>
    <w:qFormat/>
    <w:uiPriority w:val="39"/>
    <w:pPr>
      <w:ind w:left="1260"/>
      <w:jc w:val="left"/>
    </w:pPr>
    <w:rPr>
      <w:sz w:val="18"/>
      <w:szCs w:val="18"/>
    </w:rPr>
  </w:style>
  <w:style w:type="paragraph" w:styleId="9">
    <w:name w:val="annotation text"/>
    <w:basedOn w:val="1"/>
    <w:qFormat/>
    <w:uiPriority w:val="0"/>
    <w:pPr>
      <w:jc w:val="left"/>
    </w:pPr>
  </w:style>
  <w:style w:type="paragraph" w:styleId="10">
    <w:name w:val="Body Text 3"/>
    <w:basedOn w:val="1"/>
    <w:qFormat/>
    <w:uiPriority w:val="0"/>
    <w:rPr>
      <w:rFonts w:ascii="宋体"/>
      <w:sz w:val="24"/>
      <w:szCs w:val="20"/>
    </w:rPr>
  </w:style>
  <w:style w:type="paragraph" w:styleId="11">
    <w:name w:val="Body Text"/>
    <w:basedOn w:val="1"/>
    <w:qFormat/>
    <w:uiPriority w:val="0"/>
    <w:pPr>
      <w:spacing w:after="120" w:afterLines="0"/>
    </w:pPr>
  </w:style>
  <w:style w:type="paragraph" w:styleId="12">
    <w:name w:val="Body Text Indent"/>
    <w:basedOn w:val="1"/>
    <w:next w:val="13"/>
    <w:qFormat/>
    <w:uiPriority w:val="99"/>
    <w:pPr>
      <w:spacing w:after="120" w:afterLines="0"/>
      <w:ind w:left="420" w:leftChars="200"/>
    </w:pPr>
  </w:style>
  <w:style w:type="paragraph" w:styleId="13">
    <w:name w:val="envelope return"/>
    <w:basedOn w:val="1"/>
    <w:next w:val="8"/>
    <w:qFormat/>
    <w:uiPriority w:val="0"/>
    <w:pPr>
      <w:snapToGrid w:val="0"/>
    </w:pPr>
    <w:rPr>
      <w:rFonts w:ascii="Arial" w:hAnsi="Arial"/>
    </w:rPr>
  </w:style>
  <w:style w:type="paragraph" w:styleId="14">
    <w:name w:val="footer"/>
    <w:basedOn w:val="1"/>
    <w:qFormat/>
    <w:uiPriority w:val="99"/>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spacing w:before="120" w:beforeLines="0" w:after="120" w:afterLines="0"/>
      <w:jc w:val="left"/>
    </w:pPr>
    <w:rPr>
      <w:b/>
      <w:bCs/>
      <w:caps/>
      <w:sz w:val="20"/>
      <w:szCs w:val="20"/>
    </w:rPr>
  </w:style>
  <w:style w:type="paragraph" w:styleId="17">
    <w:name w:val="footnote text"/>
    <w:basedOn w:val="1"/>
    <w:qFormat/>
    <w:uiPriority w:val="0"/>
    <w:rPr>
      <w:sz w:val="20"/>
      <w:szCs w:val="20"/>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9">
    <w:name w:val="Body Text First Indent 2"/>
    <w:basedOn w:val="12"/>
    <w:next w:val="1"/>
    <w:qFormat/>
    <w:uiPriority w:val="99"/>
    <w:pPr>
      <w:ind w:firstLine="420" w:firstLineChars="2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bCs/>
    </w:rPr>
  </w:style>
  <w:style w:type="character" w:styleId="24">
    <w:name w:val="FollowedHyperlink"/>
    <w:basedOn w:val="22"/>
    <w:qFormat/>
    <w:uiPriority w:val="0"/>
    <w:rPr>
      <w:color w:val="5C5C5C"/>
      <w:u w:val="none"/>
    </w:rPr>
  </w:style>
  <w:style w:type="character" w:styleId="25">
    <w:name w:val="Emphasis"/>
    <w:basedOn w:val="22"/>
    <w:qFormat/>
    <w:uiPriority w:val="0"/>
    <w:rPr>
      <w:b/>
      <w:bCs/>
    </w:rPr>
  </w:style>
  <w:style w:type="character" w:styleId="26">
    <w:name w:val="HTML Definition"/>
    <w:basedOn w:val="22"/>
    <w:qFormat/>
    <w:uiPriority w:val="0"/>
  </w:style>
  <w:style w:type="character" w:styleId="27">
    <w:name w:val="HTML Typewriter"/>
    <w:basedOn w:val="22"/>
    <w:qFormat/>
    <w:uiPriority w:val="0"/>
    <w:rPr>
      <w:rFonts w:hint="default" w:ascii="monospace" w:hAnsi="monospace" w:eastAsia="monospace" w:cs="monospace"/>
      <w:sz w:val="20"/>
    </w:rPr>
  </w:style>
  <w:style w:type="character" w:styleId="28">
    <w:name w:val="HTML Acronym"/>
    <w:basedOn w:val="22"/>
    <w:qFormat/>
    <w:uiPriority w:val="0"/>
    <w:rPr>
      <w:vanish/>
    </w:rPr>
  </w:style>
  <w:style w:type="character" w:styleId="29">
    <w:name w:val="HTML Variable"/>
    <w:basedOn w:val="22"/>
    <w:qFormat/>
    <w:uiPriority w:val="0"/>
    <w:rPr>
      <w:bdr w:val="single" w:color="EBEBEB" w:sz="6" w:space="0"/>
      <w:shd w:val="clear" w:fill="FFFFFF"/>
    </w:rPr>
  </w:style>
  <w:style w:type="character" w:styleId="30">
    <w:name w:val="Hyperlink"/>
    <w:qFormat/>
    <w:uiPriority w:val="99"/>
    <w:rPr>
      <w:color w:val="333333"/>
      <w:u w:val="none"/>
    </w:rPr>
  </w:style>
  <w:style w:type="character" w:styleId="31">
    <w:name w:val="HTML Code"/>
    <w:basedOn w:val="22"/>
    <w:qFormat/>
    <w:uiPriority w:val="0"/>
    <w:rPr>
      <w:rFonts w:ascii="monospace" w:hAnsi="monospace" w:eastAsia="monospace" w:cs="monospace"/>
      <w:sz w:val="20"/>
    </w:rPr>
  </w:style>
  <w:style w:type="character" w:styleId="32">
    <w:name w:val="HTML Cite"/>
    <w:basedOn w:val="22"/>
    <w:qFormat/>
    <w:uiPriority w:val="0"/>
  </w:style>
  <w:style w:type="character" w:styleId="33">
    <w:name w:val="footnote reference"/>
    <w:qFormat/>
    <w:uiPriority w:val="0"/>
    <w:rPr>
      <w:vertAlign w:val="superscript"/>
    </w:rPr>
  </w:style>
  <w:style w:type="character" w:styleId="34">
    <w:name w:val="HTML Keyboard"/>
    <w:basedOn w:val="22"/>
    <w:qFormat/>
    <w:uiPriority w:val="0"/>
    <w:rPr>
      <w:rFonts w:hint="default" w:ascii="monospace" w:hAnsi="monospace" w:eastAsia="monospace" w:cs="monospace"/>
      <w:sz w:val="20"/>
    </w:rPr>
  </w:style>
  <w:style w:type="character" w:styleId="35">
    <w:name w:val="HTML Sample"/>
    <w:basedOn w:val="22"/>
    <w:qFormat/>
    <w:uiPriority w:val="0"/>
    <w:rPr>
      <w:rFonts w:hint="default" w:ascii="monospace" w:hAnsi="monospace" w:eastAsia="monospace" w:cs="monospace"/>
      <w:sz w:val="21"/>
      <w:szCs w:val="21"/>
    </w:rPr>
  </w:style>
  <w:style w:type="paragraph" w:customStyle="1" w:styleId="36">
    <w:name w:val="_Style 11"/>
    <w:basedOn w:val="2"/>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37">
    <w:name w:val="p0"/>
    <w:basedOn w:val="1"/>
    <w:qFormat/>
    <w:uiPriority w:val="0"/>
    <w:pPr>
      <w:widowControl/>
    </w:pPr>
    <w:rPr>
      <w:kern w:val="0"/>
      <w:szCs w:val="21"/>
    </w:rPr>
  </w:style>
  <w:style w:type="paragraph" w:customStyle="1" w:styleId="38">
    <w:name w:val="Table Paragraph"/>
    <w:basedOn w:val="1"/>
    <w:qFormat/>
    <w:uiPriority w:val="1"/>
    <w:rPr>
      <w:rFonts w:ascii="宋体" w:hAnsi="宋体" w:eastAsia="宋体" w:cs="宋体"/>
      <w:lang w:val="zh-CN" w:eastAsia="zh-CN" w:bidi="zh-CN"/>
    </w:rPr>
  </w:style>
  <w:style w:type="paragraph" w:customStyle="1" w:styleId="39">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1">
    <w:name w:val="列出段落1"/>
    <w:basedOn w:val="1"/>
    <w:qFormat/>
    <w:uiPriority w:val="34"/>
    <w:pPr>
      <w:ind w:firstLine="420" w:firstLineChars="200"/>
    </w:pPr>
  </w:style>
  <w:style w:type="paragraph" w:customStyle="1" w:styleId="42">
    <w:name w:val="Table Text"/>
    <w:basedOn w:val="1"/>
    <w:semiHidden/>
    <w:qFormat/>
    <w:uiPriority w:val="0"/>
    <w:rPr>
      <w:rFonts w:ascii="宋体" w:hAnsi="宋体" w:eastAsia="宋体" w:cs="宋体"/>
      <w:sz w:val="18"/>
      <w:szCs w:val="18"/>
      <w:lang w:val="en-US" w:eastAsia="en-US" w:bidi="ar-SA"/>
    </w:rPr>
  </w:style>
  <w:style w:type="table" w:customStyle="1" w:styleId="43">
    <w:name w:val="Table Normal"/>
    <w:unhideWhenUsed/>
    <w:qFormat/>
    <w:uiPriority w:val="0"/>
    <w:tblPr>
      <w:tblCellMar>
        <w:top w:w="0" w:type="dxa"/>
        <w:left w:w="0" w:type="dxa"/>
        <w:bottom w:w="0" w:type="dxa"/>
        <w:right w:w="0" w:type="dxa"/>
      </w:tblCellMar>
    </w:tblPr>
  </w:style>
  <w:style w:type="paragraph" w:customStyle="1" w:styleId="44">
    <w:name w:val="节标题"/>
    <w:basedOn w:val="1"/>
    <w:next w:val="1"/>
    <w:qFormat/>
    <w:uiPriority w:val="0"/>
    <w:pPr>
      <w:widowControl/>
      <w:spacing w:line="289" w:lineRule="atLeast"/>
      <w:jc w:val="center"/>
      <w:textAlignment w:val="baseline"/>
    </w:pPr>
    <w:rPr>
      <w:color w:val="000000"/>
      <w:kern w:val="0"/>
      <w:sz w:val="28"/>
      <w:szCs w:val="20"/>
      <w:u w:val="none" w:color="000000"/>
    </w:rPr>
  </w:style>
  <w:style w:type="paragraph" w:customStyle="1" w:styleId="45">
    <w:name w:val="List Paragraph"/>
    <w:basedOn w:val="1"/>
    <w:qFormat/>
    <w:uiPriority w:val="1"/>
    <w:pPr>
      <w:ind w:left="354" w:firstLine="420"/>
    </w:pPr>
    <w:rPr>
      <w:rFonts w:ascii="宋体" w:hAnsi="宋体" w:eastAsia="宋体" w:cs="宋体"/>
      <w:lang w:val="zh-CN" w:eastAsia="zh-CN" w:bidi="zh-CN"/>
    </w:rPr>
  </w:style>
  <w:style w:type="character" w:customStyle="1" w:styleId="46">
    <w:name w:val="hover"/>
    <w:basedOn w:val="22"/>
    <w:qFormat/>
    <w:uiPriority w:val="0"/>
  </w:style>
  <w:style w:type="character" w:customStyle="1" w:styleId="47">
    <w:name w:val="hover1"/>
    <w:basedOn w:val="22"/>
    <w:qFormat/>
    <w:uiPriority w:val="0"/>
    <w:rPr>
      <w:color w:val="2590EB"/>
    </w:rPr>
  </w:style>
  <w:style w:type="character" w:customStyle="1" w:styleId="48">
    <w:name w:val="hover2"/>
    <w:basedOn w:val="22"/>
    <w:qFormat/>
    <w:uiPriority w:val="0"/>
    <w:rPr>
      <w:color w:val="2590EB"/>
    </w:rPr>
  </w:style>
  <w:style w:type="character" w:customStyle="1" w:styleId="49">
    <w:name w:val="hover3"/>
    <w:basedOn w:val="22"/>
    <w:qFormat/>
    <w:uiPriority w:val="0"/>
    <w:rPr>
      <w:color w:val="2590EB"/>
      <w:shd w:val="clear" w:fill="E9F4FD"/>
    </w:rPr>
  </w:style>
  <w:style w:type="character" w:customStyle="1" w:styleId="50">
    <w:name w:val="mini-outputtext1"/>
    <w:basedOn w:val="22"/>
    <w:qFormat/>
    <w:uiPriority w:val="0"/>
  </w:style>
  <w:style w:type="character" w:customStyle="1" w:styleId="51">
    <w:name w:val="hover4"/>
    <w:basedOn w:val="22"/>
    <w:qFormat/>
    <w:uiPriority w:val="0"/>
  </w:style>
  <w:style w:type="character" w:customStyle="1" w:styleId="52">
    <w:name w:val="first-child"/>
    <w:basedOn w:val="22"/>
    <w:qFormat/>
    <w:uiPriority w:val="0"/>
  </w:style>
  <w:style w:type="character" w:customStyle="1" w:styleId="53">
    <w:name w:val="layui-this"/>
    <w:basedOn w:val="22"/>
    <w:qFormat/>
    <w:uiPriority w:val="0"/>
    <w:rPr>
      <w:bdr w:val="single" w:color="EEEEEE" w:sz="6" w:space="0"/>
      <w:shd w:val="clear" w:fill="FFFFFF"/>
    </w:rPr>
  </w:style>
  <w:style w:type="character" w:customStyle="1" w:styleId="54">
    <w:name w:val="font21"/>
    <w:basedOn w:val="22"/>
    <w:qFormat/>
    <w:uiPriority w:val="0"/>
    <w:rPr>
      <w:rFonts w:hint="default" w:ascii="Times New Roman" w:hAnsi="Times New Roman" w:cs="Times New Roman"/>
      <w:color w:val="000000"/>
      <w:sz w:val="22"/>
      <w:szCs w:val="22"/>
      <w:u w:val="none"/>
    </w:rPr>
  </w:style>
  <w:style w:type="character" w:customStyle="1" w:styleId="55">
    <w:name w:val="font11"/>
    <w:basedOn w:val="22"/>
    <w:qFormat/>
    <w:uiPriority w:val="0"/>
    <w:rPr>
      <w:rFonts w:hint="eastAsia" w:ascii="宋体" w:hAnsi="宋体" w:eastAsia="宋体" w:cs="宋体"/>
      <w:color w:val="000000"/>
      <w:sz w:val="22"/>
      <w:szCs w:val="22"/>
      <w:u w:val="none"/>
    </w:rPr>
  </w:style>
  <w:style w:type="paragraph" w:customStyle="1" w:styleId="56">
    <w:name w:val="范本-表格-宋体-五号-两端对齐"/>
    <w:basedOn w:val="1"/>
    <w:qFormat/>
    <w:uiPriority w:val="0"/>
    <w:pPr>
      <w:adjustRightInd w:val="0"/>
      <w:spacing w:line="400" w:lineRule="exact"/>
    </w:pPr>
    <w:rPr>
      <w:rFonts w:ascii="Calibri" w:hAnsi="Calibri" w:eastAsia="宋体" w:cs="Times New Roman"/>
      <w:szCs w:val="21"/>
    </w:rPr>
  </w:style>
  <w:style w:type="character" w:customStyle="1" w:styleId="57">
    <w:name w:val="font01"/>
    <w:basedOn w:val="22"/>
    <w:qFormat/>
    <w:uiPriority w:val="0"/>
    <w:rPr>
      <w:rFonts w:hint="eastAsia" w:ascii="宋体" w:hAnsi="宋体" w:eastAsia="宋体" w:cs="宋体"/>
      <w:color w:val="000000"/>
      <w:sz w:val="22"/>
      <w:szCs w:val="22"/>
      <w:u w:val="none"/>
    </w:rPr>
  </w:style>
  <w:style w:type="character" w:customStyle="1" w:styleId="58">
    <w:name w:val="font51"/>
    <w:basedOn w:val="22"/>
    <w:qFormat/>
    <w:uiPriority w:val="0"/>
    <w:rPr>
      <w:rFonts w:ascii="Calibri" w:hAnsi="Calibri" w:cs="Calibri"/>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203</Pages>
  <Words>19354</Words>
  <Characters>20992</Characters>
  <Lines>0</Lines>
  <Paragraphs>0</Paragraphs>
  <TotalTime>0</TotalTime>
  <ScaleCrop>false</ScaleCrop>
  <LinksUpToDate>false</LinksUpToDate>
  <CharactersWithSpaces>21463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2025-06-04T11:06:00Z</dcterms:created>
  <dc:creator>椰语百合</dc:creator>
  <cp:lastModifiedBy>韦韦</cp:lastModifiedBy>
  <cp:lastPrinted>2025-06-10T08:46:00Z</cp:lastPrinted>
  <dcterms:modified xsi:type="dcterms:W3CDTF">2026-03-13T08:51:54Z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645FE9A8C26E4A6DB93B0C06CA88E7AE_13</vt:lpwstr>
  </property>
  <property fmtid="{D5CDD505-2E9C-101B-9397-08002B2CF9AE}" pid="4" name="KSOTemplateDocerSaveRecord">
    <vt:lpwstr>eyJoZGlkIjoiZmQ5MGI3YTdkMjVkZTZjM2ZjZTQ5YjMxYTJjZjRlOWEiLCJ1c2VySWQiOiIzNjE4MjQ5In0=</vt:lpwstr>
  </property>
</Properties>
</file>