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C6ABB4">
      <w:pPr>
        <w:keepNext w:val="0"/>
        <w:keepLines w:val="0"/>
        <w:pageBreakBefore w:val="0"/>
        <w:widowControl w:val="0"/>
        <w:tabs>
          <w:tab w:val="left" w:pos="8100"/>
          <w:tab w:val="left" w:pos="8280"/>
          <w:tab w:val="left" w:pos="8640"/>
        </w:tabs>
        <w:kinsoku/>
        <w:wordWrap/>
        <w:overflowPunct/>
        <w:topLinePunct w:val="0"/>
        <w:autoSpaceDE w:val="0"/>
        <w:autoSpaceDN w:val="0"/>
        <w:bidi w:val="0"/>
        <w:adjustRightInd w:val="0"/>
        <w:snapToGrid/>
        <w:spacing w:line="240" w:lineRule="auto"/>
        <w:jc w:val="both"/>
        <w:textAlignment w:val="auto"/>
        <w:outlineLvl w:val="9"/>
        <w:rPr>
          <w:rFonts w:hint="eastAsia" w:ascii="黑体" w:hAnsi="宋体" w:eastAsia="黑体"/>
          <w:b/>
          <w:sz w:val="32"/>
          <w:szCs w:val="32"/>
          <w:u w:val="none"/>
          <w:lang w:eastAsia="zh-CN"/>
        </w:rPr>
      </w:pPr>
    </w:p>
    <w:p w14:paraId="6A1378A2">
      <w:pPr>
        <w:keepNext w:val="0"/>
        <w:keepLines w:val="0"/>
        <w:pageBreakBefore w:val="0"/>
        <w:widowControl w:val="0"/>
        <w:tabs>
          <w:tab w:val="left" w:pos="8100"/>
          <w:tab w:val="left" w:pos="8280"/>
          <w:tab w:val="left" w:pos="8640"/>
        </w:tabs>
        <w:kinsoku/>
        <w:wordWrap/>
        <w:overflowPunct/>
        <w:topLinePunct w:val="0"/>
        <w:autoSpaceDE w:val="0"/>
        <w:autoSpaceDN w:val="0"/>
        <w:bidi w:val="0"/>
        <w:adjustRightInd w:val="0"/>
        <w:snapToGrid/>
        <w:spacing w:line="460" w:lineRule="exact"/>
        <w:jc w:val="center"/>
        <w:textAlignment w:val="auto"/>
        <w:outlineLvl w:val="9"/>
        <w:rPr>
          <w:rFonts w:hint="eastAsia" w:ascii="黑体" w:hAnsi="宋体" w:eastAsia="黑体" w:cs="Times New Roman"/>
          <w:b/>
          <w:sz w:val="32"/>
          <w:szCs w:val="32"/>
          <w:lang w:val="en-US" w:eastAsia="zh-CN"/>
        </w:rPr>
      </w:pPr>
      <w:r>
        <w:rPr>
          <w:rFonts w:hint="eastAsia" w:ascii="黑体" w:hAnsi="宋体" w:eastAsia="黑体" w:cs="Times New Roman"/>
          <w:b/>
          <w:sz w:val="32"/>
          <w:szCs w:val="32"/>
          <w:lang w:val="en-US" w:eastAsia="zh-CN"/>
        </w:rPr>
        <w:t>滁州市宝山学校围墙栅栏等更换采购安装项目</w:t>
      </w:r>
    </w:p>
    <w:p w14:paraId="156198B4">
      <w:pPr>
        <w:keepNext w:val="0"/>
        <w:keepLines w:val="0"/>
        <w:pageBreakBefore w:val="0"/>
        <w:widowControl w:val="0"/>
        <w:tabs>
          <w:tab w:val="left" w:pos="8100"/>
          <w:tab w:val="left" w:pos="8280"/>
          <w:tab w:val="left" w:pos="8640"/>
        </w:tabs>
        <w:kinsoku/>
        <w:wordWrap/>
        <w:overflowPunct/>
        <w:topLinePunct w:val="0"/>
        <w:autoSpaceDE w:val="0"/>
        <w:autoSpaceDN w:val="0"/>
        <w:bidi w:val="0"/>
        <w:adjustRightInd w:val="0"/>
        <w:snapToGrid/>
        <w:spacing w:line="460" w:lineRule="exact"/>
        <w:jc w:val="center"/>
        <w:textAlignment w:val="auto"/>
        <w:outlineLvl w:val="9"/>
        <w:rPr>
          <w:rFonts w:hint="eastAsia" w:ascii="黑体" w:hAnsi="宋体" w:eastAsia="黑体"/>
          <w:b/>
          <w:sz w:val="32"/>
          <w:szCs w:val="32"/>
        </w:rPr>
      </w:pPr>
      <w:r>
        <w:rPr>
          <w:rFonts w:hint="eastAsia" w:ascii="黑体" w:hAnsi="宋体" w:eastAsia="黑体"/>
          <w:b/>
          <w:sz w:val="32"/>
          <w:szCs w:val="32"/>
          <w:lang w:val="en-US" w:eastAsia="zh-CN"/>
        </w:rPr>
        <w:t>清单</w:t>
      </w:r>
      <w:r>
        <w:rPr>
          <w:rFonts w:hint="eastAsia" w:ascii="黑体" w:hAnsi="宋体" w:eastAsia="黑体"/>
          <w:b/>
          <w:sz w:val="32"/>
          <w:szCs w:val="32"/>
        </w:rPr>
        <w:t>编制说明</w:t>
      </w:r>
    </w:p>
    <w:p w14:paraId="3E71DDA4">
      <w:pPr>
        <w:numPr>
          <w:ilvl w:val="0"/>
          <w:numId w:val="1"/>
        </w:numPr>
        <w:spacing w:line="360" w:lineRule="auto"/>
        <w:rPr>
          <w:rFonts w:hint="eastAsia" w:ascii="宋体" w:hAnsi="宋体"/>
          <w:b/>
          <w:sz w:val="24"/>
          <w:szCs w:val="24"/>
        </w:rPr>
      </w:pPr>
      <w:r>
        <w:rPr>
          <w:rFonts w:hint="eastAsia" w:ascii="宋体" w:hAnsi="宋体"/>
          <w:b/>
          <w:sz w:val="24"/>
          <w:szCs w:val="24"/>
        </w:rPr>
        <w:t>工程概况：</w:t>
      </w:r>
    </w:p>
    <w:p w14:paraId="0A144430">
      <w:pPr>
        <w:keepNext w:val="0"/>
        <w:keepLines w:val="0"/>
        <w:pageBreakBefore w:val="0"/>
        <w:numPr>
          <w:ilvl w:val="0"/>
          <w:numId w:val="0"/>
        </w:numPr>
        <w:kinsoku/>
        <w:wordWrap/>
        <w:overflowPunct/>
        <w:topLinePunct w:val="0"/>
        <w:autoSpaceDE/>
        <w:autoSpaceDN/>
        <w:bidi w:val="0"/>
        <w:adjustRightInd/>
        <w:snapToGrid/>
        <w:spacing w:line="400" w:lineRule="exact"/>
        <w:ind w:firstLine="723" w:firstLineChars="300"/>
        <w:textAlignment w:val="auto"/>
        <w:rPr>
          <w:rFonts w:hint="eastAsia" w:ascii="宋体" w:hAnsi="宋体" w:eastAsia="宋体" w:cs="Times New Roman"/>
          <w:b w:val="0"/>
          <w:bCs/>
          <w:sz w:val="24"/>
          <w:szCs w:val="24"/>
          <w:lang w:val="zh-CN" w:eastAsia="zh-CN"/>
        </w:rPr>
      </w:pPr>
      <w:r>
        <w:rPr>
          <w:rFonts w:hint="eastAsia" w:ascii="宋体" w:hAnsi="宋体"/>
          <w:b/>
          <w:sz w:val="24"/>
          <w:szCs w:val="24"/>
          <w:lang w:val="en-US" w:eastAsia="zh-CN"/>
        </w:rPr>
        <w:t xml:space="preserve"> </w:t>
      </w:r>
      <w:r>
        <w:rPr>
          <w:rFonts w:hint="eastAsia" w:ascii="宋体" w:hAnsi="宋体"/>
          <w:b w:val="0"/>
          <w:bCs/>
          <w:sz w:val="24"/>
          <w:szCs w:val="24"/>
          <w:lang w:val="en-US" w:eastAsia="zh-CN"/>
        </w:rPr>
        <w:t>工程名称：滁州市宝山学校围墙栅栏等更换采购安装项目</w:t>
      </w:r>
      <w:bookmarkStart w:id="0" w:name="_GoBack"/>
      <w:bookmarkEnd w:id="0"/>
      <w:r>
        <w:rPr>
          <w:rFonts w:hint="eastAsia" w:ascii="宋体" w:hAnsi="宋体" w:eastAsia="宋体" w:cs="Times New Roman"/>
          <w:b w:val="0"/>
          <w:bCs/>
          <w:sz w:val="24"/>
          <w:szCs w:val="24"/>
          <w:lang w:val="zh-CN" w:eastAsia="zh-CN"/>
        </w:rPr>
        <w:t>位于滁州市</w:t>
      </w:r>
      <w:r>
        <w:rPr>
          <w:rFonts w:hint="eastAsia" w:ascii="宋体" w:hAnsi="宋体"/>
          <w:b w:val="0"/>
          <w:bCs/>
          <w:sz w:val="24"/>
          <w:szCs w:val="24"/>
          <w:lang w:val="en-US" w:eastAsia="zh-CN"/>
        </w:rPr>
        <w:t>宝山学校</w:t>
      </w:r>
      <w:r>
        <w:rPr>
          <w:rFonts w:hint="eastAsia" w:ascii="宋体" w:hAnsi="宋体" w:eastAsia="宋体" w:cs="Times New Roman"/>
          <w:b w:val="0"/>
          <w:bCs/>
          <w:sz w:val="24"/>
          <w:szCs w:val="24"/>
          <w:lang w:val="zh-CN" w:eastAsia="zh-CN"/>
        </w:rPr>
        <w:t>。</w:t>
      </w:r>
    </w:p>
    <w:p w14:paraId="65CCA324">
      <w:pPr>
        <w:keepNext w:val="0"/>
        <w:keepLines w:val="0"/>
        <w:pageBreakBefore w:val="0"/>
        <w:numPr>
          <w:ilvl w:val="0"/>
          <w:numId w:val="0"/>
        </w:numPr>
        <w:kinsoku/>
        <w:wordWrap/>
        <w:overflowPunct/>
        <w:topLinePunct w:val="0"/>
        <w:autoSpaceDE/>
        <w:autoSpaceDN/>
        <w:bidi w:val="0"/>
        <w:adjustRightInd/>
        <w:snapToGrid/>
        <w:spacing w:line="400" w:lineRule="exact"/>
        <w:ind w:firstLine="720" w:firstLineChars="300"/>
        <w:textAlignment w:val="auto"/>
        <w:rPr>
          <w:rFonts w:hint="eastAsia" w:ascii="宋体" w:hAnsi="宋体" w:eastAsia="宋体" w:cs="Times New Roman"/>
          <w:b w:val="0"/>
          <w:bCs/>
          <w:sz w:val="24"/>
          <w:szCs w:val="24"/>
          <w:lang w:val="en-US" w:eastAsia="zh-CN"/>
        </w:rPr>
      </w:pPr>
    </w:p>
    <w:p w14:paraId="6428DEE1">
      <w:pPr>
        <w:keepNext w:val="0"/>
        <w:keepLines w:val="0"/>
        <w:pageBreakBefore w:val="0"/>
        <w:numPr>
          <w:ilvl w:val="0"/>
          <w:numId w:val="1"/>
        </w:numPr>
        <w:kinsoku/>
        <w:wordWrap/>
        <w:overflowPunct/>
        <w:topLinePunct w:val="0"/>
        <w:autoSpaceDE/>
        <w:autoSpaceDN/>
        <w:bidi w:val="0"/>
        <w:adjustRightInd/>
        <w:snapToGrid/>
        <w:spacing w:line="400" w:lineRule="exact"/>
        <w:textAlignment w:val="auto"/>
        <w:rPr>
          <w:rFonts w:hint="eastAsia" w:ascii="宋体" w:hAnsi="宋体"/>
          <w:b/>
          <w:sz w:val="24"/>
          <w:szCs w:val="24"/>
        </w:rPr>
      </w:pPr>
      <w:r>
        <w:rPr>
          <w:rFonts w:hint="eastAsia" w:ascii="宋体" w:hAnsi="宋体"/>
          <w:b/>
          <w:sz w:val="24"/>
          <w:szCs w:val="24"/>
          <w:lang w:eastAsia="zh-CN"/>
        </w:rPr>
        <w:t>编制</w:t>
      </w:r>
      <w:r>
        <w:rPr>
          <w:rFonts w:hint="eastAsia" w:ascii="宋体" w:hAnsi="宋体"/>
          <w:b/>
          <w:sz w:val="24"/>
          <w:szCs w:val="24"/>
        </w:rPr>
        <w:t>范围：</w:t>
      </w:r>
    </w:p>
    <w:p w14:paraId="150A7F9D">
      <w:pPr>
        <w:keepNext w:val="0"/>
        <w:keepLines w:val="0"/>
        <w:pageBreakBefore w:val="0"/>
        <w:widowControl/>
        <w:tabs>
          <w:tab w:val="left" w:pos="360"/>
        </w:tabs>
        <w:kinsoku/>
        <w:wordWrap/>
        <w:overflowPunct/>
        <w:topLinePunct w:val="0"/>
        <w:autoSpaceDE/>
        <w:autoSpaceDN/>
        <w:bidi w:val="0"/>
        <w:adjustRightInd/>
        <w:snapToGrid/>
        <w:spacing w:line="400" w:lineRule="exact"/>
        <w:ind w:left="376" w:leftChars="179" w:right="0" w:rightChars="0" w:firstLine="480" w:firstLineChars="200"/>
        <w:jc w:val="left"/>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编制范围</w:t>
      </w:r>
      <w:r>
        <w:rPr>
          <w:rFonts w:hint="default" w:ascii="宋体" w:hAnsi="宋体" w:eastAsia="宋体" w:cs="宋体"/>
          <w:sz w:val="24"/>
          <w:szCs w:val="24"/>
        </w:rPr>
        <w:t>包括</w:t>
      </w:r>
      <w:r>
        <w:rPr>
          <w:rFonts w:hint="eastAsia" w:ascii="宋体" w:hAnsi="宋体" w:cs="宋体"/>
          <w:sz w:val="24"/>
          <w:szCs w:val="24"/>
          <w:lang w:eastAsia="zh-CN"/>
        </w:rPr>
        <w:t>：</w:t>
      </w:r>
      <w:r>
        <w:rPr>
          <w:rFonts w:hint="eastAsia" w:ascii="宋体" w:hAnsi="宋体" w:cs="宋体"/>
          <w:sz w:val="24"/>
          <w:szCs w:val="24"/>
          <w:lang w:val="en-US" w:eastAsia="zh-CN"/>
        </w:rPr>
        <w:t>室外墙面修复以及运动场室外</w:t>
      </w:r>
      <w:r>
        <w:rPr>
          <w:rFonts w:hint="eastAsia" w:ascii="宋体" w:hAnsi="宋体" w:eastAsia="宋体" w:cs="宋体"/>
          <w:sz w:val="24"/>
          <w:szCs w:val="24"/>
          <w:lang w:val="en-US" w:eastAsia="zh-CN"/>
        </w:rPr>
        <w:t>改造</w:t>
      </w:r>
      <w:r>
        <w:rPr>
          <w:rFonts w:hint="eastAsia" w:ascii="宋体" w:hAnsi="宋体" w:cs="Times New Roman"/>
          <w:b w:val="0"/>
          <w:bCs/>
          <w:sz w:val="24"/>
          <w:szCs w:val="24"/>
          <w:lang w:val="en-US" w:eastAsia="zh-CN"/>
        </w:rPr>
        <w:t>等</w:t>
      </w:r>
      <w:r>
        <w:rPr>
          <w:rFonts w:hint="default" w:ascii="宋体" w:hAnsi="宋体" w:eastAsia="宋体" w:cs="宋体"/>
          <w:sz w:val="24"/>
          <w:szCs w:val="24"/>
        </w:rPr>
        <w:t>工程</w:t>
      </w:r>
      <w:r>
        <w:rPr>
          <w:rFonts w:hint="eastAsia" w:ascii="宋体" w:hAnsi="宋体" w:eastAsia="宋体" w:cs="宋体"/>
          <w:sz w:val="24"/>
          <w:szCs w:val="24"/>
          <w:lang w:eastAsia="zh-CN"/>
        </w:rPr>
        <w:t>。</w:t>
      </w:r>
    </w:p>
    <w:p w14:paraId="78BC480A">
      <w:pPr>
        <w:keepNext w:val="0"/>
        <w:keepLines w:val="0"/>
        <w:pageBreakBefore w:val="0"/>
        <w:widowControl/>
        <w:tabs>
          <w:tab w:val="left" w:pos="360"/>
        </w:tabs>
        <w:kinsoku/>
        <w:wordWrap/>
        <w:overflowPunct/>
        <w:topLinePunct w:val="0"/>
        <w:autoSpaceDE/>
        <w:autoSpaceDN/>
        <w:bidi w:val="0"/>
        <w:adjustRightInd/>
        <w:snapToGrid/>
        <w:spacing w:line="400" w:lineRule="exact"/>
        <w:ind w:left="376" w:leftChars="179" w:right="0" w:rightChars="0" w:firstLine="480" w:firstLineChars="200"/>
        <w:jc w:val="left"/>
        <w:textAlignment w:val="auto"/>
        <w:outlineLvl w:val="9"/>
        <w:rPr>
          <w:rFonts w:hint="eastAsia" w:ascii="宋体" w:hAnsi="宋体" w:eastAsia="宋体" w:cs="宋体"/>
          <w:sz w:val="24"/>
          <w:szCs w:val="24"/>
          <w:lang w:eastAsia="zh-CN"/>
        </w:rPr>
      </w:pPr>
    </w:p>
    <w:p w14:paraId="5477A2FC">
      <w:pPr>
        <w:spacing w:line="360" w:lineRule="auto"/>
        <w:rPr>
          <w:rFonts w:hint="eastAsia" w:ascii="宋体" w:hAnsi="宋体"/>
          <w:spacing w:val="-2"/>
          <w:sz w:val="24"/>
          <w:szCs w:val="24"/>
        </w:rPr>
      </w:pPr>
      <w:r>
        <w:rPr>
          <w:rFonts w:hint="eastAsia" w:ascii="宋体" w:hAnsi="宋体"/>
          <w:b/>
          <w:sz w:val="24"/>
          <w:szCs w:val="24"/>
        </w:rPr>
        <w:t>三、</w:t>
      </w:r>
      <w:r>
        <w:rPr>
          <w:rFonts w:hint="eastAsia" w:ascii="宋体" w:hAnsi="宋体"/>
          <w:b/>
          <w:sz w:val="24"/>
          <w:szCs w:val="24"/>
          <w:lang w:val="en-US" w:eastAsia="zh-CN"/>
        </w:rPr>
        <w:t>清单</w:t>
      </w:r>
      <w:r>
        <w:rPr>
          <w:rFonts w:hint="eastAsia" w:ascii="宋体" w:hAnsi="宋体"/>
          <w:b/>
          <w:sz w:val="24"/>
          <w:szCs w:val="24"/>
        </w:rPr>
        <w:t xml:space="preserve">编制依据： </w:t>
      </w:r>
      <w:r>
        <w:rPr>
          <w:rFonts w:hint="eastAsia" w:ascii="宋体" w:hAnsi="宋体"/>
          <w:sz w:val="24"/>
          <w:szCs w:val="24"/>
        </w:rPr>
        <w:t xml:space="preserve">    </w:t>
      </w:r>
    </w:p>
    <w:p w14:paraId="7DB96B1F">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left="0" w:leftChars="0" w:firstLine="400" w:firstLineChars="0"/>
        <w:textAlignment w:val="auto"/>
        <w:rPr>
          <w:rFonts w:hint="eastAsia" w:ascii="宋体" w:hAnsi="宋体"/>
          <w:b w:val="0"/>
          <w:bCs/>
          <w:spacing w:val="-4"/>
          <w:sz w:val="24"/>
          <w:szCs w:val="24"/>
        </w:rPr>
      </w:pPr>
      <w:r>
        <w:rPr>
          <w:rFonts w:hint="eastAsia" w:ascii="宋体" w:hAnsi="宋体" w:cs="Times New Roman"/>
          <w:b w:val="0"/>
          <w:bCs/>
          <w:kern w:val="2"/>
          <w:sz w:val="24"/>
          <w:szCs w:val="24"/>
          <w:lang w:val="en-US" w:eastAsia="zh-CN" w:bidi="ar-SA"/>
        </w:rPr>
        <w:t>《</w:t>
      </w:r>
      <w:r>
        <w:rPr>
          <w:rFonts w:hint="eastAsia" w:ascii="宋体" w:hAnsi="宋体"/>
          <w:b w:val="0"/>
          <w:bCs/>
          <w:spacing w:val="-4"/>
          <w:sz w:val="24"/>
          <w:szCs w:val="24"/>
        </w:rPr>
        <w:t>建设工程工程量清单计价规范》（GB50500-2013)；</w:t>
      </w:r>
    </w:p>
    <w:p w14:paraId="55B17648">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left="0" w:leftChars="0" w:firstLine="400" w:firstLineChars="0"/>
        <w:textAlignment w:val="auto"/>
        <w:rPr>
          <w:rFonts w:hint="eastAsia" w:ascii="宋体" w:hAnsi="宋体"/>
          <w:b w:val="0"/>
          <w:bCs/>
          <w:spacing w:val="-4"/>
          <w:sz w:val="24"/>
          <w:szCs w:val="24"/>
        </w:rPr>
      </w:pPr>
      <w:r>
        <w:rPr>
          <w:rFonts w:hint="eastAsia" w:ascii="宋体" w:hAnsi="宋体"/>
          <w:b w:val="0"/>
          <w:bCs/>
          <w:spacing w:val="-4"/>
          <w:sz w:val="24"/>
          <w:szCs w:val="24"/>
          <w:lang w:val="en-US" w:eastAsia="zh-CN"/>
        </w:rPr>
        <w:t>建设单位提供的工程范围以及做法</w:t>
      </w:r>
      <w:r>
        <w:rPr>
          <w:rFonts w:hint="eastAsia" w:ascii="宋体" w:hAnsi="宋体"/>
          <w:b w:val="0"/>
          <w:bCs/>
          <w:spacing w:val="-4"/>
          <w:sz w:val="24"/>
          <w:szCs w:val="24"/>
        </w:rPr>
        <w:t>；</w:t>
      </w:r>
    </w:p>
    <w:p w14:paraId="6C99FBE5">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left="0" w:leftChars="0" w:firstLine="400" w:firstLineChars="0"/>
        <w:textAlignment w:val="auto"/>
        <w:rPr>
          <w:rFonts w:hint="eastAsia" w:ascii="宋体" w:hAnsi="宋体"/>
          <w:b w:val="0"/>
          <w:bCs/>
          <w:spacing w:val="-4"/>
          <w:sz w:val="24"/>
          <w:szCs w:val="24"/>
        </w:rPr>
      </w:pPr>
      <w:r>
        <w:rPr>
          <w:rFonts w:hint="eastAsia" w:ascii="宋体" w:hAnsi="宋体"/>
          <w:b w:val="0"/>
          <w:bCs/>
          <w:spacing w:val="-4"/>
          <w:sz w:val="24"/>
          <w:szCs w:val="24"/>
        </w:rPr>
        <w:t>本工程招标文件及国家现行相关规范；</w:t>
      </w:r>
    </w:p>
    <w:p w14:paraId="0E4D4C66">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left="0" w:leftChars="0" w:firstLine="400" w:firstLineChars="0"/>
        <w:textAlignment w:val="auto"/>
        <w:rPr>
          <w:rFonts w:hint="eastAsia" w:ascii="宋体" w:cs="宋体"/>
          <w:b w:val="0"/>
          <w:bCs/>
          <w:sz w:val="24"/>
          <w:szCs w:val="24"/>
          <w:lang w:val="en-US" w:eastAsia="zh-CN"/>
        </w:rPr>
      </w:pPr>
      <w:r>
        <w:rPr>
          <w:rFonts w:hint="eastAsia" w:ascii="宋体" w:cs="宋体"/>
          <w:b w:val="0"/>
          <w:bCs/>
          <w:sz w:val="24"/>
          <w:szCs w:val="24"/>
          <w:lang w:val="en-US" w:eastAsia="zh-CN"/>
        </w:rPr>
        <w:t>安徽省住房和城乡建设厅公告第172号《安徽省建设工程计价依据动态调整（第2期）》</w:t>
      </w:r>
    </w:p>
    <w:p w14:paraId="6B765D74">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left="0" w:leftChars="0" w:firstLine="400" w:firstLineChars="0"/>
        <w:textAlignment w:val="auto"/>
        <w:rPr>
          <w:rFonts w:hint="eastAsia" w:ascii="宋体" w:cs="宋体"/>
          <w:b w:val="0"/>
          <w:bCs/>
          <w:sz w:val="24"/>
          <w:szCs w:val="24"/>
          <w:lang w:eastAsia="zh-CN"/>
        </w:rPr>
      </w:pPr>
      <w:r>
        <w:rPr>
          <w:rFonts w:hint="eastAsia" w:ascii="宋体" w:cs="宋体"/>
          <w:b w:val="0"/>
          <w:bCs/>
          <w:sz w:val="24"/>
          <w:szCs w:val="24"/>
        </w:rPr>
        <w:t>截止20</w:t>
      </w:r>
      <w:r>
        <w:rPr>
          <w:rFonts w:hint="eastAsia" w:cs="宋体"/>
          <w:b w:val="0"/>
          <w:bCs/>
          <w:sz w:val="24"/>
          <w:szCs w:val="24"/>
          <w:lang w:val="en-US" w:eastAsia="zh-CN"/>
        </w:rPr>
        <w:t>26</w:t>
      </w:r>
      <w:r>
        <w:rPr>
          <w:rFonts w:hint="eastAsia" w:ascii="宋体" w:cs="宋体"/>
          <w:b w:val="0"/>
          <w:bCs/>
          <w:sz w:val="24"/>
          <w:szCs w:val="24"/>
        </w:rPr>
        <w:t>年</w:t>
      </w:r>
      <w:r>
        <w:rPr>
          <w:rFonts w:hint="eastAsia" w:ascii="宋体" w:cs="宋体"/>
          <w:b w:val="0"/>
          <w:bCs/>
          <w:sz w:val="24"/>
          <w:szCs w:val="24"/>
          <w:lang w:val="en-US" w:eastAsia="zh-CN"/>
        </w:rPr>
        <w:t>6</w:t>
      </w:r>
      <w:r>
        <w:rPr>
          <w:rFonts w:hint="eastAsia" w:ascii="宋体" w:cs="宋体"/>
          <w:b w:val="0"/>
          <w:bCs/>
          <w:sz w:val="24"/>
          <w:szCs w:val="24"/>
        </w:rPr>
        <w:t>月省、市有关政策性调整文件</w:t>
      </w:r>
      <w:r>
        <w:rPr>
          <w:rFonts w:hint="eastAsia" w:ascii="宋体" w:cs="宋体"/>
          <w:b w:val="0"/>
          <w:bCs/>
          <w:sz w:val="24"/>
          <w:szCs w:val="24"/>
          <w:lang w:eastAsia="zh-CN"/>
        </w:rPr>
        <w:t>。</w:t>
      </w:r>
    </w:p>
    <w:p w14:paraId="299DBA22">
      <w:pPr>
        <w:pStyle w:val="9"/>
        <w:rPr>
          <w:rFonts w:hint="eastAsia"/>
          <w:lang w:val="en-US" w:eastAsia="zh-CN"/>
        </w:rPr>
      </w:pPr>
    </w:p>
    <w:p w14:paraId="1EA70234">
      <w:pPr>
        <w:numPr>
          <w:ilvl w:val="0"/>
          <w:numId w:val="0"/>
        </w:numPr>
        <w:ind w:leftChars="0"/>
        <w:rPr>
          <w:rFonts w:hint="eastAsia" w:eastAsia="宋体" w:cs="宋体"/>
          <w:color w:val="auto"/>
          <w:sz w:val="24"/>
          <w:szCs w:val="24"/>
          <w:lang w:val="en-US" w:eastAsia="zh-CN"/>
        </w:rPr>
      </w:pPr>
      <w:r>
        <w:rPr>
          <w:rFonts w:hint="eastAsia" w:ascii="宋体" w:hAnsi="宋体" w:cs="Times New Roman"/>
          <w:b/>
          <w:bCs w:val="0"/>
          <w:kern w:val="2"/>
          <w:sz w:val="24"/>
          <w:szCs w:val="24"/>
          <w:lang w:val="en-US" w:eastAsia="zh-CN" w:bidi="ar-SA"/>
        </w:rPr>
        <w:t>四、编制说明：</w:t>
      </w:r>
    </w:p>
    <w:p w14:paraId="3B55EBBF">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400" w:firstLineChars="0"/>
        <w:textAlignment w:val="auto"/>
        <w:outlineLvl w:val="9"/>
        <w:rPr>
          <w:rFonts w:hint="eastAsia" w:eastAsia="宋体" w:cs="宋体"/>
          <w:color w:val="auto"/>
          <w:sz w:val="24"/>
          <w:szCs w:val="24"/>
          <w:lang w:val="en-US" w:eastAsia="zh-CN"/>
        </w:rPr>
      </w:pPr>
      <w:r>
        <w:rPr>
          <w:rFonts w:hint="eastAsia" w:eastAsia="宋体" w:cs="宋体"/>
          <w:color w:val="auto"/>
          <w:sz w:val="24"/>
          <w:szCs w:val="24"/>
          <w:lang w:val="en-US" w:eastAsia="zh-CN"/>
        </w:rPr>
        <w:t>投标人必须自行勘察现场，因投标人未勘察现场而增加的费用由投标人承担；</w:t>
      </w:r>
    </w:p>
    <w:p w14:paraId="3989C8AA">
      <w:pPr>
        <w:numPr>
          <w:ilvl w:val="0"/>
          <w:numId w:val="3"/>
        </w:numPr>
        <w:ind w:left="0" w:leftChars="0" w:firstLine="400" w:firstLineChars="0"/>
        <w:rPr>
          <w:rFonts w:hint="eastAsia" w:ascii="宋体" w:hAnsi="宋体" w:eastAsia="宋体" w:cs="宋体"/>
          <w:sz w:val="24"/>
          <w:szCs w:val="24"/>
          <w:lang w:eastAsia="zh-CN"/>
        </w:rPr>
      </w:pPr>
      <w:r>
        <w:rPr>
          <w:rFonts w:hint="eastAsia" w:ascii="宋体" w:hAnsi="宋体" w:eastAsia="宋体" w:cs="宋体"/>
          <w:sz w:val="24"/>
          <w:szCs w:val="24"/>
          <w:lang w:eastAsia="zh-CN"/>
        </w:rPr>
        <w:t>清单描述未明确的，以设计文件和相关施工验收规范、图集、招标文件要求为准；清单与图纸技术标准不一致的，以较优的技术标准为准；</w:t>
      </w:r>
    </w:p>
    <w:p w14:paraId="27838DC8">
      <w:pPr>
        <w:pStyle w:val="5"/>
        <w:keepNext w:val="0"/>
        <w:keepLines w:val="0"/>
        <w:widowControl/>
        <w:numPr>
          <w:ilvl w:val="0"/>
          <w:numId w:val="3"/>
        </w:numPr>
        <w:suppressLineNumbers w:val="0"/>
        <w:spacing w:before="0" w:beforeAutospacing="0" w:after="0" w:afterAutospacing="0" w:line="360" w:lineRule="auto"/>
        <w:ind w:left="0" w:leftChars="0" w:right="0" w:rightChars="0" w:firstLine="400" w:firstLineChars="0"/>
        <w:rPr>
          <w:rFonts w:hint="eastAsia" w:ascii="宋体" w:hAnsi="宋体" w:cs="宋体"/>
          <w:color w:val="auto"/>
          <w:sz w:val="24"/>
          <w:szCs w:val="24"/>
          <w:lang w:val="en-US" w:eastAsia="zh-CN"/>
        </w:rPr>
      </w:pPr>
      <w:r>
        <w:rPr>
          <w:rFonts w:hint="eastAsia" w:ascii="宋体" w:hAnsi="宋体" w:eastAsia="宋体" w:cs="宋体"/>
          <w:sz w:val="24"/>
          <w:szCs w:val="24"/>
          <w:lang w:eastAsia="zh-CN"/>
        </w:rPr>
        <w:t>除合同另有约定外，工程量清单中每一项单价均应已包含完成相应该项目的工程内容所需的所有人工、设备、材料和其他伴随服务所发生的所有费用；</w:t>
      </w:r>
    </w:p>
    <w:p w14:paraId="7659A1BC">
      <w:pPr>
        <w:pStyle w:val="6"/>
        <w:numPr>
          <w:ilvl w:val="0"/>
          <w:numId w:val="3"/>
        </w:numPr>
        <w:ind w:left="0" w:leftChars="0" w:firstLine="400" w:firstLineChars="0"/>
        <w:rPr>
          <w:rFonts w:hint="eastAsia"/>
          <w:lang w:val="en-US" w:eastAsia="zh-CN"/>
        </w:rPr>
      </w:pPr>
      <w:r>
        <w:rPr>
          <w:rFonts w:hint="eastAsia" w:ascii="宋体" w:hAnsi="宋体" w:eastAsia="宋体" w:cs="宋体"/>
          <w:sz w:val="24"/>
          <w:szCs w:val="24"/>
          <w:lang w:eastAsia="zh-CN"/>
        </w:rPr>
        <w:t>投标单位报价，应根据清单描述并结合图纸设计、现场探勘结果综合考虑报价，结算时不得以清单描述不清等理由要求调价。</w:t>
      </w:r>
    </w:p>
    <w:p w14:paraId="13C5B05C">
      <w:pPr>
        <w:numPr>
          <w:ilvl w:val="0"/>
          <w:numId w:val="3"/>
        </w:numPr>
        <w:ind w:left="0" w:leftChars="0" w:firstLine="400" w:firstLineChars="0"/>
        <w:rPr>
          <w:rFonts w:hint="eastAsia"/>
          <w:lang w:val="en-US" w:eastAsia="zh-CN"/>
        </w:rPr>
      </w:pPr>
      <w:r>
        <w:rPr>
          <w:rFonts w:hint="eastAsia" w:ascii="宋体" w:hAnsi="宋体" w:eastAsia="宋体" w:cs="宋体"/>
          <w:kern w:val="2"/>
          <w:sz w:val="24"/>
          <w:szCs w:val="24"/>
          <w:lang w:val="en-US" w:eastAsia="zh-CN" w:bidi="ar-SA"/>
        </w:rPr>
        <w:t>独立费项目的综合单价均已包括完成本项目所有的人工费、材料费、机械费、运输费及相关的管理费和利润等，不包含税金；</w:t>
      </w:r>
    </w:p>
    <w:p w14:paraId="7B8B2836">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400" w:firstLineChars="0"/>
        <w:textAlignment w:val="auto"/>
        <w:outlineLvl w:val="9"/>
        <w:rPr>
          <w:rFonts w:hint="default"/>
          <w:lang w:val="en-US" w:eastAsia="zh-CN"/>
        </w:rPr>
      </w:pPr>
      <w:r>
        <w:rPr>
          <w:rFonts w:hint="default" w:eastAsia="宋体" w:cs="宋体"/>
          <w:color w:val="auto"/>
          <w:sz w:val="24"/>
          <w:szCs w:val="24"/>
          <w:lang w:val="en-US" w:eastAsia="zh-CN"/>
        </w:rPr>
        <w:t>混凝土采用商品混凝土，砂浆按预拌砂浆；</w:t>
      </w:r>
    </w:p>
    <w:p w14:paraId="101C1640">
      <w:pPr>
        <w:pStyle w:val="9"/>
        <w:rPr>
          <w:rFonts w:hint="eastAsia"/>
        </w:rPr>
      </w:pPr>
    </w:p>
    <w:p w14:paraId="5AF0E844">
      <w:pPr>
        <w:spacing w:line="360" w:lineRule="auto"/>
        <w:ind w:firstLine="464" w:firstLineChars="200"/>
        <w:rPr>
          <w:rFonts w:hint="eastAsia" w:ascii="宋体" w:hAnsi="宋体"/>
          <w:spacing w:val="-4"/>
          <w:sz w:val="24"/>
          <w:szCs w:val="24"/>
        </w:rPr>
      </w:pPr>
    </w:p>
    <w:p w14:paraId="723D868A"/>
    <w:sectPr>
      <w:headerReference r:id="rId3" w:type="default"/>
      <w:pgSz w:w="11906" w:h="16838"/>
      <w:pgMar w:top="1440" w:right="975" w:bottom="1440" w:left="1134"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5220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499B5B"/>
    <w:multiLevelType w:val="singleLevel"/>
    <w:tmpl w:val="8E499B5B"/>
    <w:lvl w:ilvl="0" w:tentative="0">
      <w:start w:val="1"/>
      <w:numFmt w:val="decimal"/>
      <w:suff w:val="nothing"/>
      <w:lvlText w:val="%1．"/>
      <w:lvlJc w:val="left"/>
      <w:pPr>
        <w:ind w:left="0" w:firstLine="400"/>
      </w:pPr>
      <w:rPr>
        <w:rFonts w:hint="default"/>
      </w:rPr>
    </w:lvl>
  </w:abstractNum>
  <w:abstractNum w:abstractNumId="1">
    <w:nsid w:val="223A51D8"/>
    <w:multiLevelType w:val="singleLevel"/>
    <w:tmpl w:val="223A51D8"/>
    <w:lvl w:ilvl="0" w:tentative="0">
      <w:start w:val="1"/>
      <w:numFmt w:val="decimal"/>
      <w:suff w:val="nothing"/>
      <w:lvlText w:val="%1．"/>
      <w:lvlJc w:val="left"/>
      <w:pPr>
        <w:ind w:left="0" w:firstLine="400"/>
      </w:pPr>
      <w:rPr>
        <w:rFonts w:hint="default"/>
      </w:rPr>
    </w:lvl>
  </w:abstractNum>
  <w:abstractNum w:abstractNumId="2">
    <w:nsid w:val="59AE7EB6"/>
    <w:multiLevelType w:val="singleLevel"/>
    <w:tmpl w:val="59AE7EB6"/>
    <w:lvl w:ilvl="0" w:tentative="0">
      <w:start w:val="1"/>
      <w:numFmt w:val="chineseCounting"/>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BhNDY5NDA4NDEwYWVmMmQxZDc4Nzk4NGIzMWQ4MTEifQ=="/>
  </w:docVars>
  <w:rsids>
    <w:rsidRoot w:val="0ABF3C39"/>
    <w:rsid w:val="00C160BE"/>
    <w:rsid w:val="040E27E3"/>
    <w:rsid w:val="053E7FA9"/>
    <w:rsid w:val="08E30803"/>
    <w:rsid w:val="0AB3379D"/>
    <w:rsid w:val="0ABF3C39"/>
    <w:rsid w:val="0B0B5398"/>
    <w:rsid w:val="0DE545B5"/>
    <w:rsid w:val="1EF328AA"/>
    <w:rsid w:val="27C748D4"/>
    <w:rsid w:val="28777E7B"/>
    <w:rsid w:val="2BF8505C"/>
    <w:rsid w:val="2CEC64B9"/>
    <w:rsid w:val="2E7A61FC"/>
    <w:rsid w:val="334B15F2"/>
    <w:rsid w:val="37B22B81"/>
    <w:rsid w:val="3C1A6E96"/>
    <w:rsid w:val="3FA8300D"/>
    <w:rsid w:val="411E510D"/>
    <w:rsid w:val="44D474EF"/>
    <w:rsid w:val="47A85EE7"/>
    <w:rsid w:val="47DB78B4"/>
    <w:rsid w:val="49366D6C"/>
    <w:rsid w:val="4EEA2366"/>
    <w:rsid w:val="528B30E2"/>
    <w:rsid w:val="54F43D6C"/>
    <w:rsid w:val="58755581"/>
    <w:rsid w:val="59037741"/>
    <w:rsid w:val="59771406"/>
    <w:rsid w:val="5DCD3CEB"/>
    <w:rsid w:val="5EF660AE"/>
    <w:rsid w:val="5FE349C2"/>
    <w:rsid w:val="5FEF642B"/>
    <w:rsid w:val="610F0355"/>
    <w:rsid w:val="612571C5"/>
    <w:rsid w:val="647E35CF"/>
    <w:rsid w:val="64925346"/>
    <w:rsid w:val="6A1C59E7"/>
    <w:rsid w:val="6B07518C"/>
    <w:rsid w:val="6BC704D1"/>
    <w:rsid w:val="6F370FC4"/>
    <w:rsid w:val="6FD26F3F"/>
    <w:rsid w:val="70FA04FB"/>
    <w:rsid w:val="724E23A5"/>
    <w:rsid w:val="733A5527"/>
    <w:rsid w:val="75A86447"/>
    <w:rsid w:val="7B3F165E"/>
    <w:rsid w:val="7B9559F0"/>
    <w:rsid w:val="7E120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Indent"/>
    <w:basedOn w:val="1"/>
    <w:next w:val="3"/>
    <w:unhideWhenUsed/>
    <w:qFormat/>
    <w:uiPriority w:val="99"/>
    <w:pPr>
      <w:spacing w:after="120" w:afterLines="0" w:afterAutospacing="0"/>
      <w:ind w:left="420" w:leftChars="200"/>
    </w:pPr>
  </w:style>
  <w:style w:type="paragraph" w:styleId="3">
    <w:name w:val="envelope return"/>
    <w:basedOn w:val="1"/>
    <w:qFormat/>
    <w:uiPriority w:val="0"/>
    <w:pPr>
      <w:snapToGrid w:val="0"/>
    </w:pPr>
    <w:rPr>
      <w:rFonts w:ascii="Arial" w:hAnsi="Arial"/>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6">
    <w:name w:val="Body Text First Indent 2"/>
    <w:basedOn w:val="2"/>
    <w:next w:val="1"/>
    <w:qFormat/>
    <w:uiPriority w:val="0"/>
    <w:pPr>
      <w:spacing w:line="360" w:lineRule="auto"/>
      <w:ind w:firstLine="200" w:firstLineChars="200"/>
    </w:pPr>
    <w:rPr>
      <w:rFonts w:ascii="宋体"/>
      <w:szCs w:val="20"/>
    </w:rPr>
  </w:style>
  <w:style w:type="paragraph" w:customStyle="1" w:styleId="9">
    <w:name w:val="_Style 1"/>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501</Words>
  <Characters>518</Characters>
  <Lines>0</Lines>
  <Paragraphs>0</Paragraphs>
  <TotalTime>0</TotalTime>
  <ScaleCrop>false</ScaleCrop>
  <LinksUpToDate>false</LinksUpToDate>
  <CharactersWithSpaces>524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2022-11-14T00:46:00Z</dcterms:created>
  <dc:creator>新的开始，从头来过</dc:creator>
  <cp:lastModifiedBy>新的开始，从头来过</cp:lastModifiedBy>
  <dcterms:modified xsi:type="dcterms:W3CDTF">2026-07-01T03:15:44Z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E8B1E0747FB948C9B0C230E28F66003D</vt:lpwstr>
  </property>
  <property fmtid="{D5CDD505-2E9C-101B-9397-08002B2CF9AE}" pid="4" name="KSOTemplateDocerSaveRecord">
    <vt:lpwstr>eyJoZGlkIjoiYzBhNDY5NDA4NDEwYWVmMmQxZDc4Nzk4NGIzMWQ4MTEiLCJ1c2VySWQiOiIzMTE5NTc4NTEifQ==</vt:lpwstr>
  </property>
</Properties>
</file>