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256DC">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1B355D30">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p>
    <w:p w14:paraId="58B9CF82">
      <w:pPr>
        <w:tabs>
          <w:tab w:val="left" w:pos="315"/>
          <w:tab w:val="left" w:pos="8820"/>
        </w:tabs>
        <w:spacing w:before="240" w:beforeLines="100" w:after="120" w:afterLines="50" w:line="500" w:lineRule="exact"/>
        <w:ind w:right="267" w:rightChars="127"/>
        <w:jc w:val="center"/>
        <w:rPr>
          <w:rFonts w:hint="eastAsia" w:ascii="宋体" w:hAnsi="宋体" w:eastAsia="宋体"/>
          <w:b/>
          <w:bCs/>
          <w:color w:val="auto"/>
          <w:sz w:val="52"/>
          <w:szCs w:val="52"/>
          <w:highlight w:val="none"/>
          <w:lang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125C558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52"/>
          <w:szCs w:val="52"/>
          <w:highlight w:val="none"/>
        </w:rPr>
      </w:pPr>
      <w:r>
        <w:rPr>
          <w:rFonts w:hint="eastAsia" w:ascii="宋体" w:hAnsi="宋体" w:eastAsia="宋体"/>
          <w:b/>
          <w:bCs/>
          <w:color w:val="auto"/>
          <w:sz w:val="52"/>
          <w:szCs w:val="52"/>
          <w:highlight w:val="none"/>
        </w:rPr>
        <w:t>竞争性磋商文件示范文本（服务类）</w:t>
      </w:r>
    </w:p>
    <w:bookmarkEnd w:id="0"/>
    <w:p w14:paraId="2C50032D">
      <w:pPr>
        <w:tabs>
          <w:tab w:val="left" w:pos="315"/>
          <w:tab w:val="left" w:pos="8820"/>
        </w:tabs>
        <w:spacing w:before="240" w:beforeLines="100" w:after="120" w:afterLines="50" w:line="500" w:lineRule="exact"/>
        <w:ind w:right="267" w:rightChars="127"/>
        <w:jc w:val="center"/>
        <w:rPr>
          <w:rFonts w:ascii="宋体" w:hAnsi="宋体" w:eastAsia="宋体"/>
          <w:bCs/>
          <w:color w:val="auto"/>
          <w:sz w:val="44"/>
          <w:szCs w:val="44"/>
          <w:highlight w:val="none"/>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2026版</w:t>
      </w:r>
      <w:r>
        <w:rPr>
          <w:rFonts w:hint="eastAsia" w:ascii="宋体" w:hAnsi="宋体" w:eastAsia="宋体"/>
          <w:b/>
          <w:bCs/>
          <w:color w:val="auto"/>
          <w:sz w:val="52"/>
          <w:szCs w:val="52"/>
          <w:highlight w:val="none"/>
          <w:lang w:eastAsia="zh-CN"/>
        </w:rPr>
        <w:t>）</w:t>
      </w:r>
    </w:p>
    <w:p w14:paraId="529397A0">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79B04FF2">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061C499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044DACAE">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5D484508">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284D01D9">
      <w:pPr>
        <w:tabs>
          <w:tab w:val="left" w:pos="315"/>
          <w:tab w:val="left" w:pos="8820"/>
        </w:tabs>
        <w:spacing w:before="240" w:beforeLines="100" w:after="120" w:afterLines="50" w:line="500" w:lineRule="exact"/>
        <w:ind w:right="267" w:rightChars="127"/>
        <w:jc w:val="both"/>
        <w:rPr>
          <w:rFonts w:ascii="宋体" w:hAnsi="宋体" w:eastAsia="宋体"/>
          <w:b/>
          <w:bCs/>
          <w:color w:val="auto"/>
          <w:sz w:val="44"/>
          <w:szCs w:val="44"/>
          <w:highlight w:val="none"/>
        </w:rPr>
      </w:pPr>
    </w:p>
    <w:p w14:paraId="347F5303">
      <w:pPr>
        <w:pStyle w:val="10"/>
        <w:rPr>
          <w:color w:val="auto"/>
          <w:highlight w:val="none"/>
        </w:rPr>
      </w:pPr>
    </w:p>
    <w:p w14:paraId="3BDCB26D">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rPr>
        <w:t>滁州市交通运输局</w:t>
      </w:r>
      <w:r>
        <w:rPr>
          <w:rFonts w:hint="eastAsia" w:ascii="宋体" w:hAnsi="宋体" w:eastAsia="宋体"/>
          <w:b/>
          <w:color w:val="auto"/>
          <w:spacing w:val="20"/>
          <w:kern w:val="0"/>
          <w:sz w:val="32"/>
          <w:szCs w:val="32"/>
          <w:highlight w:val="none"/>
          <w:u w:val="single"/>
          <w:lang w:eastAsia="zh-CN"/>
        </w:rPr>
        <w:t>多功能会议中心</w:t>
      </w:r>
      <w:r>
        <w:rPr>
          <w:rFonts w:hint="eastAsia" w:ascii="宋体" w:hAnsi="宋体" w:eastAsia="宋体"/>
          <w:b/>
          <w:color w:val="auto"/>
          <w:spacing w:val="20"/>
          <w:kern w:val="0"/>
          <w:sz w:val="32"/>
          <w:szCs w:val="32"/>
          <w:highlight w:val="none"/>
          <w:u w:val="single"/>
        </w:rPr>
        <w:t>升级改造</w:t>
      </w:r>
      <w:r>
        <w:rPr>
          <w:rFonts w:hint="eastAsia" w:ascii="宋体" w:hAnsi="宋体" w:eastAsia="宋体"/>
          <w:b/>
          <w:color w:val="auto"/>
          <w:spacing w:val="20"/>
          <w:kern w:val="0"/>
          <w:sz w:val="32"/>
          <w:szCs w:val="32"/>
          <w:highlight w:val="none"/>
          <w:u w:val="single"/>
          <w:lang w:val="en-US" w:eastAsia="zh-CN"/>
        </w:rPr>
        <w:t>设计服务项目（二次）</w:t>
      </w:r>
    </w:p>
    <w:p w14:paraId="6D4B8696">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HXJY1110001060444001</w:t>
      </w:r>
    </w:p>
    <w:p w14:paraId="32349F98">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 xml:space="preserve"> 滁州市交通运输局</w:t>
      </w:r>
    </w:p>
    <w:p w14:paraId="39B6433E">
      <w:pPr>
        <w:tabs>
          <w:tab w:val="left" w:pos="2410"/>
        </w:tabs>
        <w:autoSpaceDE w:val="0"/>
        <w:autoSpaceDN w:val="0"/>
        <w:adjustRightInd w:val="0"/>
        <w:snapToGrid w:val="0"/>
        <w:spacing w:line="360" w:lineRule="auto"/>
        <w:ind w:right="-340" w:rightChars="-162"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lang w:eastAsia="zh-CN"/>
        </w:rPr>
        <w:t>：</w:t>
      </w:r>
      <w:r>
        <w:rPr>
          <w:rFonts w:hint="eastAsia" w:ascii="宋体" w:hAnsi="宋体" w:eastAsia="宋体"/>
          <w:b/>
          <w:color w:val="auto"/>
          <w:spacing w:val="20"/>
          <w:kern w:val="0"/>
          <w:sz w:val="32"/>
          <w:szCs w:val="32"/>
          <w:highlight w:val="none"/>
          <w:u w:val="single"/>
          <w:lang w:val="en-US" w:eastAsia="zh-CN"/>
        </w:rPr>
        <w:t>滁州市城投工程咨询管理有限公司</w:t>
      </w:r>
    </w:p>
    <w:p w14:paraId="4E0C324F">
      <w:pPr>
        <w:tabs>
          <w:tab w:val="left" w:pos="315"/>
          <w:tab w:val="left" w:pos="8820"/>
        </w:tabs>
        <w:spacing w:before="240" w:beforeLines="100" w:after="120" w:afterLines="50" w:line="500" w:lineRule="exact"/>
        <w:ind w:right="267" w:rightChars="127"/>
        <w:jc w:val="center"/>
        <w:rPr>
          <w:rFonts w:ascii="宋体" w:hAnsi="宋体" w:eastAsia="宋体"/>
          <w:b/>
          <w:bCs/>
          <w:color w:val="auto"/>
          <w:sz w:val="44"/>
          <w:szCs w:val="44"/>
          <w:highlight w:val="none"/>
        </w:rPr>
      </w:pPr>
    </w:p>
    <w:p w14:paraId="62025EB3">
      <w:pPr>
        <w:tabs>
          <w:tab w:val="left" w:pos="2410"/>
        </w:tabs>
        <w:autoSpaceDE w:val="0"/>
        <w:autoSpaceDN w:val="0"/>
        <w:adjustRightInd w:val="0"/>
        <w:snapToGrid w:val="0"/>
        <w:spacing w:line="360" w:lineRule="auto"/>
        <w:jc w:val="center"/>
        <w:rPr>
          <w:rFonts w:hint="eastAsia"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lang w:val="en-US" w:eastAsia="zh-CN"/>
        </w:rPr>
        <w:t>8</w:t>
      </w:r>
      <w:r>
        <w:rPr>
          <w:rFonts w:hint="eastAsia" w:ascii="宋体" w:hAnsi="宋体" w:eastAsia="宋体"/>
          <w:b/>
          <w:color w:val="auto"/>
          <w:sz w:val="36"/>
          <w:highlight w:val="none"/>
        </w:rPr>
        <w:t>月</w:t>
      </w:r>
    </w:p>
    <w:p w14:paraId="2C1CF6F4">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693C9645">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10437A1A">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p>
    <w:p w14:paraId="6849E2F2">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8"/>
          <w:szCs w:val="28"/>
          <w:highlight w:val="none"/>
        </w:rPr>
        <w:fldChar w:fldCharType="begin"/>
      </w:r>
      <w:r>
        <w:rPr>
          <w:rFonts w:hint="eastAsia" w:ascii="宋体" w:hAnsi="宋体" w:eastAsia="宋体" w:cs="宋体"/>
          <w:b/>
          <w:bCs/>
          <w:color w:val="auto"/>
          <w:sz w:val="28"/>
          <w:szCs w:val="28"/>
          <w:highlight w:val="none"/>
        </w:rPr>
        <w:instrText xml:space="preserve"> TOC \o "1-2" \h \z \u </w:instrText>
      </w:r>
      <w:r>
        <w:rPr>
          <w:rFonts w:hint="eastAsia" w:ascii="宋体" w:hAnsi="宋体" w:eastAsia="宋体" w:cs="宋体"/>
          <w:b/>
          <w:bCs/>
          <w:color w:val="auto"/>
          <w:sz w:val="28"/>
          <w:szCs w:val="28"/>
          <w:highlight w:val="none"/>
        </w:rPr>
        <w:fldChar w:fldCharType="separate"/>
      </w: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_Toc19988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第一章  磋商邀请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8"/>
          <w:highlight w:val="none"/>
        </w:rPr>
        <w:fldChar w:fldCharType="end"/>
      </w:r>
    </w:p>
    <w:p w14:paraId="59FBDACE">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_Toc7162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第二章  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4</w:t>
      </w:r>
      <w:r>
        <w:rPr>
          <w:rFonts w:hint="eastAsia" w:ascii="宋体" w:hAnsi="宋体" w:eastAsia="宋体" w:cs="宋体"/>
          <w:bCs/>
          <w:color w:val="auto"/>
          <w:sz w:val="24"/>
          <w:szCs w:val="28"/>
          <w:highlight w:val="none"/>
        </w:rPr>
        <w:fldChar w:fldCharType="end"/>
      </w:r>
    </w:p>
    <w:p w14:paraId="134B2A51">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_Toc19440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第三章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5</w:t>
      </w:r>
    </w:p>
    <w:p w14:paraId="664DC2D1">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_Toc8668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第四章  评审方法和标准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1</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7</w:t>
      </w:r>
    </w:p>
    <w:p w14:paraId="13FF7EA7">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_Toc17167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第五章  采购合同</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2</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1</w:t>
      </w:r>
    </w:p>
    <w:p w14:paraId="041C6352">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_Toc25148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color w:val="auto"/>
          <w:sz w:val="24"/>
          <w:szCs w:val="24"/>
          <w:highlight w:val="none"/>
        </w:rPr>
        <w:t>第六章  响应文件格式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3</w:t>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2</w:t>
      </w:r>
    </w:p>
    <w:p w14:paraId="655FA17A">
      <w:pPr>
        <w:pStyle w:val="20"/>
        <w:keepNext w:val="0"/>
        <w:keepLines w:val="0"/>
        <w:pageBreakBefore w:val="0"/>
        <w:widowControl/>
        <w:tabs>
          <w:tab w:val="right" w:leader="dot" w:pos="8279"/>
        </w:tabs>
        <w:kinsoku/>
        <w:wordWrap/>
        <w:overflowPunct/>
        <w:topLinePunct w:val="0"/>
        <w:autoSpaceDE/>
        <w:autoSpaceDN/>
        <w:bidi w:val="0"/>
        <w:adjustRightInd/>
        <w:snapToGrid/>
        <w:spacing w:after="0" w:line="48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8"/>
          <w:highlight w:val="none"/>
        </w:rPr>
        <w:fldChar w:fldCharType="begin"/>
      </w:r>
      <w:r>
        <w:rPr>
          <w:rFonts w:hint="eastAsia" w:ascii="宋体" w:hAnsi="宋体" w:eastAsia="宋体" w:cs="宋体"/>
          <w:bCs/>
          <w:color w:val="auto"/>
          <w:sz w:val="24"/>
          <w:szCs w:val="28"/>
          <w:highlight w:val="none"/>
        </w:rPr>
        <w:instrText xml:space="preserve"> HYPERLINK \l _Toc19418 </w:instrText>
      </w:r>
      <w:r>
        <w:rPr>
          <w:rFonts w:hint="eastAsia" w:ascii="宋体" w:hAnsi="宋体" w:eastAsia="宋体" w:cs="宋体"/>
          <w:bCs/>
          <w:color w:val="auto"/>
          <w:sz w:val="24"/>
          <w:szCs w:val="28"/>
          <w:highlight w:val="none"/>
        </w:rPr>
        <w:fldChar w:fldCharType="separate"/>
      </w:r>
      <w:r>
        <w:rPr>
          <w:rFonts w:hint="eastAsia" w:ascii="宋体" w:hAnsi="宋体" w:eastAsia="宋体" w:cs="宋体"/>
          <w:bCs/>
          <w:color w:val="auto"/>
          <w:sz w:val="24"/>
          <w:szCs w:val="24"/>
          <w:highlight w:val="none"/>
        </w:rPr>
        <w:t>第</w:t>
      </w:r>
      <w:r>
        <w:rPr>
          <w:rFonts w:hint="eastAsia" w:ascii="宋体" w:hAnsi="宋体" w:eastAsia="宋体" w:cs="宋体"/>
          <w:bCs/>
          <w:color w:val="auto"/>
          <w:sz w:val="24"/>
          <w:szCs w:val="24"/>
          <w:highlight w:val="none"/>
          <w:lang w:val="en-US" w:eastAsia="zh-CN"/>
        </w:rPr>
        <w:t>七</w:t>
      </w:r>
      <w:r>
        <w:rPr>
          <w:rFonts w:hint="eastAsia" w:ascii="宋体" w:hAnsi="宋体" w:eastAsia="宋体" w:cs="宋体"/>
          <w:bCs/>
          <w:color w:val="auto"/>
          <w:sz w:val="24"/>
          <w:szCs w:val="24"/>
          <w:highlight w:val="none"/>
        </w:rPr>
        <w:t>章  采购</w:t>
      </w:r>
      <w:r>
        <w:rPr>
          <w:rFonts w:hint="eastAsia" w:ascii="宋体" w:hAnsi="宋体" w:eastAsia="宋体" w:cs="宋体"/>
          <w:color w:val="auto"/>
          <w:sz w:val="24"/>
          <w:szCs w:val="24"/>
          <w:highlight w:val="none"/>
        </w:rPr>
        <w:t>供应</w:t>
      </w:r>
      <w:r>
        <w:rPr>
          <w:rFonts w:hint="eastAsia" w:ascii="宋体" w:hAnsi="宋体" w:eastAsia="宋体" w:cs="宋体"/>
          <w:bCs/>
          <w:color w:val="auto"/>
          <w:sz w:val="24"/>
          <w:szCs w:val="24"/>
          <w:highlight w:val="none"/>
        </w:rPr>
        <w:t>商询问函和质疑函范本</w:t>
      </w:r>
      <w:r>
        <w:rPr>
          <w:rFonts w:hint="eastAsia" w:ascii="宋体" w:hAnsi="宋体" w:eastAsia="宋体" w:cs="宋体"/>
          <w:color w:val="auto"/>
          <w:sz w:val="24"/>
          <w:szCs w:val="24"/>
          <w:highlight w:val="none"/>
        </w:rPr>
        <w:tab/>
      </w:r>
      <w:r>
        <w:rPr>
          <w:rFonts w:hint="eastAsia" w:ascii="宋体" w:hAnsi="宋体" w:eastAsia="宋体" w:cs="宋体"/>
          <w:bCs/>
          <w:color w:val="auto"/>
          <w:sz w:val="24"/>
          <w:szCs w:val="28"/>
          <w:highlight w:val="none"/>
        </w:rPr>
        <w:fldChar w:fldCharType="end"/>
      </w:r>
      <w:r>
        <w:rPr>
          <w:rFonts w:hint="eastAsia" w:ascii="宋体" w:hAnsi="宋体" w:eastAsia="宋体" w:cs="宋体"/>
          <w:bCs/>
          <w:color w:val="auto"/>
          <w:sz w:val="24"/>
          <w:szCs w:val="28"/>
          <w:highlight w:val="none"/>
          <w:lang w:val="en-US" w:eastAsia="zh-CN"/>
        </w:rPr>
        <w:t>41</w:t>
      </w:r>
      <w:bookmarkStart w:id="131" w:name="_GoBack"/>
    </w:p>
    <w:bookmarkEnd w:id="131"/>
    <w:p w14:paraId="736D1A82">
      <w:pPr>
        <w:pStyle w:val="21"/>
        <w:keepNext w:val="0"/>
        <w:keepLines w:val="0"/>
        <w:pageBreakBefore w:val="0"/>
        <w:widowControl/>
        <w:tabs>
          <w:tab w:val="right" w:leader="dot" w:pos="8296"/>
        </w:tabs>
        <w:kinsoku/>
        <w:wordWrap/>
        <w:overflowPunct/>
        <w:topLinePunct w:val="0"/>
        <w:autoSpaceDE/>
        <w:autoSpaceDN/>
        <w:bidi w:val="0"/>
        <w:adjustRightInd/>
        <w:snapToGrid/>
        <w:spacing w:after="0" w:line="480" w:lineRule="auto"/>
        <w:textAlignment w:val="auto"/>
        <w:rPr>
          <w:rFonts w:asciiTheme="minorEastAsia" w:hAnsiTheme="minorEastAsia"/>
          <w:b/>
          <w:color w:val="auto"/>
          <w:sz w:val="32"/>
          <w:highlight w:val="none"/>
        </w:rPr>
      </w:pPr>
      <w:r>
        <w:rPr>
          <w:rFonts w:hint="eastAsia" w:ascii="宋体" w:hAnsi="宋体" w:eastAsia="宋体" w:cs="宋体"/>
          <w:bCs/>
          <w:color w:val="auto"/>
          <w:sz w:val="24"/>
          <w:szCs w:val="28"/>
          <w:highlight w:val="none"/>
        </w:rPr>
        <w:fldChar w:fldCharType="end"/>
      </w:r>
    </w:p>
    <w:p w14:paraId="1B2E0EE7">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247" w:right="1247" w:bottom="1247" w:left="1247" w:header="851" w:footer="992" w:gutter="0"/>
          <w:pgNumType w:fmt="decimal"/>
          <w:cols w:space="720" w:num="1"/>
          <w:rtlGutter w:val="0"/>
          <w:docGrid w:linePitch="462" w:charSpace="0"/>
        </w:sectPr>
      </w:pPr>
    </w:p>
    <w:p w14:paraId="67794ECC">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asciiTheme="minorEastAsia" w:hAnsiTheme="minorEastAsia" w:eastAsiaTheme="minorEastAsia"/>
          <w:b/>
          <w:color w:val="auto"/>
          <w:sz w:val="28"/>
          <w:highlight w:val="none"/>
        </w:rPr>
      </w:pPr>
      <w:bookmarkStart w:id="1" w:name="_Toc19988"/>
      <w:bookmarkStart w:id="2" w:name="_Toc501"/>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磋商邀请</w:t>
      </w:r>
      <w:bookmarkEnd w:id="1"/>
      <w:bookmarkEnd w:id="2"/>
    </w:p>
    <w:p w14:paraId="08CDA439">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 w:name="_Toc28359089"/>
      <w:bookmarkStart w:id="4" w:name="_Toc28359012"/>
      <w:bookmarkStart w:id="5" w:name="_Toc35393629"/>
      <w:bookmarkStart w:id="6" w:name="_Toc35393798"/>
      <w:bookmarkStart w:id="7" w:name="_Toc14730"/>
      <w:r>
        <w:rPr>
          <w:rFonts w:hint="eastAsia" w:ascii="宋体" w:hAnsi="宋体" w:eastAsia="宋体" w:cs="宋体"/>
          <w:b/>
          <w:bCs w:val="0"/>
          <w:color w:val="auto"/>
          <w:sz w:val="24"/>
          <w:szCs w:val="24"/>
          <w:highlight w:val="none"/>
        </w:rPr>
        <w:t>一、项目基本情况</w:t>
      </w:r>
      <w:bookmarkEnd w:id="3"/>
      <w:bookmarkEnd w:id="4"/>
      <w:bookmarkEnd w:id="5"/>
      <w:bookmarkEnd w:id="6"/>
      <w:bookmarkEnd w:id="7"/>
    </w:p>
    <w:p w14:paraId="231AA7E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HXJY1110001060444001</w:t>
      </w:r>
    </w:p>
    <w:p w14:paraId="135813CA">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heme="minorEastAsia" w:hAnsiTheme="minorEastAsia" w:eastAsiaTheme="minorEastAsia"/>
          <w:color w:val="auto"/>
          <w:sz w:val="24"/>
          <w:highlight w:val="none"/>
          <w:u w:val="single"/>
          <w:lang w:val="en-U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项目名称：</w:t>
      </w:r>
      <w:r>
        <w:rPr>
          <w:rFonts w:hint="eastAsia" w:asciiTheme="minorEastAsia" w:hAnsiTheme="minorEastAsia" w:eastAsiaTheme="minorEastAsia"/>
          <w:color w:val="auto"/>
          <w:sz w:val="24"/>
          <w:highlight w:val="none"/>
          <w:u w:val="single"/>
          <w:lang w:val="en-US" w:eastAsia="zh-CN"/>
        </w:rPr>
        <w:t>滁州市交通运输局多功能会议中心升级改造设计服务项目（二次）</w:t>
      </w:r>
    </w:p>
    <w:p w14:paraId="4EE93DA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预算金额：</w:t>
      </w:r>
      <w:r>
        <w:rPr>
          <w:rFonts w:hint="eastAsia" w:ascii="宋体" w:hAnsi="宋体" w:eastAsia="宋体"/>
          <w:color w:val="auto"/>
          <w:sz w:val="24"/>
          <w:szCs w:val="18"/>
          <w:highlight w:val="none"/>
          <w:u w:val="single"/>
          <w:lang w:val="en-US" w:eastAsia="zh-CN"/>
        </w:rPr>
        <w:t>40000.00元</w:t>
      </w:r>
    </w:p>
    <w:p w14:paraId="3B4188E4">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最高限价：</w:t>
      </w:r>
      <w:r>
        <w:rPr>
          <w:rFonts w:hint="eastAsia" w:ascii="宋体" w:hAnsi="宋体" w:eastAsia="宋体"/>
          <w:color w:val="auto"/>
          <w:sz w:val="24"/>
          <w:szCs w:val="18"/>
          <w:highlight w:val="none"/>
          <w:u w:val="single"/>
          <w:lang w:val="en-US" w:eastAsia="zh-CN"/>
        </w:rPr>
        <w:t>40000.00元</w:t>
      </w:r>
    </w:p>
    <w:p w14:paraId="001DE9B8">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olor w:val="auto"/>
          <w:sz w:val="24"/>
          <w:highlight w:val="none"/>
          <w:u w:val="singl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采购需求：</w:t>
      </w:r>
      <w:r>
        <w:rPr>
          <w:rFonts w:hint="eastAsia" w:asciiTheme="minorEastAsia" w:hAnsiTheme="minorEastAsia" w:eastAsiaTheme="minorEastAsia"/>
          <w:color w:val="auto"/>
          <w:sz w:val="24"/>
          <w:highlight w:val="none"/>
          <w:u w:val="single"/>
          <w:lang w:val="en-US" w:eastAsia="zh-CN"/>
        </w:rPr>
        <w:t>滁州市交通运输局多功能会议中心升级改造设计服务</w:t>
      </w:r>
    </w:p>
    <w:p w14:paraId="1462419C">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合同履行期限：</w:t>
      </w:r>
      <w:r>
        <w:rPr>
          <w:rFonts w:hint="eastAsia" w:ascii="宋体" w:hAnsi="宋体" w:eastAsia="宋体"/>
          <w:color w:val="auto"/>
          <w:sz w:val="24"/>
          <w:szCs w:val="18"/>
          <w:highlight w:val="none"/>
          <w:u w:val="single"/>
          <w:lang w:val="en-US" w:eastAsia="zh-CN"/>
        </w:rPr>
        <w:t>自合同签订之日起15个工作日内提供设计成果文件</w:t>
      </w:r>
    </w:p>
    <w:p w14:paraId="73EEA6A8">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Theme="minorEastAsia" w:hAnsiTheme="minorEastAsia" w:eastAsiaTheme="minorEastAsia"/>
          <w:color w:val="auto"/>
          <w:sz w:val="24"/>
          <w:highlight w:val="none"/>
        </w:rPr>
        <w:t>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w:t>
      </w:r>
    </w:p>
    <w:p w14:paraId="69FC7D58">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8" w:name="_Toc35393630"/>
      <w:bookmarkStart w:id="9" w:name="_Toc28359090"/>
      <w:bookmarkStart w:id="10" w:name="_Toc32615"/>
      <w:bookmarkStart w:id="11" w:name="_Toc28359013"/>
      <w:bookmarkStart w:id="12" w:name="_Toc35393799"/>
      <w:r>
        <w:rPr>
          <w:rFonts w:hint="eastAsia" w:ascii="宋体" w:hAnsi="宋体" w:eastAsia="宋体" w:cs="宋体"/>
          <w:b/>
          <w:bCs w:val="0"/>
          <w:color w:val="auto"/>
          <w:sz w:val="24"/>
          <w:szCs w:val="24"/>
          <w:highlight w:val="none"/>
        </w:rPr>
        <w:t>二、申请人的资格要求：</w:t>
      </w:r>
      <w:bookmarkEnd w:id="8"/>
      <w:bookmarkEnd w:id="9"/>
      <w:bookmarkEnd w:id="10"/>
      <w:bookmarkEnd w:id="11"/>
      <w:bookmarkEnd w:id="12"/>
    </w:p>
    <w:p w14:paraId="7418C7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bookmarkStart w:id="13" w:name="_Toc28359014"/>
      <w:bookmarkStart w:id="14" w:name="_Toc28359091"/>
      <w:r>
        <w:rPr>
          <w:rFonts w:hint="eastAsia" w:ascii="宋体" w:hAnsi="宋体" w:eastAsia="宋体" w:cs="宋体"/>
          <w:color w:val="auto"/>
          <w:sz w:val="24"/>
          <w:szCs w:val="24"/>
          <w:highlight w:val="none"/>
          <w:lang w:val="en-US" w:eastAsia="zh-CN"/>
        </w:rPr>
        <w:t>1.供应商</w:t>
      </w:r>
      <w:r>
        <w:rPr>
          <w:rFonts w:hint="eastAsia" w:ascii="宋体" w:hAnsi="宋体" w:eastAsia="宋体" w:cs="宋体"/>
          <w:color w:val="auto"/>
          <w:sz w:val="24"/>
          <w:szCs w:val="24"/>
          <w:highlight w:val="none"/>
          <w:lang w:val="en-US" w:eastAsia="en-US"/>
        </w:rPr>
        <w:t>同时具有有效的建筑装饰工程设计专项丙级（或以上）和建筑智能化系统设计乙级（或以上）资质；</w:t>
      </w:r>
    </w:p>
    <w:p w14:paraId="0CF0B4A6">
      <w:pPr>
        <w:pStyle w:val="4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2.供应商拟派项目负责人具有中级（或以上）职称证书。</w:t>
      </w:r>
    </w:p>
    <w:p w14:paraId="1CD8CA6F">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15" w:name="_Toc35393800"/>
      <w:bookmarkStart w:id="16" w:name="_Toc24072"/>
      <w:bookmarkStart w:id="17" w:name="_Toc35393631"/>
      <w:r>
        <w:rPr>
          <w:rFonts w:hint="eastAsia" w:ascii="宋体" w:hAnsi="宋体" w:eastAsia="宋体" w:cs="宋体"/>
          <w:b/>
          <w:bCs w:val="0"/>
          <w:color w:val="auto"/>
          <w:sz w:val="24"/>
          <w:szCs w:val="24"/>
          <w:highlight w:val="none"/>
        </w:rPr>
        <w:t>三、获取采购文件</w:t>
      </w:r>
      <w:bookmarkEnd w:id="13"/>
      <w:bookmarkEnd w:id="14"/>
      <w:bookmarkEnd w:id="15"/>
      <w:bookmarkEnd w:id="16"/>
      <w:bookmarkEnd w:id="17"/>
    </w:p>
    <w:p w14:paraId="6912F5E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i/>
          <w:iCs/>
          <w:color w:val="auto"/>
          <w:sz w:val="24"/>
          <w:szCs w:val="24"/>
          <w:highlight w:val="none"/>
        </w:rPr>
      </w:pPr>
      <w:bookmarkStart w:id="18" w:name="_Toc35393632"/>
      <w:bookmarkStart w:id="19" w:name="_Toc28359015"/>
      <w:bookmarkStart w:id="20" w:name="_Toc28359092"/>
      <w:bookmarkStart w:id="21" w:name="_Toc35393801"/>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 xml:space="preserve"> 11</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lang w:val="en-US" w:eastAsia="zh-CN"/>
        </w:rPr>
        <w:t xml:space="preserve"> 21</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iCs/>
          <w:color w:val="auto"/>
          <w:sz w:val="24"/>
          <w:szCs w:val="24"/>
          <w:highlight w:val="none"/>
          <w:u w:val="none"/>
        </w:rPr>
        <w:t>（</w:t>
      </w:r>
      <w:r>
        <w:rPr>
          <w:rFonts w:hint="eastAsia" w:asciiTheme="minorEastAsia" w:hAnsiTheme="minorEastAsia" w:eastAsiaTheme="minorEastAsia" w:cstheme="minorEastAsia"/>
          <w:i/>
          <w:color w:val="auto"/>
          <w:sz w:val="24"/>
          <w:szCs w:val="24"/>
          <w:highlight w:val="none"/>
          <w:u w:val="none"/>
        </w:rPr>
        <w:t>提供期限自本公告发布之日起不得少于5个工作日</w:t>
      </w:r>
      <w:r>
        <w:rPr>
          <w:rFonts w:hint="eastAsia" w:asciiTheme="minorEastAsia" w:hAnsiTheme="minorEastAsia" w:eastAsiaTheme="minorEastAsia" w:cstheme="minorEastAsia"/>
          <w:iCs/>
          <w:color w:val="auto"/>
          <w:sz w:val="24"/>
          <w:szCs w:val="24"/>
          <w:highlight w:val="none"/>
          <w:u w:val="none"/>
        </w:rPr>
        <w:t>）</w:t>
      </w:r>
    </w:p>
    <w:p w14:paraId="012EEB2A">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lang w:val="en-US" w:eastAsia="zh-CN"/>
        </w:rPr>
        <w:t>滁州市交通运输局</w:t>
      </w:r>
      <w:r>
        <w:rPr>
          <w:rFonts w:hint="eastAsia" w:asciiTheme="minorEastAsia" w:hAnsiTheme="minorEastAsia" w:eastAsiaTheme="minorEastAsia" w:cstheme="minorEastAsia"/>
          <w:color w:val="auto"/>
          <w:sz w:val="24"/>
          <w:szCs w:val="24"/>
          <w:highlight w:val="none"/>
        </w:rPr>
        <w:t>（https://jtj.chuzhou.gov.cn/）</w:t>
      </w:r>
      <w:r>
        <w:rPr>
          <w:rFonts w:hint="eastAsia" w:asciiTheme="minorEastAsia" w:hAnsiTheme="minorEastAsia" w:eastAsiaTheme="minorEastAsia" w:cstheme="minorEastAsia"/>
          <w:color w:val="auto"/>
          <w:sz w:val="24"/>
          <w:szCs w:val="24"/>
          <w:highlight w:val="none"/>
          <w:lang w:eastAsia="zh-CN"/>
        </w:rPr>
        <w:t>、</w:t>
      </w:r>
      <w:r>
        <w:rPr>
          <w:rFonts w:hint="eastAsia" w:asciiTheme="minorEastAsia" w:hAnsiTheme="minorEastAsia" w:eastAsiaTheme="minorEastAsia" w:cstheme="minorEastAsia"/>
          <w:color w:val="auto"/>
          <w:sz w:val="24"/>
          <w:szCs w:val="24"/>
          <w:highlight w:val="none"/>
        </w:rPr>
        <w:t>滁州市城投工程咨询管理有限公司网站（https://www.czctgczx.com/）</w:t>
      </w:r>
    </w:p>
    <w:p w14:paraId="20CD4FD0">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color w:val="auto"/>
          <w:sz w:val="24"/>
          <w:szCs w:val="24"/>
          <w:highlight w:val="none"/>
          <w:u w:val="single"/>
          <w:lang w:val="en-US" w:eastAsia="zh-CN"/>
        </w:rPr>
      </w:pP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highlight w:val="none"/>
          <w:lang w:val="en-US" w:eastAsia="zh-CN"/>
        </w:rPr>
        <w:t>网上下载</w:t>
      </w:r>
    </w:p>
    <w:p w14:paraId="7211F2A5">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2" w:name="_Toc5805"/>
      <w:r>
        <w:rPr>
          <w:rFonts w:hint="eastAsia" w:ascii="宋体" w:hAnsi="宋体" w:eastAsia="宋体" w:cs="宋体"/>
          <w:b/>
          <w:bCs w:val="0"/>
          <w:color w:val="auto"/>
          <w:sz w:val="24"/>
          <w:szCs w:val="24"/>
          <w:highlight w:val="none"/>
        </w:rPr>
        <w:t>四、响应文件提交</w:t>
      </w:r>
      <w:bookmarkEnd w:id="18"/>
      <w:bookmarkEnd w:id="19"/>
      <w:bookmarkEnd w:id="20"/>
      <w:bookmarkEnd w:id="21"/>
      <w:bookmarkEnd w:id="22"/>
    </w:p>
    <w:p w14:paraId="2DA5008F">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lang w:val="en-US" w:eastAsia="zh-CN"/>
        </w:rPr>
        <w:t>8</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lang w:val="en-US" w:eastAsia="zh-CN"/>
        </w:rPr>
        <w:t xml:space="preserve">21 </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lang w:val="en-US" w:eastAsia="zh-CN"/>
        </w:rPr>
        <w:t>15</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r>
        <w:rPr>
          <w:rFonts w:hint="eastAsia" w:ascii="宋体" w:hAnsi="宋体" w:eastAsia="宋体" w:cs="宋体"/>
          <w:iCs/>
          <w:color w:val="auto"/>
          <w:sz w:val="24"/>
          <w:szCs w:val="24"/>
          <w:highlight w:val="none"/>
          <w:u w:val="single"/>
        </w:rPr>
        <w:t>（</w:t>
      </w:r>
      <w:r>
        <w:rPr>
          <w:rFonts w:hint="eastAsia" w:ascii="宋体" w:hAnsi="宋体" w:eastAsia="宋体" w:cs="宋体"/>
          <w:i/>
          <w:color w:val="auto"/>
          <w:sz w:val="24"/>
          <w:szCs w:val="24"/>
          <w:highlight w:val="none"/>
          <w:u w:val="single"/>
        </w:rPr>
        <w:t>从磋商文件开始发出之日起至供应商提交首次响应文件截止之日止不得少于10日</w:t>
      </w:r>
      <w:r>
        <w:rPr>
          <w:rFonts w:hint="eastAsia" w:ascii="宋体" w:hAnsi="宋体" w:eastAsia="宋体" w:cs="宋体"/>
          <w:iCs/>
          <w:color w:val="auto"/>
          <w:sz w:val="24"/>
          <w:szCs w:val="24"/>
          <w:highlight w:val="none"/>
          <w:u w:val="single"/>
        </w:rPr>
        <w:t>）</w:t>
      </w:r>
    </w:p>
    <w:p w14:paraId="3B4C69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地点：新点电子交易平台后在【滁州专区】</w:t>
      </w:r>
    </w:p>
    <w:p w14:paraId="1C7FBB56">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3" w:name="_Toc35393633"/>
      <w:bookmarkStart w:id="24" w:name="_Toc28359016"/>
      <w:bookmarkStart w:id="25" w:name="_Toc32658"/>
      <w:bookmarkStart w:id="26" w:name="_Toc35393802"/>
      <w:bookmarkStart w:id="27" w:name="_Toc28359093"/>
      <w:r>
        <w:rPr>
          <w:rFonts w:hint="eastAsia" w:ascii="宋体" w:hAnsi="宋体" w:eastAsia="宋体" w:cs="宋体"/>
          <w:b/>
          <w:bCs w:val="0"/>
          <w:color w:val="auto"/>
          <w:sz w:val="24"/>
          <w:szCs w:val="24"/>
          <w:highlight w:val="none"/>
        </w:rPr>
        <w:t>五、开启</w:t>
      </w:r>
      <w:bookmarkEnd w:id="23"/>
      <w:bookmarkEnd w:id="24"/>
      <w:bookmarkEnd w:id="25"/>
      <w:bookmarkEnd w:id="26"/>
      <w:bookmarkEnd w:id="27"/>
    </w:p>
    <w:p w14:paraId="23AC9E9A">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时间：</w:t>
      </w: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lang w:val="en-US" w:eastAsia="zh-CN"/>
        </w:rPr>
        <w:t>8</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lang w:val="en-US" w:eastAsia="zh-CN"/>
        </w:rPr>
        <w:t xml:space="preserve"> 21 </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lang w:val="en-US" w:eastAsia="zh-CN"/>
        </w:rPr>
        <w:t>15</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lang w:val="en-US" w:eastAsia="zh-CN"/>
        </w:rPr>
        <w:t>00</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p>
    <w:p w14:paraId="18126C7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网上开标；本项目仅接受加密电子投标文件供应商在投标截止时间前通过新点电子交易平台后在【滁州专区】（https://www.etrading.cn/BREpointSSO/login/oauth2login?regioncode=DQ_ChuZhou）交易系统递交电子投标文件。</w:t>
      </w:r>
    </w:p>
    <w:p w14:paraId="48F945E3">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28" w:name="_Toc35393803"/>
      <w:bookmarkStart w:id="29" w:name="_Toc6935"/>
      <w:bookmarkStart w:id="30" w:name="_Toc35393634"/>
      <w:bookmarkStart w:id="31" w:name="_Toc28359094"/>
      <w:bookmarkStart w:id="32" w:name="_Toc28359017"/>
      <w:r>
        <w:rPr>
          <w:rFonts w:hint="eastAsia" w:ascii="宋体" w:hAnsi="宋体" w:eastAsia="宋体" w:cs="宋体"/>
          <w:b/>
          <w:bCs w:val="0"/>
          <w:color w:val="auto"/>
          <w:sz w:val="24"/>
          <w:szCs w:val="24"/>
          <w:highlight w:val="none"/>
        </w:rPr>
        <w:t>六、公告期限</w:t>
      </w:r>
      <w:bookmarkEnd w:id="28"/>
      <w:bookmarkEnd w:id="29"/>
      <w:bookmarkEnd w:id="30"/>
      <w:bookmarkEnd w:id="31"/>
      <w:bookmarkEnd w:id="32"/>
    </w:p>
    <w:p w14:paraId="2913E79F">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自本公告发布之日起3个工作日。</w:t>
      </w:r>
    </w:p>
    <w:p w14:paraId="721D02C2">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3" w:name="_Toc35393635"/>
      <w:bookmarkStart w:id="34" w:name="_Toc35393804"/>
      <w:bookmarkStart w:id="35" w:name="_Toc23004"/>
      <w:r>
        <w:rPr>
          <w:rFonts w:hint="eastAsia" w:ascii="宋体" w:hAnsi="宋体" w:eastAsia="宋体" w:cs="宋体"/>
          <w:b/>
          <w:bCs w:val="0"/>
          <w:color w:val="auto"/>
          <w:sz w:val="24"/>
          <w:szCs w:val="24"/>
          <w:highlight w:val="none"/>
        </w:rPr>
        <w:t>七、其他补充事宜</w:t>
      </w:r>
      <w:bookmarkEnd w:id="33"/>
      <w:bookmarkEnd w:id="34"/>
      <w:bookmarkEnd w:id="35"/>
    </w:p>
    <w:p w14:paraId="260772A7">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1.供应商从滁州市城投工程咨询管理有限公司（https://www.czctgczx.com/）下载。供应商自行承担因未按要求获取招标文件导致无法上传电子投标文件的风险。</w:t>
      </w:r>
    </w:p>
    <w:p w14:paraId="5D7B45E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式：（1）供应商须登录新点电子交易平台【滁州专区】查询、获取采购文件。首次登录办理入库手续，办理入库不收取任何费用。新点电子招投标统一认证平台使用相关问题（如系统登录、信息登记、录入及提交、数字证书关联等）请拨打服务电话：0512-58151515（工作日）。  </w:t>
      </w:r>
    </w:p>
    <w:p w14:paraId="18B34509">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登录新点电子交易平台【滁州专区】获取询价文件及其它资料（含澄清和补充说明等）。如在招标文件获取过程中遇到系统问题，请拨打技术支持服务热线0512-58151515（工作日）或者网站首页在线客服。</w:t>
      </w:r>
    </w:p>
    <w:p w14:paraId="09BCAEE3">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2.招标文件及相关资料售价：人民币0元/套。</w:t>
      </w:r>
    </w:p>
    <w:p w14:paraId="512EC86D">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本项目开评标实行全流程电子化，开标活动在线完成。开标时供应商无需到达开标现场，不接受现场解密，实行远程解密和在线询标。各供应商认真学习《新点电子交易平台供应商操作手册》，务必掌握远程解密方法和在线回复询标方法。</w:t>
      </w:r>
    </w:p>
    <w:p w14:paraId="61ABAE3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4.本项目采用不见面开标，供应商登录滁州市城投工程咨询有限公司不见面开标系统参与网上开标（网址：http://js.etrading.cn/EpointBidOpening/bidopeninghallaction/hall/login）。</w:t>
      </w:r>
    </w:p>
    <w:p w14:paraId="5B2D3030">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供应商应在投标截止时间之前，登录新点电子交易平台【滁州专区】上传投标文件</w:t>
      </w:r>
    </w:p>
    <w:p w14:paraId="2AF97BAB">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5.本项目仅接受加密电子投标文件供应商在投标截止时间前通过新点电子交易平台后在【滁州专区】</w:t>
      </w:r>
    </w:p>
    <w:p w14:paraId="6DA3895E">
      <w:pPr>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（https://www.etrading.cn/BREpointSSO/login/oauth2login?regioncode=DQ_ChuZhou）交易系统递交电子投标文件。</w:t>
      </w:r>
    </w:p>
    <w:p w14:paraId="35027F18">
      <w:pPr>
        <w:pStyle w:val="3"/>
        <w:pageBreakBefore w:val="0"/>
        <w:widowControl w:val="0"/>
        <w:kinsoku/>
        <w:wordWrap/>
        <w:overflowPunct/>
        <w:topLinePunct w:val="0"/>
        <w:autoSpaceDE/>
        <w:autoSpaceDN/>
        <w:bidi w:val="0"/>
        <w:adjustRightInd/>
        <w:snapToGrid/>
        <w:spacing w:before="0" w:after="0" w:line="360" w:lineRule="auto"/>
        <w:ind w:left="0" w:leftChars="0" w:firstLine="482" w:firstLineChars="200"/>
        <w:textAlignment w:val="auto"/>
        <w:rPr>
          <w:rFonts w:hint="eastAsia" w:ascii="宋体" w:hAnsi="宋体" w:eastAsia="宋体" w:cs="宋体"/>
          <w:b/>
          <w:bCs w:val="0"/>
          <w:color w:val="auto"/>
          <w:sz w:val="24"/>
          <w:szCs w:val="24"/>
          <w:highlight w:val="none"/>
        </w:rPr>
      </w:pPr>
      <w:bookmarkStart w:id="36" w:name="_Toc35393805"/>
      <w:bookmarkStart w:id="37" w:name="_Toc28359018"/>
      <w:bookmarkStart w:id="38" w:name="_Toc28099"/>
      <w:bookmarkStart w:id="39" w:name="_Toc28359095"/>
      <w:bookmarkStart w:id="40" w:name="_Toc35393636"/>
      <w:r>
        <w:rPr>
          <w:rFonts w:hint="eastAsia" w:ascii="宋体" w:hAnsi="宋体" w:eastAsia="宋体" w:cs="宋体"/>
          <w:b/>
          <w:bCs w:val="0"/>
          <w:color w:val="auto"/>
          <w:sz w:val="24"/>
          <w:szCs w:val="24"/>
          <w:highlight w:val="none"/>
        </w:rPr>
        <w:t>八、凡对本次采购提出询问，请按以下方式联系。</w:t>
      </w:r>
      <w:bookmarkEnd w:id="36"/>
      <w:bookmarkEnd w:id="37"/>
      <w:bookmarkEnd w:id="38"/>
      <w:bookmarkEnd w:id="39"/>
      <w:bookmarkEnd w:id="40"/>
    </w:p>
    <w:p w14:paraId="2FB5DB3B">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auto"/>
          <w:sz w:val="24"/>
          <w:szCs w:val="24"/>
          <w:highlight w:val="none"/>
        </w:rPr>
      </w:pPr>
      <w:bookmarkStart w:id="41" w:name="_Toc35393637"/>
      <w:bookmarkStart w:id="42" w:name="_Toc28359096"/>
      <w:bookmarkStart w:id="43" w:name="_Toc35393806"/>
      <w:bookmarkStart w:id="44" w:name="_Toc29915"/>
      <w:bookmarkStart w:id="45" w:name="_Toc28359019"/>
      <w:r>
        <w:rPr>
          <w:rFonts w:hint="eastAsia" w:ascii="宋体" w:hAnsi="宋体" w:eastAsia="宋体" w:cs="宋体"/>
          <w:b w:val="0"/>
          <w:color w:val="auto"/>
          <w:sz w:val="24"/>
          <w:szCs w:val="24"/>
          <w:highlight w:val="none"/>
        </w:rPr>
        <w:t>1.采购人信息</w:t>
      </w:r>
      <w:bookmarkEnd w:id="41"/>
      <w:bookmarkEnd w:id="42"/>
      <w:bookmarkEnd w:id="43"/>
      <w:bookmarkEnd w:id="44"/>
      <w:bookmarkEnd w:id="45"/>
    </w:p>
    <w:p w14:paraId="3BF36869">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bookmarkStart w:id="46" w:name="_Toc28359097"/>
      <w:bookmarkStart w:id="47" w:name="_Toc35393638"/>
      <w:bookmarkStart w:id="48" w:name="_Toc28359020"/>
      <w:bookmarkStart w:id="49" w:name="_Toc35393807"/>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val="en-US" w:eastAsia="zh-CN"/>
        </w:rPr>
        <w:t>滁州市交通运输局</w:t>
      </w:r>
    </w:p>
    <w:p w14:paraId="4E03C57C">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址：滁州市龙蟠大道200号</w:t>
      </w:r>
    </w:p>
    <w:p w14:paraId="6A730C3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联系人：张超</w:t>
      </w:r>
    </w:p>
    <w:p w14:paraId="7DE3DE03">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eastAsia="zh-CN"/>
        </w:rPr>
        <w:t xml:space="preserve">0550-3218684 </w:t>
      </w:r>
    </w:p>
    <w:p w14:paraId="0EFC4795">
      <w:pPr>
        <w:pStyle w:val="3"/>
        <w:pageBreakBefore w:val="0"/>
        <w:widowControl w:val="0"/>
        <w:kinsoku/>
        <w:wordWrap/>
        <w:overflowPunct/>
        <w:topLinePunct w:val="0"/>
        <w:autoSpaceDE/>
        <w:autoSpaceDN/>
        <w:bidi w:val="0"/>
        <w:adjustRightInd/>
        <w:snapToGrid/>
        <w:spacing w:before="0" w:after="0" w:line="360" w:lineRule="auto"/>
        <w:ind w:left="0" w:leftChars="0" w:firstLine="480" w:firstLineChars="200"/>
        <w:textAlignment w:val="auto"/>
        <w:rPr>
          <w:rFonts w:hint="eastAsia" w:ascii="宋体" w:hAnsi="宋体" w:eastAsia="宋体" w:cs="宋体"/>
          <w:b w:val="0"/>
          <w:color w:val="auto"/>
          <w:sz w:val="24"/>
          <w:szCs w:val="24"/>
          <w:highlight w:val="none"/>
        </w:rPr>
      </w:pPr>
      <w:bookmarkStart w:id="50" w:name="_Toc15577"/>
      <w:r>
        <w:rPr>
          <w:rFonts w:hint="eastAsia" w:ascii="宋体" w:hAnsi="宋体" w:eastAsia="宋体" w:cs="宋体"/>
          <w:b w:val="0"/>
          <w:color w:val="auto"/>
          <w:sz w:val="24"/>
          <w:szCs w:val="24"/>
          <w:highlight w:val="none"/>
        </w:rPr>
        <w:t>2.采购代理机构信息</w:t>
      </w:r>
      <w:bookmarkEnd w:id="46"/>
      <w:bookmarkEnd w:id="47"/>
      <w:bookmarkEnd w:id="48"/>
      <w:bookmarkEnd w:id="49"/>
      <w:bookmarkEnd w:id="50"/>
    </w:p>
    <w:p w14:paraId="139FD258">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bookmarkStart w:id="51" w:name="_Toc28359021"/>
      <w:bookmarkStart w:id="52" w:name="_Toc35393639"/>
      <w:bookmarkStart w:id="53" w:name="_Toc28359098"/>
      <w:bookmarkStart w:id="54" w:name="_Toc35393808"/>
      <w:r>
        <w:rPr>
          <w:rFonts w:hint="eastAsia" w:ascii="宋体" w:hAnsi="宋体" w:eastAsia="宋体" w:cs="宋体"/>
          <w:color w:val="auto"/>
          <w:sz w:val="24"/>
          <w:szCs w:val="24"/>
          <w:highlight w:val="none"/>
          <w:lang w:val="en-US" w:eastAsia="zh-CN"/>
        </w:rPr>
        <w:t>名  称</w:t>
      </w:r>
      <w:r>
        <w:rPr>
          <w:rFonts w:hint="eastAsia" w:ascii="宋体" w:hAnsi="宋体" w:eastAsia="宋体"/>
          <w:color w:val="auto"/>
          <w:sz w:val="24"/>
          <w:szCs w:val="18"/>
          <w:highlight w:val="none"/>
        </w:rPr>
        <w:t>：滁州市城投工程咨询管理有限公司</w:t>
      </w:r>
    </w:p>
    <w:p w14:paraId="7905E915">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 xml:space="preserve">  址：</w:t>
      </w:r>
      <w:r>
        <w:rPr>
          <w:rFonts w:hint="eastAsia" w:ascii="宋体" w:hAnsi="宋体" w:eastAsia="宋体"/>
          <w:color w:val="auto"/>
          <w:sz w:val="24"/>
          <w:szCs w:val="18"/>
          <w:highlight w:val="none"/>
        </w:rPr>
        <w:t>滁州市龙蟠大道109号房产商务大厦6楼</w:t>
      </w:r>
    </w:p>
    <w:p w14:paraId="13DCD980">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highlight w:val="none"/>
        </w:rPr>
      </w:pPr>
      <w:r>
        <w:rPr>
          <w:rFonts w:hint="eastAsia" w:ascii="宋体" w:hAnsi="宋体" w:eastAsia="宋体"/>
          <w:color w:val="auto"/>
          <w:sz w:val="24"/>
          <w:szCs w:val="18"/>
          <w:highlight w:val="none"/>
          <w:lang w:val="en-US" w:eastAsia="zh-CN"/>
        </w:rPr>
        <w:t>联系人：杨韦</w:t>
      </w:r>
    </w:p>
    <w:p w14:paraId="44B82226">
      <w:pPr>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szCs w:val="18"/>
          <w:highlight w:val="none"/>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：0550-3519590/18005501210　</w:t>
      </w:r>
    </w:p>
    <w:bookmarkEnd w:id="51"/>
    <w:bookmarkEnd w:id="52"/>
    <w:bookmarkEnd w:id="53"/>
    <w:bookmarkEnd w:id="54"/>
    <w:p w14:paraId="25937BA5">
      <w:pPr>
        <w:spacing w:line="360" w:lineRule="auto"/>
        <w:ind w:firstLine="435"/>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19CD366">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55" w:name="_Toc7162"/>
      <w:r>
        <w:rPr>
          <w:rFonts w:hint="eastAsia" w:asciiTheme="minorEastAsia" w:hAnsiTheme="minorEastAsia" w:eastAsiaTheme="minorEastAsia"/>
          <w:b/>
          <w:color w:val="auto"/>
          <w:sz w:val="28"/>
          <w:highlight w:val="none"/>
        </w:rPr>
        <w:t>第二章  供应商须知</w:t>
      </w:r>
      <w:bookmarkEnd w:id="55"/>
    </w:p>
    <w:p w14:paraId="72497CA6">
      <w:pPr>
        <w:spacing w:line="360" w:lineRule="auto"/>
        <w:jc w:val="center"/>
        <w:outlineLvl w:val="1"/>
        <w:rPr>
          <w:rFonts w:asciiTheme="minorEastAsia" w:hAnsiTheme="minorEastAsia" w:eastAsiaTheme="minorEastAsia"/>
          <w:b/>
          <w:color w:val="auto"/>
          <w:sz w:val="24"/>
          <w:highlight w:val="none"/>
        </w:rPr>
      </w:pPr>
      <w:bookmarkStart w:id="56" w:name="_Toc11383"/>
      <w:bookmarkStart w:id="57" w:name="_Toc11709"/>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56"/>
      <w:bookmarkEnd w:id="57"/>
    </w:p>
    <w:p w14:paraId="4F572B6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6"/>
        <w:tblW w:w="52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4"/>
        <w:gridCol w:w="2555"/>
        <w:gridCol w:w="6460"/>
      </w:tblGrid>
      <w:tr w14:paraId="6492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7C46444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2262" w:type="dxa"/>
            <w:vAlign w:val="center"/>
          </w:tcPr>
          <w:p w14:paraId="042B1B6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5718" w:type="dxa"/>
            <w:vAlign w:val="center"/>
          </w:tcPr>
          <w:p w14:paraId="073FF27B">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5664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6BC6202D">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2262" w:type="dxa"/>
            <w:vAlign w:val="center"/>
          </w:tcPr>
          <w:p w14:paraId="24ED63D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5718" w:type="dxa"/>
            <w:vAlign w:val="center"/>
          </w:tcPr>
          <w:p w14:paraId="2CFD9CDD">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tc>
      </w:tr>
      <w:tr w14:paraId="6453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7C5EFC3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2262" w:type="dxa"/>
            <w:vAlign w:val="center"/>
          </w:tcPr>
          <w:p w14:paraId="352B568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5718" w:type="dxa"/>
            <w:vAlign w:val="center"/>
          </w:tcPr>
          <w:p w14:paraId="4F1C283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rPr>
              <w:t>年</w:t>
            </w:r>
            <w:r>
              <w:rPr>
                <w:rFonts w:hint="eastAsia" w:ascii="宋体" w:hAnsi="宋体" w:eastAsia="宋体"/>
                <w:b w:val="0"/>
                <w:color w:val="auto"/>
                <w:sz w:val="24"/>
                <w:highlight w:val="none"/>
                <w:u w:val="single"/>
                <w:lang w:val="en-US" w:eastAsia="zh-CN"/>
              </w:rPr>
              <w:t xml:space="preserve"> 8 </w:t>
            </w:r>
            <w:r>
              <w:rPr>
                <w:rFonts w:ascii="宋体" w:hAnsi="宋体" w:eastAsia="宋体"/>
                <w:b w:val="0"/>
                <w:color w:val="auto"/>
                <w:sz w:val="24"/>
                <w:highlight w:val="none"/>
              </w:rPr>
              <w:t>月</w:t>
            </w:r>
            <w:r>
              <w:rPr>
                <w:rFonts w:hint="eastAsia" w:ascii="宋体" w:hAnsi="宋体" w:eastAsia="宋体"/>
                <w:b w:val="0"/>
                <w:color w:val="auto"/>
                <w:sz w:val="24"/>
                <w:highlight w:val="none"/>
                <w:u w:val="single"/>
                <w:lang w:val="en-US" w:eastAsia="zh-CN"/>
              </w:rPr>
              <w:t xml:space="preserve"> 14 </w:t>
            </w:r>
            <w:r>
              <w:rPr>
                <w:rFonts w:ascii="宋体" w:hAnsi="宋体" w:eastAsia="宋体"/>
                <w:b w:val="0"/>
                <w:color w:val="auto"/>
                <w:sz w:val="24"/>
                <w:highlight w:val="none"/>
              </w:rPr>
              <w:t>日</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rPr>
              <w:t>时</w:t>
            </w:r>
            <w:r>
              <w:rPr>
                <w:rFonts w:hint="eastAsia" w:ascii="宋体" w:hAnsi="宋体" w:eastAsia="宋体"/>
                <w:b w:val="0"/>
                <w:color w:val="auto"/>
                <w:sz w:val="24"/>
                <w:highlight w:val="none"/>
                <w:u w:val="single"/>
                <w:lang w:val="en-US" w:eastAsia="zh-CN"/>
              </w:rPr>
              <w:t>30</w:t>
            </w:r>
            <w:r>
              <w:rPr>
                <w:rFonts w:hint="eastAsia" w:ascii="宋体" w:hAnsi="宋体" w:eastAsia="宋体"/>
                <w:b w:val="0"/>
                <w:color w:val="auto"/>
                <w:sz w:val="24"/>
                <w:highlight w:val="none"/>
              </w:rPr>
              <w:t>分</w:t>
            </w:r>
          </w:p>
        </w:tc>
      </w:tr>
      <w:tr w14:paraId="69CB7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977" w:type="dxa"/>
            <w:vAlign w:val="center"/>
          </w:tcPr>
          <w:p w14:paraId="5E7FA196">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7.1</w:t>
            </w:r>
          </w:p>
        </w:tc>
        <w:tc>
          <w:tcPr>
            <w:tcW w:w="2262" w:type="dxa"/>
            <w:vAlign w:val="center"/>
          </w:tcPr>
          <w:p w14:paraId="78354D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5718" w:type="dxa"/>
            <w:vAlign w:val="center"/>
          </w:tcPr>
          <w:p w14:paraId="77CA5FEB">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ascii="宋体" w:hAnsi="宋体" w:eastAsia="宋体"/>
                <w:b w:val="0"/>
                <w:color w:val="auto"/>
                <w:sz w:val="24"/>
                <w:highlight w:val="none"/>
              </w:rPr>
              <w:t>不分包</w:t>
            </w:r>
          </w:p>
        </w:tc>
      </w:tr>
      <w:tr w14:paraId="0AB2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977" w:type="dxa"/>
            <w:vAlign w:val="center"/>
          </w:tcPr>
          <w:p w14:paraId="2D8EEAB5">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10.1</w:t>
            </w:r>
          </w:p>
        </w:tc>
        <w:tc>
          <w:tcPr>
            <w:tcW w:w="2262" w:type="dxa"/>
            <w:vAlign w:val="center"/>
          </w:tcPr>
          <w:p w14:paraId="3340393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磋商保证金</w:t>
            </w:r>
          </w:p>
        </w:tc>
        <w:tc>
          <w:tcPr>
            <w:tcW w:w="5718" w:type="dxa"/>
            <w:vAlign w:val="center"/>
          </w:tcPr>
          <w:p w14:paraId="0E92960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不收取</w:t>
            </w:r>
          </w:p>
        </w:tc>
      </w:tr>
      <w:tr w14:paraId="7AD0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69328D3">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11</w:t>
            </w:r>
            <w:r>
              <w:rPr>
                <w:rFonts w:ascii="宋体" w:hAnsi="宋体" w:eastAsia="宋体"/>
                <w:bCs/>
                <w:color w:val="auto"/>
                <w:kern w:val="2"/>
                <w:highlight w:val="none"/>
              </w:rPr>
              <w:t>.1</w:t>
            </w:r>
          </w:p>
        </w:tc>
        <w:tc>
          <w:tcPr>
            <w:tcW w:w="2262" w:type="dxa"/>
            <w:vAlign w:val="center"/>
          </w:tcPr>
          <w:p w14:paraId="304C16F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磋商有效期</w:t>
            </w:r>
          </w:p>
        </w:tc>
        <w:tc>
          <w:tcPr>
            <w:tcW w:w="5718" w:type="dxa"/>
            <w:vAlign w:val="center"/>
          </w:tcPr>
          <w:p w14:paraId="40C877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rPr>
              <w:t>日历日</w:t>
            </w:r>
          </w:p>
        </w:tc>
      </w:tr>
      <w:tr w14:paraId="55B38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411D5E4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12</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2262" w:type="dxa"/>
            <w:vAlign w:val="center"/>
          </w:tcPr>
          <w:p w14:paraId="0A6F642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响应文件解密时间</w:t>
            </w:r>
          </w:p>
        </w:tc>
        <w:tc>
          <w:tcPr>
            <w:tcW w:w="5718" w:type="dxa"/>
            <w:vAlign w:val="center"/>
          </w:tcPr>
          <w:p w14:paraId="3408BA0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u w:val="single"/>
              </w:rPr>
            </w:pPr>
            <w:r>
              <w:rPr>
                <w:rFonts w:hint="eastAsia" w:ascii="宋体" w:hAnsi="宋体" w:eastAsia="宋体"/>
                <w:b w:val="0"/>
                <w:color w:val="auto"/>
                <w:sz w:val="24"/>
                <w:highlight w:val="none"/>
                <w:u w:val="none"/>
              </w:rPr>
              <w:t>响应文件提交截止时间后</w:t>
            </w:r>
            <w:r>
              <w:rPr>
                <w:rFonts w:hint="eastAsia" w:ascii="宋体" w:hAnsi="宋体" w:eastAsia="宋体"/>
                <w:b w:val="0"/>
                <w:color w:val="auto"/>
                <w:sz w:val="24"/>
                <w:highlight w:val="none"/>
                <w:u w:val="single"/>
                <w:lang w:val="en-US" w:eastAsia="zh-CN"/>
              </w:rPr>
              <w:t xml:space="preserve"> 30 </w:t>
            </w:r>
            <w:r>
              <w:rPr>
                <w:rFonts w:hint="eastAsia" w:ascii="宋体" w:hAnsi="宋体" w:eastAsia="宋体"/>
                <w:b w:val="0"/>
                <w:color w:val="auto"/>
                <w:sz w:val="24"/>
                <w:highlight w:val="none"/>
                <w:u w:val="none"/>
              </w:rPr>
              <w:t>分钟内</w:t>
            </w:r>
          </w:p>
        </w:tc>
      </w:tr>
      <w:tr w14:paraId="4593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4E2E66E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14.2</w:t>
            </w:r>
          </w:p>
        </w:tc>
        <w:tc>
          <w:tcPr>
            <w:tcW w:w="2262" w:type="dxa"/>
            <w:vAlign w:val="center"/>
          </w:tcPr>
          <w:p w14:paraId="2B0AAC0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评审方法</w:t>
            </w:r>
          </w:p>
        </w:tc>
        <w:tc>
          <w:tcPr>
            <w:tcW w:w="5718" w:type="dxa"/>
            <w:vAlign w:val="center"/>
          </w:tcPr>
          <w:p w14:paraId="5F993E8E">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u w:val="none"/>
              </w:rPr>
              <w:t>综合评分法</w:t>
            </w:r>
          </w:p>
        </w:tc>
      </w:tr>
      <w:tr w14:paraId="5FCD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Merge w:val="restart"/>
            <w:vAlign w:val="center"/>
          </w:tcPr>
          <w:p w14:paraId="2E4CC8F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19</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2262" w:type="dxa"/>
            <w:vMerge w:val="restart"/>
            <w:vAlign w:val="center"/>
          </w:tcPr>
          <w:p w14:paraId="539C841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5718" w:type="dxa"/>
            <w:vAlign w:val="center"/>
          </w:tcPr>
          <w:p w14:paraId="73469ED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rPr>
              <w:t>磋商小组推荐成交</w:t>
            </w:r>
            <w:r>
              <w:rPr>
                <w:rFonts w:ascii="宋体" w:hAnsi="宋体" w:eastAsia="宋体"/>
                <w:b w:val="0"/>
                <w:color w:val="auto"/>
                <w:sz w:val="24"/>
                <w:highlight w:val="none"/>
              </w:rPr>
              <w:t>候选</w:t>
            </w:r>
            <w:r>
              <w:rPr>
                <w:rFonts w:hint="eastAsia" w:ascii="宋体" w:hAnsi="宋体" w:eastAsia="宋体"/>
                <w:b w:val="0"/>
                <w:color w:val="auto"/>
                <w:sz w:val="24"/>
                <w:highlight w:val="none"/>
              </w:rPr>
              <w:t>供应商的</w:t>
            </w:r>
            <w:r>
              <w:rPr>
                <w:rFonts w:ascii="宋体" w:hAnsi="宋体" w:eastAsia="宋体"/>
                <w:b w:val="0"/>
                <w:color w:val="auto"/>
                <w:sz w:val="24"/>
                <w:highlight w:val="none"/>
              </w:rPr>
              <w:t>数</w:t>
            </w:r>
            <w:r>
              <w:rPr>
                <w:rFonts w:hint="eastAsia" w:ascii="宋体" w:hAnsi="宋体" w:eastAsia="宋体"/>
                <w:b w:val="0"/>
                <w:color w:val="auto"/>
                <w:sz w:val="24"/>
                <w:highlight w:val="none"/>
              </w:rPr>
              <w:t>量：3家</w:t>
            </w:r>
          </w:p>
          <w:p w14:paraId="2C9916C0">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b w:val="0"/>
                <w:color w:val="auto"/>
                <w:sz w:val="24"/>
                <w:highlight w:val="none"/>
                <w:lang w:val="en-US" w:eastAsia="zh-CN"/>
              </w:rPr>
              <w:t>注：法律、法规另有规定的，从其规定。</w:t>
            </w:r>
          </w:p>
        </w:tc>
      </w:tr>
      <w:tr w14:paraId="43A9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Merge w:val="continue"/>
            <w:vAlign w:val="center"/>
          </w:tcPr>
          <w:p w14:paraId="576B3605">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p>
        </w:tc>
        <w:tc>
          <w:tcPr>
            <w:tcW w:w="2262" w:type="dxa"/>
            <w:vMerge w:val="continue"/>
            <w:vAlign w:val="center"/>
          </w:tcPr>
          <w:p w14:paraId="7204DB5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p>
        </w:tc>
        <w:tc>
          <w:tcPr>
            <w:tcW w:w="5718" w:type="dxa"/>
            <w:vAlign w:val="center"/>
          </w:tcPr>
          <w:p w14:paraId="45E02C59">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确定成交供应商：</w:t>
            </w:r>
          </w:p>
          <w:p w14:paraId="3D184A04">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color w:val="auto"/>
                <w:sz w:val="24"/>
                <w:highlight w:val="none"/>
              </w:rPr>
              <w:sym w:font="Wingdings" w:char="00FE"/>
            </w:r>
            <w:r>
              <w:rPr>
                <w:rFonts w:hint="eastAsia" w:ascii="宋体" w:hAnsi="宋体" w:eastAsia="宋体"/>
                <w:b w:val="0"/>
                <w:color w:val="auto"/>
                <w:sz w:val="24"/>
                <w:highlight w:val="none"/>
              </w:rPr>
              <w:t xml:space="preserve">采购人委托磋商小组确定 </w:t>
            </w:r>
            <w:r>
              <w:rPr>
                <w:rFonts w:ascii="宋体" w:hAnsi="宋体" w:eastAsia="宋体"/>
                <w:b w:val="0"/>
                <w:color w:val="auto"/>
                <w:sz w:val="24"/>
                <w:highlight w:val="none"/>
              </w:rPr>
              <w:t xml:space="preserve">   </w:t>
            </w:r>
            <w:r>
              <w:rPr>
                <w:rFonts w:hint="eastAsia" w:ascii="宋体" w:hAnsi="宋体" w:eastAsia="宋体"/>
                <w:b w:val="0"/>
                <w:color w:val="auto"/>
                <w:sz w:val="24"/>
                <w:highlight w:val="none"/>
              </w:rPr>
              <w:t xml:space="preserve"> □采购人确定</w:t>
            </w:r>
          </w:p>
        </w:tc>
      </w:tr>
      <w:tr w14:paraId="6F72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57ADC12B">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22</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2262" w:type="dxa"/>
            <w:vAlign w:val="center"/>
          </w:tcPr>
          <w:p w14:paraId="2A029FC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随成交结果公告同时公告的内容</w:t>
            </w:r>
          </w:p>
        </w:tc>
        <w:tc>
          <w:tcPr>
            <w:tcW w:w="5718" w:type="dxa"/>
            <w:vAlign w:val="center"/>
          </w:tcPr>
          <w:p w14:paraId="5A7B76D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val="0"/>
                <w:color w:val="auto"/>
                <w:kern w:val="0"/>
                <w:sz w:val="24"/>
                <w:szCs w:val="24"/>
                <w:highlight w:val="none"/>
                <w:lang w:val="en-US" w:eastAsia="zh-CN" w:bidi="ar-SA"/>
              </w:rPr>
            </w:pPr>
            <w:r>
              <w:rPr>
                <w:rFonts w:hint="eastAsia" w:ascii="宋体" w:hAnsi="宋体" w:eastAsia="宋体"/>
                <w:b w:val="0"/>
                <w:color w:val="auto"/>
                <w:sz w:val="24"/>
                <w:highlight w:val="none"/>
                <w:u w:val="none"/>
              </w:rPr>
              <w:t>成交供应商的评审总得分</w:t>
            </w:r>
            <w:r>
              <w:rPr>
                <w:rFonts w:hint="eastAsia" w:ascii="宋体" w:hAnsi="宋体" w:eastAsia="宋体"/>
                <w:b w:val="0"/>
                <w:color w:val="auto"/>
                <w:sz w:val="24"/>
                <w:highlight w:val="none"/>
                <w:u w:val="none"/>
                <w:lang w:eastAsia="zh-CN"/>
              </w:rPr>
              <w:t>；</w:t>
            </w:r>
          </w:p>
        </w:tc>
      </w:tr>
      <w:tr w14:paraId="1718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2038A0FC">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.1</w:t>
            </w:r>
          </w:p>
        </w:tc>
        <w:tc>
          <w:tcPr>
            <w:tcW w:w="2262" w:type="dxa"/>
            <w:vAlign w:val="center"/>
          </w:tcPr>
          <w:p w14:paraId="6340B4B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成交通知书发出的形式</w:t>
            </w:r>
          </w:p>
        </w:tc>
        <w:tc>
          <w:tcPr>
            <w:tcW w:w="5718" w:type="dxa"/>
            <w:vAlign w:val="center"/>
          </w:tcPr>
          <w:p w14:paraId="497FD71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rPr>
              <w:t xml:space="preserve">书面 </w:t>
            </w:r>
            <w:r>
              <w:rPr>
                <w:rFonts w:ascii="宋体" w:hAnsi="宋体" w:eastAsia="宋体"/>
                <w:b w:val="0"/>
                <w:color w:val="auto"/>
                <w:sz w:val="24"/>
                <w:highlight w:val="none"/>
              </w:rPr>
              <w:t xml:space="preserve">    </w:t>
            </w:r>
            <w:r>
              <w:rPr>
                <w:rFonts w:hint="eastAsia" w:ascii="宋体" w:hAnsi="宋体" w:eastAsia="宋体"/>
                <w:b w:val="0"/>
                <w:bCs w:val="0"/>
                <w:color w:val="auto"/>
                <w:sz w:val="24"/>
                <w:szCs w:val="24"/>
                <w:highlight w:val="none"/>
              </w:rPr>
              <w:sym w:font="Wingdings" w:char="00A8"/>
            </w:r>
            <w:r>
              <w:rPr>
                <w:rFonts w:hint="eastAsia" w:ascii="宋体" w:hAnsi="宋体" w:eastAsia="宋体"/>
                <w:b w:val="0"/>
                <w:color w:val="auto"/>
                <w:sz w:val="24"/>
                <w:highlight w:val="none"/>
              </w:rPr>
              <w:t>数据电文</w:t>
            </w:r>
          </w:p>
        </w:tc>
      </w:tr>
      <w:tr w14:paraId="1F44F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1B64288">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24</w:t>
            </w:r>
            <w:r>
              <w:rPr>
                <w:rFonts w:ascii="宋体" w:hAnsi="宋体" w:eastAsia="宋体"/>
                <w:bCs/>
                <w:color w:val="auto"/>
                <w:kern w:val="2"/>
                <w:highlight w:val="none"/>
              </w:rPr>
              <w:t>.1</w:t>
            </w:r>
          </w:p>
        </w:tc>
        <w:tc>
          <w:tcPr>
            <w:tcW w:w="2262" w:type="dxa"/>
            <w:vAlign w:val="center"/>
          </w:tcPr>
          <w:p w14:paraId="26C3263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告知磋商结果的形式</w:t>
            </w:r>
          </w:p>
        </w:tc>
        <w:tc>
          <w:tcPr>
            <w:tcW w:w="5718" w:type="dxa"/>
            <w:vAlign w:val="center"/>
          </w:tcPr>
          <w:p w14:paraId="1733F6F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val="0"/>
                <w:color w:val="auto"/>
                <w:sz w:val="24"/>
                <w:szCs w:val="24"/>
                <w:highlight w:val="none"/>
              </w:rPr>
              <w:t>供应商自行登录电子</w:t>
            </w:r>
            <w:r>
              <w:rPr>
                <w:rFonts w:hint="eastAsia" w:ascii="宋体" w:hAnsi="宋体" w:eastAsia="宋体" w:cs="宋体"/>
                <w:b w:val="0"/>
                <w:bCs w:val="0"/>
                <w:color w:val="auto"/>
                <w:sz w:val="24"/>
                <w:szCs w:val="24"/>
                <w:highlight w:val="none"/>
                <w:lang w:val="en-US" w:eastAsia="zh-CN"/>
              </w:rPr>
              <w:t>交易</w:t>
            </w:r>
            <w:r>
              <w:rPr>
                <w:rFonts w:hint="eastAsia" w:ascii="宋体" w:hAnsi="宋体" w:eastAsia="宋体"/>
                <w:b w:val="0"/>
                <w:bCs w:val="0"/>
                <w:color w:val="auto"/>
                <w:sz w:val="24"/>
                <w:szCs w:val="24"/>
                <w:highlight w:val="none"/>
              </w:rPr>
              <w:t>系统查看</w:t>
            </w:r>
          </w:p>
        </w:tc>
      </w:tr>
      <w:tr w14:paraId="5170C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3151E2C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2262" w:type="dxa"/>
            <w:vAlign w:val="center"/>
          </w:tcPr>
          <w:p w14:paraId="7AAC508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5718" w:type="dxa"/>
            <w:vAlign w:val="top"/>
          </w:tcPr>
          <w:p w14:paraId="08329DC3">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7863FCC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297F8FE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9080947">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77F5D8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22FAF0B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3F8BDF7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63AA3E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631A7172">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p>
          <w:p w14:paraId="535AE0AA">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57EF3B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1A9DB22A">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bCs/>
                <w:color w:val="auto"/>
                <w:kern w:val="0"/>
                <w:sz w:val="24"/>
                <w:szCs w:val="28"/>
                <w:highlight w:val="none"/>
                <w:lang w:val="en-US" w:eastAsia="zh-CN" w:bidi="ar-SA"/>
              </w:rPr>
            </w:pPr>
            <w:r>
              <w:rPr>
                <w:rFonts w:hint="eastAsia" w:ascii="宋体" w:hAnsi="宋体" w:eastAsia="宋体"/>
                <w:bCs w:val="0"/>
                <w:color w:val="auto"/>
                <w:sz w:val="24"/>
                <w:szCs w:val="24"/>
                <w:highlight w:val="none"/>
              </w:rPr>
              <w:t>（2）以担保函、保证保险形式缴纳履约保证金的，受益人和收取单位须为采购人。</w:t>
            </w:r>
          </w:p>
        </w:tc>
      </w:tr>
      <w:tr w14:paraId="2FCF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jc w:val="center"/>
        </w:trPr>
        <w:tc>
          <w:tcPr>
            <w:tcW w:w="977" w:type="dxa"/>
            <w:vAlign w:val="center"/>
          </w:tcPr>
          <w:p w14:paraId="41E4247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2262" w:type="dxa"/>
            <w:vAlign w:val="center"/>
          </w:tcPr>
          <w:p w14:paraId="5C9F715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lang w:val="en-US" w:eastAsia="zh-CN"/>
              </w:rPr>
              <w:t>代理</w:t>
            </w:r>
            <w:r>
              <w:rPr>
                <w:rFonts w:hint="eastAsia" w:ascii="宋体" w:hAnsi="宋体" w:eastAsia="宋体"/>
                <w:b w:val="0"/>
                <w:color w:val="auto"/>
                <w:sz w:val="24"/>
                <w:highlight w:val="none"/>
              </w:rPr>
              <w:t>费</w:t>
            </w:r>
            <w:r>
              <w:rPr>
                <w:rFonts w:hint="eastAsia" w:ascii="宋体" w:hAnsi="宋体" w:eastAsia="宋体"/>
                <w:b w:val="0"/>
                <w:color w:val="auto"/>
                <w:sz w:val="24"/>
                <w:highlight w:val="none"/>
                <w:lang w:val="en-US" w:eastAsia="zh-CN"/>
              </w:rPr>
              <w:t>用</w:t>
            </w:r>
          </w:p>
        </w:tc>
        <w:tc>
          <w:tcPr>
            <w:tcW w:w="5718" w:type="dxa"/>
            <w:vAlign w:val="center"/>
          </w:tcPr>
          <w:p w14:paraId="50D7BED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cs="宋体"/>
                <w:color w:val="auto"/>
                <w:spacing w:val="14"/>
                <w:sz w:val="24"/>
                <w:szCs w:val="24"/>
                <w:highlight w:val="none"/>
                <w:lang w:val="en-US" w:eastAsia="zh-CN"/>
              </w:rPr>
              <w:t>成交供应商</w:t>
            </w:r>
          </w:p>
          <w:p w14:paraId="1745C1E0">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kern w:val="0"/>
                <w:sz w:val="24"/>
                <w:szCs w:val="28"/>
                <w:highlight w:val="none"/>
                <w:lang w:val="en-US" w:eastAsia="zh-CN"/>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color="auto"/>
                <w:lang w:val="en-US" w:eastAsia="zh-CN"/>
              </w:rPr>
              <w:t>领取成交通知书后一次性缴纳至代理机构</w:t>
            </w:r>
          </w:p>
          <w:p w14:paraId="20635C3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color w:val="auto"/>
                <w:kern w:val="2"/>
                <w:sz w:val="24"/>
                <w:szCs w:val="24"/>
                <w:highlight w:val="none"/>
                <w:u w:val="single" w:color="auto"/>
                <w:lang w:val="en-US" w:eastAsia="zh-CN" w:bidi="ar-SA"/>
              </w:rPr>
              <w:t>1000元，评审费约1240元另行支付（具体以实际发生金额为准，）</w:t>
            </w:r>
          </w:p>
        </w:tc>
      </w:tr>
      <w:tr w14:paraId="1535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10FC40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29.3</w:t>
            </w:r>
          </w:p>
        </w:tc>
        <w:tc>
          <w:tcPr>
            <w:tcW w:w="2262" w:type="dxa"/>
            <w:vAlign w:val="center"/>
          </w:tcPr>
          <w:p w14:paraId="34DBB238">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5718" w:type="dxa"/>
            <w:vAlign w:val="center"/>
          </w:tcPr>
          <w:p w14:paraId="774C5990">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lang w:val="en-US" w:eastAsia="zh-CN" w:bidi="ar-SA"/>
              </w:rPr>
              <w:t>递交方式：</w:t>
            </w:r>
            <w:r>
              <w:rPr>
                <w:rFonts w:hint="eastAsia" w:ascii="宋体" w:hAnsi="宋体" w:eastAsia="宋体" w:cs="@仿宋_GB2312"/>
                <w:b w:val="0"/>
                <w:bCs/>
                <w:color w:val="auto"/>
                <w:kern w:val="0"/>
                <w:sz w:val="24"/>
                <w:szCs w:val="28"/>
                <w:highlight w:val="none"/>
                <w:u w:val="single"/>
                <w:lang w:val="en-US" w:eastAsia="zh-CN" w:bidi="ar-SA"/>
              </w:rPr>
              <w:t>书面形式或电子邮件（603727167@qq.com）形式进行质疑；</w:t>
            </w:r>
          </w:p>
          <w:p w14:paraId="0255241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接收部门：</w:t>
            </w:r>
            <w:r>
              <w:rPr>
                <w:rFonts w:hint="eastAsia" w:ascii="宋体" w:hAnsi="宋体" w:eastAsia="宋体" w:cs="@仿宋_GB2312"/>
                <w:b w:val="0"/>
                <w:bCs/>
                <w:color w:val="auto"/>
                <w:kern w:val="0"/>
                <w:sz w:val="24"/>
                <w:szCs w:val="28"/>
                <w:highlight w:val="none"/>
                <w:u w:val="single"/>
                <w:lang w:val="en-US" w:eastAsia="zh-CN" w:bidi="ar-SA"/>
              </w:rPr>
              <w:t>滁州市交通运输局、滁州市城投工程咨询管理有限公司</w:t>
            </w:r>
          </w:p>
          <w:p w14:paraId="7E5A127C">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color w:val="auto"/>
                <w:kern w:val="0"/>
                <w:sz w:val="24"/>
                <w:szCs w:val="28"/>
                <w:highlight w:val="none"/>
                <w:lang w:val="en-US" w:eastAsia="zh-CN" w:bidi="ar-SA"/>
              </w:rPr>
              <w:t>联系电话：</w:t>
            </w:r>
            <w:r>
              <w:rPr>
                <w:rFonts w:hint="eastAsia" w:ascii="宋体" w:hAnsi="宋体" w:eastAsia="宋体" w:cs="@仿宋_GB2312"/>
                <w:b w:val="0"/>
                <w:bCs/>
                <w:color w:val="auto"/>
                <w:kern w:val="0"/>
                <w:sz w:val="24"/>
                <w:szCs w:val="28"/>
                <w:highlight w:val="none"/>
                <w:u w:val="single"/>
                <w:lang w:val="en-US" w:eastAsia="zh-CN" w:bidi="ar-SA"/>
              </w:rPr>
              <w:t>0550-3218684、0550-3519590</w:t>
            </w:r>
          </w:p>
          <w:p w14:paraId="233FC6A7">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通讯地址：</w:t>
            </w:r>
            <w:r>
              <w:rPr>
                <w:rFonts w:hint="eastAsia" w:ascii="宋体" w:hAnsi="宋体" w:eastAsia="宋体" w:cs="@仿宋_GB2312"/>
                <w:b w:val="0"/>
                <w:bCs/>
                <w:color w:val="auto"/>
                <w:kern w:val="0"/>
                <w:sz w:val="24"/>
                <w:szCs w:val="28"/>
                <w:highlight w:val="none"/>
                <w:u w:val="single"/>
                <w:lang w:val="en-US" w:eastAsia="zh-CN" w:bidi="ar-SA"/>
              </w:rPr>
              <w:t>滁州市龙蟠大道200号、滁州市龙蟠大道109号房产商务大厦6楼</w:t>
            </w:r>
          </w:p>
        </w:tc>
      </w:tr>
      <w:tr w14:paraId="1C248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977" w:type="dxa"/>
            <w:vAlign w:val="center"/>
          </w:tcPr>
          <w:p w14:paraId="006F3048">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30</w:t>
            </w:r>
          </w:p>
        </w:tc>
        <w:tc>
          <w:tcPr>
            <w:tcW w:w="2262" w:type="dxa"/>
            <w:vAlign w:val="center"/>
          </w:tcPr>
          <w:p w14:paraId="15916F4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其他内容</w:t>
            </w:r>
          </w:p>
        </w:tc>
        <w:tc>
          <w:tcPr>
            <w:tcW w:w="5718" w:type="dxa"/>
            <w:vAlign w:val="center"/>
          </w:tcPr>
          <w:p w14:paraId="11EE10A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bCs/>
                <w:color w:val="auto"/>
                <w:sz w:val="24"/>
                <w:szCs w:val="24"/>
                <w:highlight w:val="none"/>
                <w:lang w:val="en-US" w:eastAsia="zh-CN"/>
              </w:rPr>
            </w:pPr>
            <w:r>
              <w:rPr>
                <w:rFonts w:hint="eastAsia" w:asciiTheme="minorEastAsia" w:hAnsiTheme="minorEastAsia" w:eastAsiaTheme="minorEastAsia"/>
                <w:bCs/>
                <w:color w:val="auto"/>
                <w:sz w:val="24"/>
                <w:szCs w:val="24"/>
                <w:highlight w:val="none"/>
                <w:lang w:val="en-US" w:eastAsia="zh-CN"/>
              </w:rPr>
              <w:t>1.解释权</w:t>
            </w:r>
          </w:p>
          <w:p w14:paraId="5AB978D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文件的各个组成文件应互为解释，互为说明；</w:t>
            </w:r>
          </w:p>
          <w:p w14:paraId="53E09D1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F3D8071">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E4BFAEE">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磋商</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磋商及响应文件提交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竞争性磋商</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磋商邀请、供应商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288630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仿宋_GB2312" w:asciiTheme="minorEastAsia" w:hAnsiTheme="minorEastAsia" w:eastAsiaTheme="minorEastAsia"/>
                <w:bCs/>
                <w:color w:val="auto"/>
                <w:kern w:val="2"/>
                <w:sz w:val="24"/>
                <w:szCs w:val="24"/>
                <w:highlight w:val="none"/>
                <w:lang w:val="en-US" w:eastAsia="zh-CN" w:bidi="ar-SA"/>
              </w:rPr>
            </w:pPr>
            <w:r>
              <w:rPr>
                <w:rFonts w:hint="eastAsia" w:asciiTheme="minorEastAsia" w:hAnsiTheme="minorEastAsia" w:eastAsiaTheme="minorEastAsia"/>
                <w:bCs/>
                <w:color w:val="auto"/>
                <w:sz w:val="24"/>
                <w:szCs w:val="24"/>
                <w:highlight w:val="none"/>
              </w:rPr>
              <w:t>（5）</w:t>
            </w:r>
            <w:r>
              <w:rPr>
                <w:rFonts w:asciiTheme="minorEastAsia" w:hAnsiTheme="minorEastAsia" w:eastAsiaTheme="minorEastAsia"/>
                <w:bCs/>
                <w:color w:val="auto"/>
                <w:sz w:val="24"/>
                <w:szCs w:val="24"/>
                <w:highlight w:val="none"/>
              </w:rPr>
              <w:t>按本款前述规定仍不能形成结论的，由</w:t>
            </w:r>
            <w:r>
              <w:rPr>
                <w:rFonts w:hint="eastAsia" w:asciiTheme="minorEastAsia" w:hAnsiTheme="minorEastAsia" w:eastAsiaTheme="minorEastAsia"/>
                <w:bCs/>
                <w:color w:val="auto"/>
                <w:sz w:val="24"/>
                <w:szCs w:val="24"/>
                <w:highlight w:val="none"/>
              </w:rPr>
              <w:t>采购</w:t>
            </w:r>
            <w:r>
              <w:rPr>
                <w:rFonts w:asciiTheme="minorEastAsia" w:hAnsiTheme="minorEastAsia" w:eastAsiaTheme="minorEastAsia"/>
                <w:bCs/>
                <w:color w:val="auto"/>
                <w:sz w:val="24"/>
                <w:szCs w:val="24"/>
                <w:highlight w:val="none"/>
              </w:rPr>
              <w:t>人负责解释。</w:t>
            </w:r>
          </w:p>
        </w:tc>
      </w:tr>
    </w:tbl>
    <w:p w14:paraId="69C03021">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8" w:name="_Toc27470"/>
      <w:bookmarkStart w:id="59" w:name="_Toc14293"/>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58"/>
      <w:bookmarkEnd w:id="59"/>
    </w:p>
    <w:p w14:paraId="4B86A2A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0992CCD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1E1562D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5A8A400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r>
        <w:rPr>
          <w:rFonts w:ascii="宋体" w:hAnsi="宋体" w:eastAsia="宋体"/>
          <w:color w:val="auto"/>
          <w:sz w:val="24"/>
          <w:highlight w:val="none"/>
        </w:rPr>
        <w:t>。</w:t>
      </w:r>
    </w:p>
    <w:p w14:paraId="7CD15C0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w:t>
      </w:r>
      <w:r>
        <w:rPr>
          <w:rFonts w:hint="eastAsia" w:ascii="宋体" w:hAnsi="宋体" w:eastAsia="宋体"/>
          <w:color w:val="auto"/>
          <w:sz w:val="24"/>
          <w:highlight w:val="none"/>
        </w:rPr>
        <w:t>供应商</w:t>
      </w:r>
      <w:r>
        <w:rPr>
          <w:rFonts w:ascii="宋体" w:hAnsi="宋体" w:eastAsia="宋体"/>
          <w:color w:val="auto"/>
          <w:sz w:val="24"/>
          <w:highlight w:val="none"/>
        </w:rPr>
        <w:t>：是指向采购人提供货物、工程或者服务的法人、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及其</w:t>
      </w:r>
      <w:r>
        <w:rPr>
          <w:rFonts w:hint="eastAsia" w:ascii="宋体" w:hAnsi="宋体" w:eastAsia="宋体"/>
          <w:color w:val="auto"/>
          <w:sz w:val="24"/>
          <w:highlight w:val="none"/>
        </w:rPr>
        <w:t>所</w:t>
      </w:r>
      <w:r>
        <w:rPr>
          <w:rFonts w:ascii="宋体" w:hAnsi="宋体" w:eastAsia="宋体"/>
          <w:color w:val="auto"/>
          <w:sz w:val="24"/>
          <w:highlight w:val="none"/>
        </w:rPr>
        <w:t>投货物须满足以下条件：</w:t>
      </w:r>
    </w:p>
    <w:p w14:paraId="50BFD06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52A616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w:t>
      </w:r>
      <w:r>
        <w:rPr>
          <w:rFonts w:hint="eastAsia" w:ascii="宋体" w:hAnsi="宋体" w:eastAsia="宋体"/>
          <w:color w:val="auto"/>
          <w:sz w:val="24"/>
          <w:highlight w:val="none"/>
          <w:lang w:val="en-US" w:eastAsia="zh-CN"/>
        </w:rPr>
        <w:t>磋商</w:t>
      </w:r>
      <w:r>
        <w:rPr>
          <w:rFonts w:ascii="宋体" w:hAnsi="宋体" w:eastAsia="宋体"/>
          <w:color w:val="auto"/>
          <w:sz w:val="24"/>
          <w:highlight w:val="none"/>
        </w:rPr>
        <w:t>文件。</w:t>
      </w:r>
    </w:p>
    <w:p w14:paraId="757F2CE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w:t>
      </w:r>
      <w:r>
        <w:rPr>
          <w:rFonts w:hint="eastAsia" w:ascii="宋体" w:hAnsi="宋体" w:eastAsia="宋体"/>
          <w:color w:val="auto"/>
          <w:sz w:val="24"/>
          <w:highlight w:val="none"/>
          <w:lang w:val="en-US" w:eastAsia="zh-CN"/>
        </w:rPr>
        <w:t>供应商</w:t>
      </w:r>
      <w:r>
        <w:rPr>
          <w:rFonts w:ascii="宋体" w:hAnsi="宋体" w:eastAsia="宋体"/>
          <w:color w:val="auto"/>
          <w:sz w:val="24"/>
          <w:highlight w:val="none"/>
        </w:rPr>
        <w:t>应保证所投产品可履行合法报通关手续进入中国关境内。</w:t>
      </w:r>
    </w:p>
    <w:p w14:paraId="7F769CB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中未写明允许采购进口产品，如供应商所投产品为进口产品，其响应文件将被认定为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1937FAD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bookmarkStart w:id="60" w:name="_Hlk60607583"/>
      <w:r>
        <w:rPr>
          <w:rFonts w:hint="eastAsia" w:ascii="宋体" w:hAnsi="宋体" w:eastAsia="宋体"/>
          <w:bCs/>
          <w:color w:val="auto"/>
          <w:kern w:val="0"/>
          <w:sz w:val="24"/>
          <w:szCs w:val="28"/>
          <w:highlight w:val="none"/>
          <w:lang w:val="en-US" w:eastAsia="zh-CN"/>
        </w:rPr>
        <w:t>1</w:t>
      </w:r>
      <w:r>
        <w:rPr>
          <w:rFonts w:ascii="宋体" w:hAnsi="宋体" w:eastAsia="宋体"/>
          <w:bCs/>
          <w:color w:val="auto"/>
          <w:kern w:val="0"/>
          <w:sz w:val="24"/>
          <w:szCs w:val="28"/>
          <w:highlight w:val="none"/>
        </w:rPr>
        <w:t>.5</w:t>
      </w:r>
      <w:r>
        <w:rPr>
          <w:rFonts w:hint="eastAsia" w:ascii="宋体" w:hAnsi="宋体" w:eastAsia="宋体"/>
          <w:bCs/>
          <w:color w:val="auto"/>
          <w:kern w:val="0"/>
          <w:sz w:val="24"/>
          <w:szCs w:val="28"/>
          <w:highlight w:val="none"/>
        </w:rPr>
        <w:t>若竞争性磋商公告</w:t>
      </w:r>
      <w:r>
        <w:rPr>
          <w:rFonts w:ascii="宋体" w:hAnsi="宋体" w:eastAsia="宋体"/>
          <w:bCs/>
          <w:color w:val="auto"/>
          <w:kern w:val="0"/>
          <w:sz w:val="24"/>
          <w:szCs w:val="28"/>
          <w:highlight w:val="none"/>
        </w:rPr>
        <w:t>中允许联合体</w:t>
      </w:r>
      <w:r>
        <w:rPr>
          <w:rFonts w:hint="eastAsia" w:ascii="宋体" w:hAnsi="宋体" w:eastAsia="宋体"/>
          <w:bCs/>
          <w:color w:val="auto"/>
          <w:kern w:val="0"/>
          <w:sz w:val="24"/>
          <w:szCs w:val="28"/>
          <w:highlight w:val="none"/>
        </w:rPr>
        <w:t>参加磋商</w:t>
      </w:r>
      <w:r>
        <w:rPr>
          <w:rFonts w:ascii="宋体" w:hAnsi="宋体" w:eastAsia="宋体"/>
          <w:bCs/>
          <w:color w:val="auto"/>
          <w:kern w:val="0"/>
          <w:sz w:val="24"/>
          <w:szCs w:val="28"/>
          <w:highlight w:val="none"/>
        </w:rPr>
        <w:t>，对联合体规定如下：</w:t>
      </w:r>
    </w:p>
    <w:bookmarkEnd w:id="60"/>
    <w:p w14:paraId="0FA3CBD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r>
        <w:rPr>
          <w:rFonts w:ascii="宋体" w:hAnsi="宋体" w:eastAsia="宋体"/>
          <w:b w:val="0"/>
          <w:color w:val="auto"/>
          <w:sz w:val="24"/>
          <w:highlight w:val="none"/>
        </w:rPr>
        <w:t>联合体参加磋商的，</w:t>
      </w:r>
      <w:r>
        <w:rPr>
          <w:rFonts w:hint="eastAsia" w:ascii="宋体" w:hAnsi="宋体" w:eastAsia="宋体"/>
          <w:b w:val="0"/>
          <w:color w:val="auto"/>
          <w:sz w:val="24"/>
          <w:highlight w:val="none"/>
        </w:rPr>
        <w:t>磋商文件获取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任一</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办理均可。</w:t>
      </w:r>
    </w:p>
    <w:p w14:paraId="32BDD71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.2联合体各方均应符合《中华人民共和国政府采购法》第二十二条规定的条件。</w:t>
      </w:r>
    </w:p>
    <w:p w14:paraId="40C1CC8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.3采购人根据采购项目对</w:t>
      </w:r>
      <w:r>
        <w:rPr>
          <w:rFonts w:hint="eastAsia" w:ascii="宋体" w:hAnsi="宋体" w:eastAsia="宋体"/>
          <w:color w:val="auto"/>
          <w:sz w:val="24"/>
          <w:highlight w:val="none"/>
        </w:rPr>
        <w:t>供应商</w:t>
      </w:r>
      <w:r>
        <w:rPr>
          <w:rFonts w:ascii="宋体" w:hAnsi="宋体" w:eastAsia="宋体"/>
          <w:color w:val="auto"/>
          <w:sz w:val="24"/>
          <w:highlight w:val="none"/>
        </w:rPr>
        <w:t>的特殊要求，联合体中至少应当有一方符合相关规定。</w:t>
      </w:r>
    </w:p>
    <w:p w14:paraId="5A85F77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w:t>
      </w:r>
      <w:r>
        <w:rPr>
          <w:rFonts w:hint="eastAsia" w:ascii="宋体" w:hAnsi="宋体" w:eastAsia="宋体"/>
          <w:color w:val="auto"/>
          <w:sz w:val="24"/>
          <w:highlight w:val="none"/>
        </w:rPr>
        <w:t>响应</w:t>
      </w:r>
      <w:r>
        <w:rPr>
          <w:rFonts w:ascii="宋体" w:hAnsi="宋体" w:eastAsia="宋体"/>
          <w:color w:val="auto"/>
          <w:sz w:val="24"/>
          <w:highlight w:val="none"/>
        </w:rPr>
        <w:t>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19E6DD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.5大中型企业、其他自然人、法人或者非法人组织与小型、微型企业组成联合体共同参加</w:t>
      </w:r>
      <w:r>
        <w:rPr>
          <w:rFonts w:hint="eastAsia" w:ascii="宋体" w:hAnsi="宋体" w:eastAsia="宋体"/>
          <w:color w:val="auto"/>
          <w:sz w:val="24"/>
          <w:highlight w:val="none"/>
        </w:rPr>
        <w:t>磋商</w:t>
      </w:r>
      <w:r>
        <w:rPr>
          <w:rFonts w:ascii="宋体" w:hAnsi="宋体" w:eastAsia="宋体"/>
          <w:color w:val="auto"/>
          <w:sz w:val="24"/>
          <w:highlight w:val="none"/>
        </w:rPr>
        <w:t>，</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联合协议合同</w:t>
      </w:r>
      <w:r>
        <w:rPr>
          <w:rFonts w:ascii="宋体" w:hAnsi="宋体" w:eastAsia="宋体"/>
          <w:color w:val="auto"/>
          <w:sz w:val="24"/>
          <w:highlight w:val="none"/>
        </w:rPr>
        <w:t>总金额的比例。</w:t>
      </w:r>
    </w:p>
    <w:p w14:paraId="59603D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7DA5B4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.7以联合体形式参加政府采购活动的，联合体各方不得再单独参加或者与其他供应商另外组成联合体参加本项目</w:t>
      </w:r>
      <w:r>
        <w:rPr>
          <w:rFonts w:hint="eastAsia" w:ascii="宋体" w:hAnsi="宋体" w:eastAsia="宋体"/>
          <w:color w:val="auto"/>
          <w:sz w:val="24"/>
          <w:highlight w:val="none"/>
        </w:rPr>
        <w:t>磋商</w:t>
      </w:r>
      <w:r>
        <w:rPr>
          <w:rFonts w:ascii="宋体" w:hAnsi="宋体" w:eastAsia="宋体"/>
          <w:color w:val="auto"/>
          <w:sz w:val="24"/>
          <w:highlight w:val="none"/>
        </w:rPr>
        <w:t>，否则相关</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0F4DECB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.8对联合体参加磋商的其他资格要求见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31E7BAB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12B6D3E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.1本项目的采购人已获得足以支付本次磋商后所签订的合同项下的资金。</w:t>
      </w:r>
    </w:p>
    <w:p w14:paraId="276D7FC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磋商费用</w:t>
      </w:r>
    </w:p>
    <w:p w14:paraId="3AEF69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5ED41AC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4.适用法律</w:t>
      </w:r>
    </w:p>
    <w:p w14:paraId="65C46D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宋体" w:hAnsi="宋体" w:eastAsia="宋体"/>
          <w:color w:val="auto"/>
          <w:sz w:val="24"/>
          <w:highlight w:val="none"/>
        </w:rPr>
      </w:pPr>
      <w:r>
        <w:rPr>
          <w:rFonts w:hint="eastAsia" w:ascii="宋体" w:hAnsi="宋体" w:eastAsia="宋体"/>
          <w:color w:val="auto"/>
          <w:sz w:val="24"/>
          <w:highlight w:val="none"/>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4C4D899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磋商文件构成</w:t>
      </w:r>
    </w:p>
    <w:p w14:paraId="25EA748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.1磋商文件包括下列内容：</w:t>
      </w:r>
    </w:p>
    <w:p w14:paraId="74C52421">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磋商邀请</w:t>
      </w:r>
    </w:p>
    <w:p w14:paraId="572E1014">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3F5CE846">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2A50F0EA">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179E3FEA">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5EEB4F42">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749AD9A9">
      <w:pPr>
        <w:keepNext w:val="0"/>
        <w:keepLines w:val="0"/>
        <w:pageBreakBefore w:val="0"/>
        <w:widowControl w:val="0"/>
        <w:kinsoku/>
        <w:wordWrap/>
        <w:overflowPunct/>
        <w:topLinePunct w:val="0"/>
        <w:autoSpaceDE/>
        <w:autoSpaceDN/>
        <w:bidi w:val="0"/>
        <w:adjustRightInd/>
        <w:snapToGrid/>
        <w:spacing w:line="360" w:lineRule="auto"/>
        <w:ind w:firstLine="840" w:firstLineChars="35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7FF88F9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2406EB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文件所有的事项、格式、条款和技术规范等。</w:t>
      </w:r>
    </w:p>
    <w:p w14:paraId="3B7C862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磋商文件的澄清与修改</w:t>
      </w:r>
    </w:p>
    <w:p w14:paraId="493F7FE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文件内容有疑问，必须在</w:t>
      </w:r>
      <w:r>
        <w:rPr>
          <w:rFonts w:ascii="宋体" w:hAnsi="宋体" w:eastAsia="宋体"/>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0625770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bookmarkStart w:id="61" w:name="_Hlk16458572"/>
      <w:r>
        <w:rPr>
          <w:rFonts w:hint="eastAsia" w:asciiTheme="minorEastAsia" w:hAnsiTheme="minorEastAsia" w:eastAsiaTheme="minorEastAsia"/>
          <w:color w:val="auto"/>
          <w:sz w:val="24"/>
          <w:highlight w:val="none"/>
        </w:rPr>
        <w:t>滁州市交通运输局（https://jtj.chuzhou.gov.cn/）</w:t>
      </w:r>
      <w:r>
        <w:rPr>
          <w:rFonts w:hint="eastAsia" w:asciiTheme="minorEastAsia" w:hAnsiTheme="minorEastAsia" w:eastAsiaTheme="minorEastAsia"/>
          <w:color w:val="auto"/>
          <w:sz w:val="24"/>
          <w:highlight w:val="none"/>
          <w:lang w:eastAsia="zh-CN"/>
        </w:rPr>
        <w:t>、</w:t>
      </w:r>
      <w:r>
        <w:rPr>
          <w:rFonts w:hint="eastAsia" w:ascii="宋体" w:hAnsi="宋体" w:eastAsia="宋体" w:cs="宋体"/>
          <w:color w:val="auto"/>
          <w:kern w:val="0"/>
          <w:sz w:val="24"/>
          <w:szCs w:val="24"/>
          <w:highlight w:val="none"/>
          <w:shd w:val="clear" w:color="auto" w:fill="FFFFFF"/>
          <w:lang w:val="en-US" w:eastAsia="zh-CN" w:bidi="ar"/>
        </w:rPr>
        <w:t>滁州市城投工程咨询管理有限公司（https://www.czctgczx.com/）</w:t>
      </w:r>
      <w:bookmarkEnd w:id="61"/>
      <w:r>
        <w:rPr>
          <w:rFonts w:hint="eastAsia" w:asciiTheme="minorEastAsia" w:hAnsiTheme="minorEastAsia" w:eastAsiaTheme="minorEastAsia"/>
          <w:color w:val="auto"/>
          <w:sz w:val="24"/>
          <w:highlight w:val="none"/>
        </w:rPr>
        <w:t>发布更正公告的方式澄清或者修改磋商文件，更正公告的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516DED0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3AD3774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本磋商</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708FFC4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磋商范围及响应文件中标准和计量单位的使用</w:t>
      </w:r>
    </w:p>
    <w:p w14:paraId="35E67C7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的磋商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49B25BA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lang w:val="en-US" w:eastAsia="zh-CN"/>
        </w:rPr>
        <w:t>7.2 供应商</w:t>
      </w:r>
      <w:r>
        <w:rPr>
          <w:rFonts w:asciiTheme="minorEastAsia" w:hAnsiTheme="minorEastAsia" w:eastAsiaTheme="minorEastAsia"/>
          <w:color w:val="auto"/>
          <w:sz w:val="24"/>
          <w:highlight w:val="none"/>
        </w:rPr>
        <w:t>应当对所投分包</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lang w:val="en-US" w:eastAsia="zh-CN"/>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1032D1D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无论磋商文件中是否要求，供应商所投货物及伴随的服务和工程均应符合国家强制性标准。</w:t>
      </w:r>
    </w:p>
    <w:p w14:paraId="64EEFFF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2A2B682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除磋商文件中有特殊要求外，响应文件中所使用的计量单位，应采用中华人民共和国法定计量单位。</w:t>
      </w:r>
    </w:p>
    <w:p w14:paraId="2DCAF1F3">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15F43F1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应完整地按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文件提供的</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具体内容详见本项目</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文件格式的相关内容。</w:t>
      </w:r>
    </w:p>
    <w:p w14:paraId="0C316F4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hint="eastAsia" w:ascii="宋体" w:hAnsi="宋体" w:eastAsia="宋体"/>
          <w:color w:val="auto"/>
          <w:sz w:val="24"/>
          <w:highlight w:val="none"/>
          <w:lang w:val="en-US" w:eastAsia="zh-CN"/>
        </w:rPr>
        <w:t>供应商</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文件要求的</w:t>
      </w:r>
      <w:r>
        <w:rPr>
          <w:rFonts w:asciiTheme="minorEastAsia" w:hAnsiTheme="minorEastAsia" w:eastAsiaTheme="minorEastAsia"/>
          <w:color w:val="auto"/>
          <w:sz w:val="24"/>
          <w:highlight w:val="none"/>
        </w:rPr>
        <w:t>证明文件，证明其</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内容符合</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w:t>
      </w:r>
      <w:r>
        <w:rPr>
          <w:rFonts w:hint="eastAsia" w:asciiTheme="minorEastAsia" w:hAnsiTheme="minorEastAsia" w:eastAsiaTheme="minorEastAsia"/>
          <w:color w:val="auto"/>
          <w:sz w:val="24"/>
          <w:highlight w:val="none"/>
          <w:lang w:val="en-US" w:eastAsia="zh-CN"/>
        </w:rPr>
        <w:t>响应</w:t>
      </w:r>
      <w:r>
        <w:rPr>
          <w:rFonts w:asciiTheme="minorEastAsia" w:hAnsiTheme="minorEastAsia" w:eastAsiaTheme="minorEastAsia"/>
          <w:color w:val="auto"/>
          <w:sz w:val="24"/>
          <w:highlight w:val="none"/>
        </w:rPr>
        <w:t>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r>
        <w:rPr>
          <w:rFonts w:hint="eastAsia" w:asciiTheme="minorEastAsia" w:hAnsiTheme="minorEastAsia" w:eastAsiaTheme="minorEastAsia"/>
          <w:color w:val="auto"/>
          <w:sz w:val="24"/>
          <w:highlight w:val="none"/>
          <w:lang w:val="en-US" w:eastAsia="zh-CN"/>
        </w:rPr>
        <w:t>等。</w:t>
      </w:r>
    </w:p>
    <w:p w14:paraId="12562B5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w:t>
      </w:r>
      <w:r>
        <w:rPr>
          <w:rFonts w:hint="eastAsia" w:asciiTheme="minorEastAsia" w:hAnsiTheme="minorEastAsia" w:eastAsiaTheme="minorEastAsia"/>
          <w:color w:val="auto"/>
          <w:sz w:val="24"/>
          <w:highlight w:val="none"/>
          <w:lang w:val="en-US" w:eastAsia="zh-CN"/>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w:t>
      </w:r>
      <w:r>
        <w:rPr>
          <w:rFonts w:hint="eastAsia" w:asciiTheme="minorEastAsia" w:hAnsiTheme="minorEastAsia" w:eastAsiaTheme="minorEastAsia"/>
          <w:color w:val="auto"/>
          <w:sz w:val="24"/>
          <w:highlight w:val="none"/>
          <w:lang w:val="en-US" w:eastAsia="zh-CN"/>
        </w:rPr>
        <w:t>磋商</w:t>
      </w:r>
      <w:r>
        <w:rPr>
          <w:rFonts w:asciiTheme="minorEastAsia" w:hAnsiTheme="minorEastAsia" w:eastAsiaTheme="minorEastAsia"/>
          <w:color w:val="auto"/>
          <w:sz w:val="24"/>
          <w:highlight w:val="none"/>
        </w:rPr>
        <w:t>方案。</w:t>
      </w:r>
    </w:p>
    <w:p w14:paraId="3F1F0D8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0023CB0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lang w:val="en-US" w:eastAsia="zh-CN"/>
        </w:rPr>
        <w:t>服务</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除磋商文件另有规定外，</w:t>
      </w:r>
      <w:r>
        <w:rPr>
          <w:rFonts w:hint="eastAsia" w:asciiTheme="minorEastAsia" w:hAnsiTheme="minorEastAsia" w:eastAsiaTheme="minorEastAsia"/>
          <w:color w:val="auto"/>
          <w:sz w:val="24"/>
          <w:highlight w:val="none"/>
        </w:rPr>
        <w:t>所有内容均应以人民币报价，供应商的磋商报价应遵守《中华人民共和国价格法》。</w:t>
      </w:r>
    </w:p>
    <w:p w14:paraId="0A03F0A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除非磋商文件另有规定或经采购人同意支付的，最后报价均不得高于磋商文件（公告）列明的项目预算，否则其响应文件将被认定为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0F56717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3D7B6AA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1B2E96D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磋商保证金</w:t>
      </w:r>
    </w:p>
    <w:p w14:paraId="29D4946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.1本项目不收取磋商保证金。</w:t>
      </w:r>
    </w:p>
    <w:p w14:paraId="27C89536">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磋商有效期</w:t>
      </w:r>
    </w:p>
    <w:p w14:paraId="4A28448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.1磋商有效期为从响应文件提交截止之日算起的日历天数，磋商有效期详见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496A5F6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7CE9D56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11</w:t>
      </w:r>
      <w:r>
        <w:rPr>
          <w:rFonts w:asciiTheme="minorEastAsia" w:hAnsiTheme="minorEastAsia" w:eastAsiaTheme="minorEastAsia"/>
          <w:color w:val="auto"/>
          <w:sz w:val="24"/>
          <w:highlight w:val="none"/>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6907454D">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048AE0C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.1供应商应当在第一章</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，将加密的</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5493D54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42446B2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供应商应在</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规定的解密时间前对</w:t>
      </w:r>
      <w:r>
        <w:rPr>
          <w:rFonts w:hint="eastAsia" w:asciiTheme="minorEastAsia" w:hAnsiTheme="minorEastAsia" w:eastAsiaTheme="minorEastAsia"/>
          <w:color w:val="auto"/>
          <w:sz w:val="24"/>
          <w:highlight w:val="none"/>
          <w:lang w:val="en-US" w:eastAsia="zh-CN"/>
        </w:rPr>
        <w:t>其</w:t>
      </w:r>
      <w:r>
        <w:rPr>
          <w:rFonts w:hint="eastAsia" w:asciiTheme="minorEastAsia" w:hAnsiTheme="minorEastAsia" w:eastAsiaTheme="minorEastAsia"/>
          <w:color w:val="auto"/>
          <w:sz w:val="24"/>
          <w:highlight w:val="none"/>
        </w:rPr>
        <w:t>响应文件进行解密。</w:t>
      </w:r>
      <w:r>
        <w:rPr>
          <w:rFonts w:hint="eastAsia" w:asciiTheme="minorEastAsia" w:hAnsiTheme="minorEastAsia" w:eastAsiaTheme="minorEastAsia"/>
          <w:color w:val="auto"/>
          <w:sz w:val="24"/>
          <w:highlight w:val="none"/>
          <w:lang w:val="en-US" w:eastAsia="zh-CN"/>
        </w:rPr>
        <w:t>未在规定时间内进行解密的，</w:t>
      </w:r>
      <w:r>
        <w:rPr>
          <w:rFonts w:hint="eastAsia" w:asciiTheme="minorEastAsia" w:hAnsiTheme="minorEastAsia" w:eastAsiaTheme="minorEastAsia"/>
          <w:b/>
          <w:bCs/>
          <w:color w:val="auto"/>
          <w:sz w:val="24"/>
          <w:highlight w:val="none"/>
          <w:lang w:val="en-US" w:eastAsia="zh-CN"/>
        </w:rPr>
        <w:t>响应无效。</w:t>
      </w:r>
    </w:p>
    <w:p w14:paraId="434B797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Theme="minorEastAsia" w:hAnsiTheme="minorEastAsia" w:eastAsiaTheme="minorEastAsia"/>
          <w:color w:val="auto"/>
          <w:sz w:val="24"/>
          <w:highlight w:val="none"/>
          <w:lang w:val="en-US" w:eastAsia="zh-CN"/>
        </w:rPr>
        <w:t>12</w:t>
      </w:r>
      <w:r>
        <w:rPr>
          <w:rFonts w:hint="eastAsia" w:asciiTheme="minorEastAsia" w:hAnsiTheme="minorEastAsia" w:eastAsiaTheme="minorEastAsia"/>
          <w:color w:val="auto"/>
          <w:sz w:val="24"/>
          <w:highlight w:val="none"/>
        </w:rPr>
        <w:t>.4在响应文件提交截止时间之后，供应商不得对其响应文件做任何修改。</w:t>
      </w:r>
      <w:r>
        <w:rPr>
          <w:rFonts w:hint="eastAsia" w:ascii="宋体" w:hAnsi="宋体" w:eastAsia="宋体"/>
          <w:color w:val="auto"/>
          <w:sz w:val="24"/>
          <w:highlight w:val="none"/>
        </w:rPr>
        <w:t>但属于磋商小组在评审中发现的计算错误并进行核实的修改、按照磋商文件的变动情况和磋商小组的要求重新提交响应文件的，不在此列。</w:t>
      </w:r>
    </w:p>
    <w:p w14:paraId="10D064F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磋商小组</w:t>
      </w:r>
    </w:p>
    <w:p w14:paraId="1E721C92">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.1本项目将依法组建磋商小组，磋商小组成员由3人以上</w:t>
      </w:r>
      <w:r>
        <w:rPr>
          <w:rFonts w:hint="eastAsia" w:asciiTheme="minorEastAsia" w:hAnsiTheme="minorEastAsia" w:eastAsiaTheme="minorEastAsia"/>
          <w:color w:val="auto"/>
          <w:sz w:val="24"/>
          <w:highlight w:val="none"/>
        </w:rPr>
        <w:t>（含）</w:t>
      </w:r>
      <w:r>
        <w:rPr>
          <w:rFonts w:asciiTheme="minorEastAsia" w:hAnsiTheme="minorEastAsia" w:eastAsiaTheme="minorEastAsia"/>
          <w:color w:val="auto"/>
          <w:sz w:val="24"/>
          <w:highlight w:val="none"/>
        </w:rPr>
        <w:t>单数组成，磋商小组及其成员应当依照政府采购的有关规定履行相关职责和义务。</w:t>
      </w:r>
    </w:p>
    <w:p w14:paraId="0B46B75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.2磋商小组依法对响应文件进行评审，并根据磋商文件规定的程序、评定成交的标准等事项与实质性响应磋商文件要求的供应商进行磋商。</w:t>
      </w:r>
    </w:p>
    <w:p w14:paraId="2122E2F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13</w:t>
      </w:r>
      <w:r>
        <w:rPr>
          <w:rFonts w:asciiTheme="minorEastAsia" w:hAnsiTheme="minorEastAsia" w:eastAsiaTheme="minorEastAsia"/>
          <w:color w:val="auto"/>
          <w:sz w:val="24"/>
          <w:highlight w:val="none"/>
        </w:rPr>
        <w:t>.3磋商小组应当从质量和服务均能满足磋商文件实质性响应要求的供应商中，按照评审方法和标准</w:t>
      </w:r>
      <w:r>
        <w:rPr>
          <w:rFonts w:hint="eastAsia" w:asciiTheme="minorEastAsia" w:hAnsiTheme="minorEastAsia" w:eastAsiaTheme="minorEastAsia"/>
          <w:color w:val="auto"/>
          <w:sz w:val="24"/>
          <w:highlight w:val="none"/>
        </w:rPr>
        <w:t>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7B356F7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14</w:t>
      </w:r>
      <w:r>
        <w:rPr>
          <w:rFonts w:asciiTheme="minorEastAsia" w:hAnsiTheme="minorEastAsia" w:eastAsiaTheme="minorEastAsia"/>
          <w:b/>
          <w:color w:val="auto"/>
          <w:sz w:val="24"/>
          <w:highlight w:val="none"/>
        </w:rPr>
        <w:t>.响应文件的评审与磋商</w:t>
      </w:r>
    </w:p>
    <w:p w14:paraId="7BA8133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1采购人和采购代理机构将在</w:t>
      </w:r>
      <w:r>
        <w:rPr>
          <w:rFonts w:hint="eastAsia" w:asciiTheme="minorEastAsia" w:hAnsiTheme="minorEastAsia" w:eastAsiaTheme="minorEastAsia"/>
          <w:color w:val="auto"/>
          <w:sz w:val="24"/>
          <w:highlight w:val="none"/>
          <w:u w:val="none"/>
          <w:lang w:val="en-US" w:eastAsia="zh-CN"/>
        </w:rPr>
        <w:t>竞争性磋商公告</w:t>
      </w:r>
      <w:r>
        <w:rPr>
          <w:rFonts w:hint="eastAsia" w:asciiTheme="minorEastAsia" w:hAnsiTheme="minorEastAsia" w:eastAsiaTheme="minorEastAsia"/>
          <w:color w:val="auto"/>
          <w:sz w:val="24"/>
          <w:highlight w:val="none"/>
        </w:rPr>
        <w:t>规定的时间和地点组织磋商。</w:t>
      </w:r>
    </w:p>
    <w:p w14:paraId="0FF42FC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.2竞争性磋商活动采用综合评分法评审。</w:t>
      </w:r>
    </w:p>
    <w:p w14:paraId="4B97F52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综合评分法，是指响应文件满足磋商文件全部实质性要求且按评审因素的量化指标评审得分最高的供应商为成交候选供应商的评审方法。</w:t>
      </w:r>
    </w:p>
    <w:p w14:paraId="6759568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.3磋商小组将按照磋商文件规定的评审方法和标准对供应商独立进行评审。评审程序如下：</w:t>
      </w:r>
    </w:p>
    <w:p w14:paraId="77D1CB8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。磋商小组对供应商必须满足和实质性响应的内容进行评审，供应商未实质性响应磋商文件要求导致响应无效的，磋商小组将以书面询标的方式告知有关供应商。</w:t>
      </w:r>
    </w:p>
    <w:p w14:paraId="225C177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68BA775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的，联合体成员存在以上不良信用记录的，联合体</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2FFF275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59FA0EB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磋商</w:t>
      </w:r>
      <w:r>
        <w:rPr>
          <w:rFonts w:hint="eastAsia" w:asciiTheme="minorEastAsia" w:hAnsiTheme="minorEastAsia" w:eastAsiaTheme="minorEastAsia"/>
          <w:color w:val="auto"/>
          <w:sz w:val="24"/>
          <w:highlight w:val="none"/>
        </w:rPr>
        <w:t>。初审合格后，磋商小组将按网上加密电子响应文件提交顺序集中与单一供应商分别进行磋商，并给予所有参加磋商的供应商平等的磋商机会。</w:t>
      </w:r>
    </w:p>
    <w:p w14:paraId="0F9C20A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磋商结束后，磋商小组应当要求所有</w:t>
      </w:r>
      <w:r>
        <w:rPr>
          <w:rFonts w:hint="eastAsia" w:asciiTheme="minorEastAsia" w:hAnsiTheme="minorEastAsia" w:eastAsiaTheme="minorEastAsia"/>
          <w:color w:val="auto"/>
          <w:sz w:val="24"/>
          <w:highlight w:val="none"/>
        </w:rPr>
        <w:t>实质性响应</w:t>
      </w:r>
      <w:r>
        <w:rPr>
          <w:rFonts w:asciiTheme="minorEastAsia" w:hAnsiTheme="minorEastAsia" w:eastAsiaTheme="minorEastAsia"/>
          <w:color w:val="auto"/>
          <w:sz w:val="24"/>
          <w:highlight w:val="none"/>
        </w:rPr>
        <w:t>的供应商在规定时间内提交最后报价</w:t>
      </w:r>
      <w:r>
        <w:rPr>
          <w:rFonts w:hint="eastAsia" w:ascii="宋体" w:hAnsi="宋体" w:eastAsia="宋体"/>
          <w:color w:val="auto"/>
          <w:sz w:val="24"/>
          <w:highlight w:val="none"/>
        </w:rPr>
        <w:t>。</w:t>
      </w:r>
    </w:p>
    <w:p w14:paraId="16D0E95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color w:val="auto"/>
          <w:highlight w:val="none"/>
        </w:rPr>
      </w:pPr>
      <w:r>
        <w:rPr>
          <w:rFonts w:hint="eastAsia" w:asciiTheme="minorEastAsia" w:hAnsiTheme="minorEastAsia" w:eastAsiaTheme="minorEastAsia"/>
          <w:color w:val="auto"/>
          <w:sz w:val="24"/>
          <w:highlight w:val="none"/>
          <w:lang w:val="en-US" w:eastAsia="zh-CN"/>
        </w:rPr>
        <w:t xml:space="preserve">14.3.4 </w:t>
      </w:r>
      <w:r>
        <w:rPr>
          <w:rFonts w:hint="eastAsia" w:asciiTheme="minorEastAsia" w:hAnsiTheme="minorEastAsia" w:eastAsiaTheme="minorEastAsia"/>
          <w:b/>
          <w:bCs/>
          <w:color w:val="auto"/>
          <w:sz w:val="24"/>
          <w:highlight w:val="none"/>
          <w:lang w:val="en-US" w:eastAsia="zh-CN"/>
        </w:rPr>
        <w:t>异常低价响应审查。</w:t>
      </w: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关于推进解决政府采购异常低价问题的通知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磋商小组进行异常低价响应审查。</w:t>
      </w:r>
    </w:p>
    <w:p w14:paraId="533CDB9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lang w:val="en-US" w:eastAsia="zh-CN"/>
        </w:rPr>
        <w:t>5</w:t>
      </w:r>
      <w:r>
        <w:rPr>
          <w:rFonts w:hint="eastAsia" w:asciiTheme="minorEastAsia" w:hAnsiTheme="minorEastAsia" w:eastAsiaTheme="minorEastAsia"/>
          <w:b/>
          <w:color w:val="auto"/>
          <w:sz w:val="24"/>
          <w:highlight w:val="none"/>
        </w:rPr>
        <w:t>综合评分</w:t>
      </w:r>
      <w:r>
        <w:rPr>
          <w:rFonts w:hint="eastAsia" w:asciiTheme="minorEastAsia" w:hAnsiTheme="minorEastAsia" w:eastAsiaTheme="minorEastAsia"/>
          <w:color w:val="auto"/>
          <w:sz w:val="24"/>
          <w:highlight w:val="none"/>
        </w:rPr>
        <w:t>。磋商小组只对通过初审</w:t>
      </w:r>
      <w:r>
        <w:rPr>
          <w:rFonts w:hint="eastAsia" w:asciiTheme="minorEastAsia" w:hAnsiTheme="minorEastAsia" w:eastAsiaTheme="minorEastAsia"/>
          <w:color w:val="auto"/>
          <w:sz w:val="24"/>
          <w:highlight w:val="none"/>
          <w:lang w:eastAsia="zh-CN"/>
        </w:rPr>
        <w:t>、</w:t>
      </w:r>
      <w:r>
        <w:rPr>
          <w:rFonts w:hint="eastAsia" w:ascii="宋体" w:hAnsi="宋体" w:eastAsia="宋体"/>
          <w:color w:val="auto"/>
          <w:sz w:val="24"/>
          <w:highlight w:val="none"/>
          <w:lang w:val="en-US" w:eastAsia="zh-CN"/>
        </w:rPr>
        <w:t>异常低价响应审查</w:t>
      </w:r>
      <w:r>
        <w:rPr>
          <w:rFonts w:hint="eastAsia" w:asciiTheme="minorEastAsia" w:hAnsiTheme="minorEastAsia" w:eastAsiaTheme="minorEastAsia"/>
          <w:color w:val="auto"/>
          <w:sz w:val="24"/>
          <w:highlight w:val="none"/>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1A3B261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.4相关说明。</w:t>
      </w:r>
    </w:p>
    <w:p w14:paraId="4A095320">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 xml:space="preserve">.4.1为保证磋商活动顺利进行，供应商可派相关技术人员进行网上答疑； </w:t>
      </w:r>
    </w:p>
    <w:p w14:paraId="13C3B0F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.4.2磋</w:t>
      </w:r>
      <w:r>
        <w:rPr>
          <w:rFonts w:asciiTheme="minorEastAsia" w:hAnsiTheme="minorEastAsia" w:eastAsiaTheme="minorEastAsia"/>
          <w:color w:val="auto"/>
          <w:sz w:val="24"/>
          <w:highlight w:val="none"/>
        </w:rPr>
        <w:t>商小组根据与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磋商情况可能实质性变动</w:t>
      </w:r>
      <w:r>
        <w:rPr>
          <w:rFonts w:hint="eastAsia" w:asciiTheme="minorEastAsia" w:hAnsiTheme="minorEastAsia" w:eastAsiaTheme="minorEastAsia"/>
          <w:color w:val="auto"/>
          <w:sz w:val="24"/>
          <w:highlight w:val="none"/>
        </w:rPr>
        <w:t>磋商文件</w:t>
      </w:r>
      <w:r>
        <w:rPr>
          <w:rFonts w:asciiTheme="minorEastAsia" w:hAnsiTheme="minorEastAsia" w:eastAsiaTheme="minorEastAsia"/>
          <w:color w:val="auto"/>
          <w:sz w:val="24"/>
          <w:highlight w:val="none"/>
        </w:rPr>
        <w:t>的内容，包括采购需求中的技术、服务要求以及合同草案条款。磋商文件有实质性变动的，</w:t>
      </w:r>
      <w:r>
        <w:rPr>
          <w:rFonts w:hint="eastAsia" w:asciiTheme="minorEastAsia" w:hAnsiTheme="minorEastAsia" w:eastAsiaTheme="minorEastAsia"/>
          <w:color w:val="auto"/>
          <w:sz w:val="24"/>
          <w:highlight w:val="none"/>
        </w:rPr>
        <w:t>经采购人代表确认作为磋商文件的有效组成部分，</w:t>
      </w:r>
      <w:r>
        <w:rPr>
          <w:rFonts w:asciiTheme="minorEastAsia" w:hAnsiTheme="minorEastAsia" w:eastAsiaTheme="minorEastAsia"/>
          <w:color w:val="auto"/>
          <w:sz w:val="24"/>
          <w:highlight w:val="none"/>
        </w:rPr>
        <w:t>磋商小组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以书面形式通知所有参加磋商的供应商。</w:t>
      </w:r>
    </w:p>
    <w:p w14:paraId="26627648">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小组可以视同其未提供。</w:t>
      </w:r>
    </w:p>
    <w:p w14:paraId="4FE26E8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2EF2442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磋商过程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C2F066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.终止竞争性磋商</w:t>
      </w:r>
    </w:p>
    <w:p w14:paraId="71EE663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.1出现下列情况之一时，采购人和采购代理机构有权宣布终止竞争性磋商采购，并将理由通知所有供应商：</w:t>
      </w:r>
    </w:p>
    <w:p w14:paraId="7FC4337F">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（1）有效供应商数量不足，导致本次磋商缺乏竞争的；</w:t>
      </w:r>
    </w:p>
    <w:p w14:paraId="4026C24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689B756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5CE43E2C">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5D4FC00B">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53A0089E">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4CEB4D9A">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16</w:t>
      </w:r>
      <w:r>
        <w:rPr>
          <w:rFonts w:hint="eastAsia" w:ascii="宋体" w:hAnsi="宋体" w:eastAsia="宋体"/>
          <w:color w:val="auto"/>
          <w:sz w:val="24"/>
          <w:highlight w:val="none"/>
        </w:rPr>
        <w:t>.2磋商小组要求供应商澄清、说明或者更正响应文件应当以书面形式（询标）作出。供应商的澄清、说明或者更正应当由法定代表人或其授权代表签字或者加盖公章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电子签章</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w:t>
      </w:r>
    </w:p>
    <w:p w14:paraId="098E517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7CCFE97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158D122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磋商并不限定只进行二轮报价，如果磋商小组认为有必要</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可以要求供应商进行多轮报价。</w:t>
      </w:r>
    </w:p>
    <w:p w14:paraId="5B784794">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在磋商内容不做实质性变更或重大调整的前提下，供应商下轮报价不得高于上一轮报价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1F8DB1B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113FB4E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0EC5919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磋商小组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和标准</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1C33AD23">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BA92B8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.1磋商小组根据综合评分的结果和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ascii="宋体" w:hAnsi="宋体" w:eastAsia="宋体"/>
          <w:color w:val="auto"/>
          <w:sz w:val="24"/>
          <w:highlight w:val="none"/>
        </w:rPr>
        <w:t>确定成交候选供应商，并标明排列顺序。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磋商小组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77CCB44D">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58F88B0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1827696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6328BAB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.1评审将在严格保密的情况下进行。</w:t>
      </w:r>
    </w:p>
    <w:p w14:paraId="4A58329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21</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0239F8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22</w:t>
      </w:r>
      <w:r>
        <w:rPr>
          <w:rFonts w:asciiTheme="minorEastAsia" w:hAnsiTheme="minorEastAsia" w:eastAsiaTheme="minorEastAsia"/>
          <w:b/>
          <w:color w:val="auto"/>
          <w:sz w:val="24"/>
          <w:highlight w:val="none"/>
        </w:rPr>
        <w:t>.成交结果公告</w:t>
      </w:r>
    </w:p>
    <w:p w14:paraId="6B85FC0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.1为体现“公开、公平、公正”的原则，磋商结束后，</w:t>
      </w:r>
      <w:r>
        <w:rPr>
          <w:rFonts w:hint="eastAsia" w:ascii="宋体" w:hAnsi="宋体" w:eastAsia="宋体"/>
          <w:color w:val="auto"/>
          <w:sz w:val="24"/>
          <w:szCs w:val="18"/>
          <w:highlight w:val="none"/>
        </w:rPr>
        <w:t>采购代理机构将在</w:t>
      </w:r>
      <w:r>
        <w:rPr>
          <w:rFonts w:hint="eastAsia" w:ascii="宋体" w:hAnsi="宋体" w:eastAsia="宋体"/>
          <w:color w:val="auto"/>
          <w:sz w:val="24"/>
          <w:szCs w:val="18"/>
          <w:highlight w:val="none"/>
          <w:lang w:val="en-US" w:eastAsia="zh-CN"/>
        </w:rPr>
        <w:t>滁州市交通运输局</w:t>
      </w:r>
      <w:r>
        <w:rPr>
          <w:rFonts w:hint="eastAsia" w:ascii="宋体" w:hAnsi="宋体" w:eastAsia="宋体"/>
          <w:color w:val="auto"/>
          <w:sz w:val="24"/>
          <w:szCs w:val="18"/>
          <w:highlight w:val="none"/>
        </w:rPr>
        <w:t>（https://jtj.chuzhou.gov.cn/）</w:t>
      </w:r>
      <w:r>
        <w:rPr>
          <w:rFonts w:hint="eastAsia" w:ascii="宋体" w:hAnsi="宋体" w:eastAsia="宋体"/>
          <w:color w:val="auto"/>
          <w:sz w:val="24"/>
          <w:szCs w:val="18"/>
          <w:highlight w:val="none"/>
          <w:lang w:eastAsia="zh-CN"/>
        </w:rPr>
        <w:t>、</w:t>
      </w:r>
      <w:r>
        <w:rPr>
          <w:rFonts w:hint="eastAsia" w:ascii="宋体" w:hAnsi="宋体" w:eastAsia="宋体" w:cs="宋体"/>
          <w:color w:val="auto"/>
          <w:kern w:val="0"/>
          <w:sz w:val="24"/>
          <w:szCs w:val="24"/>
          <w:highlight w:val="none"/>
          <w:shd w:val="clear" w:color="auto" w:fill="FFFFFF"/>
          <w:lang w:val="en-US" w:eastAsia="zh-CN" w:bidi="ar"/>
        </w:rPr>
        <w:t>滁州市城投工程咨询管理有限公司（https://www.czctgczx.com/）</w:t>
      </w:r>
      <w:r>
        <w:rPr>
          <w:rFonts w:asciiTheme="minorEastAsia" w:hAnsiTheme="minorEastAsia" w:eastAsiaTheme="minorEastAsia"/>
          <w:color w:val="auto"/>
          <w:sz w:val="24"/>
          <w:highlight w:val="none"/>
        </w:rPr>
        <w:t>上发布成交结果公告。</w:t>
      </w:r>
    </w:p>
    <w:p w14:paraId="49E0E82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0677090E">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23</w:t>
      </w:r>
      <w:r>
        <w:rPr>
          <w:rFonts w:ascii="宋体" w:hAnsi="宋体" w:eastAsia="宋体"/>
          <w:b/>
          <w:color w:val="auto"/>
          <w:sz w:val="24"/>
          <w:highlight w:val="none"/>
        </w:rPr>
        <w:t>.成交</w:t>
      </w:r>
      <w:r>
        <w:rPr>
          <w:rFonts w:asciiTheme="minorEastAsia" w:hAnsiTheme="minorEastAsia" w:eastAsiaTheme="minorEastAsia"/>
          <w:b/>
          <w:color w:val="auto"/>
          <w:sz w:val="24"/>
          <w:highlight w:val="none"/>
        </w:rPr>
        <w:t>通知书</w:t>
      </w:r>
    </w:p>
    <w:p w14:paraId="75807FC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ascii="宋体" w:hAnsi="宋体" w:eastAsia="宋体"/>
          <w:color w:val="auto"/>
          <w:sz w:val="24"/>
          <w:highlight w:val="none"/>
        </w:rPr>
        <w:t>向成交供应商发出成交通知书。</w:t>
      </w:r>
    </w:p>
    <w:p w14:paraId="6321A8B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7ABCB48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23</w:t>
      </w:r>
      <w:r>
        <w:rPr>
          <w:rFonts w:ascii="宋体" w:hAnsi="宋体" w:eastAsia="宋体"/>
          <w:color w:val="auto"/>
          <w:sz w:val="24"/>
          <w:highlight w:val="none"/>
        </w:rPr>
        <w:t>.3成交通知书是合同的组成部分。</w:t>
      </w:r>
    </w:p>
    <w:p w14:paraId="0918D07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24</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5986B9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.1在公告</w:t>
      </w:r>
      <w:r>
        <w:rPr>
          <w:rFonts w:hint="eastAsia" w:ascii="宋体" w:hAnsi="宋体" w:eastAsia="宋体"/>
          <w:color w:val="auto"/>
          <w:sz w:val="24"/>
          <w:highlight w:val="none"/>
        </w:rPr>
        <w:t>成交</w:t>
      </w:r>
      <w:r>
        <w:rPr>
          <w:rFonts w:ascii="宋体" w:hAnsi="宋体" w:eastAsia="宋体"/>
          <w:color w:val="auto"/>
          <w:sz w:val="24"/>
          <w:highlight w:val="none"/>
        </w:rPr>
        <w:t>结果的同时，采购代理机构同时以</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规定的形式告知未</w:t>
      </w:r>
      <w:r>
        <w:rPr>
          <w:rFonts w:hint="eastAsia" w:ascii="宋体" w:hAnsi="宋体" w:eastAsia="宋体"/>
          <w:color w:val="auto"/>
          <w:sz w:val="24"/>
          <w:highlight w:val="none"/>
        </w:rPr>
        <w:t>成交供应商</w:t>
      </w:r>
      <w:r>
        <w:rPr>
          <w:rFonts w:ascii="宋体" w:hAnsi="宋体" w:eastAsia="宋体"/>
          <w:color w:val="auto"/>
          <w:sz w:val="24"/>
          <w:highlight w:val="none"/>
        </w:rPr>
        <w:t>本人的评审得分和排序。</w:t>
      </w:r>
    </w:p>
    <w:p w14:paraId="7D9B60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24</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采购代理机构对未成交的供应商不做未成交原因的解释。</w:t>
      </w:r>
    </w:p>
    <w:p w14:paraId="09BCED1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25</w:t>
      </w:r>
      <w:r>
        <w:rPr>
          <w:rFonts w:ascii="宋体" w:hAnsi="宋体" w:eastAsia="宋体"/>
          <w:b/>
          <w:color w:val="auto"/>
          <w:sz w:val="24"/>
          <w:highlight w:val="none"/>
        </w:rPr>
        <w:t>.履约保证金</w:t>
      </w:r>
    </w:p>
    <w:p w14:paraId="6653574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109D959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25</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4751B7D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26</w:t>
      </w:r>
      <w:r>
        <w:rPr>
          <w:rFonts w:ascii="宋体" w:hAnsi="宋体" w:eastAsia="宋体"/>
          <w:b/>
          <w:color w:val="auto"/>
          <w:sz w:val="24"/>
          <w:highlight w:val="none"/>
        </w:rPr>
        <w:t>.</w:t>
      </w:r>
      <w:r>
        <w:rPr>
          <w:rFonts w:hint="eastAsia" w:ascii="宋体" w:hAnsi="宋体" w:eastAsia="宋体"/>
          <w:b/>
          <w:color w:val="auto"/>
          <w:sz w:val="24"/>
          <w:highlight w:val="none"/>
          <w:lang w:val="en-US" w:eastAsia="zh-CN"/>
        </w:rPr>
        <w:t>代理费用</w:t>
      </w:r>
    </w:p>
    <w:p w14:paraId="213D6A1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26</w:t>
      </w:r>
      <w:r>
        <w:rPr>
          <w:rFonts w:ascii="宋体" w:hAnsi="宋体" w:eastAsia="宋体"/>
          <w:color w:val="auto"/>
          <w:sz w:val="24"/>
          <w:highlight w:val="none"/>
        </w:rPr>
        <w:t>.1本项目</w:t>
      </w:r>
      <w:r>
        <w:rPr>
          <w:rFonts w:hint="eastAsia" w:ascii="宋体" w:hAnsi="宋体" w:eastAsia="宋体"/>
          <w:color w:val="auto"/>
          <w:sz w:val="24"/>
          <w:highlight w:val="none"/>
          <w:lang w:val="en-US" w:eastAsia="zh-CN"/>
        </w:rPr>
        <w:t>代理费用</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1027C9B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27</w:t>
      </w:r>
      <w:r>
        <w:rPr>
          <w:rFonts w:ascii="宋体" w:hAnsi="宋体" w:eastAsia="宋体"/>
          <w:b/>
          <w:color w:val="auto"/>
          <w:sz w:val="24"/>
          <w:highlight w:val="none"/>
        </w:rPr>
        <w:t>.签订</w:t>
      </w:r>
      <w:r>
        <w:rPr>
          <w:rFonts w:asciiTheme="minorEastAsia" w:hAnsiTheme="minorEastAsia" w:eastAsiaTheme="minorEastAsia"/>
          <w:b/>
          <w:color w:val="auto"/>
          <w:sz w:val="24"/>
          <w:highlight w:val="none"/>
        </w:rPr>
        <w:t>合同</w:t>
      </w:r>
    </w:p>
    <w:p w14:paraId="6FA83AB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15F45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.2磋商文件、成交供应商的响应文件及其澄清文件等，均为签订合同的依据。</w:t>
      </w:r>
    </w:p>
    <w:p w14:paraId="37C252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ascii="宋体" w:hAnsi="宋体" w:eastAsia="宋体"/>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成交供应商拒绝签订政府采购合同的不得参加对该项目重新开展的采购活动。</w:t>
      </w:r>
    </w:p>
    <w:p w14:paraId="7568FC9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28</w:t>
      </w:r>
      <w:r>
        <w:rPr>
          <w:rFonts w:ascii="宋体" w:hAnsi="宋体" w:eastAsia="宋体"/>
          <w:b/>
          <w:color w:val="auto"/>
          <w:sz w:val="24"/>
          <w:highlight w:val="none"/>
        </w:rPr>
        <w:t>.廉洁</w:t>
      </w:r>
      <w:r>
        <w:rPr>
          <w:rFonts w:asciiTheme="minorEastAsia" w:hAnsiTheme="minorEastAsia" w:eastAsiaTheme="minorEastAsia"/>
          <w:b/>
          <w:color w:val="auto"/>
          <w:sz w:val="24"/>
          <w:highlight w:val="none"/>
        </w:rPr>
        <w:t>自律</w:t>
      </w:r>
      <w:r>
        <w:rPr>
          <w:rFonts w:ascii="宋体" w:hAnsi="宋体" w:eastAsia="宋体"/>
          <w:b/>
          <w:color w:val="auto"/>
          <w:sz w:val="24"/>
          <w:highlight w:val="none"/>
        </w:rPr>
        <w:t>规定</w:t>
      </w:r>
    </w:p>
    <w:p w14:paraId="0C3AC36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.1采购代理机构工作人员不得以不正当手段获取政府采购代理业务，不得与采购人、供应商恶意串通。</w:t>
      </w:r>
    </w:p>
    <w:p w14:paraId="21FCD89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3C57A660">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29</w:t>
      </w:r>
      <w:r>
        <w:rPr>
          <w:rFonts w:ascii="宋体" w:hAnsi="宋体" w:eastAsia="宋体"/>
          <w:b/>
          <w:color w:val="auto"/>
          <w:sz w:val="24"/>
          <w:highlight w:val="none"/>
        </w:rPr>
        <w:t>.质疑的</w:t>
      </w:r>
      <w:r>
        <w:rPr>
          <w:rFonts w:asciiTheme="minorEastAsia" w:hAnsiTheme="minorEastAsia" w:eastAsiaTheme="minorEastAsia"/>
          <w:b/>
          <w:color w:val="auto"/>
          <w:sz w:val="24"/>
          <w:highlight w:val="none"/>
        </w:rPr>
        <w:t>提出</w:t>
      </w:r>
      <w:r>
        <w:rPr>
          <w:rFonts w:ascii="宋体" w:hAnsi="宋体" w:eastAsia="宋体"/>
          <w:b/>
          <w:color w:val="auto"/>
          <w:sz w:val="24"/>
          <w:highlight w:val="none"/>
        </w:rPr>
        <w:t>与接收</w:t>
      </w:r>
    </w:p>
    <w:p w14:paraId="047C61F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.1供应商认为磋商文件、采购过程和成交结果使自己的权益受到损害的，可以在知道或者应知其权益受到损害之日起七个工作日内，以书面形式向采购人或其委托的采购代理机构提出质疑。</w:t>
      </w:r>
    </w:p>
    <w:p w14:paraId="561C34C1">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64B475D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29</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71B184C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3E6C1DE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宋体" w:hAnsi="宋体" w:eastAsia="宋体"/>
          <w:b/>
          <w:color w:val="auto"/>
          <w:sz w:val="24"/>
          <w:highlight w:val="none"/>
        </w:rPr>
      </w:pPr>
      <w:r>
        <w:rPr>
          <w:rFonts w:hint="eastAsia" w:ascii="宋体" w:hAnsi="宋体" w:eastAsia="宋体"/>
          <w:b/>
          <w:color w:val="auto"/>
          <w:sz w:val="24"/>
          <w:highlight w:val="none"/>
          <w:lang w:val="en-US" w:eastAsia="zh-CN"/>
        </w:rPr>
        <w:t>30</w:t>
      </w:r>
      <w:r>
        <w:rPr>
          <w:rFonts w:ascii="宋体" w:hAnsi="宋体" w:eastAsia="宋体"/>
          <w:b/>
          <w:color w:val="auto"/>
          <w:sz w:val="24"/>
          <w:highlight w:val="none"/>
        </w:rPr>
        <w:t>.需要</w:t>
      </w:r>
      <w:r>
        <w:rPr>
          <w:rFonts w:asciiTheme="minorEastAsia" w:hAnsiTheme="minorEastAsia" w:eastAsiaTheme="minorEastAsia"/>
          <w:b/>
          <w:color w:val="auto"/>
          <w:sz w:val="24"/>
          <w:highlight w:val="none"/>
        </w:rPr>
        <w:t>补充</w:t>
      </w:r>
      <w:r>
        <w:rPr>
          <w:rFonts w:ascii="宋体" w:hAnsi="宋体" w:eastAsia="宋体"/>
          <w:b/>
          <w:color w:val="auto"/>
          <w:sz w:val="24"/>
          <w:highlight w:val="none"/>
        </w:rPr>
        <w:t>的其他内容</w:t>
      </w:r>
    </w:p>
    <w:p w14:paraId="470A4D12">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2"/>
        <w:rPr>
          <w:rFonts w:asciiTheme="minorEastAsia" w:hAnsiTheme="minorEastAsia" w:eastAsiaTheme="minorEastAsia"/>
          <w:b/>
          <w:color w:val="auto"/>
          <w:sz w:val="28"/>
          <w:highlight w:val="none"/>
        </w:rPr>
      </w:pPr>
      <w:r>
        <w:rPr>
          <w:rFonts w:hint="eastAsia" w:asciiTheme="minorEastAsia" w:hAnsiTheme="minorEastAsia" w:eastAsiaTheme="minorEastAsia"/>
          <w:color w:val="auto"/>
          <w:sz w:val="24"/>
          <w:highlight w:val="none"/>
          <w:lang w:val="en-US" w:eastAsia="zh-CN"/>
        </w:rPr>
        <w:t>30.1</w:t>
      </w:r>
      <w:r>
        <w:rPr>
          <w:rFonts w:hint="eastAsia" w:asciiTheme="minorEastAsia" w:hAnsiTheme="minorEastAsia" w:eastAsiaTheme="minorEastAsia"/>
          <w:color w:val="auto"/>
          <w:sz w:val="24"/>
          <w:highlight w:val="none"/>
        </w:rPr>
        <w:t>因本项目为二次</w:t>
      </w:r>
      <w:r>
        <w:rPr>
          <w:rFonts w:hint="eastAsia" w:asciiTheme="minorEastAsia" w:hAnsiTheme="minorEastAsia" w:eastAsiaTheme="minorEastAsia"/>
          <w:color w:val="auto"/>
          <w:sz w:val="24"/>
          <w:highlight w:val="none"/>
          <w:lang w:val="en-US" w:eastAsia="zh-CN"/>
        </w:rPr>
        <w:t>竞争性磋商</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若</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val="en-US" w:eastAsia="zh-CN"/>
        </w:rPr>
        <w:t>截止开启时间前或在</w:t>
      </w:r>
      <w:r>
        <w:rPr>
          <w:rFonts w:hint="eastAsia" w:asciiTheme="minorEastAsia" w:hAnsiTheme="minorEastAsia" w:eastAsiaTheme="minorEastAsia"/>
          <w:color w:val="auto"/>
          <w:sz w:val="24"/>
          <w:highlight w:val="none"/>
        </w:rPr>
        <w:t>评审过程中，有效</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不足三家时，经采购人和评审专家一致认定不影响公平竞争的，即使供应商不足三家，将继续</w:t>
      </w:r>
      <w:r>
        <w:rPr>
          <w:rFonts w:hint="eastAsia" w:asciiTheme="minorEastAsia" w:hAnsiTheme="minorEastAsia" w:eastAsiaTheme="minorEastAsia"/>
          <w:color w:val="auto"/>
          <w:sz w:val="24"/>
          <w:highlight w:val="none"/>
          <w:lang w:val="en-US" w:eastAsia="zh-CN"/>
        </w:rPr>
        <w:t>进行</w:t>
      </w:r>
      <w:r>
        <w:rPr>
          <w:rFonts w:hint="eastAsia" w:asciiTheme="minorEastAsia" w:hAnsiTheme="minorEastAsia" w:eastAsiaTheme="minorEastAsia"/>
          <w:color w:val="auto"/>
          <w:sz w:val="24"/>
          <w:highlight w:val="none"/>
        </w:rPr>
        <w:t>磋商。</w:t>
      </w:r>
      <w:r>
        <w:rPr>
          <w:rFonts w:asciiTheme="minorEastAsia" w:hAnsiTheme="minorEastAsia" w:eastAsiaTheme="minorEastAsia"/>
          <w:color w:val="auto"/>
          <w:sz w:val="24"/>
          <w:highlight w:val="none"/>
        </w:rPr>
        <w:br w:type="page"/>
      </w:r>
    </w:p>
    <w:p w14:paraId="481C4DF4">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62" w:name="_Toc19440"/>
      <w:r>
        <w:rPr>
          <w:rFonts w:hint="eastAsia" w:asciiTheme="minorEastAsia" w:hAnsiTheme="minorEastAsia" w:eastAsiaTheme="minorEastAsia"/>
          <w:b/>
          <w:color w:val="auto"/>
          <w:sz w:val="28"/>
          <w:highlight w:val="none"/>
        </w:rPr>
        <w:t>第三章  采购需求</w:t>
      </w:r>
      <w:bookmarkEnd w:id="62"/>
    </w:p>
    <w:p w14:paraId="58E2770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21CC742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本采购需求中提出的服务方案仅为参考，如无明确限制，</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可以进行优化，提供满足采购人实际需要的更优（或者性能实质上不低于的）服务方案，且此方案须经</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评审认可。</w:t>
      </w:r>
    </w:p>
    <w:p w14:paraId="0A6291C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ascii="宋体" w:hAnsi="宋体" w:eastAsia="宋体"/>
          <w:b/>
          <w:color w:val="auto"/>
          <w:sz w:val="24"/>
          <w:szCs w:val="18"/>
          <w:highlight w:val="none"/>
        </w:rPr>
      </w:pPr>
      <w:bookmarkStart w:id="63" w:name="_Toc26349"/>
      <w:bookmarkStart w:id="64" w:name="_Toc7699"/>
      <w:r>
        <w:rPr>
          <w:rFonts w:hint="eastAsia" w:ascii="宋体" w:hAnsi="宋体" w:eastAsia="宋体"/>
          <w:b/>
          <w:color w:val="auto"/>
          <w:sz w:val="24"/>
          <w:szCs w:val="18"/>
          <w:highlight w:val="none"/>
        </w:rPr>
        <w:t>一、采购需求前附表</w:t>
      </w:r>
      <w:bookmarkEnd w:id="63"/>
      <w:bookmarkEnd w:id="64"/>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1961"/>
        <w:gridCol w:w="6532"/>
      </w:tblGrid>
      <w:tr w14:paraId="10F4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22638E41">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
                <w:color w:val="auto"/>
                <w:kern w:val="2"/>
                <w:highlight w:val="none"/>
              </w:rPr>
            </w:pPr>
            <w:bookmarkStart w:id="65" w:name="_Hlk16461016"/>
            <w:r>
              <w:rPr>
                <w:rFonts w:hint="eastAsia" w:ascii="宋体" w:hAnsi="宋体" w:eastAsia="宋体"/>
                <w:b/>
                <w:color w:val="auto"/>
                <w:kern w:val="2"/>
                <w:highlight w:val="none"/>
              </w:rPr>
              <w:t>序号</w:t>
            </w:r>
          </w:p>
        </w:tc>
        <w:tc>
          <w:tcPr>
            <w:tcW w:w="1018" w:type="pct"/>
            <w:vAlign w:val="center"/>
          </w:tcPr>
          <w:p w14:paraId="0570569D">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391" w:type="pct"/>
            <w:vAlign w:val="center"/>
          </w:tcPr>
          <w:p w14:paraId="0A02326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186F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4C87B892">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018" w:type="pct"/>
            <w:vAlign w:val="center"/>
          </w:tcPr>
          <w:p w14:paraId="1F08A5F6">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391" w:type="pct"/>
            <w:vAlign w:val="center"/>
          </w:tcPr>
          <w:p w14:paraId="3403240F">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lang w:val="en-US" w:eastAsia="zh-CN"/>
              </w:rPr>
              <w:t>提交成果文件后一次性付清合同价款。</w:t>
            </w:r>
          </w:p>
        </w:tc>
      </w:tr>
      <w:tr w14:paraId="6AB26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43C93C8F">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018" w:type="pct"/>
            <w:vAlign w:val="center"/>
          </w:tcPr>
          <w:p w14:paraId="2AA28F61">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服务地点</w:t>
            </w:r>
          </w:p>
        </w:tc>
        <w:tc>
          <w:tcPr>
            <w:tcW w:w="3391" w:type="pct"/>
            <w:vAlign w:val="center"/>
          </w:tcPr>
          <w:p w14:paraId="63F8C1D9">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宋体" w:hAnsi="宋体" w:eastAsia="宋体"/>
                <w:b w:val="0"/>
                <w:color w:val="auto"/>
                <w:sz w:val="24"/>
                <w:highlight w:val="none"/>
                <w:lang w:val="en-US" w:eastAsia="zh-CN"/>
              </w:rPr>
            </w:pPr>
            <w:r>
              <w:rPr>
                <w:rFonts w:hint="default" w:ascii="宋体" w:hAnsi="宋体" w:eastAsia="宋体"/>
                <w:b w:val="0"/>
                <w:color w:val="auto"/>
                <w:sz w:val="24"/>
                <w:highlight w:val="none"/>
                <w:lang w:val="en-US" w:eastAsia="zh-CN"/>
              </w:rPr>
              <w:t>滁州市交通运输局</w:t>
            </w:r>
            <w:r>
              <w:rPr>
                <w:rFonts w:hint="eastAsia" w:ascii="宋体" w:hAnsi="宋体" w:eastAsia="宋体"/>
                <w:b w:val="0"/>
                <w:color w:val="auto"/>
                <w:sz w:val="24"/>
                <w:highlight w:val="none"/>
                <w:lang w:val="en-US" w:eastAsia="zh-CN"/>
              </w:rPr>
              <w:t>（滁州市龙蟠大道200号），具体位置由招标人指定</w:t>
            </w:r>
          </w:p>
        </w:tc>
      </w:tr>
      <w:tr w14:paraId="4D56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9" w:type="pct"/>
            <w:vAlign w:val="center"/>
          </w:tcPr>
          <w:p w14:paraId="1C963109">
            <w:pPr>
              <w:pStyle w:val="46"/>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018" w:type="pct"/>
            <w:vAlign w:val="center"/>
          </w:tcPr>
          <w:p w14:paraId="75092FBE">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color w:val="auto"/>
                <w:sz w:val="24"/>
                <w:highlight w:val="none"/>
              </w:rPr>
            </w:pPr>
            <w:r>
              <w:rPr>
                <w:rFonts w:hint="eastAsia" w:ascii="宋体" w:hAnsi="宋体" w:eastAsia="宋体"/>
                <w:b w:val="0"/>
                <w:color w:val="auto"/>
                <w:sz w:val="24"/>
                <w:highlight w:val="none"/>
              </w:rPr>
              <w:t>服务期限</w:t>
            </w:r>
          </w:p>
        </w:tc>
        <w:tc>
          <w:tcPr>
            <w:tcW w:w="3391" w:type="pct"/>
            <w:vAlign w:val="center"/>
          </w:tcPr>
          <w:p w14:paraId="06321F55">
            <w:pPr>
              <w:pStyle w:val="45"/>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自合同签订之日起15</w:t>
            </w:r>
            <w:r>
              <w:rPr>
                <w:rFonts w:hint="eastAsia" w:ascii="宋体" w:hAnsi="宋体" w:eastAsia="宋体"/>
                <w:b w:val="0"/>
                <w:color w:val="auto"/>
                <w:sz w:val="24"/>
                <w:highlight w:val="none"/>
                <w:lang w:eastAsia="zh-CN"/>
              </w:rPr>
              <w:t>个工作</w:t>
            </w:r>
            <w:r>
              <w:rPr>
                <w:rFonts w:hint="eastAsia" w:ascii="宋体" w:hAnsi="宋体" w:eastAsia="宋体"/>
                <w:b w:val="0"/>
                <w:color w:val="auto"/>
                <w:sz w:val="24"/>
                <w:highlight w:val="none"/>
              </w:rPr>
              <w:t>日内提供设计成果文件</w:t>
            </w:r>
            <w:r>
              <w:rPr>
                <w:rFonts w:hint="eastAsia" w:ascii="宋体" w:hAnsi="宋体" w:eastAsia="宋体"/>
                <w:b w:val="0"/>
                <w:color w:val="auto"/>
                <w:sz w:val="24"/>
                <w:highlight w:val="none"/>
                <w:lang w:eastAsia="zh-CN"/>
              </w:rPr>
              <w:t>。</w:t>
            </w:r>
          </w:p>
        </w:tc>
      </w:tr>
    </w:tbl>
    <w:p w14:paraId="4AFA9AE3">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ascii="宋体" w:hAnsi="宋体" w:eastAsia="宋体"/>
          <w:b/>
          <w:color w:val="auto"/>
          <w:sz w:val="24"/>
          <w:szCs w:val="18"/>
          <w:highlight w:val="none"/>
        </w:rPr>
      </w:pPr>
      <w:bookmarkStart w:id="66" w:name="_Toc25144"/>
      <w:bookmarkStart w:id="67" w:name="_Toc23116"/>
      <w:r>
        <w:rPr>
          <w:rFonts w:hint="eastAsia" w:ascii="宋体" w:hAnsi="宋体" w:eastAsia="宋体"/>
          <w:b/>
          <w:color w:val="auto"/>
          <w:sz w:val="24"/>
          <w:szCs w:val="18"/>
          <w:highlight w:val="none"/>
        </w:rPr>
        <w:t>二、项目概况</w:t>
      </w:r>
      <w:bookmarkEnd w:id="66"/>
      <w:bookmarkEnd w:id="67"/>
    </w:p>
    <w:p w14:paraId="5FCAA17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color w:val="auto"/>
          <w:sz w:val="24"/>
          <w:szCs w:val="24"/>
          <w:highlight w:val="none"/>
          <w:lang w:val="en-US" w:eastAsia="zh-CN"/>
        </w:rPr>
      </w:pPr>
      <w:bookmarkStart w:id="68" w:name="_Toc21757"/>
      <w:bookmarkStart w:id="69" w:name="_Toc8586"/>
      <w:r>
        <w:rPr>
          <w:rFonts w:hint="eastAsia" w:ascii="宋体" w:hAnsi="宋体" w:eastAsia="宋体" w:cs="宋体"/>
          <w:color w:val="auto"/>
          <w:sz w:val="24"/>
          <w:szCs w:val="24"/>
          <w:highlight w:val="none"/>
          <w:lang w:val="en-US" w:eastAsia="zh-CN"/>
        </w:rPr>
        <w:t>为贯彻落实省交通厅对视频会议系统相关要求，解决会议室、安防系统等设施落后、损坏的现状，结合创建全国文明单位要求，拟对部分会议场所和附属设施设备进行升级改造，提升日常保障质效。自筹经费80万元（含本次设计费用）。具体情况如下：</w:t>
      </w:r>
    </w:p>
    <w:p w14:paraId="0E502029">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1.会议室改造</w:t>
      </w:r>
    </w:p>
    <w:p w14:paraId="79E6207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1.1 906会议室改造升级。计划更新视频会议系统及音视频等设备，配套会务硬件及附属设备，顺畅接入交通重点部位数据，将场地改造为集视频会议、干部培训、调度监测、展示功能于一体的多功能会议室。</w:t>
      </w:r>
    </w:p>
    <w:p w14:paraId="382BE36C">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1.2附三楼会议室改造。计划更新投影及扩音调音设备，解决画面清晰度不足、音响杂音啸叫等问题。</w:t>
      </w:r>
    </w:p>
    <w:p w14:paraId="12247C5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2.安防系统改造</w:t>
      </w:r>
    </w:p>
    <w:p w14:paraId="52D6B0DB">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拟更新监控平台（现有监控平台（天地伟业））、显控、存储及网络防护设备，解决系统卡顿宕机问题，提升网络安全防护能力；将地下车库道闸更新为升降格栅式，减少闲杂人员进入地下车库的概率；对北门道闸线路进行破拆更新，并视情调整走线方式。</w:t>
      </w:r>
    </w:p>
    <w:p w14:paraId="361E305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3.附属设施改造</w:t>
      </w:r>
    </w:p>
    <w:p w14:paraId="4EE90B8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3.1阅览室改造</w:t>
      </w:r>
    </w:p>
    <w:p w14:paraId="6A80EF35">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由于我局无图书阅览室，根据创建全国文明单位工作需要，拟将923办公室改造为阅览室，计划购置部分桌椅、书柜、书架，并装饰内部氛围。</w:t>
      </w:r>
    </w:p>
    <w:p w14:paraId="3C551AB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3.2一楼楼道吊顶改造</w:t>
      </w:r>
    </w:p>
    <w:p w14:paraId="553E32E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楼楼道原有吊顶为石膏板封闭式，由于近年来空调管道老化漏水，每次检修均需单独切割检修孔，但后续无法恢复原状。拟参照其他楼层，将一楼楼道吊顶改造为活动扣板式，具体样式及尺寸以便于内部管线检修维护为准。</w:t>
      </w:r>
    </w:p>
    <w:p w14:paraId="4B93559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ascii="宋体" w:hAnsi="宋体" w:eastAsia="宋体"/>
          <w:b/>
          <w:color w:val="auto"/>
          <w:sz w:val="24"/>
          <w:szCs w:val="18"/>
          <w:highlight w:val="none"/>
        </w:rPr>
      </w:pPr>
      <w:r>
        <w:rPr>
          <w:rFonts w:hint="eastAsia" w:ascii="宋体" w:hAnsi="宋体" w:eastAsia="宋体"/>
          <w:b/>
          <w:color w:val="auto"/>
          <w:sz w:val="24"/>
          <w:szCs w:val="18"/>
          <w:highlight w:val="none"/>
        </w:rPr>
        <w:t>三、服务需求</w:t>
      </w:r>
      <w:bookmarkEnd w:id="68"/>
      <w:bookmarkEnd w:id="69"/>
    </w:p>
    <w:bookmarkEnd w:id="65"/>
    <w:p w14:paraId="2822447E">
      <w:pPr>
        <w:pStyle w:val="2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1.依据招标人需求提供符合要求的设计成果文件。</w:t>
      </w:r>
      <w:r>
        <w:rPr>
          <w:rFonts w:hint="eastAsia" w:ascii="宋体" w:hAnsi="宋体" w:cs="宋体"/>
          <w:color w:val="auto"/>
          <w:kern w:val="2"/>
          <w:sz w:val="24"/>
          <w:szCs w:val="24"/>
          <w:highlight w:val="none"/>
          <w:lang w:val="en-US" w:eastAsia="zh-CN" w:bidi="ar-SA"/>
        </w:rPr>
        <w:t>确保设计成果文件符合行业规定。</w:t>
      </w:r>
    </w:p>
    <w:p w14:paraId="3E5A7196">
      <w:pPr>
        <w:pStyle w:val="2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2.提供的设计成果文件可直接用于本项目工程量清单及最高投标限价的编制，无须进行二次深化设计。</w:t>
      </w:r>
    </w:p>
    <w:p w14:paraId="243275D9">
      <w:pPr>
        <w:pStyle w:val="25"/>
        <w:keepNext w:val="0"/>
        <w:keepLines w:val="0"/>
        <w:pageBreakBefore w:val="0"/>
        <w:widowControl w:val="0"/>
        <w:kinsoku/>
        <w:wordWrap/>
        <w:overflowPunct/>
        <w:topLinePunct w:val="0"/>
        <w:autoSpaceDE/>
        <w:autoSpaceDN/>
        <w:bidi w:val="0"/>
        <w:adjustRightInd/>
        <w:snapToGrid/>
        <w:spacing w:after="0" w:afterLines="0" w:line="360" w:lineRule="auto"/>
        <w:ind w:left="0" w:leftChars="0" w:firstLine="480" w:firstLineChars="200"/>
        <w:textAlignment w:val="auto"/>
        <w:rPr>
          <w:rFonts w:asciiTheme="minorEastAsia" w:hAnsiTheme="minorEastAsia" w:eastAsiaTheme="minorEastAsia"/>
          <w:color w:val="auto"/>
          <w:sz w:val="24"/>
          <w:highlight w:val="none"/>
        </w:rPr>
      </w:pPr>
      <w:r>
        <w:rPr>
          <w:rFonts w:hint="eastAsia" w:ascii="宋体" w:hAnsi="宋体" w:eastAsia="宋体" w:cs="宋体"/>
          <w:color w:val="auto"/>
          <w:kern w:val="2"/>
          <w:sz w:val="24"/>
          <w:szCs w:val="24"/>
          <w:highlight w:val="none"/>
          <w:lang w:val="en-US" w:eastAsia="zh-CN" w:bidi="ar-SA"/>
        </w:rPr>
        <w:t>3.对于设计范围内的材料及设备，明确具体详细参数，且至少保证市场上有三家及以上厂家满足，并提供对应证明材料。</w:t>
      </w:r>
      <w:r>
        <w:rPr>
          <w:rFonts w:asciiTheme="minorEastAsia" w:hAnsiTheme="minorEastAsia" w:eastAsiaTheme="minorEastAsia"/>
          <w:color w:val="auto"/>
          <w:sz w:val="24"/>
          <w:highlight w:val="none"/>
        </w:rPr>
        <w:br w:type="page"/>
      </w:r>
    </w:p>
    <w:p w14:paraId="0BCB7660">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70" w:name="_Toc8668"/>
      <w:r>
        <w:rPr>
          <w:rFonts w:hint="eastAsia" w:asciiTheme="minorEastAsia" w:hAnsiTheme="minorEastAsia" w:eastAsiaTheme="minorEastAsia"/>
          <w:b/>
          <w:color w:val="auto"/>
          <w:sz w:val="28"/>
          <w:highlight w:val="none"/>
        </w:rPr>
        <w:t>第四章  评审方法和标准</w:t>
      </w:r>
      <w:bookmarkEnd w:id="70"/>
    </w:p>
    <w:p w14:paraId="4C1DABBA">
      <w:pPr>
        <w:spacing w:line="360" w:lineRule="auto"/>
        <w:ind w:firstLine="437"/>
        <w:outlineLvl w:val="1"/>
        <w:rPr>
          <w:rFonts w:asciiTheme="minorEastAsia" w:hAnsiTheme="minorEastAsia" w:eastAsiaTheme="minorEastAsia"/>
          <w:b/>
          <w:color w:val="auto"/>
          <w:sz w:val="24"/>
          <w:highlight w:val="none"/>
        </w:rPr>
      </w:pPr>
      <w:bookmarkStart w:id="71" w:name="_Toc21211"/>
      <w:bookmarkStart w:id="72" w:name="_Toc12199"/>
      <w:r>
        <w:rPr>
          <w:rFonts w:hint="eastAsia" w:asciiTheme="minorEastAsia" w:hAnsiTheme="minorEastAsia" w:eastAsiaTheme="minorEastAsia"/>
          <w:b/>
          <w:color w:val="auto"/>
          <w:sz w:val="24"/>
          <w:highlight w:val="none"/>
        </w:rPr>
        <w:t>一、总则</w:t>
      </w:r>
      <w:bookmarkEnd w:id="71"/>
      <w:bookmarkEnd w:id="72"/>
    </w:p>
    <w:p w14:paraId="63E02FE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本项目将按照磋商文件第二章 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0A3B915D">
      <w:pPr>
        <w:spacing w:line="360" w:lineRule="auto"/>
        <w:ind w:firstLine="437"/>
        <w:outlineLvl w:val="1"/>
        <w:rPr>
          <w:rFonts w:asciiTheme="minorEastAsia" w:hAnsiTheme="minorEastAsia" w:eastAsiaTheme="minorEastAsia"/>
          <w:b/>
          <w:color w:val="auto"/>
          <w:sz w:val="24"/>
          <w:highlight w:val="none"/>
        </w:rPr>
      </w:pPr>
      <w:bookmarkStart w:id="73" w:name="_Toc13039"/>
      <w:bookmarkStart w:id="74" w:name="_Toc16885"/>
      <w:r>
        <w:rPr>
          <w:rFonts w:hint="eastAsia" w:asciiTheme="minorEastAsia" w:hAnsiTheme="minorEastAsia" w:eastAsiaTheme="minorEastAsia"/>
          <w:b/>
          <w:color w:val="auto"/>
          <w:sz w:val="24"/>
          <w:highlight w:val="none"/>
        </w:rPr>
        <w:t>二、评审方法</w:t>
      </w:r>
      <w:bookmarkEnd w:id="73"/>
      <w:bookmarkEnd w:id="74"/>
    </w:p>
    <w:p w14:paraId="5C1897C3">
      <w:pPr>
        <w:spacing w:line="360" w:lineRule="auto"/>
        <w:ind w:firstLine="435"/>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14687B4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磋商小组对供应商的响应文件进行初审，以确定其是否满足磋商文件的实质性要求。初审表如下：</w:t>
      </w:r>
    </w:p>
    <w:tbl>
      <w:tblPr>
        <w:tblStyle w:val="26"/>
        <w:tblW w:w="52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861"/>
        <w:gridCol w:w="5149"/>
        <w:gridCol w:w="2339"/>
      </w:tblGrid>
      <w:tr w14:paraId="69A94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5A29EF4B">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lang w:val="en-US" w:eastAsia="zh-CN"/>
              </w:rPr>
              <w:t>初审</w:t>
            </w:r>
            <w:r>
              <w:rPr>
                <w:rFonts w:hint="eastAsia" w:ascii="宋体" w:hAnsi="宋体" w:eastAsia="宋体"/>
                <w:b/>
                <w:color w:val="auto"/>
                <w:sz w:val="24"/>
                <w:szCs w:val="22"/>
                <w:highlight w:val="none"/>
              </w:rPr>
              <w:t>表</w:t>
            </w:r>
          </w:p>
        </w:tc>
      </w:tr>
      <w:tr w14:paraId="3292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tcBorders>
              <w:bottom w:val="single" w:color="auto" w:sz="4" w:space="0"/>
            </w:tcBorders>
            <w:vAlign w:val="center"/>
          </w:tcPr>
          <w:p w14:paraId="259F92F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22" w:type="pct"/>
            <w:tcBorders>
              <w:bottom w:val="single" w:color="auto" w:sz="4" w:space="0"/>
            </w:tcBorders>
            <w:vAlign w:val="center"/>
          </w:tcPr>
          <w:p w14:paraId="1471E629">
            <w:pPr>
              <w:pStyle w:val="46"/>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审查指标</w:t>
            </w:r>
          </w:p>
        </w:tc>
        <w:tc>
          <w:tcPr>
            <w:tcW w:w="2551" w:type="pct"/>
            <w:tcBorders>
              <w:bottom w:val="single" w:color="auto" w:sz="4" w:space="0"/>
            </w:tcBorders>
            <w:vAlign w:val="center"/>
          </w:tcPr>
          <w:p w14:paraId="3FA8934E">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审查标准</w:t>
            </w:r>
          </w:p>
        </w:tc>
        <w:tc>
          <w:tcPr>
            <w:tcW w:w="1156" w:type="pct"/>
            <w:tcBorders>
              <w:bottom w:val="single" w:color="auto" w:sz="4" w:space="0"/>
            </w:tcBorders>
            <w:vAlign w:val="center"/>
          </w:tcPr>
          <w:p w14:paraId="228B9EF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381D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8" w:type="pct"/>
            <w:tcBorders>
              <w:bottom w:val="single" w:color="auto" w:sz="4" w:space="0"/>
            </w:tcBorders>
            <w:vAlign w:val="center"/>
          </w:tcPr>
          <w:p w14:paraId="19040A31">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22" w:type="pct"/>
            <w:tcBorders>
              <w:bottom w:val="single" w:color="auto" w:sz="4" w:space="0"/>
            </w:tcBorders>
            <w:vAlign w:val="center"/>
          </w:tcPr>
          <w:p w14:paraId="0902EBEC">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551" w:type="pct"/>
            <w:tcBorders>
              <w:bottom w:val="single" w:color="auto" w:sz="4" w:space="0"/>
            </w:tcBorders>
            <w:vAlign w:val="center"/>
          </w:tcPr>
          <w:p w14:paraId="42E11A7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2BC32796">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3D3D22B7">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5A42C32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5A2C5721">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156" w:type="pct"/>
            <w:vAlign w:val="center"/>
          </w:tcPr>
          <w:p w14:paraId="6D950524">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的联合体各方均须提供。</w:t>
            </w:r>
          </w:p>
        </w:tc>
      </w:tr>
      <w:tr w14:paraId="3B7F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68" w:type="pct"/>
            <w:tcBorders>
              <w:bottom w:val="single" w:color="auto" w:sz="4" w:space="0"/>
            </w:tcBorders>
            <w:vAlign w:val="center"/>
          </w:tcPr>
          <w:p w14:paraId="6225BBD7">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22" w:type="pct"/>
            <w:tcBorders>
              <w:bottom w:val="single" w:color="auto" w:sz="4" w:space="0"/>
            </w:tcBorders>
            <w:vAlign w:val="center"/>
          </w:tcPr>
          <w:p w14:paraId="2CF8C0E1">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供应商资格声明书</w:t>
            </w:r>
          </w:p>
        </w:tc>
        <w:tc>
          <w:tcPr>
            <w:tcW w:w="2551" w:type="pct"/>
            <w:tcBorders>
              <w:bottom w:val="single" w:color="auto" w:sz="4" w:space="0"/>
            </w:tcBorders>
            <w:vAlign w:val="center"/>
          </w:tcPr>
          <w:p w14:paraId="448E676C">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w:t>
            </w:r>
            <w:r>
              <w:rPr>
                <w:rFonts w:hint="eastAsia" w:ascii="宋体" w:hAnsi="宋体" w:eastAsia="宋体" w:cs="宋体"/>
                <w:color w:val="auto"/>
                <w:sz w:val="24"/>
                <w:szCs w:val="24"/>
                <w:highlight w:val="none"/>
                <w:lang w:val="en-US" w:eastAsia="zh-CN"/>
              </w:rPr>
              <w:t>磋商</w:t>
            </w:r>
            <w:r>
              <w:rPr>
                <w:rFonts w:ascii="宋体" w:hAnsi="宋体" w:eastAsia="宋体" w:cs="宋体"/>
                <w:color w:val="auto"/>
                <w:sz w:val="24"/>
                <w:szCs w:val="24"/>
                <w:highlight w:val="none"/>
              </w:rPr>
              <w:t>文件要求的《</w:t>
            </w:r>
            <w:r>
              <w:rPr>
                <w:rFonts w:hint="eastAsia" w:ascii="宋体" w:hAnsi="宋体" w:eastAsia="宋体" w:cs="宋体"/>
                <w:color w:val="auto"/>
                <w:sz w:val="24"/>
                <w:szCs w:val="24"/>
                <w:highlight w:val="none"/>
                <w:lang w:val="en-US" w:eastAsia="zh-CN"/>
              </w:rPr>
              <w:t>供应商</w:t>
            </w:r>
            <w:r>
              <w:rPr>
                <w:rFonts w:ascii="宋体" w:hAnsi="宋体" w:eastAsia="宋体" w:cs="宋体"/>
                <w:color w:val="auto"/>
                <w:sz w:val="24"/>
                <w:szCs w:val="24"/>
                <w:highlight w:val="none"/>
              </w:rPr>
              <w:t>资格声明书》</w:t>
            </w:r>
            <w:r>
              <w:rPr>
                <w:rFonts w:hint="eastAsia" w:ascii="宋体" w:hAnsi="宋体" w:eastAsia="宋体" w:cs="宋体"/>
                <w:color w:val="auto"/>
                <w:sz w:val="24"/>
                <w:szCs w:val="24"/>
                <w:highlight w:val="none"/>
                <w:lang w:eastAsia="zh-CN"/>
              </w:rPr>
              <w:t>。</w:t>
            </w:r>
          </w:p>
        </w:tc>
        <w:tc>
          <w:tcPr>
            <w:tcW w:w="1156" w:type="pct"/>
            <w:vAlign w:val="center"/>
          </w:tcPr>
          <w:p w14:paraId="0CF371A0">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F25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tcBorders>
              <w:bottom w:val="single" w:color="auto" w:sz="4" w:space="0"/>
            </w:tcBorders>
            <w:vAlign w:val="center"/>
          </w:tcPr>
          <w:p w14:paraId="0D8939ED">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22" w:type="pct"/>
            <w:tcBorders>
              <w:bottom w:val="single" w:color="auto" w:sz="4" w:space="0"/>
            </w:tcBorders>
            <w:vAlign w:val="center"/>
          </w:tcPr>
          <w:p w14:paraId="66B82CE2">
            <w:pPr>
              <w:spacing w:after="50" w:line="360" w:lineRule="auto"/>
              <w:ind w:right="-10"/>
              <w:jc w:val="center"/>
              <w:rPr>
                <w:rFonts w:ascii="宋体" w:hAnsi="宋体" w:eastAsia="宋体"/>
                <w:color w:val="auto"/>
                <w:sz w:val="24"/>
                <w:szCs w:val="28"/>
                <w:highlight w:val="none"/>
              </w:rPr>
            </w:pPr>
            <w:r>
              <w:rPr>
                <w:rFonts w:hint="eastAsia" w:ascii="宋体" w:hAnsi="宋体" w:eastAsia="宋体"/>
                <w:color w:val="auto"/>
                <w:sz w:val="24"/>
                <w:szCs w:val="18"/>
                <w:highlight w:val="none"/>
                <w:lang w:val="en-US" w:eastAsia="zh-CN"/>
              </w:rPr>
              <w:t>供应商</w:t>
            </w:r>
            <w:r>
              <w:rPr>
                <w:rFonts w:hint="eastAsia" w:ascii="宋体" w:hAnsi="宋体" w:eastAsia="宋体" w:cs="宋体"/>
                <w:color w:val="auto"/>
                <w:sz w:val="24"/>
                <w:szCs w:val="24"/>
                <w:highlight w:val="none"/>
              </w:rPr>
              <w:t>信用记录</w:t>
            </w:r>
          </w:p>
        </w:tc>
        <w:tc>
          <w:tcPr>
            <w:tcW w:w="2551" w:type="pct"/>
            <w:tcBorders>
              <w:bottom w:val="single" w:color="auto" w:sz="4" w:space="0"/>
            </w:tcBorders>
            <w:vAlign w:val="center"/>
          </w:tcPr>
          <w:p w14:paraId="4C0A1038">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不得存在</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zh-CN" w:eastAsia="zh-CN"/>
              </w:rPr>
              <w:t>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3条中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156" w:type="pct"/>
            <w:tcBorders>
              <w:bottom w:val="single" w:color="auto" w:sz="4" w:space="0"/>
            </w:tcBorders>
            <w:vAlign w:val="center"/>
          </w:tcPr>
          <w:p w14:paraId="4AEED1BA">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w:t>
            </w:r>
            <w:r>
              <w:rPr>
                <w:rFonts w:hint="eastAsia" w:ascii="宋体" w:hAnsi="宋体" w:eastAsia="宋体" w:cs="宋体"/>
                <w:color w:val="auto"/>
                <w:sz w:val="24"/>
                <w:szCs w:val="24"/>
                <w:highlight w:val="none"/>
                <w:lang w:val="en-US" w:eastAsia="zh-CN"/>
              </w:rPr>
              <w:t>供应商提</w:t>
            </w:r>
            <w:r>
              <w:rPr>
                <w:rFonts w:hint="eastAsia" w:ascii="宋体" w:hAnsi="宋体" w:eastAsia="宋体" w:cs="宋体"/>
                <w:color w:val="auto"/>
                <w:sz w:val="24"/>
                <w:szCs w:val="24"/>
                <w:highlight w:val="none"/>
              </w:rPr>
              <w:t>供，由采购人或采购代理机构查询。</w:t>
            </w:r>
          </w:p>
        </w:tc>
      </w:tr>
      <w:tr w14:paraId="0D50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368" w:type="pct"/>
            <w:tcBorders>
              <w:bottom w:val="single" w:color="auto" w:sz="4" w:space="0"/>
            </w:tcBorders>
            <w:vAlign w:val="center"/>
          </w:tcPr>
          <w:p w14:paraId="2521AD97">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22" w:type="pct"/>
            <w:tcBorders>
              <w:bottom w:val="single" w:color="auto" w:sz="4" w:space="0"/>
            </w:tcBorders>
            <w:vAlign w:val="center"/>
          </w:tcPr>
          <w:p w14:paraId="7CF2F0CE">
            <w:pPr>
              <w:spacing w:after="50" w:line="360" w:lineRule="auto"/>
              <w:ind w:right="-1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供应商基本要求</w:t>
            </w:r>
          </w:p>
        </w:tc>
        <w:tc>
          <w:tcPr>
            <w:tcW w:w="2551" w:type="pct"/>
            <w:tcBorders>
              <w:bottom w:val="single" w:color="auto" w:sz="4" w:space="0"/>
            </w:tcBorders>
            <w:vAlign w:val="top"/>
          </w:tcPr>
          <w:p w14:paraId="59C78AE8">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en-US"/>
              </w:rPr>
              <w:t>同时具有有效的建筑装饰工程设计专项丙级（或以上）和建筑智能化系统设计乙级（或以上）资质；</w:t>
            </w:r>
          </w:p>
          <w:p w14:paraId="3B9A6684">
            <w:pPr>
              <w:spacing w:after="50" w:line="360" w:lineRule="auto"/>
              <w:ind w:right="-10"/>
              <w:jc w:val="left"/>
              <w:rPr>
                <w:rFonts w:hint="eastAsia" w:ascii="宋体" w:hAnsi="宋体" w:eastAsia="宋体" w:cs="宋体"/>
                <w:color w:val="auto"/>
                <w:sz w:val="24"/>
                <w:szCs w:val="24"/>
                <w:highlight w:val="none"/>
                <w:lang w:val="en-US" w:eastAsia="en-US"/>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en-US"/>
              </w:rPr>
              <w:t>.供应商拟派项目负责人具有中级（或以上）职称证书。</w:t>
            </w:r>
          </w:p>
        </w:tc>
        <w:tc>
          <w:tcPr>
            <w:tcW w:w="1156" w:type="pct"/>
            <w:tcBorders>
              <w:bottom w:val="single" w:color="auto" w:sz="4" w:space="0"/>
            </w:tcBorders>
            <w:vAlign w:val="center"/>
          </w:tcPr>
          <w:p w14:paraId="1F77D7BF">
            <w:pPr>
              <w:spacing w:after="50" w:line="360" w:lineRule="auto"/>
              <w:ind w:right="-10"/>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提供对应材料材料扫描件</w:t>
            </w:r>
          </w:p>
        </w:tc>
      </w:tr>
      <w:tr w14:paraId="5AB5C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4A69FFCC">
            <w:pPr>
              <w:adjustRightInd w:val="0"/>
              <w:snapToGrid w:val="0"/>
              <w:spacing w:line="360" w:lineRule="auto"/>
              <w:ind w:right="-10" w:rightChars="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5</w:t>
            </w:r>
          </w:p>
        </w:tc>
        <w:tc>
          <w:tcPr>
            <w:tcW w:w="922" w:type="pct"/>
            <w:vAlign w:val="center"/>
          </w:tcPr>
          <w:p w14:paraId="49ECB7FC">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磋商响应函</w:t>
            </w:r>
          </w:p>
        </w:tc>
        <w:tc>
          <w:tcPr>
            <w:tcW w:w="2551" w:type="pct"/>
            <w:vAlign w:val="center"/>
          </w:tcPr>
          <w:p w14:paraId="442741D9">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szCs w:val="28"/>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156" w:type="pct"/>
            <w:vAlign w:val="center"/>
          </w:tcPr>
          <w:p w14:paraId="21C10CEA">
            <w:pPr>
              <w:adjustRightInd w:val="0"/>
              <w:snapToGrid w:val="0"/>
              <w:spacing w:line="360" w:lineRule="auto"/>
              <w:ind w:right="-10" w:rightChars="0"/>
              <w:jc w:val="center"/>
              <w:rPr>
                <w:rFonts w:hint="eastAsia" w:asciiTheme="minorEastAsia" w:hAnsiTheme="minorEastAsia" w:eastAsiaTheme="minorEastAsia"/>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D06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9" w:hRule="atLeast"/>
          <w:jc w:val="center"/>
        </w:trPr>
        <w:tc>
          <w:tcPr>
            <w:tcW w:w="368" w:type="pct"/>
            <w:vAlign w:val="center"/>
          </w:tcPr>
          <w:p w14:paraId="07D9B6E8">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6</w:t>
            </w:r>
          </w:p>
        </w:tc>
        <w:tc>
          <w:tcPr>
            <w:tcW w:w="922" w:type="pct"/>
            <w:vAlign w:val="center"/>
          </w:tcPr>
          <w:p w14:paraId="66C0086A">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授权书</w:t>
            </w:r>
          </w:p>
        </w:tc>
        <w:tc>
          <w:tcPr>
            <w:tcW w:w="2551" w:type="pct"/>
            <w:vAlign w:val="center"/>
          </w:tcPr>
          <w:p w14:paraId="615CC9DB">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格式、填写要求符合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文件规定并加盖</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szCs w:val="28"/>
                <w:highlight w:val="none"/>
              </w:rPr>
              <w:t>电子签章</w:t>
            </w:r>
          </w:p>
        </w:tc>
        <w:tc>
          <w:tcPr>
            <w:tcW w:w="1156" w:type="pct"/>
            <w:vAlign w:val="center"/>
          </w:tcPr>
          <w:p w14:paraId="3DFFDAF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法定代表人参加</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的无需此件，提供身份证明即可。详见第六章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231E5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268BB8D5">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922" w:type="pct"/>
            <w:vAlign w:val="center"/>
          </w:tcPr>
          <w:p w14:paraId="1EB2D117">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报价</w:t>
            </w:r>
          </w:p>
        </w:tc>
        <w:tc>
          <w:tcPr>
            <w:tcW w:w="2551" w:type="pct"/>
            <w:vAlign w:val="center"/>
          </w:tcPr>
          <w:p w14:paraId="710F20FE">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供应商</w:t>
            </w:r>
            <w:r>
              <w:rPr>
                <w:rFonts w:hint="eastAsia" w:asciiTheme="minorEastAsia" w:hAnsiTheme="minorEastAsia" w:eastAsiaTheme="minorEastAsia"/>
                <w:color w:val="auto"/>
                <w:sz w:val="24"/>
                <w:highlight w:val="none"/>
              </w:rPr>
              <w:t>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156" w:type="pct"/>
            <w:vAlign w:val="center"/>
          </w:tcPr>
          <w:p w14:paraId="53E6CD4E">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6E10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5F7EA356">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922" w:type="pct"/>
            <w:vAlign w:val="center"/>
          </w:tcPr>
          <w:p w14:paraId="15B477EE">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商务响应情况</w:t>
            </w:r>
          </w:p>
        </w:tc>
        <w:tc>
          <w:tcPr>
            <w:tcW w:w="2551" w:type="pct"/>
            <w:vAlign w:val="center"/>
          </w:tcPr>
          <w:p w14:paraId="6621EE44">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宋体" w:hAnsi="宋体" w:eastAsia="宋体" w:cs="宋体"/>
                <w:color w:val="auto"/>
                <w:spacing w:val="10"/>
                <w:sz w:val="24"/>
                <w:szCs w:val="24"/>
                <w:highlight w:val="none"/>
                <w:lang w:val="en-US" w:eastAsia="zh-CN"/>
              </w:rPr>
              <w:t>磋商</w:t>
            </w:r>
            <w:r>
              <w:rPr>
                <w:rFonts w:hint="eastAsia" w:asciiTheme="minorEastAsia" w:hAnsiTheme="minorEastAsia" w:eastAsiaTheme="minorEastAsia"/>
                <w:color w:val="auto"/>
                <w:sz w:val="24"/>
                <w:szCs w:val="28"/>
                <w:highlight w:val="none"/>
              </w:rPr>
              <w:t>文件采购需求中对付款方式、</w:t>
            </w:r>
            <w:r>
              <w:rPr>
                <w:rFonts w:hint="eastAsia" w:asciiTheme="minorEastAsia" w:hAnsiTheme="minorEastAsia" w:eastAsiaTheme="minorEastAsia"/>
                <w:color w:val="auto"/>
                <w:sz w:val="24"/>
                <w:szCs w:val="28"/>
                <w:highlight w:val="none"/>
                <w:lang w:val="en-US" w:eastAsia="zh-CN"/>
              </w:rPr>
              <w:t>服务地点</w:t>
            </w:r>
            <w:r>
              <w:rPr>
                <w:rFonts w:hint="eastAsia" w:asciiTheme="minorEastAsia" w:hAnsiTheme="minorEastAsia" w:eastAsiaTheme="minorEastAsia"/>
                <w:color w:val="auto"/>
                <w:sz w:val="24"/>
                <w:szCs w:val="28"/>
                <w:highlight w:val="none"/>
              </w:rPr>
              <w:t>、</w:t>
            </w:r>
            <w:r>
              <w:rPr>
                <w:rFonts w:hint="eastAsia" w:asciiTheme="minorEastAsia" w:hAnsiTheme="minorEastAsia" w:eastAsiaTheme="minorEastAsia"/>
                <w:color w:val="auto"/>
                <w:sz w:val="24"/>
                <w:szCs w:val="28"/>
                <w:highlight w:val="none"/>
                <w:lang w:val="en-US" w:eastAsia="zh-CN"/>
              </w:rPr>
              <w:t>服务期限等实质性</w:t>
            </w:r>
            <w:r>
              <w:rPr>
                <w:rFonts w:hint="eastAsia" w:asciiTheme="minorEastAsia" w:hAnsiTheme="minorEastAsia" w:eastAsiaTheme="minorEastAsia"/>
                <w:color w:val="auto"/>
                <w:sz w:val="24"/>
                <w:szCs w:val="28"/>
                <w:highlight w:val="none"/>
              </w:rPr>
              <w:t>要求</w:t>
            </w:r>
          </w:p>
        </w:tc>
        <w:tc>
          <w:tcPr>
            <w:tcW w:w="1156" w:type="pct"/>
            <w:vAlign w:val="center"/>
          </w:tcPr>
          <w:p w14:paraId="0D74B42C">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25FC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8" w:type="pct"/>
            <w:vAlign w:val="center"/>
          </w:tcPr>
          <w:p w14:paraId="0A859684">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9</w:t>
            </w:r>
          </w:p>
        </w:tc>
        <w:tc>
          <w:tcPr>
            <w:tcW w:w="922" w:type="pct"/>
            <w:vAlign w:val="center"/>
          </w:tcPr>
          <w:p w14:paraId="41B3A9BB">
            <w:pPr>
              <w:spacing w:line="360" w:lineRule="auto"/>
              <w:outlineLvl w:val="2"/>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lang w:val="en-US" w:eastAsia="zh-CN"/>
              </w:rPr>
              <w:t>技术</w:t>
            </w:r>
            <w:r>
              <w:rPr>
                <w:rFonts w:hint="eastAsia" w:asciiTheme="minorEastAsia" w:hAnsiTheme="minorEastAsia" w:eastAsiaTheme="minorEastAsia"/>
                <w:color w:val="auto"/>
                <w:sz w:val="24"/>
                <w:szCs w:val="28"/>
                <w:highlight w:val="none"/>
              </w:rPr>
              <w:t>响应情况</w:t>
            </w:r>
          </w:p>
        </w:tc>
        <w:tc>
          <w:tcPr>
            <w:tcW w:w="2551" w:type="pct"/>
            <w:vAlign w:val="center"/>
          </w:tcPr>
          <w:p w14:paraId="65158D84">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文件采购需求中货物技术参数</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156" w:type="pct"/>
            <w:vAlign w:val="center"/>
          </w:tcPr>
          <w:p w14:paraId="1479E7B2">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r>
              <w:rPr>
                <w:rFonts w:hint="eastAsia" w:asciiTheme="minorEastAsia" w:hAnsiTheme="minorEastAsia" w:eastAsiaTheme="minorEastAsia"/>
                <w:color w:val="auto"/>
                <w:sz w:val="24"/>
                <w:highlight w:val="none"/>
              </w:rPr>
              <w:t>详见第六章</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文件格式</w:t>
            </w:r>
            <w:r>
              <w:rPr>
                <w:rFonts w:hint="eastAsia" w:asciiTheme="minorEastAsia" w:hAnsiTheme="minorEastAsia" w:eastAsiaTheme="minorEastAsia"/>
                <w:color w:val="auto"/>
                <w:sz w:val="24"/>
                <w:highlight w:val="none"/>
                <w:lang w:eastAsia="zh-CN"/>
              </w:rPr>
              <w:t>。</w:t>
            </w:r>
          </w:p>
        </w:tc>
      </w:tr>
      <w:tr w14:paraId="1E8CF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 w:type="pct"/>
            <w:vAlign w:val="center"/>
          </w:tcPr>
          <w:p w14:paraId="27AB8D78">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Theme="minorEastAsia" w:hAnsiTheme="minorEastAsia" w:eastAsiaTheme="minorEastAsia"/>
                <w:color w:val="auto"/>
                <w:sz w:val="24"/>
                <w:highlight w:val="none"/>
                <w:lang w:val="en-US" w:eastAsia="zh-CN"/>
              </w:rPr>
              <w:t>10</w:t>
            </w:r>
          </w:p>
        </w:tc>
        <w:tc>
          <w:tcPr>
            <w:tcW w:w="922" w:type="pct"/>
            <w:vAlign w:val="center"/>
          </w:tcPr>
          <w:p w14:paraId="5CD310CC">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其他要求</w:t>
            </w:r>
          </w:p>
        </w:tc>
        <w:tc>
          <w:tcPr>
            <w:tcW w:w="2551" w:type="pct"/>
            <w:vAlign w:val="center"/>
          </w:tcPr>
          <w:p w14:paraId="1CF287E9">
            <w:pPr>
              <w:spacing w:after="50" w:line="360" w:lineRule="auto"/>
              <w:ind w:right="-10" w:rightChars="0"/>
              <w:jc w:val="center"/>
              <w:rPr>
                <w:rFonts w:ascii="宋体" w:hAnsi="宋体" w:eastAsia="宋体" w:cs="宋体"/>
                <w:color w:val="auto"/>
                <w:spacing w:val="10"/>
                <w:sz w:val="24"/>
                <w:szCs w:val="24"/>
                <w:highlight w:val="none"/>
              </w:rPr>
            </w:pPr>
            <w:r>
              <w:rPr>
                <w:rFonts w:hint="eastAsia" w:asciiTheme="minorEastAsia" w:hAnsiTheme="minorEastAsia" w:eastAsiaTheme="minorEastAsia"/>
                <w:color w:val="auto"/>
                <w:sz w:val="24"/>
                <w:szCs w:val="28"/>
                <w:highlight w:val="none"/>
              </w:rPr>
              <w:t>符合法律、行政法规规定的其他条件或</w:t>
            </w:r>
            <w:r>
              <w:rPr>
                <w:rFonts w:hint="eastAsia" w:asciiTheme="minorEastAsia" w:hAnsiTheme="minorEastAsia" w:eastAsiaTheme="minorEastAsia"/>
                <w:color w:val="auto"/>
                <w:sz w:val="24"/>
                <w:szCs w:val="28"/>
                <w:highlight w:val="none"/>
                <w:lang w:val="en-US" w:eastAsia="zh-CN"/>
              </w:rPr>
              <w:t>磋商</w:t>
            </w:r>
            <w:r>
              <w:rPr>
                <w:rFonts w:hint="eastAsia" w:asciiTheme="minorEastAsia" w:hAnsiTheme="minorEastAsia" w:eastAsiaTheme="minorEastAsia"/>
                <w:color w:val="auto"/>
                <w:sz w:val="24"/>
                <w:szCs w:val="28"/>
                <w:highlight w:val="none"/>
              </w:rPr>
              <w:t>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156" w:type="pct"/>
            <w:vAlign w:val="center"/>
          </w:tcPr>
          <w:p w14:paraId="499AF4B2">
            <w:pPr>
              <w:adjustRightInd w:val="0"/>
              <w:snapToGrid w:val="0"/>
              <w:spacing w:line="360" w:lineRule="auto"/>
              <w:ind w:right="-10" w:rightChars="0"/>
              <w:jc w:val="center"/>
              <w:rPr>
                <w:rFonts w:hint="eastAsia" w:ascii="宋体" w:hAnsi="宋体" w:eastAsia="宋体" w:cs="宋体"/>
                <w:b w:val="0"/>
                <w:bCs w:val="0"/>
                <w:color w:val="auto"/>
                <w:sz w:val="24"/>
                <w:szCs w:val="24"/>
                <w:highlight w:val="none"/>
              </w:rPr>
            </w:pPr>
          </w:p>
        </w:tc>
      </w:tr>
    </w:tbl>
    <w:p w14:paraId="7D15445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初审指标通过标准：</w:t>
      </w:r>
      <w:r>
        <w:rPr>
          <w:rFonts w:hint="eastAsia" w:asciiTheme="minorEastAsia" w:hAnsiTheme="minorEastAsia" w:eastAsiaTheme="minorEastAsia"/>
          <w:color w:val="auto"/>
          <w:sz w:val="24"/>
          <w:highlight w:val="none"/>
        </w:rPr>
        <w:t>供应商必须通过初审表中的全部评审指标。</w:t>
      </w:r>
    </w:p>
    <w:p w14:paraId="3049C54B">
      <w:pPr>
        <w:spacing w:line="360" w:lineRule="auto"/>
        <w:ind w:firstLine="435"/>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2.2异常低价响应审查</w:t>
      </w:r>
    </w:p>
    <w:tbl>
      <w:tblPr>
        <w:tblStyle w:val="26"/>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1638"/>
        <w:gridCol w:w="5015"/>
        <w:gridCol w:w="2553"/>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A55AF2A">
            <w:pPr>
              <w:keepNext w:val="0"/>
              <w:keepLines w:val="0"/>
              <w:pageBreakBefore w:val="0"/>
              <w:widowControl w:val="0"/>
              <w:kinsoku/>
              <w:wordWrap/>
              <w:overflowPunct/>
              <w:topLinePunct w:val="0"/>
              <w:autoSpaceDE/>
              <w:autoSpaceDN/>
              <w:bidi w:val="0"/>
              <w:adjustRightInd w:val="0"/>
              <w:snapToGrid w:val="0"/>
              <w:spacing w:line="360" w:lineRule="auto"/>
              <w:ind w:right="-10" w:rightChars="0"/>
              <w:jc w:val="center"/>
              <w:textAlignment w:val="auto"/>
              <w:rPr>
                <w:rFonts w:ascii="宋体" w:hAnsi="宋体" w:eastAsia="宋体"/>
                <w:color w:val="auto"/>
                <w:sz w:val="24"/>
                <w:szCs w:val="24"/>
                <w:highlight w:val="none"/>
              </w:rPr>
            </w:pPr>
            <w:r>
              <w:rPr>
                <w:rFonts w:hint="eastAsia" w:ascii="宋体" w:hAnsi="宋体" w:eastAsia="宋体" w:cs="Times New Roman"/>
                <w:b/>
                <w:bCs/>
                <w:color w:val="auto"/>
                <w:sz w:val="24"/>
                <w:szCs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keepNext w:val="0"/>
              <w:keepLines w:val="0"/>
              <w:pageBreakBefore w:val="0"/>
              <w:widowControl w:val="0"/>
              <w:kinsoku/>
              <w:wordWrap/>
              <w:overflowPunct/>
              <w:topLinePunct w:val="0"/>
              <w:autoSpaceDE/>
              <w:autoSpaceDN/>
              <w:bidi w:val="0"/>
              <w:spacing w:line="360" w:lineRule="auto"/>
              <w:jc w:val="center"/>
              <w:textAlignment w:val="auto"/>
              <w:rPr>
                <w:rFonts w:ascii="宋体" w:hAnsi="宋体" w:eastAsia="宋体"/>
                <w:color w:val="auto"/>
                <w:sz w:val="24"/>
                <w:szCs w:val="24"/>
                <w:highlight w:val="none"/>
              </w:rPr>
            </w:pPr>
            <w:r>
              <w:rPr>
                <w:rFonts w:hint="eastAsia" w:ascii="宋体" w:hAnsi="宋体" w:eastAsia="宋体" w:cs="Times New Roman"/>
                <w:color w:val="auto"/>
                <w:sz w:val="24"/>
                <w:szCs w:val="24"/>
                <w:highlight w:val="none"/>
                <w:lang w:val="en-US" w:eastAsia="zh-CN"/>
              </w:rPr>
              <w:t>序号</w:t>
            </w:r>
          </w:p>
        </w:tc>
        <w:tc>
          <w:tcPr>
            <w:tcW w:w="1450" w:type="dxa"/>
            <w:tcBorders>
              <w:bottom w:val="single" w:color="auto" w:sz="4" w:space="0"/>
            </w:tcBorders>
            <w:vAlign w:val="center"/>
          </w:tcPr>
          <w:p w14:paraId="242D7536">
            <w:pPr>
              <w:keepNext w:val="0"/>
              <w:keepLines w:val="0"/>
              <w:pageBreakBefore w:val="0"/>
              <w:widowControl w:val="0"/>
              <w:kinsoku/>
              <w:wordWrap/>
              <w:overflowPunct/>
              <w:topLinePunct w:val="0"/>
              <w:autoSpaceDE/>
              <w:autoSpaceDN/>
              <w:bidi w:val="0"/>
              <w:spacing w:line="360" w:lineRule="auto"/>
              <w:ind w:firstLine="240" w:firstLineChars="100"/>
              <w:jc w:val="center"/>
              <w:textAlignment w:val="auto"/>
              <w:rPr>
                <w:rFonts w:ascii="宋体" w:hAnsi="宋体" w:eastAsia="宋体"/>
                <w:color w:val="auto"/>
                <w:kern w:val="2"/>
                <w:sz w:val="24"/>
                <w:szCs w:val="24"/>
                <w:highlight w:val="none"/>
              </w:rPr>
            </w:pPr>
            <w:r>
              <w:rPr>
                <w:rFonts w:hint="eastAsia" w:ascii="宋体" w:hAnsi="宋体" w:eastAsia="宋体" w:cs="Times New Roman"/>
                <w:color w:val="auto"/>
                <w:sz w:val="24"/>
                <w:szCs w:val="24"/>
                <w:highlight w:val="none"/>
                <w:lang w:val="en-US" w:eastAsia="zh-CN"/>
              </w:rPr>
              <w:t>评审指标</w:t>
            </w:r>
          </w:p>
        </w:tc>
        <w:tc>
          <w:tcPr>
            <w:tcW w:w="4439" w:type="dxa"/>
            <w:tcBorders>
              <w:bottom w:val="single" w:color="auto" w:sz="4" w:space="0"/>
            </w:tcBorders>
            <w:vAlign w:val="center"/>
          </w:tcPr>
          <w:p w14:paraId="63EC8315">
            <w:pPr>
              <w:keepNext w:val="0"/>
              <w:keepLines w:val="0"/>
              <w:pageBreakBefore w:val="0"/>
              <w:widowControl w:val="0"/>
              <w:kinsoku/>
              <w:wordWrap/>
              <w:overflowPunct/>
              <w:topLinePunct w:val="0"/>
              <w:autoSpaceDE/>
              <w:autoSpaceDN/>
              <w:bidi w:val="0"/>
              <w:spacing w:line="360" w:lineRule="auto"/>
              <w:ind w:firstLine="240" w:firstLineChars="100"/>
              <w:jc w:val="center"/>
              <w:textAlignment w:val="auto"/>
              <w:rPr>
                <w:rFonts w:ascii="宋体" w:hAnsi="宋体" w:eastAsia="宋体"/>
                <w:color w:val="auto"/>
                <w:sz w:val="24"/>
                <w:szCs w:val="24"/>
                <w:highlight w:val="none"/>
              </w:rPr>
            </w:pPr>
            <w:r>
              <w:rPr>
                <w:rFonts w:hint="eastAsia" w:ascii="宋体" w:hAnsi="宋体" w:eastAsia="宋体" w:cs="Times New Roman"/>
                <w:color w:val="auto"/>
                <w:sz w:val="24"/>
                <w:szCs w:val="24"/>
                <w:highlight w:val="none"/>
                <w:lang w:val="en-US" w:eastAsia="zh-CN"/>
              </w:rPr>
              <w:t>评审标准</w:t>
            </w:r>
          </w:p>
        </w:tc>
        <w:tc>
          <w:tcPr>
            <w:tcW w:w="2260" w:type="dxa"/>
            <w:tcBorders>
              <w:bottom w:val="single" w:color="auto" w:sz="4" w:space="0"/>
            </w:tcBorders>
            <w:vAlign w:val="center"/>
          </w:tcPr>
          <w:p w14:paraId="39E809DA">
            <w:pPr>
              <w:keepNext w:val="0"/>
              <w:keepLines w:val="0"/>
              <w:pageBreakBefore w:val="0"/>
              <w:widowControl w:val="0"/>
              <w:kinsoku/>
              <w:wordWrap/>
              <w:overflowPunct/>
              <w:topLinePunct w:val="0"/>
              <w:autoSpaceDE/>
              <w:autoSpaceDN/>
              <w:bidi w:val="0"/>
              <w:spacing w:line="360" w:lineRule="auto"/>
              <w:jc w:val="center"/>
              <w:textAlignment w:val="auto"/>
              <w:rPr>
                <w:rFonts w:ascii="宋体" w:hAnsi="宋体" w:eastAsia="宋体"/>
                <w:color w:val="auto"/>
                <w:sz w:val="24"/>
                <w:szCs w:val="24"/>
                <w:highlight w:val="none"/>
              </w:rPr>
            </w:pPr>
            <w:r>
              <w:rPr>
                <w:rFonts w:hint="eastAsia" w:ascii="宋体" w:hAnsi="宋体" w:eastAsia="宋体" w:cs="Times New Roman"/>
                <w:color w:val="auto"/>
                <w:sz w:val="24"/>
                <w:szCs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keepNext w:val="0"/>
              <w:keepLines w:val="0"/>
              <w:pageBreakBefore w:val="0"/>
              <w:widowControl w:val="0"/>
              <w:kinsoku/>
              <w:wordWrap/>
              <w:overflowPunct/>
              <w:topLinePunct w:val="0"/>
              <w:autoSpaceDE/>
              <w:autoSpaceDN/>
              <w:bidi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p>
        </w:tc>
        <w:tc>
          <w:tcPr>
            <w:tcW w:w="1450" w:type="dxa"/>
            <w:tcBorders>
              <w:bottom w:val="single" w:color="auto" w:sz="4" w:space="0"/>
            </w:tcBorders>
            <w:vAlign w:val="center"/>
          </w:tcPr>
          <w:p w14:paraId="4828CEF5">
            <w:pPr>
              <w:keepNext w:val="0"/>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4"/>
                <w:szCs w:val="24"/>
                <w:highlight w:val="none"/>
              </w:rPr>
            </w:pPr>
            <w:r>
              <w:rPr>
                <w:rFonts w:hint="eastAsia" w:asciiTheme="minorEastAsia" w:hAnsiTheme="minorEastAsia" w:eastAsiaTheme="minorEastAsia"/>
                <w:color w:val="auto"/>
                <w:sz w:val="24"/>
                <w:szCs w:val="28"/>
                <w:highlight w:val="none"/>
                <w:lang w:val="en-US" w:eastAsia="zh-CN"/>
              </w:rPr>
              <w:t>异常低价响应审查</w:t>
            </w:r>
          </w:p>
        </w:tc>
        <w:tc>
          <w:tcPr>
            <w:tcW w:w="4439" w:type="dxa"/>
            <w:tcBorders>
              <w:bottom w:val="single" w:color="auto" w:sz="4" w:space="0"/>
            </w:tcBorders>
            <w:vAlign w:val="center"/>
          </w:tcPr>
          <w:p w14:paraId="14855D1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2D6E1A2">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595C90C5">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6545F9B4">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（4）磋商小组基于专业判断，认为供应商报价过低，有可能影响产品质量或者不能诚信履约的其他情形。</w:t>
            </w:r>
          </w:p>
          <w:p w14:paraId="5325CC0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提醒：</w:t>
            </w:r>
          </w:p>
          <w:p w14:paraId="5CB21018">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（1）上述第（1）项数值计算：涉及总价、单价的精确到“分”并四舍五入，涉及费率的精确到小数点后两位，第三位四舍五入（例：如平均值为123.456元，即为123.46元；如平均值为80.126%，即为80.13%）。</w:t>
            </w:r>
          </w:p>
          <w:p w14:paraId="17901286">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（2）上述第（1）项至第（2）项中的供应商响应报价为最后承诺报价。</w:t>
            </w:r>
          </w:p>
        </w:tc>
        <w:tc>
          <w:tcPr>
            <w:tcW w:w="2260" w:type="dxa"/>
            <w:vAlign w:val="center"/>
          </w:tcPr>
          <w:p w14:paraId="4F4E35CC">
            <w:pPr>
              <w:keepNext w:val="0"/>
              <w:keepLines w:val="0"/>
              <w:pageBreakBefore w:val="0"/>
              <w:widowControl w:val="0"/>
              <w:kinsoku/>
              <w:wordWrap/>
              <w:overflowPunct/>
              <w:topLinePunct w:val="0"/>
              <w:autoSpaceDE/>
              <w:autoSpaceDN/>
              <w:bidi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2C934FB">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hint="eastAsia" w:asciiTheme="minorEastAsia" w:hAnsiTheme="minorEastAsia" w:eastAsiaTheme="minorEastAsia"/>
          <w:b/>
          <w:color w:val="auto"/>
          <w:sz w:val="24"/>
          <w:highlight w:val="none"/>
        </w:rPr>
        <w:t>综合评分</w:t>
      </w:r>
    </w:p>
    <w:p w14:paraId="72ACC5B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磋商小组按照下表对</w:t>
      </w:r>
      <w:r>
        <w:rPr>
          <w:rFonts w:hint="eastAsia" w:ascii="宋体" w:hAnsi="宋体" w:eastAsia="宋体"/>
          <w:color w:val="auto"/>
          <w:sz w:val="24"/>
          <w:highlight w:val="none"/>
        </w:rPr>
        <w:t>进入综合评分的所有供应商的</w:t>
      </w:r>
      <w:r>
        <w:rPr>
          <w:rFonts w:hint="eastAsia" w:asciiTheme="minorEastAsia" w:hAnsiTheme="minorEastAsia" w:eastAsiaTheme="minorEastAsia"/>
          <w:color w:val="auto"/>
          <w:sz w:val="24"/>
          <w:highlight w:val="none"/>
        </w:rPr>
        <w:t>响应文件进行综合评分。</w:t>
      </w:r>
    </w:p>
    <w:p w14:paraId="0C15846E">
      <w:pPr>
        <w:spacing w:line="360" w:lineRule="auto"/>
        <w:ind w:firstLine="435"/>
        <w:rPr>
          <w:color w:val="auto"/>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hint="eastAsia" w:asciiTheme="minorEastAsia" w:hAnsiTheme="minorEastAsia" w:eastAsiaTheme="minorEastAsia"/>
          <w:color w:val="auto"/>
          <w:sz w:val="24"/>
          <w:highlight w:val="none"/>
          <w:u w:val="single"/>
          <w:lang w:val="en-US" w:eastAsia="zh-CN"/>
        </w:rPr>
        <w:t>85</w:t>
      </w:r>
      <w:r>
        <w:rPr>
          <w:rFonts w:asciiTheme="minorEastAsia" w:hAnsiTheme="minorEastAsia" w:eastAsiaTheme="minorEastAsia"/>
          <w:color w:val="auto"/>
          <w:sz w:val="24"/>
          <w:highlight w:val="none"/>
        </w:rPr>
        <w:t>%，价格分值占总分值的权重为</w:t>
      </w:r>
      <w:r>
        <w:rPr>
          <w:rFonts w:hint="eastAsia" w:asciiTheme="minorEastAsia" w:hAnsiTheme="minorEastAsia" w:eastAsiaTheme="minorEastAsia"/>
          <w:color w:val="auto"/>
          <w:sz w:val="24"/>
          <w:highlight w:val="none"/>
          <w:u w:val="single"/>
          <w:lang w:val="en-US" w:eastAsia="zh-CN"/>
        </w:rPr>
        <w:t>15</w:t>
      </w:r>
      <w:r>
        <w:rPr>
          <w:rFonts w:asciiTheme="minorEastAsia" w:hAnsiTheme="minorEastAsia" w:eastAsiaTheme="minorEastAsia"/>
          <w:color w:val="auto"/>
          <w:sz w:val="24"/>
          <w:highlight w:val="none"/>
        </w:rPr>
        <w:t>%。具体评分细则如下：</w:t>
      </w:r>
    </w:p>
    <w:tbl>
      <w:tblPr>
        <w:tblStyle w:val="26"/>
        <w:tblW w:w="55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1434"/>
        <w:gridCol w:w="6622"/>
        <w:gridCol w:w="1340"/>
      </w:tblGrid>
      <w:tr w14:paraId="0A07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03" w:type="pct"/>
            <w:tcBorders>
              <w:top w:val="single" w:color="auto" w:sz="4" w:space="0"/>
              <w:left w:val="single" w:color="auto" w:sz="4" w:space="0"/>
              <w:bottom w:val="single" w:color="auto" w:sz="4" w:space="0"/>
              <w:right w:val="single" w:color="auto" w:sz="4" w:space="0"/>
            </w:tcBorders>
            <w:vAlign w:val="center"/>
          </w:tcPr>
          <w:p w14:paraId="58BEA5D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类别</w:t>
            </w:r>
          </w:p>
        </w:tc>
        <w:tc>
          <w:tcPr>
            <w:tcW w:w="671" w:type="pct"/>
            <w:tcBorders>
              <w:top w:val="single" w:color="auto" w:sz="4" w:space="0"/>
              <w:left w:val="single" w:color="auto" w:sz="4" w:space="0"/>
              <w:bottom w:val="single" w:color="auto" w:sz="4" w:space="0"/>
              <w:right w:val="single" w:color="auto" w:sz="4" w:space="0"/>
            </w:tcBorders>
            <w:vAlign w:val="center"/>
          </w:tcPr>
          <w:p w14:paraId="5E953DB4">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评分内容</w:t>
            </w:r>
          </w:p>
        </w:tc>
        <w:tc>
          <w:tcPr>
            <w:tcW w:w="3098" w:type="pct"/>
            <w:tcBorders>
              <w:top w:val="single" w:color="auto" w:sz="4" w:space="0"/>
              <w:left w:val="single" w:color="auto" w:sz="4" w:space="0"/>
              <w:bottom w:val="single" w:color="auto" w:sz="4" w:space="0"/>
              <w:right w:val="single" w:color="auto" w:sz="4" w:space="0"/>
            </w:tcBorders>
            <w:vAlign w:val="center"/>
          </w:tcPr>
          <w:p w14:paraId="2F096723">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评分标准</w:t>
            </w:r>
          </w:p>
        </w:tc>
        <w:tc>
          <w:tcPr>
            <w:tcW w:w="626" w:type="pct"/>
            <w:tcBorders>
              <w:top w:val="single" w:color="auto" w:sz="4" w:space="0"/>
              <w:left w:val="single" w:color="auto" w:sz="4" w:space="0"/>
              <w:bottom w:val="single" w:color="auto" w:sz="4" w:space="0"/>
              <w:right w:val="single" w:color="auto" w:sz="4" w:space="0"/>
            </w:tcBorders>
            <w:vAlign w:val="center"/>
          </w:tcPr>
          <w:p w14:paraId="23695DC0">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分值范围</w:t>
            </w:r>
          </w:p>
        </w:tc>
      </w:tr>
      <w:tr w14:paraId="01A7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restart"/>
            <w:tcBorders>
              <w:top w:val="single" w:color="auto" w:sz="4" w:space="0"/>
              <w:left w:val="single" w:color="auto" w:sz="4" w:space="0"/>
              <w:right w:val="single" w:color="auto" w:sz="4" w:space="0"/>
            </w:tcBorders>
            <w:vAlign w:val="center"/>
          </w:tcPr>
          <w:p w14:paraId="24896528">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技术资信分</w:t>
            </w:r>
          </w:p>
          <w:p w14:paraId="0AE8F60B">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85</w:t>
            </w:r>
            <w:r>
              <w:rPr>
                <w:rFonts w:hint="eastAsia" w:asciiTheme="minorEastAsia" w:hAnsiTheme="minorEastAsia" w:eastAsiaTheme="minorEastAsia" w:cstheme="minorEastAsia"/>
                <w:color w:val="auto"/>
                <w:sz w:val="24"/>
                <w:szCs w:val="24"/>
                <w:highlight w:val="none"/>
              </w:rPr>
              <w:t>分）</w:t>
            </w:r>
          </w:p>
        </w:tc>
        <w:tc>
          <w:tcPr>
            <w:tcW w:w="671" w:type="pct"/>
            <w:tcBorders>
              <w:top w:val="single" w:color="auto" w:sz="4" w:space="0"/>
              <w:left w:val="single" w:color="auto" w:sz="4" w:space="0"/>
              <w:bottom w:val="single" w:color="auto" w:sz="4" w:space="0"/>
              <w:right w:val="single" w:color="auto" w:sz="4" w:space="0"/>
            </w:tcBorders>
            <w:vAlign w:val="center"/>
          </w:tcPr>
          <w:p w14:paraId="35FB8D5F">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供应商业绩</w:t>
            </w:r>
          </w:p>
        </w:tc>
        <w:tc>
          <w:tcPr>
            <w:tcW w:w="3098" w:type="pct"/>
            <w:tcBorders>
              <w:top w:val="single" w:color="auto" w:sz="4" w:space="0"/>
              <w:left w:val="single" w:color="auto" w:sz="4" w:space="0"/>
              <w:bottom w:val="single" w:color="auto" w:sz="4" w:space="0"/>
              <w:right w:val="single" w:color="auto" w:sz="4" w:space="0"/>
            </w:tcBorders>
            <w:vAlign w:val="center"/>
          </w:tcPr>
          <w:p w14:paraId="312154DA">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kern w:val="0"/>
                <w:sz w:val="24"/>
                <w:szCs w:val="24"/>
                <w:highlight w:val="none"/>
                <w:lang w:eastAsia="zh-CN"/>
              </w:rPr>
            </w:pPr>
            <w:r>
              <w:rPr>
                <w:rFonts w:hint="eastAsia" w:asciiTheme="minorEastAsia" w:hAnsiTheme="minorEastAsia" w:eastAsiaTheme="minorEastAsia" w:cstheme="minorEastAsia"/>
                <w:color w:val="auto"/>
                <w:kern w:val="0"/>
                <w:sz w:val="24"/>
                <w:szCs w:val="24"/>
                <w:highlight w:val="none"/>
                <w:lang w:eastAsia="zh-CN"/>
              </w:rPr>
              <w:t>供应商</w:t>
            </w:r>
            <w:r>
              <w:rPr>
                <w:rFonts w:hint="eastAsia" w:asciiTheme="minorEastAsia" w:hAnsiTheme="minorEastAsia" w:eastAsiaTheme="minorEastAsia" w:cstheme="minorEastAsia"/>
                <w:color w:val="auto"/>
                <w:kern w:val="0"/>
                <w:sz w:val="24"/>
                <w:szCs w:val="24"/>
                <w:highlight w:val="none"/>
              </w:rPr>
              <w:t>202</w:t>
            </w:r>
            <w:r>
              <w:rPr>
                <w:rFonts w:hint="eastAsia" w:asciiTheme="minorEastAsia" w:hAnsiTheme="minorEastAsia" w:eastAsiaTheme="minorEastAsia" w:cstheme="minorEastAsia"/>
                <w:color w:val="auto"/>
                <w:kern w:val="0"/>
                <w:sz w:val="24"/>
                <w:szCs w:val="24"/>
                <w:highlight w:val="none"/>
                <w:lang w:val="en-US" w:eastAsia="zh-CN"/>
              </w:rPr>
              <w:t>3</w:t>
            </w:r>
            <w:r>
              <w:rPr>
                <w:rFonts w:hint="eastAsia" w:asciiTheme="minorEastAsia" w:hAnsiTheme="minorEastAsia" w:eastAsiaTheme="minorEastAsia" w:cstheme="minorEastAsia"/>
                <w:color w:val="auto"/>
                <w:kern w:val="0"/>
                <w:sz w:val="24"/>
                <w:szCs w:val="24"/>
                <w:highlight w:val="none"/>
              </w:rPr>
              <w:t>年1月1日以来，</w:t>
            </w:r>
            <w:r>
              <w:rPr>
                <w:rFonts w:hint="eastAsia" w:asciiTheme="minorEastAsia" w:hAnsiTheme="minorEastAsia" w:eastAsiaTheme="minorEastAsia" w:cstheme="minorEastAsia"/>
                <w:color w:val="auto"/>
                <w:kern w:val="0"/>
                <w:sz w:val="24"/>
                <w:szCs w:val="24"/>
                <w:highlight w:val="none"/>
                <w:lang w:val="en-US" w:eastAsia="zh-CN"/>
              </w:rPr>
              <w:t>每提供一个设计业绩（设计内容至少包含装饰装修和智能化）的</w:t>
            </w:r>
            <w:r>
              <w:rPr>
                <w:rFonts w:hint="eastAsia" w:asciiTheme="minorEastAsia" w:hAnsiTheme="minorEastAsia" w:eastAsiaTheme="minorEastAsia" w:cstheme="minorEastAsia"/>
                <w:color w:val="auto"/>
                <w:kern w:val="0"/>
                <w:sz w:val="24"/>
                <w:szCs w:val="24"/>
                <w:highlight w:val="none"/>
              </w:rPr>
              <w:t>得</w:t>
            </w:r>
            <w:r>
              <w:rPr>
                <w:rFonts w:hint="eastAsia" w:asciiTheme="minorEastAsia" w:hAnsiTheme="minorEastAsia" w:eastAsiaTheme="minorEastAsia" w:cstheme="minorEastAsia"/>
                <w:color w:val="auto"/>
                <w:kern w:val="0"/>
                <w:sz w:val="24"/>
                <w:szCs w:val="24"/>
                <w:highlight w:val="none"/>
                <w:lang w:val="en-US" w:eastAsia="zh-CN"/>
              </w:rPr>
              <w:t>5</w:t>
            </w:r>
            <w:r>
              <w:rPr>
                <w:rFonts w:hint="eastAsia" w:asciiTheme="minorEastAsia" w:hAnsiTheme="minorEastAsia" w:eastAsiaTheme="minorEastAsia" w:cstheme="minorEastAsia"/>
                <w:color w:val="auto"/>
                <w:kern w:val="0"/>
                <w:sz w:val="24"/>
                <w:szCs w:val="24"/>
                <w:highlight w:val="none"/>
              </w:rPr>
              <w:t>分</w:t>
            </w:r>
            <w:r>
              <w:rPr>
                <w:rFonts w:hint="eastAsia" w:asciiTheme="minorEastAsia" w:hAnsiTheme="minorEastAsia" w:eastAsiaTheme="minorEastAsia" w:cstheme="minorEastAsia"/>
                <w:color w:val="auto"/>
                <w:kern w:val="0"/>
                <w:sz w:val="24"/>
                <w:szCs w:val="24"/>
                <w:highlight w:val="none"/>
                <w:lang w:eastAsia="zh-CN"/>
              </w:rPr>
              <w:t>，</w:t>
            </w:r>
            <w:r>
              <w:rPr>
                <w:rFonts w:hint="eastAsia" w:asciiTheme="minorEastAsia" w:hAnsiTheme="minorEastAsia" w:eastAsiaTheme="minorEastAsia" w:cstheme="minorEastAsia"/>
                <w:color w:val="auto"/>
                <w:kern w:val="0"/>
                <w:sz w:val="24"/>
                <w:szCs w:val="24"/>
                <w:highlight w:val="none"/>
              </w:rPr>
              <w:t>满分</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w:t>
            </w:r>
            <w:r>
              <w:rPr>
                <w:rFonts w:hint="eastAsia" w:asciiTheme="minorEastAsia" w:hAnsiTheme="minorEastAsia" w:eastAsiaTheme="minorEastAsia" w:cstheme="minorEastAsia"/>
                <w:color w:val="auto"/>
                <w:kern w:val="0"/>
                <w:sz w:val="24"/>
                <w:szCs w:val="24"/>
                <w:highlight w:val="none"/>
                <w:lang w:eastAsia="zh-CN"/>
              </w:rPr>
              <w:t>。</w:t>
            </w:r>
          </w:p>
          <w:p w14:paraId="2BDA5BFB">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
                <w:bCs/>
                <w:color w:val="auto"/>
                <w:kern w:val="0"/>
                <w:sz w:val="24"/>
                <w:szCs w:val="24"/>
                <w:highlight w:val="none"/>
              </w:rPr>
              <w:t>备注：须提供合同有效证明材料</w:t>
            </w:r>
            <w:r>
              <w:rPr>
                <w:rFonts w:hint="eastAsia" w:asciiTheme="minorEastAsia" w:hAnsiTheme="minorEastAsia" w:eastAsiaTheme="minorEastAsia" w:cstheme="minorEastAsia"/>
                <w:b/>
                <w:bCs/>
                <w:color w:val="auto"/>
                <w:kern w:val="0"/>
                <w:sz w:val="24"/>
                <w:szCs w:val="24"/>
                <w:highlight w:val="none"/>
                <w:lang w:val="en-US" w:eastAsia="zh-CN"/>
              </w:rPr>
              <w:t>扫描</w:t>
            </w:r>
            <w:r>
              <w:rPr>
                <w:rFonts w:hint="eastAsia" w:asciiTheme="minorEastAsia" w:hAnsiTheme="minorEastAsia" w:eastAsiaTheme="minorEastAsia" w:cstheme="minorEastAsia"/>
                <w:b/>
                <w:bCs/>
                <w:color w:val="auto"/>
                <w:kern w:val="0"/>
                <w:sz w:val="24"/>
                <w:szCs w:val="24"/>
                <w:highlight w:val="none"/>
              </w:rPr>
              <w:t>件以供评审，否则不得分。如合同不能反映服务</w:t>
            </w:r>
            <w:r>
              <w:rPr>
                <w:rFonts w:hint="eastAsia" w:asciiTheme="minorEastAsia" w:hAnsiTheme="minorEastAsia" w:eastAsiaTheme="minorEastAsia" w:cstheme="minorEastAsia"/>
                <w:b/>
                <w:bCs/>
                <w:color w:val="auto"/>
                <w:kern w:val="0"/>
                <w:sz w:val="24"/>
                <w:szCs w:val="24"/>
                <w:highlight w:val="none"/>
                <w:lang w:val="en-US" w:eastAsia="zh-CN"/>
              </w:rPr>
              <w:t>内容</w:t>
            </w:r>
            <w:r>
              <w:rPr>
                <w:rFonts w:hint="eastAsia" w:asciiTheme="minorEastAsia" w:hAnsiTheme="minorEastAsia" w:eastAsiaTheme="minorEastAsia" w:cstheme="minorEastAsia"/>
                <w:b/>
                <w:bCs/>
                <w:color w:val="auto"/>
                <w:kern w:val="0"/>
                <w:sz w:val="24"/>
                <w:szCs w:val="24"/>
                <w:highlight w:val="none"/>
              </w:rPr>
              <w:t>，提供业主证明材料，否则不予认可。</w:t>
            </w:r>
          </w:p>
        </w:tc>
        <w:tc>
          <w:tcPr>
            <w:tcW w:w="626" w:type="pct"/>
            <w:tcBorders>
              <w:top w:val="single" w:color="auto" w:sz="4" w:space="0"/>
              <w:left w:val="single" w:color="auto" w:sz="4" w:space="0"/>
              <w:bottom w:val="single" w:color="auto" w:sz="4" w:space="0"/>
              <w:right w:val="single" w:color="auto" w:sz="4" w:space="0"/>
            </w:tcBorders>
            <w:vAlign w:val="center"/>
          </w:tcPr>
          <w:p w14:paraId="3CCBACA4">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5112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2F73A5D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3CD0F1AE">
            <w:pPr>
              <w:keepNext w:val="0"/>
              <w:keepLines w:val="0"/>
              <w:pageBreakBefore w:val="0"/>
              <w:widowControl w:val="0"/>
              <w:kinsoku/>
              <w:wordWrap/>
              <w:overflowPunct/>
              <w:topLinePunct w:val="0"/>
              <w:autoSpaceDE/>
              <w:autoSpaceDN/>
              <w:bidi w:val="0"/>
              <w:spacing w:line="360" w:lineRule="auto"/>
              <w:jc w:val="center"/>
              <w:textAlignment w:val="auto"/>
              <w:rPr>
                <w:rFonts w:hint="default" w:asciiTheme="minorEastAsia" w:hAnsiTheme="minorEastAsia" w:eastAsiaTheme="minorEastAsia" w:cstheme="minorEastAsia"/>
                <w:bCs/>
                <w:color w:val="auto"/>
                <w:sz w:val="24"/>
                <w:szCs w:val="24"/>
                <w:highlight w:val="none"/>
                <w:lang w:val="en-US" w:eastAsia="zh-CN"/>
              </w:rPr>
            </w:pPr>
            <w:r>
              <w:rPr>
                <w:rFonts w:hint="eastAsia" w:asciiTheme="minorEastAsia" w:hAnsiTheme="minorEastAsia" w:eastAsiaTheme="minorEastAsia" w:cstheme="minorEastAsia"/>
                <w:bCs/>
                <w:color w:val="auto"/>
                <w:sz w:val="24"/>
                <w:szCs w:val="24"/>
                <w:highlight w:val="none"/>
                <w:lang w:val="en-US" w:eastAsia="zh-CN"/>
              </w:rPr>
              <w:t>初步方案</w:t>
            </w:r>
          </w:p>
        </w:tc>
        <w:tc>
          <w:tcPr>
            <w:tcW w:w="3098" w:type="pct"/>
            <w:tcBorders>
              <w:top w:val="single" w:color="auto" w:sz="4" w:space="0"/>
              <w:left w:val="single" w:color="auto" w:sz="4" w:space="0"/>
              <w:bottom w:val="single" w:color="auto" w:sz="4" w:space="0"/>
              <w:right w:val="single" w:color="auto" w:sz="4" w:space="0"/>
            </w:tcBorders>
            <w:vAlign w:val="center"/>
          </w:tcPr>
          <w:p w14:paraId="4B1F2CB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整体项目的</w:t>
            </w:r>
            <w:r>
              <w:rPr>
                <w:rFonts w:hint="eastAsia" w:asciiTheme="minorEastAsia" w:hAnsiTheme="minorEastAsia" w:eastAsiaTheme="minorEastAsia" w:cstheme="minorEastAsia"/>
                <w:color w:val="auto"/>
                <w:kern w:val="0"/>
                <w:sz w:val="24"/>
                <w:szCs w:val="24"/>
                <w:highlight w:val="none"/>
                <w:lang w:val="en-US" w:eastAsia="zh-CN"/>
              </w:rPr>
              <w:t>初步</w:t>
            </w:r>
            <w:r>
              <w:rPr>
                <w:rFonts w:hint="eastAsia" w:asciiTheme="minorEastAsia" w:hAnsiTheme="minorEastAsia" w:eastAsiaTheme="minorEastAsia" w:cstheme="minorEastAsia"/>
                <w:color w:val="auto"/>
                <w:kern w:val="0"/>
                <w:sz w:val="24"/>
                <w:szCs w:val="24"/>
                <w:highlight w:val="none"/>
              </w:rPr>
              <w:t>方案</w:t>
            </w:r>
            <w:r>
              <w:rPr>
                <w:rFonts w:hint="eastAsia" w:asciiTheme="minorEastAsia" w:hAnsiTheme="minorEastAsia" w:eastAsiaTheme="minorEastAsia" w:cstheme="minorEastAsia"/>
                <w:color w:val="auto"/>
                <w:kern w:val="0"/>
                <w:sz w:val="24"/>
                <w:szCs w:val="24"/>
                <w:highlight w:val="none"/>
                <w:lang w:val="en-US" w:eastAsia="zh-CN"/>
              </w:rPr>
              <w:t>（附彩色渲染效果图）</w:t>
            </w:r>
            <w:r>
              <w:rPr>
                <w:rFonts w:hint="eastAsia" w:asciiTheme="minorEastAsia" w:hAnsiTheme="minorEastAsia" w:eastAsiaTheme="minorEastAsia" w:cstheme="minorEastAsia"/>
                <w:color w:val="auto"/>
                <w:kern w:val="0"/>
                <w:sz w:val="24"/>
                <w:szCs w:val="24"/>
                <w:highlight w:val="none"/>
              </w:rPr>
              <w:t>与</w:t>
            </w:r>
            <w:r>
              <w:rPr>
                <w:rFonts w:hint="eastAsia" w:asciiTheme="minorEastAsia" w:hAnsiTheme="minorEastAsia" w:eastAsiaTheme="minorEastAsia" w:cstheme="minorEastAsia"/>
                <w:color w:val="auto"/>
                <w:kern w:val="0"/>
                <w:sz w:val="24"/>
                <w:szCs w:val="24"/>
                <w:highlight w:val="none"/>
                <w:lang w:val="en-US" w:eastAsia="zh-CN"/>
              </w:rPr>
              <w:t>项目后期改造方案匹配</w:t>
            </w:r>
            <w:r>
              <w:rPr>
                <w:rFonts w:hint="eastAsia" w:asciiTheme="minorEastAsia" w:hAnsiTheme="minorEastAsia" w:eastAsiaTheme="minorEastAsia" w:cstheme="minorEastAsia"/>
                <w:color w:val="auto"/>
                <w:kern w:val="0"/>
                <w:sz w:val="24"/>
                <w:szCs w:val="24"/>
                <w:highlight w:val="none"/>
              </w:rPr>
              <w:t>，布局合理，功能分区明确，合理利用</w:t>
            </w:r>
            <w:r>
              <w:rPr>
                <w:rFonts w:hint="eastAsia" w:asciiTheme="minorEastAsia" w:hAnsiTheme="minorEastAsia" w:eastAsiaTheme="minorEastAsia" w:cstheme="minorEastAsia"/>
                <w:color w:val="auto"/>
                <w:kern w:val="0"/>
                <w:sz w:val="24"/>
                <w:szCs w:val="24"/>
                <w:highlight w:val="none"/>
                <w:lang w:val="en-US" w:eastAsia="zh-CN"/>
              </w:rPr>
              <w:t>场地</w:t>
            </w:r>
            <w:r>
              <w:rPr>
                <w:rFonts w:hint="eastAsia" w:asciiTheme="minorEastAsia" w:hAnsiTheme="minorEastAsia" w:eastAsiaTheme="minorEastAsia" w:cstheme="minorEastAsia"/>
                <w:color w:val="auto"/>
                <w:kern w:val="0"/>
                <w:sz w:val="24"/>
                <w:szCs w:val="24"/>
                <w:highlight w:val="none"/>
              </w:rPr>
              <w:t>，满足使用功能</w:t>
            </w:r>
            <w:r>
              <w:rPr>
                <w:rFonts w:hint="eastAsia" w:asciiTheme="minorEastAsia" w:hAnsiTheme="minorEastAsia" w:eastAsiaTheme="minorEastAsia" w:cstheme="minorEastAsia"/>
                <w:color w:val="auto"/>
                <w:kern w:val="0"/>
                <w:sz w:val="24"/>
                <w:szCs w:val="24"/>
                <w:highlight w:val="none"/>
                <w:lang w:val="en-US" w:eastAsia="zh-CN"/>
              </w:rPr>
              <w:t>且美观</w:t>
            </w:r>
            <w:r>
              <w:rPr>
                <w:rFonts w:hint="eastAsia" w:asciiTheme="minorEastAsia" w:hAnsiTheme="minorEastAsia" w:eastAsiaTheme="minorEastAsia" w:cstheme="minorEastAsia"/>
                <w:color w:val="auto"/>
                <w:kern w:val="0"/>
                <w:sz w:val="24"/>
                <w:szCs w:val="24"/>
                <w:highlight w:val="none"/>
              </w:rPr>
              <w:t>。</w:t>
            </w:r>
          </w:p>
          <w:p w14:paraId="67FA83F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评审小组进行综合对比评审：</w:t>
            </w:r>
            <w:r>
              <w:rPr>
                <w:rFonts w:hint="eastAsia" w:asciiTheme="minorEastAsia" w:hAnsiTheme="minorEastAsia" w:eastAsiaTheme="minorEastAsia" w:cstheme="minorEastAsia"/>
                <w:color w:val="auto"/>
                <w:kern w:val="0"/>
                <w:sz w:val="24"/>
                <w:szCs w:val="24"/>
                <w:highlight w:val="none"/>
              </w:rPr>
              <w:t>优秀得</w:t>
            </w:r>
            <w:r>
              <w:rPr>
                <w:rFonts w:hint="eastAsia" w:asciiTheme="minorEastAsia" w:hAnsiTheme="minorEastAsia" w:eastAsiaTheme="minorEastAsia" w:cstheme="minorEastAsia"/>
                <w:color w:val="auto"/>
                <w:kern w:val="0"/>
                <w:sz w:val="24"/>
                <w:szCs w:val="24"/>
                <w:highlight w:val="none"/>
                <w:lang w:val="en-US" w:eastAsia="zh-CN"/>
              </w:rPr>
              <w:t>20</w:t>
            </w:r>
            <w:r>
              <w:rPr>
                <w:rFonts w:hint="eastAsia" w:asciiTheme="minorEastAsia" w:hAnsiTheme="minorEastAsia" w:eastAsiaTheme="minorEastAsia" w:cstheme="minorEastAsia"/>
                <w:color w:val="auto"/>
                <w:kern w:val="0"/>
                <w:sz w:val="24"/>
                <w:szCs w:val="24"/>
                <w:highlight w:val="none"/>
              </w:rPr>
              <w:t>分，良好得</w:t>
            </w:r>
            <w:r>
              <w:rPr>
                <w:rFonts w:hint="eastAsia" w:asciiTheme="minorEastAsia" w:hAnsiTheme="minorEastAsia" w:eastAsiaTheme="minorEastAsia" w:cstheme="minorEastAsia"/>
                <w:color w:val="auto"/>
                <w:kern w:val="0"/>
                <w:sz w:val="24"/>
                <w:szCs w:val="24"/>
                <w:highlight w:val="none"/>
                <w:lang w:val="en-US" w:eastAsia="zh-CN"/>
              </w:rPr>
              <w:t>17</w:t>
            </w:r>
            <w:r>
              <w:rPr>
                <w:rFonts w:hint="eastAsia" w:asciiTheme="minorEastAsia" w:hAnsiTheme="minorEastAsia" w:eastAsiaTheme="minorEastAsia" w:cstheme="minorEastAsia"/>
                <w:color w:val="auto"/>
                <w:kern w:val="0"/>
                <w:sz w:val="24"/>
                <w:szCs w:val="24"/>
                <w:highlight w:val="none"/>
              </w:rPr>
              <w:t>分，一般得</w:t>
            </w:r>
            <w:r>
              <w:rPr>
                <w:rFonts w:hint="eastAsia" w:asciiTheme="minorEastAsia" w:hAnsiTheme="minorEastAsia" w:eastAsiaTheme="minorEastAsia" w:cstheme="minorEastAsia"/>
                <w:color w:val="auto"/>
                <w:kern w:val="0"/>
                <w:sz w:val="24"/>
                <w:szCs w:val="24"/>
                <w:highlight w:val="none"/>
                <w:lang w:val="en-US" w:eastAsia="zh-CN"/>
              </w:rPr>
              <w:t>14</w:t>
            </w:r>
            <w:r>
              <w:rPr>
                <w:rFonts w:hint="eastAsia" w:asciiTheme="minorEastAsia" w:hAnsiTheme="minorEastAsia" w:eastAsiaTheme="minorEastAsia" w:cstheme="minorEastAsia"/>
                <w:color w:val="auto"/>
                <w:kern w:val="0"/>
                <w:sz w:val="24"/>
                <w:szCs w:val="24"/>
                <w:highlight w:val="none"/>
              </w:rPr>
              <w:t>分，合格得</w:t>
            </w:r>
            <w:r>
              <w:rPr>
                <w:rFonts w:hint="eastAsia" w:asciiTheme="minorEastAsia" w:hAnsiTheme="minorEastAsia" w:eastAsiaTheme="minorEastAsia" w:cstheme="minorEastAsia"/>
                <w:color w:val="auto"/>
                <w:kern w:val="0"/>
                <w:sz w:val="24"/>
                <w:szCs w:val="24"/>
                <w:highlight w:val="none"/>
                <w:lang w:val="en-US" w:eastAsia="zh-CN"/>
              </w:rPr>
              <w:t>11</w:t>
            </w:r>
            <w:r>
              <w:rPr>
                <w:rFonts w:hint="eastAsia" w:asciiTheme="minorEastAsia" w:hAnsiTheme="minorEastAsia" w:eastAsiaTheme="minorEastAsia" w:cstheme="minorEastAsia"/>
                <w:color w:val="auto"/>
                <w:kern w:val="0"/>
                <w:sz w:val="24"/>
                <w:szCs w:val="24"/>
                <w:highlight w:val="none"/>
              </w:rPr>
              <w:t>分，不合格或未提供的不得分，满分</w:t>
            </w:r>
            <w:r>
              <w:rPr>
                <w:rFonts w:hint="eastAsia" w:asciiTheme="minorEastAsia" w:hAnsiTheme="minorEastAsia" w:eastAsiaTheme="minorEastAsia" w:cstheme="minorEastAsia"/>
                <w:color w:val="auto"/>
                <w:kern w:val="0"/>
                <w:sz w:val="24"/>
                <w:szCs w:val="24"/>
                <w:highlight w:val="none"/>
                <w:lang w:val="en-US" w:eastAsia="zh-CN"/>
              </w:rPr>
              <w:t>20</w:t>
            </w:r>
            <w:r>
              <w:rPr>
                <w:rFonts w:hint="eastAsia" w:asciiTheme="minorEastAsia" w:hAnsiTheme="minorEastAsia" w:eastAsiaTheme="minorEastAsia" w:cstheme="minorEastAsia"/>
                <w:color w:val="auto"/>
                <w:kern w:val="0"/>
                <w:sz w:val="24"/>
                <w:szCs w:val="24"/>
                <w:highlight w:val="none"/>
              </w:rPr>
              <w:t>分。</w:t>
            </w:r>
          </w:p>
        </w:tc>
        <w:tc>
          <w:tcPr>
            <w:tcW w:w="626" w:type="pct"/>
            <w:tcBorders>
              <w:top w:val="single" w:color="auto" w:sz="4" w:space="0"/>
              <w:left w:val="single" w:color="auto" w:sz="4" w:space="0"/>
              <w:bottom w:val="single" w:color="auto" w:sz="4" w:space="0"/>
              <w:right w:val="single" w:color="auto" w:sz="4" w:space="0"/>
            </w:tcBorders>
            <w:vAlign w:val="center"/>
          </w:tcPr>
          <w:p w14:paraId="6187A753">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0-20分</w:t>
            </w:r>
          </w:p>
        </w:tc>
      </w:tr>
      <w:tr w14:paraId="1EB6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3C8F5122">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4FAD8BB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设备选用方案</w:t>
            </w:r>
          </w:p>
        </w:tc>
        <w:tc>
          <w:tcPr>
            <w:tcW w:w="3098" w:type="pct"/>
            <w:tcBorders>
              <w:top w:val="single" w:color="auto" w:sz="4" w:space="0"/>
              <w:left w:val="single" w:color="auto" w:sz="4" w:space="0"/>
              <w:bottom w:val="single" w:color="auto" w:sz="4" w:space="0"/>
              <w:right w:val="single" w:color="auto" w:sz="4" w:space="0"/>
            </w:tcBorders>
            <w:vAlign w:val="center"/>
          </w:tcPr>
          <w:p w14:paraId="47A9BB6A">
            <w:pPr>
              <w:keepNext w:val="0"/>
              <w:keepLines w:val="0"/>
              <w:pageBreakBefore w:val="0"/>
              <w:widowControl w:val="0"/>
              <w:kinsoku/>
              <w:wordWrap/>
              <w:overflowPunct/>
              <w:topLinePunct w:val="0"/>
              <w:autoSpaceDE/>
              <w:autoSpaceDN/>
              <w:bidi w:val="0"/>
              <w:spacing w:line="360" w:lineRule="auto"/>
              <w:jc w:val="left"/>
              <w:textAlignment w:val="auto"/>
              <w:rPr>
                <w:rFonts w:hint="default" w:asciiTheme="minorEastAsia" w:hAnsiTheme="minorEastAsia" w:eastAsiaTheme="minorEastAsia" w:cstheme="minorEastAsia"/>
                <w:color w:val="auto"/>
                <w:kern w:val="0"/>
                <w:sz w:val="24"/>
                <w:szCs w:val="24"/>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针对本项目的改造需求，结合项目实际预算及功能需求，提供不少于2套拟用设备比选方案，明确其优缺点。</w:t>
            </w:r>
          </w:p>
          <w:p w14:paraId="4B5AAF87">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rPr>
              <w:t>评审小组进行综合对比评审：</w:t>
            </w:r>
            <w:r>
              <w:rPr>
                <w:rFonts w:hint="eastAsia" w:asciiTheme="minorEastAsia" w:hAnsiTheme="minorEastAsia" w:eastAsiaTheme="minorEastAsia" w:cstheme="minorEastAsia"/>
                <w:color w:val="auto"/>
                <w:kern w:val="0"/>
                <w:sz w:val="24"/>
                <w:szCs w:val="24"/>
                <w:highlight w:val="none"/>
              </w:rPr>
              <w:t>优秀得</w:t>
            </w:r>
            <w:r>
              <w:rPr>
                <w:rFonts w:hint="eastAsia" w:asciiTheme="minorEastAsia" w:hAnsiTheme="minorEastAsia" w:eastAsiaTheme="minorEastAsia" w:cstheme="minorEastAsia"/>
                <w:color w:val="auto"/>
                <w:kern w:val="0"/>
                <w:sz w:val="24"/>
                <w:szCs w:val="24"/>
                <w:highlight w:val="none"/>
                <w:lang w:val="en-US" w:eastAsia="zh-CN"/>
              </w:rPr>
              <w:t>25</w:t>
            </w:r>
            <w:r>
              <w:rPr>
                <w:rFonts w:hint="eastAsia" w:asciiTheme="minorEastAsia" w:hAnsiTheme="minorEastAsia" w:eastAsiaTheme="minorEastAsia" w:cstheme="minorEastAsia"/>
                <w:color w:val="auto"/>
                <w:kern w:val="0"/>
                <w:sz w:val="24"/>
                <w:szCs w:val="24"/>
                <w:highlight w:val="none"/>
              </w:rPr>
              <w:t>分，良好得</w:t>
            </w:r>
            <w:r>
              <w:rPr>
                <w:rFonts w:hint="eastAsia" w:asciiTheme="minorEastAsia" w:hAnsiTheme="minorEastAsia" w:eastAsiaTheme="minorEastAsia" w:cstheme="minorEastAsia"/>
                <w:color w:val="auto"/>
                <w:kern w:val="0"/>
                <w:sz w:val="24"/>
                <w:szCs w:val="24"/>
                <w:highlight w:val="none"/>
                <w:lang w:val="en-US" w:eastAsia="zh-CN"/>
              </w:rPr>
              <w:t>22</w:t>
            </w:r>
            <w:r>
              <w:rPr>
                <w:rFonts w:hint="eastAsia" w:asciiTheme="minorEastAsia" w:hAnsiTheme="minorEastAsia" w:eastAsiaTheme="minorEastAsia" w:cstheme="minorEastAsia"/>
                <w:color w:val="auto"/>
                <w:kern w:val="0"/>
                <w:sz w:val="24"/>
                <w:szCs w:val="24"/>
                <w:highlight w:val="none"/>
              </w:rPr>
              <w:t>分，一般得</w:t>
            </w:r>
            <w:r>
              <w:rPr>
                <w:rFonts w:hint="eastAsia" w:asciiTheme="minorEastAsia" w:hAnsiTheme="minorEastAsia" w:eastAsiaTheme="minorEastAsia" w:cstheme="minorEastAsia"/>
                <w:color w:val="auto"/>
                <w:kern w:val="0"/>
                <w:sz w:val="24"/>
                <w:szCs w:val="24"/>
                <w:highlight w:val="none"/>
                <w:lang w:val="en-US" w:eastAsia="zh-CN"/>
              </w:rPr>
              <w:t>19</w:t>
            </w:r>
            <w:r>
              <w:rPr>
                <w:rFonts w:hint="eastAsia" w:asciiTheme="minorEastAsia" w:hAnsiTheme="minorEastAsia" w:eastAsiaTheme="minorEastAsia" w:cstheme="minorEastAsia"/>
                <w:color w:val="auto"/>
                <w:kern w:val="0"/>
                <w:sz w:val="24"/>
                <w:szCs w:val="24"/>
                <w:highlight w:val="none"/>
              </w:rPr>
              <w:t>分，合格得</w:t>
            </w:r>
            <w:r>
              <w:rPr>
                <w:rFonts w:hint="eastAsia" w:asciiTheme="minorEastAsia" w:hAnsiTheme="minorEastAsia" w:eastAsiaTheme="minorEastAsia" w:cstheme="minorEastAsia"/>
                <w:color w:val="auto"/>
                <w:kern w:val="0"/>
                <w:sz w:val="24"/>
                <w:szCs w:val="24"/>
                <w:highlight w:val="none"/>
                <w:lang w:val="en-US" w:eastAsia="zh-CN"/>
              </w:rPr>
              <w:t>16</w:t>
            </w:r>
            <w:r>
              <w:rPr>
                <w:rFonts w:hint="eastAsia" w:asciiTheme="minorEastAsia" w:hAnsiTheme="minorEastAsia" w:eastAsiaTheme="minorEastAsia" w:cstheme="minorEastAsia"/>
                <w:color w:val="auto"/>
                <w:kern w:val="0"/>
                <w:sz w:val="24"/>
                <w:szCs w:val="24"/>
                <w:highlight w:val="none"/>
              </w:rPr>
              <w:t>分，不合格或未提供的不得分，满分</w:t>
            </w:r>
            <w:r>
              <w:rPr>
                <w:rFonts w:hint="eastAsia" w:asciiTheme="minorEastAsia" w:hAnsiTheme="minorEastAsia" w:eastAsiaTheme="minorEastAsia" w:cstheme="minorEastAsia"/>
                <w:color w:val="auto"/>
                <w:kern w:val="0"/>
                <w:sz w:val="24"/>
                <w:szCs w:val="24"/>
                <w:highlight w:val="none"/>
                <w:lang w:val="en-US" w:eastAsia="zh-CN"/>
              </w:rPr>
              <w:t>25</w:t>
            </w:r>
            <w:r>
              <w:rPr>
                <w:rFonts w:hint="eastAsia" w:asciiTheme="minorEastAsia" w:hAnsiTheme="minorEastAsia" w:eastAsiaTheme="minorEastAsia" w:cstheme="minorEastAsia"/>
                <w:color w:val="auto"/>
                <w:kern w:val="0"/>
                <w:sz w:val="24"/>
                <w:szCs w:val="24"/>
                <w:highlight w:val="none"/>
              </w:rPr>
              <w:t>分。</w:t>
            </w:r>
          </w:p>
        </w:tc>
        <w:tc>
          <w:tcPr>
            <w:tcW w:w="626" w:type="pct"/>
            <w:tcBorders>
              <w:top w:val="single" w:color="auto" w:sz="4" w:space="0"/>
              <w:left w:val="single" w:color="auto" w:sz="4" w:space="0"/>
              <w:bottom w:val="single" w:color="auto" w:sz="4" w:space="0"/>
              <w:right w:val="single" w:color="auto" w:sz="4" w:space="0"/>
            </w:tcBorders>
            <w:vAlign w:val="center"/>
          </w:tcPr>
          <w:p w14:paraId="50AC3B58">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0-25分</w:t>
            </w:r>
          </w:p>
        </w:tc>
      </w:tr>
      <w:tr w14:paraId="5D53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41DDF5F1">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7E075D8B">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设计进度、设计质量保证措施</w:t>
            </w:r>
          </w:p>
        </w:tc>
        <w:tc>
          <w:tcPr>
            <w:tcW w:w="3098" w:type="pct"/>
            <w:tcBorders>
              <w:top w:val="single" w:color="auto" w:sz="4" w:space="0"/>
              <w:left w:val="single" w:color="auto" w:sz="4" w:space="0"/>
              <w:bottom w:val="single" w:color="auto" w:sz="4" w:space="0"/>
              <w:right w:val="single" w:color="auto" w:sz="4" w:space="0"/>
            </w:tcBorders>
            <w:vAlign w:val="center"/>
          </w:tcPr>
          <w:p w14:paraId="7C92E9D4">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设计进度计划合理，满足招标文件要求；有设计的质量保证措施。</w:t>
            </w:r>
          </w:p>
          <w:p w14:paraId="2FCD4090">
            <w:pPr>
              <w:pStyle w:val="16"/>
              <w:ind w:left="0" w:leftChars="0" w:firstLine="0" w:firstLineChars="0"/>
              <w:rPr>
                <w:rFonts w:hint="eastAsia"/>
                <w:color w:val="auto"/>
                <w:highlight w:val="none"/>
                <w:lang w:val="en-US" w:eastAsia="zh-CN"/>
              </w:rPr>
            </w:pPr>
            <w:r>
              <w:rPr>
                <w:rFonts w:hint="eastAsia" w:asciiTheme="minorEastAsia" w:hAnsiTheme="minorEastAsia" w:eastAsiaTheme="minorEastAsia" w:cstheme="minorEastAsia"/>
                <w:color w:val="auto"/>
                <w:kern w:val="0"/>
                <w:sz w:val="24"/>
                <w:szCs w:val="24"/>
                <w:highlight w:val="none"/>
                <w:lang w:val="en-US" w:eastAsia="zh-CN"/>
              </w:rPr>
              <w:t>评审小组进行综合对比评审：</w:t>
            </w:r>
            <w:r>
              <w:rPr>
                <w:rFonts w:hint="eastAsia" w:asciiTheme="minorEastAsia" w:hAnsiTheme="minorEastAsia" w:eastAsiaTheme="minorEastAsia" w:cstheme="minorEastAsia"/>
                <w:color w:val="auto"/>
                <w:kern w:val="0"/>
                <w:sz w:val="24"/>
                <w:szCs w:val="24"/>
                <w:highlight w:val="none"/>
              </w:rPr>
              <w:t>优秀得</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分，良好得</w:t>
            </w:r>
            <w:r>
              <w:rPr>
                <w:rFonts w:hint="eastAsia" w:asciiTheme="minorEastAsia" w:hAnsiTheme="minorEastAsia" w:eastAsiaTheme="minorEastAsia" w:cstheme="minorEastAsia"/>
                <w:color w:val="auto"/>
                <w:kern w:val="0"/>
                <w:sz w:val="24"/>
                <w:szCs w:val="24"/>
                <w:highlight w:val="none"/>
                <w:lang w:val="en-US" w:eastAsia="zh-CN"/>
              </w:rPr>
              <w:t>8</w:t>
            </w:r>
            <w:r>
              <w:rPr>
                <w:rFonts w:hint="eastAsia" w:asciiTheme="minorEastAsia" w:hAnsiTheme="minorEastAsia" w:eastAsiaTheme="minorEastAsia" w:cstheme="minorEastAsia"/>
                <w:color w:val="auto"/>
                <w:kern w:val="0"/>
                <w:sz w:val="24"/>
                <w:szCs w:val="24"/>
                <w:highlight w:val="none"/>
              </w:rPr>
              <w:t>分，一般得</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分，合格得</w:t>
            </w: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分，不合格或未提供的不得分，满分</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w:t>
            </w:r>
          </w:p>
        </w:tc>
        <w:tc>
          <w:tcPr>
            <w:tcW w:w="626" w:type="pct"/>
            <w:tcBorders>
              <w:top w:val="single" w:color="auto" w:sz="4" w:space="0"/>
              <w:left w:val="single" w:color="auto" w:sz="4" w:space="0"/>
              <w:bottom w:val="single" w:color="auto" w:sz="4" w:space="0"/>
              <w:right w:val="single" w:color="auto" w:sz="4" w:space="0"/>
            </w:tcBorders>
            <w:vAlign w:val="center"/>
          </w:tcPr>
          <w:p w14:paraId="1759B392">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kern w:val="2"/>
                <w:sz w:val="24"/>
                <w:szCs w:val="24"/>
                <w:highlight w:val="none"/>
                <w:lang w:val="en-US" w:eastAsia="zh-CN" w:bidi="ar-SA"/>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27FF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1115B9F3">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267F4CC1">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经济分析</w:t>
            </w:r>
          </w:p>
        </w:tc>
        <w:tc>
          <w:tcPr>
            <w:tcW w:w="3098" w:type="pct"/>
            <w:tcBorders>
              <w:top w:val="single" w:color="auto" w:sz="4" w:space="0"/>
              <w:left w:val="single" w:color="auto" w:sz="4" w:space="0"/>
              <w:bottom w:val="single" w:color="auto" w:sz="4" w:space="0"/>
              <w:right w:val="single" w:color="auto" w:sz="4" w:space="0"/>
            </w:tcBorders>
            <w:vAlign w:val="center"/>
          </w:tcPr>
          <w:p w14:paraId="2519727A">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造价估算文件编制内容完整、合理，不超要求的总造价，满足设计任务书及符合国家及地方规范要求。</w:t>
            </w:r>
          </w:p>
          <w:p w14:paraId="3324A411">
            <w:pPr>
              <w:pStyle w:val="16"/>
              <w:ind w:left="0" w:leftChars="0" w:firstLine="0" w:firstLineChars="0"/>
              <w:rPr>
                <w:rFonts w:hint="eastAsia"/>
                <w:color w:val="auto"/>
                <w:highlight w:val="none"/>
              </w:rPr>
            </w:pPr>
            <w:r>
              <w:rPr>
                <w:rFonts w:hint="eastAsia" w:asciiTheme="minorEastAsia" w:hAnsiTheme="minorEastAsia" w:eastAsiaTheme="minorEastAsia" w:cstheme="minorEastAsia"/>
                <w:color w:val="auto"/>
                <w:kern w:val="0"/>
                <w:sz w:val="24"/>
                <w:szCs w:val="24"/>
                <w:highlight w:val="none"/>
                <w:lang w:val="en-US" w:eastAsia="zh-CN"/>
              </w:rPr>
              <w:t>评审小组进行综合对比评审：</w:t>
            </w:r>
            <w:r>
              <w:rPr>
                <w:rFonts w:hint="eastAsia" w:asciiTheme="minorEastAsia" w:hAnsiTheme="minorEastAsia" w:eastAsiaTheme="minorEastAsia" w:cstheme="minorEastAsia"/>
                <w:color w:val="auto"/>
                <w:kern w:val="0"/>
                <w:sz w:val="24"/>
                <w:szCs w:val="24"/>
                <w:highlight w:val="none"/>
              </w:rPr>
              <w:t>优秀得</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分，良好得</w:t>
            </w:r>
            <w:r>
              <w:rPr>
                <w:rFonts w:hint="eastAsia" w:asciiTheme="minorEastAsia" w:hAnsiTheme="minorEastAsia" w:eastAsiaTheme="minorEastAsia" w:cstheme="minorEastAsia"/>
                <w:color w:val="auto"/>
                <w:kern w:val="0"/>
                <w:sz w:val="24"/>
                <w:szCs w:val="24"/>
                <w:highlight w:val="none"/>
                <w:lang w:val="en-US" w:eastAsia="zh-CN"/>
              </w:rPr>
              <w:t>8</w:t>
            </w:r>
            <w:r>
              <w:rPr>
                <w:rFonts w:hint="eastAsia" w:asciiTheme="minorEastAsia" w:hAnsiTheme="minorEastAsia" w:eastAsiaTheme="minorEastAsia" w:cstheme="minorEastAsia"/>
                <w:color w:val="auto"/>
                <w:kern w:val="0"/>
                <w:sz w:val="24"/>
                <w:szCs w:val="24"/>
                <w:highlight w:val="none"/>
              </w:rPr>
              <w:t>分，一般得</w:t>
            </w:r>
            <w:r>
              <w:rPr>
                <w:rFonts w:hint="eastAsia" w:asciiTheme="minorEastAsia" w:hAnsiTheme="minorEastAsia" w:eastAsiaTheme="minorEastAsia" w:cstheme="minorEastAsia"/>
                <w:color w:val="auto"/>
                <w:kern w:val="0"/>
                <w:sz w:val="24"/>
                <w:szCs w:val="24"/>
                <w:highlight w:val="none"/>
                <w:lang w:val="en-US" w:eastAsia="zh-CN"/>
              </w:rPr>
              <w:t>6</w:t>
            </w:r>
            <w:r>
              <w:rPr>
                <w:rFonts w:hint="eastAsia" w:asciiTheme="minorEastAsia" w:hAnsiTheme="minorEastAsia" w:eastAsiaTheme="minorEastAsia" w:cstheme="minorEastAsia"/>
                <w:color w:val="auto"/>
                <w:kern w:val="0"/>
                <w:sz w:val="24"/>
                <w:szCs w:val="24"/>
                <w:highlight w:val="none"/>
              </w:rPr>
              <w:t>分，合格得</w:t>
            </w:r>
            <w:r>
              <w:rPr>
                <w:rFonts w:hint="eastAsia" w:asciiTheme="minorEastAsia" w:hAnsiTheme="minorEastAsia" w:eastAsiaTheme="minorEastAsia" w:cstheme="minorEastAsia"/>
                <w:color w:val="auto"/>
                <w:kern w:val="0"/>
                <w:sz w:val="24"/>
                <w:szCs w:val="24"/>
                <w:highlight w:val="none"/>
                <w:lang w:val="en-US" w:eastAsia="zh-CN"/>
              </w:rPr>
              <w:t>4</w:t>
            </w:r>
            <w:r>
              <w:rPr>
                <w:rFonts w:hint="eastAsia" w:asciiTheme="minorEastAsia" w:hAnsiTheme="minorEastAsia" w:eastAsiaTheme="minorEastAsia" w:cstheme="minorEastAsia"/>
                <w:color w:val="auto"/>
                <w:kern w:val="0"/>
                <w:sz w:val="24"/>
                <w:szCs w:val="24"/>
                <w:highlight w:val="none"/>
              </w:rPr>
              <w:t>分，不合格或未提供的不得分，满分</w:t>
            </w:r>
            <w:r>
              <w:rPr>
                <w:rFonts w:hint="eastAsia" w:asciiTheme="minorEastAsia" w:hAnsiTheme="minorEastAsia" w:eastAsiaTheme="minorEastAsia" w:cstheme="minorEastAsia"/>
                <w:color w:val="auto"/>
                <w:kern w:val="0"/>
                <w:sz w:val="24"/>
                <w:szCs w:val="24"/>
                <w:highlight w:val="none"/>
                <w:lang w:val="en-US" w:eastAsia="zh-CN"/>
              </w:rPr>
              <w:t>10</w:t>
            </w:r>
            <w:r>
              <w:rPr>
                <w:rFonts w:hint="eastAsia" w:asciiTheme="minorEastAsia" w:hAnsiTheme="minorEastAsia" w:eastAsiaTheme="minorEastAsia" w:cstheme="minorEastAsia"/>
                <w:color w:val="auto"/>
                <w:kern w:val="0"/>
                <w:sz w:val="24"/>
                <w:szCs w:val="24"/>
                <w:highlight w:val="none"/>
              </w:rPr>
              <w:t>分。</w:t>
            </w:r>
          </w:p>
        </w:tc>
        <w:tc>
          <w:tcPr>
            <w:tcW w:w="626" w:type="pct"/>
            <w:tcBorders>
              <w:top w:val="single" w:color="auto" w:sz="4" w:space="0"/>
              <w:left w:val="single" w:color="auto" w:sz="4" w:space="0"/>
              <w:bottom w:val="single" w:color="auto" w:sz="4" w:space="0"/>
              <w:right w:val="single" w:color="auto" w:sz="4" w:space="0"/>
            </w:tcBorders>
            <w:vAlign w:val="center"/>
          </w:tcPr>
          <w:p w14:paraId="3F77D256">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65100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Merge w:val="continue"/>
            <w:tcBorders>
              <w:left w:val="single" w:color="auto" w:sz="4" w:space="0"/>
              <w:right w:val="single" w:color="auto" w:sz="4" w:space="0"/>
            </w:tcBorders>
            <w:vAlign w:val="center"/>
          </w:tcPr>
          <w:p w14:paraId="7D7BFCF2">
            <w:pPr>
              <w:keepNext w:val="0"/>
              <w:keepLines w:val="0"/>
              <w:pageBreakBefore w:val="0"/>
              <w:widowControl w:val="0"/>
              <w:kinsoku/>
              <w:wordWrap/>
              <w:overflowPunct/>
              <w:topLinePunct w:val="0"/>
              <w:autoSpaceDE/>
              <w:autoSpaceDN/>
              <w:bidi w:val="0"/>
              <w:spacing w:line="360" w:lineRule="auto"/>
              <w:ind w:firstLine="435"/>
              <w:jc w:val="center"/>
              <w:textAlignment w:val="auto"/>
              <w:rPr>
                <w:rFonts w:hint="eastAsia" w:asciiTheme="minorEastAsia" w:hAnsiTheme="minorEastAsia" w:eastAsiaTheme="minorEastAsia" w:cstheme="minorEastAsia"/>
                <w:b/>
                <w:bCs/>
                <w:color w:val="auto"/>
                <w:sz w:val="24"/>
                <w:szCs w:val="24"/>
                <w:highlight w:val="none"/>
              </w:rPr>
            </w:pPr>
          </w:p>
        </w:tc>
        <w:tc>
          <w:tcPr>
            <w:tcW w:w="671" w:type="pct"/>
            <w:tcBorders>
              <w:top w:val="single" w:color="auto" w:sz="4" w:space="0"/>
              <w:left w:val="single" w:color="auto" w:sz="4" w:space="0"/>
              <w:bottom w:val="single" w:color="auto" w:sz="4" w:space="0"/>
              <w:right w:val="single" w:color="auto" w:sz="4" w:space="0"/>
            </w:tcBorders>
            <w:vAlign w:val="center"/>
          </w:tcPr>
          <w:p w14:paraId="4EF5D8DE">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kern w:val="2"/>
                <w:sz w:val="24"/>
                <w:szCs w:val="24"/>
                <w:highlight w:val="none"/>
                <w:lang w:val="en-US" w:eastAsia="zh-CN" w:bidi="ar-SA"/>
              </w:rPr>
            </w:pPr>
            <w:r>
              <w:rPr>
                <w:rFonts w:hint="eastAsia" w:asciiTheme="minorEastAsia" w:hAnsiTheme="minorEastAsia" w:eastAsiaTheme="minorEastAsia" w:cstheme="minorEastAsia"/>
                <w:color w:val="auto"/>
                <w:kern w:val="2"/>
                <w:sz w:val="24"/>
                <w:szCs w:val="24"/>
                <w:highlight w:val="none"/>
                <w:lang w:val="en-US" w:eastAsia="zh-CN" w:bidi="ar-SA"/>
              </w:rPr>
              <w:t>项目的重难点分析</w:t>
            </w:r>
          </w:p>
        </w:tc>
        <w:tc>
          <w:tcPr>
            <w:tcW w:w="3098" w:type="pct"/>
            <w:tcBorders>
              <w:top w:val="single" w:color="auto" w:sz="4" w:space="0"/>
              <w:left w:val="single" w:color="auto" w:sz="4" w:space="0"/>
              <w:bottom w:val="single" w:color="auto" w:sz="4" w:space="0"/>
              <w:right w:val="single" w:color="auto" w:sz="4" w:space="0"/>
            </w:tcBorders>
            <w:vAlign w:val="center"/>
          </w:tcPr>
          <w:p w14:paraId="3300A1A0">
            <w:pPr>
              <w:keepNext w:val="0"/>
              <w:keepLines w:val="0"/>
              <w:pageBreakBefore w:val="0"/>
              <w:widowControl w:val="0"/>
              <w:kinsoku/>
              <w:wordWrap/>
              <w:overflowPunct/>
              <w:topLinePunct w:val="0"/>
              <w:autoSpaceDE/>
              <w:autoSpaceDN/>
              <w:bidi w:val="0"/>
              <w:spacing w:line="360" w:lineRule="auto"/>
              <w:jc w:val="left"/>
              <w:textAlignment w:val="auto"/>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rPr>
              <w:t>对项目的重难点进行分析，分析合理、有依据；对难点提出解决方案，同时有效控制</w:t>
            </w:r>
            <w:r>
              <w:rPr>
                <w:rFonts w:hint="eastAsia" w:asciiTheme="minorEastAsia" w:hAnsiTheme="minorEastAsia" w:eastAsiaTheme="minorEastAsia" w:cstheme="minorEastAsia"/>
                <w:color w:val="auto"/>
                <w:kern w:val="0"/>
                <w:sz w:val="24"/>
                <w:szCs w:val="24"/>
                <w:highlight w:val="none"/>
                <w:lang w:val="en-US" w:eastAsia="zh-CN"/>
              </w:rPr>
              <w:t>项目预算</w:t>
            </w:r>
            <w:r>
              <w:rPr>
                <w:rFonts w:hint="eastAsia" w:asciiTheme="minorEastAsia" w:hAnsiTheme="minorEastAsia" w:eastAsiaTheme="minorEastAsia" w:cstheme="minorEastAsia"/>
                <w:color w:val="auto"/>
                <w:kern w:val="0"/>
                <w:sz w:val="24"/>
                <w:szCs w:val="24"/>
                <w:highlight w:val="none"/>
              </w:rPr>
              <w:t>。</w:t>
            </w:r>
          </w:p>
          <w:p w14:paraId="7031F4EE">
            <w:pPr>
              <w:keepNext w:val="0"/>
              <w:keepLines w:val="0"/>
              <w:pageBreakBefore w:val="0"/>
              <w:widowControl w:val="0"/>
              <w:kinsoku/>
              <w:wordWrap/>
              <w:overflowPunct/>
              <w:topLinePunct w:val="0"/>
              <w:autoSpaceDE/>
              <w:autoSpaceDN/>
              <w:bidi w:val="0"/>
              <w:spacing w:line="360" w:lineRule="auto"/>
              <w:jc w:val="left"/>
              <w:textAlignment w:val="auto"/>
              <w:rPr>
                <w:rFonts w:hint="eastAsia"/>
                <w:color w:val="auto"/>
                <w:highlight w:val="none"/>
              </w:rPr>
            </w:pPr>
            <w:r>
              <w:rPr>
                <w:rFonts w:hint="eastAsia" w:asciiTheme="minorEastAsia" w:hAnsiTheme="minorEastAsia" w:eastAsiaTheme="minorEastAsia" w:cstheme="minorEastAsia"/>
                <w:color w:val="auto"/>
                <w:kern w:val="0"/>
                <w:sz w:val="24"/>
                <w:szCs w:val="24"/>
                <w:highlight w:val="none"/>
              </w:rPr>
              <w:t>评审小组进行综合对比评审：优秀得10分，良好得8分，一般得6分，合格得4分，不合格或未提供的不得分，满分10分。</w:t>
            </w:r>
          </w:p>
        </w:tc>
        <w:tc>
          <w:tcPr>
            <w:tcW w:w="626" w:type="pct"/>
            <w:tcBorders>
              <w:top w:val="single" w:color="auto" w:sz="4" w:space="0"/>
              <w:left w:val="single" w:color="auto" w:sz="4" w:space="0"/>
              <w:bottom w:val="single" w:color="auto" w:sz="4" w:space="0"/>
              <w:right w:val="single" w:color="auto" w:sz="4" w:space="0"/>
            </w:tcBorders>
            <w:vAlign w:val="center"/>
          </w:tcPr>
          <w:p w14:paraId="7C0832FB">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0-10分</w:t>
            </w:r>
          </w:p>
        </w:tc>
      </w:tr>
      <w:tr w14:paraId="24A75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tcBorders>
              <w:left w:val="single" w:color="auto" w:sz="4" w:space="0"/>
              <w:right w:val="single" w:color="auto" w:sz="4" w:space="0"/>
            </w:tcBorders>
            <w:vAlign w:val="center"/>
          </w:tcPr>
          <w:p w14:paraId="44CD8365">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价格分</w:t>
            </w:r>
          </w:p>
          <w:p w14:paraId="51ADC90D">
            <w:pPr>
              <w:keepNext w:val="0"/>
              <w:keepLines w:val="0"/>
              <w:pageBreakBefore w:val="0"/>
              <w:widowControl w:val="0"/>
              <w:kinsoku/>
              <w:wordWrap/>
              <w:overflowPunct/>
              <w:topLinePunct w:val="0"/>
              <w:autoSpaceDE/>
              <w:autoSpaceDN/>
              <w:bidi w:val="0"/>
              <w:spacing w:line="360" w:lineRule="auto"/>
              <w:jc w:val="center"/>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分）</w:t>
            </w:r>
          </w:p>
        </w:tc>
        <w:tc>
          <w:tcPr>
            <w:tcW w:w="4396" w:type="pct"/>
            <w:gridSpan w:val="3"/>
            <w:tcBorders>
              <w:top w:val="single" w:color="auto" w:sz="4" w:space="0"/>
              <w:left w:val="single" w:color="auto" w:sz="4" w:space="0"/>
              <w:bottom w:val="single" w:color="auto" w:sz="4" w:space="0"/>
              <w:right w:val="single" w:color="auto" w:sz="4" w:space="0"/>
            </w:tcBorders>
            <w:vAlign w:val="center"/>
          </w:tcPr>
          <w:p w14:paraId="05A7C844">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价格分统一采用低价优先法，即满足磋商文件要求且最后报价最低的供应商的价格为磋商基准价，其价格分为满分</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分。其他供应商的价格分统一按照下列公式计算：</w:t>
            </w:r>
          </w:p>
          <w:p w14:paraId="17928550">
            <w:pPr>
              <w:keepNext w:val="0"/>
              <w:keepLines w:val="0"/>
              <w:pageBreakBefore w:val="0"/>
              <w:widowControl w:val="0"/>
              <w:kinsoku/>
              <w:wordWrap/>
              <w:overflowPunct/>
              <w:topLinePunct w:val="0"/>
              <w:autoSpaceDE/>
              <w:autoSpaceDN/>
              <w:bidi w:val="0"/>
              <w:spacing w:line="360" w:lineRule="auto"/>
              <w:textAlignment w:val="auto"/>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color w:val="auto"/>
                <w:sz w:val="24"/>
                <w:szCs w:val="24"/>
                <w:highlight w:val="none"/>
              </w:rPr>
              <w:t>磋商报价得分＝（磋商基准价/最后磋商报价）×</w:t>
            </w:r>
            <w:r>
              <w:rPr>
                <w:rFonts w:hint="eastAsia" w:asciiTheme="minorEastAsia" w:hAnsiTheme="minorEastAsia" w:eastAsiaTheme="minorEastAsia" w:cstheme="minorEastAsia"/>
                <w:color w:val="auto"/>
                <w:sz w:val="24"/>
                <w:szCs w:val="24"/>
                <w:highlight w:val="none"/>
                <w:u w:val="single"/>
                <w:lang w:val="en-US" w:eastAsia="zh-CN"/>
              </w:rPr>
              <w:t>15</w:t>
            </w:r>
            <w:r>
              <w:rPr>
                <w:rFonts w:hint="eastAsia" w:asciiTheme="minorEastAsia" w:hAnsiTheme="minorEastAsia" w:eastAsiaTheme="minorEastAsia" w:cstheme="minorEastAsia"/>
                <w:color w:val="auto"/>
                <w:sz w:val="24"/>
                <w:szCs w:val="24"/>
                <w:highlight w:val="none"/>
              </w:rPr>
              <w:t>％×100</w:t>
            </w:r>
          </w:p>
        </w:tc>
      </w:tr>
    </w:tbl>
    <w:p w14:paraId="405900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1AAA19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1）磋商小组各成员应当独立对每个有效响应的文件进行评价、打分，然后汇总每个供应商每项评分因素的得分，再取各位评委评分之平均值，四舍五入保留至小数点后两位数，得到该供应商的技术资信分。</w:t>
      </w:r>
    </w:p>
    <w:p w14:paraId="6B40C5F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2）将每个供应商的技术资信分加上根据上述标准计算出的价格分，即为</w:t>
      </w:r>
      <w:r>
        <w:rPr>
          <w:rFonts w:hint="eastAsia" w:asciiTheme="minorEastAsia" w:hAnsiTheme="minorEastAsia" w:eastAsiaTheme="minorEastAsia"/>
          <w:color w:val="auto"/>
          <w:sz w:val="24"/>
          <w:highlight w:val="none"/>
        </w:rPr>
        <w:t>该供应商的综合总得分。</w:t>
      </w:r>
      <w:r>
        <w:rPr>
          <w:rFonts w:hint="eastAsia" w:asciiTheme="minorEastAsia" w:hAnsiTheme="minorEastAsia" w:eastAsiaTheme="minorEastAsia"/>
          <w:color w:val="auto"/>
          <w:sz w:val="24"/>
          <w:highlight w:val="none"/>
        </w:rPr>
        <w:br w:type="page"/>
      </w:r>
    </w:p>
    <w:p w14:paraId="5C73C9AA">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75" w:name="_Toc63440929"/>
      <w:bookmarkStart w:id="76" w:name="_Toc355"/>
      <w:r>
        <w:rPr>
          <w:rFonts w:hint="eastAsia" w:asciiTheme="minorEastAsia" w:hAnsiTheme="minorEastAsia" w:eastAsiaTheme="minorEastAsia"/>
          <w:b/>
          <w:color w:val="auto"/>
          <w:sz w:val="28"/>
          <w:highlight w:val="none"/>
        </w:rPr>
        <w:t>第五章  采购合同</w:t>
      </w:r>
      <w:bookmarkEnd w:id="75"/>
      <w:bookmarkEnd w:id="76"/>
    </w:p>
    <w:p w14:paraId="1D1A9609">
      <w:pPr>
        <w:rPr>
          <w:rFonts w:eastAsia="华文中宋"/>
          <w:b/>
          <w:color w:val="auto"/>
          <w:sz w:val="52"/>
          <w:szCs w:val="52"/>
          <w:highlight w:val="none"/>
        </w:rPr>
      </w:pPr>
      <w:r>
        <w:rPr>
          <w:rFonts w:hint="eastAsia" w:eastAsia="仿宋_GB2312"/>
          <w:bCs/>
          <w:color w:val="auto"/>
          <w:sz w:val="30"/>
          <w:szCs w:val="30"/>
          <w:highlight w:val="none"/>
        </w:rPr>
        <w:t>GF—2015—</w:t>
      </w:r>
      <w:r>
        <w:rPr>
          <w:rFonts w:eastAsia="仿宋_GB2312"/>
          <w:bCs/>
          <w:color w:val="auto"/>
          <w:sz w:val="30"/>
          <w:szCs w:val="30"/>
          <w:highlight w:val="none"/>
        </w:rPr>
        <w:t>0209</w:t>
      </w:r>
    </w:p>
    <w:p w14:paraId="3DB53EF0">
      <w:pPr>
        <w:pStyle w:val="73"/>
        <w:ind w:firstLine="601"/>
        <w:jc w:val="center"/>
        <w:rPr>
          <w:rFonts w:hint="default" w:eastAsia="华文中宋"/>
          <w:b/>
          <w:color w:val="auto"/>
          <w:sz w:val="30"/>
          <w:szCs w:val="30"/>
          <w:highlight w:val="none"/>
          <w:u w:val="single"/>
          <w:lang w:val="en-US" w:eastAsia="zh-CN"/>
        </w:rPr>
      </w:pPr>
      <w:r>
        <w:rPr>
          <w:rFonts w:hint="eastAsia" w:eastAsia="华文中宋"/>
          <w:b/>
          <w:color w:val="auto"/>
          <w:sz w:val="30"/>
          <w:szCs w:val="30"/>
          <w:highlight w:val="none"/>
        </w:rPr>
        <w:t xml:space="preserve">         </w:t>
      </w:r>
      <w:r>
        <w:rPr>
          <w:rFonts w:hint="eastAsia" w:eastAsia="华文中宋"/>
          <w:b/>
          <w:color w:val="auto"/>
          <w:sz w:val="30"/>
          <w:szCs w:val="30"/>
          <w:highlight w:val="none"/>
          <w:lang w:val="en-US" w:eastAsia="zh-CN"/>
        </w:rPr>
        <w:t xml:space="preserve">                  </w:t>
      </w:r>
      <w:r>
        <w:rPr>
          <w:rFonts w:hint="eastAsia" w:eastAsia="华文中宋"/>
          <w:b/>
          <w:color w:val="auto"/>
          <w:sz w:val="30"/>
          <w:szCs w:val="30"/>
          <w:highlight w:val="none"/>
        </w:rPr>
        <w:t>合同编号：</w:t>
      </w:r>
      <w:r>
        <w:rPr>
          <w:rFonts w:hint="eastAsia" w:eastAsia="华文中宋"/>
          <w:b/>
          <w:color w:val="auto"/>
          <w:sz w:val="30"/>
          <w:szCs w:val="30"/>
          <w:highlight w:val="none"/>
          <w:u w:val="single"/>
          <w:lang w:val="en-US" w:eastAsia="zh-CN"/>
        </w:rPr>
        <w:t xml:space="preserve">           </w:t>
      </w:r>
    </w:p>
    <w:p w14:paraId="147F1E42">
      <w:pPr>
        <w:pStyle w:val="73"/>
        <w:ind w:firstLine="601"/>
        <w:jc w:val="center"/>
        <w:rPr>
          <w:rFonts w:eastAsia="华文中宋"/>
          <w:b/>
          <w:color w:val="auto"/>
          <w:sz w:val="30"/>
          <w:szCs w:val="30"/>
          <w:highlight w:val="none"/>
          <w:u w:val="single"/>
        </w:rPr>
      </w:pPr>
    </w:p>
    <w:p w14:paraId="74D9CA97">
      <w:pPr>
        <w:pStyle w:val="73"/>
        <w:ind w:firstLine="1041"/>
        <w:jc w:val="center"/>
        <w:rPr>
          <w:rFonts w:eastAsia="华文中宋"/>
          <w:b/>
          <w:color w:val="auto"/>
          <w:sz w:val="52"/>
          <w:szCs w:val="52"/>
          <w:highlight w:val="none"/>
          <w:u w:val="single"/>
        </w:rPr>
      </w:pPr>
    </w:p>
    <w:p w14:paraId="5D969868">
      <w:pPr>
        <w:pStyle w:val="25"/>
        <w:ind w:left="0" w:leftChars="0" w:firstLine="0" w:firstLineChars="0"/>
        <w:rPr>
          <w:color w:val="auto"/>
          <w:highlight w:val="none"/>
        </w:rPr>
      </w:pPr>
    </w:p>
    <w:p w14:paraId="28161954">
      <w:pPr>
        <w:pStyle w:val="25"/>
        <w:ind w:left="0" w:leftChars="0" w:firstLine="0" w:firstLineChars="0"/>
        <w:rPr>
          <w:color w:val="auto"/>
          <w:highlight w:val="none"/>
        </w:rPr>
      </w:pPr>
    </w:p>
    <w:p w14:paraId="545D583F">
      <w:pPr>
        <w:jc w:val="center"/>
        <w:rPr>
          <w:rFonts w:hint="eastAsia" w:eastAsia="华文中宋"/>
          <w:b/>
          <w:color w:val="auto"/>
          <w:sz w:val="72"/>
          <w:szCs w:val="52"/>
          <w:highlight w:val="none"/>
        </w:rPr>
      </w:pPr>
      <w:r>
        <w:rPr>
          <w:rFonts w:eastAsia="华文中宋"/>
          <w:b/>
          <w:color w:val="auto"/>
          <w:sz w:val="72"/>
          <w:szCs w:val="52"/>
          <w:highlight w:val="none"/>
        </w:rPr>
        <w:t>建设工程</w:t>
      </w:r>
      <w:r>
        <w:rPr>
          <w:rFonts w:hint="eastAsia" w:eastAsia="华文中宋"/>
          <w:b/>
          <w:color w:val="auto"/>
          <w:sz w:val="72"/>
          <w:szCs w:val="52"/>
          <w:highlight w:val="none"/>
        </w:rPr>
        <w:t>设计</w:t>
      </w:r>
      <w:r>
        <w:rPr>
          <w:rFonts w:eastAsia="华文中宋"/>
          <w:b/>
          <w:color w:val="auto"/>
          <w:sz w:val="72"/>
          <w:szCs w:val="52"/>
          <w:highlight w:val="none"/>
        </w:rPr>
        <w:t>合同</w:t>
      </w:r>
      <w:r>
        <w:rPr>
          <w:rFonts w:hint="eastAsia" w:eastAsia="华文中宋"/>
          <w:b/>
          <w:color w:val="auto"/>
          <w:sz w:val="72"/>
          <w:szCs w:val="52"/>
          <w:highlight w:val="none"/>
        </w:rPr>
        <w:t>示范文本</w:t>
      </w:r>
    </w:p>
    <w:p w14:paraId="4098B25D">
      <w:pPr>
        <w:pStyle w:val="73"/>
        <w:ind w:firstLine="640"/>
        <w:jc w:val="center"/>
        <w:rPr>
          <w:rFonts w:ascii="宋体" w:hAnsi="宋体" w:cs="宋体"/>
          <w:color w:val="auto"/>
          <w:sz w:val="32"/>
          <w:szCs w:val="32"/>
          <w:highlight w:val="none"/>
        </w:rPr>
      </w:pPr>
      <w:r>
        <w:rPr>
          <w:rFonts w:hint="eastAsia" w:eastAsia="华文中宋"/>
          <w:b/>
          <w:color w:val="auto"/>
          <w:sz w:val="72"/>
          <w:szCs w:val="52"/>
          <w:highlight w:val="none"/>
        </w:rPr>
        <w:t>（房屋建筑工程）</w:t>
      </w:r>
    </w:p>
    <w:p w14:paraId="15F0013B">
      <w:pPr>
        <w:pStyle w:val="73"/>
        <w:ind w:firstLine="640"/>
        <w:jc w:val="center"/>
        <w:rPr>
          <w:rFonts w:ascii="宋体" w:hAnsi="宋体" w:cs="宋体"/>
          <w:color w:val="auto"/>
          <w:sz w:val="32"/>
          <w:szCs w:val="32"/>
          <w:highlight w:val="none"/>
        </w:rPr>
      </w:pPr>
    </w:p>
    <w:p w14:paraId="343F62D4">
      <w:pPr>
        <w:pStyle w:val="73"/>
        <w:ind w:firstLine="640"/>
        <w:jc w:val="center"/>
        <w:rPr>
          <w:rFonts w:ascii="宋体" w:hAnsi="宋体" w:cs="宋体"/>
          <w:color w:val="auto"/>
          <w:sz w:val="32"/>
          <w:szCs w:val="32"/>
          <w:highlight w:val="none"/>
        </w:rPr>
      </w:pPr>
    </w:p>
    <w:p w14:paraId="424DFAA6">
      <w:pPr>
        <w:pStyle w:val="73"/>
        <w:ind w:firstLine="640"/>
        <w:jc w:val="center"/>
        <w:rPr>
          <w:rFonts w:ascii="宋体" w:hAnsi="宋体" w:cs="宋体"/>
          <w:color w:val="auto"/>
          <w:sz w:val="32"/>
          <w:szCs w:val="32"/>
          <w:highlight w:val="none"/>
        </w:rPr>
      </w:pPr>
    </w:p>
    <w:p w14:paraId="16D29349">
      <w:pPr>
        <w:pStyle w:val="73"/>
        <w:ind w:firstLine="640"/>
        <w:jc w:val="center"/>
        <w:rPr>
          <w:rFonts w:ascii="宋体" w:hAnsi="宋体" w:cs="宋体"/>
          <w:color w:val="auto"/>
          <w:sz w:val="32"/>
          <w:szCs w:val="32"/>
          <w:highlight w:val="none"/>
        </w:rPr>
      </w:pPr>
    </w:p>
    <w:p w14:paraId="6836652B">
      <w:pPr>
        <w:pStyle w:val="73"/>
        <w:ind w:firstLine="640"/>
        <w:jc w:val="center"/>
        <w:rPr>
          <w:rFonts w:ascii="宋体" w:hAnsi="宋体" w:cs="宋体"/>
          <w:color w:val="auto"/>
          <w:sz w:val="32"/>
          <w:szCs w:val="32"/>
          <w:highlight w:val="none"/>
        </w:rPr>
      </w:pPr>
    </w:p>
    <w:p w14:paraId="5C927D82">
      <w:pPr>
        <w:pStyle w:val="73"/>
        <w:ind w:firstLine="640"/>
        <w:jc w:val="center"/>
        <w:rPr>
          <w:rFonts w:ascii="宋体" w:hAnsi="宋体" w:cs="宋体"/>
          <w:color w:val="auto"/>
          <w:sz w:val="32"/>
          <w:szCs w:val="32"/>
          <w:highlight w:val="none"/>
        </w:rPr>
      </w:pPr>
    </w:p>
    <w:p w14:paraId="012A38F1">
      <w:pPr>
        <w:pStyle w:val="73"/>
        <w:ind w:firstLine="640"/>
        <w:jc w:val="center"/>
        <w:rPr>
          <w:rFonts w:ascii="宋体" w:hAnsi="宋体" w:cs="宋体"/>
          <w:color w:val="auto"/>
          <w:sz w:val="32"/>
          <w:szCs w:val="32"/>
          <w:highlight w:val="none"/>
        </w:rPr>
      </w:pPr>
    </w:p>
    <w:p w14:paraId="6A676DB6">
      <w:pPr>
        <w:pStyle w:val="73"/>
        <w:ind w:firstLine="640"/>
        <w:jc w:val="center"/>
        <w:rPr>
          <w:rFonts w:ascii="宋体" w:hAnsi="宋体" w:cs="宋体"/>
          <w:color w:val="auto"/>
          <w:sz w:val="32"/>
          <w:szCs w:val="32"/>
          <w:highlight w:val="none"/>
        </w:rPr>
      </w:pPr>
    </w:p>
    <w:p w14:paraId="5A06517D">
      <w:pPr>
        <w:pStyle w:val="73"/>
        <w:ind w:firstLine="640"/>
        <w:jc w:val="center"/>
        <w:rPr>
          <w:rFonts w:ascii="宋体" w:hAnsi="宋体" w:cs="宋体"/>
          <w:color w:val="auto"/>
          <w:sz w:val="32"/>
          <w:szCs w:val="32"/>
          <w:highlight w:val="none"/>
        </w:rPr>
      </w:pPr>
    </w:p>
    <w:p w14:paraId="6D38B344">
      <w:pPr>
        <w:ind w:right="3360" w:rightChars="1600" w:firstLine="2318" w:firstLineChars="1104"/>
        <w:jc w:val="distribute"/>
        <w:rPr>
          <w:b/>
          <w:color w:val="auto"/>
          <w:sz w:val="32"/>
          <w:szCs w:val="28"/>
          <w:highlight w:val="none"/>
        </w:rPr>
      </w:pPr>
      <w:r>
        <w:rPr>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3749040</wp:posOffset>
                </wp:positionH>
                <wp:positionV relativeFrom="paragraph">
                  <wp:posOffset>156210</wp:posOffset>
                </wp:positionV>
                <wp:extent cx="1162050" cy="457200"/>
                <wp:effectExtent l="4445" t="4445" r="14605" b="1460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62050" cy="457200"/>
                        </a:xfrm>
                        <a:prstGeom prst="rect">
                          <a:avLst/>
                        </a:prstGeom>
                        <a:noFill/>
                        <a:ln w="9525">
                          <a:solidFill>
                            <a:srgbClr val="FFFFFF"/>
                          </a:solidFill>
                          <a:miter lim="800000"/>
                        </a:ln>
                        <a:effectLst/>
                      </wps:spPr>
                      <wps:txbx>
                        <w:txbxContent>
                          <w:p w14:paraId="68E72724">
                            <w:pPr>
                              <w:ind w:firstLine="643" w:firstLineChars="200"/>
                              <w:rPr>
                                <w:b/>
                                <w:bCs/>
                                <w:sz w:val="32"/>
                              </w:rPr>
                            </w:pPr>
                            <w:r>
                              <w:rPr>
                                <w:rFonts w:hint="eastAsia"/>
                                <w:b/>
                                <w:bCs/>
                                <w:sz w:val="32"/>
                              </w:rPr>
                              <w:t>制定</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5.2pt;margin-top:12.3pt;height:36pt;width:91.5pt;z-index:251659264;mso-width-relative:page;mso-height-relative:page;" filled="f" stroked="t" coordsize="21600,21600" o:gfxdata="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IzxvU/ZAAAACQEAAA8AAAAAAAAAAQAgAAAA&#10;IgAAAGRycy9kb3ducmV2LnhtbFBLAQIUABQAAAAIAIdO4kDzMfNRQwIAAGwEAAAOAAAAAAAAAAEA&#10;IAAAACgBAABkcnMvZTJvRG9jLnhtbFBLBQYAAAAABgAGAFkBAADdBQAAAAA=&#10;">
                <v:fill on="f" focussize="0,0"/>
                <v:stroke color="#FFFFFF" miterlimit="8" joinstyle="miter"/>
                <v:imagedata o:title=""/>
                <o:lock v:ext="edit" aspectratio="f"/>
                <v:textbox>
                  <w:txbxContent>
                    <w:p w14:paraId="68E72724">
                      <w:pPr>
                        <w:ind w:firstLine="643" w:firstLineChars="200"/>
                        <w:rPr>
                          <w:b/>
                          <w:bCs/>
                          <w:sz w:val="32"/>
                        </w:rPr>
                      </w:pPr>
                      <w:r>
                        <w:rPr>
                          <w:rFonts w:hint="eastAsia"/>
                          <w:b/>
                          <w:bCs/>
                          <w:sz w:val="32"/>
                        </w:rPr>
                        <w:t>制定</w:t>
                      </w:r>
                    </w:p>
                  </w:txbxContent>
                </v:textbox>
              </v:shape>
            </w:pict>
          </mc:Fallback>
        </mc:AlternateContent>
      </w:r>
      <w:r>
        <w:rPr>
          <w:b/>
          <w:color w:val="auto"/>
          <w:sz w:val="32"/>
          <w:szCs w:val="28"/>
          <w:highlight w:val="none"/>
        </w:rPr>
        <w:t>住房和城乡建设部</w:t>
      </w:r>
    </w:p>
    <w:p w14:paraId="78A1D908">
      <w:pPr>
        <w:ind w:right="3139" w:rightChars="1495" w:firstLine="2329" w:firstLineChars="725"/>
        <w:rPr>
          <w:b/>
          <w:color w:val="auto"/>
          <w:sz w:val="32"/>
          <w:szCs w:val="28"/>
          <w:highlight w:val="none"/>
        </w:rPr>
      </w:pPr>
      <w:r>
        <w:rPr>
          <w:b/>
          <w:color w:val="auto"/>
          <w:sz w:val="32"/>
          <w:szCs w:val="28"/>
          <w:highlight w:val="none"/>
        </w:rPr>
        <w:t>国家工商行政管理总局</w:t>
      </w:r>
    </w:p>
    <w:p w14:paraId="6DBBA4AF">
      <w:pPr>
        <w:pStyle w:val="4"/>
        <w:spacing w:beforeLines="50" w:afterLines="50" w:line="440" w:lineRule="exact"/>
        <w:jc w:val="center"/>
        <w:rPr>
          <w:rFonts w:ascii="宋体" w:hAnsi="宋体" w:cs="宋体"/>
          <w:b w:val="0"/>
          <w:color w:val="auto"/>
          <w:sz w:val="21"/>
          <w:szCs w:val="21"/>
          <w:highlight w:val="none"/>
        </w:rPr>
      </w:pPr>
      <w:bookmarkStart w:id="77" w:name="_Toc351203480"/>
      <w:r>
        <w:rPr>
          <w:rFonts w:hint="eastAsia" w:ascii="宋体" w:hAnsi="宋体" w:cs="宋体"/>
          <w:color w:val="auto"/>
          <w:sz w:val="30"/>
          <w:szCs w:val="30"/>
          <w:highlight w:val="none"/>
        </w:rPr>
        <w:t>第一部分 合同协议书</w:t>
      </w:r>
      <w:bookmarkEnd w:id="77"/>
    </w:p>
    <w:p w14:paraId="26062382">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color w:val="auto"/>
          <w:sz w:val="21"/>
          <w:szCs w:val="21"/>
          <w:highlight w:val="none"/>
          <w:u w:val="single"/>
          <w:lang w:val="en-US"/>
        </w:rPr>
      </w:pPr>
      <w:r>
        <w:rPr>
          <w:rFonts w:hint="eastAsia" w:ascii="宋体" w:hAnsi="宋体" w:eastAsia="宋体" w:cs="宋体"/>
          <w:b/>
          <w:color w:val="auto"/>
          <w:sz w:val="21"/>
          <w:szCs w:val="21"/>
          <w:highlight w:val="none"/>
        </w:rPr>
        <w:t>发包人（全称）：</w:t>
      </w:r>
      <w:r>
        <w:rPr>
          <w:rFonts w:hint="eastAsia" w:ascii="宋体" w:hAnsi="宋体" w:eastAsia="宋体" w:cs="宋体"/>
          <w:b/>
          <w:color w:val="auto"/>
          <w:sz w:val="21"/>
          <w:szCs w:val="21"/>
          <w:highlight w:val="none"/>
          <w:u w:val="single"/>
        </w:rPr>
        <w:t></w:t>
      </w:r>
      <w:r>
        <w:rPr>
          <w:rFonts w:hint="eastAsia" w:ascii="宋体" w:hAnsi="宋体" w:eastAsia="宋体" w:cs="宋体"/>
          <w:b/>
          <w:color w:val="auto"/>
          <w:sz w:val="21"/>
          <w:szCs w:val="21"/>
          <w:highlight w:val="none"/>
          <w:u w:val="single"/>
          <w:lang w:val="en-US" w:eastAsia="zh-CN"/>
        </w:rPr>
        <w:t xml:space="preserve">                </w:t>
      </w:r>
    </w:p>
    <w:p w14:paraId="482688BD">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color w:val="auto"/>
          <w:sz w:val="21"/>
          <w:szCs w:val="21"/>
          <w:highlight w:val="none"/>
          <w:u w:val="single"/>
        </w:rPr>
      </w:pPr>
      <w:r>
        <w:rPr>
          <w:rFonts w:hint="eastAsia" w:ascii="宋体" w:hAnsi="宋体" w:eastAsia="宋体" w:cs="宋体"/>
          <w:b/>
          <w:color w:val="auto"/>
          <w:sz w:val="21"/>
          <w:szCs w:val="21"/>
          <w:highlight w:val="none"/>
        </w:rPr>
        <w:t>设计人（全称）：</w:t>
      </w:r>
      <w:r>
        <w:rPr>
          <w:rFonts w:hint="eastAsia" w:ascii="宋体" w:hAnsi="宋体" w:eastAsia="宋体" w:cs="宋体"/>
          <w:b/>
          <w:color w:val="auto"/>
          <w:sz w:val="21"/>
          <w:szCs w:val="21"/>
          <w:highlight w:val="none"/>
          <w:u w:val="single"/>
        </w:rPr>
        <w:t xml:space="preserve">      </w:t>
      </w:r>
      <w:r>
        <w:rPr>
          <w:rFonts w:hint="eastAsia" w:ascii="宋体" w:hAnsi="宋体" w:eastAsia="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u w:val="single"/>
        </w:rPr>
        <w:t xml:space="preserve">  </w:t>
      </w:r>
    </w:p>
    <w:p w14:paraId="380A3904">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根据《中华人民共和国民法典》、《中华人民共和国建筑法》及有关法律规定，遵循平等、自愿、公平和诚实信用的原则，双方就</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及有关事项协商一致，共同达成如下协议：</w:t>
      </w:r>
    </w:p>
    <w:p w14:paraId="29F25E81">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一、工程概况</w:t>
      </w:r>
    </w:p>
    <w:p w14:paraId="47FEC0DD">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bCs/>
          <w:color w:val="auto"/>
          <w:sz w:val="21"/>
          <w:szCs w:val="21"/>
          <w:highlight w:val="none"/>
        </w:rPr>
        <w:t>1.工程名称</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p>
    <w:p w14:paraId="0E17D2B3">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rPr>
        <w:t>2.工程地点：</w:t>
      </w:r>
      <w:r>
        <w:rPr>
          <w:rFonts w:hint="eastAsia" w:ascii="宋体" w:hAnsi="宋体" w:eastAsia="宋体" w:cs="宋体"/>
          <w:color w:val="auto"/>
          <w:sz w:val="21"/>
          <w:szCs w:val="21"/>
          <w:highlight w:val="none"/>
          <w:u w:val="single"/>
          <w:lang w:val="en-US" w:eastAsia="zh-CN"/>
        </w:rPr>
        <w:t xml:space="preserve">                       </w:t>
      </w:r>
    </w:p>
    <w:p w14:paraId="11EF01DA">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u w:val="single"/>
          <w:lang w:val="en-US"/>
        </w:rPr>
      </w:pPr>
      <w:r>
        <w:rPr>
          <w:rFonts w:hint="eastAsia" w:ascii="宋体" w:hAnsi="宋体" w:eastAsia="宋体" w:cs="宋体"/>
          <w:color w:val="auto"/>
          <w:sz w:val="21"/>
          <w:szCs w:val="21"/>
          <w:highlight w:val="none"/>
        </w:rPr>
        <w:t>3.总建筑面积：</w:t>
      </w:r>
      <w:r>
        <w:rPr>
          <w:rFonts w:hint="eastAsia" w:ascii="宋体" w:hAnsi="宋体" w:eastAsia="宋体" w:cs="宋体"/>
          <w:color w:val="auto"/>
          <w:sz w:val="21"/>
          <w:szCs w:val="21"/>
          <w:highlight w:val="none"/>
          <w:u w:val="single"/>
          <w:lang w:val="en-US" w:eastAsia="zh-CN"/>
        </w:rPr>
        <w:t xml:space="preserve">                     </w:t>
      </w:r>
    </w:p>
    <w:p w14:paraId="27314731">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4.建筑功能：</w:t>
      </w:r>
      <w:r>
        <w:rPr>
          <w:rFonts w:hint="eastAsia" w:ascii="宋体" w:hAnsi="宋体" w:eastAsia="宋体" w:cs="宋体"/>
          <w:color w:val="auto"/>
          <w:sz w:val="21"/>
          <w:szCs w:val="21"/>
          <w:highlight w:val="none"/>
          <w:u w:val="single"/>
          <w:lang w:val="en-US" w:eastAsia="zh-CN"/>
        </w:rPr>
        <w:t xml:space="preserve">                        </w:t>
      </w:r>
    </w:p>
    <w:p w14:paraId="15A80C9B">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5.投资估算：约</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人民币</w:t>
      </w:r>
    </w:p>
    <w:p w14:paraId="1D3EEDDE">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二、工程设计范围、阶段与服务内容</w:t>
      </w:r>
    </w:p>
    <w:p w14:paraId="66C553D9">
      <w:pPr>
        <w:keepNext w:val="0"/>
        <w:keepLines w:val="0"/>
        <w:pageBreakBefore w:val="0"/>
        <w:widowControl/>
        <w:kinsoku/>
        <w:wordWrap/>
        <w:overflowPunct/>
        <w:topLinePunct w:val="0"/>
        <w:autoSpaceDE/>
        <w:autoSpaceDN/>
        <w:bidi w:val="0"/>
        <w:snapToGrid/>
        <w:spacing w:line="440" w:lineRule="exact"/>
        <w:ind w:firstLine="420" w:firstLineChars="200"/>
        <w:jc w:val="left"/>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bCs/>
          <w:color w:val="auto"/>
          <w:sz w:val="21"/>
          <w:szCs w:val="21"/>
          <w:highlight w:val="none"/>
        </w:rPr>
        <w:t>1.工程设计范围：</w:t>
      </w:r>
      <w:r>
        <w:rPr>
          <w:rFonts w:hint="eastAsia" w:ascii="宋体" w:hAnsi="宋体" w:eastAsia="宋体" w:cs="宋体"/>
          <w:color w:val="auto"/>
          <w:sz w:val="21"/>
          <w:szCs w:val="21"/>
          <w:highlight w:val="none"/>
          <w:u w:val="single"/>
          <w:lang w:val="en-US" w:eastAsia="zh-CN"/>
        </w:rPr>
        <w:t xml:space="preserve">                       </w:t>
      </w:r>
    </w:p>
    <w:p w14:paraId="6116934C">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2.工程设计阶段：</w:t>
      </w:r>
      <w:r>
        <w:rPr>
          <w:rFonts w:hint="eastAsia" w:ascii="宋体" w:hAnsi="宋体" w:eastAsia="宋体" w:cs="宋体"/>
          <w:color w:val="auto"/>
          <w:sz w:val="21"/>
          <w:szCs w:val="21"/>
          <w:highlight w:val="none"/>
          <w:u w:val="single"/>
          <w:lang w:val="en-US" w:eastAsia="zh-CN"/>
        </w:rPr>
        <w:t xml:space="preserve">                       </w:t>
      </w:r>
    </w:p>
    <w:p w14:paraId="63B18626">
      <w:pPr>
        <w:keepNext w:val="0"/>
        <w:keepLines w:val="0"/>
        <w:pageBreakBefore w:val="0"/>
        <w:widowControl w:val="0"/>
        <w:kinsoku/>
        <w:wordWrap/>
        <w:overflowPunct/>
        <w:topLinePunct w:val="0"/>
        <w:bidi w:val="0"/>
        <w:snapToGrid/>
        <w:spacing w:line="440" w:lineRule="exact"/>
        <w:ind w:firstLine="411" w:firstLineChars="196"/>
        <w:textAlignment w:val="auto"/>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3.工程设计服务内容：</w:t>
      </w:r>
      <w:r>
        <w:rPr>
          <w:rFonts w:hint="eastAsia" w:ascii="宋体" w:hAnsi="宋体" w:eastAsia="宋体" w:cs="宋体"/>
          <w:color w:val="auto"/>
          <w:sz w:val="21"/>
          <w:szCs w:val="21"/>
          <w:highlight w:val="none"/>
          <w:u w:val="single"/>
          <w:lang w:val="en-US" w:eastAsia="zh-CN"/>
        </w:rPr>
        <w:t xml:space="preserve">                       </w:t>
      </w:r>
    </w:p>
    <w:p w14:paraId="1A7612E2">
      <w:pPr>
        <w:pStyle w:val="5"/>
        <w:keepNext w:val="0"/>
        <w:keepLines w:val="0"/>
        <w:pageBreakBefore w:val="0"/>
        <w:widowControl w:val="0"/>
        <w:kinsoku/>
        <w:wordWrap/>
        <w:overflowPunct/>
        <w:topLinePunct w:val="0"/>
        <w:autoSpaceDE/>
        <w:autoSpaceDN/>
        <w:bidi w:val="0"/>
        <w:adjustRightInd/>
        <w:snapToGrid/>
        <w:spacing w:before="0" w:after="0" w:line="440" w:lineRule="exact"/>
        <w:ind w:left="0" w:firstLine="420"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工程设计范围、阶段与服务内容按招标文件要求执行。</w:t>
      </w:r>
    </w:p>
    <w:p w14:paraId="68A6C9F8">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三、工程设计周期</w:t>
      </w:r>
    </w:p>
    <w:p w14:paraId="3523561D">
      <w:pPr>
        <w:keepNext w:val="0"/>
        <w:keepLines w:val="0"/>
        <w:pageBreakBefore w:val="0"/>
        <w:kinsoku/>
        <w:wordWrap/>
        <w:overflowPunct/>
        <w:topLinePunct w:val="0"/>
        <w:bidi w:val="0"/>
        <w:snapToGrid/>
        <w:spacing w:line="440" w:lineRule="exact"/>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计划开始设计日期：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6B9EB4DB">
      <w:pPr>
        <w:keepNext w:val="0"/>
        <w:keepLines w:val="0"/>
        <w:pageBreakBefore w:val="0"/>
        <w:kinsoku/>
        <w:wordWrap/>
        <w:overflowPunct/>
        <w:topLinePunct w:val="0"/>
        <w:bidi w:val="0"/>
        <w:snapToGrid/>
        <w:spacing w:line="440" w:lineRule="exact"/>
        <w:ind w:firstLine="459"/>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计划完成设计日期：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日。</w:t>
      </w:r>
    </w:p>
    <w:p w14:paraId="2371FB62">
      <w:pPr>
        <w:keepNext w:val="0"/>
        <w:keepLines w:val="0"/>
        <w:pageBreakBefore w:val="0"/>
        <w:widowControl w:val="0"/>
        <w:kinsoku/>
        <w:wordWrap/>
        <w:overflowPunct/>
        <w:topLinePunct w:val="0"/>
        <w:bidi w:val="0"/>
        <w:snapToGrid/>
        <w:spacing w:line="440" w:lineRule="exact"/>
        <w:ind w:firstLine="413" w:firstLineChars="196"/>
        <w:textAlignment w:val="auto"/>
        <w:rPr>
          <w:rFonts w:hint="eastAsia" w:ascii="宋体" w:hAnsi="宋体" w:eastAsia="宋体" w:cs="宋体"/>
          <w:b/>
          <w:bCs w:val="0"/>
          <w:color w:val="auto"/>
          <w:sz w:val="21"/>
          <w:szCs w:val="21"/>
          <w:highlight w:val="none"/>
          <w:lang w:eastAsia="zh-CN"/>
        </w:rPr>
      </w:pPr>
      <w:r>
        <w:rPr>
          <w:rFonts w:hint="eastAsia" w:ascii="宋体" w:hAnsi="宋体" w:eastAsia="宋体" w:cs="宋体"/>
          <w:b/>
          <w:bCs w:val="0"/>
          <w:color w:val="auto"/>
          <w:sz w:val="21"/>
          <w:szCs w:val="21"/>
          <w:highlight w:val="none"/>
        </w:rPr>
        <w:t>自合同签订之日起</w:t>
      </w:r>
      <w:r>
        <w:rPr>
          <w:rFonts w:hint="eastAsia" w:ascii="宋体" w:hAnsi="宋体" w:eastAsia="宋体" w:cs="宋体"/>
          <w:b/>
          <w:bCs w:val="0"/>
          <w:color w:val="auto"/>
          <w:sz w:val="21"/>
          <w:szCs w:val="21"/>
          <w:highlight w:val="none"/>
          <w:lang w:eastAsia="zh-CN"/>
        </w:rPr>
        <w:t>15个工作日内</w:t>
      </w:r>
      <w:r>
        <w:rPr>
          <w:rFonts w:hint="eastAsia" w:ascii="宋体" w:hAnsi="宋体" w:eastAsia="宋体" w:cs="宋体"/>
          <w:b/>
          <w:bCs w:val="0"/>
          <w:color w:val="auto"/>
          <w:sz w:val="21"/>
          <w:szCs w:val="21"/>
          <w:highlight w:val="none"/>
        </w:rPr>
        <w:t>提供设计成果文件</w:t>
      </w:r>
      <w:r>
        <w:rPr>
          <w:rFonts w:hint="eastAsia" w:ascii="宋体" w:hAnsi="宋体" w:eastAsia="宋体" w:cs="宋体"/>
          <w:b/>
          <w:bCs w:val="0"/>
          <w:color w:val="auto"/>
          <w:sz w:val="21"/>
          <w:szCs w:val="21"/>
          <w:highlight w:val="none"/>
          <w:lang w:eastAsia="zh-CN"/>
        </w:rPr>
        <w:t>。</w:t>
      </w:r>
    </w:p>
    <w:p w14:paraId="36017E3D">
      <w:pPr>
        <w:keepNext w:val="0"/>
        <w:keepLines w:val="0"/>
        <w:pageBreakBefore w:val="0"/>
        <w:widowControl w:val="0"/>
        <w:kinsoku/>
        <w:wordWrap/>
        <w:overflowPunct/>
        <w:topLinePunct w:val="0"/>
        <w:autoSpaceDE w:val="0"/>
        <w:autoSpaceDN w:val="0"/>
        <w:bidi w:val="0"/>
        <w:adjustRightInd w:val="0"/>
        <w:snapToGrid/>
        <w:spacing w:line="440" w:lineRule="exact"/>
        <w:ind w:firstLine="422" w:firstLineChars="200"/>
        <w:jc w:val="left"/>
        <w:textAlignment w:val="auto"/>
        <w:rPr>
          <w:rFonts w:hint="eastAsia" w:ascii="宋体" w:hAnsi="宋体" w:eastAsia="宋体" w:cs="宋体"/>
          <w:b/>
          <w:bCs w:val="0"/>
          <w:color w:val="auto"/>
          <w:kern w:val="2"/>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四、合同价格形式与签约合同价</w:t>
      </w:r>
      <w:r>
        <w:rPr>
          <w:rFonts w:hint="eastAsia" w:ascii="宋体" w:hAnsi="宋体" w:eastAsia="宋体" w:cs="宋体"/>
          <w:b/>
          <w:bCs w:val="0"/>
          <w:color w:val="auto"/>
          <w:kern w:val="2"/>
          <w:sz w:val="21"/>
          <w:szCs w:val="21"/>
          <w:highlight w:val="none"/>
          <w:lang w:val="en-US" w:eastAsia="zh-CN" w:bidi="ar-SA"/>
        </w:rPr>
        <w:tab/>
      </w:r>
    </w:p>
    <w:p w14:paraId="03C9BCBE">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1.合同价格形式：</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总价合同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B82C462">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2.签约合同价为：</w:t>
      </w:r>
    </w:p>
    <w:p w14:paraId="582ED13F">
      <w:pPr>
        <w:keepNext w:val="0"/>
        <w:keepLines w:val="0"/>
        <w:pageBreakBefore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人民币（大写）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元）（含税价）。</w:t>
      </w:r>
    </w:p>
    <w:p w14:paraId="6F6BC6FB">
      <w:pPr>
        <w:pStyle w:val="5"/>
        <w:keepNext w:val="0"/>
        <w:keepLines w:val="0"/>
        <w:pageBreakBefore w:val="0"/>
        <w:widowControl w:val="0"/>
        <w:tabs>
          <w:tab w:val="left" w:pos="5583"/>
        </w:tabs>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五、发包人代表与设计人项目负责人</w:t>
      </w:r>
      <w:r>
        <w:rPr>
          <w:rFonts w:hint="eastAsia" w:ascii="宋体" w:hAnsi="宋体" w:eastAsia="宋体" w:cs="宋体"/>
          <w:bCs w:val="0"/>
          <w:color w:val="auto"/>
          <w:sz w:val="21"/>
          <w:szCs w:val="21"/>
          <w:highlight w:val="none"/>
        </w:rPr>
        <w:tab/>
      </w:r>
    </w:p>
    <w:p w14:paraId="17FEBFBD">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B0563A5">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设计人项目负责人：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687C5BA">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六、合同文件构成</w:t>
      </w:r>
    </w:p>
    <w:p w14:paraId="7601FAE2">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本协议书与下列文件一起构成合同文件：</w:t>
      </w:r>
    </w:p>
    <w:p w14:paraId="6F565488">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（1）专用合同条款及其附件； </w:t>
      </w:r>
    </w:p>
    <w:p w14:paraId="69B2F618">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（2）通用合同条款； </w:t>
      </w:r>
    </w:p>
    <w:p w14:paraId="2790AB9D">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（3）中标通知书（如果有）；</w:t>
      </w:r>
    </w:p>
    <w:p w14:paraId="4248C88A">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（4）投标函及其附录（如果有）；</w:t>
      </w:r>
    </w:p>
    <w:p w14:paraId="3DD8624A">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（5）发包人要求；</w:t>
      </w:r>
    </w:p>
    <w:p w14:paraId="3CA8B6C1">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（6）技术标准；</w:t>
      </w:r>
    </w:p>
    <w:p w14:paraId="37995FA0">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（7）发包人提供的上一阶段图纸（如果有）；</w:t>
      </w:r>
    </w:p>
    <w:p w14:paraId="2BE35981">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（8）其他合同文件。</w:t>
      </w:r>
    </w:p>
    <w:p w14:paraId="38E9E0ED">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在合同履行过程中形成的与合同有关的文件均构成合同文件组成部分。</w:t>
      </w:r>
    </w:p>
    <w:p w14:paraId="64BC7BC0">
      <w:pPr>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上述各项合同文件包括合同当事人就该项合同文件所作出的补充和修改，属于同一类内容的文件，应以最新签署的为准。</w:t>
      </w:r>
    </w:p>
    <w:p w14:paraId="07EA15F4">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七、承诺</w:t>
      </w:r>
    </w:p>
    <w:p w14:paraId="7CEAED10">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1.发包人承诺按照法律规定履行项目审批手续，按照合同约定提供设计依据，并按合同约定的期限和方式支付合同价款。</w:t>
      </w:r>
    </w:p>
    <w:p w14:paraId="0C086D76">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2.设计人承诺按照法律和技术标准规定及合同约定提供工程设计服务。</w:t>
      </w:r>
    </w:p>
    <w:p w14:paraId="414C2DEA">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八、词语含义</w:t>
      </w:r>
    </w:p>
    <w:p w14:paraId="2F21A205">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本协议书中词语含义与第二部分通用合同条款中赋予的含义相同。</w:t>
      </w:r>
    </w:p>
    <w:p w14:paraId="221512E7">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九、签订地点</w:t>
      </w:r>
    </w:p>
    <w:p w14:paraId="581A04D3">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本合同在签订。</w:t>
      </w:r>
    </w:p>
    <w:p w14:paraId="6618602D">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十、补充协议</w:t>
      </w:r>
    </w:p>
    <w:p w14:paraId="4FCC357D">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合同未尽事宜，合同当事人另行签订补充协议，补充协议是合同的组成部分。</w:t>
      </w:r>
    </w:p>
    <w:p w14:paraId="1193C254">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十一、合同生效</w:t>
      </w:r>
    </w:p>
    <w:p w14:paraId="451940E9">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本合同自生效。</w:t>
      </w:r>
    </w:p>
    <w:p w14:paraId="1B9FEB78">
      <w:pPr>
        <w:pStyle w:val="5"/>
        <w:keepNext w:val="0"/>
        <w:keepLines w:val="0"/>
        <w:pageBreakBefore w:val="0"/>
        <w:widowControl w:val="0"/>
        <w:kinsoku/>
        <w:wordWrap/>
        <w:overflowPunct/>
        <w:topLinePunct w:val="0"/>
        <w:bidi w:val="0"/>
        <w:snapToGrid/>
        <w:spacing w:before="0" w:after="0" w:line="440" w:lineRule="exact"/>
        <w:ind w:left="0" w:firstLine="0"/>
        <w:textAlignment w:val="auto"/>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 xml:space="preserve">    十二、合同份数</w:t>
      </w:r>
    </w:p>
    <w:p w14:paraId="2E500BAC">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本合同正本一式贰份、副本一式陆份，均具有同等法律效力，发包人执正本壹份、副本肆份，设计人执正本壹份、副本贰份。</w:t>
      </w:r>
    </w:p>
    <w:p w14:paraId="3571C963">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p>
    <w:p w14:paraId="0FE25A54">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发包人：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（盖章）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设计人：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（盖章）</w:t>
      </w:r>
    </w:p>
    <w:p w14:paraId="71C6987E">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              法定代表人或其委托代理人：</w:t>
      </w:r>
    </w:p>
    <w:p w14:paraId="056FECD1">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                               （签字）</w:t>
      </w:r>
    </w:p>
    <w:p w14:paraId="56D8441C">
      <w:pPr>
        <w:keepNext w:val="0"/>
        <w:keepLines w:val="0"/>
        <w:pageBreakBefore w:val="0"/>
        <w:widowControl w:val="0"/>
        <w:tabs>
          <w:tab w:val="left" w:pos="4410"/>
        </w:tabs>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组织机构代码：</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组织机构代码：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3303C707">
      <w:pPr>
        <w:keepNext w:val="0"/>
        <w:keepLines w:val="0"/>
        <w:pageBreakBefore w:val="0"/>
        <w:widowControl w:val="0"/>
        <w:tabs>
          <w:tab w:val="left" w:pos="4410"/>
        </w:tabs>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纳税人识别码：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纳税人识别码：</w:t>
      </w:r>
      <w:r>
        <w:rPr>
          <w:rFonts w:hint="eastAsia" w:ascii="宋体" w:hAnsi="宋体" w:eastAsia="宋体" w:cs="宋体"/>
          <w:color w:val="auto"/>
          <w:sz w:val="21"/>
          <w:szCs w:val="21"/>
          <w:highlight w:val="none"/>
          <w:lang w:val="en-US" w:eastAsia="zh-CN"/>
        </w:rPr>
        <w:t xml:space="preserve"> </w:t>
      </w:r>
    </w:p>
    <w:p w14:paraId="56CBA815">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地  址：</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327EA97D">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法定代表人：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5A20165C">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委托代理人：</w:t>
      </w:r>
      <w:r>
        <w:rPr>
          <w:rFonts w:hint="eastAsia" w:ascii="宋体" w:hAnsi="宋体" w:eastAsia="宋体" w:cs="宋体"/>
          <w:color w:val="auto"/>
          <w:sz w:val="21"/>
          <w:szCs w:val="21"/>
          <w:highlight w:val="none"/>
          <w:u w:val="single"/>
        </w:rPr>
        <w:t xml:space="preserve">             </w:t>
      </w:r>
    </w:p>
    <w:p w14:paraId="062DFFD7">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  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5FB427E6">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传  真：</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363BA68F">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电子信箱：</w:t>
      </w:r>
      <w:r>
        <w:rPr>
          <w:rFonts w:hint="eastAsia" w:ascii="宋体" w:hAnsi="宋体" w:eastAsia="宋体" w:cs="宋体"/>
          <w:color w:val="auto"/>
          <w:sz w:val="21"/>
          <w:szCs w:val="21"/>
          <w:highlight w:val="none"/>
          <w:u w:val="single"/>
        </w:rPr>
        <w:t xml:space="preserve">   </w:t>
      </w:r>
    </w:p>
    <w:p w14:paraId="3F8FBB66">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F4A6FDC">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1"/>
          <w:szCs w:val="21"/>
          <w:highlight w:val="none"/>
          <w:u w:val="single"/>
          <w:lang w:eastAsia="zh-CN"/>
        </w:rPr>
      </w:pPr>
      <w:r>
        <w:rPr>
          <w:rFonts w:hint="eastAsia" w:ascii="宋体" w:hAnsi="宋体" w:eastAsia="宋体" w:cs="宋体"/>
          <w:color w:val="auto"/>
          <w:sz w:val="21"/>
          <w:szCs w:val="21"/>
          <w:highlight w:val="none"/>
        </w:rPr>
        <w:t>账  号：</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账  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p>
    <w:p w14:paraId="53BF10E6">
      <w:pPr>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时  间：202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月 日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时  间：</w:t>
      </w:r>
      <w:r>
        <w:rPr>
          <w:rFonts w:hint="eastAsia" w:ascii="宋体" w:hAnsi="宋体" w:eastAsia="宋体" w:cs="宋体"/>
          <w:color w:val="auto"/>
          <w:sz w:val="21"/>
          <w:szCs w:val="21"/>
          <w:highlight w:val="none"/>
          <w:lang w:val="en-US" w:eastAsia="zh-CN"/>
        </w:rPr>
        <w:t>2026</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 日</w:t>
      </w:r>
      <w:bookmarkStart w:id="78" w:name="_Toc11672149"/>
      <w:bookmarkStart w:id="79" w:name="_Toc351203494"/>
    </w:p>
    <w:p w14:paraId="5F79E498">
      <w:pPr>
        <w:pStyle w:val="25"/>
        <w:ind w:firstLine="560"/>
        <w:rPr>
          <w:color w:val="auto"/>
          <w:highlight w:val="none"/>
        </w:rPr>
        <w:sectPr>
          <w:headerReference r:id="rId6" w:type="first"/>
          <w:footerReference r:id="rId9" w:type="first"/>
          <w:headerReference r:id="rId5" w:type="default"/>
          <w:footerReference r:id="rId7" w:type="default"/>
          <w:footerReference r:id="rId8" w:type="even"/>
          <w:pgSz w:w="11906" w:h="16838"/>
          <w:pgMar w:top="1247" w:right="1247" w:bottom="1247" w:left="1247" w:header="680" w:footer="680" w:gutter="0"/>
          <w:pgNumType w:fmt="decimal" w:start="1"/>
          <w:cols w:space="720" w:num="1"/>
          <w:titlePg/>
          <w:rtlGutter w:val="0"/>
          <w:docGrid w:type="lines" w:linePitch="312" w:charSpace="0"/>
        </w:sectPr>
      </w:pPr>
    </w:p>
    <w:p w14:paraId="028FE8C7">
      <w:pPr>
        <w:pStyle w:val="4"/>
        <w:spacing w:beforeLines="50" w:afterLines="50" w:line="440" w:lineRule="exact"/>
        <w:ind w:left="-199" w:leftChars="-95" w:right="-313" w:rightChars="-149" w:firstLine="199" w:firstLineChars="66"/>
        <w:jc w:val="center"/>
        <w:rPr>
          <w:rFonts w:ascii="宋体" w:hAnsi="宋体" w:cs="宋体"/>
          <w:color w:val="auto"/>
          <w:sz w:val="30"/>
          <w:szCs w:val="30"/>
          <w:highlight w:val="none"/>
        </w:rPr>
      </w:pPr>
      <w:r>
        <w:rPr>
          <w:rFonts w:hint="eastAsia" w:ascii="宋体" w:hAnsi="宋体" w:cs="宋体"/>
          <w:color w:val="auto"/>
          <w:sz w:val="30"/>
          <w:szCs w:val="30"/>
          <w:highlight w:val="none"/>
        </w:rPr>
        <w:t>第二部分 通用合同条款</w:t>
      </w:r>
      <w:bookmarkEnd w:id="78"/>
    </w:p>
    <w:bookmarkEnd w:id="79"/>
    <w:p w14:paraId="6C78CF79">
      <w:pPr>
        <w:pStyle w:val="11"/>
        <w:keepNext w:val="0"/>
        <w:keepLines w:val="0"/>
        <w:pageBreakBefore w:val="0"/>
        <w:widowControl w:val="0"/>
        <w:kinsoku/>
        <w:wordWrap/>
        <w:overflowPunct/>
        <w:topLinePunct w:val="0"/>
        <w:autoSpaceDE/>
        <w:autoSpaceDN/>
        <w:bidi w:val="0"/>
        <w:adjustRightInd/>
        <w:snapToGrid w:val="0"/>
        <w:spacing w:after="0" w:line="440" w:lineRule="exact"/>
        <w:ind w:left="-199" w:leftChars="-95" w:right="-313" w:rightChars="-149" w:firstLine="138" w:firstLineChars="66"/>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见《建设工程设计合同示范文本（房屋建筑工程）》（GF-2015-02</w:t>
      </w:r>
      <w:r>
        <w:rPr>
          <w:rFonts w:hint="eastAsia" w:ascii="宋体" w:hAnsi="宋体" w:eastAsia="宋体" w:cs="宋体"/>
          <w:color w:val="auto"/>
          <w:sz w:val="21"/>
          <w:szCs w:val="21"/>
          <w:highlight w:val="none"/>
          <w:lang w:val="en-US" w:eastAsia="zh-CN"/>
        </w:rPr>
        <w:t>09</w:t>
      </w:r>
      <w:r>
        <w:rPr>
          <w:rFonts w:hint="eastAsia" w:ascii="宋体" w:hAnsi="宋体" w:eastAsia="宋体" w:cs="宋体"/>
          <w:color w:val="auto"/>
          <w:sz w:val="21"/>
          <w:szCs w:val="21"/>
          <w:highlight w:val="none"/>
        </w:rPr>
        <w:t>）通用条款</w:t>
      </w:r>
      <w:r>
        <w:rPr>
          <w:rFonts w:hint="eastAsia" w:ascii="宋体" w:hAnsi="宋体" w:eastAsia="宋体" w:cs="宋体"/>
          <w:color w:val="auto"/>
          <w:sz w:val="21"/>
          <w:szCs w:val="21"/>
          <w:highlight w:val="none"/>
          <w:lang w:eastAsia="zh-CN"/>
        </w:rPr>
        <w:t>。</w:t>
      </w:r>
    </w:p>
    <w:p w14:paraId="4A2BE0BB">
      <w:pPr>
        <w:pStyle w:val="4"/>
        <w:spacing w:beforeLines="50" w:afterLines="50" w:line="440" w:lineRule="exact"/>
        <w:ind w:left="-199" w:leftChars="-95" w:right="-313" w:rightChars="-149" w:firstLine="199" w:firstLineChars="66"/>
        <w:jc w:val="center"/>
        <w:rPr>
          <w:rFonts w:ascii="宋体" w:hAnsi="宋体" w:cs="宋体"/>
          <w:color w:val="auto"/>
          <w:sz w:val="30"/>
          <w:szCs w:val="30"/>
          <w:highlight w:val="none"/>
        </w:rPr>
      </w:pPr>
      <w:r>
        <w:rPr>
          <w:rFonts w:hint="eastAsia" w:ascii="宋体" w:hAnsi="宋体" w:cs="宋体"/>
          <w:color w:val="auto"/>
          <w:sz w:val="30"/>
          <w:szCs w:val="30"/>
          <w:highlight w:val="none"/>
        </w:rPr>
        <w:t>第三部分 专用合同条款</w:t>
      </w:r>
    </w:p>
    <w:p w14:paraId="0454E850">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 一般约定</w:t>
      </w:r>
    </w:p>
    <w:p w14:paraId="1292160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词语定义与解释</w:t>
      </w:r>
    </w:p>
    <w:p w14:paraId="034A0AC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1.1.1合同</w:t>
      </w:r>
    </w:p>
    <w:p w14:paraId="06EEE05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1.1.1.8 其他合同文件包括：</w:t>
      </w:r>
      <w:r>
        <w:rPr>
          <w:rFonts w:hint="eastAsia" w:ascii="宋体" w:hAnsi="宋体" w:eastAsia="宋体" w:cs="宋体"/>
          <w:color w:val="auto"/>
          <w:sz w:val="21"/>
          <w:szCs w:val="21"/>
          <w:highlight w:val="none"/>
          <w:u w:val="single"/>
        </w:rPr>
        <w:t xml:space="preserve">招标文件及其附件、投标文件及其附件、专用条款的补充条款、 双方洽商的变更协议或补充协议等双方来往函件  </w:t>
      </w:r>
      <w:r>
        <w:rPr>
          <w:rFonts w:hint="eastAsia" w:ascii="宋体" w:hAnsi="宋体" w:eastAsia="宋体" w:cs="宋体"/>
          <w:color w:val="auto"/>
          <w:sz w:val="21"/>
          <w:szCs w:val="21"/>
          <w:highlight w:val="none"/>
        </w:rPr>
        <w:t>。</w:t>
      </w:r>
    </w:p>
    <w:p w14:paraId="083C5A8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1.3 法律 </w:t>
      </w:r>
    </w:p>
    <w:p w14:paraId="4D7E7BA6">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适用于合同的其他规范性文件：</w:t>
      </w:r>
      <w:r>
        <w:rPr>
          <w:rFonts w:hint="eastAsia" w:ascii="宋体" w:hAnsi="宋体" w:eastAsia="宋体" w:cs="宋体"/>
          <w:color w:val="auto"/>
          <w:sz w:val="21"/>
          <w:szCs w:val="21"/>
          <w:highlight w:val="none"/>
          <w:u w:val="single"/>
        </w:rPr>
        <w:t xml:space="preserve">国家及地方有关建设工程勘察设计管理法规和规章  </w:t>
      </w:r>
      <w:r>
        <w:rPr>
          <w:rFonts w:hint="eastAsia" w:ascii="宋体" w:hAnsi="宋体" w:eastAsia="宋体" w:cs="宋体"/>
          <w:color w:val="auto"/>
          <w:sz w:val="21"/>
          <w:szCs w:val="21"/>
          <w:highlight w:val="none"/>
        </w:rPr>
        <w:t>。</w:t>
      </w:r>
    </w:p>
    <w:p w14:paraId="666900A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技术标准</w:t>
      </w:r>
    </w:p>
    <w:p w14:paraId="5D1B9AB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1.4.1适用于工程的技术标准包括：</w:t>
      </w:r>
      <w:r>
        <w:rPr>
          <w:rFonts w:hint="eastAsia" w:ascii="宋体" w:hAnsi="宋体" w:eastAsia="宋体" w:cs="宋体"/>
          <w:color w:val="auto"/>
          <w:sz w:val="21"/>
          <w:szCs w:val="21"/>
          <w:highlight w:val="none"/>
          <w:u w:val="single"/>
        </w:rPr>
        <w:t xml:space="preserve">     国家及行业现行有关规范和标准           </w:t>
      </w:r>
      <w:r>
        <w:rPr>
          <w:rFonts w:hint="eastAsia" w:ascii="宋体" w:hAnsi="宋体" w:eastAsia="宋体" w:cs="宋体"/>
          <w:color w:val="auto"/>
          <w:sz w:val="21"/>
          <w:szCs w:val="21"/>
          <w:highlight w:val="none"/>
        </w:rPr>
        <w:t>。</w:t>
      </w:r>
    </w:p>
    <w:p w14:paraId="75684F4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1.4.2 国外技术标准原文版本和中文译本的提供方：</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sz w:val="21"/>
          <w:szCs w:val="21"/>
          <w:highlight w:val="none"/>
        </w:rPr>
        <w:t>；</w:t>
      </w:r>
    </w:p>
    <w:p w14:paraId="1D4AB87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kern w:val="0"/>
          <w:sz w:val="21"/>
          <w:szCs w:val="21"/>
          <w:highlight w:val="none"/>
        </w:rPr>
        <w:t>提供国外技术标准的名称：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 xml:space="preserve">； </w:t>
      </w:r>
    </w:p>
    <w:p w14:paraId="65222C8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提供国外技术标准的份数：</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0D87090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提供国外技术标准的时间：</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1C76A6E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提供国外技术标准的费用承担：</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w:t>
      </w:r>
    </w:p>
    <w:p w14:paraId="30A3313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 发包人对工程的技术标准和功能要求的特殊要求：</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sz w:val="21"/>
          <w:szCs w:val="21"/>
          <w:highlight w:val="none"/>
        </w:rPr>
        <w:t xml:space="preserve">。                        </w:t>
      </w:r>
    </w:p>
    <w:p w14:paraId="604C020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合同文件的优先顺序</w:t>
      </w:r>
    </w:p>
    <w:p w14:paraId="53810D5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合同文件组成及优先顺序为：</w:t>
      </w:r>
      <w:r>
        <w:rPr>
          <w:rFonts w:hint="eastAsia" w:ascii="宋体" w:hAnsi="宋体" w:eastAsia="宋体" w:cs="宋体"/>
          <w:color w:val="auto"/>
          <w:sz w:val="21"/>
          <w:szCs w:val="21"/>
          <w:highlight w:val="none"/>
          <w:u w:val="single"/>
        </w:rPr>
        <w:t>（1）合同协议书；（2）专用合同条款及其附件；（3）通用合同条款；（4）中标通知书（如果有）；（5）投标函及其附录（如果有）；（6）发包人要求；（7）技术标准；（8）发包人提供的上一阶段图纸（如果有）；（9）其他合同文件。</w:t>
      </w:r>
    </w:p>
    <w:p w14:paraId="040275F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上述各项合同文件包括合同当事人就该项合同文件所作出的补充和修改，属于同一类内容的文件，应以最新签署的为准。</w:t>
      </w:r>
    </w:p>
    <w:p w14:paraId="454B043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single"/>
        </w:rPr>
        <w:t>在合同履行过程中形成的与合同有关的文件均构成合同文件组成部分，并根据其性质确定优先解释顺序。</w:t>
      </w:r>
    </w:p>
    <w:p w14:paraId="7C0BE96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 联络</w:t>
      </w:r>
    </w:p>
    <w:p w14:paraId="62EB854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1.6.1 发包人和设计人应当在</w:t>
      </w:r>
      <w:r>
        <w:rPr>
          <w:rFonts w:hint="eastAsia" w:ascii="宋体" w:hAnsi="宋体" w:eastAsia="宋体" w:cs="宋体"/>
          <w:color w:val="auto"/>
          <w:kern w:val="0"/>
          <w:sz w:val="21"/>
          <w:szCs w:val="21"/>
          <w:highlight w:val="none"/>
          <w:u w:val="single"/>
        </w:rPr>
        <w:t>自合同签订之日起</w:t>
      </w:r>
      <w:r>
        <w:rPr>
          <w:rFonts w:hint="eastAsia" w:ascii="宋体" w:hAnsi="宋体" w:eastAsia="宋体" w:cs="宋体"/>
          <w:color w:val="auto"/>
          <w:sz w:val="21"/>
          <w:szCs w:val="21"/>
          <w:highlight w:val="none"/>
          <w:u w:val="single"/>
        </w:rPr>
        <w:t>3</w:t>
      </w:r>
      <w:r>
        <w:rPr>
          <w:rFonts w:hint="eastAsia" w:ascii="宋体" w:hAnsi="宋体" w:eastAsia="宋体" w:cs="宋体"/>
          <w:color w:val="auto"/>
          <w:kern w:val="0"/>
          <w:sz w:val="21"/>
          <w:szCs w:val="21"/>
          <w:highlight w:val="none"/>
        </w:rPr>
        <w:t>天内将与合同有关的通知、批准、证明、证书、指示、指令、要求、请求、同意、确定和决定等书面函件送达对方当事人。</w:t>
      </w:r>
    </w:p>
    <w:p w14:paraId="7227389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1.6.2 发包人和设计人联系信息</w:t>
      </w:r>
    </w:p>
    <w:p w14:paraId="3E78FCB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发包人接收文件的地点：；</w:t>
      </w:r>
    </w:p>
    <w:p w14:paraId="559CD37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发包人指定的接收人为：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79E6F7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发包人指定的联系电话及传真号码：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00EFDD9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发包人指定的电子邮箱：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3E8A2A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设计人接收文件的地点：</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rPr>
        <w:t>；</w:t>
      </w:r>
    </w:p>
    <w:p w14:paraId="23C815C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设计人指定的接收人为：</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C21E68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设计人指定的联系电话及传真号码：</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7A15255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设计人</w:t>
      </w:r>
      <w:r>
        <w:rPr>
          <w:rFonts w:hint="eastAsia" w:ascii="宋体" w:hAnsi="宋体" w:eastAsia="宋体" w:cs="宋体"/>
          <w:color w:val="auto"/>
          <w:kern w:val="0"/>
          <w:sz w:val="21"/>
          <w:szCs w:val="21"/>
          <w:highlight w:val="none"/>
        </w:rPr>
        <w:t>指定的电子邮箱：</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326E415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 保密</w:t>
      </w:r>
    </w:p>
    <w:p w14:paraId="6C3B4D2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保密期限：</w:t>
      </w:r>
      <w:r>
        <w:rPr>
          <w:rFonts w:hint="eastAsia" w:ascii="宋体" w:hAnsi="宋体" w:eastAsia="宋体" w:cs="宋体"/>
          <w:color w:val="auto"/>
          <w:kern w:val="0"/>
          <w:sz w:val="21"/>
          <w:szCs w:val="21"/>
          <w:highlight w:val="none"/>
          <w:u w:val="single"/>
        </w:rPr>
        <w:t>未经发包人同意，设计人无论何时均不得将发包人提供的图纸、文件等资料信息泄露给第三方</w:t>
      </w:r>
      <w:r>
        <w:rPr>
          <w:rFonts w:hint="eastAsia" w:ascii="宋体" w:hAnsi="宋体" w:eastAsia="宋体" w:cs="宋体"/>
          <w:color w:val="auto"/>
          <w:kern w:val="0"/>
          <w:sz w:val="21"/>
          <w:szCs w:val="21"/>
          <w:highlight w:val="none"/>
        </w:rPr>
        <w:t>。</w:t>
      </w:r>
    </w:p>
    <w:p w14:paraId="3F331C4C">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 发包人</w:t>
      </w:r>
    </w:p>
    <w:p w14:paraId="591B6C4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发包人一般义务</w:t>
      </w:r>
    </w:p>
    <w:p w14:paraId="5A59CFB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 发包人其它义务：</w:t>
      </w:r>
      <w:r>
        <w:rPr>
          <w:rFonts w:hint="eastAsia" w:ascii="宋体" w:hAnsi="宋体" w:eastAsia="宋体" w:cs="宋体"/>
          <w:color w:val="auto"/>
          <w:sz w:val="21"/>
          <w:szCs w:val="21"/>
          <w:highlight w:val="none"/>
          <w:u w:val="single"/>
        </w:rPr>
        <w:t xml:space="preserve">发包人应向设计人提供项目设计所需的基础资料  </w:t>
      </w:r>
      <w:r>
        <w:rPr>
          <w:rFonts w:hint="eastAsia" w:ascii="宋体" w:hAnsi="宋体" w:eastAsia="宋体" w:cs="宋体"/>
          <w:color w:val="auto"/>
          <w:sz w:val="21"/>
          <w:szCs w:val="21"/>
          <w:highlight w:val="none"/>
        </w:rPr>
        <w:t>。</w:t>
      </w:r>
    </w:p>
    <w:p w14:paraId="28300EA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发包人代表</w:t>
      </w:r>
    </w:p>
    <w:p w14:paraId="1FC7B2CB">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发包人代表</w:t>
      </w:r>
    </w:p>
    <w:p w14:paraId="707B2CB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006454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w:t>
      </w:r>
      <w:r>
        <w:rPr>
          <w:rFonts w:hint="eastAsia" w:ascii="宋体" w:hAnsi="宋体" w:eastAsia="宋体" w:cs="宋体"/>
          <w:color w:val="auto"/>
          <w:sz w:val="21"/>
          <w:szCs w:val="21"/>
          <w:highlight w:val="none"/>
          <w:u w:val="single"/>
        </w:rPr>
        <w:t xml:space="preserve">                </w:t>
      </w:r>
      <w:r>
        <w:rPr>
          <w:rFonts w:hint="eastAsia" w:ascii="宋体" w:hAnsi="宋体" w:eastAsia="宋体" w:cs="宋体"/>
          <w:color w:val="auto"/>
          <w:sz w:val="21"/>
          <w:szCs w:val="21"/>
          <w:highlight w:val="none"/>
        </w:rPr>
        <w:t>；</w:t>
      </w:r>
    </w:p>
    <w:p w14:paraId="6470526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401DAFA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0538D59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 xml:space="preserve">               </w:t>
      </w:r>
      <w:r>
        <w:rPr>
          <w:rFonts w:hint="eastAsia" w:ascii="宋体" w:hAnsi="宋体" w:eastAsia="宋体" w:cs="宋体"/>
          <w:color w:val="auto"/>
          <w:sz w:val="21"/>
          <w:szCs w:val="21"/>
          <w:highlight w:val="none"/>
        </w:rPr>
        <w:t>；</w:t>
      </w:r>
    </w:p>
    <w:p w14:paraId="7428849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 xml:space="preserve">              </w:t>
      </w:r>
      <w:r>
        <w:rPr>
          <w:rFonts w:hint="eastAsia" w:ascii="宋体" w:hAnsi="宋体" w:eastAsia="宋体" w:cs="宋体"/>
          <w:color w:val="auto"/>
          <w:sz w:val="21"/>
          <w:szCs w:val="21"/>
          <w:highlight w:val="none"/>
        </w:rPr>
        <w:t>。</w:t>
      </w:r>
    </w:p>
    <w:p w14:paraId="41F526D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发包人对发包人代表的授权范围如下：</w:t>
      </w:r>
      <w:r>
        <w:rPr>
          <w:rFonts w:hint="eastAsia" w:ascii="宋体" w:hAnsi="宋体" w:eastAsia="宋体" w:cs="宋体"/>
          <w:color w:val="auto"/>
          <w:sz w:val="21"/>
          <w:szCs w:val="21"/>
          <w:highlight w:val="none"/>
          <w:u w:val="single"/>
        </w:rPr>
        <w:t xml:space="preserve">代表发包人对本项目设计过程中的设计进度及相关协调工作等进行监督和检查。但涉及工程设计费用变更的确认需发包人盖章方为有效  </w:t>
      </w:r>
      <w:r>
        <w:rPr>
          <w:rFonts w:hint="eastAsia" w:ascii="宋体" w:hAnsi="宋体" w:eastAsia="宋体" w:cs="宋体"/>
          <w:color w:val="auto"/>
          <w:sz w:val="21"/>
          <w:szCs w:val="21"/>
          <w:highlight w:val="none"/>
        </w:rPr>
        <w:t>。</w:t>
      </w:r>
    </w:p>
    <w:p w14:paraId="7C5C302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发包人更换发包人代表的，应当提前</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sz w:val="21"/>
          <w:szCs w:val="21"/>
          <w:highlight w:val="none"/>
        </w:rPr>
        <w:t>天书面通知设计人。</w:t>
      </w:r>
    </w:p>
    <w:p w14:paraId="03C59CB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发包人决定</w:t>
      </w:r>
    </w:p>
    <w:p w14:paraId="70F1F73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2.3.2 发包人应在收到书面材料后</w:t>
      </w:r>
      <w:r>
        <w:rPr>
          <w:rFonts w:hint="eastAsia" w:ascii="宋体" w:hAnsi="宋体" w:eastAsia="宋体" w:cs="宋体"/>
          <w:color w:val="auto"/>
          <w:sz w:val="21"/>
          <w:szCs w:val="21"/>
          <w:highlight w:val="none"/>
          <w:u w:val="single"/>
        </w:rPr>
        <w:t>7</w:t>
      </w:r>
      <w:r>
        <w:rPr>
          <w:rFonts w:hint="eastAsia" w:ascii="宋体" w:hAnsi="宋体" w:eastAsia="宋体" w:cs="宋体"/>
          <w:color w:val="auto"/>
          <w:sz w:val="21"/>
          <w:szCs w:val="21"/>
          <w:highlight w:val="none"/>
        </w:rPr>
        <w:t>天内对设计人书面提出的事项作出书面决定。</w:t>
      </w:r>
    </w:p>
    <w:p w14:paraId="37F7E6DC">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 设计人</w:t>
      </w:r>
    </w:p>
    <w:p w14:paraId="0F2BAF3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设计人一般义务</w:t>
      </w:r>
    </w:p>
    <w:p w14:paraId="1B3CD58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 设计人</w:t>
      </w:r>
      <w:r>
        <w:rPr>
          <w:rFonts w:hint="eastAsia" w:ascii="宋体" w:hAnsi="宋体" w:eastAsia="宋体" w:cs="宋体"/>
          <w:color w:val="auto"/>
          <w:sz w:val="21"/>
          <w:szCs w:val="21"/>
          <w:highlight w:val="none"/>
          <w:u w:val="single"/>
        </w:rPr>
        <w:t xml:space="preserve"> 需 </w:t>
      </w:r>
      <w:r>
        <w:rPr>
          <w:rFonts w:hint="eastAsia" w:ascii="宋体" w:hAnsi="宋体" w:eastAsia="宋体" w:cs="宋体"/>
          <w:color w:val="auto"/>
          <w:kern w:val="0"/>
          <w:sz w:val="21"/>
          <w:szCs w:val="21"/>
          <w:highlight w:val="none"/>
        </w:rPr>
        <w:t>配合发包人办理有关许可、批准或备案手续。</w:t>
      </w:r>
    </w:p>
    <w:p w14:paraId="15BB375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 设计人其他义务：</w:t>
      </w:r>
      <w:r>
        <w:rPr>
          <w:rFonts w:hint="eastAsia" w:ascii="宋体" w:hAnsi="宋体" w:eastAsia="宋体" w:cs="宋体"/>
          <w:color w:val="auto"/>
          <w:szCs w:val="21"/>
          <w:highlight w:val="none"/>
          <w:u w:val="single"/>
        </w:rPr>
        <w:t>设计人负责本项目各阶段设计文件向有关管理部门的送审报批工作，并负责将报批结果书面通知发包人，按照招投标文件要求和承诺安排设计人员、实施备案、</w:t>
      </w:r>
      <w:r>
        <w:rPr>
          <w:rFonts w:hint="eastAsia" w:ascii="宋体" w:hAnsi="宋体" w:eastAsia="宋体" w:cs="宋体"/>
          <w:color w:val="auto"/>
          <w:szCs w:val="21"/>
          <w:highlight w:val="none"/>
          <w:u w:val="single"/>
          <w:lang w:val="en-US" w:eastAsia="zh-CN"/>
        </w:rPr>
        <w:t>施工图设计、配合</w:t>
      </w:r>
      <w:r>
        <w:rPr>
          <w:rFonts w:hint="eastAsia" w:ascii="宋体" w:hAnsi="宋体" w:eastAsia="宋体" w:cs="宋体"/>
          <w:color w:val="auto"/>
          <w:szCs w:val="21"/>
          <w:highlight w:val="none"/>
          <w:u w:val="single"/>
        </w:rPr>
        <w:t>施工图审查，解决施工中的设计技术问题和竣工验收以及国家规定规范内所有设计成果和服务等与本项目相关一切设计内容及相关伴随服务等工作</w:t>
      </w:r>
      <w:r>
        <w:rPr>
          <w:rFonts w:hint="eastAsia" w:ascii="宋体" w:hAnsi="宋体" w:eastAsia="宋体" w:cs="宋体"/>
          <w:color w:val="auto"/>
          <w:sz w:val="21"/>
          <w:szCs w:val="21"/>
          <w:highlight w:val="none"/>
        </w:rPr>
        <w:t>。</w:t>
      </w:r>
    </w:p>
    <w:p w14:paraId="5FD0864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 项目负责人</w:t>
      </w:r>
    </w:p>
    <w:p w14:paraId="1958CD0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 xml:space="preserve">3.2.1 </w:t>
      </w:r>
      <w:r>
        <w:rPr>
          <w:rFonts w:hint="eastAsia" w:ascii="宋体" w:hAnsi="宋体" w:eastAsia="宋体" w:cs="宋体"/>
          <w:color w:val="auto"/>
          <w:sz w:val="21"/>
          <w:szCs w:val="21"/>
          <w:highlight w:val="none"/>
        </w:rPr>
        <w:t>项目负责人</w:t>
      </w:r>
    </w:p>
    <w:p w14:paraId="38F39E9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3B4442D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执业资格及等级：</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686225A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注册证书号：</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1877325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65BAE7D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电子信箱：</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4B0E6A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通信地址：</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04673E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设计人对项目负责人的授权范围如下：</w:t>
      </w:r>
      <w:r>
        <w:rPr>
          <w:rFonts w:hint="eastAsia" w:ascii="宋体" w:hAnsi="宋体" w:eastAsia="宋体" w:cs="宋体"/>
          <w:color w:val="auto"/>
          <w:sz w:val="21"/>
          <w:szCs w:val="21"/>
          <w:highlight w:val="none"/>
          <w:u w:val="single"/>
        </w:rPr>
        <w:t xml:space="preserve">按要求完成本项目所有招标内容  </w:t>
      </w:r>
      <w:r>
        <w:rPr>
          <w:rFonts w:hint="eastAsia" w:ascii="宋体" w:hAnsi="宋体" w:eastAsia="宋体" w:cs="宋体"/>
          <w:color w:val="auto"/>
          <w:sz w:val="21"/>
          <w:szCs w:val="21"/>
          <w:highlight w:val="none"/>
        </w:rPr>
        <w:t>。</w:t>
      </w:r>
    </w:p>
    <w:p w14:paraId="33D33E6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3.2.2设计人更换项目负责人的，应提前</w:t>
      </w:r>
      <w:r>
        <w:rPr>
          <w:rFonts w:hint="eastAsia" w:ascii="宋体" w:hAnsi="宋体" w:eastAsia="宋体" w:cs="宋体"/>
          <w:color w:val="auto"/>
          <w:sz w:val="21"/>
          <w:szCs w:val="21"/>
          <w:highlight w:val="none"/>
          <w:u w:val="single"/>
        </w:rPr>
        <w:t xml:space="preserve">  7  </w:t>
      </w:r>
      <w:r>
        <w:rPr>
          <w:rFonts w:hint="eastAsia" w:ascii="宋体" w:hAnsi="宋体" w:eastAsia="宋体" w:cs="宋体"/>
          <w:color w:val="auto"/>
          <w:sz w:val="21"/>
          <w:szCs w:val="21"/>
          <w:highlight w:val="none"/>
        </w:rPr>
        <w:t>天书面通知发包人。</w:t>
      </w:r>
    </w:p>
    <w:p w14:paraId="70D9588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rPr>
        <w:t>设计人擅自更换项目负责人的违约责任：</w:t>
      </w:r>
      <w:r>
        <w:rPr>
          <w:rFonts w:hint="eastAsia" w:ascii="宋体" w:hAnsi="宋体" w:eastAsia="宋体" w:cs="宋体"/>
          <w:color w:val="auto"/>
          <w:szCs w:val="21"/>
          <w:highlight w:val="none"/>
          <w:u w:val="single"/>
        </w:rPr>
        <w:t>项目负责人（或设计人员）变更必须经发包人批准，除①因重病或重伤三个月以上，不能履行职责的；②辞职的；③发生重大质量安全责任事故，受到刑事或行政处罚，不能担任项目负责人的；④无能力履行合同责任和义务，建设单位要求更换的；⑤被责令停止职业资格的；⑥因犯罪被羁押或判刑的；⑦死亡的等原因外，原则上不得变更。其中，亡故的需提供公安部门开具的死亡证明；重大疾病的需提供三甲及以上医院证明；出国、辞职等原因提出变更的，除需提供相关证明外，须缴纳</w:t>
      </w:r>
      <w:r>
        <w:rPr>
          <w:rFonts w:hint="eastAsia" w:ascii="宋体" w:hAnsi="宋体" w:eastAsia="宋体" w:cs="宋体"/>
          <w:color w:val="auto"/>
          <w:szCs w:val="21"/>
          <w:highlight w:val="none"/>
          <w:u w:val="single"/>
          <w:lang w:val="en-US" w:eastAsia="zh-CN"/>
        </w:rPr>
        <w:t>1</w:t>
      </w:r>
      <w:r>
        <w:rPr>
          <w:rFonts w:hint="eastAsia" w:ascii="宋体" w:hAnsi="宋体" w:eastAsia="宋体" w:cs="宋体"/>
          <w:color w:val="auto"/>
          <w:szCs w:val="21"/>
          <w:highlight w:val="none"/>
          <w:u w:val="single"/>
        </w:rPr>
        <w:t>万元违约金，否则不得变更。变更后的项目负责人（或设计人员）必须符合本项目招标文件和投标承诺配备的同等条件人员，并按照相关规定履行变更审批程序。</w:t>
      </w:r>
    </w:p>
    <w:p w14:paraId="3867D60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 设计人应在收到书面更换通知后</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天内更换项目负责人。</w:t>
      </w:r>
    </w:p>
    <w:p w14:paraId="45833D2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设计人无正当理由拒绝更换项目负责人的违约责任：</w:t>
      </w:r>
      <w:r>
        <w:rPr>
          <w:rFonts w:hint="eastAsia" w:ascii="宋体" w:hAnsi="宋体" w:eastAsia="宋体" w:cs="宋体"/>
          <w:color w:val="auto"/>
          <w:sz w:val="21"/>
          <w:szCs w:val="21"/>
          <w:highlight w:val="none"/>
          <w:u w:val="single"/>
        </w:rPr>
        <w:t>设计人必须承担给发包人造成的各项损失，发包人有权解除合同，扣除全部履约保证金，所有责任和损失由设计人承担。</w:t>
      </w:r>
    </w:p>
    <w:p w14:paraId="399B41C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设计人人员</w:t>
      </w:r>
    </w:p>
    <w:p w14:paraId="1FBA1DB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 设计人提交项目管理机构及人员安排报告的期限：</w:t>
      </w:r>
      <w:r>
        <w:rPr>
          <w:rFonts w:hint="eastAsia" w:ascii="宋体" w:hAnsi="宋体" w:eastAsia="宋体" w:cs="宋体"/>
          <w:color w:val="auto"/>
          <w:sz w:val="21"/>
          <w:szCs w:val="21"/>
          <w:highlight w:val="none"/>
          <w:u w:val="single"/>
        </w:rPr>
        <w:t xml:space="preserve">    合同签订后7天内     </w:t>
      </w:r>
      <w:r>
        <w:rPr>
          <w:rFonts w:hint="eastAsia" w:ascii="宋体" w:hAnsi="宋体" w:eastAsia="宋体" w:cs="宋体"/>
          <w:color w:val="auto"/>
          <w:sz w:val="21"/>
          <w:szCs w:val="21"/>
          <w:highlight w:val="none"/>
        </w:rPr>
        <w:t>。</w:t>
      </w:r>
    </w:p>
    <w:p w14:paraId="5C56467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3.3.3 设计人无正当理由拒绝撤换主要设计人员的违约责任：</w:t>
      </w:r>
      <w:r>
        <w:rPr>
          <w:rFonts w:hint="eastAsia" w:ascii="宋体" w:hAnsi="宋体" w:eastAsia="宋体" w:cs="宋体"/>
          <w:color w:val="auto"/>
          <w:szCs w:val="21"/>
          <w:highlight w:val="none"/>
          <w:u w:val="single"/>
        </w:rPr>
        <w:t>设计人必须承担给发包人造成的各项损失，发包人有权解除合同，扣除全部履约保证金，所有责任和损失由设计人承担</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B942A3B">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3.4 设计分包 </w:t>
      </w:r>
    </w:p>
    <w:p w14:paraId="62C26F1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3.4.1 设计分包的一般约定</w:t>
      </w:r>
    </w:p>
    <w:p w14:paraId="3B7D513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禁止设计分包的工程包括：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 xml:space="preserve">本项目所有内容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61456A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主体结构、关键性工作的范围：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DDD3F4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3.4.2设计分包的确定</w:t>
      </w:r>
    </w:p>
    <w:p w14:paraId="7F71090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允许分包的专业工程包括：</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u w:val="single"/>
          <w:lang w:val="en-US" w:eastAsia="zh-CN"/>
        </w:rPr>
        <w:t>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4C841DE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其他关于分包的约定：</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3F72CD0B">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3.4.3 设计人向发包人提交有关分包人资料包括：</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2B5D6B5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3.4.4 分包工程设计费支付方式：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5D393BF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 联合体</w:t>
      </w:r>
    </w:p>
    <w:p w14:paraId="44CAB87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3.5.4 发包人向联合体支付设计费用的方式：</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0C74986F">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5. 工程设计要求</w:t>
      </w:r>
    </w:p>
    <w:p w14:paraId="7284EDC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 工程设计一般要求</w:t>
      </w:r>
    </w:p>
    <w:p w14:paraId="5123270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5.1.2.1 工程设计的特殊标准或要求：</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25489E0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5.1.2.2 工程设计适用的技术标准：</w:t>
      </w:r>
      <w:r>
        <w:rPr>
          <w:rFonts w:hint="eastAsia" w:ascii="宋体" w:hAnsi="宋体" w:eastAsia="宋体" w:cs="宋体"/>
          <w:color w:val="auto"/>
          <w:sz w:val="21"/>
          <w:szCs w:val="21"/>
          <w:highlight w:val="none"/>
          <w:u w:val="single"/>
        </w:rPr>
        <w:t xml:space="preserve">   专业设计规范及发包人要求                 </w:t>
      </w:r>
      <w:r>
        <w:rPr>
          <w:rFonts w:hint="eastAsia" w:ascii="宋体" w:hAnsi="宋体" w:eastAsia="宋体" w:cs="宋体"/>
          <w:color w:val="auto"/>
          <w:sz w:val="21"/>
          <w:szCs w:val="21"/>
          <w:highlight w:val="none"/>
        </w:rPr>
        <w:t>。</w:t>
      </w:r>
    </w:p>
    <w:p w14:paraId="18426B0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 工程设计文件的要求</w:t>
      </w:r>
    </w:p>
    <w:p w14:paraId="751F306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5.3.3 工程设计文件深度规定：</w:t>
      </w:r>
      <w:r>
        <w:rPr>
          <w:rFonts w:hint="eastAsia" w:ascii="宋体" w:hAnsi="宋体" w:eastAsia="宋体" w:cs="宋体"/>
          <w:color w:val="auto"/>
          <w:sz w:val="21"/>
          <w:szCs w:val="21"/>
          <w:highlight w:val="none"/>
          <w:u w:val="single"/>
        </w:rPr>
        <w:t xml:space="preserve">必须满足工程量清单及最高投标限价的编制和施工要求，不得要求发包人对图纸进行二次深化设计 </w:t>
      </w:r>
      <w:r>
        <w:rPr>
          <w:rFonts w:hint="eastAsia" w:ascii="宋体" w:hAnsi="宋体" w:eastAsia="宋体" w:cs="宋体"/>
          <w:color w:val="auto"/>
          <w:sz w:val="21"/>
          <w:szCs w:val="21"/>
          <w:highlight w:val="none"/>
        </w:rPr>
        <w:t xml:space="preserve">。 </w:t>
      </w:r>
    </w:p>
    <w:p w14:paraId="15F567E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5.3.5 工程的合理使用寿命年限：</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按国家相关规范文件执行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 xml:space="preserve">  </w:t>
      </w:r>
    </w:p>
    <w:p w14:paraId="37E2A95D">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6. 工程设计进度与周期</w:t>
      </w:r>
    </w:p>
    <w:p w14:paraId="55BCBF8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 工程设计进度计划</w:t>
      </w:r>
    </w:p>
    <w:p w14:paraId="2A97761F">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6.1.1 工程设计进度计划的编制</w:t>
      </w:r>
    </w:p>
    <w:p w14:paraId="4AF94C81">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合</w:t>
      </w:r>
      <w:r>
        <w:rPr>
          <w:rFonts w:hint="eastAsia" w:ascii="宋体" w:hAnsi="宋体" w:eastAsia="宋体" w:cs="宋体"/>
          <w:color w:val="auto"/>
          <w:kern w:val="0"/>
          <w:sz w:val="21"/>
          <w:szCs w:val="21"/>
          <w:highlight w:val="none"/>
        </w:rPr>
        <w:t>同当事人约定的工程设计进度计划提交的时间：</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u w:val="single"/>
          <w:lang w:val="en-US" w:eastAsia="zh-CN"/>
        </w:rPr>
        <w:t>按发包人要求执行</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szCs w:val="21"/>
          <w:highlight w:val="none"/>
        </w:rPr>
        <w:t>。</w:t>
      </w:r>
    </w:p>
    <w:p w14:paraId="0D1CED13">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合</w:t>
      </w:r>
      <w:r>
        <w:rPr>
          <w:rFonts w:hint="eastAsia" w:ascii="宋体" w:hAnsi="宋体" w:eastAsia="宋体" w:cs="宋体"/>
          <w:color w:val="auto"/>
          <w:kern w:val="0"/>
          <w:sz w:val="21"/>
          <w:szCs w:val="21"/>
          <w:highlight w:val="none"/>
        </w:rPr>
        <w:t>同当事人约定的工程设计进度计划应包括的内容：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按发包人要求执行</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4C29C1BE">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6.1.2 </w:t>
      </w:r>
      <w:r>
        <w:rPr>
          <w:rFonts w:hint="eastAsia" w:ascii="宋体" w:hAnsi="宋体" w:eastAsia="宋体" w:cs="宋体"/>
          <w:color w:val="auto"/>
          <w:kern w:val="0"/>
          <w:sz w:val="21"/>
          <w:szCs w:val="21"/>
          <w:highlight w:val="none"/>
        </w:rPr>
        <w:t>工程设计进度计划的修订</w:t>
      </w:r>
    </w:p>
    <w:p w14:paraId="0BE9DB8B">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发包人在收到工程设计进度计划后确认或提出修改意见的期限：</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Cs w:val="21"/>
          <w:highlight w:val="none"/>
          <w:u w:val="single"/>
        </w:rPr>
        <w:t>7日内</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7AB881C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6.3 工程设计进度延误</w:t>
      </w:r>
    </w:p>
    <w:p w14:paraId="39BDFD2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6.3.1 </w:t>
      </w:r>
      <w:r>
        <w:rPr>
          <w:rFonts w:hint="eastAsia" w:ascii="宋体" w:hAnsi="宋体" w:eastAsia="宋体" w:cs="宋体"/>
          <w:color w:val="auto"/>
          <w:kern w:val="0"/>
          <w:sz w:val="21"/>
          <w:szCs w:val="21"/>
          <w:highlight w:val="none"/>
        </w:rPr>
        <w:t>因发包人原因导致工程设计进度延误</w:t>
      </w:r>
    </w:p>
    <w:p w14:paraId="7E58E78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（4）因发包人原因导致工程设计进度延误的其他情形：</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45E398F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设计人应在发生</w:t>
      </w:r>
      <w:r>
        <w:rPr>
          <w:rFonts w:hint="eastAsia" w:ascii="宋体" w:hAnsi="宋体" w:eastAsia="宋体" w:cs="宋体"/>
          <w:color w:val="auto"/>
          <w:kern w:val="0"/>
          <w:sz w:val="21"/>
          <w:szCs w:val="21"/>
          <w:highlight w:val="none"/>
        </w:rPr>
        <w:t>进度延误的情形</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天内向发包人发出要求延期的书面通知，在发生该情形后</w:t>
      </w:r>
      <w:r>
        <w:rPr>
          <w:rFonts w:hint="eastAsia" w:ascii="宋体" w:hAnsi="宋体" w:eastAsia="宋体" w:cs="宋体"/>
          <w:color w:val="auto"/>
          <w:sz w:val="21"/>
          <w:szCs w:val="21"/>
          <w:highlight w:val="none"/>
          <w:u w:val="single"/>
        </w:rPr>
        <w:t xml:space="preserve">  1  </w:t>
      </w:r>
      <w:r>
        <w:rPr>
          <w:rFonts w:hint="eastAsia" w:ascii="宋体" w:hAnsi="宋体" w:eastAsia="宋体" w:cs="宋体"/>
          <w:color w:val="auto"/>
          <w:sz w:val="21"/>
          <w:szCs w:val="21"/>
          <w:highlight w:val="none"/>
        </w:rPr>
        <w:t>天内提交要求延期的详细说明。</w:t>
      </w:r>
    </w:p>
    <w:p w14:paraId="136054B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发包人收到设计人要求延期的详细说明后，应在</w:t>
      </w:r>
      <w:r>
        <w:rPr>
          <w:rFonts w:hint="eastAsia" w:ascii="宋体" w:hAnsi="宋体" w:eastAsia="宋体" w:cs="宋体"/>
          <w:color w:val="auto"/>
          <w:sz w:val="21"/>
          <w:szCs w:val="21"/>
          <w:highlight w:val="none"/>
          <w:u w:val="single"/>
        </w:rPr>
        <w:t xml:space="preserve">  3  </w:t>
      </w:r>
      <w:r>
        <w:rPr>
          <w:rFonts w:hint="eastAsia" w:ascii="宋体" w:hAnsi="宋体" w:eastAsia="宋体" w:cs="宋体"/>
          <w:color w:val="auto"/>
          <w:sz w:val="21"/>
          <w:szCs w:val="21"/>
          <w:highlight w:val="none"/>
        </w:rPr>
        <w:t>天内进行审查并书面答复。</w:t>
      </w:r>
    </w:p>
    <w:p w14:paraId="72BD513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 提前交付工程设计文件</w:t>
      </w:r>
    </w:p>
    <w:p w14:paraId="189949A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6.5.2 提前交付工程设计文件的奖励：</w:t>
      </w:r>
      <w:r>
        <w:rPr>
          <w:rFonts w:hint="eastAsia" w:ascii="宋体" w:hAnsi="宋体" w:eastAsia="宋体" w:cs="宋体"/>
          <w:color w:val="auto"/>
          <w:sz w:val="21"/>
          <w:szCs w:val="21"/>
          <w:highlight w:val="none"/>
          <w:u w:val="single"/>
        </w:rPr>
        <w:t xml:space="preserve">    无          </w:t>
      </w:r>
      <w:r>
        <w:rPr>
          <w:rFonts w:hint="eastAsia" w:ascii="宋体" w:hAnsi="宋体" w:eastAsia="宋体" w:cs="宋体"/>
          <w:color w:val="auto"/>
          <w:sz w:val="21"/>
          <w:szCs w:val="21"/>
          <w:highlight w:val="none"/>
        </w:rPr>
        <w:t>。</w:t>
      </w:r>
    </w:p>
    <w:p w14:paraId="7CAD1CB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7．</w:t>
      </w:r>
      <w:r>
        <w:rPr>
          <w:rFonts w:hint="eastAsia" w:ascii="宋体" w:hAnsi="宋体" w:eastAsia="宋体" w:cs="宋体"/>
          <w:color w:val="auto"/>
          <w:sz w:val="21"/>
          <w:szCs w:val="21"/>
          <w:highlight w:val="none"/>
        </w:rPr>
        <w:t>工程设计文件交付</w:t>
      </w:r>
    </w:p>
    <w:p w14:paraId="1720E2FA">
      <w:pPr>
        <w:pStyle w:val="6"/>
        <w:pageBreakBefore w:val="0"/>
        <w:widowControl w:val="0"/>
        <w:kinsoku/>
        <w:wordWrap/>
        <w:overflowPunct/>
        <w:topLinePunct w:val="0"/>
        <w:bidi w:val="0"/>
        <w:snapToGrid/>
        <w:spacing w:before="0" w:beforeLines="0" w:after="0" w:afterLines="0"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b w:val="0"/>
          <w:bCs w:val="0"/>
          <w:color w:val="auto"/>
          <w:kern w:val="0"/>
          <w:sz w:val="21"/>
          <w:szCs w:val="21"/>
          <w:highlight w:val="none"/>
        </w:rPr>
        <w:t>7.1 工程设计文件交付的内容</w:t>
      </w:r>
    </w:p>
    <w:p w14:paraId="4E7C5EC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7.1.2 发包人要求设计人提交电子版设计文件的具体形式为：</w:t>
      </w:r>
      <w:r>
        <w:rPr>
          <w:rFonts w:hint="eastAsia" w:ascii="宋体" w:hAnsi="宋体" w:eastAsia="宋体" w:cs="宋体"/>
          <w:color w:val="auto"/>
          <w:szCs w:val="21"/>
          <w:highlight w:val="none"/>
          <w:u w:val="single"/>
        </w:rPr>
        <w:t>提供可编辑的CAD等发包人要求格式</w:t>
      </w:r>
      <w:r>
        <w:rPr>
          <w:rFonts w:hint="eastAsia" w:ascii="宋体" w:hAnsi="宋体" w:eastAsia="宋体" w:cs="宋体"/>
          <w:color w:val="auto"/>
          <w:sz w:val="21"/>
          <w:szCs w:val="21"/>
          <w:highlight w:val="none"/>
        </w:rPr>
        <w:t>。</w:t>
      </w:r>
    </w:p>
    <w:p w14:paraId="0C40893A">
      <w:pPr>
        <w:pStyle w:val="6"/>
        <w:pageBreakBefore w:val="0"/>
        <w:widowControl w:val="0"/>
        <w:kinsoku/>
        <w:wordWrap/>
        <w:overflowPunct/>
        <w:topLinePunct w:val="0"/>
        <w:bidi w:val="0"/>
        <w:snapToGrid/>
        <w:spacing w:before="0" w:beforeLines="0" w:after="0" w:afterLines="0" w:line="440" w:lineRule="exact"/>
        <w:ind w:left="0" w:leftChars="0" w:right="0" w:rightChars="0" w:firstLine="420" w:firstLineChars="200"/>
        <w:jc w:val="left"/>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8. 工程设计文件审查</w:t>
      </w:r>
    </w:p>
    <w:p w14:paraId="3C896DC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 发包人对设计人的设计文件审查期限不超过</w:t>
      </w:r>
      <w:r>
        <w:rPr>
          <w:rFonts w:hint="eastAsia" w:ascii="宋体" w:hAnsi="宋体" w:eastAsia="宋体" w:cs="宋体"/>
          <w:color w:val="auto"/>
          <w:sz w:val="21"/>
          <w:szCs w:val="21"/>
          <w:highlight w:val="none"/>
          <w:u w:val="single"/>
        </w:rPr>
        <w:t xml:space="preserve"> 15 </w:t>
      </w:r>
      <w:r>
        <w:rPr>
          <w:rFonts w:hint="eastAsia" w:ascii="宋体" w:hAnsi="宋体" w:eastAsia="宋体" w:cs="宋体"/>
          <w:color w:val="auto"/>
          <w:sz w:val="21"/>
          <w:szCs w:val="21"/>
          <w:highlight w:val="none"/>
        </w:rPr>
        <w:t>天。</w:t>
      </w:r>
    </w:p>
    <w:p w14:paraId="28B2CBC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8.3发包人应在审查同意设计人的工程设计文件后在</w:t>
      </w:r>
      <w:r>
        <w:rPr>
          <w:rFonts w:hint="eastAsia" w:ascii="宋体" w:hAnsi="宋体" w:eastAsia="宋体" w:cs="宋体"/>
          <w:color w:val="auto"/>
          <w:sz w:val="21"/>
          <w:szCs w:val="21"/>
          <w:highlight w:val="none"/>
          <w:u w:val="single"/>
        </w:rPr>
        <w:t xml:space="preserve">  7</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天内，向政府有关部门报送工程设计文件。</w:t>
      </w:r>
    </w:p>
    <w:p w14:paraId="64A708E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8.4工程设计审查形式及时间安排：</w:t>
      </w:r>
      <w:r>
        <w:rPr>
          <w:rFonts w:hint="eastAsia" w:ascii="宋体" w:hAnsi="宋体" w:eastAsia="宋体" w:cs="宋体"/>
          <w:color w:val="auto"/>
          <w:sz w:val="21"/>
          <w:szCs w:val="21"/>
          <w:highlight w:val="none"/>
          <w:u w:val="single"/>
        </w:rPr>
        <w:t>根据发包人时间安排，发包人</w:t>
      </w:r>
      <w:r>
        <w:rPr>
          <w:rFonts w:hint="eastAsia" w:ascii="宋体" w:hAnsi="宋体" w:eastAsia="宋体" w:cs="宋体"/>
          <w:color w:val="auto"/>
          <w:sz w:val="21"/>
          <w:szCs w:val="21"/>
          <w:highlight w:val="none"/>
          <w:u w:val="single"/>
          <w:lang w:val="en-US" w:eastAsia="zh-CN"/>
        </w:rPr>
        <w:t>组织</w:t>
      </w:r>
      <w:r>
        <w:rPr>
          <w:rFonts w:hint="eastAsia" w:ascii="宋体" w:hAnsi="宋体" w:eastAsia="宋体" w:cs="宋体"/>
          <w:color w:val="auto"/>
          <w:sz w:val="21"/>
          <w:szCs w:val="21"/>
          <w:highlight w:val="none"/>
          <w:u w:val="single"/>
        </w:rPr>
        <w:t xml:space="preserve">专项评审会议，由设计人进行专项汇报 </w:t>
      </w:r>
      <w:r>
        <w:rPr>
          <w:rFonts w:hint="eastAsia" w:ascii="宋体" w:hAnsi="宋体" w:eastAsia="宋体" w:cs="宋体"/>
          <w:color w:val="auto"/>
          <w:sz w:val="21"/>
          <w:szCs w:val="21"/>
          <w:highlight w:val="none"/>
        </w:rPr>
        <w:t>。</w:t>
      </w:r>
    </w:p>
    <w:p w14:paraId="7F2F17C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 施工现场配合服务</w:t>
      </w:r>
    </w:p>
    <w:p w14:paraId="0F490E6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9.1 发包人为设计人派赴现场的工作人员提供便利条件的内容包括：</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14:paraId="6BBA050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9.2 设计人应当在交付施工图设计文件并经审查合格后</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设计成果汇报、交底、施工指导和服务、验收、保修期服务等发包人需要的</w:t>
      </w:r>
      <w:r>
        <w:rPr>
          <w:rFonts w:hint="eastAsia" w:ascii="宋体" w:hAnsi="宋体" w:eastAsia="宋体" w:cs="宋体"/>
          <w:color w:val="auto"/>
          <w:sz w:val="21"/>
          <w:szCs w:val="21"/>
          <w:highlight w:val="none"/>
        </w:rPr>
        <w:t>时间内提供施工现场配合服务。</w:t>
      </w:r>
    </w:p>
    <w:p w14:paraId="24E65D93">
      <w:pPr>
        <w:pStyle w:val="5"/>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lang w:val="en-US"/>
        </w:rPr>
      </w:pPr>
      <w:r>
        <w:rPr>
          <w:rFonts w:hint="eastAsia" w:ascii="宋体" w:hAnsi="宋体" w:eastAsia="宋体" w:cs="宋体"/>
          <w:b w:val="0"/>
          <w:color w:val="auto"/>
          <w:sz w:val="21"/>
          <w:szCs w:val="21"/>
          <w:highlight w:val="none"/>
          <w:lang w:val="en-US"/>
        </w:rPr>
        <w:t>10. 履约保证金、</w:t>
      </w:r>
      <w:r>
        <w:rPr>
          <w:rFonts w:hint="eastAsia" w:ascii="宋体" w:hAnsi="宋体" w:eastAsia="宋体" w:cs="宋体"/>
          <w:b w:val="0"/>
          <w:color w:val="auto"/>
          <w:sz w:val="21"/>
          <w:szCs w:val="21"/>
          <w:highlight w:val="none"/>
        </w:rPr>
        <w:t>合同价款与支付</w:t>
      </w:r>
    </w:p>
    <w:p w14:paraId="31FC5CF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bCs/>
          <w:color w:val="auto"/>
          <w:sz w:val="21"/>
          <w:szCs w:val="21"/>
          <w:highlight w:val="none"/>
          <w:lang w:bidi="zh-CN"/>
        </w:rPr>
      </w:pPr>
      <w:r>
        <w:rPr>
          <w:rFonts w:hint="eastAsia" w:ascii="宋体" w:hAnsi="宋体" w:eastAsia="宋体" w:cs="宋体"/>
          <w:bCs/>
          <w:color w:val="auto"/>
          <w:sz w:val="21"/>
          <w:szCs w:val="21"/>
          <w:highlight w:val="none"/>
          <w:lang w:bidi="zh-CN"/>
        </w:rPr>
        <w:t>10.1 履约保证金</w:t>
      </w:r>
    </w:p>
    <w:p w14:paraId="70D4483D">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本项目无须缴纳履约担保。</w:t>
      </w:r>
    </w:p>
    <w:p w14:paraId="697C6D19">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 合同价格形式</w:t>
      </w:r>
    </w:p>
    <w:p w14:paraId="4A6378E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总价</w:t>
      </w:r>
      <w:r>
        <w:rPr>
          <w:rFonts w:hint="eastAsia" w:ascii="宋体" w:hAnsi="宋体" w:eastAsia="宋体" w:cs="宋体"/>
          <w:color w:val="auto"/>
          <w:sz w:val="21"/>
          <w:szCs w:val="21"/>
          <w:highlight w:val="none"/>
        </w:rPr>
        <w:t>合同</w:t>
      </w:r>
    </w:p>
    <w:p w14:paraId="78B1454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总价</w:t>
      </w:r>
      <w:r>
        <w:rPr>
          <w:rFonts w:hint="eastAsia" w:ascii="宋体" w:hAnsi="宋体" w:eastAsia="宋体" w:cs="宋体"/>
          <w:color w:val="auto"/>
          <w:sz w:val="21"/>
          <w:szCs w:val="21"/>
          <w:highlight w:val="none"/>
        </w:rPr>
        <w:t>包含的风险范围：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总价</w:t>
      </w:r>
      <w:r>
        <w:rPr>
          <w:rFonts w:hint="eastAsia" w:ascii="宋体" w:hAnsi="宋体" w:eastAsia="宋体" w:cs="宋体"/>
          <w:color w:val="auto"/>
          <w:sz w:val="21"/>
          <w:szCs w:val="21"/>
          <w:highlight w:val="none"/>
          <w:u w:val="single"/>
        </w:rPr>
        <w:t xml:space="preserve">结算不予调整        </w:t>
      </w:r>
      <w:r>
        <w:rPr>
          <w:rFonts w:hint="eastAsia" w:ascii="宋体" w:hAnsi="宋体" w:eastAsia="宋体" w:cs="宋体"/>
          <w:color w:val="auto"/>
          <w:sz w:val="21"/>
          <w:szCs w:val="21"/>
          <w:highlight w:val="none"/>
        </w:rPr>
        <w:t>。</w:t>
      </w:r>
    </w:p>
    <w:p w14:paraId="5E56C26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风险费用的计算方法：</w:t>
      </w:r>
      <w:r>
        <w:rPr>
          <w:rFonts w:hint="eastAsia" w:ascii="宋体" w:hAnsi="宋体" w:eastAsia="宋体" w:cs="宋体"/>
          <w:color w:val="auto"/>
          <w:sz w:val="21"/>
          <w:szCs w:val="21"/>
          <w:highlight w:val="none"/>
          <w:u w:val="single"/>
        </w:rPr>
        <w:t xml:space="preserve"> 由设计人自行考虑并包含在合同价格中           </w:t>
      </w:r>
      <w:r>
        <w:rPr>
          <w:rFonts w:hint="eastAsia" w:ascii="宋体" w:hAnsi="宋体" w:eastAsia="宋体" w:cs="宋体"/>
          <w:color w:val="auto"/>
          <w:sz w:val="21"/>
          <w:szCs w:val="21"/>
          <w:highlight w:val="none"/>
        </w:rPr>
        <w:t>。</w:t>
      </w:r>
    </w:p>
    <w:p w14:paraId="7103CF4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风险范围以外合同价格的调整方法：</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0378C5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 预付款</w:t>
      </w:r>
    </w:p>
    <w:p w14:paraId="4D8648F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10.3.1 预付款的比例</w:t>
      </w:r>
    </w:p>
    <w:p w14:paraId="6A21ADB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预付款的比例</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69216BD6">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10.3.2 预付款的支付</w:t>
      </w:r>
    </w:p>
    <w:p w14:paraId="092BD7E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预付款的支付时间：</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，但</w:t>
      </w:r>
      <w:r>
        <w:rPr>
          <w:rFonts w:hint="eastAsia" w:ascii="宋体" w:hAnsi="宋体" w:eastAsia="宋体" w:cs="宋体"/>
          <w:color w:val="auto"/>
          <w:kern w:val="0"/>
          <w:sz w:val="21"/>
          <w:szCs w:val="21"/>
          <w:highlight w:val="none"/>
        </w:rPr>
        <w:t>最迟应在开始设计通知载明的开始设计日期</w:t>
      </w:r>
      <w:r>
        <w:rPr>
          <w:rFonts w:hint="eastAsia" w:ascii="宋体" w:hAnsi="宋体" w:eastAsia="宋体" w:cs="宋体"/>
          <w:color w:val="auto"/>
          <w:kern w:val="0"/>
          <w:sz w:val="21"/>
          <w:szCs w:val="21"/>
          <w:highlight w:val="none"/>
          <w:u w:val="single"/>
        </w:rPr>
        <w:t xml:space="preserve">  /    </w:t>
      </w:r>
      <w:r>
        <w:rPr>
          <w:rFonts w:hint="eastAsia" w:ascii="宋体" w:hAnsi="宋体" w:eastAsia="宋体" w:cs="宋体"/>
          <w:color w:val="auto"/>
          <w:kern w:val="0"/>
          <w:sz w:val="21"/>
          <w:szCs w:val="21"/>
          <w:highlight w:val="none"/>
        </w:rPr>
        <w:t>天前支付。</w:t>
      </w:r>
    </w:p>
    <w:p w14:paraId="374668A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10.4进度款支付</w:t>
      </w:r>
    </w:p>
    <w:p w14:paraId="71D813D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2" w:firstLineChars="200"/>
        <w:jc w:val="left"/>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提交成果文件后一次性付清合同价款。</w:t>
      </w:r>
    </w:p>
    <w:p w14:paraId="388BFA1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工程设计变更与索赔</w:t>
      </w:r>
    </w:p>
    <w:p w14:paraId="1770874E">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 设计人应于认为有理由提出增加合同价款或延长设计周期的要求事项发生后</w:t>
      </w:r>
      <w:r>
        <w:rPr>
          <w:rFonts w:hint="eastAsia" w:ascii="宋体" w:hAnsi="宋体" w:eastAsia="宋体" w:cs="宋体"/>
          <w:color w:val="auto"/>
          <w:kern w:val="0"/>
          <w:sz w:val="21"/>
          <w:szCs w:val="21"/>
          <w:highlight w:val="none"/>
          <w:u w:val="single"/>
        </w:rPr>
        <w:t xml:space="preserve"> 3 </w:t>
      </w:r>
      <w:r>
        <w:rPr>
          <w:rFonts w:hint="eastAsia" w:ascii="宋体" w:hAnsi="宋体" w:eastAsia="宋体" w:cs="宋体"/>
          <w:color w:val="auto"/>
          <w:kern w:val="0"/>
          <w:sz w:val="21"/>
          <w:szCs w:val="21"/>
          <w:highlight w:val="none"/>
        </w:rPr>
        <w:t>天内书面通知发包人。</w:t>
      </w:r>
    </w:p>
    <w:p w14:paraId="261353D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设计人应在该事项发生后</w:t>
      </w:r>
      <w:r>
        <w:rPr>
          <w:rFonts w:hint="eastAsia" w:ascii="宋体" w:hAnsi="宋体" w:eastAsia="宋体" w:cs="宋体"/>
          <w:color w:val="auto"/>
          <w:kern w:val="0"/>
          <w:sz w:val="21"/>
          <w:szCs w:val="21"/>
          <w:highlight w:val="none"/>
          <w:u w:val="single"/>
        </w:rPr>
        <w:t xml:space="preserve">  3 </w:t>
      </w:r>
      <w:r>
        <w:rPr>
          <w:rFonts w:hint="eastAsia" w:ascii="宋体" w:hAnsi="宋体" w:eastAsia="宋体" w:cs="宋体"/>
          <w:color w:val="auto"/>
          <w:kern w:val="0"/>
          <w:sz w:val="21"/>
          <w:szCs w:val="21"/>
          <w:highlight w:val="none"/>
        </w:rPr>
        <w:t>天内向发包人提供证明设计人要求的书面声明。</w:t>
      </w:r>
    </w:p>
    <w:p w14:paraId="18382FE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发包人应在接到设计人书面声明后的</w:t>
      </w:r>
      <w:r>
        <w:rPr>
          <w:rFonts w:hint="eastAsia" w:ascii="宋体" w:hAnsi="宋体" w:eastAsia="宋体" w:cs="宋体"/>
          <w:color w:val="auto"/>
          <w:kern w:val="0"/>
          <w:sz w:val="21"/>
          <w:szCs w:val="21"/>
          <w:highlight w:val="none"/>
          <w:u w:val="single"/>
        </w:rPr>
        <w:t xml:space="preserve">  5  </w:t>
      </w:r>
      <w:r>
        <w:rPr>
          <w:rFonts w:hint="eastAsia" w:ascii="宋体" w:hAnsi="宋体" w:eastAsia="宋体" w:cs="宋体"/>
          <w:color w:val="auto"/>
          <w:kern w:val="0"/>
          <w:sz w:val="21"/>
          <w:szCs w:val="21"/>
          <w:highlight w:val="none"/>
        </w:rPr>
        <w:t>天内，予以书面答复。</w:t>
      </w:r>
    </w:p>
    <w:p w14:paraId="3F54A90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专业责任与保险</w:t>
      </w:r>
    </w:p>
    <w:p w14:paraId="3E2BAF6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 设计人</w:t>
      </w:r>
      <w:r>
        <w:rPr>
          <w:rFonts w:hint="eastAsia" w:ascii="宋体" w:hAnsi="宋体" w:eastAsia="宋体" w:cs="宋体"/>
          <w:color w:val="auto"/>
          <w:sz w:val="21"/>
          <w:szCs w:val="21"/>
          <w:highlight w:val="none"/>
          <w:u w:val="single"/>
        </w:rPr>
        <w:t xml:space="preserve"> 需 </w:t>
      </w:r>
      <w:r>
        <w:rPr>
          <w:rFonts w:hint="eastAsia" w:ascii="宋体" w:hAnsi="宋体" w:eastAsia="宋体" w:cs="宋体"/>
          <w:color w:val="auto"/>
          <w:sz w:val="21"/>
          <w:szCs w:val="21"/>
          <w:highlight w:val="none"/>
        </w:rPr>
        <w:t>有发包人认可的工程设计责任保险。</w:t>
      </w:r>
    </w:p>
    <w:p w14:paraId="5E9B650D">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13. 知识产权</w:t>
      </w:r>
    </w:p>
    <w:p w14:paraId="71A34331">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13.1关于发包人提供给设计人的图纸、发包人为实施工程自行编制或委托编制的技术规格以及反映发包人关于合同要求或其他类似性质的文件的著作权的归属：</w:t>
      </w:r>
      <w:r>
        <w:rPr>
          <w:rFonts w:hint="eastAsia" w:ascii="宋体" w:hAnsi="宋体" w:eastAsia="宋体" w:cs="宋体"/>
          <w:color w:val="auto"/>
          <w:szCs w:val="21"/>
          <w:highlight w:val="none"/>
          <w:u w:val="single"/>
        </w:rPr>
        <w:t>属于发包人，设计人应保护发包人的知识产权，不得向第三人泄露、转让发包人提交的图纸等技术经济资料。设计人应保证向发包人交付的设计未侵犯第三人知识产权，因设计人侵权导致第三人主张的赔偿应由设计人承担。如发生以上情况并给发包人造成经济损失，发包人有权向设计人索赔</w:t>
      </w:r>
      <w:r>
        <w:rPr>
          <w:rFonts w:hint="eastAsia" w:ascii="宋体" w:hAnsi="宋体" w:eastAsia="宋体" w:cs="宋体"/>
          <w:color w:val="auto"/>
          <w:sz w:val="21"/>
          <w:szCs w:val="21"/>
          <w:highlight w:val="none"/>
        </w:rPr>
        <w:t>。</w:t>
      </w:r>
    </w:p>
    <w:p w14:paraId="7DC4D160">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关于发包人提供的上述文件的使用限制的要求：</w:t>
      </w:r>
      <w:r>
        <w:rPr>
          <w:rFonts w:hint="eastAsia" w:ascii="宋体" w:hAnsi="宋体" w:eastAsia="宋体" w:cs="宋体"/>
          <w:color w:val="auto"/>
          <w:sz w:val="21"/>
          <w:szCs w:val="21"/>
          <w:highlight w:val="none"/>
          <w:u w:val="single"/>
        </w:rPr>
        <w:t xml:space="preserve"> 未经发包人同意，不得向任何第三方提供上述文件。</w:t>
      </w:r>
    </w:p>
    <w:p w14:paraId="526C7EE2">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 关于设计人为实施工程所编制文件的著作权的归属：</w:t>
      </w:r>
      <w:r>
        <w:rPr>
          <w:rFonts w:hint="eastAsia" w:ascii="宋体" w:hAnsi="宋体" w:eastAsia="宋体" w:cs="宋体"/>
          <w:color w:val="auto"/>
          <w:sz w:val="21"/>
          <w:szCs w:val="21"/>
          <w:highlight w:val="none"/>
          <w:u w:val="single"/>
        </w:rPr>
        <w:t xml:space="preserve">  属于发包人               </w:t>
      </w:r>
      <w:r>
        <w:rPr>
          <w:rFonts w:hint="eastAsia" w:ascii="宋体" w:hAnsi="宋体" w:eastAsia="宋体" w:cs="宋体"/>
          <w:color w:val="auto"/>
          <w:sz w:val="21"/>
          <w:szCs w:val="21"/>
          <w:highlight w:val="none"/>
        </w:rPr>
        <w:t>。</w:t>
      </w:r>
    </w:p>
    <w:p w14:paraId="675E8C4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关于设计人提供的上述文件的使用限制的要求：</w:t>
      </w:r>
      <w:r>
        <w:rPr>
          <w:rFonts w:hint="eastAsia" w:ascii="宋体" w:hAnsi="宋体" w:eastAsia="宋体" w:cs="宋体"/>
          <w:color w:val="auto"/>
          <w:sz w:val="21"/>
          <w:szCs w:val="21"/>
          <w:highlight w:val="none"/>
          <w:u w:val="single"/>
        </w:rPr>
        <w:t>未经发包人同意，设计人不得向任何第三方提供上述文件。</w:t>
      </w:r>
    </w:p>
    <w:p w14:paraId="1CC17A88">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13.5 设计人在设计过程中所采用的专利、专有技术的使用费的承担方式：</w:t>
      </w:r>
      <w:r>
        <w:rPr>
          <w:rFonts w:hint="eastAsia" w:ascii="宋体" w:hAnsi="宋体" w:eastAsia="宋体" w:cs="宋体"/>
          <w:color w:val="auto"/>
          <w:sz w:val="21"/>
          <w:szCs w:val="21"/>
          <w:highlight w:val="none"/>
          <w:u w:val="single"/>
        </w:rPr>
        <w:t xml:space="preserve"> 由设计人自行承担 。</w:t>
      </w:r>
    </w:p>
    <w:p w14:paraId="146FB6E7">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违约责任</w:t>
      </w:r>
    </w:p>
    <w:p w14:paraId="23C608D5">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14.1 发包人违约责任</w:t>
      </w:r>
    </w:p>
    <w:p w14:paraId="2297F99B">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14.1.1发包人支付设计人违约金：</w:t>
      </w:r>
      <w:r>
        <w:rPr>
          <w:rFonts w:hint="eastAsia" w:ascii="宋体" w:hAnsi="宋体" w:eastAsia="宋体" w:cs="宋体"/>
          <w:color w:val="auto"/>
          <w:sz w:val="21"/>
          <w:szCs w:val="21"/>
          <w:highlight w:val="none"/>
          <w:u w:val="single"/>
        </w:rPr>
        <w:t>合同生效后，发包人因非设计人原因要求终止或解除合同，设计人未开始设计工作的，</w:t>
      </w:r>
      <w:r>
        <w:rPr>
          <w:rFonts w:hint="eastAsia" w:ascii="宋体" w:hAnsi="宋体" w:eastAsia="宋体" w:cs="宋体"/>
          <w:color w:val="auto"/>
          <w:sz w:val="21"/>
          <w:szCs w:val="21"/>
          <w:highlight w:val="none"/>
          <w:u w:val="single"/>
          <w:lang w:val="en-US" w:eastAsia="zh-CN"/>
        </w:rPr>
        <w:t>不支付任何费用</w:t>
      </w:r>
      <w:r>
        <w:rPr>
          <w:rFonts w:hint="eastAsia" w:ascii="宋体" w:hAnsi="宋体" w:eastAsia="宋体" w:cs="宋体"/>
          <w:color w:val="auto"/>
          <w:sz w:val="21"/>
          <w:szCs w:val="21"/>
          <w:highlight w:val="none"/>
          <w:u w:val="single"/>
        </w:rPr>
        <w:t>；已开始设计工作的，完成工作量不足一半时，按该阶段设计费的</w:t>
      </w:r>
      <w:r>
        <w:rPr>
          <w:rFonts w:hint="eastAsia" w:ascii="宋体" w:hAnsi="宋体" w:eastAsia="宋体" w:cs="宋体"/>
          <w:color w:val="auto"/>
          <w:sz w:val="21"/>
          <w:szCs w:val="21"/>
          <w:highlight w:val="none"/>
          <w:u w:val="single"/>
          <w:lang w:val="en-US" w:eastAsia="zh-CN"/>
        </w:rPr>
        <w:t>30%支付</w:t>
      </w:r>
      <w:r>
        <w:rPr>
          <w:rFonts w:hint="eastAsia" w:ascii="宋体" w:hAnsi="宋体" w:eastAsia="宋体" w:cs="宋体"/>
          <w:color w:val="auto"/>
          <w:sz w:val="21"/>
          <w:szCs w:val="21"/>
          <w:highlight w:val="none"/>
          <w:u w:val="single"/>
        </w:rPr>
        <w:t>设计费；超过一半时，</w:t>
      </w:r>
      <w:r>
        <w:rPr>
          <w:rFonts w:hint="eastAsia" w:ascii="宋体" w:hAnsi="宋体" w:eastAsia="宋体" w:cs="宋体"/>
          <w:color w:val="auto"/>
          <w:sz w:val="21"/>
          <w:szCs w:val="21"/>
          <w:highlight w:val="none"/>
          <w:u w:val="single"/>
          <w:lang w:val="en-US" w:eastAsia="zh-CN"/>
        </w:rPr>
        <w:t>按</w:t>
      </w:r>
      <w:r>
        <w:rPr>
          <w:rFonts w:hint="eastAsia" w:ascii="宋体" w:hAnsi="宋体" w:eastAsia="宋体" w:cs="宋体"/>
          <w:color w:val="auto"/>
          <w:sz w:val="21"/>
          <w:szCs w:val="21"/>
          <w:highlight w:val="none"/>
          <w:u w:val="single"/>
        </w:rPr>
        <w:t>该阶段设计费的一半支付设计费</w:t>
      </w:r>
    </w:p>
    <w:p w14:paraId="1C94E72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 设计人违约责任</w:t>
      </w:r>
    </w:p>
    <w:p w14:paraId="41C85B7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14.2.1 设计人支付发包人的违约金：</w:t>
      </w:r>
      <w:r>
        <w:rPr>
          <w:rFonts w:hint="eastAsia" w:ascii="宋体" w:hAnsi="宋体" w:eastAsia="宋体" w:cs="宋体"/>
          <w:color w:val="auto"/>
          <w:sz w:val="21"/>
          <w:szCs w:val="21"/>
          <w:highlight w:val="none"/>
          <w:u w:val="single"/>
        </w:rPr>
        <w:t xml:space="preserve"> 合同生效后，设计人因自身原因要求终止或解除合同，设计人应按合同价款的20%支付违约金及经济赔偿，同时返还发包人已支付的全部费用。</w:t>
      </w:r>
    </w:p>
    <w:p w14:paraId="75FE029F">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u w:val="none"/>
        </w:rPr>
        <w:t>14.2.2设计人逾期交付工程设计文件的违约金：</w:t>
      </w:r>
      <w:r>
        <w:rPr>
          <w:rFonts w:hint="eastAsia" w:ascii="宋体" w:hAnsi="宋体" w:eastAsia="宋体" w:cs="宋体"/>
          <w:color w:val="auto"/>
          <w:kern w:val="0"/>
          <w:sz w:val="21"/>
          <w:szCs w:val="21"/>
          <w:highlight w:val="none"/>
          <w:u w:val="single"/>
          <w:lang w:val="en-US" w:eastAsia="zh-CN"/>
        </w:rPr>
        <w:t>设计人</w:t>
      </w:r>
      <w:r>
        <w:rPr>
          <w:rFonts w:hint="eastAsia" w:ascii="宋体" w:hAnsi="宋体" w:eastAsia="宋体" w:cs="宋体"/>
          <w:color w:val="auto"/>
          <w:kern w:val="0"/>
          <w:sz w:val="21"/>
          <w:szCs w:val="21"/>
          <w:highlight w:val="none"/>
          <w:u w:val="single"/>
        </w:rPr>
        <w:t>在</w:t>
      </w:r>
      <w:r>
        <w:rPr>
          <w:rFonts w:hint="eastAsia" w:ascii="宋体" w:hAnsi="宋体" w:eastAsia="宋体" w:cs="宋体"/>
          <w:color w:val="auto"/>
          <w:kern w:val="0"/>
          <w:sz w:val="21"/>
          <w:szCs w:val="21"/>
          <w:highlight w:val="none"/>
          <w:u w:val="single"/>
          <w:lang w:val="en-US" w:eastAsia="zh-CN"/>
        </w:rPr>
        <w:t>发包人</w:t>
      </w:r>
      <w:r>
        <w:rPr>
          <w:rFonts w:hint="eastAsia" w:ascii="宋体" w:hAnsi="宋体" w:eastAsia="宋体" w:cs="宋体"/>
          <w:color w:val="auto"/>
          <w:kern w:val="0"/>
          <w:sz w:val="21"/>
          <w:szCs w:val="21"/>
          <w:highlight w:val="none"/>
          <w:u w:val="single"/>
        </w:rPr>
        <w:t>规定的设计周期内，完成本项目的所有设计任务，提交相应的设计文件，后期提供相应后续服务工作。因设计人自身原因，每延迟一天，从设计费中扣除</w:t>
      </w:r>
      <w:r>
        <w:rPr>
          <w:rFonts w:hint="eastAsia" w:ascii="宋体" w:hAnsi="宋体" w:eastAsia="宋体" w:cs="宋体"/>
          <w:color w:val="auto"/>
          <w:kern w:val="0"/>
          <w:sz w:val="21"/>
          <w:szCs w:val="21"/>
          <w:highlight w:val="none"/>
          <w:u w:val="single"/>
          <w:lang w:val="en-US" w:eastAsia="zh-CN"/>
        </w:rPr>
        <w:t>1000</w:t>
      </w:r>
      <w:r>
        <w:rPr>
          <w:rFonts w:hint="eastAsia" w:ascii="宋体" w:hAnsi="宋体" w:eastAsia="宋体" w:cs="宋体"/>
          <w:color w:val="auto"/>
          <w:kern w:val="0"/>
          <w:sz w:val="21"/>
          <w:szCs w:val="21"/>
          <w:highlight w:val="none"/>
          <w:u w:val="single"/>
        </w:rPr>
        <w:t>元违约金，延期达到50%及以上时，发包人有权解除合同，没收履约保证金并赔偿一切损失。</w:t>
      </w:r>
    </w:p>
    <w:p w14:paraId="30C78E9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设计人逾期交付工程设计文件的违约金的上限：</w:t>
      </w:r>
      <w:r>
        <w:rPr>
          <w:rFonts w:hint="eastAsia" w:ascii="宋体" w:hAnsi="宋体" w:eastAsia="宋体" w:cs="宋体"/>
          <w:color w:val="auto"/>
          <w:kern w:val="0"/>
          <w:sz w:val="21"/>
          <w:szCs w:val="21"/>
          <w:highlight w:val="none"/>
          <w:u w:val="single"/>
          <w:lang w:val="en-US" w:eastAsia="zh-CN"/>
        </w:rPr>
        <w:t>全额履约保证金</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5212D54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14.2.3 设计人设计文件不合格的损失赔偿金的上限：</w:t>
      </w:r>
      <w:r>
        <w:rPr>
          <w:rFonts w:hint="eastAsia" w:ascii="宋体" w:hAnsi="宋体" w:eastAsia="宋体" w:cs="宋体"/>
          <w:color w:val="auto"/>
          <w:kern w:val="0"/>
          <w:sz w:val="21"/>
          <w:szCs w:val="21"/>
          <w:highlight w:val="none"/>
          <w:u w:val="single"/>
        </w:rPr>
        <w:t>合同金额</w:t>
      </w:r>
      <w:r>
        <w:rPr>
          <w:rFonts w:hint="eastAsia" w:ascii="宋体" w:hAnsi="宋体" w:eastAsia="宋体" w:cs="宋体"/>
          <w:color w:val="auto"/>
          <w:sz w:val="21"/>
          <w:szCs w:val="21"/>
          <w:highlight w:val="none"/>
        </w:rPr>
        <w:t>。</w:t>
      </w:r>
    </w:p>
    <w:p w14:paraId="0056A5E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b w:val="0"/>
          <w:bCs w:val="0"/>
          <w:color w:val="auto"/>
          <w:sz w:val="21"/>
          <w:szCs w:val="21"/>
          <w:highlight w:val="none"/>
          <w:u w:val="single"/>
          <w:lang w:val="en-US" w:eastAsia="zh-CN" w:bidi="ar-SA"/>
        </w:rPr>
      </w:pPr>
      <w:r>
        <w:rPr>
          <w:rFonts w:hint="eastAsia" w:ascii="宋体" w:hAnsi="宋体" w:eastAsia="宋体" w:cs="宋体"/>
          <w:color w:val="auto"/>
          <w:kern w:val="0"/>
          <w:sz w:val="21"/>
          <w:szCs w:val="21"/>
          <w:highlight w:val="none"/>
        </w:rPr>
        <w:t xml:space="preserve">14.2.4 </w:t>
      </w:r>
      <w:r>
        <w:rPr>
          <w:rFonts w:hint="eastAsia" w:ascii="宋体" w:hAnsi="宋体" w:eastAsia="宋体" w:cs="宋体"/>
          <w:color w:val="auto"/>
          <w:sz w:val="21"/>
          <w:szCs w:val="21"/>
          <w:highlight w:val="none"/>
        </w:rPr>
        <w:t>设计人工程设计文件超出主要技术指标控制值比例的违约责任：</w:t>
      </w:r>
      <w:r>
        <w:rPr>
          <w:rFonts w:hint="eastAsia" w:ascii="宋体" w:hAnsi="宋体" w:eastAsia="宋体" w:cs="宋体"/>
          <w:color w:val="auto"/>
          <w:sz w:val="21"/>
          <w:szCs w:val="21"/>
          <w:highlight w:val="none"/>
          <w:u w:val="single"/>
          <w:lang w:val="en-US" w:eastAsia="zh-CN"/>
        </w:rPr>
        <w:t xml:space="preserve">         </w:t>
      </w:r>
    </w:p>
    <w:p w14:paraId="50A67F93">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bCs w:val="0"/>
          <w:color w:val="auto"/>
          <w:sz w:val="21"/>
          <w:szCs w:val="21"/>
          <w:highlight w:val="none"/>
          <w:lang w:val="en-US" w:bidi="ar-SA"/>
        </w:rPr>
      </w:pPr>
      <w:r>
        <w:rPr>
          <w:rFonts w:hint="eastAsia" w:ascii="宋体" w:hAnsi="宋体" w:eastAsia="宋体" w:cs="宋体"/>
          <w:b w:val="0"/>
          <w:color w:val="auto"/>
          <w:sz w:val="21"/>
          <w:szCs w:val="21"/>
          <w:highlight w:val="none"/>
          <w:lang w:val="en-US"/>
        </w:rPr>
        <w:t>14.2.5设计人未经发包人同意擅自对工程设计进行分包的违约责任：</w:t>
      </w:r>
      <w:r>
        <w:rPr>
          <w:rFonts w:hint="eastAsia" w:ascii="宋体" w:hAnsi="宋体" w:eastAsia="宋体" w:cs="宋体"/>
          <w:b w:val="0"/>
          <w:bCs w:val="0"/>
          <w:color w:val="auto"/>
          <w:sz w:val="21"/>
          <w:szCs w:val="21"/>
          <w:highlight w:val="none"/>
          <w:u w:val="single"/>
          <w:lang w:val="en-US" w:eastAsia="zh-CN" w:bidi="ar-SA"/>
        </w:rPr>
        <w:t>发包人</w:t>
      </w:r>
      <w:r>
        <w:rPr>
          <w:rFonts w:hint="eastAsia" w:ascii="宋体" w:hAnsi="宋体" w:eastAsia="宋体" w:cs="宋体"/>
          <w:b w:val="0"/>
          <w:bCs w:val="0"/>
          <w:color w:val="auto"/>
          <w:sz w:val="21"/>
          <w:szCs w:val="21"/>
          <w:highlight w:val="none"/>
          <w:u w:val="single"/>
          <w:lang w:val="en-US" w:bidi="ar-SA"/>
        </w:rPr>
        <w:t>有权单方解除合同，同时履约保证金不予退还。</w:t>
      </w:r>
    </w:p>
    <w:p w14:paraId="377FACB0">
      <w:pPr>
        <w:pageBreakBefore w:val="0"/>
        <w:widowControl w:val="0"/>
        <w:kinsoku/>
        <w:wordWrap/>
        <w:overflowPunct/>
        <w:topLinePunct w:val="0"/>
        <w:bidi w:val="0"/>
        <w:snapToGrid/>
        <w:spacing w:line="440" w:lineRule="exact"/>
        <w:ind w:left="0" w:leftChars="0" w:right="0" w:righ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14.2.6 本合同中约定的所有违约金及罚款，发包人有权直接从履约保证金或设计费中直接扣除。</w:t>
      </w:r>
    </w:p>
    <w:p w14:paraId="450ECF3F">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15. 不可抗力 </w:t>
      </w:r>
    </w:p>
    <w:p w14:paraId="266BB02E">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 不可抗力的确认</w:t>
      </w:r>
    </w:p>
    <w:p w14:paraId="31E94ED1">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除通用合同条款约定的不可抗力事件之外，视为不可抗力的其他情形：</w:t>
      </w:r>
      <w:r>
        <w:rPr>
          <w:rFonts w:hint="eastAsia" w:ascii="宋体" w:hAnsi="宋体" w:eastAsia="宋体" w:cs="宋体"/>
          <w:color w:val="auto"/>
          <w:kern w:val="0"/>
          <w:sz w:val="21"/>
          <w:szCs w:val="21"/>
          <w:highlight w:val="none"/>
          <w:u w:val="single"/>
        </w:rPr>
        <w:t xml:space="preserve">政府及主管部门政策性行为  </w:t>
      </w:r>
      <w:r>
        <w:rPr>
          <w:rFonts w:hint="eastAsia" w:ascii="宋体" w:hAnsi="宋体" w:eastAsia="宋体" w:cs="宋体"/>
          <w:color w:val="auto"/>
          <w:kern w:val="0"/>
          <w:sz w:val="21"/>
          <w:szCs w:val="21"/>
          <w:highlight w:val="none"/>
        </w:rPr>
        <w:t>。</w:t>
      </w:r>
    </w:p>
    <w:p w14:paraId="1C784FF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16. 合同解除 </w:t>
      </w:r>
    </w:p>
    <w:p w14:paraId="5B8E5B1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16.2 </w:t>
      </w:r>
      <w:r>
        <w:rPr>
          <w:rFonts w:hint="eastAsia" w:ascii="宋体" w:hAnsi="宋体" w:eastAsia="宋体" w:cs="宋体"/>
          <w:color w:val="auto"/>
          <w:sz w:val="21"/>
          <w:szCs w:val="21"/>
          <w:highlight w:val="none"/>
        </w:rPr>
        <w:t>有下列情形之一的，可以解除合同，因发包人原因导致的解除合同，须返还发包人已支付的设计费：</w:t>
      </w:r>
    </w:p>
    <w:p w14:paraId="07BA2AF5">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（3）暂停设计期限已连续超过</w:t>
      </w:r>
      <w:r>
        <w:rPr>
          <w:rFonts w:hint="eastAsia" w:ascii="宋体" w:hAnsi="宋体" w:eastAsia="宋体" w:cs="宋体"/>
          <w:color w:val="auto"/>
          <w:kern w:val="0"/>
          <w:sz w:val="21"/>
          <w:szCs w:val="21"/>
          <w:highlight w:val="none"/>
          <w:u w:val="single"/>
        </w:rPr>
        <w:t xml:space="preserve"> 180 </w:t>
      </w:r>
      <w:r>
        <w:rPr>
          <w:rFonts w:hint="eastAsia" w:ascii="宋体" w:hAnsi="宋体" w:eastAsia="宋体" w:cs="宋体"/>
          <w:color w:val="auto"/>
          <w:kern w:val="0"/>
          <w:sz w:val="21"/>
          <w:szCs w:val="21"/>
          <w:highlight w:val="none"/>
        </w:rPr>
        <w:t xml:space="preserve">天。  </w:t>
      </w:r>
    </w:p>
    <w:p w14:paraId="33F91057">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16.4 </w:t>
      </w:r>
      <w:r>
        <w:rPr>
          <w:rFonts w:hint="eastAsia" w:ascii="宋体" w:hAnsi="宋体" w:eastAsia="宋体" w:cs="宋体"/>
          <w:color w:val="auto"/>
          <w:sz w:val="21"/>
          <w:szCs w:val="21"/>
          <w:highlight w:val="none"/>
        </w:rPr>
        <w:t>发包人向设计人支付已完工作设计费的期限为</w:t>
      </w:r>
      <w:r>
        <w:rPr>
          <w:rFonts w:hint="eastAsia" w:ascii="宋体" w:hAnsi="宋体" w:eastAsia="宋体" w:cs="宋体"/>
          <w:color w:val="auto"/>
          <w:sz w:val="21"/>
          <w:szCs w:val="21"/>
          <w:highlight w:val="none"/>
          <w:u w:val="single"/>
        </w:rPr>
        <w:t xml:space="preserve"> 30 </w:t>
      </w:r>
      <w:r>
        <w:rPr>
          <w:rFonts w:hint="eastAsia" w:ascii="宋体" w:hAnsi="宋体" w:eastAsia="宋体" w:cs="宋体"/>
          <w:color w:val="auto"/>
          <w:sz w:val="21"/>
          <w:szCs w:val="21"/>
          <w:highlight w:val="none"/>
        </w:rPr>
        <w:t>天内。</w:t>
      </w:r>
    </w:p>
    <w:p w14:paraId="786931B4">
      <w:pPr>
        <w:pStyle w:val="5"/>
        <w:keepNext/>
        <w:keepLines/>
        <w:pageBreakBefore w:val="0"/>
        <w:widowControl w:val="0"/>
        <w:kinsoku/>
        <w:wordWrap/>
        <w:overflowPunct/>
        <w:topLinePunct w:val="0"/>
        <w:bidi w:val="0"/>
        <w:snapToGrid/>
        <w:spacing w:before="0" w:after="0" w:line="440" w:lineRule="exact"/>
        <w:ind w:left="0" w:leftChars="0" w:right="0" w:rightChars="0" w:firstLine="420" w:firstLineChars="200"/>
        <w:jc w:val="left"/>
        <w:textAlignment w:val="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 争议解决</w:t>
      </w:r>
    </w:p>
    <w:p w14:paraId="2911C12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 争议评审</w:t>
      </w:r>
    </w:p>
    <w:p w14:paraId="4926179A">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合同当事人是否同意将工程争议提交争议评审小组决定：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 xml:space="preserve">。  </w:t>
      </w:r>
    </w:p>
    <w:p w14:paraId="33FCC0A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17.3.1 争议评审小组的确定</w:t>
      </w:r>
    </w:p>
    <w:p w14:paraId="6B98A3DC">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争议评审小组成员的确定：</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63B05240">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选定争议评审员的期限：</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65A28FD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评审所发生的费用</w:t>
      </w:r>
      <w:r>
        <w:rPr>
          <w:rFonts w:hint="eastAsia" w:ascii="宋体" w:hAnsi="宋体" w:eastAsia="宋体" w:cs="宋体"/>
          <w:color w:val="auto"/>
          <w:sz w:val="21"/>
          <w:szCs w:val="21"/>
          <w:highlight w:val="none"/>
        </w:rPr>
        <w:t>承担方式：</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222E60C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其他事项的约定：</w:t>
      </w:r>
      <w:r>
        <w:rPr>
          <w:rFonts w:hint="eastAsia" w:ascii="宋体" w:hAnsi="宋体" w:eastAsia="宋体" w:cs="宋体"/>
          <w:color w:val="auto"/>
          <w:sz w:val="21"/>
          <w:szCs w:val="21"/>
          <w:highlight w:val="none"/>
          <w:u w:val="single"/>
        </w:rPr>
        <w:t xml:space="preserve">            /                      </w:t>
      </w:r>
      <w:r>
        <w:rPr>
          <w:rFonts w:hint="eastAsia" w:ascii="宋体" w:hAnsi="宋体" w:eastAsia="宋体" w:cs="宋体"/>
          <w:color w:val="auto"/>
          <w:sz w:val="21"/>
          <w:szCs w:val="21"/>
          <w:highlight w:val="none"/>
        </w:rPr>
        <w:t>。</w:t>
      </w:r>
    </w:p>
    <w:p w14:paraId="58042D19">
      <w:pPr>
        <w:pageBreakBefore w:val="0"/>
        <w:widowControl w:val="0"/>
        <w:kinsoku/>
        <w:wordWrap/>
        <w:overflowPunct/>
        <w:topLinePunct w:val="0"/>
        <w:autoSpaceDE w:val="0"/>
        <w:autoSpaceDN w:val="0"/>
        <w:bidi w:val="0"/>
        <w:adjustRightInd w:val="0"/>
        <w:snapToGrid/>
        <w:spacing w:line="440" w:lineRule="exact"/>
        <w:ind w:left="0" w:leftChars="0" w:right="0" w:rightChars="0"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17.3.2 争议评审小组的决定</w:t>
      </w:r>
    </w:p>
    <w:p w14:paraId="71A18DC2">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合同当事人关于本事项的约定：</w:t>
      </w:r>
      <w:r>
        <w:rPr>
          <w:rFonts w:hint="eastAsia" w:ascii="宋体" w:hAnsi="宋体" w:eastAsia="宋体" w:cs="宋体"/>
          <w:color w:val="auto"/>
          <w:sz w:val="21"/>
          <w:szCs w:val="21"/>
          <w:highlight w:val="none"/>
          <w:u w:val="single"/>
        </w:rPr>
        <w:t xml:space="preserve">    执行通用条款        </w:t>
      </w:r>
      <w:r>
        <w:rPr>
          <w:rFonts w:hint="eastAsia" w:ascii="宋体" w:hAnsi="宋体" w:eastAsia="宋体" w:cs="宋体"/>
          <w:color w:val="auto"/>
          <w:sz w:val="21"/>
          <w:szCs w:val="21"/>
          <w:highlight w:val="none"/>
        </w:rPr>
        <w:t>。</w:t>
      </w:r>
    </w:p>
    <w:p w14:paraId="43FFDBF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17.4仲裁或诉讼</w:t>
      </w:r>
    </w:p>
    <w:p w14:paraId="62157D98">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因合同及合同有关事项发生的争议，按下列第</w:t>
      </w:r>
      <w:r>
        <w:rPr>
          <w:rFonts w:hint="eastAsia" w:ascii="宋体" w:hAnsi="宋体" w:eastAsia="宋体" w:cs="宋体"/>
          <w:color w:val="auto"/>
          <w:kern w:val="0"/>
          <w:sz w:val="21"/>
          <w:szCs w:val="21"/>
          <w:highlight w:val="none"/>
          <w:u w:val="single"/>
        </w:rPr>
        <w:t>（1）</w:t>
      </w:r>
      <w:r>
        <w:rPr>
          <w:rFonts w:hint="eastAsia" w:ascii="宋体" w:hAnsi="宋体" w:eastAsia="宋体" w:cs="宋体"/>
          <w:color w:val="auto"/>
          <w:sz w:val="21"/>
          <w:szCs w:val="21"/>
          <w:highlight w:val="none"/>
        </w:rPr>
        <w:t>种方式解决：</w:t>
      </w:r>
    </w:p>
    <w:p w14:paraId="495E56B4">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（1）向 </w:t>
      </w:r>
      <w:r>
        <w:rPr>
          <w:rFonts w:hint="eastAsia" w:ascii="宋体" w:hAnsi="宋体" w:eastAsia="宋体" w:cs="宋体"/>
          <w:color w:val="auto"/>
          <w:sz w:val="21"/>
          <w:szCs w:val="21"/>
          <w:highlight w:val="none"/>
          <w:u w:val="single"/>
        </w:rPr>
        <w:t xml:space="preserve">    滁州    </w:t>
      </w:r>
      <w:r>
        <w:rPr>
          <w:rFonts w:hint="eastAsia" w:ascii="宋体" w:hAnsi="宋体" w:eastAsia="宋体" w:cs="宋体"/>
          <w:color w:val="auto"/>
          <w:sz w:val="21"/>
          <w:szCs w:val="21"/>
          <w:highlight w:val="none"/>
        </w:rPr>
        <w:t xml:space="preserve"> 仲裁委员会申请仲裁；</w:t>
      </w:r>
    </w:p>
    <w:p w14:paraId="394892C3">
      <w:pPr>
        <w:pageBreakBefore w:val="0"/>
        <w:widowControl w:val="0"/>
        <w:kinsoku/>
        <w:wordWrap/>
        <w:overflowPunct/>
        <w:topLinePunct w:val="0"/>
        <w:bidi w:val="0"/>
        <w:snapToGrid/>
        <w:spacing w:line="440" w:lineRule="exact"/>
        <w:ind w:left="0" w:leftChars="0" w:right="0" w:rightChars="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（2）向 </w:t>
      </w:r>
      <w:r>
        <w:rPr>
          <w:rFonts w:hint="eastAsia" w:ascii="宋体" w:hAnsi="宋体" w:eastAsia="宋体" w:cs="宋体"/>
          <w:color w:val="auto"/>
          <w:sz w:val="21"/>
          <w:szCs w:val="21"/>
          <w:highlight w:val="none"/>
          <w:u w:val="single"/>
        </w:rPr>
        <w:t xml:space="preserve"> 项目所在地 </w:t>
      </w:r>
      <w:r>
        <w:rPr>
          <w:rFonts w:hint="eastAsia" w:ascii="宋体" w:hAnsi="宋体" w:eastAsia="宋体" w:cs="宋体"/>
          <w:color w:val="auto"/>
          <w:sz w:val="21"/>
          <w:szCs w:val="21"/>
          <w:highlight w:val="none"/>
        </w:rPr>
        <w:t>人民法院起诉。</w:t>
      </w:r>
    </w:p>
    <w:p w14:paraId="2146BAB9">
      <w:pPr>
        <w:spacing w:line="360" w:lineRule="auto"/>
        <w:ind w:firstLine="560" w:firstLineChars="200"/>
        <w:rPr>
          <w:rFonts w:asciiTheme="minorEastAsia" w:hAnsiTheme="minorEastAsia" w:eastAsiaTheme="minorEastAsia" w:cstheme="minorEastAsia"/>
          <w:color w:val="auto"/>
          <w:sz w:val="28"/>
          <w:szCs w:val="27"/>
          <w:highlight w:val="none"/>
        </w:rPr>
      </w:pPr>
      <w:r>
        <w:rPr>
          <w:rFonts w:hint="eastAsia" w:asciiTheme="minorEastAsia" w:hAnsiTheme="minorEastAsia" w:eastAsiaTheme="minorEastAsia" w:cstheme="minorEastAsia"/>
          <w:color w:val="auto"/>
          <w:sz w:val="28"/>
          <w:szCs w:val="27"/>
          <w:highlight w:val="none"/>
        </w:rPr>
        <w:br w:type="page"/>
      </w:r>
    </w:p>
    <w:p w14:paraId="6F3A3D55">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80" w:name="_Toc25148"/>
      <w:bookmarkStart w:id="81" w:name="_Toc2430"/>
      <w:r>
        <w:rPr>
          <w:rFonts w:hint="eastAsia" w:asciiTheme="minorEastAsia" w:hAnsiTheme="minorEastAsia" w:eastAsiaTheme="minorEastAsia"/>
          <w:b/>
          <w:color w:val="auto"/>
          <w:sz w:val="28"/>
          <w:highlight w:val="none"/>
        </w:rPr>
        <w:t>第六章  响应文件格式</w:t>
      </w:r>
      <w:bookmarkEnd w:id="80"/>
      <w:bookmarkEnd w:id="81"/>
    </w:p>
    <w:p w14:paraId="3D169DF0">
      <w:pPr>
        <w:spacing w:line="900" w:lineRule="exact"/>
        <w:jc w:val="center"/>
        <w:rPr>
          <w:rFonts w:asciiTheme="minorEastAsia" w:hAnsiTheme="minorEastAsia" w:eastAsiaTheme="minorEastAsia"/>
          <w:b/>
          <w:color w:val="auto"/>
          <w:sz w:val="72"/>
          <w:highlight w:val="none"/>
        </w:rPr>
      </w:pPr>
    </w:p>
    <w:p w14:paraId="512DD135">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32821098">
      <w:pPr>
        <w:spacing w:line="900" w:lineRule="exact"/>
        <w:jc w:val="center"/>
        <w:rPr>
          <w:rFonts w:asciiTheme="minorEastAsia" w:hAnsiTheme="minorEastAsia" w:eastAsiaTheme="minorEastAsia"/>
          <w:b/>
          <w:color w:val="auto"/>
          <w:sz w:val="72"/>
          <w:highlight w:val="none"/>
        </w:rPr>
      </w:pPr>
    </w:p>
    <w:p w14:paraId="395BD88C">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29FFCBC3">
      <w:pPr>
        <w:spacing w:line="900" w:lineRule="exact"/>
        <w:jc w:val="center"/>
        <w:rPr>
          <w:rFonts w:asciiTheme="minorEastAsia" w:hAnsiTheme="minorEastAsia" w:eastAsiaTheme="minorEastAsia"/>
          <w:b/>
          <w:color w:val="auto"/>
          <w:sz w:val="72"/>
          <w:highlight w:val="none"/>
        </w:rPr>
      </w:pPr>
    </w:p>
    <w:p w14:paraId="718416FD">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2AC718D8">
      <w:pPr>
        <w:spacing w:line="900" w:lineRule="exact"/>
        <w:jc w:val="center"/>
        <w:rPr>
          <w:rFonts w:asciiTheme="minorEastAsia" w:hAnsiTheme="minorEastAsia" w:eastAsiaTheme="minorEastAsia"/>
          <w:b/>
          <w:color w:val="auto"/>
          <w:sz w:val="72"/>
          <w:highlight w:val="none"/>
        </w:rPr>
      </w:pPr>
    </w:p>
    <w:p w14:paraId="6AE0C3FD">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15EFDF93">
      <w:pPr>
        <w:spacing w:after="156" w:afterLines="50"/>
        <w:jc w:val="center"/>
        <w:rPr>
          <w:rFonts w:asciiTheme="minorEastAsia" w:hAnsiTheme="minorEastAsia" w:eastAsiaTheme="minorEastAsia"/>
          <w:b/>
          <w:color w:val="auto"/>
          <w:sz w:val="72"/>
          <w:highlight w:val="none"/>
        </w:rPr>
      </w:pPr>
    </w:p>
    <w:p w14:paraId="072AC3EB">
      <w:pPr>
        <w:spacing w:after="156" w:afterLines="50" w:line="500" w:lineRule="exact"/>
        <w:jc w:val="both"/>
        <w:rPr>
          <w:rFonts w:asciiTheme="minorEastAsia" w:hAnsiTheme="minorEastAsia" w:eastAsiaTheme="minorEastAsia"/>
          <w:b/>
          <w:color w:val="auto"/>
          <w:sz w:val="72"/>
          <w:highlight w:val="none"/>
        </w:rPr>
      </w:pPr>
    </w:p>
    <w:p w14:paraId="5A5F9775">
      <w:pPr>
        <w:spacing w:after="156" w:afterLines="50" w:line="500" w:lineRule="exact"/>
        <w:jc w:val="center"/>
        <w:rPr>
          <w:rFonts w:asciiTheme="minorEastAsia" w:hAnsiTheme="minorEastAsia" w:eastAsiaTheme="minorEastAsia"/>
          <w:b/>
          <w:color w:val="auto"/>
          <w:sz w:val="28"/>
          <w:szCs w:val="28"/>
          <w:highlight w:val="none"/>
        </w:rPr>
      </w:pPr>
    </w:p>
    <w:p w14:paraId="2AB49F3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22DA54D">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D9E2EA1">
      <w:pPr>
        <w:tabs>
          <w:tab w:val="left" w:pos="2410"/>
        </w:tabs>
        <w:autoSpaceDE w:val="0"/>
        <w:autoSpaceDN w:val="0"/>
        <w:adjustRightInd w:val="0"/>
        <w:snapToGrid w:val="0"/>
        <w:spacing w:line="360" w:lineRule="auto"/>
        <w:ind w:firstLine="643" w:firstLineChars="2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6E29AD">
      <w:pPr>
        <w:spacing w:after="156" w:afterLines="50" w:line="500" w:lineRule="exact"/>
        <w:jc w:val="center"/>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82" w:name="_Toc803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82"/>
    </w:p>
    <w:p w14:paraId="5CCF07F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5F700229">
      <w:pPr>
        <w:spacing w:line="360" w:lineRule="auto"/>
        <w:jc w:val="center"/>
        <w:outlineLvl w:val="1"/>
        <w:rPr>
          <w:rFonts w:asciiTheme="minorEastAsia" w:hAnsiTheme="minorEastAsia" w:eastAsiaTheme="minorEastAsia"/>
          <w:b/>
          <w:color w:val="auto"/>
          <w:sz w:val="24"/>
          <w:highlight w:val="none"/>
        </w:rPr>
      </w:pPr>
      <w:bookmarkStart w:id="83" w:name="_Toc461056631"/>
      <w:bookmarkStart w:id="84" w:name="_Toc461053086"/>
      <w:bookmarkStart w:id="85" w:name="_Toc520983587"/>
      <w:bookmarkStart w:id="86" w:name="_Toc26791"/>
      <w:bookmarkStart w:id="87" w:name="_Toc5881"/>
      <w:r>
        <w:rPr>
          <w:rFonts w:hint="eastAsia" w:asciiTheme="minorEastAsia" w:hAnsiTheme="minorEastAsia" w:eastAsiaTheme="minorEastAsia"/>
          <w:b/>
          <w:color w:val="auto"/>
          <w:sz w:val="24"/>
          <w:highlight w:val="none"/>
        </w:rPr>
        <w:t>一</w:t>
      </w:r>
      <w:bookmarkEnd w:id="83"/>
      <w:bookmarkEnd w:id="84"/>
      <w:r>
        <w:rPr>
          <w:rFonts w:hint="eastAsia" w:asciiTheme="minorEastAsia" w:hAnsiTheme="minorEastAsia" w:eastAsiaTheme="minorEastAsia"/>
          <w:b/>
          <w:color w:val="auto"/>
          <w:sz w:val="24"/>
          <w:highlight w:val="none"/>
        </w:rPr>
        <w:t>、报价表格式</w:t>
      </w:r>
      <w:bookmarkEnd w:id="85"/>
      <w:bookmarkEnd w:id="86"/>
      <w:bookmarkEnd w:id="87"/>
    </w:p>
    <w:p w14:paraId="0A79C375">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459BEB3B">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1716051F">
      <w:pPr>
        <w:snapToGrid w:val="0"/>
        <w:spacing w:after="156" w:afterLines="50" w:line="360" w:lineRule="auto"/>
        <w:jc w:val="left"/>
        <w:rPr>
          <w:rFonts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6849"/>
      </w:tblGrid>
      <w:tr w14:paraId="1431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0C47D6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3763A7DB">
            <w:pPr>
              <w:spacing w:line="360" w:lineRule="auto"/>
              <w:rPr>
                <w:rFonts w:ascii="宋体" w:hAnsi="宋体" w:eastAsia="宋体"/>
                <w:b/>
                <w:color w:val="auto"/>
                <w:sz w:val="24"/>
                <w:highlight w:val="none"/>
              </w:rPr>
            </w:pPr>
          </w:p>
        </w:tc>
      </w:tr>
      <w:tr w14:paraId="5FB5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E607055">
            <w:pPr>
              <w:spacing w:line="360" w:lineRule="exact"/>
              <w:jc w:val="center"/>
              <w:rPr>
                <w:rFonts w:ascii="宋体" w:hAnsi="宋体" w:eastAsia="宋体"/>
                <w:b/>
                <w:color w:val="auto"/>
                <w:sz w:val="24"/>
                <w:highlight w:val="none"/>
              </w:rPr>
            </w:pPr>
            <w:r>
              <w:rPr>
                <w:rFonts w:hint="eastAsia" w:ascii="宋体" w:hAnsi="宋体" w:eastAsia="宋体"/>
                <w:b/>
                <w:color w:val="auto"/>
                <w:sz w:val="24"/>
                <w:highlight w:val="none"/>
              </w:rPr>
              <w:t>磋商范围</w:t>
            </w:r>
          </w:p>
        </w:tc>
        <w:tc>
          <w:tcPr>
            <w:tcW w:w="3557" w:type="pct"/>
            <w:tcBorders>
              <w:left w:val="single" w:color="auto" w:sz="4" w:space="0"/>
            </w:tcBorders>
            <w:vAlign w:val="center"/>
          </w:tcPr>
          <w:p w14:paraId="0077FA76">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15F7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4B5145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4BB70EA">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2D8627A">
            <w:pPr>
              <w:snapToGrid w:val="0"/>
              <w:spacing w:line="360" w:lineRule="auto"/>
              <w:rPr>
                <w:rFonts w:ascii="宋体" w:hAnsi="宋体" w:eastAsia="宋体"/>
                <w:color w:val="auto"/>
                <w:sz w:val="24"/>
                <w:szCs w:val="28"/>
                <w:highlight w:val="none"/>
              </w:rPr>
            </w:pPr>
          </w:p>
          <w:p w14:paraId="20AFE38C">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B55E8C0">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371B3D14">
            <w:pPr>
              <w:snapToGrid w:val="0"/>
              <w:spacing w:line="360" w:lineRule="auto"/>
              <w:rPr>
                <w:rFonts w:ascii="宋体" w:hAnsi="宋体" w:eastAsia="宋体"/>
                <w:b/>
                <w:color w:val="auto"/>
                <w:sz w:val="24"/>
                <w:highlight w:val="none"/>
              </w:rPr>
            </w:pPr>
          </w:p>
        </w:tc>
      </w:tr>
      <w:tr w14:paraId="59E46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559CB518">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49160AF1">
            <w:pPr>
              <w:spacing w:line="360" w:lineRule="auto"/>
              <w:rPr>
                <w:rFonts w:ascii="宋体" w:hAnsi="宋体" w:eastAsia="宋体"/>
                <w:b/>
                <w:color w:val="auto"/>
                <w:sz w:val="24"/>
                <w:highlight w:val="none"/>
              </w:rPr>
            </w:pPr>
          </w:p>
        </w:tc>
      </w:tr>
    </w:tbl>
    <w:p w14:paraId="40A21985">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185FD307">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2D7F7DB4">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15175DB0">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1.本表内容根据磋商文件要求包括了服务及其配套服务</w:t>
      </w:r>
      <w:r>
        <w:rPr>
          <w:rFonts w:hint="eastAsia" w:ascii="宋体" w:hAnsi="宋体" w:eastAsia="宋体"/>
          <w:b/>
          <w:bCs/>
          <w:color w:val="auto"/>
          <w:sz w:val="24"/>
          <w:szCs w:val="28"/>
          <w:highlight w:val="none"/>
          <w:lang w:eastAsia="zh-CN"/>
        </w:rPr>
        <w:t>、</w:t>
      </w:r>
      <w:r>
        <w:rPr>
          <w:rFonts w:hint="eastAsia" w:ascii="宋体" w:hAnsi="宋体" w:eastAsia="宋体"/>
          <w:b/>
          <w:bCs/>
          <w:color w:val="auto"/>
          <w:sz w:val="24"/>
          <w:szCs w:val="28"/>
          <w:highlight w:val="none"/>
        </w:rPr>
        <w:t>售后服务保障等所有费用。</w:t>
      </w:r>
    </w:p>
    <w:p w14:paraId="51B87B1D">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3E7D18A">
      <w:pPr>
        <w:adjustRightInd w:val="0"/>
        <w:snapToGrid w:val="0"/>
        <w:spacing w:line="360" w:lineRule="auto"/>
        <w:ind w:firstLine="482" w:firstLineChars="200"/>
        <w:rPr>
          <w:rFonts w:hint="default" w:ascii="宋体" w:hAnsi="宋体" w:eastAsia="宋体"/>
          <w:b/>
          <w:bCs/>
          <w:color w:val="auto"/>
          <w:sz w:val="24"/>
          <w:szCs w:val="28"/>
          <w:highlight w:val="none"/>
          <w:lang w:val="en-US" w:eastAsia="zh-CN"/>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.表中大写金额与小写金额不一致的，以大写金额为准。</w:t>
      </w:r>
    </w:p>
    <w:p w14:paraId="698B4338">
      <w:pPr>
        <w:widowControl/>
        <w:jc w:val="left"/>
        <w:rPr>
          <w:rFonts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127BDBEA">
      <w:pPr>
        <w:spacing w:line="360" w:lineRule="auto"/>
        <w:jc w:val="center"/>
        <w:outlineLvl w:val="1"/>
        <w:rPr>
          <w:rFonts w:asciiTheme="minorEastAsia" w:hAnsiTheme="minorEastAsia" w:eastAsiaTheme="minorEastAsia"/>
          <w:b/>
          <w:color w:val="auto"/>
          <w:sz w:val="24"/>
          <w:highlight w:val="none"/>
        </w:rPr>
      </w:pPr>
      <w:bookmarkStart w:id="88" w:name="_Toc461056632"/>
      <w:bookmarkStart w:id="89" w:name="_Toc461053087"/>
      <w:bookmarkStart w:id="90" w:name="_Toc32436"/>
      <w:bookmarkStart w:id="91" w:name="_Toc520983588"/>
      <w:bookmarkStart w:id="92" w:name="_Toc28695"/>
      <w:r>
        <w:rPr>
          <w:rFonts w:hint="eastAsia" w:asciiTheme="minorEastAsia" w:hAnsiTheme="minorEastAsia" w:eastAsiaTheme="minorEastAsia"/>
          <w:b/>
          <w:color w:val="auto"/>
          <w:sz w:val="24"/>
          <w:highlight w:val="none"/>
        </w:rPr>
        <w:t>二</w:t>
      </w:r>
      <w:bookmarkEnd w:id="88"/>
      <w:bookmarkEnd w:id="89"/>
      <w:r>
        <w:rPr>
          <w:rFonts w:hint="eastAsia" w:asciiTheme="minorEastAsia" w:hAnsiTheme="minorEastAsia" w:eastAsiaTheme="minorEastAsia"/>
          <w:b/>
          <w:color w:val="auto"/>
          <w:sz w:val="24"/>
          <w:highlight w:val="none"/>
        </w:rPr>
        <w:t>、最后承诺报价表</w:t>
      </w:r>
      <w:bookmarkEnd w:id="90"/>
      <w:bookmarkEnd w:id="91"/>
      <w:bookmarkEnd w:id="92"/>
    </w:p>
    <w:p w14:paraId="75982D36">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742539CD">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64065900">
      <w:pPr>
        <w:snapToGrid w:val="0"/>
        <w:spacing w:after="156" w:afterLines="50" w:line="360" w:lineRule="auto"/>
        <w:jc w:val="left"/>
        <w:rPr>
          <w:rFonts w:ascii="宋体" w:hAnsi="宋体" w:eastAsia="宋体"/>
          <w:b/>
          <w:bCs/>
          <w:color w:val="auto"/>
          <w:sz w:val="24"/>
          <w:szCs w:val="28"/>
          <w:highlight w:val="non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6849"/>
      </w:tblGrid>
      <w:tr w14:paraId="7A2D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3D92E063">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03F4937A">
            <w:pPr>
              <w:spacing w:line="360" w:lineRule="auto"/>
              <w:rPr>
                <w:rFonts w:ascii="宋体" w:hAnsi="宋体" w:eastAsia="宋体"/>
                <w:b/>
                <w:color w:val="auto"/>
                <w:sz w:val="24"/>
                <w:highlight w:val="none"/>
              </w:rPr>
            </w:pPr>
          </w:p>
        </w:tc>
      </w:tr>
      <w:tr w14:paraId="620AD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BBE8F19">
            <w:pPr>
              <w:spacing w:line="360" w:lineRule="exact"/>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271A1A1B">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0A9CF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4831DCB">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5060C5A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691B13C0">
            <w:pPr>
              <w:snapToGrid w:val="0"/>
              <w:spacing w:line="360" w:lineRule="auto"/>
              <w:rPr>
                <w:rFonts w:ascii="宋体" w:hAnsi="宋体" w:eastAsia="宋体"/>
                <w:color w:val="auto"/>
                <w:sz w:val="24"/>
                <w:szCs w:val="28"/>
                <w:highlight w:val="none"/>
              </w:rPr>
            </w:pPr>
          </w:p>
          <w:p w14:paraId="565C778C">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B58125A">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5C41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4C52E414">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14CDE244">
            <w:pPr>
              <w:spacing w:line="360" w:lineRule="auto"/>
              <w:rPr>
                <w:rFonts w:ascii="宋体" w:hAnsi="宋体" w:eastAsia="宋体"/>
                <w:b/>
                <w:color w:val="auto"/>
                <w:sz w:val="24"/>
                <w:highlight w:val="none"/>
              </w:rPr>
            </w:pPr>
            <w:r>
              <w:rPr>
                <w:rFonts w:hint="eastAsia" w:ascii="宋体" w:hAnsi="宋体" w:eastAsia="宋体"/>
                <w:b/>
                <w:i/>
                <w:color w:val="auto"/>
                <w:sz w:val="24"/>
                <w:highlight w:val="none"/>
              </w:rPr>
              <w:t>（此处可补充磋商小组根据与供应商磋商情况变动的磋商文件的内容，包括采购需求中的技术、服务要求以及合同草案条款。）</w:t>
            </w:r>
          </w:p>
        </w:tc>
      </w:tr>
      <w:tr w14:paraId="736B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443" w:type="pct"/>
            <w:vAlign w:val="center"/>
          </w:tcPr>
          <w:p w14:paraId="48C255D9">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磋商小组</w:t>
            </w:r>
            <w:r>
              <w:rPr>
                <w:rFonts w:ascii="宋体" w:hAnsi="宋体" w:eastAsia="宋体"/>
                <w:b/>
                <w:bCs/>
                <w:color w:val="auto"/>
                <w:sz w:val="24"/>
                <w:szCs w:val="28"/>
                <w:highlight w:val="none"/>
              </w:rPr>
              <w:t>签字</w:t>
            </w:r>
          </w:p>
        </w:tc>
        <w:tc>
          <w:tcPr>
            <w:tcW w:w="3557" w:type="pct"/>
          </w:tcPr>
          <w:p w14:paraId="18B4847F">
            <w:pPr>
              <w:spacing w:line="360" w:lineRule="auto"/>
              <w:rPr>
                <w:rFonts w:ascii="宋体" w:hAnsi="宋体" w:eastAsia="宋体"/>
                <w:b/>
                <w:color w:val="auto"/>
                <w:sz w:val="24"/>
                <w:highlight w:val="none"/>
              </w:rPr>
            </w:pPr>
          </w:p>
        </w:tc>
      </w:tr>
    </w:tbl>
    <w:p w14:paraId="5729D293">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10199A9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AB51F63">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42BD0B5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本页《报价表》由供应商在接到报价通知后依据磋商情况填写,并在规定时间内提交。</w:t>
      </w:r>
      <w:r>
        <w:rPr>
          <w:rFonts w:hint="eastAsia" w:ascii="宋体" w:hAnsi="宋体" w:eastAsia="宋体"/>
          <w:color w:val="auto"/>
          <w:sz w:val="24"/>
          <w:highlight w:val="none"/>
        </w:rPr>
        <w:t>考虑磋商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78D4A85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ascii="宋体" w:hAnsi="宋体" w:eastAsia="宋体"/>
          <w:bCs/>
          <w:color w:val="auto"/>
          <w:sz w:val="24"/>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.表中大写金额与小写金额不一致的，以大写金额为准。</w:t>
      </w:r>
      <w:r>
        <w:rPr>
          <w:rFonts w:ascii="宋体" w:hAnsi="宋体" w:eastAsia="宋体"/>
          <w:bCs/>
          <w:color w:val="auto"/>
          <w:sz w:val="24"/>
          <w:highlight w:val="none"/>
        </w:rPr>
        <w:br w:type="page"/>
      </w:r>
    </w:p>
    <w:p w14:paraId="2D982F47">
      <w:pPr>
        <w:spacing w:line="360" w:lineRule="auto"/>
        <w:jc w:val="center"/>
        <w:outlineLvl w:val="1"/>
        <w:rPr>
          <w:rFonts w:asciiTheme="minorEastAsia" w:hAnsiTheme="minorEastAsia" w:eastAsiaTheme="minorEastAsia"/>
          <w:b/>
          <w:color w:val="auto"/>
          <w:sz w:val="24"/>
          <w:highlight w:val="none"/>
        </w:rPr>
      </w:pPr>
      <w:bookmarkStart w:id="93" w:name="_Toc11500"/>
      <w:bookmarkStart w:id="94" w:name="_Toc32385"/>
      <w:bookmarkStart w:id="95" w:name="_Toc520983591"/>
      <w:r>
        <w:rPr>
          <w:rFonts w:hint="eastAsia" w:asciiTheme="minorEastAsia" w:hAnsiTheme="minorEastAsia" w:eastAsiaTheme="minorEastAsia"/>
          <w:b/>
          <w:color w:val="auto"/>
          <w:sz w:val="24"/>
          <w:highlight w:val="none"/>
        </w:rPr>
        <w:t>三、磋商响应函</w:t>
      </w:r>
      <w:bookmarkEnd w:id="93"/>
      <w:bookmarkEnd w:id="94"/>
      <w:bookmarkEnd w:id="95"/>
    </w:p>
    <w:p w14:paraId="00CB0B8C">
      <w:pPr>
        <w:pStyle w:val="15"/>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4371A421">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6" w:name="_Hlk44287543"/>
      <w:r>
        <w:rPr>
          <w:rFonts w:hint="eastAsia" w:ascii="宋体" w:hAnsi="宋体" w:eastAsia="宋体"/>
          <w:color w:val="auto"/>
          <w:sz w:val="24"/>
          <w:highlight w:val="none"/>
        </w:rPr>
        <w:t>竞争性磋商公告和磋商邀请</w:t>
      </w:r>
      <w:bookmarkEnd w:id="96"/>
      <w:r>
        <w:rPr>
          <w:rFonts w:hint="eastAsia" w:ascii="宋体" w:hAnsi="宋体" w:eastAsia="宋体"/>
          <w:color w:val="auto"/>
          <w:sz w:val="24"/>
          <w:highlight w:val="none"/>
        </w:rPr>
        <w:t>，我方兹宣布同意如下：</w:t>
      </w:r>
    </w:p>
    <w:p w14:paraId="32D0E6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1440735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文件各项条款、规定及要求均无异议。</w:t>
      </w:r>
    </w:p>
    <w:p w14:paraId="14BB35F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有效期之前均具有约束力。</w:t>
      </w:r>
    </w:p>
    <w:p w14:paraId="79AF9C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磋商</w:t>
      </w:r>
      <w:r>
        <w:rPr>
          <w:rFonts w:hint="eastAsia" w:asciiTheme="minorEastAsia" w:hAnsiTheme="minorEastAsia" w:eastAsiaTheme="minorEastAsia"/>
          <w:color w:val="auto"/>
          <w:sz w:val="24"/>
          <w:highlight w:val="none"/>
        </w:rPr>
        <w:t>有关的任何证据、数据或资料。</w:t>
      </w:r>
    </w:p>
    <w:p w14:paraId="05E818C5">
      <w:pPr>
        <w:spacing w:line="360" w:lineRule="auto"/>
        <w:ind w:firstLine="480" w:firstLineChars="200"/>
        <w:rPr>
          <w:rFonts w:ascii="宋体" w:hAnsi="宋体" w:eastAsia="宋体"/>
          <w:color w:val="auto"/>
          <w:sz w:val="24"/>
          <w:highlight w:val="none"/>
        </w:rPr>
      </w:pPr>
    </w:p>
    <w:p w14:paraId="77EE4F8B">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供应商电子签章：</w:t>
      </w:r>
      <w:r>
        <w:rPr>
          <w:rFonts w:hint="eastAsia" w:ascii="宋体" w:hAnsi="宋体" w:eastAsia="宋体"/>
          <w:color w:val="auto"/>
          <w:sz w:val="24"/>
          <w:highlight w:val="none"/>
          <w:u w:val="single"/>
        </w:rPr>
        <w:t xml:space="preserve">             </w:t>
      </w:r>
    </w:p>
    <w:p w14:paraId="6072EE28">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413A126">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418F147">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7" w:name="_Toc21328"/>
      <w:r>
        <w:rPr>
          <w:rFonts w:hint="eastAsia" w:asciiTheme="minorEastAsia" w:hAnsiTheme="minorEastAsia" w:eastAsiaTheme="minorEastAsia"/>
          <w:b/>
          <w:color w:val="auto"/>
          <w:sz w:val="24"/>
          <w:highlight w:val="none"/>
          <w:lang w:val="en-US" w:eastAsia="zh-CN"/>
        </w:rPr>
        <w:t>四、供应商资格声明书</w:t>
      </w:r>
      <w:bookmarkEnd w:id="97"/>
    </w:p>
    <w:p w14:paraId="0EF14A21">
      <w:pPr>
        <w:pStyle w:val="15"/>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0594E0A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在参与本次项目磋商中，我单位承诺：</w:t>
      </w:r>
    </w:p>
    <w:p w14:paraId="35AFB5D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53B7E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4480525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15B8111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D2597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92133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23F9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34" w:type="dxa"/>
          </w:tcPr>
          <w:p w14:paraId="2F596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4501" w:type="dxa"/>
          </w:tcPr>
          <w:p w14:paraId="57C46F3E">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681" w:type="dxa"/>
          </w:tcPr>
          <w:p w14:paraId="57768423">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2639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085E64FC">
            <w:pPr>
              <w:pStyle w:val="10"/>
              <w:jc w:val="center"/>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4501" w:type="dxa"/>
          </w:tcPr>
          <w:p w14:paraId="2919F0CC">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681" w:type="dxa"/>
          </w:tcPr>
          <w:p w14:paraId="13E139C3">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26AB0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B28F485">
            <w:pPr>
              <w:pStyle w:val="10"/>
              <w:jc w:val="center"/>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4501" w:type="dxa"/>
          </w:tcPr>
          <w:p w14:paraId="230F4EF0">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681" w:type="dxa"/>
          </w:tcPr>
          <w:p w14:paraId="27A8C9F6">
            <w:pPr>
              <w:pStyle w:val="10"/>
              <w:jc w:val="center"/>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51C5D5E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0110ED6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1AE583C">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6146823">
      <w:pPr>
        <w:spacing w:line="440" w:lineRule="exact"/>
        <w:ind w:firstLine="4800" w:firstLineChars="2000"/>
        <w:rPr>
          <w:rFonts w:ascii="宋体" w:hAnsi="宋体" w:eastAsia="宋体"/>
          <w:color w:val="auto"/>
          <w:sz w:val="24"/>
          <w:szCs w:val="24"/>
          <w:highlight w:val="none"/>
          <w:u w:val="single"/>
        </w:rPr>
      </w:pPr>
    </w:p>
    <w:p w14:paraId="262DE98E">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7A8F2C8F">
      <w:pPr>
        <w:spacing w:line="360" w:lineRule="auto"/>
        <w:jc w:val="center"/>
        <w:outlineLvl w:val="1"/>
        <w:rPr>
          <w:rFonts w:asciiTheme="minorEastAsia" w:hAnsiTheme="minorEastAsia" w:eastAsiaTheme="minorEastAsia"/>
          <w:b/>
          <w:color w:val="auto"/>
          <w:sz w:val="24"/>
          <w:highlight w:val="none"/>
        </w:rPr>
      </w:pPr>
      <w:bookmarkStart w:id="98" w:name="_Toc516969106"/>
      <w:bookmarkStart w:id="99" w:name="_Toc26922"/>
      <w:bookmarkStart w:id="100" w:name="_Toc204594911"/>
      <w:bookmarkStart w:id="101" w:name="_Toc121626298"/>
      <w:bookmarkStart w:id="102" w:name="_Toc31518"/>
      <w:bookmarkStart w:id="103" w:name="_Toc520983594"/>
      <w:r>
        <w:rPr>
          <w:rFonts w:hint="eastAsia" w:asciiTheme="minorEastAsia" w:hAnsiTheme="minorEastAsia" w:eastAsiaTheme="minorEastAsia"/>
          <w:b/>
          <w:color w:val="auto"/>
          <w:sz w:val="24"/>
          <w:highlight w:val="none"/>
        </w:rPr>
        <w:t>五、授权书</w:t>
      </w:r>
      <w:bookmarkEnd w:id="98"/>
      <w:bookmarkEnd w:id="99"/>
      <w:bookmarkEnd w:id="100"/>
      <w:bookmarkEnd w:id="101"/>
      <w:bookmarkEnd w:id="102"/>
      <w:bookmarkEnd w:id="103"/>
    </w:p>
    <w:p w14:paraId="7E8FCE94">
      <w:pPr>
        <w:spacing w:line="360" w:lineRule="auto"/>
        <w:jc w:val="center"/>
        <w:rPr>
          <w:rFonts w:asciiTheme="minorEastAsia" w:hAnsiTheme="minorEastAsia" w:eastAsiaTheme="minorEastAsia"/>
          <w:b/>
          <w:color w:val="auto"/>
          <w:sz w:val="24"/>
          <w:highlight w:val="none"/>
        </w:rPr>
      </w:pPr>
    </w:p>
    <w:p w14:paraId="4BE3FE62">
      <w:pPr>
        <w:pStyle w:val="14"/>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2BEBD69B">
      <w:pPr>
        <w:pStyle w:val="14"/>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628C93F1">
      <w:pPr>
        <w:pStyle w:val="14"/>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3F8263DA">
      <w:pPr>
        <w:pStyle w:val="14"/>
        <w:snapToGrid w:val="0"/>
        <w:spacing w:line="360" w:lineRule="auto"/>
        <w:ind w:firstLine="480" w:firstLineChars="200"/>
        <w:jc w:val="left"/>
        <w:rPr>
          <w:rFonts w:hAnsi="宋体" w:eastAsia="宋体"/>
          <w:color w:val="auto"/>
          <w:sz w:val="24"/>
          <w:highlight w:val="none"/>
        </w:rPr>
      </w:pPr>
    </w:p>
    <w:p w14:paraId="4C22E569">
      <w:pPr>
        <w:pStyle w:val="14"/>
        <w:snapToGrid w:val="0"/>
        <w:spacing w:line="360" w:lineRule="auto"/>
        <w:ind w:firstLine="480" w:firstLineChars="200"/>
        <w:jc w:val="left"/>
        <w:rPr>
          <w:rFonts w:hAnsi="宋体" w:eastAsia="宋体"/>
          <w:color w:val="auto"/>
          <w:sz w:val="24"/>
          <w:highlight w:val="none"/>
        </w:rPr>
      </w:pPr>
    </w:p>
    <w:p w14:paraId="4B1BD0B0">
      <w:pPr>
        <w:pStyle w:val="14"/>
        <w:snapToGrid w:val="0"/>
        <w:spacing w:line="360" w:lineRule="auto"/>
        <w:ind w:firstLine="480" w:firstLineChars="200"/>
        <w:jc w:val="left"/>
        <w:rPr>
          <w:rFonts w:hAnsi="宋体" w:eastAsia="宋体"/>
          <w:color w:val="auto"/>
          <w:sz w:val="24"/>
          <w:highlight w:val="none"/>
        </w:rPr>
      </w:pPr>
    </w:p>
    <w:p w14:paraId="2F8AA598">
      <w:pPr>
        <w:pStyle w:val="14"/>
        <w:snapToGrid w:val="0"/>
        <w:spacing w:line="360" w:lineRule="auto"/>
        <w:ind w:firstLine="480" w:firstLineChars="200"/>
        <w:jc w:val="left"/>
        <w:rPr>
          <w:rFonts w:hAnsi="宋体" w:eastAsia="宋体"/>
          <w:color w:val="auto"/>
          <w:sz w:val="24"/>
          <w:highlight w:val="none"/>
        </w:rPr>
      </w:pPr>
    </w:p>
    <w:p w14:paraId="12AFB188">
      <w:pPr>
        <w:pStyle w:val="14"/>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5FD12433">
      <w:pPr>
        <w:pStyle w:val="14"/>
        <w:snapToGrid w:val="0"/>
        <w:spacing w:line="360" w:lineRule="auto"/>
        <w:ind w:firstLine="480" w:firstLineChars="200"/>
        <w:jc w:val="left"/>
        <w:rPr>
          <w:rFonts w:hAnsi="宋体" w:eastAsia="宋体"/>
          <w:color w:val="auto"/>
          <w:sz w:val="24"/>
          <w:szCs w:val="28"/>
          <w:highlight w:val="none"/>
        </w:rPr>
      </w:pPr>
    </w:p>
    <w:p w14:paraId="1479A5E6">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59605DEC">
      <w:pPr>
        <w:spacing w:line="360" w:lineRule="auto"/>
        <w:rPr>
          <w:rFonts w:ascii="宋体" w:hAnsi="宋体" w:eastAsia="宋体"/>
          <w:color w:val="auto"/>
          <w:sz w:val="24"/>
          <w:szCs w:val="28"/>
          <w:highlight w:val="none"/>
        </w:rPr>
      </w:pPr>
    </w:p>
    <w:p w14:paraId="03395A1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B977B21">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4A4D41F">
      <w:pPr>
        <w:spacing w:line="360" w:lineRule="auto"/>
        <w:rPr>
          <w:rFonts w:ascii="宋体" w:hAnsi="宋体" w:eastAsia="宋体"/>
          <w:color w:val="auto"/>
          <w:sz w:val="24"/>
          <w:szCs w:val="28"/>
          <w:highlight w:val="none"/>
        </w:rPr>
      </w:pPr>
    </w:p>
    <w:p w14:paraId="29720E5E">
      <w:pPr>
        <w:spacing w:line="360" w:lineRule="auto"/>
        <w:rPr>
          <w:rFonts w:ascii="宋体" w:hAnsi="宋体" w:eastAsia="宋体"/>
          <w:color w:val="auto"/>
          <w:sz w:val="24"/>
          <w:szCs w:val="28"/>
          <w:highlight w:val="none"/>
        </w:rPr>
      </w:pPr>
    </w:p>
    <w:p w14:paraId="162A1284">
      <w:pPr>
        <w:pStyle w:val="14"/>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3220939B">
      <w:pPr>
        <w:pStyle w:val="14"/>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29A6F001">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2.法定代表人参加磋商的无需提供授权书，仅提供身份证明扫描件。</w:t>
      </w:r>
    </w:p>
    <w:p w14:paraId="382916DC">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9852BE6">
      <w:pPr>
        <w:spacing w:line="360" w:lineRule="auto"/>
        <w:jc w:val="center"/>
        <w:outlineLvl w:val="1"/>
        <w:rPr>
          <w:rFonts w:asciiTheme="minorEastAsia" w:hAnsiTheme="minorEastAsia" w:eastAsiaTheme="minorEastAsia"/>
          <w:b/>
          <w:color w:val="auto"/>
          <w:sz w:val="24"/>
          <w:highlight w:val="none"/>
        </w:rPr>
      </w:pPr>
      <w:bookmarkStart w:id="104" w:name="_Toc22233"/>
      <w:bookmarkStart w:id="105" w:name="_Toc280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磋商</w:t>
      </w:r>
      <w:r>
        <w:rPr>
          <w:rFonts w:hint="eastAsia" w:asciiTheme="minorEastAsia" w:hAnsiTheme="minorEastAsia" w:eastAsiaTheme="minorEastAsia"/>
          <w:b/>
          <w:color w:val="auto"/>
          <w:sz w:val="24"/>
          <w:highlight w:val="none"/>
        </w:rPr>
        <w:t>响应表</w:t>
      </w:r>
      <w:bookmarkEnd w:id="104"/>
      <w:bookmarkEnd w:id="105"/>
    </w:p>
    <w:p w14:paraId="7FAFE40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65"/>
        <w:gridCol w:w="2822"/>
        <w:gridCol w:w="2909"/>
        <w:gridCol w:w="915"/>
      </w:tblGrid>
      <w:tr w14:paraId="299DD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507A7EB5">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7998FC50">
            <w:pPr>
              <w:pStyle w:val="14"/>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3B3FC803">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磋商文件</w:t>
            </w:r>
            <w:r>
              <w:rPr>
                <w:rFonts w:hint="eastAsia" w:cs="Wingdings" w:asciiTheme="minorEastAsia" w:hAnsiTheme="minorEastAsia"/>
                <w:b/>
                <w:color w:val="auto"/>
                <w:sz w:val="24"/>
                <w:highlight w:val="none"/>
              </w:rPr>
              <w:t>要求</w:t>
            </w:r>
          </w:p>
        </w:tc>
        <w:tc>
          <w:tcPr>
            <w:tcW w:w="1510" w:type="pct"/>
            <w:vAlign w:val="center"/>
          </w:tcPr>
          <w:p w14:paraId="135DC64F">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69AD3BF8">
            <w:pPr>
              <w:pStyle w:val="14"/>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81C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BF59518">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5CAC157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2F697220">
            <w:pPr>
              <w:jc w:val="center"/>
              <w:rPr>
                <w:rFonts w:asciiTheme="minorEastAsia" w:hAnsiTheme="minorEastAsia" w:eastAsiaTheme="minorEastAsia"/>
                <w:color w:val="auto"/>
                <w:sz w:val="24"/>
                <w:highlight w:val="none"/>
              </w:rPr>
            </w:pPr>
          </w:p>
        </w:tc>
        <w:tc>
          <w:tcPr>
            <w:tcW w:w="1510" w:type="pct"/>
            <w:vAlign w:val="center"/>
          </w:tcPr>
          <w:p w14:paraId="26F2D9DC">
            <w:pPr>
              <w:jc w:val="center"/>
              <w:rPr>
                <w:rFonts w:asciiTheme="minorEastAsia" w:hAnsiTheme="minorEastAsia" w:eastAsiaTheme="minorEastAsia"/>
                <w:color w:val="auto"/>
                <w:sz w:val="24"/>
                <w:highlight w:val="none"/>
              </w:rPr>
            </w:pPr>
          </w:p>
        </w:tc>
        <w:tc>
          <w:tcPr>
            <w:tcW w:w="475" w:type="pct"/>
            <w:vAlign w:val="center"/>
          </w:tcPr>
          <w:p w14:paraId="39989FD3">
            <w:pPr>
              <w:jc w:val="center"/>
              <w:rPr>
                <w:rFonts w:asciiTheme="minorEastAsia" w:hAnsiTheme="minorEastAsia" w:eastAsiaTheme="minorEastAsia"/>
                <w:color w:val="auto"/>
                <w:sz w:val="24"/>
                <w:highlight w:val="none"/>
              </w:rPr>
            </w:pPr>
          </w:p>
        </w:tc>
      </w:tr>
      <w:tr w14:paraId="4E6A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6C0AF3A">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4AC5D06A">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52742AAF">
            <w:pPr>
              <w:jc w:val="center"/>
              <w:rPr>
                <w:rFonts w:asciiTheme="minorEastAsia" w:hAnsiTheme="minorEastAsia" w:eastAsiaTheme="minorEastAsia"/>
                <w:color w:val="auto"/>
                <w:sz w:val="24"/>
                <w:highlight w:val="none"/>
              </w:rPr>
            </w:pPr>
          </w:p>
        </w:tc>
        <w:tc>
          <w:tcPr>
            <w:tcW w:w="1510" w:type="pct"/>
            <w:vAlign w:val="center"/>
          </w:tcPr>
          <w:p w14:paraId="3E1D7F7B">
            <w:pPr>
              <w:jc w:val="center"/>
              <w:rPr>
                <w:rFonts w:asciiTheme="minorEastAsia" w:hAnsiTheme="minorEastAsia" w:eastAsiaTheme="minorEastAsia"/>
                <w:color w:val="auto"/>
                <w:sz w:val="24"/>
                <w:highlight w:val="none"/>
              </w:rPr>
            </w:pPr>
          </w:p>
        </w:tc>
        <w:tc>
          <w:tcPr>
            <w:tcW w:w="475" w:type="pct"/>
            <w:vAlign w:val="center"/>
          </w:tcPr>
          <w:p w14:paraId="6A0982CF">
            <w:pPr>
              <w:jc w:val="center"/>
              <w:rPr>
                <w:rFonts w:asciiTheme="minorEastAsia" w:hAnsiTheme="minorEastAsia" w:eastAsiaTheme="minorEastAsia"/>
                <w:color w:val="auto"/>
                <w:sz w:val="24"/>
                <w:highlight w:val="none"/>
              </w:rPr>
            </w:pPr>
          </w:p>
        </w:tc>
      </w:tr>
      <w:tr w14:paraId="0F3A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2DFA8C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775724D2">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73895162">
            <w:pPr>
              <w:jc w:val="center"/>
              <w:rPr>
                <w:rFonts w:asciiTheme="minorEastAsia" w:hAnsiTheme="minorEastAsia" w:eastAsiaTheme="minorEastAsia"/>
                <w:color w:val="auto"/>
                <w:sz w:val="24"/>
                <w:highlight w:val="none"/>
              </w:rPr>
            </w:pPr>
          </w:p>
        </w:tc>
        <w:tc>
          <w:tcPr>
            <w:tcW w:w="1510" w:type="pct"/>
            <w:vAlign w:val="center"/>
          </w:tcPr>
          <w:p w14:paraId="31C77712">
            <w:pPr>
              <w:pStyle w:val="53"/>
              <w:jc w:val="center"/>
              <w:rPr>
                <w:rFonts w:asciiTheme="minorEastAsia" w:hAnsiTheme="minorEastAsia" w:eastAsiaTheme="minorEastAsia"/>
                <w:color w:val="auto"/>
                <w:highlight w:val="none"/>
              </w:rPr>
            </w:pPr>
          </w:p>
        </w:tc>
        <w:tc>
          <w:tcPr>
            <w:tcW w:w="475" w:type="pct"/>
            <w:vAlign w:val="center"/>
          </w:tcPr>
          <w:p w14:paraId="21F36FDA">
            <w:pPr>
              <w:jc w:val="center"/>
              <w:rPr>
                <w:rFonts w:asciiTheme="minorEastAsia" w:hAnsiTheme="minorEastAsia" w:eastAsiaTheme="minorEastAsia"/>
                <w:color w:val="auto"/>
                <w:sz w:val="24"/>
                <w:highlight w:val="none"/>
              </w:rPr>
            </w:pPr>
          </w:p>
        </w:tc>
      </w:tr>
      <w:tr w14:paraId="0319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EE29F9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290BECA8">
            <w:pPr>
              <w:jc w:val="center"/>
              <w:rPr>
                <w:rFonts w:ascii="宋体" w:hAnsi="宋体" w:eastAsia="宋体"/>
                <w:color w:val="auto"/>
                <w:sz w:val="24"/>
                <w:highlight w:val="none"/>
              </w:rPr>
            </w:pPr>
          </w:p>
        </w:tc>
        <w:tc>
          <w:tcPr>
            <w:tcW w:w="1465" w:type="pct"/>
            <w:vAlign w:val="center"/>
          </w:tcPr>
          <w:p w14:paraId="1D810460">
            <w:pPr>
              <w:jc w:val="center"/>
              <w:rPr>
                <w:rFonts w:asciiTheme="minorEastAsia" w:hAnsiTheme="minorEastAsia" w:eastAsiaTheme="minorEastAsia"/>
                <w:color w:val="auto"/>
                <w:sz w:val="24"/>
                <w:highlight w:val="none"/>
              </w:rPr>
            </w:pPr>
          </w:p>
        </w:tc>
        <w:tc>
          <w:tcPr>
            <w:tcW w:w="1510" w:type="pct"/>
            <w:vAlign w:val="center"/>
          </w:tcPr>
          <w:p w14:paraId="20AFDDCF">
            <w:pPr>
              <w:jc w:val="center"/>
              <w:rPr>
                <w:rFonts w:asciiTheme="minorEastAsia" w:hAnsiTheme="minorEastAsia" w:eastAsiaTheme="minorEastAsia"/>
                <w:color w:val="auto"/>
                <w:sz w:val="24"/>
                <w:highlight w:val="none"/>
              </w:rPr>
            </w:pPr>
          </w:p>
        </w:tc>
        <w:tc>
          <w:tcPr>
            <w:tcW w:w="475" w:type="pct"/>
            <w:vAlign w:val="center"/>
          </w:tcPr>
          <w:p w14:paraId="633F1139">
            <w:pPr>
              <w:jc w:val="center"/>
              <w:rPr>
                <w:rFonts w:asciiTheme="minorEastAsia" w:hAnsiTheme="minorEastAsia" w:eastAsiaTheme="minorEastAsia"/>
                <w:color w:val="auto"/>
                <w:sz w:val="24"/>
                <w:highlight w:val="none"/>
              </w:rPr>
            </w:pPr>
          </w:p>
        </w:tc>
      </w:tr>
    </w:tbl>
    <w:p w14:paraId="223EAA57">
      <w:pPr>
        <w:pStyle w:val="15"/>
        <w:spacing w:line="360" w:lineRule="auto"/>
        <w:rPr>
          <w:rFonts w:asciiTheme="minorEastAsia" w:hAnsiTheme="minorEastAsia" w:eastAsiaTheme="minorEastAsia"/>
          <w:b/>
          <w:color w:val="auto"/>
          <w:sz w:val="24"/>
          <w:highlight w:val="none"/>
        </w:rPr>
      </w:pPr>
      <w:r>
        <w:rPr>
          <w:rFonts w:asciiTheme="minorEastAsia" w:hAnsiTheme="minorEastAsia" w:eastAsiaTheme="minorEastAsia"/>
          <w:color w:val="auto"/>
          <w:sz w:val="24"/>
          <w:highlight w:val="none"/>
        </w:rPr>
        <w:br w:type="page"/>
      </w:r>
    </w:p>
    <w:p w14:paraId="24902D8A">
      <w:pPr>
        <w:spacing w:line="360" w:lineRule="auto"/>
        <w:jc w:val="center"/>
        <w:outlineLvl w:val="1"/>
        <w:rPr>
          <w:rFonts w:asciiTheme="minorEastAsia" w:hAnsiTheme="minorEastAsia" w:eastAsiaTheme="minorEastAsia"/>
          <w:b/>
          <w:color w:val="auto"/>
          <w:sz w:val="24"/>
          <w:highlight w:val="none"/>
        </w:rPr>
      </w:pPr>
      <w:bookmarkStart w:id="106" w:name="_Toc2278"/>
      <w:bookmarkStart w:id="107" w:name="_Toc20592"/>
      <w:bookmarkStart w:id="108" w:name="_Hlk44283088"/>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6"/>
      <w:bookmarkEnd w:id="107"/>
    </w:p>
    <w:p w14:paraId="23B3AC9B">
      <w:pPr>
        <w:spacing w:line="360" w:lineRule="auto"/>
        <w:rPr>
          <w:rFonts w:asciiTheme="minorEastAsia" w:hAnsiTheme="minorEastAsia" w:eastAsiaTheme="minorEastAsia"/>
          <w:b/>
          <w:bCs/>
          <w:color w:val="auto"/>
          <w:sz w:val="24"/>
          <w:highlight w:val="none"/>
        </w:rPr>
      </w:pPr>
    </w:p>
    <w:p w14:paraId="2D9172AB">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681FA82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25405DA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623DF74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7E05EC8E">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539109D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3579504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03C87D2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679E73C">
      <w:pPr>
        <w:spacing w:line="360" w:lineRule="auto"/>
        <w:rPr>
          <w:rFonts w:asciiTheme="minorEastAsia" w:hAnsiTheme="minorEastAsia" w:eastAsiaTheme="minorEastAsia"/>
          <w:bCs/>
          <w:color w:val="auto"/>
          <w:sz w:val="24"/>
          <w:highlight w:val="none"/>
        </w:rPr>
      </w:pPr>
    </w:p>
    <w:p w14:paraId="3AC189B1">
      <w:pPr>
        <w:spacing w:line="360" w:lineRule="auto"/>
        <w:rPr>
          <w:rFonts w:asciiTheme="minorEastAsia" w:hAnsiTheme="minorEastAsia" w:eastAsiaTheme="minorEastAsia"/>
          <w:bCs/>
          <w:color w:val="auto"/>
          <w:sz w:val="24"/>
          <w:highlight w:val="none"/>
        </w:rPr>
      </w:pPr>
    </w:p>
    <w:p w14:paraId="2DC5E467">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40E61E76">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0759267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bookmarkEnd w:id="108"/>
    <w:p w14:paraId="74785897">
      <w:pPr>
        <w:spacing w:line="360" w:lineRule="auto"/>
        <w:jc w:val="center"/>
        <w:outlineLvl w:val="1"/>
        <w:rPr>
          <w:rFonts w:asciiTheme="minorEastAsia" w:hAnsiTheme="minorEastAsia" w:eastAsiaTheme="minorEastAsia"/>
          <w:b/>
          <w:color w:val="auto"/>
          <w:sz w:val="24"/>
          <w:highlight w:val="none"/>
        </w:rPr>
      </w:pPr>
      <w:bookmarkStart w:id="109" w:name="_Toc3826"/>
      <w:bookmarkStart w:id="110" w:name="_Toc7807"/>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109"/>
      <w:bookmarkEnd w:id="110"/>
    </w:p>
    <w:p w14:paraId="2B12EE2F">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提供符合磋商邀请、采购需求及评审方法和标准规定的相关证明文件。</w:t>
      </w:r>
    </w:p>
    <w:p w14:paraId="2B791AD4">
      <w:pPr>
        <w:spacing w:line="360" w:lineRule="auto"/>
        <w:ind w:firstLine="435"/>
        <w:rPr>
          <w:rFonts w:asciiTheme="minorEastAsia" w:hAnsiTheme="minorEastAsia" w:eastAsiaTheme="minorEastAsia"/>
          <w:color w:val="auto"/>
          <w:sz w:val="24"/>
          <w:highlight w:val="none"/>
        </w:rPr>
      </w:pPr>
    </w:p>
    <w:p w14:paraId="17D392CA">
      <w:pPr>
        <w:spacing w:line="360" w:lineRule="auto"/>
        <w:ind w:firstLine="480" w:firstLineChars="200"/>
        <w:rPr>
          <w:rFonts w:asciiTheme="minorEastAsia" w:hAnsiTheme="minorEastAsia" w:eastAsiaTheme="minorEastAsia"/>
          <w:color w:val="auto"/>
          <w:sz w:val="24"/>
          <w:highlight w:val="none"/>
        </w:rPr>
      </w:pPr>
    </w:p>
    <w:p w14:paraId="43969D9B">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72DBBA7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供应商在响应文件制作时可在此栏内上传磋商文件要求上传的证明资料，如营业执照</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证书等，应将上述证明材料制作成扫描件上传。</w:t>
      </w:r>
    </w:p>
    <w:p w14:paraId="6107DC36">
      <w:pPr>
        <w:spacing w:line="360" w:lineRule="auto"/>
        <w:jc w:val="center"/>
        <w:rPr>
          <w:rFonts w:asciiTheme="minorEastAsia" w:hAnsiTheme="minorEastAsia" w:eastAsiaTheme="minorEastAsia"/>
          <w:b/>
          <w:color w:val="auto"/>
          <w:sz w:val="24"/>
          <w:highlight w:val="none"/>
        </w:rPr>
      </w:pPr>
    </w:p>
    <w:p w14:paraId="6BB24053">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65BA3DAD">
      <w:pPr>
        <w:keepNext w:val="0"/>
        <w:keepLines w:val="0"/>
        <w:pageBreakBefore w:val="0"/>
        <w:widowControl w:val="0"/>
        <w:kinsoku/>
        <w:wordWrap/>
        <w:overflowPunct/>
        <w:topLinePunct w:val="0"/>
        <w:autoSpaceDE/>
        <w:autoSpaceDN/>
        <w:bidi w:val="0"/>
        <w:adjustRightInd/>
        <w:snapToGrid/>
        <w:spacing w:before="95" w:beforeLines="30" w:after="95" w:afterLines="30" w:line="360" w:lineRule="auto"/>
        <w:jc w:val="center"/>
        <w:textAlignment w:val="auto"/>
        <w:outlineLvl w:val="0"/>
        <w:rPr>
          <w:rFonts w:hint="eastAsia" w:asciiTheme="minorEastAsia" w:hAnsiTheme="minorEastAsia" w:eastAsiaTheme="minorEastAsia"/>
          <w:b/>
          <w:color w:val="auto"/>
          <w:sz w:val="28"/>
          <w:highlight w:val="none"/>
        </w:rPr>
      </w:pPr>
      <w:bookmarkStart w:id="111" w:name="_Toc63440924"/>
      <w:bookmarkStart w:id="112" w:name="_Toc19418"/>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  采购</w:t>
      </w:r>
      <w:bookmarkEnd w:id="111"/>
      <w:r>
        <w:rPr>
          <w:rFonts w:hint="eastAsia" w:asciiTheme="minorEastAsia" w:hAnsiTheme="minorEastAsia" w:eastAsiaTheme="minorEastAsia"/>
          <w:b/>
          <w:color w:val="auto"/>
          <w:sz w:val="28"/>
          <w:highlight w:val="none"/>
        </w:rPr>
        <w:t>供应商询问函和质疑函范本</w:t>
      </w:r>
      <w:bookmarkEnd w:id="112"/>
    </w:p>
    <w:p w14:paraId="41AC0A3E">
      <w:pPr>
        <w:spacing w:line="360" w:lineRule="auto"/>
        <w:jc w:val="center"/>
        <w:outlineLvl w:val="1"/>
        <w:rPr>
          <w:rFonts w:ascii="仿宋" w:hAnsi="仿宋" w:eastAsia="仿宋" w:cs="仿宋"/>
          <w:b/>
          <w:bCs/>
          <w:color w:val="auto"/>
          <w:sz w:val="32"/>
          <w:szCs w:val="44"/>
          <w:highlight w:val="none"/>
        </w:rPr>
      </w:pPr>
      <w:bookmarkStart w:id="113" w:name="_Toc8735"/>
      <w:bookmarkStart w:id="114" w:name="_Toc2142"/>
      <w:r>
        <w:rPr>
          <w:rFonts w:hint="eastAsia" w:ascii="仿宋" w:hAnsi="仿宋" w:eastAsia="仿宋" w:cs="仿宋"/>
          <w:b/>
          <w:bCs/>
          <w:color w:val="auto"/>
          <w:sz w:val="32"/>
          <w:szCs w:val="44"/>
          <w:highlight w:val="none"/>
        </w:rPr>
        <w:t>询问函范本</w:t>
      </w:r>
      <w:bookmarkEnd w:id="113"/>
      <w:bookmarkEnd w:id="114"/>
    </w:p>
    <w:p w14:paraId="55C1565A">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059C198A">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518A33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7EABB7AF">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5" w:name="_Toc26386"/>
      <w:bookmarkStart w:id="116" w:name="_Toc9092"/>
      <w:r>
        <w:rPr>
          <w:rFonts w:hint="eastAsia" w:cs="仿宋" w:asciiTheme="minorEastAsia" w:hAnsiTheme="minorEastAsia" w:eastAsiaTheme="minorEastAsia"/>
          <w:color w:val="auto"/>
          <w:sz w:val="24"/>
          <w:szCs w:val="24"/>
          <w:highlight w:val="none"/>
        </w:rPr>
        <w:t>一、(事项一)</w:t>
      </w:r>
      <w:bookmarkEnd w:id="115"/>
      <w:bookmarkEnd w:id="116"/>
    </w:p>
    <w:p w14:paraId="0AB7D1D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3DC16B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890A4B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2A8DFE1">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7" w:name="_Toc9273"/>
      <w:bookmarkStart w:id="118" w:name="_Toc17582"/>
      <w:r>
        <w:rPr>
          <w:rFonts w:hint="eastAsia" w:cs="仿宋" w:asciiTheme="minorEastAsia" w:hAnsiTheme="minorEastAsia" w:eastAsiaTheme="minorEastAsia"/>
          <w:color w:val="auto"/>
          <w:sz w:val="24"/>
          <w:szCs w:val="24"/>
          <w:highlight w:val="none"/>
        </w:rPr>
        <w:t>二、(事项二)</w:t>
      </w:r>
      <w:bookmarkEnd w:id="117"/>
      <w:bookmarkEnd w:id="118"/>
    </w:p>
    <w:p w14:paraId="409BA10F">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95E469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218CBD34">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60BBB51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03A13DDE">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291220EF">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5853935">
      <w:pPr>
        <w:jc w:val="center"/>
        <w:outlineLvl w:val="1"/>
        <w:rPr>
          <w:rFonts w:ascii="仿宋" w:hAnsi="仿宋" w:eastAsia="仿宋" w:cs="仿宋"/>
          <w:b/>
          <w:bCs/>
          <w:color w:val="auto"/>
          <w:sz w:val="32"/>
          <w:szCs w:val="44"/>
          <w:highlight w:val="none"/>
        </w:rPr>
      </w:pPr>
      <w:bookmarkStart w:id="119" w:name="_Toc6990"/>
      <w:bookmarkStart w:id="120" w:name="_Toc26673"/>
      <w:r>
        <w:rPr>
          <w:rFonts w:hint="eastAsia" w:ascii="仿宋" w:hAnsi="仿宋" w:eastAsia="仿宋" w:cs="仿宋"/>
          <w:b/>
          <w:bCs/>
          <w:color w:val="auto"/>
          <w:sz w:val="32"/>
          <w:szCs w:val="44"/>
          <w:highlight w:val="none"/>
        </w:rPr>
        <w:t>质疑函范本</w:t>
      </w:r>
      <w:bookmarkEnd w:id="119"/>
      <w:bookmarkEnd w:id="120"/>
    </w:p>
    <w:p w14:paraId="4816DA33">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1" w:name="_Toc29510"/>
      <w:bookmarkStart w:id="122" w:name="_Toc2994"/>
      <w:r>
        <w:rPr>
          <w:rFonts w:hint="eastAsia" w:cs="仿宋" w:asciiTheme="minorEastAsia" w:hAnsiTheme="minorEastAsia" w:eastAsiaTheme="minorEastAsia"/>
          <w:b/>
          <w:bCs/>
          <w:color w:val="auto"/>
          <w:sz w:val="24"/>
          <w:szCs w:val="24"/>
          <w:highlight w:val="none"/>
        </w:rPr>
        <w:t>一、质疑供应商基本信息</w:t>
      </w:r>
      <w:bookmarkEnd w:id="121"/>
      <w:bookmarkEnd w:id="122"/>
    </w:p>
    <w:p w14:paraId="538C88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5DFF28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C73F5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618CF7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A5B3FC9">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2FEDE0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2942020">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3" w:name="_Toc28130"/>
      <w:bookmarkStart w:id="124" w:name="_Toc31042"/>
      <w:r>
        <w:rPr>
          <w:rFonts w:hint="eastAsia" w:cs="仿宋" w:asciiTheme="minorEastAsia" w:hAnsiTheme="minorEastAsia" w:eastAsiaTheme="minorEastAsia"/>
          <w:b/>
          <w:bCs/>
          <w:color w:val="auto"/>
          <w:sz w:val="24"/>
          <w:szCs w:val="24"/>
          <w:highlight w:val="none"/>
        </w:rPr>
        <w:t>二、质疑项目基本情况</w:t>
      </w:r>
      <w:bookmarkEnd w:id="123"/>
      <w:bookmarkEnd w:id="124"/>
    </w:p>
    <w:p w14:paraId="4A96F376">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7CDD9DC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A9D74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A34A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61EDE1B1">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5" w:name="_Toc6486"/>
      <w:bookmarkStart w:id="126" w:name="_Toc20587"/>
      <w:r>
        <w:rPr>
          <w:rFonts w:hint="eastAsia" w:cs="仿宋" w:asciiTheme="minorEastAsia" w:hAnsiTheme="minorEastAsia" w:eastAsiaTheme="minorEastAsia"/>
          <w:b/>
          <w:bCs/>
          <w:color w:val="auto"/>
          <w:sz w:val="24"/>
          <w:szCs w:val="24"/>
          <w:highlight w:val="none"/>
        </w:rPr>
        <w:t>三、质疑事项具体内容</w:t>
      </w:r>
      <w:bookmarkEnd w:id="125"/>
      <w:bookmarkEnd w:id="126"/>
    </w:p>
    <w:p w14:paraId="1F6CE43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523BD8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30C27C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7036EE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7BCE2D1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99FEF1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DB8814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24FF52B">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7" w:name="_Toc32755"/>
      <w:bookmarkStart w:id="128" w:name="_Toc20470"/>
      <w:r>
        <w:rPr>
          <w:rFonts w:hint="eastAsia" w:cs="仿宋" w:asciiTheme="minorEastAsia" w:hAnsiTheme="minorEastAsia" w:eastAsiaTheme="minorEastAsia"/>
          <w:b/>
          <w:bCs/>
          <w:color w:val="auto"/>
          <w:sz w:val="24"/>
          <w:szCs w:val="24"/>
          <w:highlight w:val="none"/>
        </w:rPr>
        <w:t>四、与质疑事项相关的质疑请求</w:t>
      </w:r>
      <w:bookmarkEnd w:id="127"/>
      <w:bookmarkEnd w:id="128"/>
    </w:p>
    <w:p w14:paraId="05572A4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471BB607">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812CE06">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153234">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04DD1C85">
      <w:pPr>
        <w:outlineLvl w:val="0"/>
        <w:rPr>
          <w:rFonts w:asciiTheme="minorEastAsia" w:hAnsiTheme="minorEastAsia" w:eastAsiaTheme="minorEastAsia"/>
          <w:b/>
          <w:color w:val="auto"/>
          <w:sz w:val="28"/>
          <w:szCs w:val="32"/>
          <w:highlight w:val="none"/>
        </w:rPr>
      </w:pPr>
      <w:bookmarkStart w:id="129" w:name="_Toc21667"/>
      <w:bookmarkStart w:id="130" w:name="_Toc8368"/>
      <w:r>
        <w:rPr>
          <w:rFonts w:hint="eastAsia" w:asciiTheme="minorEastAsia" w:hAnsiTheme="minorEastAsia" w:eastAsiaTheme="minorEastAsia"/>
          <w:b/>
          <w:color w:val="auto"/>
          <w:sz w:val="28"/>
          <w:szCs w:val="32"/>
          <w:highlight w:val="none"/>
        </w:rPr>
        <w:t>质疑函制作说明：</w:t>
      </w:r>
      <w:bookmarkEnd w:id="129"/>
      <w:bookmarkEnd w:id="130"/>
    </w:p>
    <w:p w14:paraId="3A90EEB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9E608B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6BA82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475C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18517E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EFDF9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10" w:type="default"/>
      <w:footerReference r:id="rId11" w:type="default"/>
      <w:pgSz w:w="11906" w:h="16838"/>
      <w:pgMar w:top="1247" w:right="1247" w:bottom="1247" w:left="1247"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78B849A-C2A1-42EE-8C7F-F3C1BDEB6FC6}"/>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DAD1BDAE-0497-45D1-9E73-0DA01B362DF8}"/>
  </w:font>
  <w:font w:name="仿宋">
    <w:panose1 w:val="02010609060101010101"/>
    <w:charset w:val="86"/>
    <w:family w:val="modern"/>
    <w:pitch w:val="default"/>
    <w:sig w:usb0="800002BF" w:usb1="38CF7CFA" w:usb2="00000016" w:usb3="00000000" w:csb0="00040001" w:csb1="00000000"/>
    <w:embedRegular r:id="rId3" w:fontKey="{F96587DA-F62A-46A0-91AD-EA891C051D4D}"/>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BatangChe">
    <w:altName w:val="Malgun Gothic"/>
    <w:panose1 w:val="0203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中宋">
    <w:panose1 w:val="02010600040101010101"/>
    <w:charset w:val="86"/>
    <w:family w:val="auto"/>
    <w:pitch w:val="default"/>
    <w:sig w:usb0="00000287" w:usb1="080F0000" w:usb2="00000000" w:usb3="00000000" w:csb0="0004009F" w:csb1="DFD70000"/>
    <w:embedRegular r:id="rId4" w:fontKey="{D2158739-3754-4185-8922-E027FB6B7067}"/>
  </w:font>
  <w:font w:name="仿宋_GB2312">
    <w:altName w:val="仿宋"/>
    <w:panose1 w:val="02010609030101010101"/>
    <w:charset w:val="86"/>
    <w:family w:val="auto"/>
    <w:pitch w:val="default"/>
    <w:sig w:usb0="00000000" w:usb1="00000000" w:usb2="00000000" w:usb3="00000000" w:csb0="00040000" w:csb1="00000000"/>
    <w:embedRegular r:id="rId5" w:fontKey="{F33AB93A-0413-40D3-A777-C951373837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24CB3">
    <w:pPr>
      <w:pStyle w:val="1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47D1E">
    <w:pPr>
      <w:pStyle w:val="18"/>
      <w:rPr>
        <w:b/>
        <w:bCs/>
        <w:kern w:val="0"/>
        <w:sz w:val="21"/>
        <w:szCs w:val="24"/>
      </w:rPr>
    </w:pPr>
    <w:r>
      <w:rPr>
        <w:sz w:val="21"/>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685D37">
                          <w:pPr>
                            <w:pStyle w:val="1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B685D37">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FE2C9">
    <w:pPr>
      <w:pStyle w:val="18"/>
      <w:framePr w:wrap="around" w:vAnchor="text" w:hAnchor="margin" w:xAlign="right" w:y="1"/>
      <w:rPr>
        <w:rStyle w:val="30"/>
      </w:rPr>
    </w:pPr>
    <w:r>
      <w:fldChar w:fldCharType="begin"/>
    </w:r>
    <w:r>
      <w:rPr>
        <w:rStyle w:val="30"/>
      </w:rPr>
      <w:instrText xml:space="preserve">PAGE  </w:instrText>
    </w:r>
    <w:r>
      <w:fldChar w:fldCharType="separate"/>
    </w:r>
    <w:r>
      <w:rPr>
        <w:rStyle w:val="30"/>
      </w:rPr>
      <w:t>16</w:t>
    </w:r>
    <w:r>
      <w:fldChar w:fldCharType="end"/>
    </w:r>
  </w:p>
  <w:p w14:paraId="2F089A49">
    <w:pPr>
      <w:pStyle w:val="1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F1608">
    <w:pPr>
      <w:pStyle w:val="18"/>
      <w:jc w:val="both"/>
      <w:rPr>
        <w:b/>
        <w:bCs/>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D15AD5">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5D15AD5">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FFB6A">
    <w:pPr>
      <w:pStyle w:val="18"/>
      <w:rPr>
        <w:rFonts w:asciiTheme="minorEastAsia" w:hAnsiTheme="minorEastAsia" w:eastAsiaTheme="minorEastAsia"/>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448AD">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02448AD">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C659B">
    <w:pPr>
      <w:pStyle w:val="19"/>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53FC7">
    <w:pPr>
      <w:pStyle w:val="1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533A9">
    <w:pPr>
      <w:pStyle w:val="1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D7E8B">
    <w:pPr>
      <w:pStyle w:val="19"/>
      <w:jc w:val="left"/>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w:t>
    </w:r>
    <w:r>
      <w:rPr>
        <w:rFonts w:hint="eastAsia" w:asciiTheme="minorEastAsia" w:hAnsiTheme="minorEastAsia" w:eastAsiaTheme="minorEastAsia"/>
      </w:rPr>
      <w:t>竞争性磋商文件</w:t>
    </w:r>
    <w:r>
      <w:rPr>
        <w:rFonts w:hint="eastAsia" w:asciiTheme="minorEastAsia" w:hAnsiTheme="minorEastAsia" w:eastAsiaTheme="minorEastAsia"/>
        <w:lang w:eastAsia="zh-CN"/>
      </w:rPr>
      <w:t>示范文本（</w:t>
    </w:r>
    <w:r>
      <w:rPr>
        <w:rFonts w:hint="eastAsia" w:asciiTheme="minorEastAsia" w:hAnsiTheme="minorEastAsia" w:eastAsiaTheme="minorEastAsia"/>
      </w:rPr>
      <w:t>服务类</w:t>
    </w:r>
    <w:r>
      <w:rPr>
        <w:rFonts w:hint="eastAsia" w:asciiTheme="minorEastAsia" w:hAnsiTheme="minorEastAsia" w:eastAsiaTheme="minorEastAsia"/>
        <w:lang w:eastAsia="zh-CN"/>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NhOGFiZDlmMmFjZDZlMWZjN2IzMmRmNzQ3NDc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B9C"/>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D2998"/>
    <w:rsid w:val="009D31F7"/>
    <w:rsid w:val="009D32C2"/>
    <w:rsid w:val="009D50DB"/>
    <w:rsid w:val="009E2932"/>
    <w:rsid w:val="009E3A0A"/>
    <w:rsid w:val="009F1936"/>
    <w:rsid w:val="009F3E91"/>
    <w:rsid w:val="00A008DA"/>
    <w:rsid w:val="00A00C93"/>
    <w:rsid w:val="00A0571E"/>
    <w:rsid w:val="00A13A27"/>
    <w:rsid w:val="00A1499B"/>
    <w:rsid w:val="00A170D8"/>
    <w:rsid w:val="00A30A1B"/>
    <w:rsid w:val="00A311AD"/>
    <w:rsid w:val="00A314C2"/>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6012"/>
    <w:rsid w:val="00E860CA"/>
    <w:rsid w:val="00E86BAB"/>
    <w:rsid w:val="00E92962"/>
    <w:rsid w:val="00E94E10"/>
    <w:rsid w:val="00E96743"/>
    <w:rsid w:val="00E96A42"/>
    <w:rsid w:val="00E97497"/>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EB0203"/>
    <w:rsid w:val="030D690E"/>
    <w:rsid w:val="03483348"/>
    <w:rsid w:val="045F4DF2"/>
    <w:rsid w:val="04AA5E67"/>
    <w:rsid w:val="061B09E7"/>
    <w:rsid w:val="06AE129F"/>
    <w:rsid w:val="072D20A4"/>
    <w:rsid w:val="073B420D"/>
    <w:rsid w:val="07FF390C"/>
    <w:rsid w:val="09A909AA"/>
    <w:rsid w:val="09DF22A4"/>
    <w:rsid w:val="0A3D35AB"/>
    <w:rsid w:val="0A424F95"/>
    <w:rsid w:val="0A542106"/>
    <w:rsid w:val="0A6C4667"/>
    <w:rsid w:val="0BB70F2B"/>
    <w:rsid w:val="0BBE711B"/>
    <w:rsid w:val="0BD47173"/>
    <w:rsid w:val="0C1B47F2"/>
    <w:rsid w:val="0C4264AA"/>
    <w:rsid w:val="0C6157E5"/>
    <w:rsid w:val="0DB63633"/>
    <w:rsid w:val="10607C4F"/>
    <w:rsid w:val="106E6418"/>
    <w:rsid w:val="11323C4E"/>
    <w:rsid w:val="12D71D5F"/>
    <w:rsid w:val="138E2FF9"/>
    <w:rsid w:val="151B7FB7"/>
    <w:rsid w:val="1582093B"/>
    <w:rsid w:val="163E2706"/>
    <w:rsid w:val="16534086"/>
    <w:rsid w:val="167B6427"/>
    <w:rsid w:val="16B27D38"/>
    <w:rsid w:val="16CD3E38"/>
    <w:rsid w:val="1930691F"/>
    <w:rsid w:val="1A6528FE"/>
    <w:rsid w:val="1A835004"/>
    <w:rsid w:val="1B0D6EF9"/>
    <w:rsid w:val="1BA61F6F"/>
    <w:rsid w:val="1C1E5DF5"/>
    <w:rsid w:val="1C63029E"/>
    <w:rsid w:val="1C715A71"/>
    <w:rsid w:val="1CC921E7"/>
    <w:rsid w:val="1CF034E2"/>
    <w:rsid w:val="1D1C4205"/>
    <w:rsid w:val="1D444EB6"/>
    <w:rsid w:val="1DA840EB"/>
    <w:rsid w:val="1DCE3BD5"/>
    <w:rsid w:val="1DCF0FA3"/>
    <w:rsid w:val="1EB4768C"/>
    <w:rsid w:val="1FC11A1F"/>
    <w:rsid w:val="20C16461"/>
    <w:rsid w:val="20FF5536"/>
    <w:rsid w:val="213A5CF5"/>
    <w:rsid w:val="21E708E7"/>
    <w:rsid w:val="226F2197"/>
    <w:rsid w:val="230A4932"/>
    <w:rsid w:val="23146520"/>
    <w:rsid w:val="23585502"/>
    <w:rsid w:val="23596C26"/>
    <w:rsid w:val="23780CBF"/>
    <w:rsid w:val="24577437"/>
    <w:rsid w:val="247E191F"/>
    <w:rsid w:val="25757B75"/>
    <w:rsid w:val="262D78EB"/>
    <w:rsid w:val="26685779"/>
    <w:rsid w:val="27CA60F4"/>
    <w:rsid w:val="27E85AF1"/>
    <w:rsid w:val="27F460A8"/>
    <w:rsid w:val="28C929C1"/>
    <w:rsid w:val="295220BC"/>
    <w:rsid w:val="29DA6B0B"/>
    <w:rsid w:val="2A093B18"/>
    <w:rsid w:val="2A8D7B4E"/>
    <w:rsid w:val="2ABD245A"/>
    <w:rsid w:val="2AEE0AE3"/>
    <w:rsid w:val="2B412386"/>
    <w:rsid w:val="2BB34FD2"/>
    <w:rsid w:val="2C300E8E"/>
    <w:rsid w:val="2CAE7E10"/>
    <w:rsid w:val="2CEA687B"/>
    <w:rsid w:val="2D1633EB"/>
    <w:rsid w:val="2DE16C1F"/>
    <w:rsid w:val="2E1B2EA1"/>
    <w:rsid w:val="2E63511A"/>
    <w:rsid w:val="2EA72597"/>
    <w:rsid w:val="2EB35320"/>
    <w:rsid w:val="2EBD433B"/>
    <w:rsid w:val="2F111D48"/>
    <w:rsid w:val="2F317872"/>
    <w:rsid w:val="2F3F0C54"/>
    <w:rsid w:val="2F4615DA"/>
    <w:rsid w:val="30ED2B9B"/>
    <w:rsid w:val="31197749"/>
    <w:rsid w:val="32382656"/>
    <w:rsid w:val="32691053"/>
    <w:rsid w:val="32A538A5"/>
    <w:rsid w:val="330E360D"/>
    <w:rsid w:val="33B37D2E"/>
    <w:rsid w:val="33FE167D"/>
    <w:rsid w:val="341669C7"/>
    <w:rsid w:val="352620DC"/>
    <w:rsid w:val="35E13004"/>
    <w:rsid w:val="35E5310F"/>
    <w:rsid w:val="3661430F"/>
    <w:rsid w:val="369D587E"/>
    <w:rsid w:val="36CF1D5D"/>
    <w:rsid w:val="370F3BF6"/>
    <w:rsid w:val="377838EB"/>
    <w:rsid w:val="38AD0855"/>
    <w:rsid w:val="39293004"/>
    <w:rsid w:val="39882115"/>
    <w:rsid w:val="39E10D60"/>
    <w:rsid w:val="39F942C0"/>
    <w:rsid w:val="3B3170C8"/>
    <w:rsid w:val="3BC431AC"/>
    <w:rsid w:val="3BFC5E74"/>
    <w:rsid w:val="3C0059BB"/>
    <w:rsid w:val="3C5F3E33"/>
    <w:rsid w:val="3E7A3FF6"/>
    <w:rsid w:val="3F5E4365"/>
    <w:rsid w:val="40412C5A"/>
    <w:rsid w:val="413E755D"/>
    <w:rsid w:val="415470E2"/>
    <w:rsid w:val="41AF5742"/>
    <w:rsid w:val="41B94E35"/>
    <w:rsid w:val="41BB759E"/>
    <w:rsid w:val="41FF6CEC"/>
    <w:rsid w:val="42B740A7"/>
    <w:rsid w:val="4353477A"/>
    <w:rsid w:val="436A0DE9"/>
    <w:rsid w:val="43783307"/>
    <w:rsid w:val="43C05511"/>
    <w:rsid w:val="446B6021"/>
    <w:rsid w:val="44CE57BC"/>
    <w:rsid w:val="44E87F0C"/>
    <w:rsid w:val="45FC7108"/>
    <w:rsid w:val="46E22739"/>
    <w:rsid w:val="473A7BED"/>
    <w:rsid w:val="47863A67"/>
    <w:rsid w:val="478F71C4"/>
    <w:rsid w:val="47C4691C"/>
    <w:rsid w:val="4821786A"/>
    <w:rsid w:val="4825146D"/>
    <w:rsid w:val="482B373E"/>
    <w:rsid w:val="48CC6A04"/>
    <w:rsid w:val="4A6169D0"/>
    <w:rsid w:val="4B014864"/>
    <w:rsid w:val="4B1B26BD"/>
    <w:rsid w:val="4B954E7C"/>
    <w:rsid w:val="4E6B046C"/>
    <w:rsid w:val="4E707289"/>
    <w:rsid w:val="4E9E4717"/>
    <w:rsid w:val="4EEA3D40"/>
    <w:rsid w:val="4F00728A"/>
    <w:rsid w:val="4F3F6AB1"/>
    <w:rsid w:val="4F5D071B"/>
    <w:rsid w:val="4F9B688F"/>
    <w:rsid w:val="505B1306"/>
    <w:rsid w:val="50926F7D"/>
    <w:rsid w:val="52EA4B52"/>
    <w:rsid w:val="53C40687"/>
    <w:rsid w:val="54087D99"/>
    <w:rsid w:val="54286C25"/>
    <w:rsid w:val="54A72003"/>
    <w:rsid w:val="56023921"/>
    <w:rsid w:val="57291FC1"/>
    <w:rsid w:val="5809250B"/>
    <w:rsid w:val="584A135A"/>
    <w:rsid w:val="58CB5722"/>
    <w:rsid w:val="59392054"/>
    <w:rsid w:val="5A156B40"/>
    <w:rsid w:val="5A3617D9"/>
    <w:rsid w:val="5A7F6B6C"/>
    <w:rsid w:val="5ABE7EC5"/>
    <w:rsid w:val="5AFB613D"/>
    <w:rsid w:val="5B884B20"/>
    <w:rsid w:val="5BA5225B"/>
    <w:rsid w:val="5BC0556E"/>
    <w:rsid w:val="5BC81C40"/>
    <w:rsid w:val="5C221AFD"/>
    <w:rsid w:val="5D740137"/>
    <w:rsid w:val="5D792AAE"/>
    <w:rsid w:val="5DA327CA"/>
    <w:rsid w:val="5E0B036F"/>
    <w:rsid w:val="5E6C3469"/>
    <w:rsid w:val="5FD74633"/>
    <w:rsid w:val="60522AB9"/>
    <w:rsid w:val="60947504"/>
    <w:rsid w:val="60E412C0"/>
    <w:rsid w:val="61A83F2D"/>
    <w:rsid w:val="61E323AE"/>
    <w:rsid w:val="62092E18"/>
    <w:rsid w:val="623331AC"/>
    <w:rsid w:val="625772C4"/>
    <w:rsid w:val="62B954B8"/>
    <w:rsid w:val="62F53596"/>
    <w:rsid w:val="636F3034"/>
    <w:rsid w:val="63ED29F1"/>
    <w:rsid w:val="650516A8"/>
    <w:rsid w:val="65330581"/>
    <w:rsid w:val="657472BF"/>
    <w:rsid w:val="65830E72"/>
    <w:rsid w:val="66E81280"/>
    <w:rsid w:val="67281F92"/>
    <w:rsid w:val="69110DD3"/>
    <w:rsid w:val="691D526F"/>
    <w:rsid w:val="69676D3F"/>
    <w:rsid w:val="6A2E3597"/>
    <w:rsid w:val="6C1F5711"/>
    <w:rsid w:val="6C723784"/>
    <w:rsid w:val="6C8639E2"/>
    <w:rsid w:val="6C8D150C"/>
    <w:rsid w:val="6CE35249"/>
    <w:rsid w:val="6DE91597"/>
    <w:rsid w:val="6E39711A"/>
    <w:rsid w:val="6E3B6563"/>
    <w:rsid w:val="6E997D6C"/>
    <w:rsid w:val="6EF616F6"/>
    <w:rsid w:val="6F5D575B"/>
    <w:rsid w:val="705619F8"/>
    <w:rsid w:val="71467526"/>
    <w:rsid w:val="71FF67DD"/>
    <w:rsid w:val="74B231F1"/>
    <w:rsid w:val="74FC2405"/>
    <w:rsid w:val="754058DD"/>
    <w:rsid w:val="75971777"/>
    <w:rsid w:val="771A04F8"/>
    <w:rsid w:val="77AB254F"/>
    <w:rsid w:val="781C344D"/>
    <w:rsid w:val="784A4B73"/>
    <w:rsid w:val="786924FD"/>
    <w:rsid w:val="789518CC"/>
    <w:rsid w:val="79404F19"/>
    <w:rsid w:val="799B26EC"/>
    <w:rsid w:val="7A5B3FA8"/>
    <w:rsid w:val="7B8C2698"/>
    <w:rsid w:val="7BA174E1"/>
    <w:rsid w:val="7BA619AB"/>
    <w:rsid w:val="7BC04FC3"/>
    <w:rsid w:val="7BD14F61"/>
    <w:rsid w:val="7C9C0693"/>
    <w:rsid w:val="7CA72746"/>
    <w:rsid w:val="7DC33C3F"/>
    <w:rsid w:val="7E2B263C"/>
    <w:rsid w:val="7E5A6A7D"/>
    <w:rsid w:val="7EA81A90"/>
    <w:rsid w:val="7F2B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qFormat="1" w:unhideWhenUsed="0" w:uiPriority="39" w:semiHidden="0"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6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3"/>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8"/>
    <w:qFormat/>
    <w:uiPriority w:val="0"/>
    <w:pPr>
      <w:keepNext/>
      <w:keepLines/>
      <w:spacing w:before="280" w:after="290" w:line="376" w:lineRule="auto"/>
      <w:outlineLvl w:val="3"/>
    </w:pPr>
    <w:rPr>
      <w:b/>
      <w:bCs/>
      <w:sz w:val="28"/>
      <w:szCs w:val="28"/>
    </w:rPr>
  </w:style>
  <w:style w:type="paragraph" w:styleId="6">
    <w:name w:val="heading 5"/>
    <w:basedOn w:val="1"/>
    <w:next w:val="1"/>
    <w:qFormat/>
    <w:uiPriority w:val="0"/>
    <w:pPr>
      <w:keepNext/>
      <w:keepLines/>
      <w:spacing w:before="280" w:beforeLines="0" w:after="290" w:afterLines="0" w:line="372" w:lineRule="auto"/>
      <w:outlineLvl w:val="4"/>
    </w:pPr>
    <w:rPr>
      <w:b/>
      <w:bCs/>
      <w:kern w:val="2"/>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39"/>
    <w:pPr>
      <w:ind w:left="1260"/>
      <w:jc w:val="left"/>
    </w:pPr>
    <w:rPr>
      <w:sz w:val="18"/>
      <w:szCs w:val="18"/>
    </w:rPr>
  </w:style>
  <w:style w:type="paragraph" w:styleId="8">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9">
    <w:name w:val="annotation text"/>
    <w:basedOn w:val="1"/>
    <w:link w:val="60"/>
    <w:qFormat/>
    <w:uiPriority w:val="0"/>
    <w:pPr>
      <w:jc w:val="left"/>
    </w:pPr>
    <w:rPr>
      <w:rFonts w:ascii="Arial" w:hAnsi="Arial" w:eastAsia="黑体" w:cs="Arial"/>
    </w:rPr>
  </w:style>
  <w:style w:type="paragraph" w:styleId="10">
    <w:name w:val="Body Text"/>
    <w:basedOn w:val="1"/>
    <w:link w:val="69"/>
    <w:qFormat/>
    <w:uiPriority w:val="0"/>
    <w:pPr>
      <w:spacing w:after="120"/>
    </w:pPr>
    <w:rPr>
      <w:rFonts w:ascii="@微软简标宋" w:hAnsi="@微软简标宋" w:eastAsia="@微软简标宋" w:cs="@微软简标宋"/>
      <w:szCs w:val="24"/>
      <w:lang w:val="zh-CN"/>
    </w:rPr>
  </w:style>
  <w:style w:type="paragraph" w:styleId="11">
    <w:name w:val="Body Text Indent"/>
    <w:basedOn w:val="1"/>
    <w:next w:val="12"/>
    <w:qFormat/>
    <w:uiPriority w:val="0"/>
    <w:pPr>
      <w:spacing w:after="120" w:afterLines="0"/>
      <w:ind w:left="420" w:leftChars="200"/>
    </w:pPr>
    <w:rPr>
      <w:rFonts w:ascii="Times New Roman" w:hAnsi="Times New Roman" w:eastAsia="宋体" w:cs="Times New Roman"/>
      <w:szCs w:val="24"/>
    </w:rPr>
  </w:style>
  <w:style w:type="paragraph" w:styleId="12">
    <w:name w:val="envelope return"/>
    <w:basedOn w:val="1"/>
    <w:next w:val="7"/>
    <w:qFormat/>
    <w:uiPriority w:val="0"/>
    <w:pPr>
      <w:wordWrap w:val="0"/>
      <w:adjustRightInd w:val="0"/>
      <w:snapToGrid w:val="0"/>
      <w:spacing w:line="360" w:lineRule="atLeast"/>
      <w:textAlignment w:val="baseline"/>
    </w:pPr>
    <w:rPr>
      <w:rFonts w:ascii="Arial" w:hAnsi="Arial" w:eastAsia="BatangChe"/>
      <w:kern w:val="0"/>
      <w:sz w:val="20"/>
      <w:lang w:eastAsia="ko-KR"/>
    </w:rPr>
  </w:style>
  <w:style w:type="paragraph" w:styleId="13">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49"/>
    <w:qFormat/>
    <w:uiPriority w:val="99"/>
    <w:rPr>
      <w:rFonts w:ascii="宋体" w:hAnsi="Courier New" w:eastAsiaTheme="minorEastAsia" w:cstheme="minorBidi"/>
      <w:szCs w:val="22"/>
    </w:rPr>
  </w:style>
  <w:style w:type="paragraph" w:styleId="15">
    <w:name w:val="Date"/>
    <w:basedOn w:val="1"/>
    <w:next w:val="1"/>
    <w:link w:val="56"/>
    <w:qFormat/>
    <w:uiPriority w:val="0"/>
    <w:rPr>
      <w:rFonts w:ascii="Arial" w:hAnsi="Arial" w:eastAsia="宋体" w:cs="Arial"/>
      <w:b/>
      <w:sz w:val="28"/>
    </w:rPr>
  </w:style>
  <w:style w:type="paragraph" w:styleId="16">
    <w:name w:val="Body Text Indent 2"/>
    <w:basedOn w:val="1"/>
    <w:qFormat/>
    <w:uiPriority w:val="0"/>
    <w:pPr>
      <w:spacing w:line="360" w:lineRule="exact"/>
      <w:ind w:firstLine="600" w:firstLineChars="250"/>
      <w:jc w:val="left"/>
    </w:pPr>
    <w:rPr>
      <w:sz w:val="24"/>
    </w:rPr>
  </w:style>
  <w:style w:type="paragraph" w:styleId="17">
    <w:name w:val="Balloon Text"/>
    <w:basedOn w:val="1"/>
    <w:link w:val="43"/>
    <w:semiHidden/>
    <w:unhideWhenUsed/>
    <w:qFormat/>
    <w:uiPriority w:val="99"/>
    <w:rPr>
      <w:sz w:val="18"/>
      <w:szCs w:val="18"/>
    </w:rPr>
  </w:style>
  <w:style w:type="paragraph" w:styleId="18">
    <w:name w:val="footer"/>
    <w:basedOn w:val="1"/>
    <w:link w:val="48"/>
    <w:unhideWhenUsed/>
    <w:qFormat/>
    <w:uiPriority w:val="99"/>
    <w:pPr>
      <w:tabs>
        <w:tab w:val="center" w:pos="4153"/>
        <w:tab w:val="right" w:pos="8306"/>
      </w:tabs>
      <w:snapToGrid w:val="0"/>
      <w:jc w:val="left"/>
    </w:pPr>
    <w:rPr>
      <w:sz w:val="18"/>
      <w:szCs w:val="18"/>
    </w:rPr>
  </w:style>
  <w:style w:type="paragraph" w:styleId="19">
    <w:name w:val="header"/>
    <w:basedOn w:val="1"/>
    <w:link w:val="47"/>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1">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2">
    <w:name w:val="Normal (Web)"/>
    <w:basedOn w:val="1"/>
    <w:qFormat/>
    <w:uiPriority w:val="0"/>
    <w:pPr>
      <w:spacing w:before="100" w:beforeAutospacing="1" w:after="100" w:afterAutospacing="1"/>
      <w:jc w:val="left"/>
    </w:pPr>
    <w:rPr>
      <w:rFonts w:cs="Times New Roman"/>
      <w:kern w:val="0"/>
      <w:sz w:val="24"/>
    </w:rPr>
  </w:style>
  <w:style w:type="paragraph" w:styleId="23">
    <w:name w:val="index 1"/>
    <w:basedOn w:val="1"/>
    <w:next w:val="1"/>
    <w:qFormat/>
    <w:uiPriority w:val="0"/>
    <w:pPr>
      <w:jc w:val="center"/>
    </w:pPr>
    <w:rPr>
      <w:rFonts w:ascii="Arial" w:hAnsi="Arial" w:eastAsia="Arial" w:cs="Arial"/>
      <w:b/>
      <w:bCs/>
      <w:sz w:val="28"/>
    </w:rPr>
  </w:style>
  <w:style w:type="paragraph" w:styleId="24">
    <w:name w:val="Body Text First Indent"/>
    <w:basedOn w:val="10"/>
    <w:unhideWhenUsed/>
    <w:qFormat/>
    <w:uiPriority w:val="99"/>
    <w:pPr>
      <w:ind w:firstLine="420" w:firstLineChars="100"/>
    </w:pPr>
  </w:style>
  <w:style w:type="paragraph" w:styleId="25">
    <w:name w:val="Body Text First Indent 2"/>
    <w:basedOn w:val="11"/>
    <w:next w:val="1"/>
    <w:qFormat/>
    <w:uiPriority w:val="0"/>
    <w:pPr>
      <w:tabs>
        <w:tab w:val="left" w:pos="1176"/>
      </w:tabs>
      <w:ind w:firstLine="200" w:firstLineChars="200"/>
    </w:pPr>
  </w:style>
  <w:style w:type="table" w:styleId="27">
    <w:name w:val="Table Grid"/>
    <w:basedOn w:val="2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0"/>
    <w:rPr>
      <w:b/>
      <w:bCs/>
    </w:rPr>
  </w:style>
  <w:style w:type="character" w:styleId="30">
    <w:name w:val="page number"/>
    <w:qFormat/>
    <w:uiPriority w:val="0"/>
  </w:style>
  <w:style w:type="character" w:styleId="31">
    <w:name w:val="FollowedHyperlink"/>
    <w:basedOn w:val="28"/>
    <w:semiHidden/>
    <w:unhideWhenUsed/>
    <w:qFormat/>
    <w:uiPriority w:val="99"/>
    <w:rPr>
      <w:color w:val="800080"/>
      <w:u w:val="none"/>
    </w:rPr>
  </w:style>
  <w:style w:type="character" w:styleId="32">
    <w:name w:val="Emphasis"/>
    <w:basedOn w:val="28"/>
    <w:qFormat/>
    <w:uiPriority w:val="20"/>
    <w:rPr>
      <w:b/>
      <w:bCs/>
    </w:rPr>
  </w:style>
  <w:style w:type="character" w:styleId="33">
    <w:name w:val="HTML Definition"/>
    <w:basedOn w:val="28"/>
    <w:semiHidden/>
    <w:unhideWhenUsed/>
    <w:qFormat/>
    <w:uiPriority w:val="99"/>
  </w:style>
  <w:style w:type="character" w:styleId="34">
    <w:name w:val="HTML Typewriter"/>
    <w:basedOn w:val="28"/>
    <w:semiHidden/>
    <w:unhideWhenUsed/>
    <w:qFormat/>
    <w:uiPriority w:val="99"/>
    <w:rPr>
      <w:rFonts w:hint="default" w:ascii="monospace" w:hAnsi="monospace" w:eastAsia="monospace" w:cs="monospace"/>
      <w:sz w:val="20"/>
    </w:rPr>
  </w:style>
  <w:style w:type="character" w:styleId="35">
    <w:name w:val="HTML Acronym"/>
    <w:basedOn w:val="28"/>
    <w:semiHidden/>
    <w:unhideWhenUsed/>
    <w:qFormat/>
    <w:uiPriority w:val="99"/>
  </w:style>
  <w:style w:type="character" w:styleId="36">
    <w:name w:val="HTML Variable"/>
    <w:basedOn w:val="28"/>
    <w:semiHidden/>
    <w:unhideWhenUsed/>
    <w:qFormat/>
    <w:uiPriority w:val="99"/>
  </w:style>
  <w:style w:type="character" w:styleId="37">
    <w:name w:val="Hyperlink"/>
    <w:basedOn w:val="28"/>
    <w:unhideWhenUsed/>
    <w:qFormat/>
    <w:uiPriority w:val="99"/>
    <w:rPr>
      <w:color w:val="0000FF" w:themeColor="hyperlink"/>
      <w:u w:val="single"/>
      <w14:textFill>
        <w14:solidFill>
          <w14:schemeClr w14:val="hlink"/>
        </w14:solidFill>
      </w14:textFill>
    </w:rPr>
  </w:style>
  <w:style w:type="character" w:styleId="38">
    <w:name w:val="HTML Code"/>
    <w:basedOn w:val="28"/>
    <w:semiHidden/>
    <w:unhideWhenUsed/>
    <w:qFormat/>
    <w:uiPriority w:val="99"/>
    <w:rPr>
      <w:rFonts w:ascii="monospace" w:hAnsi="monospace" w:eastAsia="monospace" w:cs="monospace"/>
      <w:sz w:val="20"/>
    </w:rPr>
  </w:style>
  <w:style w:type="character" w:styleId="39">
    <w:name w:val="HTML Cite"/>
    <w:basedOn w:val="28"/>
    <w:semiHidden/>
    <w:unhideWhenUsed/>
    <w:qFormat/>
    <w:uiPriority w:val="99"/>
  </w:style>
  <w:style w:type="character" w:styleId="40">
    <w:name w:val="HTML Keyboard"/>
    <w:basedOn w:val="28"/>
    <w:semiHidden/>
    <w:unhideWhenUsed/>
    <w:qFormat/>
    <w:uiPriority w:val="99"/>
    <w:rPr>
      <w:rFonts w:hint="default" w:ascii="monospace" w:hAnsi="monospace" w:eastAsia="monospace" w:cs="monospace"/>
      <w:sz w:val="20"/>
    </w:rPr>
  </w:style>
  <w:style w:type="character" w:styleId="41">
    <w:name w:val="HTML Sample"/>
    <w:basedOn w:val="28"/>
    <w:semiHidden/>
    <w:unhideWhenUsed/>
    <w:qFormat/>
    <w:uiPriority w:val="99"/>
    <w:rPr>
      <w:rFonts w:hint="default" w:ascii="monospace" w:hAnsi="monospace" w:eastAsia="monospace" w:cs="monospace"/>
    </w:rPr>
  </w:style>
  <w:style w:type="paragraph" w:customStyle="1" w:styleId="42">
    <w:name w:val="一级标题"/>
    <w:basedOn w:val="1"/>
    <w:next w:val="10"/>
    <w:qFormat/>
    <w:uiPriority w:val="0"/>
    <w:pPr>
      <w:outlineLvl w:val="0"/>
    </w:pPr>
    <w:rPr>
      <w:b/>
      <w:bCs/>
      <w:sz w:val="32"/>
    </w:rPr>
  </w:style>
  <w:style w:type="character" w:customStyle="1" w:styleId="43">
    <w:name w:val="批注框文本 Char"/>
    <w:basedOn w:val="28"/>
    <w:link w:val="17"/>
    <w:semiHidden/>
    <w:qFormat/>
    <w:uiPriority w:val="99"/>
    <w:rPr>
      <w:rFonts w:ascii="@仿宋_GB2312" w:hAnsi="@仿宋_GB2312" w:eastAsia="@仿宋_GB2312" w:cs="@仿宋_GB2312"/>
      <w:sz w:val="18"/>
      <w:szCs w:val="18"/>
    </w:rPr>
  </w:style>
  <w:style w:type="paragraph" w:customStyle="1" w:styleId="44">
    <w:name w:val="正文（缩进）"/>
    <w:basedOn w:val="1"/>
    <w:qFormat/>
    <w:uiPriority w:val="0"/>
    <w:pPr>
      <w:widowControl/>
      <w:spacing w:before="156" w:after="156"/>
      <w:ind w:firstLine="480" w:firstLineChars="200"/>
      <w:jc w:val="left"/>
    </w:pPr>
    <w:rPr>
      <w:kern w:val="0"/>
      <w:sz w:val="24"/>
      <w:szCs w:val="24"/>
    </w:rPr>
  </w:style>
  <w:style w:type="paragraph" w:customStyle="1" w:styleId="45">
    <w:name w:val="xl31"/>
    <w:basedOn w:val="1"/>
    <w:qFormat/>
    <w:uiPriority w:val="0"/>
    <w:pPr>
      <w:widowControl/>
      <w:spacing w:before="100" w:beforeAutospacing="1" w:after="100" w:afterAutospacing="1"/>
      <w:jc w:val="center"/>
    </w:pPr>
    <w:rPr>
      <w:b/>
      <w:bCs/>
      <w:kern w:val="0"/>
      <w:sz w:val="28"/>
      <w:szCs w:val="28"/>
    </w:rPr>
  </w:style>
  <w:style w:type="paragraph" w:customStyle="1" w:styleId="46">
    <w:name w:val="D&amp;L"/>
    <w:basedOn w:val="19"/>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7">
    <w:name w:val="页眉 Char"/>
    <w:basedOn w:val="28"/>
    <w:link w:val="19"/>
    <w:qFormat/>
    <w:uiPriority w:val="0"/>
    <w:rPr>
      <w:rFonts w:ascii="@仿宋_GB2312" w:hAnsi="@仿宋_GB2312" w:eastAsia="@仿宋_GB2312" w:cs="@仿宋_GB2312"/>
      <w:sz w:val="18"/>
      <w:szCs w:val="18"/>
    </w:rPr>
  </w:style>
  <w:style w:type="character" w:customStyle="1" w:styleId="48">
    <w:name w:val="页脚 Char"/>
    <w:basedOn w:val="28"/>
    <w:link w:val="18"/>
    <w:qFormat/>
    <w:uiPriority w:val="99"/>
    <w:rPr>
      <w:rFonts w:ascii="@仿宋_GB2312" w:hAnsi="@仿宋_GB2312" w:eastAsia="@仿宋_GB2312" w:cs="@仿宋_GB2312"/>
      <w:sz w:val="18"/>
      <w:szCs w:val="18"/>
    </w:rPr>
  </w:style>
  <w:style w:type="character" w:customStyle="1" w:styleId="49">
    <w:name w:val="纯文本 Char"/>
    <w:link w:val="14"/>
    <w:qFormat/>
    <w:uiPriority w:val="0"/>
    <w:rPr>
      <w:rFonts w:ascii="宋体" w:hAnsi="Courier New"/>
    </w:rPr>
  </w:style>
  <w:style w:type="character" w:customStyle="1" w:styleId="50">
    <w:name w:val="纯文本 字符1"/>
    <w:basedOn w:val="28"/>
    <w:semiHidden/>
    <w:qFormat/>
    <w:uiPriority w:val="99"/>
    <w:rPr>
      <w:rFonts w:hAnsi="Courier New" w:cs="Courier New" w:asciiTheme="minorEastAsia"/>
      <w:szCs w:val="20"/>
    </w:rPr>
  </w:style>
  <w:style w:type="character" w:customStyle="1" w:styleId="51">
    <w:name w:val="未处理的提及1"/>
    <w:basedOn w:val="28"/>
    <w:semiHidden/>
    <w:unhideWhenUsed/>
    <w:qFormat/>
    <w:uiPriority w:val="99"/>
    <w:rPr>
      <w:color w:val="605E5C"/>
      <w:shd w:val="clear" w:color="auto" w:fill="E1DFDD"/>
    </w:rPr>
  </w:style>
  <w:style w:type="paragraph" w:styleId="52">
    <w:name w:val="List Paragraph"/>
    <w:basedOn w:val="1"/>
    <w:qFormat/>
    <w:uiPriority w:val="34"/>
    <w:pPr>
      <w:ind w:firstLine="420" w:firstLineChars="200"/>
    </w:pPr>
  </w:style>
  <w:style w:type="paragraph" w:customStyle="1" w:styleId="53">
    <w:name w:val="Char Char Char Char Char Char Char1 Char"/>
    <w:basedOn w:val="1"/>
    <w:qFormat/>
    <w:uiPriority w:val="0"/>
    <w:rPr>
      <w:rFonts w:ascii="Arial" w:hAnsi="Arial" w:eastAsia="宋体" w:cs="Arial"/>
      <w:sz w:val="24"/>
    </w:rPr>
  </w:style>
  <w:style w:type="table" w:customStyle="1" w:styleId="54">
    <w:name w:val="网格表 1 浅色1"/>
    <w:basedOn w:val="26"/>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5">
    <w:name w:val="日期 字符"/>
    <w:basedOn w:val="28"/>
    <w:semiHidden/>
    <w:qFormat/>
    <w:uiPriority w:val="99"/>
    <w:rPr>
      <w:rFonts w:ascii="@仿宋_GB2312" w:hAnsi="@仿宋_GB2312" w:eastAsia="@仿宋_GB2312" w:cs="@仿宋_GB2312"/>
      <w:szCs w:val="20"/>
    </w:rPr>
  </w:style>
  <w:style w:type="character" w:customStyle="1" w:styleId="56">
    <w:name w:val="日期 Char"/>
    <w:link w:val="15"/>
    <w:qFormat/>
    <w:uiPriority w:val="0"/>
    <w:rPr>
      <w:rFonts w:ascii="Arial" w:hAnsi="Arial" w:eastAsia="宋体" w:cs="Arial"/>
      <w:b/>
      <w:sz w:val="28"/>
      <w:szCs w:val="20"/>
    </w:rPr>
  </w:style>
  <w:style w:type="character" w:customStyle="1" w:styleId="57">
    <w:name w:val="纯文本 Char1"/>
    <w:link w:val="58"/>
    <w:qFormat/>
    <w:locked/>
    <w:uiPriority w:val="0"/>
    <w:rPr>
      <w:rFonts w:ascii="Arial" w:hAnsi="Arial" w:eastAsia="Arial"/>
      <w:kern w:val="2"/>
      <w:sz w:val="21"/>
      <w:lang w:val="en-US" w:eastAsia="zh-CN" w:bidi="ar-SA"/>
    </w:rPr>
  </w:style>
  <w:style w:type="paragraph" w:customStyle="1" w:styleId="58">
    <w:name w:val="纯文本1"/>
    <w:basedOn w:val="1"/>
    <w:link w:val="57"/>
    <w:qFormat/>
    <w:uiPriority w:val="0"/>
    <w:rPr>
      <w:rFonts w:ascii="Arial" w:hAnsi="Arial" w:eastAsia="Arial" w:cstheme="minorBidi"/>
    </w:rPr>
  </w:style>
  <w:style w:type="character" w:customStyle="1" w:styleId="59">
    <w:name w:val="批注文字 Char"/>
    <w:basedOn w:val="28"/>
    <w:semiHidden/>
    <w:qFormat/>
    <w:uiPriority w:val="99"/>
    <w:rPr>
      <w:rFonts w:ascii="@仿宋_GB2312" w:hAnsi="@仿宋_GB2312" w:eastAsia="@仿宋_GB2312" w:cs="@仿宋_GB2312"/>
      <w:szCs w:val="20"/>
    </w:rPr>
  </w:style>
  <w:style w:type="character" w:customStyle="1" w:styleId="60">
    <w:name w:val="批注文字 Char1"/>
    <w:link w:val="9"/>
    <w:qFormat/>
    <w:uiPriority w:val="0"/>
    <w:rPr>
      <w:rFonts w:ascii="Arial" w:hAnsi="Arial" w:eastAsia="黑体" w:cs="Arial"/>
      <w:szCs w:val="20"/>
    </w:rPr>
  </w:style>
  <w:style w:type="character" w:customStyle="1" w:styleId="61">
    <w:name w:val="标题 1 Char"/>
    <w:basedOn w:val="28"/>
    <w:link w:val="2"/>
    <w:qFormat/>
    <w:uiPriority w:val="9"/>
    <w:rPr>
      <w:rFonts w:ascii="@仿宋_GB2312" w:hAnsi="@仿宋_GB2312" w:eastAsia="@仿宋_GB2312" w:cs="@仿宋_GB2312"/>
      <w:b/>
      <w:bCs/>
      <w:kern w:val="44"/>
      <w:sz w:val="44"/>
      <w:szCs w:val="44"/>
    </w:rPr>
  </w:style>
  <w:style w:type="paragraph" w:customStyle="1" w:styleId="6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3">
    <w:name w:val="标题 3 Char"/>
    <w:basedOn w:val="28"/>
    <w:link w:val="4"/>
    <w:semiHidden/>
    <w:qFormat/>
    <w:uiPriority w:val="9"/>
    <w:rPr>
      <w:rFonts w:ascii="@仿宋_GB2312" w:hAnsi="@仿宋_GB2312" w:eastAsia="@仿宋_GB2312" w:cs="@仿宋_GB2312"/>
      <w:b/>
      <w:bCs/>
      <w:sz w:val="32"/>
      <w:szCs w:val="32"/>
    </w:rPr>
  </w:style>
  <w:style w:type="character" w:customStyle="1" w:styleId="64">
    <w:name w:val="fontstyle01"/>
    <w:basedOn w:val="28"/>
    <w:qFormat/>
    <w:uiPriority w:val="0"/>
    <w:rPr>
      <w:rFonts w:hint="eastAsia" w:ascii="宋体" w:hAnsi="宋体" w:eastAsia="宋体"/>
      <w:color w:val="000000"/>
      <w:sz w:val="22"/>
      <w:szCs w:val="22"/>
    </w:rPr>
  </w:style>
  <w:style w:type="character" w:customStyle="1" w:styleId="65">
    <w:name w:val="fontstyle21"/>
    <w:basedOn w:val="28"/>
    <w:qFormat/>
    <w:uiPriority w:val="0"/>
    <w:rPr>
      <w:rFonts w:hint="default" w:ascii="TimesNewRomanPSMT" w:hAnsi="TimesNewRomanPSMT"/>
      <w:color w:val="000000"/>
      <w:sz w:val="22"/>
      <w:szCs w:val="22"/>
    </w:rPr>
  </w:style>
  <w:style w:type="character" w:customStyle="1" w:styleId="6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7">
    <w:name w:val="标题 4 字符"/>
    <w:basedOn w:val="28"/>
    <w:semiHidden/>
    <w:qFormat/>
    <w:uiPriority w:val="9"/>
    <w:rPr>
      <w:rFonts w:asciiTheme="majorHAnsi" w:hAnsiTheme="majorHAnsi" w:eastAsiaTheme="majorEastAsia" w:cstheme="majorBidi"/>
      <w:b/>
      <w:bCs/>
      <w:sz w:val="28"/>
      <w:szCs w:val="28"/>
    </w:rPr>
  </w:style>
  <w:style w:type="character" w:customStyle="1" w:styleId="68">
    <w:name w:val="标题 4 Char"/>
    <w:link w:val="5"/>
    <w:qFormat/>
    <w:uiPriority w:val="0"/>
    <w:rPr>
      <w:rFonts w:ascii="@仿宋_GB2312" w:hAnsi="@仿宋_GB2312" w:eastAsia="@仿宋_GB2312" w:cs="@仿宋_GB2312"/>
      <w:b/>
      <w:bCs/>
      <w:sz w:val="28"/>
      <w:szCs w:val="28"/>
    </w:rPr>
  </w:style>
  <w:style w:type="character" w:customStyle="1" w:styleId="69">
    <w:name w:val="正文文本 Char"/>
    <w:basedOn w:val="28"/>
    <w:link w:val="10"/>
    <w:qFormat/>
    <w:uiPriority w:val="0"/>
    <w:rPr>
      <w:rFonts w:ascii="@微软简标宋" w:hAnsi="@微软简标宋" w:eastAsia="@微软简标宋" w:cs="@微软简标宋"/>
      <w:szCs w:val="24"/>
      <w:lang w:val="zh-CN" w:eastAsia="zh-CN"/>
    </w:rPr>
  </w:style>
  <w:style w:type="table" w:customStyle="1" w:styleId="70">
    <w:name w:val="网格型1"/>
    <w:basedOn w:val="26"/>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1">
    <w:name w:val="Table Normal"/>
    <w:semiHidden/>
    <w:unhideWhenUsed/>
    <w:qFormat/>
    <w:uiPriority w:val="0"/>
    <w:tblPr>
      <w:tblCellMar>
        <w:top w:w="0" w:type="dxa"/>
        <w:left w:w="0" w:type="dxa"/>
        <w:bottom w:w="0" w:type="dxa"/>
        <w:right w:w="0" w:type="dxa"/>
      </w:tblCellMar>
    </w:tblPr>
  </w:style>
  <w:style w:type="paragraph" w:customStyle="1" w:styleId="72">
    <w:name w:val="Table Text"/>
    <w:basedOn w:val="1"/>
    <w:semiHidden/>
    <w:qFormat/>
    <w:uiPriority w:val="0"/>
    <w:rPr>
      <w:rFonts w:ascii="Arial" w:hAnsi="Arial" w:eastAsia="Arial" w:cs="Arial"/>
      <w:sz w:val="21"/>
      <w:szCs w:val="21"/>
      <w:lang w:val="en-US" w:eastAsia="en-US" w:bidi="ar-SA"/>
    </w:rPr>
  </w:style>
  <w:style w:type="paragraph" w:customStyle="1" w:styleId="73">
    <w:name w:val="列出段落1"/>
    <w:basedOn w:val="1"/>
    <w:qFormat/>
    <w:uiPriority w:val="0"/>
    <w:pPr>
      <w:ind w:firstLine="420" w:firstLineChars="200"/>
    </w:pPr>
    <w:rPr>
      <w:szCs w:val="24"/>
    </w:rPr>
  </w:style>
  <w:style w:type="paragraph" w:customStyle="1" w:styleId="74">
    <w:name w:val="_Style 10"/>
    <w:basedOn w:val="2"/>
    <w:next w:val="1"/>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5351A8-48F5-4B18-AF42-26053916CB99}">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45</Pages>
  <Words>1453</Words>
  <Characters>1903</Characters>
  <Lines>208</Lines>
  <Paragraphs>58</Paragraphs>
  <TotalTime>2</TotalTime>
  <ScaleCrop>false</ScaleCrop>
  <LinksUpToDate>false</LinksUpToDate>
  <CharactersWithSpaces>1953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韦韦</cp:lastModifiedBy>
  <cp:lastPrinted>2026-07-23T11:42:00Z</cp:lastPrinted>
  <dcterms:modified xsi:type="dcterms:W3CDTF">2026-08-11T09:06:19Z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24F906A48D1243F8B80EB73AD427CEB1_13</vt:lpwstr>
  </property>
  <property fmtid="{D5CDD505-2E9C-101B-9397-08002B2CF9AE}" pid="4" name="KSOTemplateDocerSaveRecord">
    <vt:lpwstr>eyJoZGlkIjoiZmQ5MGI3YTdkMjVkZTZjM2ZjZTQ5YjMxYTJjZjRlOWEiLCJ1c2VySWQiOiIzNjE4MjQ5In0=</vt:lpwstr>
  </property>
</Properties>
</file>