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287B7F">
      <w:pPr>
        <w:tabs>
          <w:tab w:val="left" w:pos="315"/>
          <w:tab w:val="left" w:pos="8820"/>
        </w:tabs>
        <w:spacing w:before="317" w:beforeLines="100" w:after="158" w:afterLines="50" w:line="500" w:lineRule="exact"/>
        <w:ind w:right="267" w:rightChars="127"/>
        <w:jc w:val="center"/>
        <w:rPr>
          <w:rFonts w:hint="eastAsia" w:ascii="宋体" w:hAnsi="宋体" w:eastAsia="宋体"/>
          <w:b/>
          <w:bCs/>
          <w:color w:val="auto"/>
          <w:sz w:val="52"/>
          <w:szCs w:val="52"/>
          <w:highlight w:val="none"/>
        </w:rPr>
      </w:pPr>
      <w:r>
        <w:rPr>
          <w:rFonts w:hint="eastAsia" w:ascii="宋体" w:hAnsi="宋体" w:eastAsia="宋体"/>
          <w:b/>
          <w:bCs/>
          <w:color w:val="auto"/>
          <w:sz w:val="52"/>
          <w:szCs w:val="52"/>
          <w:highlight w:val="none"/>
        </w:rPr>
        <w:t xml:space="preserve"> </w:t>
      </w:r>
    </w:p>
    <w:p w14:paraId="6725B9D7">
      <w:pPr>
        <w:tabs>
          <w:tab w:val="left" w:pos="315"/>
          <w:tab w:val="left" w:pos="8820"/>
        </w:tabs>
        <w:spacing w:before="317" w:beforeLines="100" w:after="158" w:afterLines="50" w:line="500" w:lineRule="exact"/>
        <w:ind w:right="267" w:rightChars="127"/>
        <w:jc w:val="center"/>
        <w:rPr>
          <w:rFonts w:hint="eastAsia" w:ascii="宋体" w:hAnsi="宋体" w:eastAsia="宋体"/>
          <w:b/>
          <w:bCs/>
          <w:color w:val="auto"/>
          <w:sz w:val="52"/>
          <w:szCs w:val="52"/>
          <w:highlight w:val="none"/>
        </w:rPr>
      </w:pPr>
    </w:p>
    <w:p w14:paraId="1ADDD8AC">
      <w:pPr>
        <w:tabs>
          <w:tab w:val="left" w:pos="315"/>
          <w:tab w:val="left" w:pos="8820"/>
        </w:tabs>
        <w:spacing w:before="317" w:beforeLines="100" w:after="158" w:afterLines="50" w:line="500" w:lineRule="exact"/>
        <w:ind w:right="267" w:rightChars="127"/>
        <w:jc w:val="center"/>
        <w:rPr>
          <w:rFonts w:hint="eastAsia" w:ascii="宋体" w:hAnsi="宋体" w:eastAsia="宋体"/>
          <w:b/>
          <w:bCs/>
          <w:color w:val="auto"/>
          <w:sz w:val="52"/>
          <w:szCs w:val="52"/>
          <w:highlight w:val="none"/>
        </w:rPr>
      </w:pPr>
      <w:bookmarkStart w:id="0" w:name="_Hlk9544796"/>
      <w:r>
        <w:rPr>
          <w:rFonts w:hint="eastAsia" w:ascii="宋体" w:hAnsi="宋体" w:eastAsia="宋体"/>
          <w:b/>
          <w:bCs/>
          <w:color w:val="auto"/>
          <w:sz w:val="52"/>
          <w:szCs w:val="52"/>
          <w:highlight w:val="none"/>
        </w:rPr>
        <w:t>安徽省政府采购项目</w:t>
      </w:r>
    </w:p>
    <w:p w14:paraId="34C1B8CD">
      <w:pPr>
        <w:tabs>
          <w:tab w:val="left" w:pos="315"/>
          <w:tab w:val="left" w:pos="8820"/>
        </w:tabs>
        <w:spacing w:before="317" w:beforeLines="100" w:after="158" w:afterLines="50" w:line="500" w:lineRule="exact"/>
        <w:ind w:right="267" w:rightChars="127"/>
        <w:jc w:val="center"/>
        <w:rPr>
          <w:rFonts w:hint="eastAsia" w:ascii="宋体" w:hAnsi="宋体" w:eastAsia="宋体"/>
          <w:b/>
          <w:bCs/>
          <w:color w:val="auto"/>
          <w:sz w:val="52"/>
          <w:szCs w:val="52"/>
          <w:highlight w:val="none"/>
        </w:rPr>
      </w:pPr>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rPr>
        <w:t>（货物类）</w:t>
      </w:r>
    </w:p>
    <w:p w14:paraId="20B9F3B4">
      <w:pPr>
        <w:tabs>
          <w:tab w:val="left" w:pos="315"/>
          <w:tab w:val="left" w:pos="8820"/>
        </w:tabs>
        <w:spacing w:before="317" w:beforeLines="100" w:after="158" w:afterLines="50" w:line="500" w:lineRule="exact"/>
        <w:ind w:right="267" w:rightChars="127"/>
        <w:jc w:val="center"/>
        <w:rPr>
          <w:rFonts w:hint="eastAsia" w:ascii="宋体" w:hAnsi="宋体" w:eastAsia="宋体"/>
          <w:b/>
          <w:bCs/>
          <w:color w:val="auto"/>
          <w:sz w:val="52"/>
          <w:szCs w:val="52"/>
          <w:highlight w:val="none"/>
        </w:rPr>
      </w:pPr>
      <w:r>
        <w:rPr>
          <w:rFonts w:hint="eastAsia" w:ascii="宋体" w:hAnsi="宋体" w:eastAsia="宋体"/>
          <w:b/>
          <w:bCs/>
          <w:color w:val="auto"/>
          <w:sz w:val="52"/>
          <w:szCs w:val="52"/>
          <w:highlight w:val="none"/>
        </w:rPr>
        <w:t>（2026年版）</w:t>
      </w:r>
    </w:p>
    <w:p w14:paraId="27483BD5">
      <w:pPr>
        <w:tabs>
          <w:tab w:val="left" w:pos="315"/>
          <w:tab w:val="left" w:pos="8820"/>
        </w:tabs>
        <w:spacing w:before="317" w:beforeLines="100" w:after="158" w:afterLines="50" w:line="500" w:lineRule="exact"/>
        <w:ind w:right="267" w:rightChars="127"/>
        <w:jc w:val="center"/>
        <w:rPr>
          <w:rFonts w:hint="eastAsia" w:ascii="宋体" w:hAnsi="宋体" w:eastAsia="宋体"/>
          <w:b/>
          <w:bCs/>
          <w:color w:val="auto"/>
          <w:sz w:val="44"/>
          <w:szCs w:val="44"/>
          <w:highlight w:val="none"/>
        </w:rPr>
      </w:pPr>
    </w:p>
    <w:p w14:paraId="2A6A03D6">
      <w:pPr>
        <w:tabs>
          <w:tab w:val="left" w:pos="315"/>
          <w:tab w:val="left" w:pos="8820"/>
        </w:tabs>
        <w:spacing w:before="317" w:beforeLines="100" w:after="158" w:afterLines="50" w:line="500" w:lineRule="exact"/>
        <w:ind w:right="267" w:rightChars="127"/>
        <w:jc w:val="center"/>
        <w:rPr>
          <w:rFonts w:hint="eastAsia" w:ascii="宋体" w:hAnsi="宋体" w:eastAsia="宋体"/>
          <w:b/>
          <w:bCs/>
          <w:color w:val="auto"/>
          <w:sz w:val="44"/>
          <w:szCs w:val="44"/>
          <w:highlight w:val="none"/>
        </w:rPr>
      </w:pPr>
    </w:p>
    <w:p w14:paraId="4B01004E">
      <w:pPr>
        <w:tabs>
          <w:tab w:val="left" w:pos="315"/>
          <w:tab w:val="left" w:pos="8820"/>
        </w:tabs>
        <w:spacing w:before="317" w:beforeLines="100" w:after="158" w:afterLines="50" w:line="500" w:lineRule="exact"/>
        <w:ind w:right="267" w:rightChars="127"/>
        <w:jc w:val="center"/>
        <w:rPr>
          <w:rFonts w:hint="eastAsia" w:ascii="宋体" w:hAnsi="宋体" w:eastAsia="宋体"/>
          <w:b/>
          <w:bCs/>
          <w:color w:val="auto"/>
          <w:sz w:val="44"/>
          <w:szCs w:val="44"/>
          <w:highlight w:val="none"/>
        </w:rPr>
      </w:pPr>
    </w:p>
    <w:p w14:paraId="6A1633E1">
      <w:pPr>
        <w:tabs>
          <w:tab w:val="left" w:pos="315"/>
          <w:tab w:val="left" w:pos="8820"/>
        </w:tabs>
        <w:spacing w:before="317" w:beforeLines="100" w:after="158" w:afterLines="50" w:line="500" w:lineRule="exact"/>
        <w:ind w:right="267" w:rightChars="127"/>
        <w:jc w:val="center"/>
        <w:rPr>
          <w:rFonts w:hint="eastAsia" w:ascii="宋体" w:hAnsi="宋体" w:eastAsia="宋体"/>
          <w:b/>
          <w:bCs/>
          <w:color w:val="auto"/>
          <w:sz w:val="44"/>
          <w:szCs w:val="44"/>
          <w:highlight w:val="none"/>
        </w:rPr>
      </w:pPr>
    </w:p>
    <w:p w14:paraId="071E930E">
      <w:pPr>
        <w:tabs>
          <w:tab w:val="left" w:pos="315"/>
          <w:tab w:val="left" w:pos="8820"/>
        </w:tabs>
        <w:spacing w:before="317" w:beforeLines="100" w:after="158" w:afterLines="50" w:line="500" w:lineRule="exact"/>
        <w:ind w:right="267" w:rightChars="127"/>
        <w:jc w:val="center"/>
        <w:rPr>
          <w:rFonts w:hint="eastAsia" w:ascii="宋体" w:hAnsi="宋体" w:eastAsia="宋体"/>
          <w:b/>
          <w:bCs/>
          <w:color w:val="auto"/>
          <w:sz w:val="44"/>
          <w:szCs w:val="44"/>
          <w:highlight w:val="none"/>
        </w:rPr>
      </w:pPr>
    </w:p>
    <w:p w14:paraId="07FFA10E">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u w:val="single"/>
        </w:rPr>
      </w:pPr>
      <w:r>
        <w:rPr>
          <w:rFonts w:hint="eastAsia" w:ascii="宋体" w:hAnsi="宋体" w:eastAsia="宋体"/>
          <w:b/>
          <w:color w:val="auto"/>
          <w:spacing w:val="20"/>
          <w:kern w:val="0"/>
          <w:sz w:val="32"/>
          <w:szCs w:val="32"/>
          <w:highlight w:val="none"/>
        </w:rPr>
        <w:t>项目名称：</w:t>
      </w:r>
      <w:r>
        <w:rPr>
          <w:rFonts w:hint="eastAsia" w:ascii="宋体" w:hAnsi="宋体" w:eastAsia="宋体"/>
          <w:b/>
          <w:color w:val="auto"/>
          <w:spacing w:val="20"/>
          <w:kern w:val="0"/>
          <w:sz w:val="32"/>
          <w:szCs w:val="32"/>
          <w:highlight w:val="none"/>
          <w:u w:val="single"/>
        </w:rPr>
        <w:t>滁州职业技术学院商贸实训中心机房改造项目</w:t>
      </w:r>
    </w:p>
    <w:p w14:paraId="3C8870C8">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rPr>
      </w:pPr>
      <w:r>
        <w:rPr>
          <w:rFonts w:hint="eastAsia" w:ascii="宋体" w:hAnsi="宋体" w:eastAsia="宋体"/>
          <w:b/>
          <w:color w:val="auto"/>
          <w:spacing w:val="20"/>
          <w:kern w:val="0"/>
          <w:sz w:val="32"/>
          <w:szCs w:val="32"/>
          <w:highlight w:val="none"/>
        </w:rPr>
        <w:t>项目编号：</w:t>
      </w:r>
      <w:r>
        <w:rPr>
          <w:rFonts w:hint="eastAsia" w:ascii="宋体" w:hAnsi="宋体" w:eastAsia="宋体"/>
          <w:b/>
          <w:color w:val="auto"/>
          <w:spacing w:val="20"/>
          <w:kern w:val="0"/>
          <w:sz w:val="32"/>
          <w:szCs w:val="32"/>
          <w:highlight w:val="none"/>
          <w:u w:val="single"/>
          <w:lang w:val="en-US" w:eastAsia="zh-CN"/>
        </w:rPr>
        <w:t>czsjcg202607-036</w:t>
      </w:r>
    </w:p>
    <w:p w14:paraId="76A1B783">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rPr>
      </w:pPr>
      <w:r>
        <w:rPr>
          <w:rFonts w:hint="eastAsia" w:ascii="宋体" w:hAnsi="宋体" w:eastAsia="宋体"/>
          <w:b/>
          <w:color w:val="auto"/>
          <w:spacing w:val="20"/>
          <w:kern w:val="0"/>
          <w:sz w:val="32"/>
          <w:szCs w:val="32"/>
          <w:highlight w:val="none"/>
        </w:rPr>
        <w:t>采 购 人：</w:t>
      </w:r>
      <w:r>
        <w:rPr>
          <w:rFonts w:hint="eastAsia" w:ascii="宋体" w:hAnsi="宋体" w:eastAsia="宋体"/>
          <w:b/>
          <w:color w:val="auto"/>
          <w:spacing w:val="20"/>
          <w:kern w:val="0"/>
          <w:sz w:val="32"/>
          <w:szCs w:val="32"/>
          <w:highlight w:val="none"/>
          <w:u w:val="single"/>
        </w:rPr>
        <w:t>滁州职业技术学院</w:t>
      </w:r>
    </w:p>
    <w:p w14:paraId="092C3BD0">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rPr>
      </w:pPr>
      <w:r>
        <w:rPr>
          <w:rFonts w:hint="eastAsia" w:ascii="宋体" w:hAnsi="宋体" w:eastAsia="宋体"/>
          <w:b/>
          <w:color w:val="auto"/>
          <w:spacing w:val="20"/>
          <w:kern w:val="0"/>
          <w:sz w:val="32"/>
          <w:szCs w:val="32"/>
          <w:highlight w:val="none"/>
        </w:rPr>
        <w:t>采购代理机构：</w:t>
      </w:r>
      <w:r>
        <w:rPr>
          <w:rFonts w:hint="eastAsia" w:ascii="宋体" w:hAnsi="宋体" w:eastAsia="宋体"/>
          <w:b/>
          <w:color w:val="auto"/>
          <w:spacing w:val="20"/>
          <w:kern w:val="0"/>
          <w:sz w:val="32"/>
          <w:szCs w:val="32"/>
          <w:highlight w:val="none"/>
          <w:u w:val="single"/>
        </w:rPr>
        <w:t>滁州市政府采购中心</w:t>
      </w:r>
    </w:p>
    <w:p w14:paraId="2993693E">
      <w:pPr>
        <w:tabs>
          <w:tab w:val="left" w:pos="315"/>
          <w:tab w:val="left" w:pos="8820"/>
        </w:tabs>
        <w:spacing w:before="317" w:beforeLines="100" w:after="158" w:afterLines="50" w:line="500" w:lineRule="exact"/>
        <w:ind w:right="267" w:rightChars="127"/>
        <w:jc w:val="center"/>
        <w:rPr>
          <w:rFonts w:hint="eastAsia" w:ascii="宋体" w:hAnsi="宋体" w:eastAsia="宋体"/>
          <w:b/>
          <w:bCs/>
          <w:color w:val="auto"/>
          <w:sz w:val="44"/>
          <w:szCs w:val="44"/>
          <w:highlight w:val="none"/>
        </w:rPr>
      </w:pPr>
    </w:p>
    <w:p w14:paraId="33E1F0EF">
      <w:pPr>
        <w:tabs>
          <w:tab w:val="left" w:pos="2410"/>
        </w:tabs>
        <w:autoSpaceDE w:val="0"/>
        <w:autoSpaceDN w:val="0"/>
        <w:adjustRightInd w:val="0"/>
        <w:snapToGrid w:val="0"/>
        <w:spacing w:line="360" w:lineRule="auto"/>
        <w:jc w:val="center"/>
        <w:rPr>
          <w:rFonts w:hint="eastAsia" w:ascii="宋体" w:hAnsi="宋体" w:eastAsia="宋体"/>
          <w:b/>
          <w:color w:val="auto"/>
          <w:sz w:val="36"/>
          <w:highlight w:val="none"/>
        </w:rPr>
      </w:pPr>
      <w:r>
        <w:rPr>
          <w:rFonts w:hint="eastAsia" w:ascii="宋体" w:hAnsi="宋体" w:eastAsia="宋体"/>
          <w:b/>
          <w:color w:val="auto"/>
          <w:sz w:val="36"/>
          <w:highlight w:val="none"/>
          <w:u w:val="single"/>
        </w:rPr>
        <w:t>2026</w:t>
      </w:r>
      <w:r>
        <w:rPr>
          <w:rFonts w:hint="eastAsia" w:ascii="宋体" w:hAnsi="宋体" w:eastAsia="宋体"/>
          <w:b/>
          <w:color w:val="auto"/>
          <w:sz w:val="36"/>
          <w:highlight w:val="none"/>
        </w:rPr>
        <w:t>年</w:t>
      </w:r>
      <w:r>
        <w:rPr>
          <w:rFonts w:hint="eastAsia" w:ascii="宋体" w:hAnsi="宋体" w:eastAsia="宋体"/>
          <w:b/>
          <w:color w:val="auto"/>
          <w:sz w:val="36"/>
          <w:highlight w:val="none"/>
          <w:u w:val="single"/>
        </w:rPr>
        <w:t>7</w:t>
      </w:r>
      <w:r>
        <w:rPr>
          <w:rFonts w:hint="eastAsia" w:ascii="宋体" w:hAnsi="宋体" w:eastAsia="宋体"/>
          <w:b/>
          <w:color w:val="auto"/>
          <w:sz w:val="36"/>
          <w:highlight w:val="none"/>
        </w:rPr>
        <w:t>月</w:t>
      </w:r>
      <w:r>
        <w:rPr>
          <w:rFonts w:ascii="宋体" w:hAnsi="宋体" w:eastAsia="宋体"/>
          <w:b/>
          <w:color w:val="auto"/>
          <w:sz w:val="36"/>
          <w:highlight w:val="none"/>
        </w:rPr>
        <w:br w:type="page"/>
      </w:r>
    </w:p>
    <w:p w14:paraId="61384983">
      <w:pPr>
        <w:tabs>
          <w:tab w:val="left" w:pos="2410"/>
        </w:tabs>
        <w:autoSpaceDE w:val="0"/>
        <w:autoSpaceDN w:val="0"/>
        <w:adjustRightInd w:val="0"/>
        <w:snapToGrid w:val="0"/>
        <w:spacing w:line="360" w:lineRule="auto"/>
        <w:jc w:val="center"/>
        <w:rPr>
          <w:rFonts w:hint="eastAsia" w:ascii="宋体" w:hAnsi="宋体" w:eastAsia="宋体"/>
          <w:b/>
          <w:color w:val="auto"/>
          <w:sz w:val="28"/>
          <w:highlight w:val="none"/>
        </w:rPr>
      </w:pPr>
      <w:r>
        <w:rPr>
          <w:rFonts w:hint="eastAsia" w:ascii="宋体" w:hAnsi="宋体" w:eastAsia="宋体"/>
          <w:b/>
          <w:color w:val="auto"/>
          <w:sz w:val="28"/>
          <w:highlight w:val="none"/>
        </w:rPr>
        <w:t>目  录</w:t>
      </w:r>
    </w:p>
    <w:p w14:paraId="6908259D">
      <w:pPr>
        <w:pStyle w:val="17"/>
        <w:tabs>
          <w:tab w:val="right" w:leader="dot" w:pos="8306"/>
        </w:tabs>
        <w:rPr>
          <w:color w:val="auto"/>
          <w:highlight w:val="none"/>
        </w:rPr>
      </w:pPr>
      <w:r>
        <w:rPr>
          <w:rFonts w:asciiTheme="minorEastAsia" w:hAnsiTheme="minorEastAsia"/>
          <w:b/>
          <w:color w:val="auto"/>
          <w:sz w:val="24"/>
          <w:szCs w:val="24"/>
          <w:highlight w:val="none"/>
        </w:rPr>
        <w:fldChar w:fldCharType="begin"/>
      </w:r>
      <w:r>
        <w:rPr>
          <w:rFonts w:asciiTheme="minorEastAsia" w:hAnsiTheme="minorEastAsia"/>
          <w:b/>
          <w:color w:val="auto"/>
          <w:sz w:val="24"/>
          <w:szCs w:val="24"/>
          <w:highlight w:val="none"/>
        </w:rPr>
        <w:instrText xml:space="preserve"> </w:instrText>
      </w:r>
      <w:r>
        <w:rPr>
          <w:rFonts w:hint="eastAsia" w:asciiTheme="minorEastAsia" w:hAnsiTheme="minorEastAsia"/>
          <w:b/>
          <w:color w:val="auto"/>
          <w:sz w:val="24"/>
          <w:szCs w:val="24"/>
          <w:highlight w:val="none"/>
        </w:rPr>
        <w:instrText xml:space="preserve">TOC \o "1-2" \h \z \u</w:instrText>
      </w:r>
      <w:r>
        <w:rPr>
          <w:rFonts w:asciiTheme="minorEastAsia" w:hAnsiTheme="minorEastAsia"/>
          <w:b/>
          <w:color w:val="auto"/>
          <w:sz w:val="24"/>
          <w:szCs w:val="24"/>
          <w:highlight w:val="none"/>
        </w:rPr>
        <w:instrText xml:space="preserve"> </w:instrText>
      </w:r>
      <w:r>
        <w:rPr>
          <w:rFonts w:asciiTheme="minorEastAsia" w:hAnsiTheme="minorEastAsia"/>
          <w:b/>
          <w:color w:val="auto"/>
          <w:sz w:val="24"/>
          <w:szCs w:val="24"/>
          <w:highlight w:val="none"/>
        </w:rPr>
        <w:fldChar w:fldCharType="separate"/>
      </w:r>
      <w:r>
        <w:rPr>
          <w:color w:val="auto"/>
          <w:highlight w:val="none"/>
        </w:rPr>
        <w:fldChar w:fldCharType="begin"/>
      </w:r>
      <w:r>
        <w:rPr>
          <w:color w:val="auto"/>
          <w:highlight w:val="none"/>
        </w:rPr>
        <w:instrText xml:space="preserve"> HYPERLINK \l "_Toc23443" </w:instrText>
      </w:r>
      <w:r>
        <w:rPr>
          <w:color w:val="auto"/>
          <w:highlight w:val="none"/>
        </w:rPr>
        <w:fldChar w:fldCharType="separate"/>
      </w:r>
      <w:r>
        <w:rPr>
          <w:rFonts w:hint="eastAsia" w:asciiTheme="minorEastAsia" w:hAnsiTheme="minorEastAsia"/>
          <w:color w:val="auto"/>
          <w:highlight w:val="none"/>
        </w:rPr>
        <w:t xml:space="preserve">第一章 </w:t>
      </w:r>
      <w:r>
        <w:rPr>
          <w:rFonts w:asciiTheme="minorEastAsia" w:hAnsiTheme="minorEastAsia"/>
          <w:color w:val="auto"/>
          <w:highlight w:val="none"/>
        </w:rPr>
        <w:t xml:space="preserve"> 投标邀请</w:t>
      </w:r>
      <w:r>
        <w:rPr>
          <w:color w:val="auto"/>
          <w:highlight w:val="none"/>
        </w:rPr>
        <w:tab/>
      </w:r>
      <w:r>
        <w:rPr>
          <w:color w:val="auto"/>
          <w:highlight w:val="none"/>
        </w:rPr>
        <w:fldChar w:fldCharType="begin"/>
      </w:r>
      <w:r>
        <w:rPr>
          <w:color w:val="auto"/>
          <w:highlight w:val="none"/>
        </w:rPr>
        <w:instrText xml:space="preserve"> PAGEREF _Toc23443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38C6091F">
      <w:pPr>
        <w:pStyle w:val="17"/>
        <w:tabs>
          <w:tab w:val="right" w:leader="dot" w:pos="8306"/>
        </w:tabs>
        <w:rPr>
          <w:color w:val="auto"/>
          <w:highlight w:val="none"/>
        </w:rPr>
      </w:pPr>
      <w:r>
        <w:rPr>
          <w:color w:val="auto"/>
          <w:highlight w:val="none"/>
        </w:rPr>
        <w:fldChar w:fldCharType="begin"/>
      </w:r>
      <w:r>
        <w:rPr>
          <w:color w:val="auto"/>
          <w:highlight w:val="none"/>
        </w:rPr>
        <w:instrText xml:space="preserve"> HYPERLINK \l "_Toc31935" </w:instrText>
      </w:r>
      <w:r>
        <w:rPr>
          <w:color w:val="auto"/>
          <w:highlight w:val="none"/>
        </w:rPr>
        <w:fldChar w:fldCharType="separate"/>
      </w:r>
      <w:r>
        <w:rPr>
          <w:rFonts w:hint="eastAsia" w:asciiTheme="minorEastAsia" w:hAnsiTheme="minorEastAsia"/>
          <w:color w:val="auto"/>
          <w:highlight w:val="none"/>
        </w:rPr>
        <w:t>第二章</w:t>
      </w:r>
      <w:r>
        <w:rPr>
          <w:rFonts w:asciiTheme="minorEastAsia" w:hAnsiTheme="minorEastAsia"/>
          <w:color w:val="auto"/>
          <w:highlight w:val="none"/>
        </w:rPr>
        <w:t xml:space="preserve"> </w:t>
      </w:r>
      <w:r>
        <w:rPr>
          <w:rFonts w:hint="eastAsia" w:asciiTheme="minorEastAsia" w:hAnsiTheme="minorEastAsia"/>
          <w:color w:val="auto"/>
          <w:highlight w:val="none"/>
        </w:rPr>
        <w:t xml:space="preserve"> </w:t>
      </w:r>
      <w:r>
        <w:rPr>
          <w:rFonts w:asciiTheme="minorEastAsia" w:hAnsiTheme="minorEastAsia"/>
          <w:color w:val="auto"/>
          <w:highlight w:val="none"/>
        </w:rPr>
        <w:t>投标人须知</w:t>
      </w:r>
      <w:r>
        <w:rPr>
          <w:color w:val="auto"/>
          <w:highlight w:val="none"/>
        </w:rPr>
        <w:tab/>
      </w:r>
      <w:r>
        <w:rPr>
          <w:rFonts w:hint="eastAsia"/>
          <w:color w:val="auto"/>
          <w:highlight w:val="none"/>
        </w:rPr>
        <w:t>5</w:t>
      </w:r>
      <w:r>
        <w:rPr>
          <w:rFonts w:hint="eastAsia"/>
          <w:color w:val="auto"/>
          <w:highlight w:val="none"/>
        </w:rPr>
        <w:fldChar w:fldCharType="end"/>
      </w:r>
    </w:p>
    <w:p w14:paraId="540DF2B9">
      <w:pPr>
        <w:pStyle w:val="17"/>
        <w:tabs>
          <w:tab w:val="right" w:leader="dot" w:pos="8306"/>
        </w:tabs>
        <w:rPr>
          <w:color w:val="auto"/>
          <w:highlight w:val="none"/>
        </w:rPr>
      </w:pPr>
      <w:r>
        <w:rPr>
          <w:color w:val="auto"/>
          <w:highlight w:val="none"/>
        </w:rPr>
        <w:fldChar w:fldCharType="begin"/>
      </w:r>
      <w:r>
        <w:rPr>
          <w:color w:val="auto"/>
          <w:highlight w:val="none"/>
        </w:rPr>
        <w:instrText xml:space="preserve"> HYPERLINK \l "_Toc10891" </w:instrText>
      </w:r>
      <w:r>
        <w:rPr>
          <w:color w:val="auto"/>
          <w:highlight w:val="none"/>
        </w:rPr>
        <w:fldChar w:fldCharType="separate"/>
      </w:r>
      <w:r>
        <w:rPr>
          <w:rFonts w:hint="eastAsia" w:asciiTheme="minorEastAsia" w:hAnsiTheme="minorEastAsia"/>
          <w:color w:val="auto"/>
          <w:highlight w:val="none"/>
        </w:rPr>
        <w:t>第三章  采购需求</w:t>
      </w:r>
      <w:r>
        <w:rPr>
          <w:color w:val="auto"/>
          <w:highlight w:val="none"/>
        </w:rPr>
        <w:tab/>
      </w:r>
      <w:r>
        <w:rPr>
          <w:rFonts w:hint="eastAsia"/>
          <w:color w:val="auto"/>
          <w:highlight w:val="none"/>
        </w:rPr>
        <w:t>2</w:t>
      </w:r>
      <w:r>
        <w:rPr>
          <w:rFonts w:hint="eastAsia"/>
          <w:color w:val="auto"/>
          <w:highlight w:val="none"/>
        </w:rPr>
        <w:fldChar w:fldCharType="end"/>
      </w:r>
      <w:r>
        <w:rPr>
          <w:rFonts w:hint="eastAsia" w:asciiTheme="minorEastAsia" w:hAnsiTheme="minorEastAsia"/>
          <w:color w:val="auto"/>
          <w:szCs w:val="24"/>
          <w:highlight w:val="none"/>
        </w:rPr>
        <w:t>4</w:t>
      </w:r>
    </w:p>
    <w:p w14:paraId="2309FF48">
      <w:pPr>
        <w:pStyle w:val="17"/>
        <w:tabs>
          <w:tab w:val="right" w:leader="dot" w:pos="8306"/>
        </w:tabs>
        <w:rPr>
          <w:color w:val="auto"/>
          <w:highlight w:val="none"/>
        </w:rPr>
      </w:pPr>
      <w:r>
        <w:rPr>
          <w:color w:val="auto"/>
          <w:highlight w:val="none"/>
        </w:rPr>
        <w:fldChar w:fldCharType="begin"/>
      </w:r>
      <w:r>
        <w:rPr>
          <w:color w:val="auto"/>
          <w:highlight w:val="none"/>
        </w:rPr>
        <w:instrText xml:space="preserve"> HYPERLINK \l "_Toc16417" </w:instrText>
      </w:r>
      <w:r>
        <w:rPr>
          <w:color w:val="auto"/>
          <w:highlight w:val="none"/>
        </w:rPr>
        <w:fldChar w:fldCharType="separate"/>
      </w:r>
      <w:r>
        <w:rPr>
          <w:rFonts w:hint="eastAsia" w:asciiTheme="minorEastAsia" w:hAnsiTheme="minorEastAsia"/>
          <w:color w:val="auto"/>
          <w:highlight w:val="none"/>
        </w:rPr>
        <w:t>第四章  评标方法和标准（综合评分法）</w:t>
      </w:r>
      <w:r>
        <w:rPr>
          <w:color w:val="auto"/>
          <w:highlight w:val="none"/>
        </w:rPr>
        <w:tab/>
      </w:r>
      <w:r>
        <w:rPr>
          <w:color w:val="auto"/>
          <w:highlight w:val="none"/>
        </w:rPr>
        <w:fldChar w:fldCharType="end"/>
      </w:r>
      <w:r>
        <w:rPr>
          <w:rFonts w:hint="eastAsia" w:asciiTheme="minorEastAsia" w:hAnsiTheme="minorEastAsia"/>
          <w:color w:val="auto"/>
          <w:szCs w:val="24"/>
          <w:highlight w:val="none"/>
          <w:lang w:val="en-US" w:eastAsia="zh-CN"/>
        </w:rPr>
        <w:t>56</w:t>
      </w:r>
    </w:p>
    <w:p w14:paraId="59DCF857">
      <w:pPr>
        <w:pStyle w:val="17"/>
        <w:tabs>
          <w:tab w:val="right" w:leader="dot" w:pos="8306"/>
        </w:tabs>
        <w:rPr>
          <w:color w:val="auto"/>
          <w:highlight w:val="none"/>
        </w:rPr>
      </w:pPr>
      <w:r>
        <w:rPr>
          <w:color w:val="auto"/>
          <w:highlight w:val="none"/>
        </w:rPr>
        <w:fldChar w:fldCharType="begin"/>
      </w:r>
      <w:r>
        <w:rPr>
          <w:color w:val="auto"/>
          <w:highlight w:val="none"/>
        </w:rPr>
        <w:instrText xml:space="preserve"> HYPERLINK \l "_Toc4682" </w:instrText>
      </w:r>
      <w:r>
        <w:rPr>
          <w:color w:val="auto"/>
          <w:highlight w:val="none"/>
        </w:rPr>
        <w:fldChar w:fldCharType="separate"/>
      </w:r>
      <w:r>
        <w:rPr>
          <w:rFonts w:hint="eastAsia" w:asciiTheme="minorEastAsia" w:hAnsiTheme="minorEastAsia"/>
          <w:color w:val="auto"/>
          <w:highlight w:val="none"/>
        </w:rPr>
        <w:t xml:space="preserve">第五章  </w:t>
      </w:r>
      <w:r>
        <w:rPr>
          <w:rFonts w:asciiTheme="minorEastAsia" w:hAnsiTheme="minorEastAsia"/>
          <w:color w:val="auto"/>
          <w:highlight w:val="none"/>
        </w:rPr>
        <w:t>政府采购合同</w:t>
      </w:r>
      <w:r>
        <w:rPr>
          <w:color w:val="auto"/>
          <w:highlight w:val="none"/>
        </w:rPr>
        <w:tab/>
      </w:r>
      <w:r>
        <w:rPr>
          <w:color w:val="auto"/>
          <w:highlight w:val="none"/>
        </w:rPr>
        <w:fldChar w:fldCharType="end"/>
      </w:r>
      <w:r>
        <w:rPr>
          <w:rFonts w:hint="eastAsia" w:asciiTheme="minorEastAsia" w:hAnsiTheme="minorEastAsia"/>
          <w:color w:val="auto"/>
          <w:szCs w:val="24"/>
          <w:highlight w:val="none"/>
          <w:lang w:val="en-US" w:eastAsia="zh-CN"/>
        </w:rPr>
        <w:t>66</w:t>
      </w:r>
    </w:p>
    <w:p w14:paraId="3A96B3E5">
      <w:pPr>
        <w:pStyle w:val="17"/>
        <w:tabs>
          <w:tab w:val="right" w:leader="dot" w:pos="8306"/>
        </w:tabs>
        <w:rPr>
          <w:color w:val="auto"/>
          <w:highlight w:val="none"/>
        </w:rPr>
      </w:pPr>
      <w:r>
        <w:rPr>
          <w:color w:val="auto"/>
          <w:highlight w:val="none"/>
        </w:rPr>
        <w:fldChar w:fldCharType="begin"/>
      </w:r>
      <w:r>
        <w:rPr>
          <w:color w:val="auto"/>
          <w:highlight w:val="none"/>
        </w:rPr>
        <w:instrText xml:space="preserve"> HYPERLINK \l "_Toc22492" </w:instrText>
      </w:r>
      <w:r>
        <w:rPr>
          <w:color w:val="auto"/>
          <w:highlight w:val="none"/>
        </w:rPr>
        <w:fldChar w:fldCharType="separate"/>
      </w:r>
      <w:r>
        <w:rPr>
          <w:rFonts w:hint="eastAsia" w:asciiTheme="minorEastAsia" w:hAnsiTheme="minorEastAsia"/>
          <w:color w:val="auto"/>
          <w:highlight w:val="none"/>
        </w:rPr>
        <w:t>第六章  投标文件格式</w:t>
      </w:r>
      <w:r>
        <w:rPr>
          <w:color w:val="auto"/>
          <w:highlight w:val="none"/>
        </w:rPr>
        <w:tab/>
      </w:r>
      <w:r>
        <w:rPr>
          <w:color w:val="auto"/>
          <w:highlight w:val="none"/>
        </w:rPr>
        <w:fldChar w:fldCharType="end"/>
      </w:r>
      <w:r>
        <w:rPr>
          <w:rFonts w:hint="eastAsia" w:asciiTheme="minorEastAsia" w:hAnsiTheme="minorEastAsia"/>
          <w:color w:val="auto"/>
          <w:szCs w:val="24"/>
          <w:highlight w:val="none"/>
          <w:lang w:val="en-US" w:eastAsia="zh-CN"/>
        </w:rPr>
        <w:t>86</w:t>
      </w:r>
    </w:p>
    <w:p w14:paraId="5E839302">
      <w:pPr>
        <w:pStyle w:val="17"/>
        <w:tabs>
          <w:tab w:val="right" w:leader="dot" w:pos="8306"/>
        </w:tabs>
        <w:rPr>
          <w:rFonts w:hint="eastAsia" w:eastAsiaTheme="minorEastAsia"/>
          <w:color w:val="auto"/>
          <w:highlight w:val="none"/>
          <w:lang w:eastAsia="zh-CN"/>
        </w:rPr>
      </w:pPr>
      <w:r>
        <w:rPr>
          <w:color w:val="auto"/>
          <w:highlight w:val="none"/>
        </w:rPr>
        <w:fldChar w:fldCharType="begin"/>
      </w:r>
      <w:r>
        <w:rPr>
          <w:color w:val="auto"/>
          <w:highlight w:val="none"/>
        </w:rPr>
        <w:instrText xml:space="preserve"> HYPERLINK \l "_Toc18131" </w:instrText>
      </w:r>
      <w:r>
        <w:rPr>
          <w:color w:val="auto"/>
          <w:highlight w:val="none"/>
        </w:rPr>
        <w:fldChar w:fldCharType="separate"/>
      </w:r>
      <w:r>
        <w:rPr>
          <w:rFonts w:hint="eastAsia" w:asciiTheme="minorEastAsia" w:hAnsiTheme="minorEastAsia"/>
          <w:color w:val="auto"/>
          <w:highlight w:val="none"/>
        </w:rPr>
        <w:t>第七章</w:t>
      </w:r>
      <w:r>
        <w:rPr>
          <w:rFonts w:hint="eastAsia" w:ascii="宋体" w:hAnsi="宋体" w:eastAsia="宋体"/>
          <w:bCs/>
          <w:color w:val="auto"/>
          <w:highlight w:val="none"/>
        </w:rPr>
        <w:t xml:space="preserve">  政府采购</w:t>
      </w:r>
      <w:r>
        <w:rPr>
          <w:rFonts w:hint="eastAsia" w:asciiTheme="minorEastAsia" w:hAnsiTheme="minorEastAsia"/>
          <w:color w:val="auto"/>
          <w:highlight w:val="none"/>
        </w:rPr>
        <w:t>供应</w:t>
      </w:r>
      <w:r>
        <w:rPr>
          <w:rFonts w:hint="eastAsia" w:ascii="宋体" w:hAnsi="宋体" w:eastAsia="宋体"/>
          <w:bCs/>
          <w:color w:val="auto"/>
          <w:highlight w:val="none"/>
        </w:rPr>
        <w:t>商询问函和质疑函范本</w:t>
      </w:r>
      <w:r>
        <w:rPr>
          <w:color w:val="auto"/>
          <w:highlight w:val="none"/>
        </w:rPr>
        <w:tab/>
      </w:r>
      <w:r>
        <w:rPr>
          <w:rFonts w:hint="eastAsia"/>
          <w:color w:val="auto"/>
          <w:highlight w:val="none"/>
          <w:lang w:val="en-US" w:eastAsia="zh-CN"/>
        </w:rPr>
        <w:t>9</w:t>
      </w:r>
      <w:r>
        <w:rPr>
          <w:rFonts w:hint="eastAsia"/>
          <w:color w:val="auto"/>
          <w:highlight w:val="none"/>
        </w:rPr>
        <w:fldChar w:fldCharType="end"/>
      </w:r>
      <w:r>
        <w:rPr>
          <w:rFonts w:hint="eastAsia"/>
          <w:color w:val="auto"/>
          <w:highlight w:val="none"/>
          <w:lang w:val="en-US" w:eastAsia="zh-CN"/>
        </w:rPr>
        <w:t>9</w:t>
      </w:r>
    </w:p>
    <w:p w14:paraId="4F65E875">
      <w:pPr>
        <w:spacing w:line="360" w:lineRule="auto"/>
        <w:rPr>
          <w:rFonts w:hint="eastAsia" w:asciiTheme="minorEastAsia" w:hAnsiTheme="minorEastAsia" w:eastAsiaTheme="minorEastAsia"/>
          <w:b/>
          <w:color w:val="auto"/>
          <w:sz w:val="32"/>
          <w:highlight w:val="none"/>
        </w:rPr>
      </w:pPr>
      <w:r>
        <w:rPr>
          <w:rFonts w:asciiTheme="minorEastAsia" w:hAnsiTheme="minorEastAsia" w:eastAsiaTheme="minorEastAsia"/>
          <w:color w:val="auto"/>
          <w:szCs w:val="24"/>
          <w:highlight w:val="none"/>
        </w:rPr>
        <w:fldChar w:fldCharType="end"/>
      </w:r>
    </w:p>
    <w:p w14:paraId="2CC6E944">
      <w:pPr>
        <w:pStyle w:val="8"/>
        <w:rPr>
          <w:rFonts w:hint="eastAsia"/>
          <w:color w:val="auto"/>
          <w:highlight w:val="none"/>
        </w:rPr>
        <w:sectPr>
          <w:headerReference r:id="rId3" w:type="default"/>
          <w:footerReference r:id="rId4" w:type="default"/>
          <w:pgSz w:w="11905" w:h="16838"/>
          <w:pgMar w:top="1440" w:right="1417" w:bottom="1440" w:left="1417" w:header="850" w:footer="992" w:gutter="0"/>
          <w:cols w:space="0" w:num="1"/>
          <w:docGrid w:type="lines" w:linePitch="317" w:charSpace="0"/>
        </w:sectPr>
      </w:pPr>
    </w:p>
    <w:p w14:paraId="5720CCCC">
      <w:pPr>
        <w:spacing w:line="360" w:lineRule="auto"/>
        <w:jc w:val="center"/>
        <w:outlineLvl w:val="0"/>
        <w:rPr>
          <w:rFonts w:hint="eastAsia" w:asciiTheme="minorEastAsia" w:hAnsiTheme="minorEastAsia" w:eastAsiaTheme="minorEastAsia"/>
          <w:b/>
          <w:color w:val="auto"/>
          <w:sz w:val="28"/>
          <w:highlight w:val="none"/>
        </w:rPr>
      </w:pPr>
      <w:bookmarkStart w:id="1" w:name="_Toc23443"/>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投标邀请</w:t>
      </w:r>
      <w:bookmarkEnd w:id="1"/>
    </w:p>
    <w:p w14:paraId="67B94087">
      <w:pPr>
        <w:spacing w:line="360" w:lineRule="auto"/>
        <w:ind w:firstLine="437"/>
        <w:outlineLvl w:val="1"/>
        <w:rPr>
          <w:rFonts w:hint="eastAsia" w:ascii="宋体" w:hAnsi="宋体" w:eastAsia="宋体"/>
          <w:b/>
          <w:bCs/>
          <w:color w:val="auto"/>
          <w:sz w:val="24"/>
          <w:szCs w:val="18"/>
          <w:highlight w:val="none"/>
        </w:rPr>
      </w:pPr>
      <w:bookmarkStart w:id="2" w:name="_Toc1381"/>
      <w:bookmarkStart w:id="3" w:name="_Toc5842"/>
      <w:r>
        <w:rPr>
          <w:rFonts w:hint="eastAsia" w:ascii="宋体" w:hAnsi="宋体" w:eastAsia="宋体"/>
          <w:b/>
          <w:bCs/>
          <w:color w:val="auto"/>
          <w:sz w:val="24"/>
          <w:szCs w:val="18"/>
          <w:highlight w:val="none"/>
        </w:rPr>
        <w:t>一、</w:t>
      </w:r>
      <w:bookmarkEnd w:id="2"/>
      <w:r>
        <w:rPr>
          <w:rFonts w:hint="eastAsia" w:ascii="宋体" w:hAnsi="宋体" w:eastAsia="宋体"/>
          <w:b/>
          <w:bCs/>
          <w:color w:val="auto"/>
          <w:sz w:val="24"/>
          <w:szCs w:val="18"/>
          <w:highlight w:val="none"/>
        </w:rPr>
        <w:t>项目基本情况</w:t>
      </w:r>
      <w:bookmarkEnd w:id="3"/>
    </w:p>
    <w:p w14:paraId="6CF39A4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1.项目编号：</w:t>
      </w:r>
      <w:r>
        <w:rPr>
          <w:rFonts w:hint="eastAsia" w:asciiTheme="minorEastAsia" w:hAnsiTheme="minorEastAsia" w:eastAsiaTheme="minorEastAsia"/>
          <w:color w:val="auto"/>
          <w:sz w:val="24"/>
          <w:highlight w:val="none"/>
          <w:u w:val="single"/>
          <w:lang w:val="en-US" w:eastAsia="zh-CN"/>
        </w:rPr>
        <w:t>czsjcg202607-036</w:t>
      </w:r>
    </w:p>
    <w:p w14:paraId="5CDF36A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2.项目名称：</w:t>
      </w:r>
      <w:r>
        <w:rPr>
          <w:rFonts w:hint="default" w:asciiTheme="minorEastAsia" w:hAnsiTheme="minorEastAsia" w:eastAsiaTheme="minorEastAsia"/>
          <w:color w:val="auto"/>
          <w:sz w:val="24"/>
          <w:highlight w:val="none"/>
          <w:u w:val="single"/>
        </w:rPr>
        <w:t>滁州职业技术学院商贸实训中心机房改造项目</w:t>
      </w:r>
    </w:p>
    <w:p w14:paraId="0286646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3.预算金额：</w:t>
      </w:r>
      <w:r>
        <w:rPr>
          <w:rFonts w:hint="eastAsia" w:ascii="宋体" w:hAnsi="宋体" w:eastAsia="宋体"/>
          <w:color w:val="auto"/>
          <w:sz w:val="24"/>
          <w:szCs w:val="18"/>
          <w:highlight w:val="none"/>
          <w:u w:val="single"/>
        </w:rPr>
        <w:t>2149790元</w:t>
      </w:r>
    </w:p>
    <w:p w14:paraId="747D5EE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4.最高限价：</w:t>
      </w:r>
      <w:r>
        <w:rPr>
          <w:rFonts w:hint="eastAsia" w:asciiTheme="minorEastAsia" w:hAnsiTheme="minorEastAsia" w:eastAsiaTheme="minorEastAsia"/>
          <w:color w:val="auto"/>
          <w:sz w:val="24"/>
          <w:highlight w:val="none"/>
          <w:u w:val="single"/>
        </w:rPr>
        <w:t>本项目投标报价最高限价为2149790元。投标报价不得高于最高限价，否则按无效标处理。</w:t>
      </w:r>
    </w:p>
    <w:p w14:paraId="1FF7CDA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5.采购需求：</w:t>
      </w:r>
      <w:r>
        <w:rPr>
          <w:rFonts w:hint="eastAsia" w:asciiTheme="minorEastAsia" w:hAnsiTheme="minorEastAsia" w:eastAsiaTheme="minorEastAsia"/>
          <w:color w:val="auto"/>
          <w:sz w:val="24"/>
          <w:highlight w:val="none"/>
          <w:u w:val="single"/>
        </w:rPr>
        <w:t>机房设备采购及安装</w:t>
      </w:r>
    </w:p>
    <w:p w14:paraId="2617F2D4">
      <w:pPr>
        <w:spacing w:line="360" w:lineRule="auto"/>
        <w:ind w:firstLine="435"/>
        <w:rPr>
          <w:rFonts w:hint="eastAsia"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6.合同履行期限：</w:t>
      </w:r>
      <w:r>
        <w:rPr>
          <w:rFonts w:hint="eastAsia" w:asciiTheme="minorEastAsia" w:hAnsiTheme="minorEastAsia" w:eastAsiaTheme="minorEastAsia"/>
          <w:color w:val="auto"/>
          <w:sz w:val="24"/>
          <w:highlight w:val="none"/>
          <w:u w:val="single"/>
        </w:rPr>
        <w:t>合同签订后，自接到采购人通知之日起30个日历天内完成全部供货、安装、调试、运行工作。</w:t>
      </w:r>
    </w:p>
    <w:p w14:paraId="22848A5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7.本项目不接受联合体投标。</w:t>
      </w:r>
    </w:p>
    <w:p w14:paraId="07547E18">
      <w:pPr>
        <w:spacing w:line="360" w:lineRule="auto"/>
        <w:ind w:firstLine="437"/>
        <w:outlineLvl w:val="1"/>
        <w:rPr>
          <w:rFonts w:hint="eastAsia" w:ascii="宋体" w:hAnsi="宋体" w:eastAsia="宋体"/>
          <w:b/>
          <w:bCs/>
          <w:color w:val="auto"/>
          <w:sz w:val="24"/>
          <w:szCs w:val="18"/>
          <w:highlight w:val="none"/>
        </w:rPr>
      </w:pPr>
      <w:bookmarkStart w:id="4" w:name="_Toc13530"/>
      <w:bookmarkStart w:id="5" w:name="_Toc26178"/>
      <w:r>
        <w:rPr>
          <w:rFonts w:hint="eastAsia" w:ascii="宋体" w:hAnsi="宋体" w:eastAsia="宋体"/>
          <w:b/>
          <w:bCs/>
          <w:color w:val="auto"/>
          <w:sz w:val="24"/>
          <w:szCs w:val="18"/>
          <w:highlight w:val="none"/>
        </w:rPr>
        <w:t>二、</w:t>
      </w:r>
      <w:bookmarkEnd w:id="4"/>
      <w:r>
        <w:rPr>
          <w:rFonts w:hint="eastAsia" w:ascii="宋体" w:hAnsi="宋体" w:eastAsia="宋体"/>
          <w:b/>
          <w:bCs/>
          <w:color w:val="auto"/>
          <w:sz w:val="24"/>
          <w:szCs w:val="18"/>
          <w:highlight w:val="none"/>
        </w:rPr>
        <w:t>申请人的资格要求</w:t>
      </w:r>
      <w:bookmarkEnd w:id="5"/>
    </w:p>
    <w:p w14:paraId="530FAEC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1.满足《中华人民共和国政府采购法》第二十二条规定；</w:t>
      </w:r>
    </w:p>
    <w:p w14:paraId="12327E6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2.落实政府采购政策需满足的资格要求：</w:t>
      </w:r>
    </w:p>
    <w:p w14:paraId="77D6357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2.1中小企业政策</w:t>
      </w:r>
    </w:p>
    <w:p w14:paraId="7670A2F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2.1.1☑本项目不专门面向中小企业预留采购份额。按照财政部、工业和信息化部制定的第六条第三款（按照本办法规定预留采购份额无法确保充分供应、充分竞争，或者存在可能影响政府采购目标实现的情形）之规定，本项目为非专门面向中小企业采购项目。若中小企业对此有质疑，可按以下渠道递交质疑：①以书面材料递交至采购人或采购代理机构处；②在滁州市公共资源交易中心网电子交易系统中进行质疑，具体操作步骤和程序请参见服务指南&gt;交易须知&gt;在线异议、质疑和投诉操作手册。</w:t>
      </w:r>
    </w:p>
    <w:p w14:paraId="5FDD468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2.1.2□本项目专门面向</w:t>
      </w:r>
      <w:r>
        <w:rPr>
          <w:rFonts w:asciiTheme="minorEastAsia" w:hAnsiTheme="minorEastAsia" w:eastAsiaTheme="minorEastAsia"/>
          <w:color w:val="auto"/>
          <w:sz w:val="24"/>
          <w:highlight w:val="none"/>
        </w:rPr>
        <w:t>___________________</w:t>
      </w:r>
      <w:r>
        <w:rPr>
          <w:rFonts w:hint="eastAsia" w:asciiTheme="minorEastAsia" w:hAnsiTheme="minorEastAsia" w:eastAsiaTheme="minorEastAsia"/>
          <w:color w:val="auto"/>
          <w:sz w:val="24"/>
          <w:highlight w:val="none"/>
        </w:rPr>
        <w:t>采购。</w:t>
      </w:r>
    </w:p>
    <w:p w14:paraId="70156EC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2.1.3□本项目预留部分采购项目预算专门面向中小企业采购。对于预留份额，提供的货物由符合政策要求的中小企业制造。预留份额通过以下措施进行：</w:t>
      </w:r>
      <w:r>
        <w:rPr>
          <w:rFonts w:asciiTheme="minorEastAsia" w:hAnsiTheme="minorEastAsia" w:eastAsiaTheme="minorEastAsia"/>
          <w:color w:val="auto"/>
          <w:sz w:val="24"/>
          <w:highlight w:val="none"/>
        </w:rPr>
        <w:t>__________________</w:t>
      </w:r>
      <w:r>
        <w:rPr>
          <w:rFonts w:hint="eastAsia" w:asciiTheme="minorEastAsia" w:hAnsiTheme="minorEastAsia" w:eastAsiaTheme="minorEastAsia"/>
          <w:color w:val="auto"/>
          <w:sz w:val="24"/>
          <w:highlight w:val="none"/>
        </w:rPr>
        <w:t>。</w:t>
      </w:r>
    </w:p>
    <w:p w14:paraId="5EE4E042">
      <w:pPr>
        <w:spacing w:line="360" w:lineRule="auto"/>
        <w:ind w:firstLine="435"/>
        <w:rPr>
          <w:rFonts w:hint="eastAsia"/>
          <w:color w:val="auto"/>
          <w:highlight w:val="none"/>
        </w:rPr>
      </w:pPr>
      <w:r>
        <w:rPr>
          <w:rFonts w:asciiTheme="minorEastAsia" w:hAnsiTheme="minorEastAsia" w:eastAsiaTheme="minorEastAsia"/>
          <w:color w:val="auto"/>
          <w:sz w:val="24"/>
          <w:highlight w:val="none"/>
        </w:rPr>
        <w:t>2.2</w:t>
      </w:r>
      <w:r>
        <w:rPr>
          <w:rFonts w:hint="eastAsia" w:asciiTheme="minorEastAsia" w:hAnsiTheme="minorEastAsia" w:eastAsiaTheme="minorEastAsia"/>
          <w:color w:val="auto"/>
          <w:sz w:val="24"/>
          <w:highlight w:val="none"/>
        </w:rPr>
        <w:t>其它落实政府采购政策的资格要求</w:t>
      </w:r>
      <w:r>
        <w:rPr>
          <w:rFonts w:hint="eastAsia" w:asciiTheme="minorEastAsia" w:hAnsiTheme="minorEastAsia" w:eastAsiaTheme="minorEastAsia"/>
          <w:i/>
          <w:iCs/>
          <w:color w:val="auto"/>
          <w:sz w:val="24"/>
          <w:highlight w:val="none"/>
        </w:rPr>
        <w:t>（如有）</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w:t>
      </w:r>
      <w:r>
        <w:rPr>
          <w:rFonts w:hint="eastAsia" w:asciiTheme="minorEastAsia" w:hAnsiTheme="minorEastAsia" w:eastAsiaTheme="minorEastAsia"/>
          <w:color w:val="auto"/>
          <w:sz w:val="24"/>
          <w:highlight w:val="none"/>
        </w:rPr>
        <w:t>。</w:t>
      </w:r>
    </w:p>
    <w:p w14:paraId="6E86A6A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3.本项目的特定资格要求：</w:t>
      </w:r>
      <w:r>
        <w:rPr>
          <w:rFonts w:hint="eastAsia" w:asciiTheme="minorEastAsia" w:hAnsiTheme="minorEastAsia" w:eastAsiaTheme="minorEastAsia"/>
          <w:color w:val="auto"/>
          <w:sz w:val="24"/>
          <w:highlight w:val="none"/>
          <w:u w:val="single"/>
        </w:rPr>
        <w:t>无</w:t>
      </w:r>
      <w:r>
        <w:rPr>
          <w:rFonts w:hint="eastAsia" w:asciiTheme="minorEastAsia" w:hAnsiTheme="minorEastAsia" w:eastAsiaTheme="minorEastAsia"/>
          <w:color w:val="auto"/>
          <w:sz w:val="24"/>
          <w:highlight w:val="none"/>
        </w:rPr>
        <w:t>。</w:t>
      </w:r>
    </w:p>
    <w:p w14:paraId="47D70EB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4.信誉要求：投标人不得存在以下情形：</w:t>
      </w:r>
    </w:p>
    <w:p w14:paraId="39D718F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①被列入“信用中国”网站“失信被执行人”的；</w:t>
      </w:r>
    </w:p>
    <w:p w14:paraId="7191684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②被列入“信用中国”网站“重大税收违法失信主体”的；</w:t>
      </w:r>
    </w:p>
    <w:p w14:paraId="0072227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③被列入“信用中国”网站 “严重失信主体名单”的；</w:t>
      </w:r>
    </w:p>
    <w:p w14:paraId="1B6D659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④在</w:t>
      </w:r>
      <w:bookmarkStart w:id="6" w:name="OLE_LINK127"/>
      <w:bookmarkStart w:id="7" w:name="OLE_LINK129"/>
      <w:bookmarkStart w:id="8" w:name="OLE_LINK128"/>
      <w:r>
        <w:rPr>
          <w:rFonts w:hint="eastAsia" w:asciiTheme="minorEastAsia" w:hAnsiTheme="minorEastAsia" w:eastAsiaTheme="minorEastAsia"/>
          <w:color w:val="auto"/>
          <w:sz w:val="24"/>
          <w:highlight w:val="none"/>
        </w:rPr>
        <w:t>“信用中国”网站</w:t>
      </w:r>
      <w:bookmarkEnd w:id="6"/>
      <w:bookmarkEnd w:id="7"/>
      <w:bookmarkEnd w:id="8"/>
      <w:r>
        <w:rPr>
          <w:rFonts w:hint="eastAsia" w:asciiTheme="minorEastAsia" w:hAnsiTheme="minorEastAsia" w:eastAsiaTheme="minorEastAsia"/>
          <w:color w:val="auto"/>
          <w:sz w:val="24"/>
          <w:highlight w:val="none"/>
        </w:rPr>
        <w:t>上披露的仍在公示期的严重失信行为(具体行为类别及判定依据见“信用中国”查询的严重失信行为类别及判定依据)的。</w:t>
      </w:r>
    </w:p>
    <w:p w14:paraId="55176AE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⑤被列入国家企业信用信息公示系统网站“经营异常名录”或者“严重违法失信名单”的。</w:t>
      </w:r>
    </w:p>
    <w:p w14:paraId="6B58B85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⑥被列入中国政府采购网站“政府采购严重违法失信行为信息记录”的。</w:t>
      </w:r>
    </w:p>
    <w:p w14:paraId="4EDE905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⑦前三年有行贿犯罪行为的单位和个人。</w:t>
      </w:r>
    </w:p>
    <w:p w14:paraId="5CC5CDD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5.投标人所属分公司、办事处等分支机构存在第4款信誉要求①-⑦项情形之一的，接受其被确定为中标人。</w:t>
      </w:r>
    </w:p>
    <w:p w14:paraId="2BF3D88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备注：第4、5条按照“关于联合惩戒失信行为加强信用查询管理的通知”查询或承诺。</w:t>
      </w:r>
    </w:p>
    <w:p w14:paraId="3C4AAEE9">
      <w:pPr>
        <w:spacing w:line="360" w:lineRule="auto"/>
        <w:ind w:firstLine="437"/>
        <w:outlineLvl w:val="1"/>
        <w:rPr>
          <w:rFonts w:hint="eastAsia" w:ascii="宋体" w:hAnsi="宋体" w:eastAsia="宋体"/>
          <w:b/>
          <w:bCs/>
          <w:color w:val="auto"/>
          <w:sz w:val="24"/>
          <w:szCs w:val="18"/>
          <w:highlight w:val="none"/>
        </w:rPr>
      </w:pPr>
      <w:bookmarkStart w:id="9" w:name="_Toc30110"/>
      <w:bookmarkStart w:id="10" w:name="_Toc32089"/>
      <w:r>
        <w:rPr>
          <w:rFonts w:hint="eastAsia" w:ascii="宋体" w:hAnsi="宋体" w:eastAsia="宋体"/>
          <w:b/>
          <w:bCs/>
          <w:color w:val="auto"/>
          <w:sz w:val="24"/>
          <w:szCs w:val="18"/>
          <w:highlight w:val="none"/>
        </w:rPr>
        <w:t>三、</w:t>
      </w:r>
      <w:bookmarkEnd w:id="9"/>
      <w:r>
        <w:rPr>
          <w:rFonts w:hint="eastAsia" w:ascii="宋体" w:hAnsi="宋体" w:eastAsia="宋体"/>
          <w:b/>
          <w:bCs/>
          <w:color w:val="auto"/>
          <w:sz w:val="24"/>
          <w:szCs w:val="18"/>
          <w:highlight w:val="none"/>
        </w:rPr>
        <w:t>获取招标文件</w:t>
      </w:r>
      <w:bookmarkEnd w:id="10"/>
    </w:p>
    <w:p w14:paraId="7D496128">
      <w:pPr>
        <w:spacing w:line="360" w:lineRule="auto"/>
        <w:ind w:firstLine="540"/>
        <w:rPr>
          <w:rFonts w:hint="eastAsia" w:asciiTheme="minorEastAsia" w:hAnsiTheme="minorEastAsia" w:eastAsiaTheme="minorEastAsia" w:cstheme="minorEastAsia"/>
          <w:i/>
          <w:iCs/>
          <w:color w:val="auto"/>
          <w:sz w:val="24"/>
          <w:szCs w:val="24"/>
          <w:highlight w:val="none"/>
        </w:rPr>
      </w:pPr>
      <w:bookmarkStart w:id="11" w:name="_Toc7957"/>
      <w:r>
        <w:rPr>
          <w:rFonts w:hint="eastAsia" w:asciiTheme="minorEastAsia" w:hAnsiTheme="minorEastAsia" w:eastAsiaTheme="minorEastAsia" w:cstheme="minorEastAsia"/>
          <w:color w:val="auto"/>
          <w:sz w:val="24"/>
          <w:szCs w:val="24"/>
          <w:highlight w:val="none"/>
        </w:rPr>
        <w:t>时间：</w:t>
      </w:r>
      <w:r>
        <w:rPr>
          <w:rFonts w:hint="eastAsia" w:ascii="宋体" w:hAnsi="宋体" w:eastAsia="宋体" w:cs="宋体"/>
          <w:color w:val="auto"/>
          <w:sz w:val="24"/>
          <w:szCs w:val="24"/>
          <w:highlight w:val="none"/>
          <w:u w:val="single"/>
        </w:rPr>
        <w:t>2026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22</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2026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8</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12</w:t>
      </w:r>
      <w:r>
        <w:rPr>
          <w:rFonts w:hint="eastAsia" w:ascii="宋体" w:hAnsi="宋体" w:eastAsia="宋体" w:cs="宋体"/>
          <w:color w:val="auto"/>
          <w:sz w:val="24"/>
          <w:szCs w:val="24"/>
          <w:highlight w:val="none"/>
        </w:rPr>
        <w:t>日</w:t>
      </w:r>
      <w:r>
        <w:rPr>
          <w:rFonts w:hint="eastAsia" w:asciiTheme="minorEastAsia" w:hAnsiTheme="minorEastAsia" w:eastAsiaTheme="minorEastAsia" w:cstheme="minorEastAsia"/>
          <w:iCs/>
          <w:color w:val="auto"/>
          <w:sz w:val="24"/>
          <w:szCs w:val="24"/>
          <w:highlight w:val="none"/>
        </w:rPr>
        <w:t>（</w:t>
      </w:r>
      <w:r>
        <w:rPr>
          <w:rFonts w:hint="eastAsia" w:asciiTheme="minorEastAsia" w:hAnsiTheme="minorEastAsia" w:eastAsiaTheme="minorEastAsia" w:cstheme="minorEastAsia"/>
          <w:i/>
          <w:color w:val="auto"/>
          <w:sz w:val="24"/>
          <w:szCs w:val="24"/>
          <w:highlight w:val="none"/>
        </w:rPr>
        <w:t>提供期限自本公告发布之日起不得少于5个工作日</w:t>
      </w:r>
      <w:r>
        <w:rPr>
          <w:rFonts w:hint="eastAsia" w:asciiTheme="minorEastAsia" w:hAnsiTheme="minorEastAsia" w:eastAsiaTheme="minorEastAsia" w:cstheme="minorEastAsia"/>
          <w:iCs/>
          <w:color w:val="auto"/>
          <w:sz w:val="24"/>
          <w:szCs w:val="24"/>
          <w:highlight w:val="none"/>
        </w:rPr>
        <w:t>）</w:t>
      </w:r>
    </w:p>
    <w:p w14:paraId="674C18F0">
      <w:pPr>
        <w:spacing w:line="360" w:lineRule="auto"/>
        <w:ind w:firstLine="540"/>
        <w:rPr>
          <w:rFonts w:hint="eastAsia" w:ascii="宋体" w:hAnsi="宋体" w:eastAsia="宋体"/>
          <w:color w:val="auto"/>
          <w:sz w:val="24"/>
          <w:szCs w:val="18"/>
          <w:highlight w:val="none"/>
          <w:u w:val="single"/>
        </w:rPr>
      </w:pPr>
      <w:r>
        <w:rPr>
          <w:rFonts w:hint="eastAsia" w:asciiTheme="minorEastAsia" w:hAnsiTheme="minorEastAsia" w:eastAsiaTheme="minorEastAsia" w:cstheme="minorEastAsia"/>
          <w:color w:val="auto"/>
          <w:sz w:val="24"/>
          <w:szCs w:val="24"/>
          <w:highlight w:val="none"/>
        </w:rPr>
        <w:t>地点：</w:t>
      </w:r>
      <w:r>
        <w:rPr>
          <w:rFonts w:hint="eastAsia" w:ascii="宋体" w:hAnsi="宋体" w:eastAsia="宋体" w:cs="宋体"/>
          <w:color w:val="auto"/>
          <w:sz w:val="24"/>
          <w:szCs w:val="18"/>
          <w:highlight w:val="none"/>
          <w:u w:val="single"/>
        </w:rPr>
        <w:t>滁州市公共资源交易中心网</w:t>
      </w:r>
    </w:p>
    <w:p w14:paraId="1FFED869">
      <w:pPr>
        <w:spacing w:line="360" w:lineRule="auto"/>
        <w:ind w:firstLine="54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方式：</w:t>
      </w:r>
      <w:r>
        <w:rPr>
          <w:rFonts w:hint="eastAsia" w:ascii="宋体" w:hAnsi="宋体" w:eastAsia="宋体" w:cs="宋体"/>
          <w:color w:val="auto"/>
          <w:sz w:val="24"/>
          <w:szCs w:val="18"/>
          <w:highlight w:val="none"/>
          <w:u w:val="single"/>
        </w:rPr>
        <w:t>网上下载</w:t>
      </w:r>
    </w:p>
    <w:p w14:paraId="2C8EDA05">
      <w:pPr>
        <w:spacing w:line="360" w:lineRule="auto"/>
        <w:ind w:firstLine="437"/>
        <w:outlineLvl w:val="1"/>
        <w:rPr>
          <w:rFonts w:hint="eastAsia" w:ascii="宋体" w:hAnsi="宋体" w:eastAsia="宋体"/>
          <w:b/>
          <w:bCs/>
          <w:color w:val="auto"/>
          <w:sz w:val="24"/>
          <w:szCs w:val="18"/>
          <w:highlight w:val="none"/>
        </w:rPr>
      </w:pPr>
      <w:bookmarkStart w:id="12" w:name="_Toc19726"/>
      <w:r>
        <w:rPr>
          <w:rFonts w:hint="eastAsia" w:ascii="宋体" w:hAnsi="宋体" w:eastAsia="宋体"/>
          <w:b/>
          <w:bCs/>
          <w:color w:val="auto"/>
          <w:sz w:val="24"/>
          <w:szCs w:val="18"/>
          <w:highlight w:val="none"/>
        </w:rPr>
        <w:t>四、</w:t>
      </w:r>
      <w:bookmarkEnd w:id="11"/>
      <w:r>
        <w:rPr>
          <w:rFonts w:hint="eastAsia" w:ascii="宋体" w:hAnsi="宋体" w:eastAsia="宋体"/>
          <w:b/>
          <w:bCs/>
          <w:color w:val="auto"/>
          <w:sz w:val="24"/>
          <w:szCs w:val="18"/>
          <w:highlight w:val="none"/>
        </w:rPr>
        <w:t>提交投标文件截止时间、开标时间和地点</w:t>
      </w:r>
      <w:bookmarkEnd w:id="12"/>
    </w:p>
    <w:p w14:paraId="481EDE4E">
      <w:pPr>
        <w:spacing w:line="360" w:lineRule="auto"/>
        <w:ind w:firstLine="480" w:firstLineChars="200"/>
        <w:rPr>
          <w:rFonts w:hint="eastAsia" w:asciiTheme="minorEastAsia" w:hAnsiTheme="minorEastAsia" w:eastAsiaTheme="minorEastAsia" w:cstheme="minorEastAsia"/>
          <w:bCs/>
          <w:color w:val="auto"/>
          <w:sz w:val="24"/>
          <w:szCs w:val="24"/>
          <w:highlight w:val="none"/>
        </w:rPr>
      </w:pPr>
      <w:bookmarkStart w:id="13" w:name="_Toc5082"/>
      <w:r>
        <w:rPr>
          <w:rFonts w:hint="eastAsia" w:asciiTheme="minorEastAsia" w:hAnsiTheme="minorEastAsia" w:eastAsiaTheme="minorEastAsia" w:cstheme="minorEastAsia"/>
          <w:bCs/>
          <w:color w:val="auto"/>
          <w:sz w:val="24"/>
          <w:szCs w:val="24"/>
          <w:highlight w:val="none"/>
          <w:u w:val="single"/>
        </w:rPr>
        <w:t>2026</w:t>
      </w:r>
      <w:r>
        <w:rPr>
          <w:rFonts w:hint="eastAsia" w:asciiTheme="minorEastAsia" w:hAnsiTheme="minorEastAsia" w:eastAsiaTheme="minorEastAsia" w:cstheme="minorEastAsia"/>
          <w:bCs/>
          <w:color w:val="auto"/>
          <w:sz w:val="24"/>
          <w:szCs w:val="24"/>
          <w:highlight w:val="none"/>
        </w:rPr>
        <w:t>年</w:t>
      </w:r>
      <w:r>
        <w:rPr>
          <w:rFonts w:hint="eastAsia" w:asciiTheme="minorEastAsia" w:hAnsiTheme="minorEastAsia" w:eastAsiaTheme="minorEastAsia" w:cstheme="minorEastAsia"/>
          <w:bCs/>
          <w:color w:val="auto"/>
          <w:sz w:val="24"/>
          <w:szCs w:val="24"/>
          <w:highlight w:val="none"/>
          <w:u w:val="single"/>
          <w:lang w:val="en-US" w:eastAsia="zh-CN"/>
        </w:rPr>
        <w:t>8</w:t>
      </w:r>
      <w:r>
        <w:rPr>
          <w:rFonts w:hint="eastAsia" w:asciiTheme="minorEastAsia" w:hAnsiTheme="minorEastAsia" w:eastAsiaTheme="minorEastAsia" w:cstheme="minorEastAsia"/>
          <w:bCs/>
          <w:color w:val="auto"/>
          <w:sz w:val="24"/>
          <w:szCs w:val="24"/>
          <w:highlight w:val="none"/>
        </w:rPr>
        <w:t>月</w:t>
      </w:r>
      <w:r>
        <w:rPr>
          <w:rFonts w:hint="eastAsia" w:asciiTheme="minorEastAsia" w:hAnsiTheme="minorEastAsia" w:eastAsiaTheme="minorEastAsia" w:cstheme="minorEastAsia"/>
          <w:bCs/>
          <w:color w:val="auto"/>
          <w:sz w:val="24"/>
          <w:szCs w:val="24"/>
          <w:highlight w:val="none"/>
          <w:u w:val="single"/>
          <w:lang w:val="en-US" w:eastAsia="zh-CN"/>
        </w:rPr>
        <w:t>12</w:t>
      </w:r>
      <w:r>
        <w:rPr>
          <w:rFonts w:hint="eastAsia" w:asciiTheme="minorEastAsia" w:hAnsiTheme="minorEastAsia" w:eastAsiaTheme="minorEastAsia" w:cstheme="minorEastAsia"/>
          <w:bCs/>
          <w:color w:val="auto"/>
          <w:sz w:val="24"/>
          <w:szCs w:val="24"/>
          <w:highlight w:val="none"/>
        </w:rPr>
        <w:t>日</w:t>
      </w:r>
      <w:r>
        <w:rPr>
          <w:rFonts w:hint="eastAsia" w:asciiTheme="minorEastAsia" w:hAnsiTheme="minorEastAsia" w:eastAsiaTheme="minorEastAsia" w:cstheme="minorEastAsia"/>
          <w:bCs/>
          <w:color w:val="auto"/>
          <w:sz w:val="24"/>
          <w:szCs w:val="24"/>
          <w:highlight w:val="none"/>
          <w:u w:val="single"/>
        </w:rPr>
        <w:t>8</w:t>
      </w:r>
      <w:r>
        <w:rPr>
          <w:rFonts w:hint="eastAsia" w:asciiTheme="minorEastAsia" w:hAnsiTheme="minorEastAsia" w:eastAsiaTheme="minorEastAsia" w:cstheme="minorEastAsia"/>
          <w:bCs/>
          <w:color w:val="auto"/>
          <w:sz w:val="24"/>
          <w:szCs w:val="24"/>
          <w:highlight w:val="none"/>
        </w:rPr>
        <w:t>点</w:t>
      </w:r>
      <w:r>
        <w:rPr>
          <w:rFonts w:hint="eastAsia" w:asciiTheme="minorEastAsia" w:hAnsiTheme="minorEastAsia" w:eastAsiaTheme="minorEastAsia" w:cstheme="minorEastAsia"/>
          <w:bCs/>
          <w:color w:val="auto"/>
          <w:sz w:val="24"/>
          <w:szCs w:val="24"/>
          <w:highlight w:val="none"/>
          <w:u w:val="single"/>
        </w:rPr>
        <w:t>30</w:t>
      </w:r>
      <w:r>
        <w:rPr>
          <w:rFonts w:hint="eastAsia" w:asciiTheme="minorEastAsia" w:hAnsiTheme="minorEastAsia" w:eastAsiaTheme="minorEastAsia" w:cstheme="minorEastAsia"/>
          <w:bCs/>
          <w:color w:val="auto"/>
          <w:sz w:val="24"/>
          <w:szCs w:val="24"/>
          <w:highlight w:val="none"/>
        </w:rPr>
        <w:t>分（北京时间）</w:t>
      </w:r>
      <w:r>
        <w:rPr>
          <w:rFonts w:hint="eastAsia" w:asciiTheme="minorEastAsia" w:hAnsiTheme="minorEastAsia" w:eastAsiaTheme="minorEastAsia" w:cstheme="minorEastAsia"/>
          <w:iCs/>
          <w:color w:val="auto"/>
          <w:sz w:val="24"/>
          <w:szCs w:val="24"/>
          <w:highlight w:val="none"/>
        </w:rPr>
        <w:t>（</w:t>
      </w:r>
      <w:r>
        <w:rPr>
          <w:rFonts w:hint="eastAsia" w:asciiTheme="minorEastAsia" w:hAnsiTheme="minorEastAsia" w:eastAsiaTheme="minorEastAsia" w:cstheme="minorEastAsia"/>
          <w:i/>
          <w:color w:val="auto"/>
          <w:sz w:val="24"/>
          <w:szCs w:val="24"/>
          <w:highlight w:val="none"/>
        </w:rPr>
        <w:t>自招标文件开始发出之日起至投标人提交投标文件截止之日止，不得少于20日</w:t>
      </w:r>
      <w:r>
        <w:rPr>
          <w:rFonts w:hint="eastAsia" w:asciiTheme="minorEastAsia" w:hAnsiTheme="minorEastAsia" w:eastAsiaTheme="minorEastAsia" w:cstheme="minorEastAsia"/>
          <w:iCs/>
          <w:color w:val="auto"/>
          <w:sz w:val="24"/>
          <w:szCs w:val="24"/>
          <w:highlight w:val="none"/>
        </w:rPr>
        <w:t>）</w:t>
      </w:r>
    </w:p>
    <w:p w14:paraId="77C4031F">
      <w:pPr>
        <w:spacing w:line="360" w:lineRule="auto"/>
        <w:ind w:firstLine="480" w:firstLineChars="200"/>
        <w:rPr>
          <w:rFonts w:hint="eastAsia"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地点：</w:t>
      </w:r>
      <w:r>
        <w:rPr>
          <w:rFonts w:hint="eastAsia" w:ascii="宋体" w:hAnsi="宋体" w:eastAsia="宋体" w:cs="宋体"/>
          <w:color w:val="auto"/>
          <w:sz w:val="24"/>
          <w:szCs w:val="24"/>
          <w:highlight w:val="none"/>
          <w:u w:val="single"/>
        </w:rPr>
        <w:t>滁州市公共资源交易平台电子交易系统</w:t>
      </w:r>
    </w:p>
    <w:p w14:paraId="5E0C0E8E">
      <w:pPr>
        <w:spacing w:line="360" w:lineRule="auto"/>
        <w:ind w:firstLine="437"/>
        <w:outlineLvl w:val="1"/>
        <w:rPr>
          <w:rFonts w:hint="eastAsia" w:ascii="宋体" w:hAnsi="宋体" w:eastAsia="宋体"/>
          <w:b/>
          <w:bCs/>
          <w:color w:val="auto"/>
          <w:sz w:val="24"/>
          <w:szCs w:val="18"/>
          <w:highlight w:val="none"/>
        </w:rPr>
      </w:pPr>
      <w:bookmarkStart w:id="14" w:name="_Toc28531"/>
      <w:r>
        <w:rPr>
          <w:rFonts w:hint="eastAsia" w:ascii="宋体" w:hAnsi="宋体" w:eastAsia="宋体"/>
          <w:b/>
          <w:bCs/>
          <w:color w:val="auto"/>
          <w:sz w:val="24"/>
          <w:szCs w:val="18"/>
          <w:highlight w:val="none"/>
        </w:rPr>
        <w:t>五、</w:t>
      </w:r>
      <w:bookmarkEnd w:id="13"/>
      <w:r>
        <w:rPr>
          <w:rFonts w:hint="eastAsia" w:ascii="宋体" w:hAnsi="宋体" w:eastAsia="宋体"/>
          <w:b/>
          <w:bCs/>
          <w:color w:val="auto"/>
          <w:sz w:val="24"/>
          <w:szCs w:val="18"/>
          <w:highlight w:val="none"/>
        </w:rPr>
        <w:t>公告期限</w:t>
      </w:r>
      <w:bookmarkEnd w:id="14"/>
    </w:p>
    <w:p w14:paraId="65085C72">
      <w:pPr>
        <w:spacing w:line="360" w:lineRule="auto"/>
        <w:ind w:firstLine="437"/>
        <w:rPr>
          <w:rFonts w:hint="eastAsia" w:ascii="宋体" w:hAnsi="宋体" w:eastAsia="宋体"/>
          <w:color w:val="auto"/>
          <w:sz w:val="24"/>
          <w:szCs w:val="18"/>
          <w:highlight w:val="none"/>
        </w:rPr>
      </w:pPr>
      <w:bookmarkStart w:id="15" w:name="_Toc1215"/>
      <w:r>
        <w:rPr>
          <w:rFonts w:hint="eastAsia" w:ascii="宋体" w:hAnsi="宋体" w:eastAsia="宋体"/>
          <w:color w:val="auto"/>
          <w:sz w:val="24"/>
          <w:szCs w:val="18"/>
          <w:highlight w:val="none"/>
        </w:rPr>
        <w:t>自本公告发布之日起5个工作日。</w:t>
      </w:r>
    </w:p>
    <w:p w14:paraId="565A1032">
      <w:pPr>
        <w:spacing w:line="360" w:lineRule="auto"/>
        <w:ind w:firstLine="437"/>
        <w:outlineLvl w:val="1"/>
        <w:rPr>
          <w:rFonts w:hint="eastAsia" w:ascii="宋体" w:hAnsi="宋体" w:eastAsia="宋体"/>
          <w:b/>
          <w:bCs/>
          <w:color w:val="auto"/>
          <w:sz w:val="24"/>
          <w:szCs w:val="18"/>
          <w:highlight w:val="none"/>
        </w:rPr>
      </w:pPr>
      <w:bookmarkStart w:id="16" w:name="_Toc35393795"/>
      <w:bookmarkStart w:id="17" w:name="_Toc35393626"/>
      <w:bookmarkStart w:id="18" w:name="_Toc8807"/>
      <w:r>
        <w:rPr>
          <w:rFonts w:hint="eastAsia" w:ascii="宋体" w:hAnsi="宋体" w:eastAsia="宋体"/>
          <w:b/>
          <w:bCs/>
          <w:color w:val="auto"/>
          <w:sz w:val="24"/>
          <w:szCs w:val="18"/>
          <w:highlight w:val="none"/>
        </w:rPr>
        <w:t>六、其他补充事宜</w:t>
      </w:r>
      <w:bookmarkEnd w:id="16"/>
      <w:bookmarkEnd w:id="17"/>
      <w:bookmarkEnd w:id="18"/>
    </w:p>
    <w:p w14:paraId="1854125F">
      <w:pPr>
        <w:pStyle w:val="8"/>
        <w:wordWrap w:val="0"/>
        <w:spacing w:after="0" w:line="360" w:lineRule="auto"/>
        <w:ind w:firstLine="480" w:firstLineChars="200"/>
        <w:rPr>
          <w:rFonts w:hint="eastAsia" w:ascii="宋体" w:hAnsi="宋体" w:eastAsia="宋体" w:cs="宋体"/>
          <w:color w:val="auto"/>
          <w:sz w:val="24"/>
          <w:szCs w:val="18"/>
          <w:highlight w:val="none"/>
          <w:lang w:val="en-US"/>
        </w:rPr>
      </w:pPr>
      <w:r>
        <w:rPr>
          <w:rFonts w:hint="eastAsia" w:ascii="宋体" w:hAnsi="宋体" w:eastAsia="宋体" w:cs="宋体"/>
          <w:color w:val="auto"/>
          <w:sz w:val="24"/>
          <w:szCs w:val="18"/>
          <w:highlight w:val="none"/>
          <w:lang w:val="en-US"/>
        </w:rPr>
        <w:t>1.本项目只接受在安徽省公共资源交易市场主体库（http://ggzy.ah.gov.cn/ahggfwpt-zhutiku/dengludenglu）登记并进行信息确认提交的投标人投标，未登记的投标人请及时办理CA数字证书并登录安徽省公共资源交易市场主体库进行信息填写及确认提交；已办理过CA数字证书视为已在省库登记，进行信息更新及确认提交即可。办理流程为登录滁州市公共资源交易中心网&gt;服务指南&gt;办事指南中的“CA数字证书和电子签章”及“市场主体登记”。相关服务电话：1.安徽省公共资源交易市场主体库使用相关问题（系统登录、信息登记、录入及提交、数字证书关联等）：010-86483801转5-2；2.CA数字证书有关问题：安徽CA客服400-615-8899、0550-3019013（工作日），CFCA客服025-66085508、0550-3801669（工作日）；3.市场主体招标环节和投标环节系统使用问题：0512-58188516（8：00-21：00）、0550-3801701（工作日）。因未及时通过CA数字证书登录省主体库对相关信息进行补充完善并确认提交，导致无法投标的，责任自负。为保证系统使用过程中产生的问题能够及时得到解决，请各主体在工作时间进行主体信息登记、更新、投标文件制作等相关操作。</w:t>
      </w:r>
    </w:p>
    <w:p w14:paraId="0478D2D0">
      <w:pPr>
        <w:pStyle w:val="8"/>
        <w:wordWrap w:val="0"/>
        <w:spacing w:after="0" w:line="360" w:lineRule="auto"/>
        <w:ind w:firstLine="480" w:firstLineChars="200"/>
        <w:rPr>
          <w:rFonts w:hint="eastAsia" w:ascii="宋体" w:hAnsi="宋体" w:eastAsia="宋体" w:cs="宋体"/>
          <w:color w:val="auto"/>
          <w:sz w:val="24"/>
          <w:szCs w:val="18"/>
          <w:highlight w:val="none"/>
          <w:lang w:val="en-US"/>
        </w:rPr>
      </w:pPr>
      <w:r>
        <w:rPr>
          <w:rFonts w:hint="eastAsia" w:ascii="宋体" w:hAnsi="宋体" w:eastAsia="宋体" w:cs="宋体"/>
          <w:color w:val="auto"/>
          <w:sz w:val="24"/>
          <w:szCs w:val="18"/>
          <w:highlight w:val="none"/>
          <w:lang w:val="en-US"/>
        </w:rPr>
        <w:t>2.请投标人登录滁州市公共资源交易中心网站查看参加本项目的程序。（具体操作步骤和程序请参见服务指南&gt;交易须知&gt;投标人填写投标信息、下载文件及网上提问操作手册）。</w:t>
      </w:r>
    </w:p>
    <w:p w14:paraId="7E50247E">
      <w:pPr>
        <w:pStyle w:val="8"/>
        <w:wordWrap w:val="0"/>
        <w:spacing w:after="0" w:line="360" w:lineRule="auto"/>
        <w:ind w:firstLine="480" w:firstLineChars="200"/>
        <w:rPr>
          <w:rFonts w:hint="eastAsia" w:ascii="宋体" w:hAnsi="宋体" w:eastAsia="宋体" w:cs="宋体"/>
          <w:color w:val="auto"/>
          <w:sz w:val="24"/>
          <w:szCs w:val="18"/>
          <w:highlight w:val="none"/>
          <w:lang w:val="en-US"/>
        </w:rPr>
      </w:pPr>
      <w:r>
        <w:rPr>
          <w:rFonts w:hint="eastAsia" w:ascii="宋体" w:hAnsi="宋体" w:eastAsia="宋体" w:cs="宋体"/>
          <w:color w:val="auto"/>
          <w:sz w:val="24"/>
          <w:szCs w:val="18"/>
          <w:highlight w:val="none"/>
          <w:lang w:val="en-US"/>
        </w:rPr>
        <w:t>3.本项目采用不见面开标（远程解密)方式，开标时投标人无须至开标现场进行解密，开标采取远程解密方式解密投标文件，解密方式为：投标人在开标时间前使用CA数字证书登录滁州市“不见面开标系统”，网址为https：//ggzy.chuzhou.gov.cn/BidOpening,等待开标并按系统提示进行相应的投标人解密等事项，无需到开标现场。采用本方式可以观看开标现场音视频直播并进行互动交流。具体操作方法见中心网站&gt;服务指南&gt;交易须知中的《滁州市不见面开标系统操作手册》；</w:t>
      </w:r>
    </w:p>
    <w:p w14:paraId="78D953FD">
      <w:pPr>
        <w:pStyle w:val="8"/>
        <w:wordWrap w:val="0"/>
        <w:spacing w:after="0" w:line="360" w:lineRule="auto"/>
        <w:ind w:firstLine="480" w:firstLineChars="200"/>
        <w:rPr>
          <w:rFonts w:hint="eastAsia" w:ascii="宋体" w:hAnsi="宋体" w:eastAsia="宋体"/>
          <w:color w:val="auto"/>
          <w:sz w:val="24"/>
          <w:szCs w:val="18"/>
          <w:highlight w:val="none"/>
          <w:lang w:val="en-US"/>
        </w:rPr>
      </w:pPr>
      <w:r>
        <w:rPr>
          <w:rFonts w:hint="eastAsia" w:ascii="宋体" w:hAnsi="宋体" w:eastAsia="宋体" w:cs="宋体"/>
          <w:color w:val="auto"/>
          <w:sz w:val="24"/>
          <w:szCs w:val="18"/>
          <w:highlight w:val="none"/>
          <w:lang w:val="en-US"/>
        </w:rPr>
        <w:t>4.投标人接到远程解密指令后，须在规定时间内解密。因投标人自身原因导致投标文件在规定时间内未能解密、解密失败或解密超时，投标文件无效；因采购代理机构原因或网上平台发生故障，导致无法按时完成投标文件解密的，经采购代理机构申请后可延迟解密时间。</w:t>
      </w:r>
    </w:p>
    <w:bookmarkEnd w:id="15"/>
    <w:p w14:paraId="1A07881E">
      <w:pPr>
        <w:spacing w:line="360" w:lineRule="auto"/>
        <w:ind w:firstLine="437"/>
        <w:outlineLvl w:val="1"/>
        <w:rPr>
          <w:rFonts w:hint="eastAsia" w:ascii="宋体" w:hAnsi="宋体" w:eastAsia="宋体"/>
          <w:b/>
          <w:bCs/>
          <w:color w:val="auto"/>
          <w:sz w:val="24"/>
          <w:szCs w:val="18"/>
          <w:highlight w:val="none"/>
        </w:rPr>
      </w:pPr>
      <w:bookmarkStart w:id="19" w:name="_Toc7265"/>
      <w:bookmarkStart w:id="20" w:name="_Toc3854"/>
      <w:r>
        <w:rPr>
          <w:rFonts w:hint="eastAsia" w:ascii="宋体" w:hAnsi="宋体" w:eastAsia="宋体"/>
          <w:b/>
          <w:bCs/>
          <w:color w:val="auto"/>
          <w:sz w:val="24"/>
          <w:szCs w:val="18"/>
          <w:highlight w:val="none"/>
        </w:rPr>
        <w:t>七、</w:t>
      </w:r>
      <w:bookmarkEnd w:id="19"/>
      <w:r>
        <w:rPr>
          <w:rFonts w:hint="eastAsia" w:ascii="宋体" w:hAnsi="宋体" w:eastAsia="宋体"/>
          <w:b/>
          <w:bCs/>
          <w:color w:val="auto"/>
          <w:sz w:val="24"/>
          <w:szCs w:val="18"/>
          <w:highlight w:val="none"/>
        </w:rPr>
        <w:t>对本次招标提出询问，请按以下方式联系</w:t>
      </w:r>
      <w:bookmarkEnd w:id="20"/>
    </w:p>
    <w:p w14:paraId="17163C33">
      <w:pPr>
        <w:spacing w:line="360" w:lineRule="auto"/>
        <w:ind w:firstLine="437"/>
        <w:outlineLvl w:val="2"/>
        <w:rPr>
          <w:rFonts w:hint="eastAsia" w:ascii="宋体" w:hAnsi="宋体" w:eastAsia="宋体"/>
          <w:color w:val="auto"/>
          <w:sz w:val="24"/>
          <w:szCs w:val="18"/>
          <w:highlight w:val="none"/>
        </w:rPr>
      </w:pPr>
      <w:r>
        <w:rPr>
          <w:rFonts w:hint="eastAsia" w:ascii="宋体" w:hAnsi="宋体" w:eastAsia="宋体"/>
          <w:color w:val="auto"/>
          <w:sz w:val="24"/>
          <w:szCs w:val="18"/>
          <w:highlight w:val="none"/>
        </w:rPr>
        <w:t>1.采购人信息</w:t>
      </w:r>
    </w:p>
    <w:p w14:paraId="7B51F399">
      <w:pPr>
        <w:spacing w:line="360" w:lineRule="auto"/>
        <w:ind w:firstLine="435"/>
        <w:rPr>
          <w:rFonts w:hint="eastAsia" w:ascii="宋体" w:hAnsi="宋体" w:eastAsia="宋体"/>
          <w:color w:val="auto"/>
          <w:sz w:val="24"/>
          <w:szCs w:val="18"/>
          <w:highlight w:val="none"/>
        </w:rPr>
      </w:pPr>
      <w:r>
        <w:rPr>
          <w:rFonts w:hint="eastAsia" w:ascii="宋体" w:hAnsi="宋体" w:eastAsia="宋体" w:cs="宋体"/>
          <w:color w:val="auto"/>
          <w:sz w:val="24"/>
          <w:szCs w:val="24"/>
          <w:highlight w:val="none"/>
        </w:rPr>
        <w:t>名称</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滁州职业技术学院</w:t>
      </w:r>
    </w:p>
    <w:p w14:paraId="6BDF3C29">
      <w:pPr>
        <w:spacing w:line="360" w:lineRule="auto"/>
        <w:ind w:firstLine="435"/>
        <w:rPr>
          <w:rFonts w:hint="eastAsia" w:ascii="宋体" w:hAnsi="宋体" w:eastAsia="宋体"/>
          <w:color w:val="auto"/>
          <w:sz w:val="24"/>
          <w:szCs w:val="18"/>
          <w:highlight w:val="none"/>
        </w:rPr>
      </w:pPr>
      <w:r>
        <w:rPr>
          <w:rFonts w:ascii="宋体" w:hAnsi="宋体" w:eastAsia="宋体"/>
          <w:color w:val="auto"/>
          <w:sz w:val="24"/>
          <w:szCs w:val="18"/>
          <w:highlight w:val="none"/>
        </w:rPr>
        <w:t>地址：</w:t>
      </w:r>
      <w:r>
        <w:rPr>
          <w:rFonts w:ascii="宋体" w:hAnsi="宋体" w:eastAsia="宋体"/>
          <w:color w:val="auto"/>
          <w:sz w:val="24"/>
          <w:szCs w:val="18"/>
          <w:highlight w:val="none"/>
          <w:u w:val="single"/>
        </w:rPr>
        <w:t>滁州市南谯区丰乐大道2188号</w:t>
      </w:r>
    </w:p>
    <w:p w14:paraId="5AFAFCE0">
      <w:pPr>
        <w:spacing w:line="360" w:lineRule="auto"/>
        <w:ind w:firstLine="435"/>
        <w:rPr>
          <w:rFonts w:hint="eastAsia" w:ascii="宋体" w:hAnsi="宋体" w:eastAsia="宋体"/>
          <w:color w:val="auto"/>
          <w:sz w:val="24"/>
          <w:szCs w:val="18"/>
          <w:highlight w:val="none"/>
        </w:rPr>
      </w:pPr>
      <w:r>
        <w:rPr>
          <w:rFonts w:ascii="宋体" w:hAnsi="宋体" w:eastAsia="宋体"/>
          <w:color w:val="auto"/>
          <w:sz w:val="24"/>
          <w:szCs w:val="18"/>
          <w:highlight w:val="none"/>
        </w:rPr>
        <w:t>联系人：</w:t>
      </w:r>
      <w:r>
        <w:rPr>
          <w:rFonts w:ascii="宋体" w:hAnsi="宋体" w:eastAsia="宋体"/>
          <w:color w:val="auto"/>
          <w:sz w:val="24"/>
          <w:szCs w:val="18"/>
          <w:highlight w:val="none"/>
          <w:u w:val="single"/>
        </w:rPr>
        <w:t>陈老师、李老师</w:t>
      </w:r>
    </w:p>
    <w:p w14:paraId="587E6107">
      <w:pPr>
        <w:spacing w:line="360" w:lineRule="auto"/>
        <w:ind w:firstLine="435"/>
        <w:rPr>
          <w:rFonts w:hint="eastAsia" w:ascii="宋体" w:hAnsi="宋体" w:eastAsia="宋体"/>
          <w:color w:val="auto"/>
          <w:sz w:val="24"/>
          <w:szCs w:val="18"/>
          <w:highlight w:val="none"/>
        </w:rPr>
      </w:pPr>
      <w:r>
        <w:rPr>
          <w:rFonts w:ascii="宋体" w:hAnsi="宋体" w:eastAsia="宋体"/>
          <w:color w:val="auto"/>
          <w:sz w:val="24"/>
          <w:szCs w:val="18"/>
          <w:highlight w:val="none"/>
        </w:rPr>
        <w:t>联系方式：</w:t>
      </w:r>
      <w:r>
        <w:rPr>
          <w:rFonts w:ascii="宋体" w:hAnsi="宋体" w:eastAsia="宋体"/>
          <w:color w:val="auto"/>
          <w:sz w:val="24"/>
          <w:szCs w:val="18"/>
          <w:highlight w:val="none"/>
          <w:u w:val="single"/>
        </w:rPr>
        <w:t>0550-3854662</w:t>
      </w:r>
    </w:p>
    <w:p w14:paraId="72CE88C6">
      <w:pPr>
        <w:spacing w:line="360" w:lineRule="auto"/>
        <w:ind w:firstLine="437"/>
        <w:outlineLvl w:val="2"/>
        <w:rPr>
          <w:rFonts w:hint="eastAsia" w:ascii="宋体" w:hAnsi="宋体" w:eastAsia="宋体"/>
          <w:color w:val="auto"/>
          <w:sz w:val="24"/>
          <w:szCs w:val="18"/>
          <w:highlight w:val="none"/>
        </w:rPr>
      </w:pPr>
      <w:r>
        <w:rPr>
          <w:rFonts w:ascii="宋体" w:hAnsi="宋体" w:eastAsia="宋体"/>
          <w:color w:val="auto"/>
          <w:sz w:val="24"/>
          <w:szCs w:val="18"/>
          <w:highlight w:val="none"/>
        </w:rPr>
        <w:t>2.采购代理机构</w:t>
      </w:r>
      <w:r>
        <w:rPr>
          <w:rFonts w:hint="eastAsia" w:ascii="宋体" w:hAnsi="宋体" w:eastAsia="宋体"/>
          <w:color w:val="auto"/>
          <w:sz w:val="24"/>
          <w:szCs w:val="18"/>
          <w:highlight w:val="none"/>
        </w:rPr>
        <w:t>信息</w:t>
      </w:r>
    </w:p>
    <w:p w14:paraId="153A5225">
      <w:pPr>
        <w:spacing w:line="360" w:lineRule="auto"/>
        <w:ind w:firstLine="435"/>
        <w:rPr>
          <w:rFonts w:hint="eastAsia" w:ascii="宋体" w:hAnsi="宋体" w:eastAsia="宋体"/>
          <w:color w:val="auto"/>
          <w:sz w:val="24"/>
          <w:szCs w:val="18"/>
          <w:highlight w:val="none"/>
        </w:rPr>
      </w:pPr>
      <w:r>
        <w:rPr>
          <w:rFonts w:hint="eastAsia" w:ascii="宋体" w:hAnsi="宋体" w:eastAsia="宋体" w:cs="宋体"/>
          <w:color w:val="auto"/>
          <w:sz w:val="24"/>
          <w:szCs w:val="24"/>
          <w:highlight w:val="none"/>
        </w:rPr>
        <w:t>名称</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滁州市政府采购中心</w:t>
      </w:r>
    </w:p>
    <w:p w14:paraId="6330F5D7">
      <w:pPr>
        <w:spacing w:line="360" w:lineRule="auto"/>
        <w:ind w:firstLine="435"/>
        <w:rPr>
          <w:rFonts w:hint="eastAsia" w:ascii="宋体" w:hAnsi="宋体" w:eastAsia="宋体"/>
          <w:color w:val="auto"/>
          <w:sz w:val="24"/>
          <w:szCs w:val="18"/>
          <w:highlight w:val="none"/>
          <w:u w:val="single"/>
        </w:rPr>
      </w:pPr>
      <w:r>
        <w:rPr>
          <w:rFonts w:hint="eastAsia" w:ascii="宋体" w:hAnsi="宋体" w:eastAsia="宋体"/>
          <w:color w:val="auto"/>
          <w:sz w:val="24"/>
          <w:szCs w:val="18"/>
          <w:highlight w:val="none"/>
        </w:rPr>
        <w:t>地</w:t>
      </w:r>
      <w:r>
        <w:rPr>
          <w:rFonts w:ascii="宋体" w:hAnsi="宋体" w:eastAsia="宋体"/>
          <w:color w:val="auto"/>
          <w:sz w:val="24"/>
          <w:szCs w:val="18"/>
          <w:highlight w:val="none"/>
        </w:rPr>
        <w:t>址：</w:t>
      </w:r>
      <w:r>
        <w:rPr>
          <w:rFonts w:hint="eastAsia" w:ascii="宋体" w:hAnsi="宋体" w:eastAsia="宋体" w:cs="宋体"/>
          <w:color w:val="auto"/>
          <w:sz w:val="24"/>
          <w:szCs w:val="18"/>
          <w:highlight w:val="none"/>
          <w:u w:val="single"/>
        </w:rPr>
        <w:t>滁州市龙蟠大道109号房产商务大厦2楼</w:t>
      </w:r>
    </w:p>
    <w:p w14:paraId="16569BBF">
      <w:pPr>
        <w:spacing w:line="360" w:lineRule="auto"/>
        <w:ind w:firstLine="435"/>
        <w:rPr>
          <w:rFonts w:hint="eastAsia" w:eastAsia="宋体"/>
          <w:color w:val="auto"/>
          <w:highlight w:val="none"/>
        </w:rPr>
      </w:pPr>
      <w:r>
        <w:rPr>
          <w:rFonts w:hint="eastAsia" w:ascii="宋体" w:hAnsi="宋体" w:eastAsia="宋体"/>
          <w:color w:val="auto"/>
          <w:sz w:val="24"/>
          <w:szCs w:val="18"/>
          <w:highlight w:val="none"/>
        </w:rPr>
        <w:t>联系人：</w:t>
      </w:r>
      <w:r>
        <w:rPr>
          <w:rFonts w:hint="eastAsia" w:ascii="宋体" w:hAnsi="宋体" w:eastAsia="宋体"/>
          <w:color w:val="auto"/>
          <w:sz w:val="24"/>
          <w:szCs w:val="18"/>
          <w:highlight w:val="none"/>
          <w:u w:val="single"/>
        </w:rPr>
        <w:t>关勤勤</w:t>
      </w:r>
    </w:p>
    <w:p w14:paraId="23D72F95">
      <w:pPr>
        <w:spacing w:line="360" w:lineRule="auto"/>
        <w:ind w:firstLine="435"/>
        <w:rPr>
          <w:rFonts w:hint="eastAsia" w:ascii="宋体" w:hAnsi="宋体" w:eastAsia="宋体"/>
          <w:color w:val="auto"/>
          <w:sz w:val="24"/>
          <w:szCs w:val="18"/>
          <w:highlight w:val="none"/>
        </w:rPr>
      </w:pPr>
      <w:r>
        <w:rPr>
          <w:rFonts w:hint="eastAsia" w:ascii="宋体" w:hAnsi="宋体" w:eastAsia="宋体"/>
          <w:color w:val="auto"/>
          <w:sz w:val="24"/>
          <w:szCs w:val="18"/>
          <w:highlight w:val="none"/>
        </w:rPr>
        <w:t>联系方式：</w:t>
      </w:r>
      <w:r>
        <w:rPr>
          <w:rFonts w:hint="eastAsia" w:ascii="宋体" w:hAnsi="宋体" w:eastAsia="宋体" w:cs="宋体"/>
          <w:color w:val="auto"/>
          <w:sz w:val="24"/>
          <w:szCs w:val="18"/>
          <w:highlight w:val="none"/>
          <w:u w:val="single"/>
        </w:rPr>
        <w:t>0550-3519590、13866523085</w:t>
      </w:r>
    </w:p>
    <w:p w14:paraId="154F4FDE">
      <w:pPr>
        <w:spacing w:line="360" w:lineRule="auto"/>
        <w:ind w:firstLine="437"/>
        <w:outlineLvl w:val="2"/>
        <w:rPr>
          <w:rFonts w:hint="eastAsia" w:ascii="宋体" w:hAnsi="宋体" w:eastAsia="宋体"/>
          <w:b/>
          <w:color w:val="auto"/>
          <w:sz w:val="24"/>
          <w:szCs w:val="18"/>
          <w:highlight w:val="none"/>
        </w:rPr>
      </w:pPr>
      <w:r>
        <w:rPr>
          <w:rFonts w:hint="eastAsia" w:ascii="宋体" w:hAnsi="宋体" w:eastAsia="宋体"/>
          <w:bCs/>
          <w:color w:val="auto"/>
          <w:sz w:val="24"/>
          <w:szCs w:val="18"/>
          <w:highlight w:val="none"/>
        </w:rPr>
        <w:t>3</w:t>
      </w:r>
      <w:r>
        <w:rPr>
          <w:rFonts w:hint="eastAsia" w:ascii="宋体" w:hAnsi="宋体" w:eastAsia="宋体"/>
          <w:b/>
          <w:color w:val="auto"/>
          <w:sz w:val="24"/>
          <w:szCs w:val="18"/>
          <w:highlight w:val="none"/>
        </w:rPr>
        <w:t>.</w:t>
      </w:r>
      <w:r>
        <w:rPr>
          <w:rFonts w:hint="eastAsia" w:ascii="宋体" w:hAnsi="宋体" w:eastAsia="宋体"/>
          <w:color w:val="auto"/>
          <w:sz w:val="24"/>
          <w:szCs w:val="18"/>
          <w:highlight w:val="none"/>
        </w:rPr>
        <w:t>政府采购监督管理部门信息</w:t>
      </w:r>
    </w:p>
    <w:p w14:paraId="461A317E">
      <w:pPr>
        <w:spacing w:line="360" w:lineRule="auto"/>
        <w:ind w:firstLine="435"/>
        <w:rPr>
          <w:rFonts w:hint="eastAsia" w:ascii="宋体" w:hAnsi="宋体" w:eastAsia="宋体"/>
          <w:color w:val="auto"/>
          <w:sz w:val="24"/>
          <w:szCs w:val="18"/>
          <w:highlight w:val="none"/>
        </w:rPr>
      </w:pPr>
      <w:r>
        <w:rPr>
          <w:rFonts w:hint="eastAsia" w:ascii="宋体" w:hAnsi="宋体" w:eastAsia="宋体" w:cs="宋体"/>
          <w:color w:val="auto"/>
          <w:sz w:val="24"/>
          <w:szCs w:val="24"/>
          <w:highlight w:val="none"/>
        </w:rPr>
        <w:t>名称</w:t>
      </w:r>
      <w:r>
        <w:rPr>
          <w:rFonts w:hint="eastAsia" w:ascii="宋体" w:hAnsi="宋体" w:eastAsia="宋体"/>
          <w:color w:val="auto"/>
          <w:sz w:val="24"/>
          <w:szCs w:val="18"/>
          <w:highlight w:val="none"/>
        </w:rPr>
        <w:t>：</w:t>
      </w:r>
      <w:r>
        <w:rPr>
          <w:rFonts w:hint="eastAsia" w:ascii="宋体" w:hAnsi="宋体" w:eastAsia="宋体" w:cs="宋体"/>
          <w:color w:val="auto"/>
          <w:sz w:val="24"/>
          <w:szCs w:val="18"/>
          <w:highlight w:val="none"/>
          <w:u w:val="single"/>
        </w:rPr>
        <w:t>滁州市公共资源交易监督管理局</w:t>
      </w:r>
    </w:p>
    <w:p w14:paraId="748FB2C4">
      <w:pPr>
        <w:spacing w:line="360" w:lineRule="auto"/>
        <w:ind w:firstLine="435"/>
        <w:rPr>
          <w:rFonts w:hint="eastAsia" w:ascii="宋体" w:hAnsi="宋体" w:eastAsia="宋体"/>
          <w:color w:val="auto"/>
          <w:sz w:val="24"/>
          <w:szCs w:val="18"/>
          <w:highlight w:val="none"/>
        </w:rPr>
      </w:pPr>
      <w:r>
        <w:rPr>
          <w:rFonts w:hint="eastAsia" w:ascii="宋体" w:hAnsi="宋体" w:eastAsia="宋体"/>
          <w:color w:val="auto"/>
          <w:sz w:val="24"/>
          <w:szCs w:val="18"/>
          <w:highlight w:val="none"/>
        </w:rPr>
        <w:t>地址：</w:t>
      </w:r>
      <w:r>
        <w:rPr>
          <w:rFonts w:hint="eastAsia" w:ascii="宋体" w:hAnsi="宋体" w:eastAsia="宋体" w:cs="宋体"/>
          <w:color w:val="auto"/>
          <w:sz w:val="24"/>
          <w:szCs w:val="18"/>
          <w:highlight w:val="none"/>
          <w:u w:val="single"/>
        </w:rPr>
        <w:t>滁州市龙蟠大道109号房产大厦3楼</w:t>
      </w:r>
    </w:p>
    <w:p w14:paraId="00606153">
      <w:pPr>
        <w:spacing w:line="360" w:lineRule="auto"/>
        <w:ind w:firstLine="435"/>
        <w:rPr>
          <w:rFonts w:hint="eastAsia" w:ascii="宋体" w:hAnsi="宋体" w:eastAsia="宋体"/>
          <w:color w:val="auto"/>
          <w:sz w:val="24"/>
          <w:szCs w:val="18"/>
          <w:highlight w:val="none"/>
          <w:u w:val="single"/>
        </w:rPr>
      </w:pPr>
      <w:r>
        <w:rPr>
          <w:rFonts w:hint="eastAsia" w:ascii="宋体" w:hAnsi="宋体" w:eastAsia="宋体"/>
          <w:color w:val="auto"/>
          <w:sz w:val="24"/>
          <w:szCs w:val="18"/>
          <w:highlight w:val="none"/>
        </w:rPr>
        <w:t>联系方式：</w:t>
      </w:r>
      <w:r>
        <w:rPr>
          <w:rFonts w:hint="eastAsia" w:ascii="宋体" w:hAnsi="宋体" w:eastAsia="宋体" w:cs="宋体"/>
          <w:color w:val="auto"/>
          <w:sz w:val="24"/>
          <w:szCs w:val="18"/>
          <w:highlight w:val="none"/>
          <w:u w:val="single"/>
        </w:rPr>
        <w:t>0550-3801656</w:t>
      </w:r>
    </w:p>
    <w:p w14:paraId="6E44BB6D">
      <w:pPr>
        <w:widowControl/>
        <w:jc w:val="left"/>
        <w:rPr>
          <w:rFonts w:hint="eastAsia" w:ascii="宋体" w:hAnsi="宋体" w:eastAsia="宋体"/>
          <w:color w:val="auto"/>
          <w:sz w:val="24"/>
          <w:szCs w:val="18"/>
          <w:highlight w:val="none"/>
        </w:rPr>
      </w:pPr>
      <w:r>
        <w:rPr>
          <w:rFonts w:ascii="宋体" w:hAnsi="宋体" w:eastAsia="宋体"/>
          <w:color w:val="auto"/>
          <w:sz w:val="24"/>
          <w:szCs w:val="18"/>
          <w:highlight w:val="none"/>
        </w:rPr>
        <w:br w:type="page"/>
      </w:r>
    </w:p>
    <w:p w14:paraId="17281442">
      <w:pPr>
        <w:spacing w:line="360" w:lineRule="auto"/>
        <w:jc w:val="center"/>
        <w:outlineLvl w:val="0"/>
        <w:rPr>
          <w:rFonts w:hint="eastAsia" w:asciiTheme="minorEastAsia" w:hAnsiTheme="minorEastAsia" w:eastAsiaTheme="minorEastAsia"/>
          <w:b/>
          <w:color w:val="auto"/>
          <w:sz w:val="28"/>
          <w:highlight w:val="none"/>
        </w:rPr>
      </w:pPr>
      <w:bookmarkStart w:id="21" w:name="_Toc31935"/>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w:t>
      </w:r>
      <w:r>
        <w:rPr>
          <w:rFonts w:asciiTheme="minorEastAsia" w:hAnsiTheme="minorEastAsia" w:eastAsiaTheme="minorEastAsia"/>
          <w:b/>
          <w:color w:val="auto"/>
          <w:sz w:val="28"/>
          <w:highlight w:val="none"/>
        </w:rPr>
        <w:t>投标人须知</w:t>
      </w:r>
      <w:bookmarkEnd w:id="21"/>
    </w:p>
    <w:p w14:paraId="1C2B44DB">
      <w:pPr>
        <w:spacing w:line="360" w:lineRule="auto"/>
        <w:jc w:val="center"/>
        <w:outlineLvl w:val="1"/>
        <w:rPr>
          <w:rFonts w:hint="eastAsia" w:asciiTheme="minorEastAsia" w:hAnsiTheme="minorEastAsia" w:eastAsiaTheme="minorEastAsia"/>
          <w:b/>
          <w:color w:val="auto"/>
          <w:sz w:val="24"/>
          <w:highlight w:val="none"/>
        </w:rPr>
      </w:pPr>
      <w:bookmarkStart w:id="22" w:name="_Toc3114"/>
      <w:bookmarkStart w:id="23" w:name="_Toc7178"/>
      <w:r>
        <w:rPr>
          <w:rFonts w:hint="eastAsia" w:asciiTheme="minorEastAsia" w:hAnsiTheme="minorEastAsia" w:eastAsiaTheme="minorEastAsia"/>
          <w:b/>
          <w:color w:val="auto"/>
          <w:sz w:val="24"/>
          <w:highlight w:val="none"/>
        </w:rPr>
        <w:t>一、</w:t>
      </w:r>
      <w:r>
        <w:rPr>
          <w:rFonts w:asciiTheme="minorEastAsia" w:hAnsiTheme="minorEastAsia" w:eastAsiaTheme="minorEastAsia"/>
          <w:b/>
          <w:color w:val="auto"/>
          <w:sz w:val="24"/>
          <w:highlight w:val="none"/>
        </w:rPr>
        <w:t>投标人须知前附表</w:t>
      </w:r>
      <w:bookmarkEnd w:id="22"/>
      <w:bookmarkEnd w:id="23"/>
    </w:p>
    <w:p w14:paraId="13C5CDE9">
      <w:pPr>
        <w:spacing w:line="360" w:lineRule="auto"/>
        <w:ind w:firstLine="435"/>
        <w:rPr>
          <w:rFonts w:hint="eastAsia"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3"/>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6"/>
        <w:gridCol w:w="2216"/>
        <w:gridCol w:w="6122"/>
      </w:tblGrid>
      <w:tr w14:paraId="37E4D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16F6B5C">
            <w:pPr>
              <w:pStyle w:val="41"/>
              <w:widowControl w:val="0"/>
              <w:spacing w:before="0" w:beforeAutospacing="0" w:after="0" w:afterAutospacing="0"/>
              <w:rPr>
                <w:rFonts w:hint="eastAsia"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174" w:type="pct"/>
            <w:vAlign w:val="center"/>
          </w:tcPr>
          <w:p w14:paraId="6B4D4B7D">
            <w:pPr>
              <w:pStyle w:val="41"/>
              <w:widowControl w:val="0"/>
              <w:spacing w:before="0" w:beforeAutospacing="0" w:after="0" w:afterAutospacing="0"/>
              <w:rPr>
                <w:rFonts w:hint="eastAsia"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244" w:type="pct"/>
            <w:vAlign w:val="center"/>
          </w:tcPr>
          <w:p w14:paraId="467D9BEB">
            <w:pPr>
              <w:pStyle w:val="41"/>
              <w:widowControl w:val="0"/>
              <w:spacing w:before="0" w:beforeAutospacing="0" w:after="0" w:afterAutospacing="0"/>
              <w:rPr>
                <w:rFonts w:hint="eastAsia"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22481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EB3A31A">
            <w:pPr>
              <w:pStyle w:val="42"/>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5</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174" w:type="pct"/>
            <w:vAlign w:val="center"/>
          </w:tcPr>
          <w:p w14:paraId="2B65B3B9">
            <w:pPr>
              <w:pStyle w:val="41"/>
              <w:widowControl w:val="0"/>
              <w:spacing w:before="0" w:beforeAutospacing="0" w:after="0" w:afterAutospacing="0" w:line="360" w:lineRule="auto"/>
              <w:jc w:val="left"/>
              <w:rPr>
                <w:rFonts w:hint="eastAsia" w:ascii="宋体" w:hAnsi="宋体" w:eastAsia="宋体"/>
                <w:b w:val="0"/>
                <w:color w:val="auto"/>
                <w:sz w:val="24"/>
                <w:highlight w:val="none"/>
              </w:rPr>
            </w:pPr>
            <w:r>
              <w:rPr>
                <w:rFonts w:hint="eastAsia" w:ascii="宋体" w:hAnsi="宋体" w:eastAsia="宋体"/>
                <w:b w:val="0"/>
                <w:color w:val="auto"/>
                <w:sz w:val="24"/>
                <w:highlight w:val="none"/>
              </w:rPr>
              <w:t>现场考察或标前答疑会</w:t>
            </w:r>
          </w:p>
        </w:tc>
        <w:tc>
          <w:tcPr>
            <w:tcW w:w="3244" w:type="pct"/>
            <w:vAlign w:val="center"/>
          </w:tcPr>
          <w:p w14:paraId="3BA8AFBF">
            <w:pPr>
              <w:spacing w:line="360" w:lineRule="auto"/>
              <w:rPr>
                <w:rFonts w:hint="eastAsia" w:ascii="宋体" w:hAnsi="宋体" w:eastAsia="宋体"/>
                <w:bCs/>
                <w:color w:val="auto"/>
                <w:sz w:val="24"/>
                <w:highlight w:val="none"/>
              </w:rPr>
            </w:pPr>
            <w:r>
              <w:rPr>
                <w:rFonts w:hint="eastAsia" w:ascii="宋体" w:hAnsi="宋体" w:eastAsia="宋体"/>
                <w:bCs/>
                <w:color w:val="auto"/>
                <w:sz w:val="24"/>
                <w:szCs w:val="24"/>
                <w:highlight w:val="none"/>
              </w:rPr>
              <w:t>☑</w:t>
            </w:r>
            <w:r>
              <w:rPr>
                <w:rFonts w:hint="eastAsia" w:ascii="宋体" w:hAnsi="宋体" w:eastAsia="宋体"/>
                <w:color w:val="auto"/>
                <w:sz w:val="24"/>
                <w:highlight w:val="none"/>
              </w:rPr>
              <w:t>不组织或不召开</w:t>
            </w:r>
          </w:p>
          <w:p w14:paraId="3C0A8BF0">
            <w:pPr>
              <w:spacing w:line="360" w:lineRule="auto"/>
              <w:rPr>
                <w:rFonts w:hint="eastAsia" w:ascii="宋体" w:hAnsi="宋体" w:eastAsia="宋体"/>
                <w:bCs/>
                <w:color w:val="auto"/>
                <w:sz w:val="24"/>
                <w:highlight w:val="none"/>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统一组织或统一召开</w:t>
            </w:r>
          </w:p>
          <w:p w14:paraId="43E4B47F">
            <w:pPr>
              <w:spacing w:line="360" w:lineRule="auto"/>
              <w:rPr>
                <w:rFonts w:hint="eastAsia" w:ascii="宋体" w:hAnsi="宋体" w:eastAsia="宋体"/>
                <w:bCs/>
                <w:color w:val="auto"/>
                <w:sz w:val="24"/>
                <w:highlight w:val="none"/>
                <w:u w:val="single"/>
              </w:rPr>
            </w:pPr>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日</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时</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分</w:t>
            </w:r>
          </w:p>
          <w:p w14:paraId="6398A99C">
            <w:pPr>
              <w:spacing w:line="360" w:lineRule="auto"/>
              <w:rPr>
                <w:rFonts w:hint="eastAsia" w:ascii="宋体" w:hAnsi="宋体" w:eastAsia="宋体"/>
                <w:bCs/>
                <w:color w:val="auto"/>
                <w:sz w:val="24"/>
                <w:highlight w:val="none"/>
                <w:u w:val="single"/>
              </w:rPr>
            </w:pPr>
            <w:r>
              <w:rPr>
                <w:rFonts w:hint="eastAsia" w:ascii="宋体" w:hAnsi="宋体" w:eastAsia="宋体"/>
                <w:bCs/>
                <w:color w:val="auto"/>
                <w:sz w:val="24"/>
                <w:highlight w:val="none"/>
              </w:rPr>
              <w:t>地点：</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66C26085">
            <w:pPr>
              <w:spacing w:line="360" w:lineRule="auto"/>
              <w:rPr>
                <w:rFonts w:hint="eastAsia" w:ascii="宋体" w:hAnsi="宋体" w:eastAsia="宋体"/>
                <w:bCs/>
                <w:color w:val="auto"/>
                <w:sz w:val="24"/>
                <w:highlight w:val="none"/>
                <w:u w:val="single"/>
              </w:rPr>
            </w:pPr>
            <w:r>
              <w:rPr>
                <w:rFonts w:hint="eastAsia" w:ascii="宋体" w:hAnsi="宋体" w:eastAsia="宋体"/>
                <w:bCs/>
                <w:color w:val="auto"/>
                <w:sz w:val="24"/>
                <w:highlight w:val="none"/>
              </w:rPr>
              <w:t>联系人及联系电话：</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1B94A396">
            <w:pPr>
              <w:pStyle w:val="41"/>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Cs w:val="0"/>
                <w:color w:val="auto"/>
                <w:sz w:val="24"/>
                <w:highlight w:val="none"/>
              </w:rPr>
              <w:t>注：如投标人未参加采购人统一组织的现场考察或采购人统一召开的标前答疑会，视同放弃现场考察或标前答疑会，由此引起的一切责任由投标人自行承担。</w:t>
            </w:r>
          </w:p>
        </w:tc>
      </w:tr>
      <w:tr w14:paraId="42299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020AE6E">
            <w:pPr>
              <w:pStyle w:val="42"/>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6</w:t>
            </w:r>
            <w:r>
              <w:rPr>
                <w:rFonts w:ascii="宋体" w:hAnsi="宋体" w:eastAsia="宋体"/>
                <w:bCs/>
                <w:color w:val="auto"/>
                <w:kern w:val="2"/>
                <w:highlight w:val="none"/>
              </w:rPr>
              <w:t>.1</w:t>
            </w:r>
          </w:p>
        </w:tc>
        <w:tc>
          <w:tcPr>
            <w:tcW w:w="1174" w:type="pct"/>
            <w:vAlign w:val="center"/>
          </w:tcPr>
          <w:p w14:paraId="6A4467E4">
            <w:pPr>
              <w:pStyle w:val="41"/>
              <w:widowControl w:val="0"/>
              <w:spacing w:before="0" w:beforeAutospacing="0" w:after="0" w:afterAutospacing="0"/>
              <w:jc w:val="left"/>
              <w:rPr>
                <w:rFonts w:hint="eastAsia"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244" w:type="pct"/>
            <w:vAlign w:val="center"/>
          </w:tcPr>
          <w:p w14:paraId="06B28AA9">
            <w:pPr>
              <w:pStyle w:val="41"/>
              <w:widowControl w:val="0"/>
              <w:spacing w:before="0" w:beforeAutospacing="0" w:after="0" w:afterAutospacing="0"/>
              <w:jc w:val="both"/>
              <w:rPr>
                <w:rFonts w:hint="eastAsia" w:ascii="宋体" w:hAnsi="宋体" w:eastAsia="宋体"/>
                <w:b w:val="0"/>
                <w:color w:val="auto"/>
                <w:sz w:val="24"/>
                <w:highlight w:val="none"/>
              </w:rPr>
            </w:pPr>
            <w:r>
              <w:rPr>
                <w:rFonts w:hint="eastAsia" w:ascii="宋体" w:hAnsi="宋体" w:eastAsia="宋体"/>
                <w:b w:val="0"/>
                <w:color w:val="auto"/>
                <w:sz w:val="24"/>
                <w:highlight w:val="none"/>
                <w:u w:val="single"/>
              </w:rPr>
              <w:t>2026</w:t>
            </w:r>
            <w:r>
              <w:rPr>
                <w:rFonts w:ascii="宋体" w:hAnsi="宋体" w:eastAsia="宋体"/>
                <w:b w:val="0"/>
                <w:color w:val="auto"/>
                <w:sz w:val="24"/>
                <w:highlight w:val="none"/>
              </w:rPr>
              <w:t>年</w:t>
            </w:r>
            <w:r>
              <w:rPr>
                <w:rFonts w:hint="eastAsia" w:ascii="宋体" w:hAnsi="宋体" w:eastAsia="宋体"/>
                <w:b w:val="0"/>
                <w:color w:val="auto"/>
                <w:sz w:val="24"/>
                <w:highlight w:val="none"/>
                <w:u w:val="single"/>
                <w:lang w:val="en-US" w:eastAsia="zh-CN"/>
              </w:rPr>
              <w:t>7</w:t>
            </w:r>
            <w:r>
              <w:rPr>
                <w:rFonts w:ascii="宋体" w:hAnsi="宋体" w:eastAsia="宋体"/>
                <w:b w:val="0"/>
                <w:color w:val="auto"/>
                <w:sz w:val="24"/>
                <w:highlight w:val="none"/>
              </w:rPr>
              <w:t>月</w:t>
            </w:r>
            <w:r>
              <w:rPr>
                <w:rFonts w:hint="eastAsia" w:ascii="宋体" w:hAnsi="宋体" w:eastAsia="宋体"/>
                <w:b w:val="0"/>
                <w:color w:val="auto"/>
                <w:sz w:val="24"/>
                <w:highlight w:val="none"/>
                <w:u w:val="single"/>
                <w:lang w:val="en-US" w:eastAsia="zh-CN"/>
              </w:rPr>
              <w:t>29</w:t>
            </w:r>
            <w:r>
              <w:rPr>
                <w:rFonts w:ascii="宋体" w:hAnsi="宋体" w:eastAsia="宋体"/>
                <w:b w:val="0"/>
                <w:color w:val="auto"/>
                <w:sz w:val="24"/>
                <w:highlight w:val="none"/>
              </w:rPr>
              <w:t>日</w:t>
            </w:r>
            <w:r>
              <w:rPr>
                <w:rFonts w:hint="eastAsia" w:ascii="宋体" w:hAnsi="宋体" w:eastAsia="宋体"/>
                <w:b w:val="0"/>
                <w:color w:val="auto"/>
                <w:sz w:val="24"/>
                <w:highlight w:val="none"/>
                <w:u w:val="single"/>
              </w:rPr>
              <w:t>17</w:t>
            </w:r>
            <w:r>
              <w:rPr>
                <w:rFonts w:ascii="宋体" w:hAnsi="宋体" w:eastAsia="宋体"/>
                <w:b w:val="0"/>
                <w:color w:val="auto"/>
                <w:sz w:val="24"/>
                <w:highlight w:val="none"/>
              </w:rPr>
              <w:t>时</w:t>
            </w:r>
            <w:r>
              <w:rPr>
                <w:rFonts w:hint="eastAsia" w:ascii="宋体" w:hAnsi="宋体" w:eastAsia="宋体"/>
                <w:b w:val="0"/>
                <w:color w:val="auto"/>
                <w:sz w:val="24"/>
                <w:highlight w:val="none"/>
                <w:u w:val="single"/>
              </w:rPr>
              <w:t>30</w:t>
            </w:r>
            <w:r>
              <w:rPr>
                <w:rFonts w:hint="eastAsia" w:ascii="宋体" w:hAnsi="宋体" w:eastAsia="宋体"/>
                <w:b w:val="0"/>
                <w:color w:val="auto"/>
                <w:sz w:val="24"/>
                <w:highlight w:val="none"/>
              </w:rPr>
              <w:t>分</w:t>
            </w:r>
          </w:p>
        </w:tc>
      </w:tr>
      <w:tr w14:paraId="3599D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7231623">
            <w:pPr>
              <w:pStyle w:val="42"/>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7</w:t>
            </w:r>
            <w:r>
              <w:rPr>
                <w:rFonts w:ascii="宋体" w:hAnsi="宋体" w:eastAsia="宋体"/>
                <w:bCs/>
                <w:color w:val="auto"/>
                <w:kern w:val="2"/>
                <w:highlight w:val="none"/>
              </w:rPr>
              <w:t>.1</w:t>
            </w:r>
          </w:p>
        </w:tc>
        <w:tc>
          <w:tcPr>
            <w:tcW w:w="1174" w:type="pct"/>
            <w:vAlign w:val="center"/>
          </w:tcPr>
          <w:p w14:paraId="7D418D49">
            <w:pPr>
              <w:pStyle w:val="41"/>
              <w:widowControl w:val="0"/>
              <w:spacing w:before="0" w:beforeAutospacing="0" w:after="0" w:afterAutospacing="0"/>
              <w:jc w:val="left"/>
              <w:rPr>
                <w:rFonts w:hint="eastAsia"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244" w:type="pct"/>
            <w:vAlign w:val="center"/>
          </w:tcPr>
          <w:p w14:paraId="05C2A4AD">
            <w:pPr>
              <w:pStyle w:val="41"/>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bCs w:val="0"/>
                <w:color w:val="auto"/>
                <w:sz w:val="24"/>
                <w:szCs w:val="24"/>
                <w:highlight w:val="none"/>
              </w:rPr>
              <w:t>☑</w:t>
            </w:r>
            <w:r>
              <w:rPr>
                <w:rFonts w:ascii="宋体" w:hAnsi="宋体" w:eastAsia="宋体"/>
                <w:b w:val="0"/>
                <w:color w:val="auto"/>
                <w:sz w:val="24"/>
                <w:highlight w:val="none"/>
              </w:rPr>
              <w:t>不分包     □分为  个包</w:t>
            </w:r>
          </w:p>
          <w:p w14:paraId="7D8B005F">
            <w:pPr>
              <w:pStyle w:val="41"/>
              <w:widowControl w:val="0"/>
              <w:spacing w:before="0" w:beforeAutospacing="0" w:after="0" w:afterAutospacing="0"/>
              <w:jc w:val="both"/>
              <w:rPr>
                <w:rFonts w:hint="eastAsia" w:ascii="宋体" w:hAnsi="宋体" w:eastAsia="宋体"/>
                <w:b w:val="0"/>
                <w:color w:val="auto"/>
                <w:sz w:val="24"/>
                <w:highlight w:val="none"/>
                <w:u w:val="single"/>
              </w:rPr>
            </w:pPr>
            <w:r>
              <w:rPr>
                <w:rFonts w:hint="eastAsia" w:ascii="宋体" w:hAnsi="宋体" w:eastAsia="宋体"/>
                <w:b w:val="0"/>
                <w:color w:val="auto"/>
                <w:sz w:val="24"/>
                <w:highlight w:val="none"/>
              </w:rPr>
              <w:t>投标人对多个包进行投标的中标</w:t>
            </w:r>
            <w:r>
              <w:rPr>
                <w:rFonts w:ascii="宋体" w:hAnsi="宋体" w:eastAsia="宋体"/>
                <w:b w:val="0"/>
                <w:color w:val="auto"/>
                <w:sz w:val="24"/>
                <w:highlight w:val="none"/>
              </w:rPr>
              <w:t>包</w:t>
            </w:r>
            <w:r>
              <w:rPr>
                <w:rFonts w:hint="eastAsia" w:ascii="宋体" w:hAnsi="宋体" w:eastAsia="宋体"/>
                <w:b w:val="0"/>
                <w:color w:val="auto"/>
                <w:sz w:val="24"/>
                <w:highlight w:val="none"/>
              </w:rPr>
              <w:t>数规定：</w:t>
            </w:r>
            <w:r>
              <w:rPr>
                <w:rFonts w:hint="eastAsia" w:ascii="宋体" w:hAnsi="宋体" w:eastAsia="宋体"/>
                <w:b w:val="0"/>
                <w:bCs w:val="0"/>
                <w:color w:val="auto"/>
                <w:sz w:val="24"/>
                <w:szCs w:val="18"/>
                <w:highlight w:val="none"/>
                <w:u w:val="single"/>
              </w:rPr>
              <w:t xml:space="preserve"> </w:t>
            </w:r>
            <w:r>
              <w:rPr>
                <w:rFonts w:ascii="宋体" w:hAnsi="宋体" w:eastAsia="宋体"/>
                <w:b w:val="0"/>
                <w:bCs w:val="0"/>
                <w:color w:val="auto"/>
                <w:sz w:val="24"/>
                <w:szCs w:val="18"/>
                <w:highlight w:val="none"/>
                <w:u w:val="single"/>
              </w:rPr>
              <w:t xml:space="preserve">       </w:t>
            </w:r>
          </w:p>
        </w:tc>
      </w:tr>
      <w:tr w14:paraId="579B0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81" w:type="pct"/>
            <w:vAlign w:val="center"/>
          </w:tcPr>
          <w:p w14:paraId="01E07874">
            <w:pPr>
              <w:pStyle w:val="42"/>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10</w:t>
            </w:r>
            <w:r>
              <w:rPr>
                <w:rFonts w:ascii="宋体" w:hAnsi="宋体" w:eastAsia="宋体"/>
                <w:bCs/>
                <w:color w:val="auto"/>
                <w:kern w:val="2"/>
                <w:highlight w:val="none"/>
              </w:rPr>
              <w:t>.1</w:t>
            </w:r>
          </w:p>
        </w:tc>
        <w:tc>
          <w:tcPr>
            <w:tcW w:w="1174" w:type="pct"/>
            <w:vAlign w:val="center"/>
          </w:tcPr>
          <w:p w14:paraId="65E9DB8A">
            <w:pPr>
              <w:pStyle w:val="41"/>
              <w:widowControl w:val="0"/>
              <w:spacing w:before="0" w:beforeAutospacing="0" w:after="0" w:afterAutospacing="0" w:line="360" w:lineRule="auto"/>
              <w:jc w:val="left"/>
              <w:rPr>
                <w:rFonts w:hint="eastAsia"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3244" w:type="pct"/>
            <w:vAlign w:val="center"/>
          </w:tcPr>
          <w:p w14:paraId="722B02DC">
            <w:pPr>
              <w:spacing w:line="360" w:lineRule="auto"/>
              <w:rPr>
                <w:rFonts w:hint="eastAsia"/>
                <w:color w:val="auto"/>
                <w:highlight w:val="none"/>
              </w:rPr>
            </w:pPr>
            <w:r>
              <w:rPr>
                <w:rFonts w:hint="eastAsia" w:ascii="宋体" w:hAnsi="宋体" w:eastAsia="宋体"/>
                <w:bCs/>
                <w:color w:val="auto"/>
                <w:kern w:val="0"/>
                <w:sz w:val="24"/>
                <w:szCs w:val="28"/>
                <w:highlight w:val="none"/>
              </w:rPr>
              <w:t>不收取</w:t>
            </w:r>
          </w:p>
        </w:tc>
      </w:tr>
      <w:tr w14:paraId="2C4B5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6278B6A">
            <w:pPr>
              <w:pStyle w:val="42"/>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11</w:t>
            </w:r>
            <w:r>
              <w:rPr>
                <w:rFonts w:ascii="宋体" w:hAnsi="宋体" w:eastAsia="宋体"/>
                <w:bCs/>
                <w:color w:val="auto"/>
                <w:kern w:val="2"/>
                <w:highlight w:val="none"/>
              </w:rPr>
              <w:t>.1</w:t>
            </w:r>
          </w:p>
        </w:tc>
        <w:tc>
          <w:tcPr>
            <w:tcW w:w="1174" w:type="pct"/>
            <w:vAlign w:val="center"/>
          </w:tcPr>
          <w:p w14:paraId="49DD7E96">
            <w:pPr>
              <w:pStyle w:val="41"/>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3244" w:type="pct"/>
            <w:vAlign w:val="center"/>
          </w:tcPr>
          <w:p w14:paraId="4DC007A3">
            <w:pPr>
              <w:pStyle w:val="41"/>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u w:val="single"/>
              </w:rPr>
              <w:t>90</w:t>
            </w:r>
            <w:r>
              <w:rPr>
                <w:rFonts w:hint="eastAsia" w:ascii="宋体" w:hAnsi="宋体" w:eastAsia="宋体"/>
                <w:b w:val="0"/>
                <w:color w:val="auto"/>
                <w:sz w:val="24"/>
                <w:highlight w:val="none"/>
              </w:rPr>
              <w:t>日历日</w:t>
            </w:r>
          </w:p>
        </w:tc>
      </w:tr>
      <w:tr w14:paraId="6337E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5EE5787">
            <w:pPr>
              <w:pStyle w:val="42"/>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13</w:t>
            </w:r>
            <w:r>
              <w:rPr>
                <w:rFonts w:ascii="宋体" w:hAnsi="宋体" w:eastAsia="宋体"/>
                <w:bCs/>
                <w:color w:val="auto"/>
                <w:kern w:val="2"/>
                <w:highlight w:val="none"/>
              </w:rPr>
              <w:t>.</w:t>
            </w:r>
            <w:r>
              <w:rPr>
                <w:rFonts w:hint="eastAsia" w:ascii="宋体" w:hAnsi="宋体" w:eastAsia="宋体"/>
                <w:bCs/>
                <w:color w:val="auto"/>
                <w:kern w:val="2"/>
                <w:highlight w:val="none"/>
              </w:rPr>
              <w:t>1</w:t>
            </w:r>
          </w:p>
        </w:tc>
        <w:tc>
          <w:tcPr>
            <w:tcW w:w="1174" w:type="pct"/>
            <w:vAlign w:val="center"/>
          </w:tcPr>
          <w:p w14:paraId="65AB8947">
            <w:pPr>
              <w:pStyle w:val="41"/>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投标文件解密时间</w:t>
            </w:r>
          </w:p>
        </w:tc>
        <w:tc>
          <w:tcPr>
            <w:tcW w:w="3244" w:type="pct"/>
            <w:vAlign w:val="center"/>
          </w:tcPr>
          <w:p w14:paraId="6280D24C">
            <w:pPr>
              <w:pStyle w:val="41"/>
              <w:widowControl w:val="0"/>
              <w:spacing w:before="0" w:beforeAutospacing="0" w:after="0" w:afterAutospacing="0" w:line="360" w:lineRule="auto"/>
              <w:jc w:val="both"/>
              <w:rPr>
                <w:rFonts w:hint="eastAsia" w:ascii="宋体" w:hAnsi="宋体" w:eastAsia="宋体"/>
                <w:b w:val="0"/>
                <w:color w:val="auto"/>
                <w:sz w:val="24"/>
                <w:highlight w:val="none"/>
                <w:u w:val="single"/>
              </w:rPr>
            </w:pPr>
            <w:r>
              <w:rPr>
                <w:rFonts w:hint="eastAsia" w:ascii="宋体" w:hAnsi="宋体" w:eastAsia="宋体"/>
                <w:b w:val="0"/>
                <w:color w:val="auto"/>
                <w:sz w:val="24"/>
                <w:highlight w:val="none"/>
              </w:rPr>
              <w:t>投标截止时间后</w:t>
            </w:r>
            <w:r>
              <w:rPr>
                <w:rFonts w:hint="eastAsia" w:ascii="宋体" w:hAnsi="宋体" w:eastAsia="宋体"/>
                <w:b w:val="0"/>
                <w:color w:val="auto"/>
                <w:sz w:val="24"/>
                <w:highlight w:val="none"/>
                <w:u w:val="single"/>
              </w:rPr>
              <w:t xml:space="preserve"> 60 </w:t>
            </w:r>
            <w:r>
              <w:rPr>
                <w:rFonts w:hint="eastAsia" w:ascii="宋体" w:hAnsi="宋体" w:eastAsia="宋体"/>
                <w:b w:val="0"/>
                <w:color w:val="auto"/>
                <w:sz w:val="24"/>
                <w:highlight w:val="none"/>
              </w:rPr>
              <w:t>分钟内</w:t>
            </w:r>
          </w:p>
        </w:tc>
      </w:tr>
      <w:tr w14:paraId="65C2A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C5005F3">
            <w:pPr>
              <w:pStyle w:val="42"/>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14.1</w:t>
            </w:r>
          </w:p>
        </w:tc>
        <w:tc>
          <w:tcPr>
            <w:tcW w:w="1174" w:type="pct"/>
            <w:vAlign w:val="center"/>
          </w:tcPr>
          <w:p w14:paraId="096C4419">
            <w:pPr>
              <w:pStyle w:val="41"/>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244" w:type="pct"/>
            <w:vAlign w:val="center"/>
          </w:tcPr>
          <w:p w14:paraId="7B7A520C">
            <w:pPr>
              <w:pStyle w:val="41"/>
              <w:widowControl w:val="0"/>
              <w:spacing w:before="0" w:beforeAutospacing="0" w:after="0" w:afterAutospacing="0" w:line="360" w:lineRule="auto"/>
              <w:jc w:val="both"/>
              <w:rPr>
                <w:rFonts w:hint="eastAsia" w:ascii="宋体" w:hAnsi="宋体" w:eastAsia="宋体"/>
                <w:b w:val="0"/>
                <w:bCs w:val="0"/>
                <w:color w:val="auto"/>
                <w:sz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highlight w:val="none"/>
              </w:rPr>
              <w:t>采购人审查</w:t>
            </w:r>
          </w:p>
          <w:p w14:paraId="0769FA36">
            <w:pPr>
              <w:pStyle w:val="41"/>
              <w:widowControl w:val="0"/>
              <w:spacing w:before="0" w:beforeAutospacing="0" w:after="0" w:afterAutospacing="0" w:line="360" w:lineRule="auto"/>
              <w:jc w:val="both"/>
              <w:rPr>
                <w:rFonts w:hint="eastAsia" w:ascii="宋体" w:hAnsi="宋体" w:eastAsia="宋体"/>
                <w:b w:val="0"/>
                <w:color w:val="auto"/>
                <w:sz w:val="24"/>
                <w:highlight w:val="none"/>
                <w:u w:val="singl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highlight w:val="none"/>
              </w:rPr>
              <w:t>采购人出具委托函委托采购代理机构进行审查</w:t>
            </w:r>
          </w:p>
        </w:tc>
      </w:tr>
      <w:tr w14:paraId="342BD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7544248">
            <w:pPr>
              <w:pStyle w:val="42"/>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17</w:t>
            </w:r>
            <w:r>
              <w:rPr>
                <w:rFonts w:ascii="宋体" w:hAnsi="宋体" w:eastAsia="宋体"/>
                <w:bCs/>
                <w:color w:val="auto"/>
                <w:kern w:val="2"/>
                <w:highlight w:val="none"/>
              </w:rPr>
              <w:t>.2</w:t>
            </w:r>
          </w:p>
        </w:tc>
        <w:tc>
          <w:tcPr>
            <w:tcW w:w="1174" w:type="pct"/>
            <w:vAlign w:val="center"/>
          </w:tcPr>
          <w:p w14:paraId="14361BC6">
            <w:pPr>
              <w:pStyle w:val="41"/>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244" w:type="pct"/>
            <w:vAlign w:val="center"/>
          </w:tcPr>
          <w:p w14:paraId="3DCDCAA6">
            <w:pPr>
              <w:pStyle w:val="41"/>
              <w:widowControl w:val="0"/>
              <w:spacing w:before="0" w:beforeAutospacing="0" w:after="0" w:afterAutospacing="0" w:line="360" w:lineRule="auto"/>
              <w:jc w:val="both"/>
              <w:rPr>
                <w:rFonts w:hint="eastAsia" w:ascii="宋体" w:hAnsi="宋体" w:eastAsia="宋体"/>
                <w:b w:val="0"/>
                <w:color w:val="auto"/>
                <w:sz w:val="24"/>
                <w:highlight w:val="none"/>
              </w:rPr>
            </w:pPr>
            <w:r>
              <w:rPr>
                <w:rFonts w:ascii="宋体" w:hAnsi="宋体" w:eastAsia="宋体"/>
                <w:b w:val="0"/>
                <w:bCs w:val="0"/>
                <w:color w:val="auto"/>
                <w:sz w:val="24"/>
                <w:szCs w:val="24"/>
                <w:highlight w:val="none"/>
              </w:rPr>
              <w:t>□</w:t>
            </w:r>
            <w:r>
              <w:rPr>
                <w:rFonts w:hint="eastAsia" w:ascii="宋体" w:hAnsi="宋体" w:eastAsia="宋体"/>
                <w:b w:val="0"/>
                <w:color w:val="auto"/>
                <w:sz w:val="24"/>
                <w:highlight w:val="none"/>
              </w:rPr>
              <w:t>最低评标价法</w:t>
            </w:r>
          </w:p>
          <w:p w14:paraId="30D5F750">
            <w:pPr>
              <w:pStyle w:val="41"/>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bCs w:val="0"/>
                <w:color w:val="auto"/>
                <w:sz w:val="24"/>
                <w:szCs w:val="24"/>
                <w:highlight w:val="none"/>
              </w:rPr>
              <w:t>☑</w:t>
            </w:r>
            <w:r>
              <w:rPr>
                <w:rFonts w:hint="eastAsia" w:ascii="宋体" w:hAnsi="宋体" w:eastAsia="宋体"/>
                <w:b w:val="0"/>
                <w:color w:val="auto"/>
                <w:sz w:val="24"/>
                <w:highlight w:val="none"/>
              </w:rPr>
              <w:t>综合评分法</w:t>
            </w:r>
          </w:p>
        </w:tc>
      </w:tr>
      <w:tr w14:paraId="6085C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65042D2">
            <w:pPr>
              <w:pStyle w:val="42"/>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17</w:t>
            </w:r>
            <w:r>
              <w:rPr>
                <w:rFonts w:ascii="宋体" w:hAnsi="宋体" w:eastAsia="宋体"/>
                <w:bCs/>
                <w:color w:val="auto"/>
                <w:kern w:val="2"/>
                <w:highlight w:val="none"/>
              </w:rPr>
              <w:t>.3</w:t>
            </w:r>
          </w:p>
        </w:tc>
        <w:tc>
          <w:tcPr>
            <w:tcW w:w="1174" w:type="pct"/>
            <w:vAlign w:val="center"/>
          </w:tcPr>
          <w:p w14:paraId="7A48F42F">
            <w:pPr>
              <w:pStyle w:val="41"/>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报价扣除</w:t>
            </w:r>
          </w:p>
          <w:p w14:paraId="24282B9F">
            <w:pPr>
              <w:pStyle w:val="41"/>
              <w:widowControl w:val="0"/>
              <w:spacing w:before="0" w:beforeAutospacing="0" w:after="0" w:afterAutospacing="0" w:line="360" w:lineRule="auto"/>
              <w:jc w:val="both"/>
              <w:rPr>
                <w:rFonts w:hint="eastAsia" w:ascii="宋体" w:hAnsi="宋体" w:eastAsia="宋体"/>
                <w:b w:val="0"/>
                <w:i/>
                <w:color w:val="auto"/>
                <w:sz w:val="24"/>
                <w:highlight w:val="none"/>
              </w:rPr>
            </w:pPr>
            <w:r>
              <w:rPr>
                <w:rFonts w:hint="eastAsia" w:ascii="宋体" w:hAnsi="宋体" w:eastAsia="宋体"/>
                <w:b w:val="0"/>
                <w:i/>
                <w:color w:val="auto"/>
                <w:sz w:val="24"/>
                <w:highlight w:val="none"/>
              </w:rPr>
              <w:t>（非专门面向中小企业采购项目适用）</w:t>
            </w:r>
          </w:p>
        </w:tc>
        <w:tc>
          <w:tcPr>
            <w:tcW w:w="3244" w:type="pct"/>
            <w:vAlign w:val="center"/>
          </w:tcPr>
          <w:p w14:paraId="41948DD5">
            <w:pPr>
              <w:pStyle w:val="41"/>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ascii="宋体" w:hAnsi="宋体" w:eastAsia="宋体"/>
                <w:bCs w:val="0"/>
                <w:color w:val="auto"/>
                <w:sz w:val="24"/>
                <w:highlight w:val="none"/>
                <w:u w:val="single"/>
              </w:rPr>
              <w:t>对小型和微型企业的价格给予10%的扣除后参与评审</w:t>
            </w:r>
            <w:r>
              <w:rPr>
                <w:rFonts w:hint="eastAsia" w:ascii="宋体" w:hAnsi="宋体" w:eastAsia="宋体"/>
                <w:b w:val="0"/>
                <w:color w:val="auto"/>
                <w:sz w:val="24"/>
                <w:highlight w:val="none"/>
              </w:rPr>
              <w:t>。</w:t>
            </w:r>
          </w:p>
          <w:p w14:paraId="698FF84C">
            <w:pPr>
              <w:pStyle w:val="41"/>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（2）监狱企业价格扣除：同</w:t>
            </w:r>
            <w:r>
              <w:rPr>
                <w:rFonts w:ascii="宋体" w:hAnsi="宋体" w:eastAsia="宋体"/>
                <w:b w:val="0"/>
                <w:color w:val="auto"/>
                <w:sz w:val="24"/>
                <w:highlight w:val="none"/>
              </w:rPr>
              <w:t>小型和微型企业</w:t>
            </w:r>
            <w:r>
              <w:rPr>
                <w:rFonts w:hint="eastAsia" w:ascii="宋体" w:hAnsi="宋体" w:eastAsia="宋体"/>
                <w:b w:val="0"/>
                <w:color w:val="auto"/>
                <w:sz w:val="24"/>
                <w:highlight w:val="none"/>
              </w:rPr>
              <w:t>。</w:t>
            </w:r>
          </w:p>
          <w:p w14:paraId="4EC25D5B">
            <w:pPr>
              <w:pStyle w:val="41"/>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（3）残疾人福利性单位价格扣除：同</w:t>
            </w:r>
            <w:r>
              <w:rPr>
                <w:rFonts w:ascii="宋体" w:hAnsi="宋体" w:eastAsia="宋体"/>
                <w:b w:val="0"/>
                <w:color w:val="auto"/>
                <w:sz w:val="24"/>
                <w:highlight w:val="none"/>
              </w:rPr>
              <w:t>小型和微型企业</w:t>
            </w:r>
            <w:r>
              <w:rPr>
                <w:rFonts w:hint="eastAsia" w:ascii="宋体" w:hAnsi="宋体" w:eastAsia="宋体"/>
                <w:b w:val="0"/>
                <w:color w:val="auto"/>
                <w:sz w:val="24"/>
                <w:highlight w:val="none"/>
              </w:rPr>
              <w:t>。</w:t>
            </w:r>
          </w:p>
          <w:p w14:paraId="1930B1B1">
            <w:pPr>
              <w:pStyle w:val="41"/>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rPr>
              <w:t>/</w:t>
            </w:r>
            <w:r>
              <w:rPr>
                <w:rFonts w:hint="eastAsia" w:ascii="宋体" w:hAnsi="宋体" w:eastAsia="宋体"/>
                <w:b w:val="0"/>
                <w:color w:val="auto"/>
                <w:sz w:val="24"/>
                <w:highlight w:val="none"/>
              </w:rPr>
              <w:t>。</w:t>
            </w:r>
          </w:p>
          <w:p w14:paraId="7FDE3FD5">
            <w:pPr>
              <w:pStyle w:val="41"/>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rPr>
              <w:t>/</w:t>
            </w:r>
            <w:r>
              <w:rPr>
                <w:rFonts w:hint="eastAsia" w:ascii="宋体" w:hAnsi="宋体" w:eastAsia="宋体"/>
                <w:b w:val="0"/>
                <w:color w:val="auto"/>
                <w:sz w:val="24"/>
                <w:highlight w:val="none"/>
              </w:rPr>
              <w:t>。</w:t>
            </w:r>
          </w:p>
        </w:tc>
      </w:tr>
      <w:tr w14:paraId="62FA5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62B97303">
            <w:pPr>
              <w:pStyle w:val="42"/>
              <w:pBdr>
                <w:bottom w:val="none" w:color="auto" w:sz="0" w:space="0"/>
              </w:pBdr>
              <w:tabs>
                <w:tab w:val="clear" w:pos="4153"/>
                <w:tab w:val="clear" w:pos="8306"/>
              </w:tabs>
              <w:adjustRightInd/>
              <w:spacing w:line="360" w:lineRule="auto"/>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17.4</w:t>
            </w:r>
          </w:p>
        </w:tc>
        <w:tc>
          <w:tcPr>
            <w:tcW w:w="2033" w:type="dxa"/>
            <w:vAlign w:val="center"/>
          </w:tcPr>
          <w:p w14:paraId="0526B8E0">
            <w:pPr>
              <w:spacing w:line="360" w:lineRule="auto"/>
              <w:rPr>
                <w:rFonts w:hint="eastAsia" w:ascii="宋体" w:hAnsi="宋体" w:eastAsia="宋体"/>
                <w:i/>
                <w:color w:val="auto"/>
                <w:sz w:val="24"/>
                <w:highlight w:val="none"/>
              </w:rPr>
            </w:pPr>
            <w:r>
              <w:rPr>
                <w:rFonts w:hint="eastAsia" w:ascii="宋体" w:hAnsi="宋体" w:eastAsia="宋体"/>
                <w:color w:val="auto"/>
                <w:sz w:val="24"/>
                <w:highlight w:val="none"/>
              </w:rPr>
              <w:t>本国产品价格扣除</w:t>
            </w:r>
            <w:r>
              <w:rPr>
                <w:rFonts w:hint="eastAsia" w:ascii="宋体" w:hAnsi="宋体" w:eastAsia="宋体" w:cs="Times New Roman"/>
                <w:i/>
                <w:iCs/>
                <w:color w:val="auto"/>
                <w:sz w:val="24"/>
                <w:highlight w:val="none"/>
              </w:rPr>
              <w:t>（适用于</w:t>
            </w:r>
            <w:r>
              <w:rPr>
                <w:rFonts w:hint="eastAsia" w:ascii="宋体" w:hAnsi="宋体" w:eastAsia="宋体" w:cs="宋体"/>
                <w:i/>
                <w:iCs/>
                <w:color w:val="auto"/>
                <w:sz w:val="24"/>
                <w:szCs w:val="24"/>
                <w:highlight w:val="none"/>
                <w:shd w:val="clear" w:color="auto" w:fill="FFFFFF"/>
              </w:rPr>
              <w:t>既有本国产品又有非本国产品参与竞争的货物项目</w:t>
            </w:r>
            <w:r>
              <w:rPr>
                <w:rFonts w:hint="eastAsia" w:ascii="宋体" w:hAnsi="宋体" w:eastAsia="宋体" w:cs="Times New Roman"/>
                <w:i/>
                <w:iCs/>
                <w:color w:val="auto"/>
                <w:sz w:val="24"/>
                <w:highlight w:val="none"/>
              </w:rPr>
              <w:t>）</w:t>
            </w:r>
          </w:p>
        </w:tc>
        <w:tc>
          <w:tcPr>
            <w:tcW w:w="5618" w:type="dxa"/>
            <w:vAlign w:val="center"/>
          </w:tcPr>
          <w:p w14:paraId="08D09935">
            <w:pPr>
              <w:pStyle w:val="41"/>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（1）项目或者采购包中采购内容为单一产品的，既有本国产品又有非本国产品参与竞争的，对本国产品给予价格扣除</w:t>
            </w:r>
            <w:r>
              <w:rPr>
                <w:rFonts w:hint="eastAsia" w:ascii="宋体" w:hAnsi="宋体" w:eastAsia="宋体"/>
                <w:b w:val="0"/>
                <w:color w:val="auto"/>
                <w:sz w:val="24"/>
                <w:highlight w:val="none"/>
                <w:u w:val="single"/>
              </w:rPr>
              <w:t>20%</w:t>
            </w:r>
            <w:r>
              <w:rPr>
                <w:rFonts w:hint="eastAsia" w:ascii="宋体" w:hAnsi="宋体" w:eastAsia="宋体"/>
                <w:b w:val="0"/>
                <w:color w:val="auto"/>
                <w:sz w:val="24"/>
                <w:highlight w:val="none"/>
              </w:rPr>
              <w:t>。</w:t>
            </w:r>
          </w:p>
          <w:p w14:paraId="4C6E1350">
            <w:pPr>
              <w:pStyle w:val="41"/>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（2）项目或者采购包中含有多种产品的，符合本国产品标准的产品成本之和占该投标人提供的全部产品成本之和的比例≥80%，所有产品价格扣除</w:t>
            </w:r>
            <w:r>
              <w:rPr>
                <w:rFonts w:hint="eastAsia" w:ascii="宋体" w:hAnsi="宋体" w:eastAsia="宋体"/>
                <w:b w:val="0"/>
                <w:color w:val="auto"/>
                <w:sz w:val="24"/>
                <w:highlight w:val="none"/>
                <w:u w:val="single"/>
              </w:rPr>
              <w:t>20%</w:t>
            </w:r>
            <w:r>
              <w:rPr>
                <w:rFonts w:hint="eastAsia" w:ascii="宋体" w:hAnsi="宋体" w:eastAsia="宋体"/>
                <w:b w:val="0"/>
                <w:color w:val="auto"/>
                <w:sz w:val="24"/>
                <w:highlight w:val="none"/>
              </w:rPr>
              <w:t>。</w:t>
            </w:r>
          </w:p>
        </w:tc>
      </w:tr>
      <w:tr w14:paraId="456E4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F863C61">
            <w:pPr>
              <w:pStyle w:val="42"/>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21</w:t>
            </w:r>
            <w:r>
              <w:rPr>
                <w:rFonts w:ascii="宋体" w:hAnsi="宋体" w:eastAsia="宋体"/>
                <w:bCs/>
                <w:color w:val="auto"/>
                <w:kern w:val="2"/>
                <w:highlight w:val="none"/>
              </w:rPr>
              <w:t>.</w:t>
            </w:r>
            <w:r>
              <w:rPr>
                <w:rFonts w:hint="eastAsia" w:ascii="宋体" w:hAnsi="宋体" w:eastAsia="宋体"/>
                <w:bCs/>
                <w:color w:val="auto"/>
                <w:kern w:val="2"/>
                <w:highlight w:val="none"/>
              </w:rPr>
              <w:t>1</w:t>
            </w:r>
          </w:p>
        </w:tc>
        <w:tc>
          <w:tcPr>
            <w:tcW w:w="1174" w:type="pct"/>
            <w:vAlign w:val="center"/>
          </w:tcPr>
          <w:p w14:paraId="6422F33F">
            <w:pPr>
              <w:pStyle w:val="41"/>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ascii="宋体" w:hAnsi="宋体" w:eastAsia="宋体"/>
                <w:b w:val="0"/>
                <w:color w:val="auto"/>
                <w:sz w:val="24"/>
                <w:highlight w:val="none"/>
              </w:rPr>
              <w:t>数量</w:t>
            </w:r>
          </w:p>
        </w:tc>
        <w:tc>
          <w:tcPr>
            <w:tcW w:w="3244" w:type="pct"/>
            <w:vAlign w:val="center"/>
          </w:tcPr>
          <w:p w14:paraId="5289A58C">
            <w:pPr>
              <w:pStyle w:val="41"/>
              <w:widowControl w:val="0"/>
              <w:spacing w:before="0" w:beforeAutospacing="0" w:after="0" w:afterAutospacing="0" w:line="360" w:lineRule="auto"/>
              <w:jc w:val="both"/>
              <w:rPr>
                <w:rFonts w:hint="eastAsia" w:ascii="宋体" w:hAnsi="宋体" w:eastAsia="宋体"/>
                <w:b w:val="0"/>
                <w:color w:val="auto"/>
                <w:sz w:val="24"/>
                <w:highlight w:val="none"/>
                <w:u w:val="single"/>
              </w:rPr>
            </w:pPr>
            <w:r>
              <w:rPr>
                <w:rFonts w:hint="eastAsia" w:ascii="宋体" w:hAnsi="宋体" w:eastAsia="宋体"/>
                <w:b w:val="0"/>
                <w:color w:val="auto"/>
                <w:sz w:val="24"/>
                <w:highlight w:val="none"/>
                <w:u w:val="single"/>
              </w:rPr>
              <w:t>评标委员会推荐3名中标候选人。</w:t>
            </w:r>
          </w:p>
        </w:tc>
      </w:tr>
      <w:tr w14:paraId="2B5E4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857674C">
            <w:pPr>
              <w:pStyle w:val="42"/>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21</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174" w:type="pct"/>
            <w:vAlign w:val="center"/>
          </w:tcPr>
          <w:p w14:paraId="4140DBC8">
            <w:pPr>
              <w:pStyle w:val="41"/>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3244" w:type="pct"/>
            <w:vAlign w:val="center"/>
          </w:tcPr>
          <w:p w14:paraId="755F9CDB">
            <w:pPr>
              <w:spacing w:line="360" w:lineRule="auto"/>
              <w:rPr>
                <w:rFonts w:hint="eastAsia"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sym w:font="Wingdings" w:char="00FE"/>
            </w:r>
            <w:r>
              <w:rPr>
                <w:rFonts w:hint="eastAsia" w:asciiTheme="minorEastAsia" w:hAnsiTheme="minorEastAsia" w:eastAsiaTheme="minorEastAsia"/>
                <w:color w:val="auto"/>
                <w:kern w:val="0"/>
                <w:sz w:val="24"/>
                <w:szCs w:val="24"/>
                <w:highlight w:val="none"/>
              </w:rPr>
              <w:t>采购人委托评标委员会确定</w:t>
            </w:r>
          </w:p>
          <w:p w14:paraId="2F273207">
            <w:pPr>
              <w:pStyle w:val="41"/>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Theme="minorEastAsia" w:hAnsiTheme="minorEastAsia" w:eastAsiaTheme="minorEastAsia"/>
                <w:b w:val="0"/>
                <w:bCs w:val="0"/>
                <w:color w:val="auto"/>
                <w:kern w:val="2"/>
                <w:sz w:val="24"/>
                <w:szCs w:val="24"/>
                <w:highlight w:val="none"/>
              </w:rPr>
              <w:t>□采购人确定</w:t>
            </w:r>
          </w:p>
        </w:tc>
      </w:tr>
      <w:tr w14:paraId="5B4F9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6926625">
            <w:pPr>
              <w:pStyle w:val="42"/>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rPr>
            </w:pPr>
            <w:r>
              <w:rPr>
                <w:rFonts w:ascii="宋体" w:hAnsi="宋体" w:eastAsia="宋体"/>
                <w:bCs/>
                <w:color w:val="auto"/>
                <w:kern w:val="2"/>
                <w:highlight w:val="none"/>
              </w:rPr>
              <w:t>2</w:t>
            </w:r>
            <w:r>
              <w:rPr>
                <w:rFonts w:hint="eastAsia" w:ascii="宋体" w:hAnsi="宋体" w:eastAsia="宋体"/>
                <w:bCs/>
                <w:color w:val="auto"/>
                <w:kern w:val="2"/>
                <w:highlight w:val="none"/>
              </w:rPr>
              <w:t>3</w:t>
            </w:r>
            <w:r>
              <w:rPr>
                <w:rFonts w:ascii="宋体" w:hAnsi="宋体" w:eastAsia="宋体"/>
                <w:bCs/>
                <w:color w:val="auto"/>
                <w:kern w:val="2"/>
                <w:highlight w:val="none"/>
              </w:rPr>
              <w:t>.3</w:t>
            </w:r>
          </w:p>
        </w:tc>
        <w:tc>
          <w:tcPr>
            <w:tcW w:w="1174" w:type="pct"/>
            <w:vAlign w:val="center"/>
          </w:tcPr>
          <w:p w14:paraId="4F1035C0">
            <w:pPr>
              <w:pStyle w:val="41"/>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随中标结果公告同时公告的内容</w:t>
            </w:r>
          </w:p>
        </w:tc>
        <w:tc>
          <w:tcPr>
            <w:tcW w:w="3244" w:type="pct"/>
            <w:vAlign w:val="center"/>
          </w:tcPr>
          <w:p w14:paraId="3BF38972">
            <w:pPr>
              <w:pStyle w:val="41"/>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（1）中小企业声明函；</w:t>
            </w:r>
            <w:r>
              <w:rPr>
                <w:rFonts w:hint="eastAsia" w:ascii="宋体" w:hAnsi="宋体" w:eastAsia="宋体"/>
                <w:b w:val="0"/>
                <w:i/>
                <w:iCs/>
                <w:color w:val="auto"/>
                <w:sz w:val="24"/>
                <w:highlight w:val="none"/>
              </w:rPr>
              <w:t>（如有）</w:t>
            </w:r>
          </w:p>
          <w:p w14:paraId="5F190F5E">
            <w:pPr>
              <w:pStyle w:val="41"/>
              <w:widowControl w:val="0"/>
              <w:spacing w:before="0" w:beforeAutospacing="0" w:after="0" w:afterAutospacing="0" w:line="360" w:lineRule="auto"/>
              <w:jc w:val="both"/>
              <w:rPr>
                <w:rFonts w:hint="eastAsia" w:ascii="宋体" w:hAnsi="宋体" w:eastAsia="宋体"/>
                <w:b w:val="0"/>
                <w:i/>
                <w:color w:val="auto"/>
                <w:sz w:val="24"/>
                <w:highlight w:val="none"/>
              </w:rPr>
            </w:pPr>
            <w:r>
              <w:rPr>
                <w:rFonts w:hint="eastAsia" w:ascii="宋体" w:hAnsi="宋体" w:eastAsia="宋体"/>
                <w:b w:val="0"/>
                <w:color w:val="auto"/>
                <w:sz w:val="24"/>
                <w:highlight w:val="none"/>
              </w:rPr>
              <w:t>（2）残疾人福利性单位声明函；</w:t>
            </w:r>
            <w:r>
              <w:rPr>
                <w:rFonts w:hint="eastAsia" w:ascii="宋体" w:hAnsi="宋体" w:eastAsia="宋体"/>
                <w:b w:val="0"/>
                <w:i/>
                <w:iCs/>
                <w:color w:val="auto"/>
                <w:sz w:val="24"/>
                <w:highlight w:val="none"/>
              </w:rPr>
              <w:t>（如有）</w:t>
            </w:r>
          </w:p>
          <w:p w14:paraId="70CF9A9E">
            <w:pPr>
              <w:pStyle w:val="41"/>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（3）中标（成交）供应商的评审总得分</w:t>
            </w:r>
          </w:p>
          <w:p w14:paraId="3A99AF53">
            <w:pPr>
              <w:pStyle w:val="41"/>
              <w:widowControl w:val="0"/>
              <w:spacing w:before="0" w:beforeAutospacing="0" w:after="0" w:afterAutospacing="0" w:line="360" w:lineRule="auto"/>
              <w:jc w:val="both"/>
              <w:rPr>
                <w:rFonts w:hint="eastAsia" w:ascii="宋体" w:hAnsi="宋体" w:eastAsia="宋体"/>
                <w:b w:val="0"/>
                <w:bCs w:val="0"/>
                <w:color w:val="auto"/>
                <w:sz w:val="24"/>
                <w:szCs w:val="24"/>
                <w:highlight w:val="none"/>
              </w:rPr>
            </w:pPr>
            <w:r>
              <w:rPr>
                <w:rFonts w:hint="eastAsia" w:ascii="宋体" w:hAnsi="宋体" w:eastAsia="宋体"/>
                <w:b w:val="0"/>
                <w:color w:val="auto"/>
                <w:sz w:val="24"/>
                <w:highlight w:val="none"/>
              </w:rPr>
              <w:t>（4）</w:t>
            </w:r>
            <w:r>
              <w:rPr>
                <w:rFonts w:hint="eastAsia" w:ascii="宋体" w:hAnsi="宋体" w:eastAsia="宋体"/>
                <w:b w:val="0"/>
                <w:bCs w:val="0"/>
                <w:color w:val="auto"/>
                <w:sz w:val="24"/>
                <w:szCs w:val="20"/>
                <w:highlight w:val="none"/>
              </w:rPr>
              <w:t>符合本国产品标准的声明函；</w:t>
            </w:r>
            <w:r>
              <w:rPr>
                <w:rFonts w:hint="eastAsia" w:ascii="宋体" w:hAnsi="宋体" w:eastAsia="宋体"/>
                <w:b w:val="0"/>
                <w:bCs w:val="0"/>
                <w:i/>
                <w:iCs/>
                <w:color w:val="auto"/>
                <w:sz w:val="24"/>
                <w:szCs w:val="20"/>
                <w:highlight w:val="none"/>
              </w:rPr>
              <w:t>（如有）</w:t>
            </w:r>
          </w:p>
        </w:tc>
      </w:tr>
      <w:tr w14:paraId="1A713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75B88ED">
            <w:pPr>
              <w:pStyle w:val="42"/>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24</w:t>
            </w:r>
            <w:r>
              <w:rPr>
                <w:rFonts w:ascii="宋体" w:hAnsi="宋体" w:eastAsia="宋体"/>
                <w:bCs/>
                <w:color w:val="auto"/>
                <w:kern w:val="2"/>
                <w:highlight w:val="none"/>
              </w:rPr>
              <w:t>.1</w:t>
            </w:r>
          </w:p>
        </w:tc>
        <w:tc>
          <w:tcPr>
            <w:tcW w:w="1174" w:type="pct"/>
            <w:vAlign w:val="center"/>
          </w:tcPr>
          <w:p w14:paraId="2999B215">
            <w:pPr>
              <w:pStyle w:val="41"/>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3244" w:type="pct"/>
            <w:vAlign w:val="center"/>
          </w:tcPr>
          <w:p w14:paraId="331BFCC4">
            <w:pPr>
              <w:pStyle w:val="41"/>
              <w:widowControl w:val="0"/>
              <w:spacing w:before="0" w:beforeAutospacing="0" w:after="0" w:afterAutospacing="0" w:line="360" w:lineRule="auto"/>
              <w:jc w:val="both"/>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 xml:space="preserve">□书面 </w:t>
            </w:r>
            <w:r>
              <w:rPr>
                <w:rFonts w:ascii="宋体" w:hAnsi="宋体" w:eastAsia="宋体"/>
                <w:b w:val="0"/>
                <w:bCs w:val="0"/>
                <w:color w:val="auto"/>
                <w:sz w:val="24"/>
                <w:szCs w:val="24"/>
                <w:highlight w:val="none"/>
              </w:rPr>
              <w:t xml:space="preserve">    </w:t>
            </w:r>
            <w:r>
              <w:rPr>
                <w:rFonts w:hint="eastAsia" w:ascii="宋体" w:hAnsi="宋体" w:eastAsia="宋体"/>
                <w:b w:val="0"/>
                <w:bCs w:val="0"/>
                <w:color w:val="auto"/>
                <w:sz w:val="24"/>
                <w:szCs w:val="24"/>
                <w:highlight w:val="none"/>
              </w:rPr>
              <w:sym w:font="Wingdings" w:char="00FE"/>
            </w:r>
            <w:r>
              <w:rPr>
                <w:rFonts w:hint="eastAsia" w:ascii="宋体" w:hAnsi="宋体" w:eastAsia="宋体"/>
                <w:b w:val="0"/>
                <w:bCs w:val="0"/>
                <w:color w:val="auto"/>
                <w:sz w:val="24"/>
                <w:szCs w:val="24"/>
                <w:highlight w:val="none"/>
              </w:rPr>
              <w:t>数据电文</w:t>
            </w:r>
          </w:p>
        </w:tc>
      </w:tr>
      <w:tr w14:paraId="67938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5D0FDD1">
            <w:pPr>
              <w:pStyle w:val="42"/>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25</w:t>
            </w:r>
            <w:r>
              <w:rPr>
                <w:rFonts w:ascii="宋体" w:hAnsi="宋体" w:eastAsia="宋体"/>
                <w:bCs/>
                <w:color w:val="auto"/>
                <w:kern w:val="2"/>
                <w:highlight w:val="none"/>
              </w:rPr>
              <w:t>.1</w:t>
            </w:r>
          </w:p>
        </w:tc>
        <w:tc>
          <w:tcPr>
            <w:tcW w:w="1174" w:type="pct"/>
            <w:vAlign w:val="center"/>
          </w:tcPr>
          <w:p w14:paraId="66EEB43F">
            <w:pPr>
              <w:pStyle w:val="41"/>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3244" w:type="pct"/>
            <w:vAlign w:val="center"/>
          </w:tcPr>
          <w:p w14:paraId="5D19F76D">
            <w:pPr>
              <w:spacing w:line="360" w:lineRule="auto"/>
              <w:rPr>
                <w:rFonts w:hint="eastAsia"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sym w:font="Wingdings" w:char="00FE"/>
            </w:r>
            <w:r>
              <w:rPr>
                <w:rFonts w:hint="eastAsia" w:asciiTheme="minorEastAsia" w:hAnsiTheme="minorEastAsia" w:eastAsiaTheme="minorEastAsia"/>
                <w:color w:val="auto"/>
                <w:kern w:val="0"/>
                <w:sz w:val="24"/>
                <w:szCs w:val="24"/>
                <w:highlight w:val="none"/>
              </w:rPr>
              <w:t>投标人自行登录电子</w:t>
            </w:r>
            <w:r>
              <w:rPr>
                <w:rFonts w:hint="eastAsia" w:ascii="宋体" w:hAnsi="宋体" w:eastAsia="宋体" w:cs="宋体"/>
                <w:color w:val="auto"/>
                <w:sz w:val="24"/>
                <w:szCs w:val="24"/>
                <w:highlight w:val="none"/>
              </w:rPr>
              <w:t>交易</w:t>
            </w:r>
            <w:r>
              <w:rPr>
                <w:rFonts w:hint="eastAsia" w:asciiTheme="minorEastAsia" w:hAnsiTheme="minorEastAsia" w:eastAsiaTheme="minorEastAsia"/>
                <w:color w:val="auto"/>
                <w:kern w:val="0"/>
                <w:sz w:val="24"/>
                <w:szCs w:val="24"/>
                <w:highlight w:val="none"/>
              </w:rPr>
              <w:t>系统查看</w:t>
            </w:r>
          </w:p>
          <w:p w14:paraId="661F44BA">
            <w:pPr>
              <w:pStyle w:val="41"/>
              <w:widowControl w:val="0"/>
              <w:spacing w:before="0" w:beforeAutospacing="0" w:after="0" w:afterAutospacing="0" w:line="360" w:lineRule="auto"/>
              <w:jc w:val="both"/>
              <w:rPr>
                <w:rFonts w:hint="eastAsia" w:asciiTheme="minorEastAsia" w:hAnsiTheme="minorEastAsia" w:eastAsiaTheme="minorEastAsia"/>
                <w:b w:val="0"/>
                <w:bCs w:val="0"/>
                <w:color w:val="auto"/>
                <w:kern w:val="2"/>
                <w:sz w:val="24"/>
                <w:szCs w:val="24"/>
                <w:highlight w:val="none"/>
              </w:rPr>
            </w:pPr>
            <w:r>
              <w:rPr>
                <w:rFonts w:hint="eastAsia" w:asciiTheme="minorEastAsia" w:hAnsiTheme="minorEastAsia" w:eastAsiaTheme="minorEastAsia"/>
                <w:b w:val="0"/>
                <w:bCs w:val="0"/>
                <w:color w:val="auto"/>
                <w:kern w:val="2"/>
                <w:sz w:val="24"/>
                <w:szCs w:val="24"/>
                <w:highlight w:val="none"/>
              </w:rPr>
              <w:t>□评标现场告知</w:t>
            </w:r>
          </w:p>
        </w:tc>
      </w:tr>
      <w:tr w14:paraId="66236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81" w:type="pct"/>
            <w:vAlign w:val="center"/>
          </w:tcPr>
          <w:p w14:paraId="71FB9405">
            <w:pPr>
              <w:pStyle w:val="42"/>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26</w:t>
            </w:r>
            <w:r>
              <w:rPr>
                <w:rFonts w:ascii="宋体" w:hAnsi="宋体" w:eastAsia="宋体"/>
                <w:bCs/>
                <w:color w:val="auto"/>
                <w:kern w:val="2"/>
                <w:highlight w:val="none"/>
              </w:rPr>
              <w:t>.1</w:t>
            </w:r>
          </w:p>
        </w:tc>
        <w:tc>
          <w:tcPr>
            <w:tcW w:w="1174" w:type="pct"/>
            <w:vAlign w:val="center"/>
          </w:tcPr>
          <w:p w14:paraId="0EDB3267">
            <w:pPr>
              <w:pStyle w:val="41"/>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244" w:type="pct"/>
          </w:tcPr>
          <w:p w14:paraId="1FEF7071">
            <w:p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169F9B66">
            <w:pPr>
              <w:spacing w:line="360" w:lineRule="auto"/>
              <w:rPr>
                <w:rFonts w:hint="eastAsia"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免收</w:t>
            </w:r>
          </w:p>
          <w:p w14:paraId="4146FF9E">
            <w:p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☑合同价的</w:t>
            </w:r>
            <w:r>
              <w:rPr>
                <w:rFonts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rPr>
              <w:t>2.5</w:t>
            </w:r>
            <w:r>
              <w:rPr>
                <w:rFonts w:ascii="宋体" w:hAnsi="宋体" w:eastAsia="宋体"/>
                <w:bCs/>
                <w:color w:val="auto"/>
                <w:kern w:val="0"/>
                <w:sz w:val="24"/>
                <w:szCs w:val="28"/>
                <w:highlight w:val="none"/>
                <w:u w:val="single"/>
              </w:rPr>
              <w:t xml:space="preserve"> </w:t>
            </w:r>
            <w:r>
              <w:rPr>
                <w:rFonts w:ascii="宋体" w:hAnsi="宋体" w:eastAsia="宋体"/>
                <w:bCs/>
                <w:color w:val="auto"/>
                <w:kern w:val="0"/>
                <w:sz w:val="24"/>
                <w:szCs w:val="28"/>
                <w:highlight w:val="none"/>
              </w:rPr>
              <w:t>%</w:t>
            </w:r>
          </w:p>
          <w:p w14:paraId="00595823">
            <w:pPr>
              <w:spacing w:line="360" w:lineRule="auto"/>
              <w:rPr>
                <w:rFonts w:hint="eastAsia"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元</w:t>
            </w:r>
          </w:p>
          <w:p w14:paraId="4927A143">
            <w:p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4C085E0F">
            <w:p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FE"/>
            </w:r>
            <w:r>
              <w:rPr>
                <w:rFonts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FE"/>
            </w:r>
            <w:r>
              <w:rPr>
                <w:rFonts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FE"/>
            </w:r>
            <w:r>
              <w:rPr>
                <w:rFonts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FE"/>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FE"/>
            </w:r>
            <w:r>
              <w:rPr>
                <w:rFonts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FE"/>
            </w:r>
            <w:r>
              <w:rPr>
                <w:rFonts w:hint="eastAsia" w:ascii="宋体" w:hAnsi="宋体" w:eastAsia="宋体"/>
                <w:bCs/>
                <w:color w:val="auto"/>
                <w:kern w:val="0"/>
                <w:sz w:val="24"/>
                <w:szCs w:val="28"/>
                <w:highlight w:val="none"/>
              </w:rPr>
              <w:t>保</w:t>
            </w:r>
            <w:r>
              <w:rPr>
                <w:rFonts w:ascii="宋体" w:hAnsi="宋体" w:eastAsia="宋体"/>
                <w:bCs/>
                <w:color w:val="auto"/>
                <w:kern w:val="0"/>
                <w:sz w:val="24"/>
                <w:szCs w:val="28"/>
                <w:highlight w:val="none"/>
              </w:rPr>
              <w:t>函</w:t>
            </w:r>
          </w:p>
          <w:p w14:paraId="1EF6E8F6">
            <w:p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（3）收取单位：</w:t>
            </w:r>
            <w:r>
              <w:rPr>
                <w:rFonts w:hint="eastAsia" w:ascii="宋体" w:hAnsi="宋体" w:eastAsia="宋体"/>
                <w:bCs/>
                <w:color w:val="auto"/>
                <w:kern w:val="0"/>
                <w:sz w:val="24"/>
                <w:szCs w:val="28"/>
                <w:highlight w:val="none"/>
                <w:u w:val="single"/>
              </w:rPr>
              <w:t xml:space="preserve">  另行通知   </w:t>
            </w:r>
            <w:r>
              <w:rPr>
                <w:rFonts w:hint="eastAsia" w:ascii="宋体" w:hAnsi="宋体" w:eastAsia="宋体"/>
                <w:bCs/>
                <w:color w:val="auto"/>
                <w:kern w:val="0"/>
                <w:sz w:val="24"/>
                <w:szCs w:val="28"/>
                <w:highlight w:val="none"/>
              </w:rPr>
              <w:t xml:space="preserve">              </w:t>
            </w:r>
          </w:p>
          <w:p w14:paraId="44A14F0B">
            <w:p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（4）收取账号：</w:t>
            </w:r>
            <w:r>
              <w:rPr>
                <w:rFonts w:hint="eastAsia" w:ascii="宋体" w:hAnsi="宋体" w:eastAsia="宋体"/>
                <w:bCs/>
                <w:color w:val="auto"/>
                <w:kern w:val="0"/>
                <w:sz w:val="24"/>
                <w:szCs w:val="28"/>
                <w:highlight w:val="none"/>
                <w:u w:val="single"/>
              </w:rPr>
              <w:t xml:space="preserve">  另行通知   </w:t>
            </w:r>
          </w:p>
          <w:p w14:paraId="2626978E">
            <w:pPr>
              <w:spacing w:line="360" w:lineRule="auto"/>
              <w:rPr>
                <w:rFonts w:hint="eastAsia" w:ascii="宋体" w:hAnsi="宋体" w:eastAsia="宋体"/>
                <w:color w:val="auto"/>
                <w:sz w:val="24"/>
                <w:highlight w:val="none"/>
              </w:rPr>
            </w:pPr>
            <w:r>
              <w:rPr>
                <w:rFonts w:hint="eastAsia" w:ascii="宋体" w:hAnsi="宋体" w:eastAsia="宋体"/>
                <w:bCs/>
                <w:color w:val="auto"/>
                <w:kern w:val="0"/>
                <w:sz w:val="24"/>
                <w:szCs w:val="28"/>
                <w:highlight w:val="none"/>
              </w:rPr>
              <w:t>（5）</w:t>
            </w:r>
            <w:r>
              <w:rPr>
                <w:rFonts w:hint="eastAsia" w:ascii="宋体" w:hAnsi="宋体" w:eastAsia="宋体"/>
                <w:color w:val="auto"/>
                <w:sz w:val="24"/>
                <w:highlight w:val="none"/>
              </w:rPr>
              <w:t>退还时间：</w:t>
            </w:r>
            <w:r>
              <w:rPr>
                <w:rFonts w:hint="eastAsia" w:ascii="宋体" w:hAnsi="宋体" w:eastAsia="宋体"/>
                <w:bCs/>
                <w:color w:val="auto"/>
                <w:kern w:val="0"/>
                <w:sz w:val="24"/>
                <w:szCs w:val="28"/>
                <w:highlight w:val="none"/>
                <w:u w:val="single"/>
              </w:rPr>
              <w:t xml:space="preserve"> ①采用银行转账方式：政府采购验收合格后，一次性退还；②采用支票、汇票、本票、保函等方式：有效期为自合同签订之日起至供货期满后止。</w:t>
            </w:r>
          </w:p>
          <w:p w14:paraId="56DFA4AA">
            <w:pPr>
              <w:spacing w:line="360" w:lineRule="auto"/>
              <w:rPr>
                <w:rFonts w:hint="eastAsia"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5B830159">
            <w:pPr>
              <w:spacing w:line="360" w:lineRule="auto"/>
              <w:rPr>
                <w:rFonts w:hint="eastAsia"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0DF45511">
            <w:pPr>
              <w:spacing w:line="360" w:lineRule="auto"/>
              <w:rPr>
                <w:rFonts w:hint="eastAsia"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（2）以担保函、保证保险形式缴纳履约保证金的，受益人和收取单位须为采购人。</w:t>
            </w:r>
          </w:p>
        </w:tc>
      </w:tr>
      <w:tr w14:paraId="05050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691C91A2">
            <w:pPr>
              <w:pStyle w:val="42"/>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27</w:t>
            </w:r>
            <w:r>
              <w:rPr>
                <w:rFonts w:ascii="宋体" w:hAnsi="宋体" w:eastAsia="宋体"/>
                <w:bCs/>
                <w:color w:val="auto"/>
                <w:kern w:val="2"/>
                <w:highlight w:val="none"/>
              </w:rPr>
              <w:t>.1</w:t>
            </w:r>
          </w:p>
        </w:tc>
        <w:tc>
          <w:tcPr>
            <w:tcW w:w="1174" w:type="pct"/>
            <w:vAlign w:val="center"/>
          </w:tcPr>
          <w:p w14:paraId="1919AE48">
            <w:pPr>
              <w:pStyle w:val="41"/>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签订合同和合同公告时间</w:t>
            </w:r>
          </w:p>
        </w:tc>
        <w:tc>
          <w:tcPr>
            <w:tcW w:w="3244" w:type="pct"/>
          </w:tcPr>
          <w:p w14:paraId="75CA5ABA">
            <w:pPr>
              <w:pStyle w:val="19"/>
              <w:widowControl/>
              <w:spacing w:before="0" w:beforeAutospacing="0" w:after="0" w:afterAutospacing="0"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（1）采购人与中标人应当自发出中标通知书之日起7个工作日内签订合同，采购合同签订之日起2个工作日内完成政府采购合同公开。</w:t>
            </w:r>
          </w:p>
          <w:p w14:paraId="3398A2F7">
            <w:pPr>
              <w:pStyle w:val="19"/>
              <w:widowControl/>
              <w:spacing w:before="0" w:beforeAutospacing="0" w:after="0" w:afterAutospacing="0" w:line="360" w:lineRule="auto"/>
              <w:rPr>
                <w:rFonts w:hint="eastAsia" w:ascii="宋体" w:hAnsi="宋体" w:eastAsia="宋体"/>
                <w:b/>
                <w:bCs/>
                <w:color w:val="auto"/>
                <w:szCs w:val="24"/>
                <w:highlight w:val="none"/>
              </w:rPr>
            </w:pPr>
            <w:r>
              <w:rPr>
                <w:rFonts w:hint="eastAsia" w:ascii="宋体" w:hAnsi="宋体" w:eastAsia="宋体" w:cs="宋体"/>
                <w:color w:val="auto"/>
                <w:szCs w:val="24"/>
                <w:highlight w:val="none"/>
              </w:rPr>
              <w:t>（2）采购人与中标人</w:t>
            </w:r>
            <w:r>
              <w:rPr>
                <w:rFonts w:ascii="宋体" w:hAnsi="宋体" w:eastAsia="宋体" w:cs="宋体"/>
                <w:color w:val="auto"/>
                <w:szCs w:val="24"/>
                <w:highlight w:val="none"/>
              </w:rPr>
              <w:t>不得擅自变更合同，依照政府采购法确需变更政府采购合同内容的，采购人应当自合同变更之日起2个工作日内</w:t>
            </w:r>
            <w:r>
              <w:rPr>
                <w:rFonts w:hint="eastAsia" w:ascii="宋体" w:hAnsi="宋体" w:eastAsia="宋体" w:cs="宋体"/>
                <w:color w:val="auto"/>
                <w:szCs w:val="24"/>
                <w:highlight w:val="none"/>
              </w:rPr>
              <w:t>在安徽省政府采购网</w:t>
            </w:r>
            <w:r>
              <w:rPr>
                <w:rFonts w:ascii="宋体" w:hAnsi="宋体" w:eastAsia="宋体" w:cs="宋体"/>
                <w:color w:val="auto"/>
                <w:szCs w:val="24"/>
                <w:highlight w:val="none"/>
              </w:rPr>
              <w:t>发布政府采购合同变更公告</w:t>
            </w:r>
            <w:r>
              <w:rPr>
                <w:rFonts w:hint="eastAsia" w:ascii="宋体" w:hAnsi="宋体" w:eastAsia="宋体" w:cs="宋体"/>
                <w:color w:val="auto"/>
                <w:szCs w:val="24"/>
                <w:highlight w:val="none"/>
              </w:rPr>
              <w:t>，</w:t>
            </w:r>
            <w:r>
              <w:rPr>
                <w:rFonts w:ascii="宋体" w:hAnsi="宋体" w:eastAsia="宋体" w:cs="宋体"/>
                <w:color w:val="auto"/>
                <w:szCs w:val="24"/>
                <w:highlight w:val="none"/>
              </w:rPr>
              <w:t>但涉及国家秘密、商业秘密的信息和其他依法不得公开的信息除外。</w:t>
            </w:r>
          </w:p>
        </w:tc>
      </w:tr>
      <w:tr w14:paraId="4F437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9C4D0DD">
            <w:pPr>
              <w:pStyle w:val="42"/>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28</w:t>
            </w:r>
            <w:r>
              <w:rPr>
                <w:rFonts w:ascii="宋体" w:hAnsi="宋体" w:eastAsia="宋体"/>
                <w:bCs/>
                <w:color w:val="auto"/>
                <w:kern w:val="2"/>
                <w:highlight w:val="none"/>
              </w:rPr>
              <w:t>.1</w:t>
            </w:r>
          </w:p>
        </w:tc>
        <w:tc>
          <w:tcPr>
            <w:tcW w:w="1174" w:type="pct"/>
            <w:vAlign w:val="center"/>
          </w:tcPr>
          <w:p w14:paraId="1A987307">
            <w:pPr>
              <w:pStyle w:val="41"/>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代理费用</w:t>
            </w:r>
          </w:p>
        </w:tc>
        <w:tc>
          <w:tcPr>
            <w:tcW w:w="3244" w:type="pct"/>
            <w:vAlign w:val="center"/>
          </w:tcPr>
          <w:p w14:paraId="6A116EFE">
            <w:pPr>
              <w:spacing w:before="39" w:line="360" w:lineRule="auto"/>
              <w:rPr>
                <w:rFonts w:hint="eastAsia" w:ascii="宋体" w:hAnsi="宋体" w:eastAsia="宋体" w:cs="宋体"/>
                <w:color w:val="auto"/>
                <w:sz w:val="24"/>
                <w:szCs w:val="24"/>
                <w:highlight w:val="none"/>
              </w:rPr>
            </w:pPr>
            <w:r>
              <w:rPr>
                <w:rFonts w:hint="eastAsia" w:ascii="宋体" w:hAnsi="宋体" w:eastAsia="宋体"/>
                <w:bCs/>
                <w:color w:val="auto"/>
                <w:kern w:val="0"/>
                <w:sz w:val="24"/>
                <w:szCs w:val="28"/>
                <w:highlight w:val="none"/>
              </w:rPr>
              <w:t>（1）</w:t>
            </w:r>
            <w:r>
              <w:rPr>
                <w:rFonts w:ascii="宋体" w:hAnsi="宋体" w:eastAsia="宋体"/>
                <w:bCs/>
                <w:color w:val="auto"/>
                <w:kern w:val="0"/>
                <w:sz w:val="24"/>
                <w:szCs w:val="28"/>
                <w:highlight w:val="none"/>
              </w:rPr>
              <w:t>收费对象</w:t>
            </w:r>
            <w:r>
              <w:rPr>
                <w:rFonts w:ascii="宋体" w:hAnsi="宋体" w:eastAsia="宋体" w:cs="宋体"/>
                <w:color w:val="auto"/>
                <w:spacing w:val="-12"/>
                <w:sz w:val="24"/>
                <w:szCs w:val="24"/>
                <w:highlight w:val="none"/>
              </w:rPr>
              <w:t>：</w:t>
            </w:r>
            <w:r>
              <w:rPr>
                <w:rFonts w:hint="eastAsia" w:ascii="宋体" w:hAnsi="宋体" w:eastAsia="宋体"/>
                <w:bCs/>
                <w:color w:val="auto"/>
                <w:kern w:val="0"/>
                <w:sz w:val="24"/>
                <w:szCs w:val="28"/>
                <w:highlight w:val="none"/>
              </w:rPr>
              <w:sym w:font="Wingdings" w:char="00A8"/>
            </w:r>
            <w:r>
              <w:rPr>
                <w:rFonts w:ascii="宋体" w:hAnsi="宋体" w:eastAsia="宋体" w:cs="宋体"/>
                <w:color w:val="auto"/>
                <w:spacing w:val="14"/>
                <w:sz w:val="24"/>
                <w:szCs w:val="24"/>
                <w:highlight w:val="none"/>
              </w:rPr>
              <w:t>采购人</w:t>
            </w:r>
            <w:r>
              <w:rPr>
                <w:rFonts w:hint="eastAsia" w:ascii="宋体" w:hAnsi="宋体" w:eastAsia="宋体" w:cs="宋体"/>
                <w:color w:val="auto"/>
                <w:spacing w:val="14"/>
                <w:sz w:val="24"/>
                <w:szCs w:val="24"/>
                <w:highlight w:val="none"/>
              </w:rPr>
              <w:t xml:space="preserve">   </w:t>
            </w:r>
            <w:r>
              <w:rPr>
                <w:rFonts w:hint="eastAsia" w:ascii="宋体" w:hAnsi="宋体" w:eastAsia="宋体"/>
                <w:bCs/>
                <w:color w:val="auto"/>
                <w:kern w:val="0"/>
                <w:sz w:val="24"/>
                <w:szCs w:val="28"/>
                <w:highlight w:val="none"/>
              </w:rPr>
              <w:sym w:font="Wingdings" w:char="00A8"/>
            </w:r>
            <w:r>
              <w:rPr>
                <w:rFonts w:ascii="宋体" w:hAnsi="宋体" w:eastAsia="宋体" w:cs="宋体"/>
                <w:color w:val="auto"/>
                <w:spacing w:val="14"/>
                <w:sz w:val="24"/>
                <w:szCs w:val="24"/>
                <w:highlight w:val="none"/>
              </w:rPr>
              <w:t>中标人</w:t>
            </w:r>
          </w:p>
          <w:p w14:paraId="0DE6A3B7">
            <w:pPr>
              <w:spacing w:before="24"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ascii="宋体" w:hAnsi="宋体" w:eastAsia="宋体"/>
                <w:bCs/>
                <w:color w:val="auto"/>
                <w:kern w:val="0"/>
                <w:sz w:val="24"/>
                <w:szCs w:val="28"/>
                <w:highlight w:val="none"/>
              </w:rPr>
              <w:t>收取方式</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本项目不向采购人及中标人收取代理费用。</w:t>
            </w:r>
          </w:p>
          <w:p w14:paraId="50CEC323">
            <w:pPr>
              <w:pStyle w:val="41"/>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bCs w:val="0"/>
                <w:color w:val="auto"/>
                <w:sz w:val="24"/>
                <w:highlight w:val="none"/>
              </w:rPr>
              <w:t>（3）</w:t>
            </w:r>
            <w:r>
              <w:rPr>
                <w:rFonts w:ascii="宋体" w:hAnsi="宋体" w:eastAsia="宋体"/>
                <w:b w:val="0"/>
                <w:color w:val="auto"/>
                <w:sz w:val="24"/>
                <w:highlight w:val="none"/>
              </w:rPr>
              <w:t>收费标准：</w:t>
            </w:r>
            <w:r>
              <w:rPr>
                <w:rFonts w:hint="eastAsia" w:ascii="宋体" w:hAnsi="宋体" w:eastAsia="宋体" w:cs="宋体"/>
                <w:b w:val="0"/>
                <w:color w:val="auto"/>
                <w:sz w:val="24"/>
                <w:highlight w:val="none"/>
                <w:u w:val="single"/>
              </w:rPr>
              <w:t>代理费服务费13700元。参考《关于进一步明确代理费计取标准的通知》（滁公管综〔2023〕19号）标准。</w:t>
            </w:r>
          </w:p>
        </w:tc>
      </w:tr>
      <w:tr w14:paraId="07A8E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06EC6AE">
            <w:pPr>
              <w:pStyle w:val="42"/>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31</w:t>
            </w:r>
            <w:r>
              <w:rPr>
                <w:rFonts w:ascii="宋体" w:hAnsi="宋体" w:eastAsia="宋体"/>
                <w:bCs/>
                <w:color w:val="auto"/>
                <w:kern w:val="2"/>
                <w:highlight w:val="none"/>
              </w:rPr>
              <w:t>.</w:t>
            </w:r>
            <w:r>
              <w:rPr>
                <w:rFonts w:hint="eastAsia" w:ascii="宋体" w:hAnsi="宋体" w:eastAsia="宋体"/>
                <w:bCs/>
                <w:color w:val="auto"/>
                <w:kern w:val="2"/>
                <w:highlight w:val="none"/>
              </w:rPr>
              <w:t>3</w:t>
            </w:r>
          </w:p>
        </w:tc>
        <w:tc>
          <w:tcPr>
            <w:tcW w:w="1174" w:type="pct"/>
            <w:vAlign w:val="center"/>
          </w:tcPr>
          <w:p w14:paraId="56604392">
            <w:pPr>
              <w:pStyle w:val="41"/>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244" w:type="pct"/>
            <w:vAlign w:val="center"/>
          </w:tcPr>
          <w:p w14:paraId="649CA5BF">
            <w:pPr>
              <w:pStyle w:val="41"/>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递交方式：</w:t>
            </w:r>
            <w:r>
              <w:rPr>
                <w:rFonts w:hint="eastAsia" w:ascii="宋体" w:hAnsi="宋体" w:eastAsia="宋体" w:cs="宋体"/>
                <w:b w:val="0"/>
                <w:color w:val="auto"/>
                <w:sz w:val="24"/>
                <w:highlight w:val="none"/>
                <w:u w:val="single"/>
              </w:rPr>
              <w:t>供应商可以通过书面形式提出，也可以通过线上提出质疑【通过线上向滁州市公共资源交易中心网电子交易系统提出质疑（具体操作步骤和程序请参见服务指南&gt;交易须知&gt;在线异议、质疑和投诉操作手册）】。一份质疑函只能针对一个项目提出质疑，且针对同一采购程序环节的质疑应当一次性提出。</w:t>
            </w:r>
          </w:p>
          <w:p w14:paraId="1445BDB6">
            <w:pPr>
              <w:pStyle w:val="41"/>
              <w:widowControl w:val="0"/>
              <w:spacing w:before="0" w:beforeAutospacing="0" w:after="0" w:afterAutospacing="0" w:line="360" w:lineRule="auto"/>
              <w:jc w:val="both"/>
              <w:rPr>
                <w:rFonts w:hint="eastAsia" w:ascii="宋体" w:hAnsi="宋体" w:eastAsia="宋体"/>
                <w:b w:val="0"/>
                <w:bCs w:val="0"/>
                <w:color w:val="auto"/>
                <w:sz w:val="24"/>
                <w:szCs w:val="18"/>
                <w:highlight w:val="none"/>
              </w:rPr>
            </w:pPr>
            <w:r>
              <w:rPr>
                <w:rFonts w:hint="eastAsia" w:ascii="宋体" w:hAnsi="宋体" w:eastAsia="宋体"/>
                <w:b w:val="0"/>
                <w:color w:val="auto"/>
                <w:sz w:val="24"/>
                <w:highlight w:val="none"/>
              </w:rPr>
              <w:t>接收部门：</w:t>
            </w:r>
            <w:r>
              <w:rPr>
                <w:rFonts w:hint="eastAsia" w:ascii="宋体" w:hAnsi="宋体" w:eastAsia="宋体"/>
                <w:b w:val="0"/>
                <w:color w:val="auto"/>
                <w:sz w:val="24"/>
                <w:highlight w:val="none"/>
                <w:u w:val="single"/>
              </w:rPr>
              <w:t>滁州职业技术学院</w:t>
            </w:r>
            <w:r>
              <w:rPr>
                <w:rFonts w:hint="eastAsia" w:ascii="宋体" w:hAnsi="宋体" w:eastAsia="宋体" w:cs="宋体"/>
                <w:b w:val="0"/>
                <w:color w:val="auto"/>
                <w:sz w:val="24"/>
                <w:highlight w:val="none"/>
                <w:u w:val="single"/>
              </w:rPr>
              <w:t>、滁州市政府采购中心</w:t>
            </w:r>
          </w:p>
          <w:p w14:paraId="0AE196BB">
            <w:pPr>
              <w:pStyle w:val="41"/>
              <w:widowControl w:val="0"/>
              <w:spacing w:before="0" w:beforeAutospacing="0" w:after="0" w:afterAutospacing="0" w:line="360" w:lineRule="auto"/>
              <w:jc w:val="both"/>
              <w:rPr>
                <w:rFonts w:hint="eastAsia" w:ascii="宋体" w:hAnsi="宋体" w:eastAsia="宋体"/>
                <w:b w:val="0"/>
                <w:bCs w:val="0"/>
                <w:color w:val="auto"/>
                <w:sz w:val="24"/>
                <w:szCs w:val="18"/>
                <w:highlight w:val="none"/>
              </w:rPr>
            </w:pPr>
            <w:r>
              <w:rPr>
                <w:rFonts w:ascii="宋体" w:hAnsi="宋体" w:eastAsia="宋体"/>
                <w:b w:val="0"/>
                <w:color w:val="auto"/>
                <w:sz w:val="24"/>
                <w:highlight w:val="none"/>
              </w:rPr>
              <w:t>联系电话：</w:t>
            </w:r>
            <w:r>
              <w:rPr>
                <w:rFonts w:hint="eastAsia" w:ascii="宋体" w:hAnsi="宋体" w:eastAsia="宋体" w:cs="宋体"/>
                <w:b w:val="0"/>
                <w:color w:val="auto"/>
                <w:sz w:val="24"/>
                <w:highlight w:val="none"/>
                <w:u w:val="single"/>
              </w:rPr>
              <w:t>0550-3854662、0550-3519590</w:t>
            </w:r>
          </w:p>
          <w:p w14:paraId="454D68B2">
            <w:pPr>
              <w:wordWrap w:val="0"/>
              <w:spacing w:line="360" w:lineRule="auto"/>
              <w:jc w:val="left"/>
              <w:rPr>
                <w:rFonts w:hint="eastAsia" w:ascii="宋体" w:hAnsi="宋体" w:eastAsia="宋体"/>
                <w:color w:val="auto"/>
                <w:sz w:val="24"/>
                <w:highlight w:val="none"/>
              </w:rPr>
            </w:pPr>
            <w:r>
              <w:rPr>
                <w:rFonts w:hint="eastAsia" w:ascii="宋体" w:hAnsi="宋体" w:eastAsia="宋体"/>
                <w:color w:val="auto"/>
                <w:sz w:val="24"/>
                <w:highlight w:val="none"/>
              </w:rPr>
              <w:t>通讯地址：</w:t>
            </w:r>
            <w:r>
              <w:rPr>
                <w:rFonts w:hint="eastAsia" w:ascii="宋体" w:hAnsi="宋体" w:eastAsia="宋体" w:cs="宋体"/>
                <w:bCs/>
                <w:color w:val="auto"/>
                <w:kern w:val="0"/>
                <w:sz w:val="24"/>
                <w:szCs w:val="28"/>
                <w:highlight w:val="none"/>
                <w:u w:val="single"/>
              </w:rPr>
              <w:t>滁州市南谯区丰乐大道2188号、滁州市龙蟠大道</w:t>
            </w:r>
            <w:r>
              <w:rPr>
                <w:rFonts w:hint="eastAsia" w:ascii="宋体" w:hAnsi="宋体" w:eastAsia="宋体" w:cs="宋体"/>
                <w:color w:val="auto"/>
                <w:sz w:val="24"/>
                <w:highlight w:val="none"/>
                <w:u w:val="single"/>
              </w:rPr>
              <w:t>109号房产商务大厦6楼620</w:t>
            </w:r>
          </w:p>
        </w:tc>
      </w:tr>
      <w:tr w14:paraId="65AF8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D80F19C">
            <w:pPr>
              <w:pStyle w:val="42"/>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32</w:t>
            </w:r>
          </w:p>
        </w:tc>
        <w:tc>
          <w:tcPr>
            <w:tcW w:w="1174" w:type="pct"/>
            <w:vAlign w:val="center"/>
          </w:tcPr>
          <w:p w14:paraId="746E8AD2">
            <w:pPr>
              <w:pStyle w:val="41"/>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其他内容</w:t>
            </w:r>
          </w:p>
        </w:tc>
        <w:tc>
          <w:tcPr>
            <w:tcW w:w="3244" w:type="pct"/>
            <w:vAlign w:val="center"/>
          </w:tcPr>
          <w:p w14:paraId="23ADAA09">
            <w:pPr>
              <w:pStyle w:val="41"/>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1、解释权：</w:t>
            </w:r>
          </w:p>
          <w:p w14:paraId="4EFA7751">
            <w:pPr>
              <w:spacing w:line="360" w:lineRule="auto"/>
              <w:rPr>
                <w:rFonts w:hint="eastAsia"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构成本招标文件的各个组成文件应互为解释，互为说明；</w:t>
            </w:r>
          </w:p>
          <w:p w14:paraId="6B2FF781">
            <w:pPr>
              <w:spacing w:line="360" w:lineRule="auto"/>
              <w:rPr>
                <w:rFonts w:hint="eastAsia"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同一组成文件中就同一事项的规定或约定不一致的，以编排顺序在后者为准；</w:t>
            </w:r>
          </w:p>
          <w:p w14:paraId="07D71DD1">
            <w:pPr>
              <w:spacing w:line="360" w:lineRule="auto"/>
              <w:rPr>
                <w:rFonts w:hint="eastAsia"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6DD43B1B">
            <w:pPr>
              <w:spacing w:line="360" w:lineRule="auto"/>
              <w:rPr>
                <w:rFonts w:hint="eastAsia"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除招标文件中有特别规定外，仅适用于招标投标阶段的规定，按招标公告、</w:t>
            </w:r>
            <w:r>
              <w:rPr>
                <w:rFonts w:hint="eastAsia" w:asciiTheme="minorEastAsia" w:hAnsiTheme="minorEastAsia" w:eastAsiaTheme="minorEastAsia"/>
                <w:bCs/>
                <w:color w:val="auto"/>
                <w:sz w:val="24"/>
                <w:szCs w:val="24"/>
                <w:highlight w:val="none"/>
              </w:rPr>
              <w:t>投标邀请、</w:t>
            </w:r>
            <w:r>
              <w:rPr>
                <w:rFonts w:asciiTheme="minorEastAsia" w:hAnsiTheme="minorEastAsia" w:eastAsiaTheme="minorEastAsia"/>
                <w:bCs/>
                <w:color w:val="auto"/>
                <w:sz w:val="24"/>
                <w:szCs w:val="24"/>
                <w:highlight w:val="none"/>
              </w:rPr>
              <w:t>投标人须知、评标</w:t>
            </w:r>
            <w:r>
              <w:rPr>
                <w:rFonts w:hint="eastAsia" w:asciiTheme="minorEastAsia" w:hAnsiTheme="minorEastAsia" w:eastAsiaTheme="minorEastAsia"/>
                <w:bCs/>
                <w:color w:val="auto"/>
                <w:sz w:val="24"/>
                <w:szCs w:val="24"/>
                <w:highlight w:val="none"/>
              </w:rPr>
              <w:t>方</w:t>
            </w:r>
            <w:r>
              <w:rPr>
                <w:rFonts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asciiTheme="minorEastAsia" w:hAnsiTheme="minorEastAsia" w:eastAsiaTheme="minorEastAsia"/>
                <w:bCs/>
                <w:color w:val="auto"/>
                <w:sz w:val="24"/>
                <w:szCs w:val="24"/>
                <w:highlight w:val="none"/>
              </w:rPr>
              <w:t>、投标文件格式的先后顺序解释；</w:t>
            </w:r>
          </w:p>
          <w:p w14:paraId="6FE872C5">
            <w:pPr>
              <w:pStyle w:val="41"/>
              <w:widowControl w:val="0"/>
              <w:spacing w:before="0" w:beforeAutospacing="0" w:after="0" w:afterAutospacing="0" w:line="360" w:lineRule="auto"/>
              <w:jc w:val="both"/>
              <w:rPr>
                <w:rFonts w:hint="eastAsia"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（5）</w:t>
            </w:r>
            <w:r>
              <w:rPr>
                <w:rFonts w:asciiTheme="minorEastAsia" w:hAnsiTheme="minorEastAsia" w:eastAsiaTheme="minorEastAsia"/>
                <w:b w:val="0"/>
                <w:color w:val="auto"/>
                <w:kern w:val="2"/>
                <w:sz w:val="24"/>
                <w:szCs w:val="24"/>
                <w:highlight w:val="none"/>
              </w:rPr>
              <w:t>按本款前述规定仍不能形成结论的，由</w:t>
            </w:r>
            <w:r>
              <w:rPr>
                <w:rFonts w:hint="eastAsia" w:asciiTheme="minorEastAsia" w:hAnsiTheme="minorEastAsia" w:eastAsiaTheme="minorEastAsia"/>
                <w:b w:val="0"/>
                <w:color w:val="auto"/>
                <w:kern w:val="2"/>
                <w:sz w:val="24"/>
                <w:szCs w:val="24"/>
                <w:highlight w:val="none"/>
              </w:rPr>
              <w:t>采购</w:t>
            </w:r>
            <w:r>
              <w:rPr>
                <w:rFonts w:asciiTheme="minorEastAsia" w:hAnsiTheme="minorEastAsia" w:eastAsiaTheme="minorEastAsia"/>
                <w:b w:val="0"/>
                <w:color w:val="auto"/>
                <w:kern w:val="2"/>
                <w:sz w:val="24"/>
                <w:szCs w:val="24"/>
                <w:highlight w:val="none"/>
              </w:rPr>
              <w:t>人负责解释。</w:t>
            </w:r>
          </w:p>
          <w:p w14:paraId="2BEEF0F0">
            <w:pPr>
              <w:spacing w:line="360" w:lineRule="auto"/>
              <w:rPr>
                <w:rFonts w:hint="eastAsia"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2、“政采贷”融资指引：有融资需求的</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在取得政府采购中标或成交通知书后，可访问安徽省政府采购网“政采贷”栏目，查看和联系第三方平台或者金融机构，商洽融资事项，确定融资意向。</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签署政府采购中标（成交）合同后，登录“徽采云”金融服务模块，选择意向产品进行申请，并填写相关信息，“徽采云”金融服务模块将</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融资申请信息推送第三方平台、意向金融机构。</w:t>
            </w:r>
          </w:p>
          <w:p w14:paraId="56E101F0">
            <w:pPr>
              <w:pStyle w:val="41"/>
              <w:widowControl w:val="0"/>
              <w:spacing w:before="0" w:beforeAutospacing="0" w:after="0" w:afterAutospacing="0" w:line="360" w:lineRule="auto"/>
              <w:jc w:val="both"/>
              <w:rPr>
                <w:rFonts w:hint="eastAsia"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3、电子保函指引：中标人可访问安徽省政府采购网“融资/保函”栏目，申请办理电子保函（包括：履约保函、预付款保函）。</w:t>
            </w:r>
          </w:p>
          <w:p w14:paraId="2CAB6BF4">
            <w:pPr>
              <w:pStyle w:val="41"/>
              <w:widowControl w:val="0"/>
              <w:spacing w:before="0" w:beforeAutospacing="0" w:after="0" w:afterAutospacing="0" w:line="440" w:lineRule="exact"/>
              <w:jc w:val="both"/>
              <w:rPr>
                <w:rFonts w:hint="eastAsia" w:ascii="宋体" w:hAnsi="宋体" w:eastAsia="宋体" w:cs="宋体"/>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4、</w:t>
            </w:r>
            <w:r>
              <w:rPr>
                <w:rFonts w:hint="eastAsia" w:ascii="宋体" w:hAnsi="宋体" w:eastAsia="宋体" w:cs="宋体"/>
                <w:b w:val="0"/>
                <w:color w:val="auto"/>
                <w:kern w:val="2"/>
                <w:sz w:val="24"/>
                <w:szCs w:val="24"/>
                <w:highlight w:val="none"/>
              </w:rPr>
              <w:t>部分可提供线下政府采购合同融资的部分金融机构</w:t>
            </w:r>
          </w:p>
          <w:p w14:paraId="70F7E517">
            <w:pPr>
              <w:pStyle w:val="41"/>
              <w:widowControl w:val="0"/>
              <w:spacing w:before="0" w:beforeAutospacing="0" w:after="0" w:afterAutospacing="0" w:line="440" w:lineRule="exact"/>
              <w:jc w:val="both"/>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市本级</w:t>
            </w:r>
          </w:p>
          <w:p w14:paraId="38F059F5">
            <w:pPr>
              <w:pStyle w:val="41"/>
              <w:widowControl w:val="0"/>
              <w:spacing w:before="0" w:beforeAutospacing="0" w:after="0" w:afterAutospacing="0" w:line="440" w:lineRule="exact"/>
              <w:jc w:val="both"/>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金融机构名称：兴业银行滁州分行</w:t>
            </w:r>
          </w:p>
          <w:p w14:paraId="16F2451E">
            <w:pPr>
              <w:pStyle w:val="41"/>
              <w:widowControl w:val="0"/>
              <w:spacing w:before="0" w:beforeAutospacing="0" w:after="0" w:afterAutospacing="0" w:line="440" w:lineRule="exact"/>
              <w:jc w:val="both"/>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安徽省滁州市琅琊区丰乐大道1090号</w:t>
            </w:r>
          </w:p>
          <w:p w14:paraId="309F99EF">
            <w:pPr>
              <w:pStyle w:val="41"/>
              <w:widowControl w:val="0"/>
              <w:spacing w:before="0" w:beforeAutospacing="0" w:after="0" w:afterAutospacing="0" w:line="440" w:lineRule="exact"/>
              <w:jc w:val="both"/>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俞冉：18256950224</w:t>
            </w:r>
          </w:p>
          <w:p w14:paraId="0319A84D">
            <w:pPr>
              <w:pStyle w:val="41"/>
              <w:widowControl w:val="0"/>
              <w:spacing w:before="0" w:beforeAutospacing="0" w:after="0" w:afterAutospacing="0" w:line="440" w:lineRule="exact"/>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5、系统中提供的表格与招标文件中不一致时，以招标文件中提供的表格格式为准。</w:t>
            </w:r>
          </w:p>
          <w:p w14:paraId="460ADB64">
            <w:pPr>
              <w:pStyle w:val="41"/>
              <w:widowControl w:val="0"/>
              <w:spacing w:before="0" w:beforeAutospacing="0" w:after="0" w:afterAutospacing="0" w:line="440" w:lineRule="exact"/>
              <w:jc w:val="both"/>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6、特别提示：</w:t>
            </w:r>
          </w:p>
          <w:p w14:paraId="280DBEE8">
            <w:pPr>
              <w:pStyle w:val="41"/>
              <w:widowControl w:val="0"/>
              <w:spacing w:before="0" w:beforeAutospacing="0" w:after="0" w:afterAutospacing="0" w:line="440" w:lineRule="exact"/>
              <w:jc w:val="both"/>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（1）投标人应填写投标信息并下载招标文件，否则无法上传投标文件。</w:t>
            </w:r>
          </w:p>
          <w:p w14:paraId="4B5CC7CC">
            <w:pPr>
              <w:pStyle w:val="41"/>
              <w:widowControl w:val="0"/>
              <w:spacing w:before="0" w:beforeAutospacing="0" w:after="0" w:afterAutospacing="0" w:line="440" w:lineRule="exact"/>
              <w:jc w:val="both"/>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注：投标人如为联合体的，牵头人必须完善投标人信息，并在上传投标文件环节添加联合体投标信息。</w:t>
            </w:r>
          </w:p>
          <w:p w14:paraId="4E450954">
            <w:pPr>
              <w:pStyle w:val="41"/>
              <w:widowControl w:val="0"/>
              <w:wordWrap w:val="0"/>
              <w:spacing w:before="0" w:beforeAutospacing="0" w:after="0" w:afterAutospacing="0" w:line="440" w:lineRule="exact"/>
              <w:jc w:val="both"/>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2）本项目采用电子招标投标，请投标人在滁州市公共资源交易中心网&gt;服务指南&gt;软件下载栏目点击下载投标文件制作工具。投标人需采用最新版投标文件制作工具。软件运行需在国际互联网络通畅状态，投标人需注意更新，以免造成投标文件制作错误，如因此导致评标委员会否决其投标，责任自负。如有技术问题请联系0550-3801701，400-615-8899。</w:t>
            </w:r>
          </w:p>
          <w:p w14:paraId="5615295D">
            <w:pPr>
              <w:pStyle w:val="41"/>
              <w:widowControl w:val="0"/>
              <w:spacing w:before="0" w:beforeAutospacing="0" w:after="0" w:afterAutospacing="0" w:line="440" w:lineRule="exact"/>
              <w:jc w:val="both"/>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（3）如果过程中出现招标文件更改，应以最后发布的招标答疑澄清文件中的模板制作本项目最新投标文件。</w:t>
            </w:r>
          </w:p>
          <w:p w14:paraId="15C75C64">
            <w:pPr>
              <w:pStyle w:val="41"/>
              <w:widowControl w:val="0"/>
              <w:spacing w:before="0" w:beforeAutospacing="0" w:after="0" w:afterAutospacing="0" w:line="440" w:lineRule="exact"/>
              <w:jc w:val="both"/>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 xml:space="preserve">（4）投标人应当用本单位CA数字证书制作投标文件，制作成功后进行投标文件上传。 </w:t>
            </w:r>
          </w:p>
          <w:p w14:paraId="03BBE91D">
            <w:pPr>
              <w:pStyle w:val="41"/>
              <w:widowControl w:val="0"/>
              <w:spacing w:before="0" w:beforeAutospacing="0" w:after="0" w:afterAutospacing="0" w:line="440" w:lineRule="exact"/>
              <w:jc w:val="both"/>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5）投标人须用CA数字证书盖章和加密投标文件，建议使用主锁。（如未办理CA数字证书请及时办理，网上办理和窗口办理均可。查看办理所需资料请登录滁州市公共资源交易中心网&gt;服务指南&gt;办事指南&gt;CA数字证书和电子签章。因未及时办理CA数字证书手续导致无法投标的，责任自负。</w:t>
            </w:r>
          </w:p>
          <w:p w14:paraId="3738F823">
            <w:pPr>
              <w:pStyle w:val="41"/>
              <w:widowControl w:val="0"/>
              <w:spacing w:before="0" w:beforeAutospacing="0" w:after="0" w:afterAutospacing="0" w:line="440" w:lineRule="exact"/>
              <w:jc w:val="both"/>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（6）请投标人注意加密投标文件CA数字证书的有效期，不在有效期的CA数字证书无法解密投标文件。</w:t>
            </w:r>
          </w:p>
          <w:p w14:paraId="2EE07DC5">
            <w:pPr>
              <w:pStyle w:val="41"/>
              <w:widowControl w:val="0"/>
              <w:spacing w:before="0" w:beforeAutospacing="0" w:after="0" w:afterAutospacing="0" w:line="440" w:lineRule="exact"/>
              <w:jc w:val="both"/>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（7）投标人投标MAC地址或投标人联系人或联系电话相同的，由评标委员会否决其投标，并报告监管部门作不良行为处理和进一步调查。</w:t>
            </w:r>
          </w:p>
          <w:p w14:paraId="039EE3D5">
            <w:pPr>
              <w:pStyle w:val="41"/>
              <w:widowControl w:val="0"/>
              <w:spacing w:before="0" w:beforeAutospacing="0" w:after="0" w:afterAutospacing="0" w:line="440" w:lineRule="exact"/>
              <w:jc w:val="both"/>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（8）投标人单方面出现其他投标人材料的，由评标委员会否决其投标。</w:t>
            </w:r>
          </w:p>
          <w:p w14:paraId="5C956BD3">
            <w:pPr>
              <w:pStyle w:val="41"/>
              <w:widowControl w:val="0"/>
              <w:spacing w:before="0" w:beforeAutospacing="0" w:after="0" w:afterAutospacing="0" w:line="440" w:lineRule="exact"/>
              <w:jc w:val="both"/>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9）评标时查询投标文件制作机器码、文件创建标识码及造价软件加密锁号。若存在投标文件制作机器码或创建标识码或造价软件加密锁号信息与其他投标人雷同的，由评标委员会否决其投标，依法依规予以处理。</w:t>
            </w:r>
          </w:p>
          <w:p w14:paraId="60AD7716">
            <w:pPr>
              <w:pStyle w:val="41"/>
              <w:widowControl w:val="0"/>
              <w:spacing w:before="0" w:beforeAutospacing="0" w:after="0" w:afterAutospacing="0" w:line="440" w:lineRule="exact"/>
              <w:jc w:val="both"/>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10）电子加密投标文件上传到系统后，需要投标企业和招标代理公司到开标截止时间后共同解锁，不存在商务报价等投标信息通过系统泄密的风险；投标截止时间前，已上传的投标文件也可以撤回修改。集中到开标截止时间前上传电子加密投标文件，可能出现由于投标企业制作电子投标文件不熟练、网络拥堵等不可预知的情况而且无法及时解决，丧失投标机会，请各投标企业提前制作、上传电子加密投标文件，否则由于无法及时上传电子加密投标文件而废标或无效投标的情况，责任自负！</w:t>
            </w:r>
          </w:p>
          <w:p w14:paraId="6EE8FAD8">
            <w:pPr>
              <w:pStyle w:val="41"/>
              <w:widowControl w:val="0"/>
              <w:spacing w:before="0" w:beforeAutospacing="0" w:after="0" w:afterAutospacing="0" w:line="440" w:lineRule="exact"/>
              <w:jc w:val="both"/>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7、评标过程中的澄清、说明或补正：</w:t>
            </w:r>
          </w:p>
          <w:p w14:paraId="6B6B8A5C">
            <w:pPr>
              <w:pStyle w:val="41"/>
              <w:widowControl w:val="0"/>
              <w:spacing w:before="0" w:beforeAutospacing="0" w:after="0" w:afterAutospacing="0" w:line="440" w:lineRule="exact"/>
              <w:jc w:val="both"/>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（1）评标委员会通过网上招投标系统将需要澄清、说明或补正的内容以询标函的形式发送给投标人，投标人应安排专人登录网上招投标系统并保持在线状态，以便及时接收评标委员会可能发出的询标函。</w:t>
            </w:r>
          </w:p>
          <w:p w14:paraId="32601730">
            <w:pPr>
              <w:pStyle w:val="41"/>
              <w:widowControl w:val="0"/>
              <w:spacing w:before="0" w:beforeAutospacing="0" w:after="0" w:afterAutospacing="0" w:line="440" w:lineRule="exact"/>
              <w:jc w:val="both"/>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2）因投标人未登录网上招投标系统导致无法及时接收询标函（远程网上询标）或未在规定时间内按评标委员会要求进行澄清、说明或补正内容的视同投标人放弃澄清、说明或补正内容的权利，评标委员会可按对投标人不利的解释进行判定。</w:t>
            </w:r>
          </w:p>
          <w:p w14:paraId="05B93369">
            <w:pPr>
              <w:pStyle w:val="41"/>
              <w:widowControl w:val="0"/>
              <w:spacing w:before="0" w:beforeAutospacing="0" w:after="0" w:afterAutospacing="0" w:line="440" w:lineRule="exact"/>
              <w:jc w:val="both"/>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8、同义词语：</w:t>
            </w:r>
          </w:p>
          <w:p w14:paraId="43491F5D">
            <w:pPr>
              <w:pStyle w:val="41"/>
              <w:widowControl w:val="0"/>
              <w:spacing w:before="0" w:beforeAutospacing="0" w:after="0" w:afterAutospacing="0" w:line="440" w:lineRule="exact"/>
              <w:jc w:val="both"/>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招标文件第六章  投标文件格式、附件1“关于联合惩戒失信行为 加强信用查询管理的通知”等章节中 “招标人”、“供应商”，等同于“采购人”、“投标人”。</w:t>
            </w:r>
          </w:p>
          <w:p w14:paraId="2D1CD95D">
            <w:pPr>
              <w:pStyle w:val="41"/>
              <w:widowControl w:val="0"/>
              <w:spacing w:before="0" w:beforeAutospacing="0" w:after="0" w:afterAutospacing="0" w:line="360" w:lineRule="auto"/>
              <w:jc w:val="both"/>
              <w:rPr>
                <w:rFonts w:hint="eastAsia" w:asciiTheme="minorEastAsia" w:hAnsiTheme="minorEastAsia" w:eastAsiaTheme="minorEastAsia"/>
                <w:b w:val="0"/>
                <w:color w:val="auto"/>
                <w:kern w:val="2"/>
                <w:sz w:val="24"/>
                <w:szCs w:val="24"/>
                <w:highlight w:val="none"/>
              </w:rPr>
            </w:pPr>
            <w:r>
              <w:rPr>
                <w:rFonts w:hint="eastAsia" w:ascii="宋体" w:hAnsi="宋体" w:eastAsia="宋体" w:cs="宋体"/>
                <w:b w:val="0"/>
                <w:color w:val="auto"/>
                <w:kern w:val="2"/>
                <w:sz w:val="24"/>
                <w:szCs w:val="24"/>
                <w:highlight w:val="none"/>
              </w:rPr>
              <w:t>9、落实政府采购支持节能产品、环境标志产品政策。</w:t>
            </w:r>
          </w:p>
        </w:tc>
      </w:tr>
    </w:tbl>
    <w:p w14:paraId="5DC4CF9D">
      <w:pPr>
        <w:spacing w:line="360" w:lineRule="auto"/>
        <w:jc w:val="center"/>
        <w:outlineLvl w:val="1"/>
        <w:rPr>
          <w:rFonts w:hint="eastAsia"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24" w:name="_Toc24882"/>
      <w:bookmarkStart w:id="25" w:name="_Toc14880"/>
      <w:r>
        <w:rPr>
          <w:rFonts w:hint="eastAsia" w:asciiTheme="minorEastAsia" w:hAnsiTheme="minorEastAsia" w:eastAsiaTheme="minorEastAsia"/>
          <w:b/>
          <w:color w:val="auto"/>
          <w:sz w:val="24"/>
          <w:szCs w:val="24"/>
          <w:highlight w:val="none"/>
        </w:rPr>
        <w:t>二、</w:t>
      </w:r>
      <w:r>
        <w:rPr>
          <w:rFonts w:asciiTheme="minorEastAsia" w:hAnsiTheme="minorEastAsia" w:eastAsiaTheme="minorEastAsia"/>
          <w:b/>
          <w:color w:val="auto"/>
          <w:sz w:val="24"/>
          <w:szCs w:val="24"/>
          <w:highlight w:val="none"/>
        </w:rPr>
        <w:t>投标人须知</w:t>
      </w:r>
      <w:r>
        <w:rPr>
          <w:rFonts w:hint="eastAsia" w:asciiTheme="minorEastAsia" w:hAnsiTheme="minorEastAsia" w:eastAsiaTheme="minorEastAsia"/>
          <w:b/>
          <w:color w:val="auto"/>
          <w:sz w:val="24"/>
          <w:szCs w:val="24"/>
          <w:highlight w:val="none"/>
        </w:rPr>
        <w:t>正文</w:t>
      </w:r>
      <w:bookmarkEnd w:id="24"/>
      <w:bookmarkEnd w:id="25"/>
    </w:p>
    <w:p w14:paraId="1BF44B3B">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1.采购人、采购代理机构及投标人</w:t>
      </w:r>
    </w:p>
    <w:p w14:paraId="6447FD29">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.1采购人：是指依法开展政府采购活动的国家机关、事业单位、团体组织。</w:t>
      </w:r>
    </w:p>
    <w:p w14:paraId="45B9DC96">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.2采购代理机构：是指集中采购机构或从事采购代理业务的社会中介机构。</w:t>
      </w:r>
    </w:p>
    <w:p w14:paraId="5422A99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174AD00D">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本项目的投标人须满足以下条件：</w:t>
      </w:r>
    </w:p>
    <w:p w14:paraId="7EB5FA6F">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w:t>
      </w:r>
      <w:r>
        <w:rPr>
          <w:rFonts w:hint="eastAsia" w:ascii="宋体" w:hAnsi="宋体" w:eastAsia="宋体"/>
          <w:color w:val="auto"/>
          <w:sz w:val="24"/>
          <w:highlight w:val="none"/>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2D5D32B2">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w:t>
      </w:r>
      <w:r>
        <w:rPr>
          <w:rFonts w:hint="eastAsia" w:ascii="宋体" w:hAnsi="宋体" w:eastAsia="宋体"/>
          <w:color w:val="auto"/>
          <w:sz w:val="24"/>
          <w:highlight w:val="none"/>
        </w:rPr>
        <w:t>2</w:t>
      </w:r>
      <w:r>
        <w:rPr>
          <w:rFonts w:ascii="宋体" w:hAnsi="宋体" w:eastAsia="宋体"/>
          <w:color w:val="auto"/>
          <w:sz w:val="24"/>
          <w:highlight w:val="none"/>
        </w:rPr>
        <w:t>以采购代理机构认可的方式获得本项目的招标文件。</w:t>
      </w:r>
    </w:p>
    <w:p w14:paraId="348DA65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w:t>
      </w:r>
      <w:r>
        <w:rPr>
          <w:rFonts w:hint="eastAsia" w:ascii="宋体" w:hAnsi="宋体" w:eastAsia="宋体"/>
          <w:color w:val="auto"/>
          <w:sz w:val="24"/>
          <w:highlight w:val="none"/>
        </w:rPr>
        <w:t>3</w:t>
      </w:r>
      <w:r>
        <w:rPr>
          <w:rFonts w:ascii="宋体" w:hAnsi="宋体" w:eastAsia="宋体"/>
          <w:color w:val="auto"/>
          <w:sz w:val="24"/>
          <w:highlight w:val="none"/>
        </w:rPr>
        <w:t>若</w:t>
      </w:r>
      <w:r>
        <w:rPr>
          <w:rFonts w:hint="eastAsia" w:ascii="宋体" w:hAnsi="宋体" w:eastAsia="宋体"/>
          <w:color w:val="auto"/>
          <w:sz w:val="24"/>
          <w:highlight w:val="none"/>
        </w:rPr>
        <w:t>采购需求</w:t>
      </w:r>
      <w:r>
        <w:rPr>
          <w:rFonts w:ascii="宋体" w:hAnsi="宋体" w:eastAsia="宋体"/>
          <w:color w:val="auto"/>
          <w:sz w:val="24"/>
          <w:highlight w:val="none"/>
        </w:rPr>
        <w:t>中写明允许采购进口产品，投标人应保证所投产品可履行合法报通关手续进入中国关境内。</w:t>
      </w:r>
    </w:p>
    <w:p w14:paraId="59D57FEE">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若采购需求中未写明允许采购进口产品，如投标人所投产品为进口产品，其投标将被认定为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7543ADCC">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w:t>
      </w:r>
      <w:r>
        <w:rPr>
          <w:rFonts w:hint="eastAsia" w:ascii="宋体" w:hAnsi="宋体" w:eastAsia="宋体"/>
          <w:color w:val="auto"/>
          <w:sz w:val="24"/>
          <w:highlight w:val="none"/>
        </w:rPr>
        <w:t>若招标公告</w:t>
      </w:r>
      <w:r>
        <w:rPr>
          <w:rFonts w:ascii="宋体" w:hAnsi="宋体" w:eastAsia="宋体"/>
          <w:color w:val="auto"/>
          <w:sz w:val="24"/>
          <w:highlight w:val="none"/>
        </w:rPr>
        <w:t>中允许联合体投标，对联合体规定如下：</w:t>
      </w:r>
    </w:p>
    <w:p w14:paraId="48AB86BF">
      <w:pPr>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5.1两个以上供应商可以组成一个投标联合体，以一个投标人的身份投标。联合体投标的，</w:t>
      </w:r>
      <w:r>
        <w:rPr>
          <w:rFonts w:hint="eastAsia" w:ascii="宋体" w:hAnsi="宋体" w:eastAsia="宋体"/>
          <w:color w:val="auto"/>
          <w:sz w:val="24"/>
          <w:highlight w:val="none"/>
        </w:rPr>
        <w:t>招标文件获取</w:t>
      </w:r>
      <w:r>
        <w:rPr>
          <w:rFonts w:ascii="宋体" w:hAnsi="宋体" w:eastAsia="宋体"/>
          <w:color w:val="auto"/>
          <w:sz w:val="24"/>
          <w:highlight w:val="none"/>
        </w:rPr>
        <w:t>手续由联合体</w:t>
      </w:r>
      <w:r>
        <w:rPr>
          <w:rFonts w:hint="eastAsia" w:ascii="宋体" w:hAnsi="宋体" w:eastAsia="宋体"/>
          <w:color w:val="auto"/>
          <w:sz w:val="24"/>
          <w:highlight w:val="none"/>
        </w:rPr>
        <w:t>中</w:t>
      </w:r>
      <w:r>
        <w:rPr>
          <w:rFonts w:ascii="宋体" w:hAnsi="宋体" w:eastAsia="宋体"/>
          <w:color w:val="auto"/>
          <w:sz w:val="24"/>
          <w:highlight w:val="none"/>
        </w:rPr>
        <w:t>任</w:t>
      </w:r>
      <w:r>
        <w:rPr>
          <w:rFonts w:hint="eastAsia" w:ascii="宋体" w:hAnsi="宋体" w:eastAsia="宋体"/>
          <w:color w:val="auto"/>
          <w:sz w:val="24"/>
          <w:highlight w:val="none"/>
        </w:rPr>
        <w:t>一成员单位</w:t>
      </w:r>
      <w:r>
        <w:rPr>
          <w:rFonts w:ascii="宋体" w:hAnsi="宋体" w:eastAsia="宋体"/>
          <w:color w:val="auto"/>
          <w:sz w:val="24"/>
          <w:highlight w:val="none"/>
        </w:rPr>
        <w:t>办理均可。</w:t>
      </w:r>
    </w:p>
    <w:p w14:paraId="0D5552E9">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5.2联合体各方均应符合《中华人民共和国政府采购法》第二十二条规定的条件。</w:t>
      </w:r>
    </w:p>
    <w:p w14:paraId="3AC83EF1">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5.3采购人根据采购项目对投标人的特殊要求，联合体中至少应当有一方符合相关规定。</w:t>
      </w:r>
    </w:p>
    <w:p w14:paraId="6CBBC589">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5.4联合体各方应签订</w:t>
      </w:r>
      <w:r>
        <w:rPr>
          <w:rFonts w:hint="eastAsia" w:ascii="宋体" w:hAnsi="宋体" w:eastAsia="宋体"/>
          <w:color w:val="auto"/>
          <w:sz w:val="24"/>
          <w:highlight w:val="none"/>
        </w:rPr>
        <w:t>联合协议</w:t>
      </w:r>
      <w:r>
        <w:rPr>
          <w:rFonts w:ascii="宋体" w:hAnsi="宋体" w:eastAsia="宋体"/>
          <w:color w:val="auto"/>
          <w:sz w:val="24"/>
          <w:highlight w:val="none"/>
        </w:rPr>
        <w:t>，明确约定联合体各方承担的工作和相应的责任，并将</w:t>
      </w:r>
      <w:r>
        <w:rPr>
          <w:rFonts w:hint="eastAsia" w:ascii="宋体" w:hAnsi="宋体" w:eastAsia="宋体"/>
          <w:color w:val="auto"/>
          <w:sz w:val="24"/>
          <w:highlight w:val="none"/>
        </w:rPr>
        <w:t>联合协议</w:t>
      </w:r>
      <w:r>
        <w:rPr>
          <w:rFonts w:ascii="宋体" w:hAnsi="宋体" w:eastAsia="宋体"/>
          <w:color w:val="auto"/>
          <w:sz w:val="24"/>
          <w:highlight w:val="none"/>
        </w:rPr>
        <w:t>作为投标文件</w:t>
      </w:r>
      <w:r>
        <w:rPr>
          <w:rFonts w:hint="eastAsia" w:ascii="宋体" w:hAnsi="宋体" w:eastAsia="宋体"/>
          <w:color w:val="auto"/>
          <w:sz w:val="24"/>
          <w:highlight w:val="none"/>
        </w:rPr>
        <w:t>的</w:t>
      </w:r>
      <w:r>
        <w:rPr>
          <w:rFonts w:ascii="宋体" w:hAnsi="宋体" w:eastAsia="宋体"/>
          <w:color w:val="auto"/>
          <w:sz w:val="24"/>
          <w:highlight w:val="none"/>
        </w:rPr>
        <w:t>一部分提交。</w:t>
      </w:r>
    </w:p>
    <w:p w14:paraId="44326D0B">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5.5大中型企业、其他自然人、法人或者非法人组织与小型、微型企业组成联合体共同参加投标，</w:t>
      </w:r>
      <w:r>
        <w:rPr>
          <w:rFonts w:hint="eastAsia" w:ascii="宋体" w:hAnsi="宋体" w:eastAsia="宋体"/>
          <w:color w:val="auto"/>
          <w:sz w:val="24"/>
          <w:highlight w:val="none"/>
        </w:rPr>
        <w:t>联合协议中</w:t>
      </w:r>
      <w:r>
        <w:rPr>
          <w:rFonts w:ascii="宋体" w:hAnsi="宋体" w:eastAsia="宋体"/>
          <w:color w:val="auto"/>
          <w:sz w:val="24"/>
          <w:highlight w:val="none"/>
        </w:rPr>
        <w:t>应写明小型、微型企业的协议合同金额占到</w:t>
      </w:r>
      <w:r>
        <w:rPr>
          <w:rFonts w:hint="eastAsia" w:ascii="宋体" w:hAnsi="宋体" w:eastAsia="宋体"/>
          <w:color w:val="auto"/>
          <w:sz w:val="24"/>
          <w:highlight w:val="none"/>
        </w:rPr>
        <w:t>联合协议</w:t>
      </w:r>
      <w:r>
        <w:rPr>
          <w:rFonts w:ascii="宋体" w:hAnsi="宋体" w:eastAsia="宋体"/>
          <w:color w:val="auto"/>
          <w:sz w:val="24"/>
          <w:highlight w:val="none"/>
        </w:rPr>
        <w:t>投标总金额的比例。</w:t>
      </w:r>
    </w:p>
    <w:p w14:paraId="65024E85">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5.6</w:t>
      </w:r>
      <w:r>
        <w:rPr>
          <w:rFonts w:hint="eastAsia" w:ascii="宋体" w:hAnsi="宋体" w:eastAsia="宋体"/>
          <w:color w:val="auto"/>
          <w:sz w:val="24"/>
          <w:highlight w:val="none"/>
        </w:rPr>
        <w:t>联合体中有同类资质的供应商按照联合体分工承担相同工作的，</w:t>
      </w:r>
      <w:r>
        <w:rPr>
          <w:rFonts w:ascii="宋体" w:hAnsi="宋体" w:eastAsia="宋体"/>
          <w:color w:val="auto"/>
          <w:sz w:val="24"/>
          <w:highlight w:val="none"/>
        </w:rPr>
        <w:t>应当按照</w:t>
      </w:r>
      <w:r>
        <w:rPr>
          <w:rFonts w:hint="eastAsia" w:ascii="宋体" w:hAnsi="宋体" w:eastAsia="宋体"/>
          <w:color w:val="auto"/>
          <w:sz w:val="24"/>
          <w:highlight w:val="none"/>
        </w:rPr>
        <w:t>资质等级较低的供应商确定资质等级。</w:t>
      </w:r>
    </w:p>
    <w:p w14:paraId="3F3C4914">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5.7以联合体形式参加政府采购活动的，联合体各方不得再单独参加或者与其他供应商另外组成联合体参加本项目投标，否则相关投标将被认定为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66A5B6E4">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5.8对联合体投标的其他资格要求见</w:t>
      </w:r>
      <w:r>
        <w:rPr>
          <w:rFonts w:hint="eastAsia" w:ascii="宋体" w:hAnsi="宋体" w:eastAsia="宋体"/>
          <w:color w:val="auto"/>
          <w:sz w:val="24"/>
          <w:highlight w:val="none"/>
        </w:rPr>
        <w:t>申请人的资格要求</w:t>
      </w:r>
      <w:r>
        <w:rPr>
          <w:rFonts w:ascii="宋体" w:hAnsi="宋体" w:eastAsia="宋体"/>
          <w:color w:val="auto"/>
          <w:sz w:val="24"/>
          <w:highlight w:val="none"/>
        </w:rPr>
        <w:t>。</w:t>
      </w:r>
    </w:p>
    <w:p w14:paraId="3AF83CAD">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2.资金落实情况</w:t>
      </w:r>
    </w:p>
    <w:p w14:paraId="21683B0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本</w:t>
      </w:r>
      <w:r>
        <w:rPr>
          <w:rFonts w:hint="eastAsia" w:ascii="宋体" w:hAnsi="宋体" w:eastAsia="宋体"/>
          <w:color w:val="auto"/>
          <w:sz w:val="24"/>
          <w:highlight w:val="none"/>
        </w:rPr>
        <w:t>项目</w:t>
      </w:r>
      <w:r>
        <w:rPr>
          <w:rFonts w:hint="eastAsia" w:asciiTheme="minorEastAsia" w:hAnsiTheme="minorEastAsia" w:eastAsiaTheme="minorEastAsia"/>
          <w:color w:val="auto"/>
          <w:sz w:val="24"/>
          <w:highlight w:val="none"/>
        </w:rPr>
        <w:t>的采购人已获得足以支付本次招标后所签订的合同项下的资金。</w:t>
      </w:r>
    </w:p>
    <w:p w14:paraId="5ABFDD1D">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3.投标费用</w:t>
      </w:r>
    </w:p>
    <w:p w14:paraId="70F1B94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1833B6B2">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4.适用法律</w:t>
      </w:r>
    </w:p>
    <w:p w14:paraId="3CBE5DC4">
      <w:pPr>
        <w:spacing w:line="360" w:lineRule="auto"/>
        <w:ind w:firstLine="435"/>
        <w:rPr>
          <w:rFonts w:hint="eastAsia" w:asciiTheme="minorEastAsia" w:hAnsiTheme="minorEastAsia" w:eastAsiaTheme="minorEastAsia"/>
          <w:b/>
          <w:color w:val="auto"/>
          <w:sz w:val="24"/>
          <w:highlight w:val="none"/>
        </w:rPr>
      </w:pPr>
      <w:r>
        <w:rPr>
          <w:rFonts w:hint="eastAsia" w:ascii="宋体" w:hAnsi="宋体" w:eastAsia="宋体"/>
          <w:color w:val="auto"/>
          <w:sz w:val="24"/>
          <w:highlight w:val="none"/>
        </w:rPr>
        <w:t>本项目采购人、采购代理机构、投标人、评标委员会的相关行为均受《中华人民共和国政府采购法》、《中华人民共和国政府采购法实施条例》及本项目本级和上级财政部门、政府采购监督管理部门的政府采购有关规定的约束，其权利受到上述法律法规的保护。</w:t>
      </w:r>
    </w:p>
    <w:p w14:paraId="6751937E">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5.招标文件构成</w:t>
      </w:r>
    </w:p>
    <w:p w14:paraId="0778BD52">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5.1招标文件包括下列内容：</w:t>
      </w:r>
    </w:p>
    <w:p w14:paraId="4BA1FAD3">
      <w:pPr>
        <w:spacing w:line="360" w:lineRule="auto"/>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投标邀请</w:t>
      </w:r>
    </w:p>
    <w:p w14:paraId="5DE63B80">
      <w:pPr>
        <w:spacing w:line="360" w:lineRule="auto"/>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投标人须知</w:t>
      </w:r>
    </w:p>
    <w:p w14:paraId="6F799221">
      <w:pPr>
        <w:spacing w:line="360" w:lineRule="auto"/>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1038F698">
      <w:pPr>
        <w:spacing w:line="360" w:lineRule="auto"/>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评标</w:t>
      </w:r>
      <w:r>
        <w:rPr>
          <w:rFonts w:hint="eastAsia" w:asciiTheme="minorEastAsia" w:hAnsiTheme="minorEastAsia" w:eastAsiaTheme="minorEastAsia"/>
          <w:color w:val="auto"/>
          <w:sz w:val="24"/>
          <w:highlight w:val="none"/>
        </w:rPr>
        <w:t>方法</w:t>
      </w:r>
      <w:r>
        <w:rPr>
          <w:rFonts w:asciiTheme="minorEastAsia" w:hAnsiTheme="minorEastAsia" w:eastAsiaTheme="minorEastAsia"/>
          <w:color w:val="auto"/>
          <w:sz w:val="24"/>
          <w:highlight w:val="none"/>
        </w:rPr>
        <w:t>和标准</w:t>
      </w:r>
    </w:p>
    <w:p w14:paraId="01F50D0F">
      <w:pPr>
        <w:spacing w:line="360" w:lineRule="auto"/>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0AE12362">
      <w:pPr>
        <w:spacing w:line="360" w:lineRule="auto"/>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投标文件格式</w:t>
      </w:r>
    </w:p>
    <w:p w14:paraId="626B4731">
      <w:pPr>
        <w:spacing w:line="360" w:lineRule="auto"/>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第七章</w:t>
      </w:r>
      <w:r>
        <w:rPr>
          <w:rFonts w:asciiTheme="minorEastAsia" w:hAnsiTheme="minorEastAsia" w:eastAsiaTheme="minorEastAsia"/>
          <w:color w:val="auto"/>
          <w:sz w:val="24"/>
          <w:highlight w:val="none"/>
        </w:rPr>
        <w:t xml:space="preserve">  政府采购</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6F1B6A6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考察（标前答疑会）</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w:t>
      </w:r>
    </w:p>
    <w:p w14:paraId="22F13DC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原则上采购人、采购代理机构不要求投标人提供样品。仅凭书面方式不能准确描述采购需求，或者需要对样品进行主观判断以确认是否满足采购需求等特殊情况除外。</w:t>
      </w:r>
    </w:p>
    <w:p w14:paraId="4A616D0A">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如需提供样品，对样品相关要求见</w:t>
      </w:r>
      <w:r>
        <w:rPr>
          <w:rFonts w:hint="eastAsia" w:asciiTheme="minorEastAsia" w:hAnsiTheme="minorEastAsia" w:eastAsiaTheme="minorEastAsia"/>
          <w:color w:val="auto"/>
          <w:sz w:val="24"/>
          <w:highlight w:val="none"/>
        </w:rPr>
        <w:t>采购需求</w:t>
      </w:r>
      <w:r>
        <w:rPr>
          <w:rFonts w:asciiTheme="minorEastAsia" w:hAnsiTheme="minorEastAsia" w:eastAsiaTheme="minorEastAsia"/>
          <w:color w:val="auto"/>
          <w:sz w:val="24"/>
          <w:highlight w:val="none"/>
        </w:rPr>
        <w:t>，对样品的评审方法及评审标准见招标文件第</w:t>
      </w:r>
      <w:r>
        <w:rPr>
          <w:rFonts w:hint="eastAsia" w:asciiTheme="minorEastAsia" w:hAnsiTheme="minorEastAsia" w:eastAsiaTheme="minorEastAsia"/>
          <w:color w:val="auto"/>
          <w:sz w:val="24"/>
          <w:highlight w:val="none"/>
        </w:rPr>
        <w:t>四</w:t>
      </w:r>
      <w:r>
        <w:rPr>
          <w:rFonts w:asciiTheme="minorEastAsia" w:hAnsiTheme="minorEastAsia" w:eastAsiaTheme="minorEastAsia"/>
          <w:color w:val="auto"/>
          <w:sz w:val="24"/>
          <w:highlight w:val="none"/>
        </w:rPr>
        <w:t>章。</w:t>
      </w:r>
    </w:p>
    <w:p w14:paraId="0E44888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投标人应认真阅读招标文件所有的事项、格式、条款和技术规范等。</w:t>
      </w:r>
    </w:p>
    <w:p w14:paraId="22E01125">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6.招标文件的澄清与修改</w:t>
      </w:r>
    </w:p>
    <w:p w14:paraId="6466F50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投标人如对招标文件内容有疑问，必须在</w:t>
      </w:r>
      <w:r>
        <w:rPr>
          <w:rFonts w:ascii="宋体" w:hAnsi="宋体" w:eastAsia="宋体"/>
          <w:color w:val="auto"/>
          <w:sz w:val="24"/>
          <w:highlight w:val="none"/>
          <w:u w:val="single"/>
        </w:rPr>
        <w:t>投标人须知前附表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截止时间前以网上提问形式</w:t>
      </w:r>
      <w:r>
        <w:rPr>
          <w:rFonts w:hint="eastAsia" w:asciiTheme="minorEastAsia" w:hAnsiTheme="minorEastAsia" w:eastAsiaTheme="minorEastAsia"/>
          <w:color w:val="auto"/>
          <w:sz w:val="24"/>
          <w:highlight w:val="none"/>
        </w:rPr>
        <w:t>（电子交易系统）</w:t>
      </w:r>
      <w:r>
        <w:rPr>
          <w:rFonts w:asciiTheme="minorEastAsia" w:hAnsiTheme="minorEastAsia" w:eastAsiaTheme="minorEastAsia"/>
          <w:color w:val="auto"/>
          <w:sz w:val="24"/>
          <w:highlight w:val="none"/>
        </w:rPr>
        <w:t>提交给采购代理机构。</w:t>
      </w:r>
    </w:p>
    <w:p w14:paraId="593F48F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2采购人可主动地或在答复投标人提出的询问时对招标文件进行澄清与修改。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在安徽省政府采购网以发布更正公告的方式</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澄清或修改招标文件，更正公告的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为招标文件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组成部分，对投标人起约束作用</w:t>
      </w:r>
      <w:r>
        <w:rPr>
          <w:rFonts w:hint="eastAsia" w:asciiTheme="minorEastAsia" w:hAnsiTheme="minorEastAsia" w:eastAsiaTheme="minorEastAsia"/>
          <w:color w:val="auto"/>
          <w:sz w:val="24"/>
          <w:highlight w:val="none"/>
        </w:rPr>
        <w:t>。投标人应主动上网查询。采购代理机构不承担投标人未及时关注相关信息引发的相关责任。</w:t>
      </w:r>
    </w:p>
    <w:p w14:paraId="2064E36B">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6.3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1E10D61D">
      <w:pPr>
        <w:spacing w:line="360" w:lineRule="auto"/>
        <w:ind w:firstLine="435"/>
        <w:rPr>
          <w:rFonts w:hint="eastAsia" w:asciiTheme="minorEastAsia" w:hAnsiTheme="minorEastAsia" w:eastAsiaTheme="minorEastAsia"/>
          <w:i/>
          <w:iCs/>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rFonts w:ascii="宋体" w:hAnsi="宋体" w:eastAsia="宋体"/>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疑问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项目投标的</w:t>
      </w:r>
      <w:r>
        <w:rPr>
          <w:rFonts w:hint="eastAsia" w:asciiTheme="minorEastAsia" w:hAnsiTheme="minorEastAsia" w:eastAsiaTheme="minorEastAsia"/>
          <w:color w:val="auto"/>
          <w:sz w:val="24"/>
          <w:highlight w:val="none"/>
        </w:rPr>
        <w:t>投标人</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招标文件（含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22EC0309">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7.投标范围及投标文件中标准和计量单位的使用</w:t>
      </w:r>
    </w:p>
    <w:p w14:paraId="681763A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.1</w:t>
      </w:r>
      <w:r>
        <w:rPr>
          <w:rFonts w:ascii="宋体" w:hAnsi="宋体" w:eastAsia="宋体"/>
          <w:color w:val="auto"/>
          <w:sz w:val="24"/>
          <w:highlight w:val="none"/>
        </w:rPr>
        <w:t>项目</w:t>
      </w:r>
      <w:r>
        <w:rPr>
          <w:rFonts w:asciiTheme="minorEastAsia" w:hAnsiTheme="minorEastAsia" w:eastAsiaTheme="minorEastAsia"/>
          <w:color w:val="auto"/>
          <w:sz w:val="24"/>
          <w:highlight w:val="none"/>
        </w:rPr>
        <w:t>有分包的，投标人可对招标文件其中某一个或几个分包进行投标，除非在</w:t>
      </w:r>
      <w:r>
        <w:rPr>
          <w:rFonts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中另有规定。</w:t>
      </w:r>
    </w:p>
    <w:p w14:paraId="5A35AAF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.2投标人应当对所投分包招标文件中“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需求”所列的所有内容进行投标，如仅响应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w:t>
      </w:r>
      <w:r>
        <w:rPr>
          <w:rFonts w:asciiTheme="minorEastAsia" w:hAnsiTheme="minorEastAsia" w:eastAsiaTheme="minorEastAsia"/>
          <w:color w:val="auto"/>
          <w:sz w:val="24"/>
          <w:highlight w:val="none"/>
        </w:rPr>
        <w:t>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49E23BA5">
      <w:pPr>
        <w:spacing w:line="360" w:lineRule="auto"/>
        <w:ind w:firstLine="435"/>
        <w:rPr>
          <w:rFonts w:hint="eastAsia" w:asciiTheme="minorEastAsia" w:hAnsiTheme="minorEastAsia" w:eastAsiaTheme="minorEastAsia"/>
          <w:color w:val="auto"/>
          <w:sz w:val="24"/>
          <w:highlight w:val="none"/>
        </w:rPr>
      </w:pPr>
      <w:bookmarkStart w:id="26" w:name="_Hlk16458980"/>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.3无论招标文件中是否要求，</w:t>
      </w:r>
      <w:r>
        <w:rPr>
          <w:rFonts w:hint="eastAsia" w:asciiTheme="minorEastAsia" w:hAnsiTheme="minorEastAsia" w:eastAsiaTheme="minorEastAsia"/>
          <w:color w:val="auto"/>
          <w:sz w:val="24"/>
          <w:highlight w:val="none"/>
        </w:rPr>
        <w:t>投标人所投货物及伴随的服务和工程均应符合国家强制性标准。</w:t>
      </w:r>
    </w:p>
    <w:bookmarkEnd w:id="26"/>
    <w:p w14:paraId="2CE9092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投标人与采购</w:t>
      </w:r>
      <w:r>
        <w:rPr>
          <w:rFonts w:hint="eastAsia" w:asciiTheme="minorEastAsia" w:hAnsiTheme="minorEastAsia" w:eastAsiaTheme="minorEastAsia"/>
          <w:color w:val="auto"/>
          <w:sz w:val="24"/>
          <w:highlight w:val="none"/>
        </w:rPr>
        <w:t>代理</w:t>
      </w:r>
      <w:r>
        <w:rPr>
          <w:rFonts w:asciiTheme="minorEastAsia" w:hAnsiTheme="minorEastAsia" w:eastAsiaTheme="minorEastAsia"/>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2B000BC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除</w:t>
      </w:r>
      <w:r>
        <w:rPr>
          <w:rFonts w:ascii="宋体" w:hAnsi="宋体" w:eastAsia="宋体"/>
          <w:color w:val="auto"/>
          <w:sz w:val="24"/>
          <w:highlight w:val="none"/>
        </w:rPr>
        <w:t>招标文件</w:t>
      </w:r>
      <w:r>
        <w:rPr>
          <w:rFonts w:asciiTheme="minorEastAsia" w:hAnsiTheme="minorEastAsia" w:eastAsiaTheme="minorEastAsia"/>
          <w:color w:val="auto"/>
          <w:sz w:val="24"/>
          <w:highlight w:val="none"/>
        </w:rPr>
        <w:t>中有特殊要求外，投标文件中所使用的计量单位，应采用中华人民共和国法定计量单位。</w:t>
      </w:r>
    </w:p>
    <w:p w14:paraId="3F5AC4E0">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投标文件构成</w:t>
      </w:r>
    </w:p>
    <w:p w14:paraId="25B2925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w:t>
      </w:r>
      <w:r>
        <w:rPr>
          <w:rFonts w:asciiTheme="minorEastAsia" w:hAnsiTheme="minorEastAsia" w:eastAsiaTheme="minorEastAsia"/>
          <w:color w:val="auto"/>
          <w:sz w:val="24"/>
          <w:highlight w:val="none"/>
        </w:rPr>
        <w:t>.1</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应完整地按招标文件提供的投标文件格式及要求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写投标文件，</w:t>
      </w:r>
      <w:r>
        <w:rPr>
          <w:rFonts w:hint="eastAsia" w:asciiTheme="minorEastAsia" w:hAnsiTheme="minorEastAsia" w:eastAsiaTheme="minorEastAsia"/>
          <w:color w:val="auto"/>
          <w:sz w:val="24"/>
          <w:highlight w:val="none"/>
        </w:rPr>
        <w:t>具体内容详见本项目投标文件格式的相关内容。</w:t>
      </w:r>
    </w:p>
    <w:p w14:paraId="254CF76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8.2</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应提交</w:t>
      </w:r>
      <w:r>
        <w:rPr>
          <w:rFonts w:hint="eastAsia" w:asciiTheme="minorEastAsia" w:hAnsiTheme="minorEastAsia" w:eastAsiaTheme="minorEastAsia"/>
          <w:color w:val="auto"/>
          <w:sz w:val="24"/>
          <w:highlight w:val="none"/>
        </w:rPr>
        <w:t>招标文件要求的</w:t>
      </w:r>
      <w:r>
        <w:rPr>
          <w:rFonts w:asciiTheme="minorEastAsia" w:hAnsiTheme="minorEastAsia" w:eastAsiaTheme="minorEastAsia"/>
          <w:color w:val="auto"/>
          <w:sz w:val="24"/>
          <w:highlight w:val="none"/>
        </w:rPr>
        <w:t>证明文件，证明其投标内容符合招标文件规定</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该证明文件是投标文件的一部分</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rPr>
        <w:t>形式</w:t>
      </w:r>
      <w:r>
        <w:rPr>
          <w:rFonts w:asciiTheme="minorEastAsia" w:hAnsiTheme="minorEastAsia" w:eastAsiaTheme="minorEastAsia"/>
          <w:color w:val="auto"/>
          <w:sz w:val="24"/>
          <w:highlight w:val="none"/>
        </w:rPr>
        <w:t>可以是文字资料、图纸和数据</w:t>
      </w:r>
      <w:bookmarkStart w:id="27" w:name="_Hlk11703583"/>
      <w:r>
        <w:rPr>
          <w:rFonts w:hint="eastAsia" w:asciiTheme="minorEastAsia" w:hAnsiTheme="minorEastAsia" w:eastAsiaTheme="minorEastAsia"/>
          <w:color w:val="auto"/>
          <w:sz w:val="24"/>
          <w:highlight w:val="none"/>
        </w:rPr>
        <w:t>等。</w:t>
      </w:r>
    </w:p>
    <w:bookmarkEnd w:id="27"/>
    <w:p w14:paraId="3482246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公正，除非另有规定或说明，投标人对同一项目投标时，不得同时提供</w:t>
      </w:r>
      <w:r>
        <w:rPr>
          <w:rFonts w:hint="eastAsia" w:asciiTheme="minorEastAsia" w:hAnsiTheme="minorEastAsia" w:eastAsiaTheme="minorEastAsia"/>
          <w:color w:val="auto"/>
          <w:sz w:val="24"/>
          <w:highlight w:val="none"/>
        </w:rPr>
        <w:t>备选</w:t>
      </w:r>
      <w:r>
        <w:rPr>
          <w:rFonts w:asciiTheme="minorEastAsia" w:hAnsiTheme="minorEastAsia" w:eastAsiaTheme="minorEastAsia"/>
          <w:color w:val="auto"/>
          <w:sz w:val="24"/>
          <w:highlight w:val="none"/>
        </w:rPr>
        <w:t>投标方案。</w:t>
      </w:r>
    </w:p>
    <w:p w14:paraId="7B3C4DA9">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投标报价</w:t>
      </w:r>
    </w:p>
    <w:p w14:paraId="2380048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.1投标人的报价应当包括满足本次招标全部采购需求</w:t>
      </w:r>
      <w:r>
        <w:rPr>
          <w:rFonts w:hint="eastAsia" w:asciiTheme="minorEastAsia" w:hAnsiTheme="minorEastAsia" w:eastAsiaTheme="minorEastAsia"/>
          <w:color w:val="auto"/>
          <w:sz w:val="24"/>
          <w:highlight w:val="none"/>
        </w:rPr>
        <w:t>。除招标文件另有规定外，所有投标均应以人民币报价。投标人的投标报价应遵守《中华人民共和国价格法》。</w:t>
      </w:r>
    </w:p>
    <w:p w14:paraId="08F5879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.2投标人报价超过招标文件规定的预算金额或者分项、分包最高限价，其投标将被认定为</w:t>
      </w:r>
      <w:r>
        <w:rPr>
          <w:rFonts w:asciiTheme="minorEastAsia" w:hAnsiTheme="minorEastAsia" w:eastAsiaTheme="minorEastAsia"/>
          <w:b/>
          <w:bCs/>
          <w:color w:val="auto"/>
          <w:sz w:val="24"/>
          <w:highlight w:val="none"/>
        </w:rPr>
        <w:t>投标无效</w:t>
      </w:r>
      <w:r>
        <w:rPr>
          <w:rFonts w:asciiTheme="minorEastAsia" w:hAnsiTheme="minorEastAsia" w:eastAsiaTheme="minorEastAsia"/>
          <w:color w:val="auto"/>
          <w:sz w:val="24"/>
          <w:highlight w:val="none"/>
        </w:rPr>
        <w:t>。</w:t>
      </w:r>
    </w:p>
    <w:p w14:paraId="1FF7AA1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3投标报价</w:t>
      </w:r>
      <w:r>
        <w:rPr>
          <w:rFonts w:asciiTheme="minorEastAsia" w:hAnsiTheme="minorEastAsia" w:eastAsiaTheme="minorEastAsia"/>
          <w:color w:val="auto"/>
          <w:sz w:val="24"/>
          <w:highlight w:val="none"/>
        </w:rPr>
        <w:t>在合同履行过程中是固定不变的，不得以任何理由予以变更。任何包含价格调整要求的投标，其投标将被认定为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0323B79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采购人不接受具有附加条件的报价。</w:t>
      </w:r>
    </w:p>
    <w:p w14:paraId="4436AE6B">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投标保证金</w:t>
      </w:r>
    </w:p>
    <w:p w14:paraId="2B006C8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10.1本项目不收取投标保证金。</w:t>
      </w:r>
    </w:p>
    <w:p w14:paraId="0405A4D3">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投标有效期</w:t>
      </w:r>
    </w:p>
    <w:p w14:paraId="52B8EBE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11.1投标有效期为从投标截止之日算起的日历天数，投标有效期详见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473D222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24BC8B80">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69B28252">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投标文件的递交、修改与撤回</w:t>
      </w:r>
    </w:p>
    <w:p w14:paraId="458F10A0">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2.1投标人应当在招标公告规定的投标截止时间前</w:t>
      </w:r>
      <w:r>
        <w:rPr>
          <w:rFonts w:asciiTheme="minorEastAsia" w:hAnsiTheme="minorEastAsia" w:eastAsiaTheme="minorEastAsia"/>
          <w:color w:val="auto"/>
          <w:sz w:val="24"/>
          <w:highlight w:val="none"/>
        </w:rPr>
        <w:t>，将加密的投标文件</w:t>
      </w:r>
      <w:r>
        <w:rPr>
          <w:rFonts w:hint="eastAsia" w:asciiTheme="minorEastAsia" w:hAnsiTheme="minorEastAsia" w:eastAsiaTheme="minorEastAsia"/>
          <w:color w:val="auto"/>
          <w:sz w:val="24"/>
          <w:highlight w:val="none"/>
        </w:rPr>
        <w:t>在电子交易系统</w:t>
      </w:r>
      <w:r>
        <w:rPr>
          <w:rFonts w:asciiTheme="minorEastAsia" w:hAnsiTheme="minorEastAsia" w:eastAsiaTheme="minorEastAsia"/>
          <w:color w:val="auto"/>
          <w:sz w:val="24"/>
          <w:highlight w:val="none"/>
        </w:rPr>
        <w:t>上传。</w:t>
      </w:r>
    </w:p>
    <w:p w14:paraId="3B85D6BC">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2.2投标人应当在投标截止时间前完成投标文件的传输递交（以接收到电子签收凭证为准），并可以补充、修改或者撤回投标文件。投标截止时间前未完成投标文件传输的，视为撤回投标文件。未按规定加密或投标截止时间后送达的投标文件，电子交易系统应当拒收。</w:t>
      </w:r>
    </w:p>
    <w:p w14:paraId="6184B101">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开标</w:t>
      </w:r>
    </w:p>
    <w:p w14:paraId="3BF0DE5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开标时，</w:t>
      </w:r>
      <w:r>
        <w:rPr>
          <w:rFonts w:ascii="宋体" w:hAnsi="宋体" w:eastAsia="宋体" w:cs="宋体"/>
          <w:color w:val="auto"/>
          <w:sz w:val="24"/>
          <w:szCs w:val="24"/>
          <w:highlight w:val="none"/>
        </w:rPr>
        <w:t>各投标人应在</w:t>
      </w:r>
      <w:r>
        <w:rPr>
          <w:rFonts w:ascii="宋体" w:hAnsi="宋体" w:eastAsia="宋体" w:cs="宋体"/>
          <w:color w:val="auto"/>
          <w:sz w:val="24"/>
          <w:szCs w:val="24"/>
          <w:highlight w:val="none"/>
          <w:u w:val="single"/>
        </w:rPr>
        <w:t>投标人须知前附表</w:t>
      </w:r>
      <w:r>
        <w:rPr>
          <w:rFonts w:ascii="宋体" w:hAnsi="宋体" w:eastAsia="宋体" w:cs="宋体"/>
          <w:color w:val="auto"/>
          <w:sz w:val="24"/>
          <w:szCs w:val="24"/>
          <w:highlight w:val="none"/>
        </w:rPr>
        <w:t>规定的解密时间前</w:t>
      </w:r>
      <w:r>
        <w:rPr>
          <w:rFonts w:asciiTheme="minorEastAsia" w:hAnsiTheme="minorEastAsia" w:eastAsiaTheme="minorEastAsia"/>
          <w:color w:val="auto"/>
          <w:sz w:val="24"/>
          <w:highlight w:val="none"/>
        </w:rPr>
        <w:t>对</w:t>
      </w:r>
      <w:r>
        <w:rPr>
          <w:rFonts w:hint="eastAsia" w:ascii="宋体" w:hAnsi="宋体" w:eastAsia="宋体" w:cs="宋体"/>
          <w:color w:val="auto"/>
          <w:sz w:val="24"/>
          <w:szCs w:val="24"/>
          <w:highlight w:val="none"/>
        </w:rPr>
        <w:t>其</w:t>
      </w:r>
      <w:r>
        <w:rPr>
          <w:rFonts w:asciiTheme="minorEastAsia" w:hAnsiTheme="minorEastAsia" w:eastAsiaTheme="minorEastAsia"/>
          <w:color w:val="auto"/>
          <w:sz w:val="24"/>
          <w:highlight w:val="none"/>
        </w:rPr>
        <w:t>投标文件</w:t>
      </w:r>
      <w:r>
        <w:rPr>
          <w:rFonts w:hint="eastAsia" w:asciiTheme="minorEastAsia" w:hAnsiTheme="minorEastAsia" w:eastAsiaTheme="minorEastAsia"/>
          <w:color w:val="auto"/>
          <w:sz w:val="24"/>
          <w:highlight w:val="none"/>
        </w:rPr>
        <w:t>进行</w:t>
      </w:r>
      <w:r>
        <w:rPr>
          <w:rFonts w:asciiTheme="minorEastAsia" w:hAnsiTheme="minorEastAsia" w:eastAsiaTheme="minorEastAsia"/>
          <w:color w:val="auto"/>
          <w:sz w:val="24"/>
          <w:highlight w:val="none"/>
        </w:rPr>
        <w:t>解密。</w:t>
      </w:r>
    </w:p>
    <w:p w14:paraId="78BC477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开标时，采购代理机构将通过网上开标系统公布</w:t>
      </w:r>
      <w:r>
        <w:rPr>
          <w:rFonts w:hint="eastAsia" w:asciiTheme="minorEastAsia" w:hAnsiTheme="minorEastAsia" w:eastAsiaTheme="minorEastAsia"/>
          <w:color w:val="auto"/>
          <w:sz w:val="24"/>
          <w:highlight w:val="none"/>
        </w:rPr>
        <w:t>开标结果，公布内容包括投标人名称、投标价格及招标文件规定的内容。</w:t>
      </w:r>
    </w:p>
    <w:p w14:paraId="680C78F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13.3采购人或采购代理机构将对开标过程进行记录，由参加开标的各投标人代表和相关工作人员签字确认，并存档备查。</w:t>
      </w:r>
    </w:p>
    <w:p w14:paraId="2E08B26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投标人未派代表参加开标的，视同投标人认可开标结果。</w:t>
      </w:r>
    </w:p>
    <w:p w14:paraId="3C118CB9">
      <w:pPr>
        <w:spacing w:line="360" w:lineRule="auto"/>
        <w:ind w:firstLine="435"/>
        <w:rPr>
          <w:rFonts w:hint="eastAsia" w:asciiTheme="minorEastAsia" w:hAnsiTheme="minorEastAsia" w:eastAsiaTheme="minorEastAsia"/>
          <w:color w:val="auto"/>
          <w:sz w:val="28"/>
          <w:highlight w:val="none"/>
        </w:rPr>
      </w:pPr>
      <w:r>
        <w:rPr>
          <w:rFonts w:hint="eastAsia" w:asciiTheme="minorEastAsia" w:hAnsiTheme="minorEastAsia" w:eastAsiaTheme="minorEastAsia"/>
          <w:color w:val="auto"/>
          <w:sz w:val="24"/>
          <w:highlight w:val="none"/>
        </w:rPr>
        <w:t>13.4投标人代表对开标过程和开标记录有疑义，以及认为采购人、采购代理机构相关工作人员有需要回避的情形的，应当场提出询问或者回避申请。</w:t>
      </w:r>
    </w:p>
    <w:p w14:paraId="78EA4732">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资格审查及组建评标委员会</w:t>
      </w:r>
    </w:p>
    <w:p w14:paraId="7B96823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14.1采购人或采购代理机构依据法律法规和招标文件中规定的内</w:t>
      </w:r>
      <w:r>
        <w:rPr>
          <w:rFonts w:asciiTheme="minorEastAsia" w:hAnsiTheme="minorEastAsia" w:eastAsiaTheme="minorEastAsia"/>
          <w:color w:val="auto"/>
          <w:sz w:val="24"/>
          <w:highlight w:val="none"/>
        </w:rPr>
        <w:t>容</w:t>
      </w:r>
      <w:r>
        <w:rPr>
          <w:rFonts w:hint="eastAsia" w:asciiTheme="minorEastAsia" w:hAnsiTheme="minorEastAsia" w:eastAsiaTheme="minorEastAsia"/>
          <w:color w:val="auto"/>
          <w:sz w:val="24"/>
          <w:highlight w:val="none"/>
        </w:rPr>
        <w:t>，对投标人资格进行审查，未</w:t>
      </w:r>
      <w:r>
        <w:rPr>
          <w:rFonts w:asciiTheme="minorEastAsia" w:hAnsiTheme="minorEastAsia" w:eastAsiaTheme="minorEastAsia"/>
          <w:color w:val="auto"/>
          <w:sz w:val="24"/>
          <w:highlight w:val="none"/>
        </w:rPr>
        <w:t>通过资格审查的投标人</w:t>
      </w:r>
      <w:r>
        <w:rPr>
          <w:rFonts w:hint="eastAsia" w:asciiTheme="minorEastAsia" w:hAnsiTheme="minorEastAsia" w:eastAsiaTheme="minorEastAsia"/>
          <w:color w:val="auto"/>
          <w:sz w:val="24"/>
          <w:highlight w:val="none"/>
        </w:rPr>
        <w:t>不</w:t>
      </w:r>
      <w:r>
        <w:rPr>
          <w:rFonts w:asciiTheme="minorEastAsia" w:hAnsiTheme="minorEastAsia" w:eastAsiaTheme="minorEastAsia"/>
          <w:color w:val="auto"/>
          <w:sz w:val="24"/>
          <w:highlight w:val="none"/>
        </w:rPr>
        <w:t>进入评标</w:t>
      </w:r>
      <w:r>
        <w:rPr>
          <w:rFonts w:hint="eastAsia" w:asciiTheme="minorEastAsia" w:hAnsiTheme="minorEastAsia" w:eastAsiaTheme="minorEastAsia"/>
          <w:color w:val="auto"/>
          <w:sz w:val="24"/>
          <w:highlight w:val="none"/>
        </w:rPr>
        <w:t>。</w:t>
      </w:r>
    </w:p>
    <w:p w14:paraId="772527BE">
      <w:pPr>
        <w:wordWrap w:val="0"/>
        <w:spacing w:line="360" w:lineRule="auto"/>
        <w:ind w:firstLine="437"/>
        <w:rPr>
          <w:rFonts w:hint="eastAsia" w:ascii="宋体" w:hAnsi="宋体" w:eastAsia="宋体" w:cs="宋体"/>
          <w:color w:val="auto"/>
          <w:sz w:val="24"/>
          <w:szCs w:val="24"/>
          <w:highlight w:val="none"/>
        </w:rPr>
      </w:pPr>
      <w:bookmarkStart w:id="28" w:name="_Hlk24663244"/>
      <w:r>
        <w:rPr>
          <w:rFonts w:hint="eastAsia" w:ascii="宋体" w:hAnsi="宋体" w:eastAsia="宋体" w:cs="宋体"/>
          <w:color w:val="auto"/>
          <w:sz w:val="24"/>
          <w:szCs w:val="24"/>
          <w:highlight w:val="none"/>
        </w:rPr>
        <w:t>14.2采购人或采购代理机构将在投标截止时间后至评审结束前通过“信用中国”网站(www.creditchina.gov.cn)、中国政府采购网(www.ccgp.gov.cn)查询相关投标人信用记录，并对投标人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15CDAB1E">
      <w:pPr>
        <w:wordWrap w:val="0"/>
        <w:spacing w:line="360" w:lineRule="auto"/>
        <w:ind w:firstLine="4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以联合体形式参加投标的，联合体成员存在以上不良信用记录的，联合体投标将被认定为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5793C52B">
      <w:pPr>
        <w:spacing w:line="360" w:lineRule="auto"/>
        <w:ind w:firstLine="435"/>
        <w:rPr>
          <w:rFonts w:hint="eastAsia"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投标人不良信用记录以采购人或采购代理机构查询结果为准。在本招标文件规定的查询时间之外，网站信息发生的任何变更均不作为资格审查依据。投标人自行提供的与网站信息不一致的其他证明材料亦不作为资格审查依据。</w:t>
      </w:r>
    </w:p>
    <w:bookmarkEnd w:id="28"/>
    <w:p w14:paraId="32CF1F0F">
      <w:pPr>
        <w:spacing w:line="360" w:lineRule="auto"/>
        <w:ind w:firstLine="435"/>
        <w:rPr>
          <w:rFonts w:hint="eastAsia"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14.3按照</w:t>
      </w:r>
      <w:r>
        <w:rPr>
          <w:rFonts w:hint="eastAsia" w:ascii="宋体" w:hAnsi="宋体" w:eastAsia="宋体"/>
          <w:color w:val="auto"/>
          <w:sz w:val="24"/>
          <w:highlight w:val="none"/>
        </w:rPr>
        <w:t>《</w:t>
      </w:r>
      <w:r>
        <w:rPr>
          <w:rFonts w:ascii="宋体" w:hAnsi="宋体" w:eastAsia="宋体"/>
          <w:color w:val="auto"/>
          <w:sz w:val="24"/>
          <w:highlight w:val="none"/>
        </w:rPr>
        <w:t>中华人民共和国政府采购法》</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《中华人民共和国政府采购</w:t>
      </w:r>
      <w:r>
        <w:rPr>
          <w:rFonts w:hint="eastAsia" w:asciiTheme="minorEastAsia" w:hAnsiTheme="minorEastAsia" w:eastAsiaTheme="minorEastAsia"/>
          <w:color w:val="auto"/>
          <w:sz w:val="24"/>
          <w:highlight w:val="none"/>
        </w:rPr>
        <w:t>法</w:t>
      </w:r>
      <w:r>
        <w:rPr>
          <w:rFonts w:asciiTheme="minorEastAsia" w:hAnsiTheme="minorEastAsia" w:eastAsiaTheme="minorEastAsia"/>
          <w:color w:val="auto"/>
          <w:sz w:val="24"/>
          <w:highlight w:val="none"/>
        </w:rPr>
        <w:t>实施条例》</w:t>
      </w:r>
      <w:r>
        <w:rPr>
          <w:rFonts w:hint="eastAsia" w:asciiTheme="minorEastAsia" w:hAnsiTheme="minorEastAsia" w:eastAsiaTheme="minorEastAsia"/>
          <w:color w:val="auto"/>
          <w:sz w:val="24"/>
          <w:highlight w:val="none"/>
        </w:rPr>
        <w:t>及本项目本级</w:t>
      </w:r>
      <w:r>
        <w:rPr>
          <w:rFonts w:asciiTheme="minorEastAsia" w:hAnsiTheme="minorEastAsia" w:eastAsiaTheme="minorEastAsia"/>
          <w:color w:val="auto"/>
          <w:sz w:val="24"/>
          <w:highlight w:val="none"/>
        </w:rPr>
        <w:t>和上级财政部门</w:t>
      </w:r>
      <w:r>
        <w:rPr>
          <w:rFonts w:hint="eastAsia" w:asciiTheme="minorEastAsia" w:hAnsiTheme="minorEastAsia" w:eastAsiaTheme="minorEastAsia"/>
          <w:color w:val="auto"/>
          <w:sz w:val="24"/>
          <w:highlight w:val="none"/>
        </w:rPr>
        <w:t>、政府采购监督管理部门的有关规定依法组建的</w:t>
      </w:r>
      <w:r>
        <w:rPr>
          <w:rFonts w:asciiTheme="minorEastAsia" w:hAnsiTheme="minorEastAsia" w:eastAsiaTheme="minorEastAsia"/>
          <w:color w:val="auto"/>
          <w:sz w:val="24"/>
          <w:highlight w:val="none"/>
        </w:rPr>
        <w:t>评标委员会</w:t>
      </w:r>
      <w:r>
        <w:rPr>
          <w:rFonts w:hint="eastAsia" w:asciiTheme="minorEastAsia" w:hAnsiTheme="minorEastAsia" w:eastAsiaTheme="minorEastAsia"/>
          <w:color w:val="auto"/>
          <w:sz w:val="24"/>
          <w:highlight w:val="none"/>
        </w:rPr>
        <w:t>，负责本项目评标工作。</w:t>
      </w:r>
    </w:p>
    <w:p w14:paraId="1677CDB9">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投标文件符合性审查与澄清</w:t>
      </w:r>
    </w:p>
    <w:p w14:paraId="355060E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w:t>
      </w:r>
      <w:r>
        <w:rPr>
          <w:rFonts w:asciiTheme="minorEastAsia" w:hAnsiTheme="minorEastAsia" w:eastAsiaTheme="minorEastAsia"/>
          <w:color w:val="auto"/>
          <w:sz w:val="24"/>
          <w:highlight w:val="none"/>
        </w:rPr>
        <w:t>.1符合性审查是指依据招标文件的规定，从投标文件的有效性和完整性对招标文件的响应程度</w:t>
      </w:r>
      <w:r>
        <w:rPr>
          <w:rFonts w:ascii="宋体" w:hAnsi="宋体" w:eastAsia="宋体"/>
          <w:color w:val="auto"/>
          <w:sz w:val="24"/>
          <w:highlight w:val="none"/>
        </w:rPr>
        <w:t>进行</w:t>
      </w:r>
      <w:r>
        <w:rPr>
          <w:rFonts w:asciiTheme="minorEastAsia" w:hAnsiTheme="minorEastAsia" w:eastAsiaTheme="minorEastAsia"/>
          <w:color w:val="auto"/>
          <w:sz w:val="24"/>
          <w:highlight w:val="none"/>
        </w:rPr>
        <w:t>审查，以确定是否对招标文件的实质性要求做出响应。</w:t>
      </w:r>
    </w:p>
    <w:p w14:paraId="1ECDC98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w:t>
      </w:r>
      <w:r>
        <w:rPr>
          <w:rFonts w:asciiTheme="minorEastAsia" w:hAnsiTheme="minorEastAsia" w:eastAsiaTheme="minorEastAsia"/>
          <w:color w:val="auto"/>
          <w:sz w:val="24"/>
          <w:highlight w:val="none"/>
        </w:rPr>
        <w:t>.2如一个分包内只有一种产品，不同投标人所投产品为同一品牌的，按如下方式处理：</w:t>
      </w:r>
    </w:p>
    <w:p w14:paraId="4B6A6FA2">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15</w:t>
      </w:r>
      <w:r>
        <w:rPr>
          <w:rFonts w:ascii="宋体" w:hAnsi="宋体" w:eastAsia="宋体"/>
          <w:color w:val="auto"/>
          <w:sz w:val="24"/>
          <w:highlight w:val="none"/>
        </w:rPr>
        <w:t>.2.1如本项目使用最低评标价法，提供相同品牌产品的不同投标人以其中通过资格审查、符合性审查</w:t>
      </w:r>
      <w:r>
        <w:rPr>
          <w:rFonts w:hint="eastAsia" w:ascii="宋体" w:hAnsi="宋体" w:eastAsia="宋体"/>
          <w:color w:val="auto"/>
          <w:sz w:val="24"/>
          <w:highlight w:val="none"/>
        </w:rPr>
        <w:t>、</w:t>
      </w:r>
      <w:r>
        <w:rPr>
          <w:rFonts w:hint="eastAsia" w:ascii="宋体" w:hAnsi="宋体" w:eastAsia="宋体" w:cs="Times New Roman"/>
          <w:color w:val="auto"/>
          <w:sz w:val="24"/>
          <w:highlight w:val="none"/>
        </w:rPr>
        <w:t>异常低价投标审查</w:t>
      </w:r>
      <w:r>
        <w:rPr>
          <w:rFonts w:ascii="宋体" w:hAnsi="宋体" w:eastAsia="宋体"/>
          <w:color w:val="auto"/>
          <w:sz w:val="24"/>
          <w:highlight w:val="none"/>
        </w:rPr>
        <w:t>且报价最低的参加评标；报价相同的，由采购人或者采购人委托评标委员会按照招标文件中评标</w:t>
      </w:r>
      <w:r>
        <w:rPr>
          <w:rFonts w:hint="eastAsia" w:ascii="宋体" w:hAnsi="宋体" w:eastAsia="宋体"/>
          <w:color w:val="auto"/>
          <w:sz w:val="24"/>
          <w:highlight w:val="none"/>
        </w:rPr>
        <w:t>方</w:t>
      </w:r>
      <w:r>
        <w:rPr>
          <w:rFonts w:ascii="宋体" w:hAnsi="宋体" w:eastAsia="宋体"/>
          <w:color w:val="auto"/>
          <w:sz w:val="24"/>
          <w:highlight w:val="none"/>
        </w:rPr>
        <w:t>法</w:t>
      </w:r>
      <w:r>
        <w:rPr>
          <w:rFonts w:hint="eastAsia" w:ascii="宋体" w:hAnsi="宋体" w:eastAsia="宋体"/>
          <w:color w:val="auto"/>
          <w:sz w:val="24"/>
          <w:highlight w:val="none"/>
        </w:rPr>
        <w:t>和标准</w:t>
      </w:r>
      <w:r>
        <w:rPr>
          <w:rFonts w:ascii="宋体" w:hAnsi="宋体" w:eastAsia="宋体"/>
          <w:color w:val="auto"/>
          <w:sz w:val="24"/>
          <w:highlight w:val="none"/>
        </w:rPr>
        <w:t>规定的方式确定一个参加评标的投标人；未规定的采取随机抽取方式确定，其他投标将被认定为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184ED168">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15</w:t>
      </w:r>
      <w:r>
        <w:rPr>
          <w:rFonts w:ascii="宋体" w:hAnsi="宋体" w:eastAsia="宋体"/>
          <w:color w:val="auto"/>
          <w:sz w:val="24"/>
          <w:highlight w:val="none"/>
        </w:rPr>
        <w:t>.2.2如本项目使用综合评分法，提供相同品牌产品且通过资格审查、符合性审查</w:t>
      </w:r>
      <w:r>
        <w:rPr>
          <w:rFonts w:hint="eastAsia" w:ascii="宋体" w:hAnsi="宋体" w:eastAsia="宋体"/>
          <w:color w:val="auto"/>
          <w:sz w:val="24"/>
          <w:highlight w:val="none"/>
        </w:rPr>
        <w:t>、</w:t>
      </w:r>
      <w:r>
        <w:rPr>
          <w:rFonts w:hint="eastAsia" w:ascii="宋体" w:hAnsi="宋体" w:eastAsia="宋体" w:cs="Times New Roman"/>
          <w:color w:val="auto"/>
          <w:sz w:val="24"/>
          <w:highlight w:val="none"/>
        </w:rPr>
        <w:t>异常低价投标审查</w:t>
      </w:r>
      <w:r>
        <w:rPr>
          <w:rFonts w:ascii="宋体" w:hAnsi="宋体" w:eastAsia="宋体"/>
          <w:color w:val="auto"/>
          <w:sz w:val="24"/>
          <w:highlight w:val="none"/>
        </w:rPr>
        <w:t>的不同投标人，按一家投标人计算，评审后得分最高的同品牌投标人获得中标人推荐资格；评审得分相同的，由采购人或者采购人委托评标委员会按照招标文件中评标</w:t>
      </w:r>
      <w:r>
        <w:rPr>
          <w:rFonts w:hint="eastAsia" w:ascii="宋体" w:hAnsi="宋体" w:eastAsia="宋体"/>
          <w:color w:val="auto"/>
          <w:sz w:val="24"/>
          <w:highlight w:val="none"/>
        </w:rPr>
        <w:t>方</w:t>
      </w:r>
      <w:r>
        <w:rPr>
          <w:rFonts w:ascii="宋体" w:hAnsi="宋体" w:eastAsia="宋体"/>
          <w:color w:val="auto"/>
          <w:sz w:val="24"/>
          <w:highlight w:val="none"/>
        </w:rPr>
        <w:t>法</w:t>
      </w:r>
      <w:r>
        <w:rPr>
          <w:rFonts w:hint="eastAsia" w:ascii="宋体" w:hAnsi="宋体" w:eastAsia="宋体"/>
          <w:color w:val="auto"/>
          <w:sz w:val="24"/>
          <w:highlight w:val="none"/>
        </w:rPr>
        <w:t>和标准</w:t>
      </w:r>
      <w:r>
        <w:rPr>
          <w:rFonts w:ascii="宋体" w:hAnsi="宋体" w:eastAsia="宋体"/>
          <w:color w:val="auto"/>
          <w:sz w:val="24"/>
          <w:highlight w:val="none"/>
        </w:rPr>
        <w:t>规定的方式确定一个投标人获得中标人推荐资格；未规定的采取随机抽取方式确定，其他同品牌投标人不作为中标候选人。</w:t>
      </w:r>
    </w:p>
    <w:p w14:paraId="10BFB16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w:t>
      </w:r>
      <w:r>
        <w:rPr>
          <w:rFonts w:asciiTheme="minorEastAsia" w:hAnsiTheme="minorEastAsia" w:eastAsiaTheme="minorEastAsia"/>
          <w:color w:val="auto"/>
          <w:sz w:val="24"/>
          <w:highlight w:val="none"/>
        </w:rPr>
        <w:t>.3如一个分包内包含多种产品的，采购人或采购代理机构将在</w:t>
      </w:r>
      <w:r>
        <w:rPr>
          <w:rFonts w:hint="eastAsia" w:asciiTheme="minorEastAsia" w:hAnsiTheme="minorEastAsia" w:eastAsiaTheme="minorEastAsia"/>
          <w:color w:val="auto"/>
          <w:sz w:val="24"/>
          <w:highlight w:val="none"/>
        </w:rPr>
        <w:t>采购需求</w:t>
      </w:r>
      <w:r>
        <w:rPr>
          <w:rFonts w:asciiTheme="minorEastAsia" w:hAnsiTheme="minorEastAsia" w:eastAsiaTheme="minorEastAsia"/>
          <w:color w:val="auto"/>
          <w:sz w:val="24"/>
          <w:highlight w:val="none"/>
        </w:rPr>
        <w:t>中载明核心产品，多家投标人提供的核心产品品牌相同的，按第</w:t>
      </w:r>
      <w:r>
        <w:rPr>
          <w:rFonts w:hint="eastAsia" w:asciiTheme="minorEastAsia" w:hAnsiTheme="minorEastAsia" w:eastAsiaTheme="minorEastAsia"/>
          <w:color w:val="auto"/>
          <w:sz w:val="24"/>
          <w:highlight w:val="none"/>
        </w:rPr>
        <w:t>15</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款</w:t>
      </w:r>
      <w:r>
        <w:rPr>
          <w:rFonts w:asciiTheme="minorEastAsia" w:hAnsiTheme="minorEastAsia" w:eastAsiaTheme="minorEastAsia"/>
          <w:color w:val="auto"/>
          <w:sz w:val="24"/>
          <w:highlight w:val="none"/>
        </w:rPr>
        <w:t>规定处理。</w:t>
      </w:r>
    </w:p>
    <w:p w14:paraId="3AC51D05">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15</w:t>
      </w:r>
      <w:r>
        <w:rPr>
          <w:rFonts w:ascii="宋体" w:hAnsi="宋体" w:eastAsia="宋体"/>
          <w:color w:val="auto"/>
          <w:sz w:val="24"/>
          <w:highlight w:val="none"/>
        </w:rPr>
        <w:t>.4</w:t>
      </w:r>
      <w:r>
        <w:rPr>
          <w:rFonts w:hint="eastAsia" w:ascii="宋体" w:hAnsi="宋体" w:eastAsia="宋体"/>
          <w:color w:val="auto"/>
          <w:sz w:val="24"/>
          <w:highlight w:val="none"/>
        </w:rPr>
        <w:t>投标文件的澄清</w:t>
      </w:r>
    </w:p>
    <w:p w14:paraId="1B14E300">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15</w:t>
      </w:r>
      <w:r>
        <w:rPr>
          <w:rFonts w:ascii="宋体" w:hAnsi="宋体" w:eastAsia="宋体"/>
          <w:color w:val="auto"/>
          <w:sz w:val="24"/>
          <w:highlight w:val="none"/>
        </w:rPr>
        <w:t>.4.1为有助于投标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的审查、评价和比较，在评标期间，评标委员会将以书面</w:t>
      </w:r>
      <w:r>
        <w:rPr>
          <w:rFonts w:hint="eastAsia" w:ascii="宋体" w:hAnsi="宋体" w:eastAsia="宋体"/>
          <w:color w:val="auto"/>
          <w:sz w:val="24"/>
          <w:highlight w:val="none"/>
        </w:rPr>
        <w:t>方式（询标）</w:t>
      </w:r>
      <w:r>
        <w:rPr>
          <w:rFonts w:ascii="宋体" w:hAnsi="宋体" w:eastAsia="宋体"/>
          <w:color w:val="auto"/>
          <w:sz w:val="24"/>
          <w:highlight w:val="none"/>
        </w:rPr>
        <w:t>要求投标人对其投标文件中含义不明确、对同类问题表述不一致或者有明显文字和计算错误的内容</w:t>
      </w:r>
      <w:r>
        <w:rPr>
          <w:rFonts w:hint="eastAsia" w:ascii="宋体" w:hAnsi="宋体" w:eastAsia="宋体"/>
          <w:color w:val="auto"/>
          <w:sz w:val="24"/>
          <w:highlight w:val="none"/>
        </w:rPr>
        <w:t>等</w:t>
      </w:r>
      <w:r>
        <w:rPr>
          <w:rFonts w:ascii="宋体" w:hAnsi="宋体" w:eastAsia="宋体"/>
          <w:color w:val="auto"/>
          <w:sz w:val="24"/>
          <w:highlight w:val="none"/>
        </w:rPr>
        <w:t>作必要的澄清、说明或补正。投标人的澄清、说明或补正应在评标委员会规定的时间内以书面</w:t>
      </w:r>
      <w:r>
        <w:rPr>
          <w:rFonts w:hint="eastAsia" w:ascii="宋体" w:hAnsi="宋体" w:eastAsia="宋体"/>
          <w:color w:val="auto"/>
          <w:sz w:val="24"/>
          <w:highlight w:val="none"/>
        </w:rPr>
        <w:t>方式</w:t>
      </w:r>
      <w:r>
        <w:rPr>
          <w:rFonts w:ascii="宋体" w:hAnsi="宋体" w:eastAsia="宋体"/>
          <w:color w:val="auto"/>
          <w:sz w:val="24"/>
          <w:highlight w:val="none"/>
        </w:rPr>
        <w:t>进行，并不得超出投标文件范围或者改变投标文件的实质性内容。</w:t>
      </w:r>
    </w:p>
    <w:p w14:paraId="13B7E94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如有询标，投标人授权代表（或法定代表人）可通过远程登录的方式接受网上询标，也可凭本人有效身份证明参加询标。因投标人授权代表联系不上、没有及时登录系统等情形而无法接受评标委员会询标的，投标人自行承担相关风险。</w:t>
      </w:r>
    </w:p>
    <w:p w14:paraId="2A1124F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w:t>
      </w:r>
      <w:r>
        <w:rPr>
          <w:rFonts w:asciiTheme="minorEastAsia" w:hAnsiTheme="minorEastAsia" w:eastAsiaTheme="minorEastAsia"/>
          <w:color w:val="auto"/>
          <w:sz w:val="24"/>
          <w:highlight w:val="none"/>
        </w:rPr>
        <w:t>4.2</w:t>
      </w:r>
      <w:r>
        <w:rPr>
          <w:rFonts w:hint="eastAsia" w:asciiTheme="minorEastAsia" w:hAnsiTheme="minorEastAsia" w:eastAsiaTheme="minorEastAsia"/>
          <w:color w:val="auto"/>
          <w:sz w:val="24"/>
          <w:highlight w:val="none"/>
        </w:rPr>
        <w:t>投标人的澄清、说明或补正将作为投标文件的一部分。</w:t>
      </w:r>
    </w:p>
    <w:p w14:paraId="20B82998">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15.</w:t>
      </w:r>
      <w:r>
        <w:rPr>
          <w:rFonts w:ascii="宋体" w:hAnsi="宋体" w:eastAsia="宋体"/>
          <w:color w:val="auto"/>
          <w:sz w:val="24"/>
          <w:highlight w:val="none"/>
        </w:rPr>
        <w:t>4.3评标委员会对投标人提交的澄清、说明或补正有疑问的，可以要求投标人进一步澄清、说明或补正，直至满足评标委员会的要求。</w:t>
      </w:r>
    </w:p>
    <w:p w14:paraId="1668303C">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15.</w:t>
      </w:r>
      <w:r>
        <w:rPr>
          <w:rFonts w:ascii="宋体" w:hAnsi="宋体" w:eastAsia="宋体"/>
          <w:color w:val="auto"/>
          <w:sz w:val="24"/>
          <w:highlight w:val="none"/>
        </w:rPr>
        <w:t>5投标文件报价出现前后不一致的，按照下列规定修正：</w:t>
      </w:r>
    </w:p>
    <w:p w14:paraId="5A45EFDF">
      <w:pPr>
        <w:spacing w:line="360" w:lineRule="auto"/>
        <w:ind w:firstLine="435"/>
        <w:rPr>
          <w:rFonts w:hint="eastAsia"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3DD6BC84">
      <w:pPr>
        <w:spacing w:line="360" w:lineRule="auto"/>
        <w:ind w:firstLine="435"/>
        <w:rPr>
          <w:rFonts w:hint="eastAsia"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0C911C7E">
      <w:pPr>
        <w:spacing w:line="360" w:lineRule="auto"/>
        <w:ind w:firstLine="435"/>
        <w:rPr>
          <w:rFonts w:hint="eastAsia"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29D58767">
      <w:pPr>
        <w:spacing w:line="360" w:lineRule="auto"/>
        <w:ind w:firstLine="435"/>
        <w:rPr>
          <w:rFonts w:hint="eastAsia"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1FB71949">
      <w:pPr>
        <w:spacing w:line="360" w:lineRule="auto"/>
        <w:ind w:firstLine="435"/>
        <w:rPr>
          <w:rFonts w:hint="eastAsia"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rPr>
        <w:t>15.</w:t>
      </w:r>
      <w:r>
        <w:rPr>
          <w:rFonts w:ascii="宋体" w:hAnsi="宋体" w:eastAsia="宋体"/>
          <w:color w:val="auto"/>
          <w:sz w:val="24"/>
          <w:highlight w:val="none"/>
        </w:rPr>
        <w:t>4条的规定经投标人确认后产生约束力，投标人不确认的，其投标将被认定为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45727384">
      <w:pPr>
        <w:spacing w:line="360" w:lineRule="auto"/>
        <w:ind w:firstLine="435"/>
        <w:rPr>
          <w:rFonts w:hint="eastAsia"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对不同文字文本投标文件的解释发生异议的，以中文文本为准。</w:t>
      </w:r>
    </w:p>
    <w:p w14:paraId="7CAFD645">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16.投标无效</w:t>
      </w:r>
    </w:p>
    <w:p w14:paraId="0B4310A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w:t>
      </w:r>
      <w:r>
        <w:rPr>
          <w:rFonts w:asciiTheme="minorEastAsia" w:hAnsiTheme="minorEastAsia" w:eastAsiaTheme="minorEastAsia"/>
          <w:color w:val="auto"/>
          <w:sz w:val="24"/>
          <w:highlight w:val="none"/>
        </w:rPr>
        <w:t>1根据本</w:t>
      </w:r>
      <w:r>
        <w:rPr>
          <w:rFonts w:hint="eastAsia" w:asciiTheme="minorEastAsia" w:hAnsiTheme="minorEastAsia" w:eastAsiaTheme="minorEastAsia"/>
          <w:color w:val="auto"/>
          <w:sz w:val="24"/>
          <w:highlight w:val="none"/>
        </w:rPr>
        <w:t>招标文件</w:t>
      </w:r>
      <w:r>
        <w:rPr>
          <w:rFonts w:asciiTheme="minorEastAsia" w:hAnsiTheme="minorEastAsia" w:eastAsiaTheme="minorEastAsia"/>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482CA25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评标委员会决定投标的响应性只根据招标文件要求和投标文件内容。</w:t>
      </w:r>
    </w:p>
    <w:p w14:paraId="15BA0AD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无论何种原因，即使投标人投标时携带了证书材料的原件，但投标文件中未提供与之内容完全一致的扫描件的，评标委员会视同其未提供。</w:t>
      </w:r>
    </w:p>
    <w:p w14:paraId="2BBE37E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w:t>
      </w:r>
      <w:r>
        <w:rPr>
          <w:rFonts w:asciiTheme="minorEastAsia" w:hAnsiTheme="minorEastAsia" w:eastAsiaTheme="minorEastAsia"/>
          <w:color w:val="auto"/>
          <w:sz w:val="24"/>
          <w:highlight w:val="none"/>
        </w:rPr>
        <w:t>2如发现下列情况之一的，其投标将被认定为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6632826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1）投标文件未按照招标文件规定要求签署、盖章的；</w:t>
      </w:r>
    </w:p>
    <w:p w14:paraId="27075D2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2）不具备招标文件中规定的资格要求的；</w:t>
      </w:r>
    </w:p>
    <w:p w14:paraId="59C0C8A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3）报价超过招标文件中规定的预算金额或者最高限价的；</w:t>
      </w:r>
    </w:p>
    <w:p w14:paraId="4BEDABA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4）投标文件含有采购人不能接受的附加条件的；</w:t>
      </w:r>
    </w:p>
    <w:p w14:paraId="755B073D">
      <w:pPr>
        <w:spacing w:line="360" w:lineRule="auto"/>
        <w:ind w:firstLine="435"/>
        <w:rPr>
          <w:rFonts w:hint="eastAsia"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5）法律、法规和招标文件规定的其他无效情形。</w:t>
      </w:r>
    </w:p>
    <w:p w14:paraId="7B4BAE0D">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17.比较与评价</w:t>
      </w:r>
    </w:p>
    <w:p w14:paraId="2684790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17.1经符合性审查合格</w:t>
      </w:r>
      <w:r>
        <w:rPr>
          <w:rFonts w:hint="eastAsia" w:ascii="宋体" w:hAnsi="宋体" w:eastAsia="宋体" w:cs="Times New Roman"/>
          <w:color w:val="auto"/>
          <w:sz w:val="24"/>
          <w:highlight w:val="none"/>
        </w:rPr>
        <w:t>并通过异常低价投标审查</w:t>
      </w:r>
      <w:r>
        <w:rPr>
          <w:rFonts w:hint="eastAsia" w:asciiTheme="minorEastAsia" w:hAnsiTheme="minorEastAsia" w:eastAsiaTheme="minorEastAsia"/>
          <w:color w:val="auto"/>
          <w:sz w:val="24"/>
          <w:highlight w:val="none"/>
        </w:rPr>
        <w:t>的投标文件，评标委员会将根据招标文件确定的评标方法和标准，对其投标文件作进一步的比较与评价。</w:t>
      </w:r>
    </w:p>
    <w:p w14:paraId="656220C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7DA9149C">
      <w:pPr>
        <w:spacing w:line="360" w:lineRule="auto"/>
        <w:ind w:firstLine="435"/>
        <w:rPr>
          <w:rFonts w:hint="eastAsia"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1）最低评标价法，是指</w:t>
      </w:r>
      <w:r>
        <w:rPr>
          <w:rFonts w:ascii="宋体" w:hAnsi="宋体" w:eastAsia="宋体"/>
          <w:color w:val="auto"/>
          <w:sz w:val="24"/>
          <w:highlight w:val="none"/>
        </w:rPr>
        <w:t>投标文件满足招标文件全部实质性要求</w:t>
      </w:r>
      <w:r>
        <w:rPr>
          <w:rFonts w:hint="eastAsia" w:ascii="宋体" w:hAnsi="宋体" w:eastAsia="宋体"/>
          <w:color w:val="auto"/>
          <w:sz w:val="24"/>
          <w:highlight w:val="none"/>
        </w:rPr>
        <w:t>，</w:t>
      </w:r>
      <w:r>
        <w:rPr>
          <w:rFonts w:ascii="宋体" w:hAnsi="宋体" w:eastAsia="宋体"/>
          <w:color w:val="auto"/>
          <w:sz w:val="24"/>
          <w:highlight w:val="none"/>
        </w:rPr>
        <w:t>且投标报价最低的</w:t>
      </w:r>
      <w:r>
        <w:rPr>
          <w:rFonts w:hint="eastAsia" w:ascii="宋体" w:hAnsi="宋体" w:eastAsia="宋体"/>
          <w:color w:val="auto"/>
          <w:sz w:val="24"/>
          <w:highlight w:val="none"/>
        </w:rPr>
        <w:t>投标人</w:t>
      </w:r>
      <w:r>
        <w:rPr>
          <w:rFonts w:ascii="宋体" w:hAnsi="宋体" w:eastAsia="宋体"/>
          <w:color w:val="auto"/>
          <w:sz w:val="24"/>
          <w:highlight w:val="none"/>
        </w:rPr>
        <w:t>为中标</w:t>
      </w:r>
      <w:r>
        <w:rPr>
          <w:rFonts w:hint="eastAsia" w:ascii="宋体" w:hAnsi="宋体" w:eastAsia="宋体"/>
          <w:color w:val="auto"/>
          <w:sz w:val="24"/>
          <w:highlight w:val="none"/>
        </w:rPr>
        <w:t>候选</w:t>
      </w:r>
      <w:r>
        <w:rPr>
          <w:rFonts w:ascii="宋体" w:hAnsi="宋体" w:eastAsia="宋体"/>
          <w:color w:val="auto"/>
          <w:sz w:val="24"/>
          <w:highlight w:val="none"/>
        </w:rPr>
        <w:t>人的评标方法</w:t>
      </w:r>
      <w:r>
        <w:rPr>
          <w:rFonts w:hint="eastAsia" w:ascii="宋体" w:hAnsi="宋体" w:eastAsia="宋体"/>
          <w:color w:val="auto"/>
          <w:sz w:val="24"/>
          <w:highlight w:val="none"/>
        </w:rPr>
        <w:t>。</w:t>
      </w:r>
    </w:p>
    <w:p w14:paraId="217638CB">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（2）综合评分法，是</w:t>
      </w:r>
      <w:r>
        <w:rPr>
          <w:rFonts w:ascii="宋体" w:hAnsi="宋体" w:eastAsia="宋体"/>
          <w:color w:val="auto"/>
          <w:sz w:val="24"/>
          <w:highlight w:val="none"/>
        </w:rPr>
        <w:t>指投标文件满足招标</w:t>
      </w:r>
      <w:r>
        <w:rPr>
          <w:rFonts w:hint="eastAsia" w:ascii="宋体" w:hAnsi="宋体" w:eastAsia="宋体"/>
          <w:color w:val="auto"/>
          <w:sz w:val="24"/>
          <w:highlight w:val="none"/>
        </w:rPr>
        <w:t>文件</w:t>
      </w:r>
      <w:r>
        <w:rPr>
          <w:rFonts w:ascii="宋体" w:hAnsi="宋体" w:eastAsia="宋体"/>
          <w:color w:val="auto"/>
          <w:sz w:val="24"/>
          <w:highlight w:val="none"/>
        </w:rPr>
        <w:t>全部实质性要求</w:t>
      </w:r>
      <w:r>
        <w:rPr>
          <w:rFonts w:hint="eastAsia" w:ascii="宋体" w:hAnsi="宋体" w:eastAsia="宋体"/>
          <w:color w:val="auto"/>
          <w:sz w:val="24"/>
          <w:highlight w:val="none"/>
        </w:rPr>
        <w:t>，</w:t>
      </w:r>
      <w:r>
        <w:rPr>
          <w:rFonts w:ascii="宋体" w:hAnsi="宋体" w:eastAsia="宋体"/>
          <w:color w:val="auto"/>
          <w:sz w:val="24"/>
          <w:highlight w:val="none"/>
        </w:rPr>
        <w:t>且按照评审因素的</w:t>
      </w:r>
      <w:r>
        <w:rPr>
          <w:rFonts w:hint="eastAsia" w:ascii="宋体" w:hAnsi="宋体" w:eastAsia="宋体"/>
          <w:color w:val="auto"/>
          <w:sz w:val="24"/>
          <w:highlight w:val="none"/>
        </w:rPr>
        <w:t>量化</w:t>
      </w:r>
      <w:r>
        <w:rPr>
          <w:rFonts w:ascii="宋体" w:hAnsi="宋体" w:eastAsia="宋体"/>
          <w:color w:val="auto"/>
          <w:sz w:val="24"/>
          <w:highlight w:val="none"/>
        </w:rPr>
        <w:t>指标评审得分最高的</w:t>
      </w:r>
      <w:r>
        <w:rPr>
          <w:rFonts w:hint="eastAsia" w:ascii="宋体" w:hAnsi="宋体" w:eastAsia="宋体"/>
          <w:color w:val="auto"/>
          <w:sz w:val="24"/>
          <w:highlight w:val="none"/>
        </w:rPr>
        <w:t>投标人</w:t>
      </w:r>
      <w:r>
        <w:rPr>
          <w:rFonts w:ascii="宋体" w:hAnsi="宋体" w:eastAsia="宋体"/>
          <w:color w:val="auto"/>
          <w:sz w:val="24"/>
          <w:highlight w:val="none"/>
        </w:rPr>
        <w:t>为中标候选人的评标方法。</w:t>
      </w:r>
    </w:p>
    <w:p w14:paraId="7F8A2195">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17.</w:t>
      </w:r>
      <w:r>
        <w:rPr>
          <w:rFonts w:ascii="宋体" w:hAnsi="宋体" w:eastAsia="宋体"/>
          <w:color w:val="auto"/>
          <w:sz w:val="24"/>
          <w:highlight w:val="none"/>
        </w:rPr>
        <w:t>3根据《政府采购促进中小企业发展管理办法》（财库〔2020〕46号）、《三部门联合发布关于促进残疾人就业政府采购政策的通知》（财库〔2017〕141号）和《财政部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中规定的标准扣除后的价格参与评审。对于同时属于小微企</w:t>
      </w:r>
      <w:r>
        <w:rPr>
          <w:rFonts w:hint="eastAsia" w:ascii="宋体" w:hAnsi="宋体" w:eastAsia="宋体"/>
          <w:color w:val="auto"/>
          <w:sz w:val="24"/>
          <w:highlight w:val="none"/>
        </w:rPr>
        <w:t>业、监狱企业或残疾人福利性单位的，不重复进行投标报价扣除。</w:t>
      </w:r>
    </w:p>
    <w:p w14:paraId="405BDA3E">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宋体" w:hAnsi="宋体" w:eastAsia="宋体"/>
          <w:color w:val="auto"/>
          <w:sz w:val="24"/>
          <w:highlight w:val="none"/>
        </w:rPr>
        <w:t>30%以上的，可给予联合体或者大中型企业的投标报价按照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中规定的标准扣除后的价格参与评审。组成联合体或者接受分包的小微企业与联合体内其他企业、分包企业之间存在直接控股、管理关系的，不享受价格扣除优惠政策。</w:t>
      </w:r>
    </w:p>
    <w:p w14:paraId="635B00E3">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以联合体形式参加政府采购活动，联合体各方均为中小企业的，联合体视同中小企业。其中，联合体各方均为小微企业的，联合体视同小微企业。</w:t>
      </w:r>
    </w:p>
    <w:p w14:paraId="220EF5B1">
      <w:pPr>
        <w:pStyle w:val="41"/>
        <w:widowControl w:val="0"/>
        <w:spacing w:before="0" w:beforeAutospacing="0" w:after="0" w:afterAutospacing="0" w:line="360" w:lineRule="auto"/>
        <w:ind w:firstLine="480" w:firstLineChars="200"/>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17.4根据《国务院办公厅关于在政府采购中实施本国产品标准及相关政策的通知》（国办发〔2025〕34号）和财政部工业和信息化部关于贯彻落实《国务院办公厅关于在政府采购中实施本国产品标准及相关政策的通知》的意见（财库〔2025〕30号），政府采购活动中既有本国产品又有非本国产品参与竞争的，依法对本国产品给予价格评审优惠，对本国产品的报价给予20%的价格扣除，用扣除后的价格参与评审。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w:t>
      </w:r>
    </w:p>
    <w:p w14:paraId="016554BB">
      <w:pPr>
        <w:pStyle w:val="41"/>
        <w:widowControl w:val="0"/>
        <w:spacing w:before="0" w:beforeAutospacing="0" w:after="0" w:afterAutospacing="0" w:line="360" w:lineRule="auto"/>
        <w:ind w:firstLine="480" w:firstLineChars="200"/>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评标委员会应当对投标人所出具的《关于符合本国产品标准的声明函》（以下简称《声明函》）的完整性、准确性进行审查，评审中发现《声明函》内容含义不明确、同类事项与投标文件表述不一致或者有明显文字错误等情况的，应当以书面形式要求投标人作出必要的澄清、说明或者补正。经澄清、说明或者补正的《声明函》仍然不符合规定要求的，投标人提供的相关产品视为不符合本国产品标准。</w:t>
      </w:r>
    </w:p>
    <w:p w14:paraId="6434D486">
      <w:pPr>
        <w:pStyle w:val="41"/>
        <w:widowControl w:val="0"/>
        <w:spacing w:before="0" w:beforeAutospacing="0" w:after="0" w:afterAutospacing="0" w:line="360" w:lineRule="auto"/>
        <w:ind w:firstLine="240" w:firstLineChars="100"/>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注：本项目所称的本国产品是指在中国境内生产的产品，即在中华人民共和国关境内实现从原材料、组件到产品的属性改变。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D8A746B">
      <w:pPr>
        <w:pStyle w:val="41"/>
        <w:widowControl w:val="0"/>
        <w:spacing w:before="0" w:beforeAutospacing="0" w:after="0" w:afterAutospacing="0" w:line="360" w:lineRule="auto"/>
        <w:ind w:firstLine="240" w:firstLineChars="100"/>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17.5同时符合17.3和17.4的价格评审优惠时，评标价为投标报价分别扣除促进中小企业发展政策的价格评审优惠和本国产品支持政策的价格评审优惠后的价格。</w:t>
      </w:r>
    </w:p>
    <w:p w14:paraId="5CC32B44">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废标、重新招标与变更采购方式</w:t>
      </w:r>
    </w:p>
    <w:p w14:paraId="06E0650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18.1出现下列情形之一，将导致项目废标：</w:t>
      </w:r>
    </w:p>
    <w:p w14:paraId="2A56F4AA">
      <w:pPr>
        <w:spacing w:line="360" w:lineRule="auto"/>
        <w:ind w:firstLine="435"/>
        <w:rPr>
          <w:rFonts w:hint="eastAsia"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1）符合专业条件的供应商或者对招标文件做实质性响应的供应商不足规定数量的；</w:t>
      </w:r>
    </w:p>
    <w:p w14:paraId="1EDF639B">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500D3098">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14:paraId="58EB54C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（4）因重大变故，采购任务取消的。</w:t>
      </w:r>
    </w:p>
    <w:p w14:paraId="1962E13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18.2公开招标数额标准以上的采购项目，投标截止后投标人不足</w:t>
      </w:r>
      <w:r>
        <w:rPr>
          <w:rFonts w:asciiTheme="minorEastAsia" w:hAnsiTheme="minorEastAsia" w:eastAsiaTheme="minorEastAsia"/>
          <w:color w:val="auto"/>
          <w:sz w:val="24"/>
          <w:highlight w:val="none"/>
        </w:rPr>
        <w:t>3家或者通过</w:t>
      </w:r>
      <w:r>
        <w:rPr>
          <w:rFonts w:hint="eastAsia" w:asciiTheme="minorEastAsia" w:hAnsiTheme="minorEastAsia" w:eastAsiaTheme="minorEastAsia"/>
          <w:color w:val="auto"/>
          <w:sz w:val="24"/>
          <w:highlight w:val="none"/>
        </w:rPr>
        <w:t>资格审查或符合性审查</w:t>
      </w:r>
      <w:r>
        <w:rPr>
          <w:rFonts w:hint="eastAsia" w:ascii="宋体" w:hAnsi="宋体" w:eastAsia="宋体" w:cs="Times New Roman"/>
          <w:color w:val="auto"/>
          <w:sz w:val="24"/>
          <w:highlight w:val="none"/>
        </w:rPr>
        <w:t>或异常低价投标审查</w:t>
      </w:r>
      <w:r>
        <w:rPr>
          <w:rFonts w:hint="eastAsia" w:asciiTheme="minorEastAsia" w:hAnsiTheme="minorEastAsia" w:eastAsiaTheme="minorEastAsia"/>
          <w:color w:val="auto"/>
          <w:sz w:val="24"/>
          <w:highlight w:val="none"/>
        </w:rPr>
        <w:t>的投标人不足</w:t>
      </w:r>
      <w:r>
        <w:rPr>
          <w:rFonts w:asciiTheme="minorEastAsia" w:hAnsiTheme="minorEastAsia" w:eastAsiaTheme="minorEastAsia"/>
          <w:color w:val="auto"/>
          <w:sz w:val="24"/>
          <w:highlight w:val="none"/>
        </w:rPr>
        <w:t>3家的，除采购任务取消情形外，按照以下方式处理：</w:t>
      </w:r>
    </w:p>
    <w:p w14:paraId="57C254C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（1）招标文件存在不合理条款或者招标程序不符合规定的，采购人、采购代理机构改正后依法重新招标；</w:t>
      </w:r>
    </w:p>
    <w:p w14:paraId="3A7D17E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（2）招标文件没有不合理条款、招标程序符合规定，需要采用其他采购方式采购的，采购人应当依法报</w:t>
      </w:r>
      <w:r>
        <w:rPr>
          <w:rFonts w:hint="eastAsia" w:ascii="宋体" w:hAnsi="宋体" w:eastAsia="宋体" w:cs="宋体"/>
          <w:color w:val="auto"/>
          <w:sz w:val="24"/>
          <w:szCs w:val="24"/>
          <w:highlight w:val="none"/>
        </w:rPr>
        <w:t>政府采购监督管理部门</w:t>
      </w:r>
      <w:r>
        <w:rPr>
          <w:rFonts w:hint="eastAsia" w:asciiTheme="minorEastAsia" w:hAnsiTheme="minorEastAsia" w:eastAsiaTheme="minorEastAsia"/>
          <w:color w:val="auto"/>
          <w:sz w:val="24"/>
          <w:highlight w:val="none"/>
        </w:rPr>
        <w:t>批准。</w:t>
      </w:r>
    </w:p>
    <w:p w14:paraId="2248A9B5">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487A3EE0">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19.1评标将在严格保密的情况下进行。</w:t>
      </w:r>
    </w:p>
    <w:p w14:paraId="2B9163E1">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19.2有关人员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20F65F27">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中标候选人的确定原则及标准</w:t>
      </w:r>
    </w:p>
    <w:p w14:paraId="64DA52B1">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0</w:t>
      </w:r>
      <w:r>
        <w:rPr>
          <w:rFonts w:asciiTheme="minorEastAsia" w:hAnsiTheme="minorEastAsia" w:eastAsiaTheme="minorEastAsia"/>
          <w:color w:val="auto"/>
          <w:sz w:val="24"/>
          <w:highlight w:val="none"/>
        </w:rPr>
        <w:t>.1评</w:t>
      </w:r>
      <w:r>
        <w:rPr>
          <w:rFonts w:hint="eastAsia" w:asciiTheme="minorEastAsia" w:hAnsiTheme="minorEastAsia" w:eastAsiaTheme="minorEastAsia"/>
          <w:color w:val="auto"/>
          <w:sz w:val="24"/>
          <w:highlight w:val="none"/>
        </w:rPr>
        <w:t>标</w:t>
      </w:r>
      <w:r>
        <w:rPr>
          <w:rFonts w:asciiTheme="minorEastAsia" w:hAnsiTheme="minorEastAsia" w:eastAsiaTheme="minorEastAsia"/>
          <w:color w:val="auto"/>
          <w:sz w:val="24"/>
          <w:highlight w:val="none"/>
        </w:rPr>
        <w:t>委员会依据本项目招标文件所约定的评标方法，对实质上响应招标文件的投标人按下列方法进行排序</w:t>
      </w:r>
      <w:r>
        <w:rPr>
          <w:rFonts w:hint="eastAsia" w:asciiTheme="minorEastAsia" w:hAnsiTheme="minorEastAsia" w:eastAsiaTheme="minorEastAsia"/>
          <w:color w:val="auto"/>
          <w:sz w:val="24"/>
          <w:highlight w:val="none"/>
        </w:rPr>
        <w:t>，确定中标候选人</w:t>
      </w:r>
      <w:r>
        <w:rPr>
          <w:rFonts w:asciiTheme="minorEastAsia" w:hAnsiTheme="minorEastAsia" w:eastAsiaTheme="minorEastAsia"/>
          <w:color w:val="auto"/>
          <w:sz w:val="24"/>
          <w:highlight w:val="none"/>
        </w:rPr>
        <w:t>：</w:t>
      </w:r>
    </w:p>
    <w:p w14:paraId="291D26D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1）采用最低评标价法的，除了算术修正和落实政府采购政策需进行的价格扣除外，不对投标人的投标价格进行任何调整。评标结果按修正和扣除后的投标报价由低到高顺序排列。修正和扣除后的投标报价</w:t>
      </w:r>
      <w:r>
        <w:rPr>
          <w:rFonts w:hint="eastAsia" w:asciiTheme="minorEastAsia" w:hAnsiTheme="minorEastAsia" w:eastAsiaTheme="minorEastAsia"/>
          <w:color w:val="auto"/>
          <w:sz w:val="24"/>
          <w:highlight w:val="none"/>
        </w:rPr>
        <w:t>出现两家或两家以上相同者，则所投产品为节能产品、环境标志产品、不发达地区或少数民族地区产品者优先；若报价相同且所投产品同为节能产品、环境标志产品、不发达地区或少数民族地区产品的，则采取评标委员会随机抽取的方式确定中标候选顺序。</w:t>
      </w:r>
    </w:p>
    <w:p w14:paraId="16E9C88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2）采用综合评分法的，评标结果按评审后得分由高到低顺序排列。得分相同的，按投标报价由低到高顺序排列。得分与投标报价均相同的</w:t>
      </w:r>
      <w:r>
        <w:rPr>
          <w:rFonts w:hint="eastAsia" w:asciiTheme="minorEastAsia" w:hAnsiTheme="minorEastAsia" w:eastAsiaTheme="minorEastAsia"/>
          <w:color w:val="auto"/>
          <w:sz w:val="24"/>
          <w:highlight w:val="none"/>
        </w:rPr>
        <w:t>，则所投产品为节能产品、环境标志产品、不发达地区或少数民族地区产品者优先；若</w:t>
      </w:r>
      <w:r>
        <w:rPr>
          <w:rFonts w:asciiTheme="minorEastAsia" w:hAnsiTheme="minorEastAsia" w:eastAsiaTheme="minorEastAsia"/>
          <w:color w:val="auto"/>
          <w:sz w:val="24"/>
          <w:highlight w:val="none"/>
        </w:rPr>
        <w:t>得分与投标报价均相同</w:t>
      </w:r>
      <w:r>
        <w:rPr>
          <w:rFonts w:hint="eastAsia" w:asciiTheme="minorEastAsia" w:hAnsiTheme="minorEastAsia" w:eastAsiaTheme="minorEastAsia"/>
          <w:color w:val="auto"/>
          <w:sz w:val="24"/>
          <w:highlight w:val="none"/>
        </w:rPr>
        <w:t>且所投产品同为节能产品、环境标志产品、不发达地区或少数民族地区产品的，则采取评标委员会随机抽取的方式确定中标候选顺序。</w:t>
      </w:r>
    </w:p>
    <w:p w14:paraId="03106BDC">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确定中标候选人和中标人</w:t>
      </w:r>
    </w:p>
    <w:p w14:paraId="44B7C341">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.1评标委员会将根据评标标准，按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中规定数量推荐中标候选人。</w:t>
      </w:r>
    </w:p>
    <w:p w14:paraId="363C65E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21.2按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由评标委员会或采购人确定中标人。</w:t>
      </w:r>
    </w:p>
    <w:p w14:paraId="3147137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因重大变故采购任务取消时，采购人有权拒绝任何投标人中标，且对受影响的投标人不承担任何责任。</w:t>
      </w:r>
    </w:p>
    <w:p w14:paraId="61A0A21E">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编写评标报告</w:t>
      </w:r>
    </w:p>
    <w:p w14:paraId="4A55E31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22E267C1">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中标结果公告</w:t>
      </w:r>
    </w:p>
    <w:p w14:paraId="064D10D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除</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规定由评标委员会直接确定中标</w:t>
      </w:r>
      <w:r>
        <w:rPr>
          <w:rFonts w:hint="eastAsia" w:asciiTheme="minorEastAsia" w:hAnsiTheme="minorEastAsia" w:eastAsiaTheme="minorEastAsia"/>
          <w:color w:val="auto"/>
          <w:sz w:val="24"/>
          <w:highlight w:val="none"/>
        </w:rPr>
        <w:t>人外，</w:t>
      </w:r>
      <w:r>
        <w:rPr>
          <w:rFonts w:asciiTheme="minorEastAsia" w:hAnsiTheme="minorEastAsia" w:eastAsiaTheme="minorEastAsia"/>
          <w:color w:val="auto"/>
          <w:sz w:val="24"/>
          <w:highlight w:val="none"/>
        </w:rPr>
        <w:t>在评标结束后2个工作日内</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采购代理机构将评标报告送采购人。采购人应当自收到评标报告之日起</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06D9CACA">
      <w:pPr>
        <w:wordWrap w:val="0"/>
        <w:spacing w:line="360" w:lineRule="auto"/>
        <w:ind w:firstLine="437"/>
        <w:rPr>
          <w:rFonts w:hint="eastAsia" w:ascii="宋体" w:hAnsi="宋体" w:eastAsia="宋体"/>
          <w:color w:val="auto"/>
          <w:sz w:val="24"/>
          <w:szCs w:val="18"/>
          <w:highlight w:val="none"/>
        </w:rPr>
      </w:pPr>
      <w:r>
        <w:rPr>
          <w:rFonts w:hint="eastAsia" w:asciiTheme="minorEastAsia" w:hAnsiTheme="minorEastAsia" w:eastAsiaTheme="minorEastAsia"/>
          <w:color w:val="auto"/>
          <w:sz w:val="24"/>
          <w:highlight w:val="none"/>
        </w:rPr>
        <w:t>23</w:t>
      </w:r>
      <w:r>
        <w:rPr>
          <w:rFonts w:asciiTheme="minorEastAsia" w:hAnsiTheme="minorEastAsia" w:eastAsiaTheme="minorEastAsia"/>
          <w:color w:val="auto"/>
          <w:sz w:val="24"/>
          <w:highlight w:val="none"/>
        </w:rPr>
        <w:t>.2</w:t>
      </w:r>
      <w:r>
        <w:rPr>
          <w:rFonts w:hint="eastAsia" w:ascii="宋体" w:hAnsi="宋体" w:eastAsia="宋体"/>
          <w:color w:val="auto"/>
          <w:sz w:val="24"/>
          <w:szCs w:val="18"/>
          <w:highlight w:val="none"/>
        </w:rPr>
        <w:t>自中标人确定之日起2个工作日内，采购代理机构将在安徽省政府采购网（www.ccgp-anhui.gov.cn）上发布中标结果公告。</w:t>
      </w:r>
    </w:p>
    <w:p w14:paraId="3BC6F60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23.3</w:t>
      </w:r>
      <w:r>
        <w:rPr>
          <w:rFonts w:asciiTheme="minorEastAsia" w:hAnsiTheme="minorEastAsia" w:eastAsiaTheme="minorEastAsia"/>
          <w:color w:val="auto"/>
          <w:sz w:val="24"/>
          <w:highlight w:val="none"/>
        </w:rPr>
        <w:t>中标结果公告内容应当包括采购人及其委托的采购代理机构的名称、地址、联系方式，项目名称和项目编号，中标人名称、地址和中标金额，主要中标标的的名称、</w:t>
      </w:r>
      <w:r>
        <w:rPr>
          <w:rFonts w:hint="eastAsia" w:asciiTheme="minorEastAsia" w:hAnsiTheme="minorEastAsia" w:eastAsiaTheme="minorEastAsia"/>
          <w:color w:val="auto"/>
          <w:sz w:val="24"/>
          <w:highlight w:val="none"/>
        </w:rPr>
        <w:t>品牌、</w:t>
      </w:r>
      <w:r>
        <w:rPr>
          <w:rFonts w:asciiTheme="minorEastAsia" w:hAnsiTheme="minorEastAsia" w:eastAsiaTheme="minorEastAsia"/>
          <w:color w:val="auto"/>
          <w:sz w:val="24"/>
          <w:highlight w:val="none"/>
        </w:rPr>
        <w:t>规格型号、数量、</w:t>
      </w:r>
      <w:r>
        <w:rPr>
          <w:rFonts w:hint="eastAsia" w:asciiTheme="minorEastAsia" w:hAnsiTheme="minorEastAsia" w:eastAsiaTheme="minorEastAsia"/>
          <w:color w:val="auto"/>
          <w:sz w:val="24"/>
          <w:highlight w:val="none"/>
        </w:rPr>
        <w:t>单价</w:t>
      </w:r>
      <w:r>
        <w:rPr>
          <w:rFonts w:asciiTheme="minorEastAsia" w:hAnsiTheme="minorEastAsia" w:eastAsiaTheme="minorEastAsia"/>
          <w:color w:val="auto"/>
          <w:sz w:val="24"/>
          <w:highlight w:val="none"/>
        </w:rPr>
        <w:t>，中标公告期限、评审专家名单以及</w:t>
      </w:r>
      <w:r>
        <w:rPr>
          <w:rFonts w:hint="eastAsia"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中约定进行公告的内容。中标公告期限为1个工作日。</w:t>
      </w:r>
    </w:p>
    <w:p w14:paraId="7C121063">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中标通知书</w:t>
      </w:r>
    </w:p>
    <w:p w14:paraId="52DE7CD3">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.1采购代理机构</w:t>
      </w:r>
      <w:r>
        <w:rPr>
          <w:rFonts w:ascii="宋体" w:hAnsi="宋体" w:eastAsia="宋体"/>
          <w:color w:val="auto"/>
          <w:sz w:val="24"/>
          <w:highlight w:val="none"/>
        </w:rPr>
        <w:t>发布</w:t>
      </w:r>
      <w:r>
        <w:rPr>
          <w:rFonts w:asciiTheme="minorEastAsia" w:hAnsiTheme="minorEastAsia" w:eastAsiaTheme="minorEastAsia"/>
          <w:color w:val="auto"/>
          <w:sz w:val="24"/>
          <w:highlight w:val="none"/>
        </w:rPr>
        <w:t>中标结果公告</w:t>
      </w:r>
      <w:r>
        <w:rPr>
          <w:rFonts w:hint="eastAsia" w:asciiTheme="minorEastAsia" w:hAnsiTheme="minorEastAsia" w:eastAsiaTheme="minorEastAsia"/>
          <w:iCs/>
          <w:color w:val="auto"/>
          <w:sz w:val="24"/>
          <w:highlight w:val="none"/>
        </w:rPr>
        <w:t>的</w:t>
      </w:r>
      <w:r>
        <w:rPr>
          <w:rFonts w:asciiTheme="minorEastAsia" w:hAnsiTheme="minorEastAsia" w:eastAsiaTheme="minorEastAsia"/>
          <w:color w:val="auto"/>
          <w:sz w:val="24"/>
          <w:highlight w:val="none"/>
        </w:rPr>
        <w:t>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形式向中标人发出中标通知书。</w:t>
      </w:r>
    </w:p>
    <w:p w14:paraId="3A9F6F22">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.2中标通知书对采购人和中标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具有同等法律效力。中标通知书发出以后，采购人改变中标结果或者中标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放弃中标，应当承担相应的法律责任。</w:t>
      </w:r>
    </w:p>
    <w:p w14:paraId="33F4987E">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.3中标通知书是</w:t>
      </w:r>
      <w:r>
        <w:rPr>
          <w:rFonts w:ascii="宋体" w:hAnsi="宋体" w:eastAsia="宋体"/>
          <w:color w:val="auto"/>
          <w:sz w:val="24"/>
          <w:highlight w:val="none"/>
        </w:rPr>
        <w:t>合同</w:t>
      </w:r>
      <w:r>
        <w:rPr>
          <w:rFonts w:asciiTheme="minorEastAsia" w:hAnsiTheme="minorEastAsia" w:eastAsiaTheme="minorEastAsia"/>
          <w:color w:val="auto"/>
          <w:sz w:val="24"/>
          <w:highlight w:val="none"/>
        </w:rPr>
        <w:t>的组成部分。</w:t>
      </w:r>
    </w:p>
    <w:p w14:paraId="1CC14990">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告知招标结果</w:t>
      </w:r>
    </w:p>
    <w:p w14:paraId="1E4AE37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在公告</w:t>
      </w:r>
      <w:r>
        <w:rPr>
          <w:rFonts w:asciiTheme="minorEastAsia" w:hAnsiTheme="minorEastAsia" w:eastAsiaTheme="minorEastAsia"/>
          <w:color w:val="auto"/>
          <w:sz w:val="24"/>
          <w:highlight w:val="none"/>
        </w:rPr>
        <w:t>中标结果的同时，采购代理机构同时以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rFonts w:hint="eastAsia" w:asciiTheme="minorEastAsia" w:hAnsiTheme="minorEastAsia" w:eastAsiaTheme="minorEastAsia"/>
          <w:color w:val="auto"/>
          <w:sz w:val="24"/>
          <w:highlight w:val="none"/>
        </w:rPr>
        <w:t>告知未通过资格审查的投标人未通过的原因；采用综合评分法评审的，还将告知未中标人本人的评审得分和排序。</w:t>
      </w:r>
    </w:p>
    <w:p w14:paraId="6C808E87">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履约保证金</w:t>
      </w:r>
    </w:p>
    <w:p w14:paraId="60A18F8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26.1中标人应按照</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规定缴纳履约保证金。</w:t>
      </w:r>
    </w:p>
    <w:p w14:paraId="55F6B442">
      <w:pPr>
        <w:spacing w:line="360" w:lineRule="auto"/>
        <w:ind w:firstLine="435"/>
        <w:rPr>
          <w:rFonts w:hint="eastAsia"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26.</w:t>
      </w:r>
      <w:r>
        <w:rPr>
          <w:rFonts w:asciiTheme="minorEastAsia" w:hAnsiTheme="minorEastAsia" w:eastAsiaTheme="minorEastAsia"/>
          <w:color w:val="auto"/>
          <w:sz w:val="24"/>
          <w:highlight w:val="none"/>
        </w:rPr>
        <w:t>2</w:t>
      </w:r>
      <w:r>
        <w:rPr>
          <w:rFonts w:hint="eastAsia" w:ascii="宋体" w:hAnsi="宋体" w:eastAsia="宋体"/>
          <w:color w:val="auto"/>
          <w:sz w:val="24"/>
          <w:highlight w:val="none"/>
        </w:rPr>
        <w:t>如果</w:t>
      </w:r>
      <w:r>
        <w:rPr>
          <w:rFonts w:hint="eastAsia" w:asciiTheme="minorEastAsia" w:hAnsiTheme="minorEastAsia" w:eastAsiaTheme="minorEastAsia"/>
          <w:color w:val="auto"/>
          <w:sz w:val="24"/>
          <w:highlight w:val="none"/>
        </w:rPr>
        <w:t>中标人没有按照上述履约保证金的规定执行，将视为放弃中标资格。在此情况下，采购人可</w:t>
      </w:r>
      <w:r>
        <w:rPr>
          <w:rFonts w:asciiTheme="minorEastAsia" w:hAnsiTheme="minorEastAsia" w:eastAsiaTheme="minorEastAsia"/>
          <w:color w:val="auto"/>
          <w:sz w:val="24"/>
          <w:highlight w:val="none"/>
        </w:rPr>
        <w:t>确定下一</w:t>
      </w:r>
      <w:r>
        <w:rPr>
          <w:rFonts w:hint="eastAsia" w:ascii="宋体" w:hAnsi="宋体" w:eastAsia="宋体"/>
          <w:color w:val="auto"/>
          <w:sz w:val="24"/>
          <w:highlight w:val="none"/>
        </w:rPr>
        <w:t>中标</w:t>
      </w:r>
      <w:r>
        <w:rPr>
          <w:rFonts w:hint="eastAsia" w:asciiTheme="minorEastAsia" w:hAnsiTheme="minorEastAsia" w:eastAsiaTheme="minorEastAsia"/>
          <w:color w:val="auto"/>
          <w:sz w:val="24"/>
          <w:highlight w:val="none"/>
        </w:rPr>
        <w:t>候选</w:t>
      </w:r>
      <w:r>
        <w:rPr>
          <w:rFonts w:asciiTheme="minorEastAsia" w:hAnsiTheme="minorEastAsia" w:eastAsiaTheme="minorEastAsia"/>
          <w:color w:val="auto"/>
          <w:sz w:val="24"/>
          <w:highlight w:val="none"/>
        </w:rPr>
        <w:t>人为中标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，也可以重新开展采购活动。</w:t>
      </w:r>
    </w:p>
    <w:p w14:paraId="38D95CA1">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签订合同</w:t>
      </w:r>
    </w:p>
    <w:p w14:paraId="5383EA19">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27.1</w:t>
      </w:r>
      <w:r>
        <w:rPr>
          <w:rFonts w:hint="eastAsia" w:ascii="宋体" w:hAnsi="宋体" w:eastAsia="宋体" w:cs="宋体"/>
          <w:color w:val="auto"/>
          <w:sz w:val="24"/>
          <w:szCs w:val="24"/>
          <w:highlight w:val="none"/>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规定的时间内完成政府采购合同签订及合同公告。</w:t>
      </w:r>
    </w:p>
    <w:p w14:paraId="60CF4809">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27.2招标文件、中标人的投标文件及其澄清文件等，均为签订合同的依据。</w:t>
      </w:r>
    </w:p>
    <w:p w14:paraId="42162315">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27.3中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65C36CF8">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27.4依据《政府采购促进中小企业发展管理办法》（财库〔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p>
    <w:p w14:paraId="2909804F">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代理费用</w:t>
      </w:r>
    </w:p>
    <w:p w14:paraId="25476495">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28</w:t>
      </w:r>
      <w:r>
        <w:rPr>
          <w:rFonts w:ascii="宋体" w:hAnsi="宋体" w:eastAsia="宋体"/>
          <w:color w:val="auto"/>
          <w:sz w:val="24"/>
          <w:highlight w:val="none"/>
        </w:rPr>
        <w:t>.1</w:t>
      </w:r>
      <w:r>
        <w:rPr>
          <w:rFonts w:hint="eastAsia" w:ascii="宋体" w:hAnsi="宋体" w:eastAsia="宋体"/>
          <w:color w:val="auto"/>
          <w:sz w:val="24"/>
          <w:highlight w:val="none"/>
        </w:rPr>
        <w:t>本项目代理费用的收取按</w:t>
      </w:r>
      <w:r>
        <w:rPr>
          <w:rFonts w:hint="eastAsia" w:asciiTheme="minorEastAsia" w:hAnsiTheme="minorEastAsia" w:eastAsiaTheme="minorEastAsia"/>
          <w:color w:val="auto"/>
          <w:sz w:val="24"/>
          <w:highlight w:val="none"/>
          <w:u w:val="single"/>
        </w:rPr>
        <w:t>投标人须知前附表的</w:t>
      </w:r>
      <w:r>
        <w:rPr>
          <w:rFonts w:hint="eastAsia" w:ascii="宋体" w:hAnsi="宋体" w:eastAsia="宋体"/>
          <w:color w:val="auto"/>
          <w:sz w:val="24"/>
          <w:highlight w:val="none"/>
        </w:rPr>
        <w:t>规定执行</w:t>
      </w:r>
      <w:r>
        <w:rPr>
          <w:rFonts w:hint="eastAsia" w:asciiTheme="minorEastAsia" w:hAnsiTheme="minorEastAsia" w:eastAsiaTheme="minorEastAsia"/>
          <w:color w:val="auto"/>
          <w:sz w:val="24"/>
          <w:highlight w:val="none"/>
        </w:rPr>
        <w:t>。</w:t>
      </w:r>
    </w:p>
    <w:p w14:paraId="7926190C">
      <w:pPr>
        <w:spacing w:line="360" w:lineRule="auto"/>
        <w:ind w:firstLine="437"/>
        <w:outlineLvl w:val="2"/>
        <w:rPr>
          <w:rFonts w:hint="eastAsia" w:asciiTheme="minorEastAsia" w:hAnsiTheme="minorEastAsia" w:eastAsiaTheme="minorEastAsia"/>
          <w:b/>
          <w:color w:val="auto"/>
          <w:sz w:val="24"/>
          <w:highlight w:val="none"/>
        </w:rPr>
      </w:pPr>
      <w:bookmarkStart w:id="29" w:name="_Toc518923100"/>
      <w:bookmarkStart w:id="30" w:name="_Toc2583661"/>
      <w:r>
        <w:rPr>
          <w:rFonts w:hint="eastAsia" w:asciiTheme="minorEastAsia" w:hAnsiTheme="minorEastAsia" w:eastAsiaTheme="minorEastAsia"/>
          <w:b/>
          <w:color w:val="auto"/>
          <w:sz w:val="24"/>
          <w:highlight w:val="none"/>
        </w:rPr>
        <w:t>29.廉洁自律</w:t>
      </w:r>
      <w:r>
        <w:rPr>
          <w:rFonts w:asciiTheme="minorEastAsia" w:hAnsiTheme="minorEastAsia" w:eastAsiaTheme="minorEastAsia"/>
          <w:b/>
          <w:color w:val="auto"/>
          <w:sz w:val="24"/>
          <w:highlight w:val="none"/>
        </w:rPr>
        <w:t>规定</w:t>
      </w:r>
      <w:bookmarkEnd w:id="29"/>
      <w:bookmarkEnd w:id="30"/>
    </w:p>
    <w:p w14:paraId="18C4DC00">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29.1采购代理机构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0322836E">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12C59DE8">
      <w:pPr>
        <w:spacing w:line="360" w:lineRule="auto"/>
        <w:ind w:firstLine="437"/>
        <w:outlineLvl w:val="2"/>
        <w:rPr>
          <w:rFonts w:hint="eastAsia" w:asciiTheme="minorEastAsia" w:hAnsiTheme="minorEastAsia" w:eastAsiaTheme="minorEastAsia"/>
          <w:b/>
          <w:color w:val="auto"/>
          <w:sz w:val="24"/>
          <w:highlight w:val="none"/>
        </w:rPr>
      </w:pPr>
      <w:bookmarkStart w:id="31" w:name="_Toc518923101"/>
      <w:bookmarkStart w:id="32" w:name="_Toc2583662"/>
      <w:r>
        <w:rPr>
          <w:rFonts w:hint="eastAsia" w:asciiTheme="minorEastAsia" w:hAnsiTheme="minorEastAsia" w:eastAsiaTheme="minorEastAsia"/>
          <w:b/>
          <w:color w:val="auto"/>
          <w:sz w:val="24"/>
          <w:highlight w:val="none"/>
        </w:rPr>
        <w:t>30.人员回避</w:t>
      </w:r>
      <w:bookmarkEnd w:id="31"/>
      <w:bookmarkEnd w:id="32"/>
    </w:p>
    <w:p w14:paraId="0B1192DE">
      <w:pPr>
        <w:spacing w:line="360" w:lineRule="auto"/>
        <w:ind w:firstLine="435"/>
        <w:rPr>
          <w:rFonts w:hint="eastAsia" w:ascii="仿宋_GB2312" w:hAnsi="宋体" w:eastAsia="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471F1918">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质疑的提出与接收</w:t>
      </w:r>
    </w:p>
    <w:p w14:paraId="6DF97768">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31.1投标人认为招标文件、招标过程和中标结果使自己的权益受到损害的，可以在知道或者应知其权益受到损害之日起七个工作日内，以书面形式向采购人或其委托的采购代理机构提出质疑。</w:t>
      </w:r>
    </w:p>
    <w:p w14:paraId="03AEA0C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31.2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24D3F218">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31.3采购代理机构质疑函接收部门、联系电话和通讯地址，见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6CCC8C4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注：上述条款中所要求的书面形式包含通过电子交易系统递交方式。</w:t>
      </w:r>
    </w:p>
    <w:p w14:paraId="2FB51928">
      <w:pPr>
        <w:wordWrap w:val="0"/>
        <w:spacing w:line="360" w:lineRule="auto"/>
        <w:ind w:firstLine="437"/>
        <w:outlineLvl w:val="2"/>
        <w:rPr>
          <w:rFonts w:hint="eastAsia" w:ascii="宋体" w:hAnsi="宋体" w:eastAsia="宋体"/>
          <w:b/>
          <w:color w:val="auto"/>
          <w:sz w:val="24"/>
          <w:szCs w:val="24"/>
          <w:highlight w:val="none"/>
        </w:rPr>
      </w:pPr>
      <w:r>
        <w:rPr>
          <w:rFonts w:hint="eastAsia" w:asciiTheme="minorEastAsia" w:hAnsiTheme="minorEastAsia" w:eastAsiaTheme="minorEastAsia"/>
          <w:b/>
          <w:color w:val="auto"/>
          <w:sz w:val="24"/>
          <w:highlight w:val="none"/>
        </w:rPr>
        <w:t>32</w:t>
      </w:r>
      <w:r>
        <w:rPr>
          <w:rFonts w:asciiTheme="minorEastAsia" w:hAnsiTheme="minorEastAsia" w:eastAsiaTheme="minorEastAsia"/>
          <w:b/>
          <w:color w:val="auto"/>
          <w:sz w:val="24"/>
          <w:highlight w:val="none"/>
        </w:rPr>
        <w:t>.</w:t>
      </w:r>
      <w:r>
        <w:rPr>
          <w:rFonts w:hint="eastAsia" w:ascii="宋体" w:hAnsi="宋体" w:eastAsia="宋体" w:cs="宋体"/>
          <w:b/>
          <w:color w:val="auto"/>
          <w:sz w:val="24"/>
          <w:szCs w:val="24"/>
          <w:highlight w:val="none"/>
          <w:lang w:bidi="ar"/>
        </w:rPr>
        <w:t>投诉</w:t>
      </w:r>
    </w:p>
    <w:p w14:paraId="69CABEA1">
      <w:pPr>
        <w:wordWrap w:val="0"/>
        <w:autoSpaceDE w:val="0"/>
        <w:spacing w:line="360" w:lineRule="auto"/>
        <w:ind w:firstLine="437"/>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32.1质疑投标人对采购人、采购代理机构的答复不满意，或者采购人、采购代理机构未在规定的时间内答复的，可以在答复期满后十五个工作日内按有关规定，以书面形式（http://ggzy.chuzhou.gov.cn/fwzn/011001/011001001/011001001003/20200727/7fb88e17-63dd-4f17-b17c-290526c6eda8.html）向同级政府采购监督管理部门提出投诉或者线上提交投诉材料（http://ggzy.chuzhou.gov.cn/fwzn/011001/011001001/011001001003/20200221/b079d9ca-90f2-4cce-aa7c-94a444e7ac91.html）。</w:t>
      </w:r>
    </w:p>
    <w:p w14:paraId="2ABB4EEE">
      <w:pPr>
        <w:wordWrap w:val="0"/>
        <w:autoSpaceDE w:val="0"/>
        <w:spacing w:line="360" w:lineRule="auto"/>
        <w:ind w:firstLine="437"/>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32.2政府采购监督管理部门应当在收到投诉后30个工作日内，对投诉事项作出处理决定，并以书面形式通知投诉人和与投诉事项有关的当事人，并在安徽省政府采购网公告。政府采购监督管理部门处理投诉事项，需要检验、检测、鉴定、专家评审以及需要投诉人补正材料的，所需时间不计算在投诉处理期限内。</w:t>
      </w:r>
    </w:p>
    <w:p w14:paraId="043FA5B2">
      <w:pPr>
        <w:wordWrap w:val="0"/>
        <w:autoSpaceDE w:val="0"/>
        <w:spacing w:line="360" w:lineRule="auto"/>
        <w:ind w:firstLine="437"/>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32.3政府采购监督管理部门在处理投诉事项期间，可以视具体情况书面通知采购人暂停采购活动，但暂停时间最长不得超过30日。</w:t>
      </w:r>
    </w:p>
    <w:p w14:paraId="2258F860">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33.需要补充的其他内容</w:t>
      </w:r>
    </w:p>
    <w:p w14:paraId="1432393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需要补充的其他内容，见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7084582A">
      <w:pPr>
        <w:widowControl/>
        <w:jc w:val="left"/>
        <w:rPr>
          <w:rFonts w:hint="eastAsia"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46B29A95">
      <w:pPr>
        <w:spacing w:line="360" w:lineRule="auto"/>
        <w:jc w:val="center"/>
        <w:outlineLvl w:val="0"/>
        <w:rPr>
          <w:rFonts w:hint="eastAsia" w:asciiTheme="minorEastAsia" w:hAnsiTheme="minorEastAsia" w:eastAsiaTheme="minorEastAsia"/>
          <w:b/>
          <w:color w:val="auto"/>
          <w:sz w:val="28"/>
          <w:highlight w:val="none"/>
        </w:rPr>
      </w:pPr>
      <w:bookmarkStart w:id="33" w:name="_Toc10891"/>
      <w:r>
        <w:rPr>
          <w:rFonts w:hint="eastAsia" w:asciiTheme="minorEastAsia" w:hAnsiTheme="minorEastAsia" w:eastAsiaTheme="minorEastAsia"/>
          <w:b/>
          <w:color w:val="auto"/>
          <w:sz w:val="28"/>
          <w:highlight w:val="none"/>
        </w:rPr>
        <w:t>第三章  采购需求</w:t>
      </w:r>
      <w:bookmarkEnd w:id="33"/>
    </w:p>
    <w:p w14:paraId="0D9E3639">
      <w:pPr>
        <w:spacing w:line="360" w:lineRule="auto"/>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前注：</w:t>
      </w:r>
    </w:p>
    <w:p w14:paraId="648A9894">
      <w:pPr>
        <w:spacing w:line="360" w:lineRule="auto"/>
        <w:ind w:firstLine="435"/>
        <w:rPr>
          <w:rFonts w:hint="eastAsia" w:ascii="宋体" w:hAnsi="宋体" w:eastAsia="宋体"/>
          <w:color w:val="auto"/>
          <w:sz w:val="24"/>
          <w:szCs w:val="18"/>
          <w:highlight w:val="none"/>
        </w:rPr>
      </w:pPr>
      <w:r>
        <w:rPr>
          <w:rFonts w:hint="eastAsia" w:asciiTheme="minorEastAsia" w:hAnsiTheme="minorEastAsia" w:eastAsiaTheme="minorEastAsia"/>
          <w:color w:val="auto"/>
          <w:sz w:val="24"/>
          <w:highlight w:val="none"/>
        </w:rPr>
        <w:t>1.</w:t>
      </w:r>
      <w:r>
        <w:rPr>
          <w:rFonts w:ascii="宋体" w:hAnsi="宋体" w:eastAsia="宋体"/>
          <w:color w:val="auto"/>
          <w:sz w:val="24"/>
          <w:szCs w:val="18"/>
          <w:highlight w:val="none"/>
        </w:rPr>
        <w:t>根据《</w:t>
      </w:r>
      <w:r>
        <w:rPr>
          <w:rFonts w:hint="eastAsia" w:ascii="宋体" w:hAnsi="宋体" w:eastAsia="宋体"/>
          <w:color w:val="auto"/>
          <w:sz w:val="24"/>
          <w:szCs w:val="18"/>
          <w:highlight w:val="none"/>
        </w:rPr>
        <w:t>政府采购进口产品管理办法</w:t>
      </w:r>
      <w:r>
        <w:rPr>
          <w:rFonts w:ascii="宋体" w:hAnsi="宋体" w:eastAsia="宋体"/>
          <w:color w:val="auto"/>
          <w:sz w:val="24"/>
          <w:szCs w:val="18"/>
          <w:highlight w:val="none"/>
        </w:rPr>
        <w:t>》及政府采购管理部门的相关规定，下列采购需求中</w:t>
      </w:r>
      <w:r>
        <w:rPr>
          <w:rFonts w:hint="eastAsia" w:ascii="宋体" w:hAnsi="宋体" w:eastAsia="宋体"/>
          <w:color w:val="auto"/>
          <w:sz w:val="24"/>
          <w:szCs w:val="18"/>
          <w:highlight w:val="none"/>
        </w:rPr>
        <w:t>标注进口产品的货物均</w:t>
      </w:r>
      <w:r>
        <w:rPr>
          <w:rFonts w:ascii="宋体" w:hAnsi="宋体" w:eastAsia="宋体"/>
          <w:color w:val="auto"/>
          <w:sz w:val="24"/>
          <w:szCs w:val="18"/>
          <w:highlight w:val="none"/>
        </w:rPr>
        <w:t>已履行相关论证手续，经核准采购进口</w:t>
      </w:r>
      <w:r>
        <w:rPr>
          <w:rFonts w:hint="eastAsia" w:ascii="宋体" w:hAnsi="宋体" w:eastAsia="宋体"/>
          <w:color w:val="auto"/>
          <w:sz w:val="24"/>
          <w:szCs w:val="18"/>
          <w:highlight w:val="none"/>
        </w:rPr>
        <w:t>产品</w:t>
      </w:r>
      <w:r>
        <w:rPr>
          <w:rFonts w:ascii="宋体" w:hAnsi="宋体" w:eastAsia="宋体"/>
          <w:color w:val="auto"/>
          <w:sz w:val="24"/>
          <w:szCs w:val="18"/>
          <w:highlight w:val="none"/>
        </w:rPr>
        <w:t>，但不限制满足招标文件要求的国内产品参与竞争</w:t>
      </w:r>
      <w:r>
        <w:rPr>
          <w:rFonts w:hint="eastAsia" w:ascii="宋体" w:hAnsi="宋体" w:eastAsia="宋体"/>
          <w:color w:val="auto"/>
          <w:sz w:val="24"/>
          <w:szCs w:val="18"/>
          <w:highlight w:val="none"/>
        </w:rPr>
        <w:t>。未标注进口产品的货物均</w:t>
      </w:r>
      <w:r>
        <w:rPr>
          <w:rFonts w:ascii="宋体" w:hAnsi="宋体" w:eastAsia="宋体"/>
          <w:color w:val="auto"/>
          <w:sz w:val="24"/>
          <w:szCs w:val="18"/>
          <w:highlight w:val="none"/>
        </w:rPr>
        <w:t>为拒绝采购进口产品</w:t>
      </w:r>
      <w:r>
        <w:rPr>
          <w:rFonts w:hint="eastAsia" w:ascii="宋体" w:hAnsi="宋体" w:eastAsia="宋体"/>
          <w:color w:val="auto"/>
          <w:sz w:val="24"/>
          <w:szCs w:val="18"/>
          <w:highlight w:val="none"/>
        </w:rPr>
        <w:t>。</w:t>
      </w:r>
    </w:p>
    <w:p w14:paraId="3D19009F">
      <w:pPr>
        <w:spacing w:line="360" w:lineRule="auto"/>
        <w:ind w:firstLine="435"/>
        <w:rPr>
          <w:rFonts w:hint="eastAsia" w:ascii="宋体" w:hAnsi="宋体" w:eastAsia="宋体"/>
          <w:color w:val="auto"/>
          <w:sz w:val="24"/>
          <w:szCs w:val="18"/>
          <w:highlight w:val="none"/>
        </w:rPr>
      </w:pPr>
      <w:r>
        <w:rPr>
          <w:rFonts w:hint="eastAsia" w:ascii="宋体" w:hAnsi="宋体" w:eastAsia="宋体"/>
          <w:color w:val="auto"/>
          <w:sz w:val="24"/>
          <w:szCs w:val="18"/>
          <w:highlight w:val="none"/>
        </w:rPr>
        <w:t>2.</w:t>
      </w:r>
      <w:r>
        <w:rPr>
          <w:rFonts w:ascii="宋体" w:hAnsi="宋体" w:eastAsia="宋体" w:cs="宋体"/>
          <w:color w:val="auto"/>
          <w:sz w:val="24"/>
          <w:szCs w:val="24"/>
          <w:highlight w:val="none"/>
        </w:rPr>
        <w:t>政府采购政策（包括但不限于下列具体政策要求</w:t>
      </w:r>
      <w:r>
        <w:rPr>
          <w:rFonts w:hint="eastAsia" w:ascii="宋体" w:hAnsi="宋体" w:eastAsia="宋体" w:cs="宋体"/>
          <w:color w:val="auto"/>
          <w:sz w:val="24"/>
          <w:szCs w:val="24"/>
          <w:highlight w:val="none"/>
        </w:rPr>
        <w:t>）</w:t>
      </w:r>
      <w:r>
        <w:rPr>
          <w:rFonts w:hint="eastAsia" w:ascii="宋体" w:hAnsi="宋体" w:eastAsia="宋体"/>
          <w:color w:val="auto"/>
          <w:sz w:val="24"/>
          <w:szCs w:val="18"/>
          <w:highlight w:val="none"/>
        </w:rPr>
        <w:t>：</w:t>
      </w:r>
    </w:p>
    <w:p w14:paraId="471EC60B">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b/>
          <w:bCs/>
          <w:color w:val="auto"/>
          <w:sz w:val="24"/>
          <w:szCs w:val="24"/>
          <w:highlight w:val="none"/>
        </w:rPr>
        <w:t>如属于《节能产品政府采购品目清单》中政府强制采购的节能产品，则投标人所投产品投标时须提供市场监管总局公布的《参与实施政府采购节能产品认证机构目录》中的认证机构出具的、处于有效期内的节能产品认证证书，否则按无效标处理</w:t>
      </w:r>
      <w:r>
        <w:rPr>
          <w:rFonts w:hint="eastAsia" w:ascii="宋体" w:hAnsi="宋体" w:eastAsia="宋体" w:cs="宋体"/>
          <w:color w:val="auto"/>
          <w:sz w:val="24"/>
          <w:szCs w:val="24"/>
          <w:highlight w:val="none"/>
        </w:rPr>
        <w:t>。</w:t>
      </w:r>
    </w:p>
    <w:p w14:paraId="799BB425">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21C7F3E8">
      <w:pPr>
        <w:spacing w:line="360" w:lineRule="auto"/>
        <w:ind w:firstLine="435"/>
        <w:rPr>
          <w:rFonts w:hint="eastAsia"/>
          <w:color w:val="auto"/>
          <w:highlight w:val="none"/>
        </w:rPr>
      </w:pPr>
      <w:r>
        <w:rPr>
          <w:rFonts w:hint="eastAsia" w:ascii="宋体" w:hAnsi="宋体" w:eastAsia="宋体" w:cs="宋体"/>
          <w:color w:val="auto"/>
          <w:sz w:val="24"/>
          <w:szCs w:val="24"/>
          <w:highlight w:val="none"/>
        </w:rPr>
        <w:t>3.</w:t>
      </w:r>
      <w:r>
        <w:rPr>
          <w:rFonts w:hint="eastAsia" w:ascii="宋体" w:hAnsi="宋体" w:eastAsia="宋体"/>
          <w:color w:val="auto"/>
          <w:sz w:val="24"/>
          <w:szCs w:val="18"/>
          <w:highlight w:val="none"/>
        </w:rPr>
        <w:t>如采购人允许采用分包方式履行合同的，应当明确可以分包履行的相关内容。</w:t>
      </w:r>
    </w:p>
    <w:p w14:paraId="30B0ED33">
      <w:pPr>
        <w:spacing w:line="360" w:lineRule="auto"/>
        <w:ind w:firstLine="437"/>
        <w:outlineLvl w:val="1"/>
        <w:rPr>
          <w:rFonts w:hint="eastAsia" w:ascii="宋体" w:hAnsi="宋体" w:eastAsia="宋体"/>
          <w:b/>
          <w:color w:val="auto"/>
          <w:sz w:val="24"/>
          <w:szCs w:val="18"/>
          <w:highlight w:val="none"/>
        </w:rPr>
      </w:pPr>
      <w:bookmarkStart w:id="34" w:name="_Toc32151"/>
      <w:bookmarkStart w:id="35" w:name="_Toc2554"/>
      <w:r>
        <w:rPr>
          <w:rFonts w:hint="eastAsia" w:ascii="宋体" w:hAnsi="宋体" w:eastAsia="宋体"/>
          <w:b/>
          <w:color w:val="auto"/>
          <w:sz w:val="24"/>
          <w:szCs w:val="18"/>
          <w:highlight w:val="none"/>
        </w:rPr>
        <w:t>一、采购需求前附表</w:t>
      </w:r>
      <w:bookmarkEnd w:id="34"/>
      <w:bookmarkEnd w:id="35"/>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9"/>
        <w:gridCol w:w="1980"/>
        <w:gridCol w:w="6458"/>
      </w:tblGrid>
      <w:tr w14:paraId="43BAD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57" w:type="pct"/>
            <w:vAlign w:val="center"/>
          </w:tcPr>
          <w:p w14:paraId="0F188398">
            <w:pPr>
              <w:pStyle w:val="42"/>
              <w:pBdr>
                <w:bottom w:val="none" w:color="auto" w:sz="0" w:space="0"/>
              </w:pBdr>
              <w:tabs>
                <w:tab w:val="clear" w:pos="4153"/>
                <w:tab w:val="clear" w:pos="8306"/>
              </w:tabs>
              <w:adjustRightInd/>
              <w:spacing w:line="240" w:lineRule="auto"/>
              <w:textAlignment w:val="auto"/>
              <w:rPr>
                <w:rFonts w:hint="eastAsia" w:ascii="宋体" w:hAnsi="宋体" w:eastAsia="宋体"/>
                <w:b/>
                <w:color w:val="auto"/>
                <w:kern w:val="2"/>
                <w:highlight w:val="none"/>
              </w:rPr>
            </w:pPr>
            <w:r>
              <w:rPr>
                <w:rFonts w:hint="eastAsia" w:ascii="宋体" w:hAnsi="宋体" w:eastAsia="宋体"/>
                <w:b/>
                <w:color w:val="auto"/>
                <w:kern w:val="2"/>
                <w:highlight w:val="none"/>
              </w:rPr>
              <w:t>序号</w:t>
            </w:r>
          </w:p>
        </w:tc>
        <w:tc>
          <w:tcPr>
            <w:tcW w:w="1066" w:type="pct"/>
            <w:vAlign w:val="center"/>
          </w:tcPr>
          <w:p w14:paraId="200C6B67">
            <w:pPr>
              <w:pStyle w:val="41"/>
              <w:widowControl w:val="0"/>
              <w:spacing w:before="0" w:beforeAutospacing="0" w:after="0" w:afterAutospacing="0" w:line="360" w:lineRule="auto"/>
              <w:rPr>
                <w:rFonts w:hint="eastAsia"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476" w:type="pct"/>
            <w:vAlign w:val="center"/>
          </w:tcPr>
          <w:p w14:paraId="1E08E055">
            <w:pPr>
              <w:pStyle w:val="41"/>
              <w:widowControl w:val="0"/>
              <w:spacing w:before="0" w:beforeAutospacing="0" w:after="0" w:afterAutospacing="0" w:line="360" w:lineRule="auto"/>
              <w:rPr>
                <w:rFonts w:hint="eastAsia"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20CF3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57" w:type="pct"/>
            <w:vAlign w:val="center"/>
          </w:tcPr>
          <w:p w14:paraId="44D6A7A7">
            <w:pPr>
              <w:pStyle w:val="42"/>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w:t>
            </w:r>
          </w:p>
        </w:tc>
        <w:tc>
          <w:tcPr>
            <w:tcW w:w="1066" w:type="pct"/>
            <w:vAlign w:val="center"/>
          </w:tcPr>
          <w:p w14:paraId="7EA999D1">
            <w:pPr>
              <w:pStyle w:val="41"/>
              <w:widowControl w:val="0"/>
              <w:spacing w:before="0" w:beforeAutospacing="0" w:after="0" w:afterAutospacing="0" w:line="360" w:lineRule="auto"/>
              <w:rPr>
                <w:rFonts w:hint="eastAsia"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476" w:type="pct"/>
            <w:vAlign w:val="center"/>
          </w:tcPr>
          <w:p w14:paraId="62B8C4E7">
            <w:pPr>
              <w:pStyle w:val="41"/>
              <w:widowControl w:val="0"/>
              <w:spacing w:before="0" w:beforeAutospacing="0" w:after="0" w:afterAutospacing="0" w:line="360" w:lineRule="auto"/>
              <w:jc w:val="both"/>
              <w:rPr>
                <w:rFonts w:hint="eastAsia" w:ascii="宋体" w:hAnsi="宋体" w:eastAsia="宋体"/>
                <w:b w:val="0"/>
                <w:color w:val="auto"/>
                <w:sz w:val="24"/>
                <w:highlight w:val="none"/>
                <w:u w:val="single"/>
              </w:rPr>
            </w:pPr>
            <w:r>
              <w:rPr>
                <w:rFonts w:hint="eastAsia" w:ascii="宋体" w:hAnsi="宋体" w:eastAsia="宋体"/>
                <w:b w:val="0"/>
                <w:color w:val="auto"/>
                <w:sz w:val="24"/>
                <w:highlight w:val="none"/>
                <w:u w:val="single"/>
              </w:rPr>
              <w:t>合同签订且具备实施条件后，支付合同价的40%预付款（预付款支付前，中标人须提供同等金额的见索即付保函），全部供货安装调试运行完毕并由采购人验收合格后，一次性付清结算价款。</w:t>
            </w:r>
          </w:p>
        </w:tc>
      </w:tr>
      <w:tr w14:paraId="54BAE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57" w:type="pct"/>
            <w:vAlign w:val="center"/>
          </w:tcPr>
          <w:p w14:paraId="1BFF4145">
            <w:pPr>
              <w:pStyle w:val="42"/>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w:t>
            </w:r>
          </w:p>
        </w:tc>
        <w:tc>
          <w:tcPr>
            <w:tcW w:w="1066" w:type="pct"/>
            <w:vAlign w:val="center"/>
          </w:tcPr>
          <w:p w14:paraId="400801A7">
            <w:pPr>
              <w:pStyle w:val="41"/>
              <w:widowControl w:val="0"/>
              <w:spacing w:before="0" w:beforeAutospacing="0" w:after="0" w:afterAutospacing="0" w:line="360" w:lineRule="auto"/>
              <w:rPr>
                <w:rFonts w:hint="eastAsia" w:ascii="宋体" w:hAnsi="宋体" w:eastAsia="宋体"/>
                <w:b w:val="0"/>
                <w:color w:val="auto"/>
                <w:sz w:val="24"/>
                <w:highlight w:val="none"/>
              </w:rPr>
            </w:pPr>
            <w:r>
              <w:rPr>
                <w:rFonts w:hint="eastAsia" w:ascii="宋体" w:hAnsi="宋体" w:eastAsia="宋体"/>
                <w:b w:val="0"/>
                <w:color w:val="auto"/>
                <w:sz w:val="24"/>
                <w:highlight w:val="none"/>
              </w:rPr>
              <w:t>供货及安装地点</w:t>
            </w:r>
          </w:p>
        </w:tc>
        <w:tc>
          <w:tcPr>
            <w:tcW w:w="3476" w:type="pct"/>
            <w:vAlign w:val="center"/>
          </w:tcPr>
          <w:p w14:paraId="008E1630">
            <w:pPr>
              <w:pStyle w:val="41"/>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滁州职业技术学院</w:t>
            </w:r>
          </w:p>
        </w:tc>
      </w:tr>
      <w:tr w14:paraId="453DE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57" w:type="pct"/>
            <w:vAlign w:val="center"/>
          </w:tcPr>
          <w:p w14:paraId="79C64E8A">
            <w:pPr>
              <w:pStyle w:val="42"/>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3</w:t>
            </w:r>
          </w:p>
        </w:tc>
        <w:tc>
          <w:tcPr>
            <w:tcW w:w="1066" w:type="pct"/>
            <w:vAlign w:val="center"/>
          </w:tcPr>
          <w:p w14:paraId="28D0729D">
            <w:pPr>
              <w:pStyle w:val="41"/>
              <w:widowControl w:val="0"/>
              <w:spacing w:before="0" w:beforeAutospacing="0" w:after="0" w:afterAutospacing="0" w:line="360" w:lineRule="auto"/>
              <w:rPr>
                <w:rFonts w:hint="eastAsia" w:ascii="宋体" w:hAnsi="宋体" w:eastAsia="宋体"/>
                <w:b w:val="0"/>
                <w:color w:val="auto"/>
                <w:sz w:val="24"/>
                <w:highlight w:val="none"/>
              </w:rPr>
            </w:pPr>
            <w:r>
              <w:rPr>
                <w:rFonts w:hint="eastAsia" w:ascii="宋体" w:hAnsi="宋体" w:eastAsia="宋体"/>
                <w:b w:val="0"/>
                <w:color w:val="auto"/>
                <w:sz w:val="24"/>
                <w:highlight w:val="none"/>
              </w:rPr>
              <w:t>供货及安装期限</w:t>
            </w:r>
          </w:p>
        </w:tc>
        <w:tc>
          <w:tcPr>
            <w:tcW w:w="3476" w:type="pct"/>
            <w:vAlign w:val="center"/>
          </w:tcPr>
          <w:p w14:paraId="64A45A16">
            <w:pPr>
              <w:pStyle w:val="41"/>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u w:val="single"/>
              </w:rPr>
              <w:t>合同签订后，自接到采购人通知之日起30个日历天内完成全部供货、安装、调试、运行工作。</w:t>
            </w:r>
          </w:p>
        </w:tc>
      </w:tr>
      <w:tr w14:paraId="1661A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57" w:type="pct"/>
            <w:vAlign w:val="center"/>
          </w:tcPr>
          <w:p w14:paraId="0A86A6BE">
            <w:pPr>
              <w:pStyle w:val="42"/>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4</w:t>
            </w:r>
          </w:p>
        </w:tc>
        <w:tc>
          <w:tcPr>
            <w:tcW w:w="1066" w:type="pct"/>
            <w:vAlign w:val="center"/>
          </w:tcPr>
          <w:p w14:paraId="6BA5A37C">
            <w:pPr>
              <w:pStyle w:val="41"/>
              <w:widowControl w:val="0"/>
              <w:spacing w:before="0" w:beforeAutospacing="0" w:after="0" w:afterAutospacing="0" w:line="360" w:lineRule="auto"/>
              <w:rPr>
                <w:rFonts w:hint="eastAsia" w:ascii="宋体" w:hAnsi="宋体" w:eastAsia="宋体"/>
                <w:b w:val="0"/>
                <w:color w:val="auto"/>
                <w:sz w:val="24"/>
                <w:highlight w:val="none"/>
              </w:rPr>
            </w:pPr>
            <w:r>
              <w:rPr>
                <w:rFonts w:hint="eastAsia" w:ascii="宋体" w:hAnsi="宋体" w:eastAsia="宋体"/>
                <w:b w:val="0"/>
                <w:color w:val="auto"/>
                <w:sz w:val="24"/>
                <w:highlight w:val="none"/>
              </w:rPr>
              <w:t>免费质保期</w:t>
            </w:r>
          </w:p>
        </w:tc>
        <w:tc>
          <w:tcPr>
            <w:tcW w:w="3476" w:type="pct"/>
            <w:vAlign w:val="center"/>
          </w:tcPr>
          <w:p w14:paraId="0D94A51E">
            <w:pPr>
              <w:pStyle w:val="41"/>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u w:val="single"/>
              </w:rPr>
              <w:t>至少提供3年的免费质保服务（自验收合格之日起）。</w:t>
            </w:r>
          </w:p>
        </w:tc>
      </w:tr>
    </w:tbl>
    <w:p w14:paraId="36B88BE0">
      <w:pPr>
        <w:spacing w:line="360" w:lineRule="auto"/>
        <w:ind w:firstLine="437"/>
        <w:outlineLvl w:val="1"/>
        <w:rPr>
          <w:rFonts w:hint="eastAsia" w:ascii="宋体" w:hAnsi="宋体" w:eastAsia="宋体"/>
          <w:b/>
          <w:bCs/>
          <w:color w:val="auto"/>
          <w:sz w:val="24"/>
          <w:szCs w:val="18"/>
          <w:highlight w:val="none"/>
        </w:rPr>
      </w:pPr>
      <w:bookmarkStart w:id="36" w:name="_Toc7671"/>
      <w:bookmarkStart w:id="37" w:name="_Toc5944"/>
    </w:p>
    <w:p w14:paraId="3BF97234">
      <w:pPr>
        <w:spacing w:line="360" w:lineRule="auto"/>
        <w:ind w:firstLine="437"/>
        <w:outlineLvl w:val="1"/>
        <w:rPr>
          <w:rFonts w:hint="eastAsia" w:ascii="宋体" w:hAnsi="宋体" w:eastAsia="宋体"/>
          <w:b/>
          <w:bCs/>
          <w:color w:val="auto"/>
          <w:sz w:val="24"/>
          <w:szCs w:val="18"/>
          <w:highlight w:val="none"/>
        </w:rPr>
        <w:sectPr>
          <w:headerReference r:id="rId5" w:type="default"/>
          <w:footerReference r:id="rId6" w:type="default"/>
          <w:pgSz w:w="11905" w:h="16838"/>
          <w:pgMar w:top="1440" w:right="1417" w:bottom="1440" w:left="1417" w:header="850" w:footer="992" w:gutter="0"/>
          <w:pgNumType w:start="1"/>
          <w:cols w:space="0" w:num="1"/>
          <w:docGrid w:type="lines" w:linePitch="317" w:charSpace="0"/>
        </w:sectPr>
      </w:pPr>
    </w:p>
    <w:p w14:paraId="3E806DB2">
      <w:pPr>
        <w:numPr>
          <w:ilvl w:val="0"/>
          <w:numId w:val="1"/>
        </w:numPr>
        <w:spacing w:line="360" w:lineRule="auto"/>
        <w:ind w:firstLine="437"/>
        <w:outlineLvl w:val="1"/>
        <w:rPr>
          <w:rFonts w:hint="eastAsia" w:ascii="宋体" w:hAnsi="宋体" w:eastAsia="宋体"/>
          <w:b/>
          <w:bCs/>
          <w:color w:val="auto"/>
          <w:sz w:val="24"/>
          <w:szCs w:val="18"/>
          <w:highlight w:val="none"/>
        </w:rPr>
      </w:pPr>
      <w:r>
        <w:rPr>
          <w:rFonts w:hint="eastAsia" w:ascii="宋体" w:hAnsi="宋体" w:eastAsia="宋体"/>
          <w:b/>
          <w:color w:val="auto"/>
          <w:sz w:val="24"/>
          <w:szCs w:val="18"/>
          <w:highlight w:val="none"/>
        </w:rPr>
        <w:t>货物</w:t>
      </w:r>
      <w:r>
        <w:rPr>
          <w:rFonts w:hint="eastAsia" w:ascii="宋体" w:hAnsi="宋体" w:eastAsia="宋体"/>
          <w:b/>
          <w:bCs/>
          <w:color w:val="auto"/>
          <w:sz w:val="24"/>
          <w:szCs w:val="18"/>
          <w:highlight w:val="none"/>
        </w:rPr>
        <w:t>需求</w:t>
      </w:r>
      <w:bookmarkEnd w:id="36"/>
      <w:bookmarkEnd w:id="37"/>
    </w:p>
    <w:tbl>
      <w:tblPr>
        <w:tblStyle w:val="23"/>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1253"/>
        <w:gridCol w:w="7921"/>
        <w:gridCol w:w="723"/>
        <w:gridCol w:w="589"/>
        <w:gridCol w:w="756"/>
        <w:gridCol w:w="1250"/>
        <w:gridCol w:w="928"/>
      </w:tblGrid>
      <w:tr w14:paraId="5AB91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 w:type="pct"/>
            <w:vAlign w:val="center"/>
          </w:tcPr>
          <w:p w14:paraId="4AECDD6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序号</w:t>
            </w:r>
          </w:p>
        </w:tc>
        <w:tc>
          <w:tcPr>
            <w:tcW w:w="442" w:type="pct"/>
            <w:vAlign w:val="center"/>
          </w:tcPr>
          <w:p w14:paraId="079C235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货物名称</w:t>
            </w:r>
          </w:p>
        </w:tc>
        <w:tc>
          <w:tcPr>
            <w:tcW w:w="2796" w:type="pct"/>
            <w:vAlign w:val="center"/>
          </w:tcPr>
          <w:p w14:paraId="4668DDF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技术参数及要求</w:t>
            </w:r>
          </w:p>
        </w:tc>
        <w:tc>
          <w:tcPr>
            <w:tcW w:w="255" w:type="pct"/>
            <w:vAlign w:val="center"/>
          </w:tcPr>
          <w:p w14:paraId="0C68907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数量</w:t>
            </w:r>
          </w:p>
        </w:tc>
        <w:tc>
          <w:tcPr>
            <w:tcW w:w="207" w:type="pct"/>
            <w:vAlign w:val="center"/>
          </w:tcPr>
          <w:p w14:paraId="41EB44E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单位</w:t>
            </w:r>
          </w:p>
        </w:tc>
        <w:tc>
          <w:tcPr>
            <w:tcW w:w="266" w:type="pct"/>
            <w:vAlign w:val="center"/>
          </w:tcPr>
          <w:p w14:paraId="5C3B9E3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所属</w:t>
            </w:r>
          </w:p>
          <w:p w14:paraId="61BCDA4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行业</w:t>
            </w:r>
          </w:p>
        </w:tc>
        <w:tc>
          <w:tcPr>
            <w:tcW w:w="441" w:type="pct"/>
            <w:vAlign w:val="center"/>
          </w:tcPr>
          <w:p w14:paraId="343A336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是否为核心产品</w:t>
            </w:r>
          </w:p>
        </w:tc>
        <w:tc>
          <w:tcPr>
            <w:tcW w:w="327" w:type="pct"/>
            <w:vAlign w:val="center"/>
          </w:tcPr>
          <w:p w14:paraId="462384D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备注</w:t>
            </w:r>
          </w:p>
        </w:tc>
      </w:tr>
      <w:tr w14:paraId="54A77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262" w:type="pct"/>
            <w:vAlign w:val="center"/>
          </w:tcPr>
          <w:p w14:paraId="08516CEC">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442" w:type="pct"/>
            <w:vAlign w:val="center"/>
          </w:tcPr>
          <w:p w14:paraId="2FF3AE92">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图片剪辑实训室教师机终端</w:t>
            </w:r>
          </w:p>
        </w:tc>
        <w:tc>
          <w:tcPr>
            <w:tcW w:w="2796" w:type="pct"/>
            <w:vAlign w:val="center"/>
          </w:tcPr>
          <w:p w14:paraId="10FDD7CA">
            <w:pPr>
              <w:keepNext w:val="0"/>
              <w:keepLines w:val="0"/>
              <w:pageBreakBefore w:val="0"/>
              <w:widowControl w:val="0"/>
              <w:kinsoku/>
              <w:wordWrap w:val="0"/>
              <w:overflowPunct/>
              <w:topLinePunct w:val="0"/>
              <w:autoSpaceDE/>
              <w:autoSpaceDN/>
              <w:bidi w:val="0"/>
              <w:adjustRightInd/>
              <w:snapToGrid/>
              <w:spacing w:line="36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1.CPU：≥20核、≥28线程、主频≥2.1GHz、睿频≥5.4GHz、三级缓存≥33MB。</w:t>
            </w:r>
          </w:p>
          <w:p w14:paraId="427AAB5D">
            <w:pPr>
              <w:keepNext w:val="0"/>
              <w:keepLines w:val="0"/>
              <w:pageBreakBefore w:val="0"/>
              <w:widowControl w:val="0"/>
              <w:kinsoku/>
              <w:wordWrap w:val="0"/>
              <w:overflowPunct/>
              <w:topLinePunct w:val="0"/>
              <w:autoSpaceDE/>
              <w:autoSpaceDN/>
              <w:bidi w:val="0"/>
              <w:adjustRightInd/>
              <w:snapToGrid/>
              <w:spacing w:line="36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2.内存：32GB DDR5内存或以上，内存频率≥5600MT/s，最大支持128GB。</w:t>
            </w:r>
          </w:p>
          <w:p w14:paraId="2AB1AB9E">
            <w:pPr>
              <w:keepNext w:val="0"/>
              <w:keepLines w:val="0"/>
              <w:pageBreakBefore w:val="0"/>
              <w:widowControl w:val="0"/>
              <w:kinsoku/>
              <w:wordWrap w:val="0"/>
              <w:overflowPunct/>
              <w:topLinePunct w:val="0"/>
              <w:autoSpaceDE/>
              <w:autoSpaceDN/>
              <w:bidi w:val="0"/>
              <w:adjustRightInd/>
              <w:snapToGrid/>
              <w:spacing w:line="36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3.硬盘：≥512GB M.2 NVMe SSD硬盘，支持拓展≥2个 M.2固态硬盘，支持拓展≥2个机械硬盘。</w:t>
            </w:r>
          </w:p>
          <w:p w14:paraId="3272F34E">
            <w:pPr>
              <w:keepNext w:val="0"/>
              <w:keepLines w:val="0"/>
              <w:pageBreakBefore w:val="0"/>
              <w:widowControl w:val="0"/>
              <w:kinsoku/>
              <w:wordWrap w:val="0"/>
              <w:overflowPunct/>
              <w:topLinePunct w:val="0"/>
              <w:autoSpaceDE/>
              <w:autoSpaceDN/>
              <w:bidi w:val="0"/>
              <w:adjustRightInd/>
              <w:snapToGrid/>
              <w:spacing w:line="36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4.支持拓展9.5mm标准光驱配备。</w:t>
            </w:r>
          </w:p>
          <w:p w14:paraId="6A91F852">
            <w:pPr>
              <w:keepNext w:val="0"/>
              <w:keepLines w:val="0"/>
              <w:pageBreakBefore w:val="0"/>
              <w:widowControl w:val="0"/>
              <w:kinsoku/>
              <w:wordWrap w:val="0"/>
              <w:overflowPunct/>
              <w:topLinePunct w:val="0"/>
              <w:autoSpaceDE/>
              <w:autoSpaceDN/>
              <w:bidi w:val="0"/>
              <w:adjustRightInd/>
              <w:snapToGrid/>
              <w:spacing w:line="36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5.前置面板接口：USB3.2接口≥6个（至少包括USB-C接口≥1个，其中≥1个USB接口速率≥10Gbps，≥1个USB接口速率≥5Gbps）；≥2个麦克风接口，其中至少包括1个3.5mm四段式耳麦接口，1个3.5mm三段式麦克风接口；</w:t>
            </w:r>
          </w:p>
          <w:p w14:paraId="67909C8C">
            <w:pPr>
              <w:keepNext w:val="0"/>
              <w:keepLines w:val="0"/>
              <w:pageBreakBefore w:val="0"/>
              <w:widowControl w:val="0"/>
              <w:kinsoku/>
              <w:wordWrap w:val="0"/>
              <w:overflowPunct/>
              <w:topLinePunct w:val="0"/>
              <w:autoSpaceDE/>
              <w:autoSpaceDN/>
              <w:bidi w:val="0"/>
              <w:adjustRightInd/>
              <w:snapToGrid/>
              <w:spacing w:line="360" w:lineRule="exac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▲6.不开机状态下，支持≥2个前置USB端口对外供电，包含USB-C接口。（提供第三方检测机构出具的检测报告扫描件）</w:t>
            </w:r>
          </w:p>
          <w:p w14:paraId="288E15BB">
            <w:pPr>
              <w:keepNext w:val="0"/>
              <w:keepLines w:val="0"/>
              <w:pageBreakBefore w:val="0"/>
              <w:widowControl w:val="0"/>
              <w:kinsoku/>
              <w:wordWrap w:val="0"/>
              <w:overflowPunct/>
              <w:topLinePunct w:val="0"/>
              <w:autoSpaceDE/>
              <w:autoSpaceDN/>
              <w:bidi w:val="0"/>
              <w:adjustRightInd/>
              <w:snapToGrid/>
              <w:spacing w:line="36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7.后置面板接口：≥4个USB-A接口，支持键盘开机；≥1个HDMI、≥1个DP、≥1个VGA接口；≥3个后置音频接口；1个RJ45接口。</w:t>
            </w:r>
          </w:p>
          <w:p w14:paraId="7BA489AA">
            <w:pPr>
              <w:keepNext w:val="0"/>
              <w:keepLines w:val="0"/>
              <w:pageBreakBefore w:val="0"/>
              <w:widowControl w:val="0"/>
              <w:kinsoku/>
              <w:wordWrap w:val="0"/>
              <w:overflowPunct/>
              <w:topLinePunct w:val="0"/>
              <w:autoSpaceDE/>
              <w:autoSpaceDN/>
              <w:bidi w:val="0"/>
              <w:adjustRightInd/>
              <w:snapToGrid/>
              <w:spacing w:line="36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8.内置拓展接口：1个PCIE x16 5.0、1个PCIE x4 4.0、1个PCIE x1 PCIE 4.0；4个SATA3.0接口、3个M.2接口。</w:t>
            </w:r>
          </w:p>
          <w:p w14:paraId="0930004F">
            <w:pPr>
              <w:keepNext w:val="0"/>
              <w:keepLines w:val="0"/>
              <w:pageBreakBefore w:val="0"/>
              <w:widowControl w:val="0"/>
              <w:kinsoku/>
              <w:wordWrap w:val="0"/>
              <w:overflowPunct/>
              <w:topLinePunct w:val="0"/>
              <w:autoSpaceDE/>
              <w:autoSpaceDN/>
              <w:bidi w:val="0"/>
              <w:adjustRightInd/>
              <w:snapToGrid/>
              <w:spacing w:line="36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9.集成标准声卡，≥4G显存独立显卡。</w:t>
            </w:r>
          </w:p>
          <w:p w14:paraId="339FC0ED">
            <w:pPr>
              <w:keepNext w:val="0"/>
              <w:keepLines w:val="0"/>
              <w:pageBreakBefore w:val="0"/>
              <w:widowControl w:val="0"/>
              <w:kinsoku/>
              <w:wordWrap w:val="0"/>
              <w:overflowPunct/>
              <w:topLinePunct w:val="0"/>
              <w:autoSpaceDE/>
              <w:autoSpaceDN/>
              <w:bidi w:val="0"/>
              <w:adjustRightInd/>
              <w:snapToGrid/>
              <w:spacing w:line="360" w:lineRule="exac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▲10.机箱无需工具可实现内存条、固态硬盘、机械硬盘、独立显卡、电源的拆装维护（提供第三方检测机构出具的检测报告的扫描件或影印件）</w:t>
            </w:r>
          </w:p>
          <w:p w14:paraId="41437AB7">
            <w:pPr>
              <w:keepNext w:val="0"/>
              <w:keepLines w:val="0"/>
              <w:pageBreakBefore w:val="0"/>
              <w:widowControl w:val="0"/>
              <w:kinsoku/>
              <w:wordWrap w:val="0"/>
              <w:overflowPunct/>
              <w:topLinePunct w:val="0"/>
              <w:autoSpaceDE/>
              <w:autoSpaceDN/>
              <w:bidi w:val="0"/>
              <w:adjustRightInd/>
              <w:snapToGrid/>
              <w:spacing w:line="36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11.机箱体积：≥17L，机箱配备非后加或非原配件顶置提手。</w:t>
            </w:r>
          </w:p>
          <w:p w14:paraId="106F5F6B">
            <w:pPr>
              <w:keepNext w:val="0"/>
              <w:keepLines w:val="0"/>
              <w:pageBreakBefore w:val="0"/>
              <w:widowControl w:val="0"/>
              <w:kinsoku/>
              <w:wordWrap w:val="0"/>
              <w:overflowPunct/>
              <w:topLinePunct w:val="0"/>
              <w:autoSpaceDE/>
              <w:autoSpaceDN/>
              <w:bidi w:val="0"/>
              <w:adjustRightInd/>
              <w:snapToGrid/>
              <w:spacing w:line="36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电源：电源功率≥300W，电源转换效率≥92%。</w:t>
            </w:r>
          </w:p>
          <w:p w14:paraId="49D5A0D7">
            <w:pPr>
              <w:keepNext w:val="0"/>
              <w:keepLines w:val="0"/>
              <w:pageBreakBefore w:val="0"/>
              <w:widowControl w:val="0"/>
              <w:kinsoku/>
              <w:wordWrap w:val="0"/>
              <w:overflowPunct/>
              <w:topLinePunct w:val="0"/>
              <w:autoSpaceDE/>
              <w:autoSpaceDN/>
              <w:bidi w:val="0"/>
              <w:adjustRightInd/>
              <w:snapToGrid/>
              <w:spacing w:line="360" w:lineRule="exac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12.机箱后面板具有一键还原按钮，提供非基于操作系统的一键备份还原的功能</w:t>
            </w:r>
            <w:r>
              <w:rPr>
                <w:rFonts w:hint="eastAsia" w:ascii="宋体" w:hAnsi="宋体" w:eastAsia="宋体" w:cs="宋体"/>
                <w:color w:val="auto"/>
                <w:szCs w:val="21"/>
                <w:highlight w:val="none"/>
                <w:lang w:eastAsia="zh-CN"/>
              </w:rPr>
              <w:t>。</w:t>
            </w:r>
          </w:p>
          <w:p w14:paraId="30E808A3">
            <w:pPr>
              <w:keepNext w:val="0"/>
              <w:keepLines w:val="0"/>
              <w:pageBreakBefore w:val="0"/>
              <w:widowControl w:val="0"/>
              <w:kinsoku/>
              <w:wordWrap w:val="0"/>
              <w:overflowPunct/>
              <w:topLinePunct w:val="0"/>
              <w:autoSpaceDE/>
              <w:autoSpaceDN/>
              <w:bidi w:val="0"/>
              <w:adjustRightInd/>
              <w:snapToGrid/>
              <w:spacing w:line="360" w:lineRule="exact"/>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13.安全管控：BIOS支持单独管控关闭USB接口。支持关闭以太网接口。</w:t>
            </w:r>
          </w:p>
        </w:tc>
        <w:tc>
          <w:tcPr>
            <w:tcW w:w="255" w:type="pct"/>
            <w:vAlign w:val="center"/>
          </w:tcPr>
          <w:p w14:paraId="3399B9C7">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3</w:t>
            </w:r>
          </w:p>
        </w:tc>
        <w:tc>
          <w:tcPr>
            <w:tcW w:w="207" w:type="pct"/>
            <w:vAlign w:val="center"/>
          </w:tcPr>
          <w:p w14:paraId="2B0E2D2C">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台</w:t>
            </w:r>
          </w:p>
        </w:tc>
        <w:tc>
          <w:tcPr>
            <w:tcW w:w="266" w:type="pct"/>
            <w:vAlign w:val="center"/>
          </w:tcPr>
          <w:p w14:paraId="04EF2C14">
            <w:pPr>
              <w:keepNext w:val="0"/>
              <w:keepLines w:val="0"/>
              <w:pageBreakBefore w:val="0"/>
              <w:widowControl/>
              <w:kinsoku/>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工业</w:t>
            </w:r>
          </w:p>
        </w:tc>
        <w:tc>
          <w:tcPr>
            <w:tcW w:w="441" w:type="pct"/>
            <w:vAlign w:val="center"/>
          </w:tcPr>
          <w:p w14:paraId="7685FB22">
            <w:pPr>
              <w:keepNext w:val="0"/>
              <w:keepLines w:val="0"/>
              <w:pageBreakBefore w:val="0"/>
              <w:widowControl/>
              <w:kinsoku/>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否</w:t>
            </w:r>
          </w:p>
        </w:tc>
        <w:tc>
          <w:tcPr>
            <w:tcW w:w="327" w:type="pct"/>
            <w:vAlign w:val="center"/>
          </w:tcPr>
          <w:p w14:paraId="41C7A337">
            <w:pPr>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p>
        </w:tc>
      </w:tr>
      <w:tr w14:paraId="511AB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62" w:type="pct"/>
            <w:vAlign w:val="center"/>
          </w:tcPr>
          <w:p w14:paraId="5E6A4C19">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442" w:type="pct"/>
            <w:vAlign w:val="center"/>
          </w:tcPr>
          <w:p w14:paraId="108544D6">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图片剪辑实训室学生机终端</w:t>
            </w:r>
          </w:p>
        </w:tc>
        <w:tc>
          <w:tcPr>
            <w:tcW w:w="2796" w:type="pct"/>
            <w:vAlign w:val="center"/>
          </w:tcPr>
          <w:p w14:paraId="721FE43E">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1.CPU：≥10核、≥16线程、主频≥2.4GHz、睿频频率≥4.8GHz、缓存≥20MB。</w:t>
            </w:r>
          </w:p>
          <w:p w14:paraId="30D72814">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2.内存：16GB DDR4 内存或以上。最大可支持拓展64GB。</w:t>
            </w:r>
          </w:p>
          <w:p w14:paraId="73B21B12">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3.硬盘：≥512GB M.2 NVMe SSD硬盘，支持拓展≥1个 M.2固态硬盘，支持拓展≥2个机械硬盘。</w:t>
            </w:r>
          </w:p>
          <w:p w14:paraId="7ABF45D8">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4.支持拓展9.5mm标准光驱。</w:t>
            </w:r>
          </w:p>
          <w:p w14:paraId="6DDF72CB">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5.网口支持1000Mbps，网口支持wake on LAN。</w:t>
            </w:r>
          </w:p>
          <w:p w14:paraId="0FA7E374">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6.集成标准声卡。</w:t>
            </w:r>
          </w:p>
          <w:p w14:paraId="676AFCA3">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7.前置面板：USB接口≥6个（至少包括USB-C 接口≥1个）；≥2个麦克风接口，其中至少包括1个3.5mm四段式耳麦接口，1个3.5mm三段式麦克风接口。</w:t>
            </w:r>
          </w:p>
          <w:p w14:paraId="18B2FAD4">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8.后置面板：≥4个USB-A接口，后置USB接口支持键盘开机；≥1个HDMI 1.4b、≥1个DP 1.4、≥1个VGA接口；≥3个后置音频接口；1个RJ45接口。</w:t>
            </w:r>
          </w:p>
          <w:p w14:paraId="439B892E">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9.内部插槽：≥1个PCIE x16 5.0、≥1个PCIE x4 4.0、≥1个PCIE x1 PCIE 4.0；≥3个SATA3.0接口、≥3个M.2接口。</w:t>
            </w:r>
          </w:p>
          <w:p w14:paraId="79C96CCE">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▲10.机箱内设无需任何工具即可实现内存条、固态硬盘、机械硬盘、独立显卡、电源的拆卸和安装。（提供第三方检测机构出具的检测报告扫描件）</w:t>
            </w:r>
          </w:p>
          <w:p w14:paraId="41D75AC8">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11.采用电源与主板直插式设计，电源与主板不通过软质线材连接，电源本体直接连接主板供电。</w:t>
            </w:r>
          </w:p>
          <w:p w14:paraId="2E787D70">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12.机箱体积：≥17L，机箱配备非后加或非原配件顶置提手。</w:t>
            </w:r>
          </w:p>
          <w:p w14:paraId="2DA6BDBB">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13.电源功率：≥300W</w:t>
            </w:r>
            <w:r>
              <w:rPr>
                <w:rFonts w:hint="eastAsia" w:ascii="宋体" w:hAnsi="宋体" w:eastAsia="宋体" w:cs="宋体"/>
                <w:color w:val="auto"/>
                <w:szCs w:val="21"/>
                <w:highlight w:val="none"/>
                <w:lang w:eastAsia="zh-CN"/>
              </w:rPr>
              <w:t>。</w:t>
            </w:r>
          </w:p>
          <w:p w14:paraId="55D469A0">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▲14.主机配备一键备份还原按键，可实现非基于操作系统的一键备份还原功能。（提供第三方检测机构出具的检测报告扫描件）</w:t>
            </w:r>
          </w:p>
        </w:tc>
        <w:tc>
          <w:tcPr>
            <w:tcW w:w="255" w:type="pct"/>
            <w:vAlign w:val="center"/>
          </w:tcPr>
          <w:p w14:paraId="1A3FC914">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180</w:t>
            </w:r>
          </w:p>
        </w:tc>
        <w:tc>
          <w:tcPr>
            <w:tcW w:w="207" w:type="pct"/>
            <w:vAlign w:val="center"/>
          </w:tcPr>
          <w:p w14:paraId="55242038">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台</w:t>
            </w:r>
          </w:p>
        </w:tc>
        <w:tc>
          <w:tcPr>
            <w:tcW w:w="266" w:type="pct"/>
            <w:vAlign w:val="center"/>
          </w:tcPr>
          <w:p w14:paraId="25E9FEE5">
            <w:pPr>
              <w:keepNext w:val="0"/>
              <w:keepLines w:val="0"/>
              <w:pageBreakBefore w:val="0"/>
              <w:widowControl/>
              <w:kinsoku/>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工业</w:t>
            </w:r>
          </w:p>
        </w:tc>
        <w:tc>
          <w:tcPr>
            <w:tcW w:w="441" w:type="pct"/>
            <w:vAlign w:val="center"/>
          </w:tcPr>
          <w:p w14:paraId="4EC2C6E5">
            <w:pPr>
              <w:keepNext w:val="0"/>
              <w:keepLines w:val="0"/>
              <w:pageBreakBefore w:val="0"/>
              <w:widowControl/>
              <w:kinsoku/>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是</w:t>
            </w:r>
          </w:p>
        </w:tc>
        <w:tc>
          <w:tcPr>
            <w:tcW w:w="327" w:type="pct"/>
            <w:vAlign w:val="center"/>
          </w:tcPr>
          <w:p w14:paraId="22559665">
            <w:pPr>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p>
        </w:tc>
      </w:tr>
      <w:tr w14:paraId="681B2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 w:type="pct"/>
            <w:vAlign w:val="center"/>
          </w:tcPr>
          <w:p w14:paraId="23943E1C">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442" w:type="pct"/>
            <w:vAlign w:val="center"/>
          </w:tcPr>
          <w:p w14:paraId="7021E136">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视频剪辑实训室教师机终端</w:t>
            </w:r>
          </w:p>
        </w:tc>
        <w:tc>
          <w:tcPr>
            <w:tcW w:w="2796" w:type="pct"/>
            <w:vAlign w:val="center"/>
          </w:tcPr>
          <w:p w14:paraId="170C49CB">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1.CPU：≥20核、≥28线程、主频≥2.1GHz、睿频≥5.4GHz、三级缓存≥33MB。</w:t>
            </w:r>
          </w:p>
          <w:p w14:paraId="5A467DBD">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2.内存：32GB DDR5内存或以上，内存频率≥5600MT/s，最大支持128GB。</w:t>
            </w:r>
          </w:p>
          <w:p w14:paraId="00F315C5">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3.硬盘：≥512GB M.2 NVMe SSD硬盘，支持拓展≥2个 M.2固态硬盘，≥2TB 机械硬盘，支持拓展≥2个机械硬盘。</w:t>
            </w:r>
          </w:p>
          <w:p w14:paraId="545F79D8">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4.支持拓展9.5mm标准光驱配备。</w:t>
            </w:r>
          </w:p>
          <w:p w14:paraId="3A6711F1">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5.前置面板接口：USB3.2接口≥6个（至少包括USB-C接口≥1个，其中≥1个USB接口速率≥10Gbps，≥1个USB接口速率≥5Gbps）；≥1个麦克风接口，其中至少包括1个3.5mm四段式耳麦接口，1个3.5mm三段式麦克风接口；</w:t>
            </w:r>
          </w:p>
          <w:p w14:paraId="382384E8">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▲6.不开机状态下，支持≥2个前置USB端口对外供电，包含USB-C接口。（提供第三方检测机构出具的检测报告扫描件）</w:t>
            </w:r>
          </w:p>
          <w:p w14:paraId="58B2D923">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7.后置面板接口：≥4个USB-A接口，支持键盘开机；≥1个HDMI、≥1个DP、≥1个VGA接口；≥3个后置音频接口；1个RJ45接口。</w:t>
            </w:r>
          </w:p>
          <w:p w14:paraId="6C0995AB">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8.内置拓展接口：1个PCIE x16 5.0、1个PCIE x4 4.0、1个PCIE x1 PCIE 4.0；4个SATA3.0接口、3个M.2接口。</w:t>
            </w:r>
          </w:p>
          <w:p w14:paraId="3CBEF596">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9.集成标准声卡，≥8G显存独立显卡。</w:t>
            </w:r>
          </w:p>
          <w:p w14:paraId="673F0EB2">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▲10.机箱无需工具可实现内存条、固态硬盘、机械硬盘、独立显卡、电源的拆装维护（提供第三方检测机构出具的检测报告扫描件）</w:t>
            </w:r>
          </w:p>
          <w:p w14:paraId="78F1DBB1">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11.机箱体积：≥17L，机箱配备非后加或非原配件顶置提手。</w:t>
            </w:r>
          </w:p>
          <w:p w14:paraId="5C425B9B">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12.电源：电源功率≥500W，电源转换效率≥92%。</w:t>
            </w:r>
          </w:p>
          <w:p w14:paraId="5CBA0B31">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13.机箱后面板具有一键还原按钮，提供非基于操作系统的一键备份还原的功能；</w:t>
            </w:r>
          </w:p>
          <w:p w14:paraId="2505187E">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14.安全管控：BIOS支持单独管控关闭USB接口。支持关闭以太网接口。</w:t>
            </w:r>
          </w:p>
        </w:tc>
        <w:tc>
          <w:tcPr>
            <w:tcW w:w="255" w:type="pct"/>
            <w:vAlign w:val="center"/>
          </w:tcPr>
          <w:p w14:paraId="52589240">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1</w:t>
            </w:r>
          </w:p>
        </w:tc>
        <w:tc>
          <w:tcPr>
            <w:tcW w:w="207" w:type="pct"/>
            <w:vAlign w:val="center"/>
          </w:tcPr>
          <w:p w14:paraId="5F741E98">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台</w:t>
            </w:r>
          </w:p>
        </w:tc>
        <w:tc>
          <w:tcPr>
            <w:tcW w:w="266" w:type="pct"/>
            <w:vAlign w:val="center"/>
          </w:tcPr>
          <w:p w14:paraId="6F300961">
            <w:pPr>
              <w:keepNext w:val="0"/>
              <w:keepLines w:val="0"/>
              <w:pageBreakBefore w:val="0"/>
              <w:widowControl/>
              <w:kinsoku/>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工业</w:t>
            </w:r>
          </w:p>
        </w:tc>
        <w:tc>
          <w:tcPr>
            <w:tcW w:w="441" w:type="pct"/>
            <w:vAlign w:val="center"/>
          </w:tcPr>
          <w:p w14:paraId="16A53716">
            <w:pPr>
              <w:keepNext w:val="0"/>
              <w:keepLines w:val="0"/>
              <w:pageBreakBefore w:val="0"/>
              <w:widowControl/>
              <w:kinsoku/>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否</w:t>
            </w:r>
          </w:p>
        </w:tc>
        <w:tc>
          <w:tcPr>
            <w:tcW w:w="327" w:type="pct"/>
            <w:vAlign w:val="center"/>
          </w:tcPr>
          <w:p w14:paraId="7011D6EE">
            <w:pPr>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p>
        </w:tc>
      </w:tr>
      <w:tr w14:paraId="7CD32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 w:type="pct"/>
            <w:vAlign w:val="center"/>
          </w:tcPr>
          <w:p w14:paraId="592E3B52">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442" w:type="pct"/>
            <w:vAlign w:val="center"/>
          </w:tcPr>
          <w:p w14:paraId="0CB6F2E3">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视频剪辑实训室学生机终端</w:t>
            </w:r>
          </w:p>
        </w:tc>
        <w:tc>
          <w:tcPr>
            <w:tcW w:w="2796" w:type="pct"/>
            <w:vAlign w:val="center"/>
          </w:tcPr>
          <w:p w14:paraId="0F593F85">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1.CPU：≥12核，≥20线程，主频≥2.1GHz，睿频≥4.9GHz，三级缓存≥25MB。</w:t>
            </w:r>
          </w:p>
          <w:p w14:paraId="41DC241C">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2.内存：16GB DDR4 内存或以上。最大可支持拓展64GB。</w:t>
            </w:r>
          </w:p>
          <w:p w14:paraId="0550D73D">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3.硬盘：≥512GB M.2 NVMe SSD硬盘，≥2TB 机械硬盘。</w:t>
            </w:r>
          </w:p>
          <w:p w14:paraId="173F8D8F">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4.支持拓展9.5mm标准光驱。</w:t>
            </w:r>
          </w:p>
          <w:p w14:paraId="4D891F1E">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5.网口支持1000Mbps，网口支持wake on LAN。</w:t>
            </w:r>
          </w:p>
          <w:p w14:paraId="22A8E452">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6.集成标准声卡，≥4G显存独立显卡。</w:t>
            </w:r>
          </w:p>
          <w:p w14:paraId="072EF939">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7.前置面板：USB3.0≥6个（其中两个支持USB 3.2 Gen2，四个支持USB 3.2 Gen1）；TypeC≥1个（支持USB 3.2 Gen1）；麦克风输入≥1个，音频输出≥1个。</w:t>
            </w:r>
          </w:p>
          <w:p w14:paraId="22B2E937">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▲8.前置面板音频输出接口采用四段式接口，兼容单耳机输出和耳机、麦克风二合一。（提供第三方检测机构出具的检测报告扫描件）</w:t>
            </w:r>
          </w:p>
          <w:p w14:paraId="17C2353D">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9.后置面板：USB2.0≥4个；HDMI输出≥1；VGA输出≥1；DP输出≥1；音频输入≥2；音频输出≥1；RJ45≥1；串口≥1。</w:t>
            </w:r>
          </w:p>
          <w:p w14:paraId="5762ACEB">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10.内部插槽：PCIEX16接口≥1个；PCIEX1接口≥2个；PCI接口≥1个；M.2接口≥2个；SATA接口≥3个。</w:t>
            </w:r>
          </w:p>
          <w:p w14:paraId="6E669E14">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11.机箱体积：≥15L。</w:t>
            </w:r>
          </w:p>
          <w:p w14:paraId="05C9A85E">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12.电源功率：≥300W；</w:t>
            </w:r>
          </w:p>
          <w:p w14:paraId="612B7F0B">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bCs/>
                <w:color w:val="auto"/>
                <w:szCs w:val="21"/>
                <w:highlight w:val="none"/>
              </w:rPr>
            </w:pPr>
            <w:r>
              <w:rPr>
                <w:rFonts w:hint="eastAsia" w:ascii="宋体" w:hAnsi="宋体" w:eastAsia="宋体" w:cs="宋体"/>
                <w:b/>
                <w:bCs/>
                <w:color w:val="auto"/>
                <w:szCs w:val="21"/>
                <w:highlight w:val="none"/>
              </w:rPr>
              <w:t>▲13.可通过物理按键实现系统一键还原。（提供第三方检测机构出具的检测报告扫描件）</w:t>
            </w:r>
          </w:p>
        </w:tc>
        <w:tc>
          <w:tcPr>
            <w:tcW w:w="255" w:type="pct"/>
            <w:vAlign w:val="center"/>
          </w:tcPr>
          <w:p w14:paraId="696F3D85">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60</w:t>
            </w:r>
          </w:p>
        </w:tc>
        <w:tc>
          <w:tcPr>
            <w:tcW w:w="207" w:type="pct"/>
            <w:vAlign w:val="center"/>
          </w:tcPr>
          <w:p w14:paraId="45FBC909">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台</w:t>
            </w:r>
          </w:p>
        </w:tc>
        <w:tc>
          <w:tcPr>
            <w:tcW w:w="266" w:type="pct"/>
            <w:vAlign w:val="center"/>
          </w:tcPr>
          <w:p w14:paraId="7AA0ACC0">
            <w:pPr>
              <w:keepNext w:val="0"/>
              <w:keepLines w:val="0"/>
              <w:pageBreakBefore w:val="0"/>
              <w:widowControl/>
              <w:kinsoku/>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工业</w:t>
            </w:r>
          </w:p>
        </w:tc>
        <w:tc>
          <w:tcPr>
            <w:tcW w:w="441" w:type="pct"/>
            <w:vAlign w:val="center"/>
          </w:tcPr>
          <w:p w14:paraId="500B438C">
            <w:pPr>
              <w:keepNext w:val="0"/>
              <w:keepLines w:val="0"/>
              <w:pageBreakBefore w:val="0"/>
              <w:widowControl/>
              <w:kinsoku/>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否</w:t>
            </w:r>
          </w:p>
        </w:tc>
        <w:tc>
          <w:tcPr>
            <w:tcW w:w="327" w:type="pct"/>
            <w:vAlign w:val="center"/>
          </w:tcPr>
          <w:p w14:paraId="7DAD5C8D">
            <w:pPr>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p>
        </w:tc>
      </w:tr>
      <w:tr w14:paraId="55F2C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262" w:type="pct"/>
            <w:vAlign w:val="center"/>
          </w:tcPr>
          <w:p w14:paraId="41B3A99F">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442" w:type="pct"/>
            <w:vAlign w:val="center"/>
          </w:tcPr>
          <w:p w14:paraId="5A1ED5F1">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23.8显示器</w:t>
            </w:r>
          </w:p>
        </w:tc>
        <w:tc>
          <w:tcPr>
            <w:tcW w:w="2796" w:type="pct"/>
            <w:vAlign w:val="center"/>
          </w:tcPr>
          <w:p w14:paraId="3CCD6EA7">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1.≥23.8英寸显示屏幕，分辨率≥1920*1080，IPS硬屏；</w:t>
            </w:r>
          </w:p>
          <w:p w14:paraId="37EEA063">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2.支持VGA≥1，HDMI≥1；</w:t>
            </w:r>
          </w:p>
          <w:p w14:paraId="0C5D6F2E">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3.对比度≥1000:1，屏幕刷新率≥100Hz，响应时间≤7ms；</w:t>
            </w:r>
          </w:p>
          <w:p w14:paraId="5472DC39">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4.可视角度≥178°；</w:t>
            </w:r>
          </w:p>
          <w:p w14:paraId="74C0C593">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w:t>
            </w:r>
            <w:r>
              <w:rPr>
                <w:rFonts w:hint="eastAsia" w:ascii="宋体" w:hAnsi="宋体" w:eastAsia="宋体" w:cs="宋体"/>
                <w:color w:val="auto"/>
                <w:szCs w:val="21"/>
                <w:highlight w:val="none"/>
              </w:rPr>
              <w:t>5.显示屏提供不少于护眼模式、阅读模式选项；</w:t>
            </w:r>
            <w:r>
              <w:rPr>
                <w:rFonts w:hint="eastAsia" w:ascii="宋体" w:hAnsi="宋体" w:eastAsia="宋体" w:cs="宋体"/>
                <w:b/>
                <w:bCs/>
                <w:color w:val="auto"/>
                <w:szCs w:val="21"/>
                <w:highlight w:val="none"/>
              </w:rPr>
              <w:t>（提供第三方检测机构出具的检测报告扫描件）</w:t>
            </w:r>
          </w:p>
          <w:p w14:paraId="3B235384">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6.屏占比≥92%；</w:t>
            </w:r>
          </w:p>
        </w:tc>
        <w:tc>
          <w:tcPr>
            <w:tcW w:w="255" w:type="pct"/>
            <w:vAlign w:val="center"/>
          </w:tcPr>
          <w:p w14:paraId="08FF147E">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244</w:t>
            </w:r>
          </w:p>
        </w:tc>
        <w:tc>
          <w:tcPr>
            <w:tcW w:w="207" w:type="pct"/>
            <w:vAlign w:val="center"/>
          </w:tcPr>
          <w:p w14:paraId="497BF4E7">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台</w:t>
            </w:r>
          </w:p>
        </w:tc>
        <w:tc>
          <w:tcPr>
            <w:tcW w:w="266" w:type="pct"/>
            <w:vAlign w:val="center"/>
          </w:tcPr>
          <w:p w14:paraId="70EE0D2B">
            <w:pPr>
              <w:keepNext w:val="0"/>
              <w:keepLines w:val="0"/>
              <w:pageBreakBefore w:val="0"/>
              <w:widowControl/>
              <w:kinsoku/>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工业</w:t>
            </w:r>
          </w:p>
        </w:tc>
        <w:tc>
          <w:tcPr>
            <w:tcW w:w="441" w:type="pct"/>
            <w:vAlign w:val="center"/>
          </w:tcPr>
          <w:p w14:paraId="23022CD9">
            <w:pPr>
              <w:keepNext w:val="0"/>
              <w:keepLines w:val="0"/>
              <w:pageBreakBefore w:val="0"/>
              <w:widowControl/>
              <w:kinsoku/>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否</w:t>
            </w:r>
          </w:p>
        </w:tc>
        <w:tc>
          <w:tcPr>
            <w:tcW w:w="327" w:type="pct"/>
            <w:vAlign w:val="center"/>
          </w:tcPr>
          <w:p w14:paraId="137E6D5D">
            <w:pPr>
              <w:keepNext w:val="0"/>
              <w:keepLines w:val="0"/>
              <w:pageBreakBefore w:val="0"/>
              <w:kinsoku/>
              <w:overflowPunct/>
              <w:topLinePunct w:val="0"/>
              <w:autoSpaceDE/>
              <w:autoSpaceDN/>
              <w:bidi w:val="0"/>
              <w:adjustRightInd/>
              <w:snapToGrid/>
              <w:spacing w:line="400" w:lineRule="exact"/>
              <w:jc w:val="center"/>
              <w:textAlignment w:val="auto"/>
              <w:rPr>
                <w:rFonts w:hint="default"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节能产品</w:t>
            </w:r>
          </w:p>
        </w:tc>
      </w:tr>
      <w:tr w14:paraId="1BAA3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 w:type="pct"/>
            <w:vAlign w:val="center"/>
          </w:tcPr>
          <w:p w14:paraId="66CD3247">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442" w:type="pct"/>
            <w:vAlign w:val="center"/>
          </w:tcPr>
          <w:p w14:paraId="49BADF5E">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管理员显示终端</w:t>
            </w:r>
          </w:p>
        </w:tc>
        <w:tc>
          <w:tcPr>
            <w:tcW w:w="2796" w:type="pct"/>
            <w:vAlign w:val="center"/>
          </w:tcPr>
          <w:p w14:paraId="29158DAB">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1.主频1.8GHz,4核，内存2G，存储32G</w:t>
            </w:r>
          </w:p>
          <w:p w14:paraId="27365A41">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2.整机亮度200nits,亮度均匀性≥55%</w:t>
            </w:r>
          </w:p>
          <w:p w14:paraId="1C5CB978">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3.分辨率3840*2160，屏幕比例16:9</w:t>
            </w:r>
          </w:p>
          <w:p w14:paraId="72CDA47A">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4.额定功率120w,待机功率&lt;0.5w</w:t>
            </w:r>
          </w:p>
        </w:tc>
        <w:tc>
          <w:tcPr>
            <w:tcW w:w="255" w:type="pct"/>
            <w:vAlign w:val="center"/>
          </w:tcPr>
          <w:p w14:paraId="4F5EF27A">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1</w:t>
            </w:r>
          </w:p>
        </w:tc>
        <w:tc>
          <w:tcPr>
            <w:tcW w:w="207" w:type="pct"/>
            <w:vAlign w:val="center"/>
          </w:tcPr>
          <w:p w14:paraId="7CBB095E">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台</w:t>
            </w:r>
          </w:p>
        </w:tc>
        <w:tc>
          <w:tcPr>
            <w:tcW w:w="266" w:type="pct"/>
            <w:vAlign w:val="center"/>
          </w:tcPr>
          <w:p w14:paraId="671FC049">
            <w:pPr>
              <w:keepNext w:val="0"/>
              <w:keepLines w:val="0"/>
              <w:pageBreakBefore w:val="0"/>
              <w:widowControl/>
              <w:kinsoku/>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color w:val="auto"/>
                <w:kern w:val="0"/>
                <w:szCs w:val="21"/>
                <w:highlight w:val="none"/>
              </w:rPr>
              <w:t>工业</w:t>
            </w:r>
          </w:p>
        </w:tc>
        <w:tc>
          <w:tcPr>
            <w:tcW w:w="441" w:type="pct"/>
            <w:vAlign w:val="center"/>
          </w:tcPr>
          <w:p w14:paraId="01A7B364">
            <w:pPr>
              <w:keepNext w:val="0"/>
              <w:keepLines w:val="0"/>
              <w:pageBreakBefore w:val="0"/>
              <w:widowControl/>
              <w:kinsoku/>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color w:val="auto"/>
                <w:kern w:val="0"/>
                <w:szCs w:val="21"/>
                <w:highlight w:val="none"/>
              </w:rPr>
              <w:t>否</w:t>
            </w:r>
          </w:p>
        </w:tc>
        <w:tc>
          <w:tcPr>
            <w:tcW w:w="327" w:type="pct"/>
            <w:vAlign w:val="center"/>
          </w:tcPr>
          <w:p w14:paraId="0ED0E7D4">
            <w:pPr>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p>
        </w:tc>
      </w:tr>
      <w:tr w14:paraId="1BAA6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 w:type="pct"/>
            <w:vAlign w:val="center"/>
          </w:tcPr>
          <w:p w14:paraId="3886B18F">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442" w:type="pct"/>
            <w:vAlign w:val="center"/>
          </w:tcPr>
          <w:p w14:paraId="7F24B1B1">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机房管理软件</w:t>
            </w:r>
          </w:p>
        </w:tc>
        <w:tc>
          <w:tcPr>
            <w:tcW w:w="2796" w:type="pct"/>
            <w:vAlign w:val="center"/>
          </w:tcPr>
          <w:p w14:paraId="77F2E945">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1.支持C/S架构B/S架构协同管理；支持通过公网访问管理终端，也可以通过浏览器、客户端访问管理后台进行管理，满足管理员不同网络下的远程管理需求。</w:t>
            </w:r>
          </w:p>
          <w:p w14:paraId="53D04144">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2.支持无操作系统裸机部署模式，通过U盘、PXE方式将终端部署成云桌面终端；支持带操作系统的物理机部署模式。</w:t>
            </w:r>
          </w:p>
          <w:p w14:paraId="253C28AF">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为简化管理员的维护，支持任意终端作为发送端将自身镜像同传给其他设备，同传时可在同传界面直观显示传输信息；支持镜像同传给局域网内其他终端设备，支持辨别其他终端的设备型号、IP地址、剩余磁盘容量、网卡速率等信息，支持同传过程中查看进度、传输速度等信息；支持增量同传和断点续传。</w:t>
            </w:r>
          </w:p>
          <w:p w14:paraId="2FBADA36">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支持任意终端作为发送端在云桌面系统和操作系统界面下均可直接发起镜像同传，接收端在云桌面系统和操作系统界面下直接接收镜像，无需重启或者进入特定运行模式接收镜像。（提供第三方检测机构出具的检测报告扫描件）</w:t>
            </w:r>
          </w:p>
          <w:p w14:paraId="59E1F204">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为便于不同场景、环境下的使用，支持单个终端部署多个系统镜像，多个系统镜像共享整个磁盘空间，系统运行互不影响；在云桌面系统、Windows等操作系统下都可实现直接切换到目标系统镜像；支持镜像灵活快速复制，修改复制后的新镜像满足镜像差异化需求。（提供第三方检测机构出具的检测报告扫描件）</w:t>
            </w:r>
          </w:p>
          <w:p w14:paraId="3BD8A13D">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支持局域网网盘的个人空间，为便于使用访问入口集成在资源管理器中；网盘管理端支持用户创建、编辑、禁用、设置密码、重置密码和删除操作，并支持管理端设置用户的文件大小限制、总空间限制，每个用户拥有自己独立的个人空间，在终端打开个人空间，输入用户名、密码登录后可以访问个人空间的资源；为方便用户个人使用，支持用户自主注册个人账号。</w:t>
            </w:r>
          </w:p>
          <w:p w14:paraId="6FFDC3D7">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支持设置屏幕水印的显示和隐藏，显示内容模式有设备信息模式和自定义内容模式；设备信息模式无需手动配置，默认显示元素有设备名称、座位编号、IP地址、MAC地址、启动方式、磁盘还原模式、当前镜像等信息，支持设置单个元素的显示和隐藏；自定义内容模式支持富文本编辑，可实现自定义设置字号、加粗、斜体、颜色以及属性占位符；支持水印显示区域的宽高设置。</w:t>
            </w:r>
          </w:p>
          <w:p w14:paraId="67281CDF">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▲8.终端设备配置管理平台后，提供用户统一登录认证功能，支持通过账号登录、手机扫码登录、本地管理密码登录。（提供第三方检测机构出具的检测报告扫描件）</w:t>
            </w:r>
          </w:p>
          <w:p w14:paraId="30A4B578">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支持批量下发软件到终端安装；支持自定义软件安装参数；支持下发后合并且更新镜像，适用于软件永久使用场景，还原后依然可以保留下发的软件更新；支持静默下发且不更新镜像，适用于软件临时使用场景，终端重启还原后删除软件更新内容。</w:t>
            </w:r>
          </w:p>
          <w:p w14:paraId="00B37309">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10.支持桌面高可用，即终端设备在运行桌面时网络中断或管理平台连接中断时，正在操作的教学业务不受影响，依然可使用当前云桌面镜像继续开展业务，打开的程序也不会中断，保障业务连续性。</w:t>
            </w:r>
          </w:p>
          <w:p w14:paraId="7B1AB66D">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支持远程访问管理平台域名即可管理；支持基于广域网统一纳管多分支机构云桌面的能力，支持三层网络、多校区等复杂网络环境安装；支持远程管理终端设备，通过管理平台进行开机、关机、重启、恢复出厂设置、还原、删除、配置更改、切换镜像、USB管控、硬件信息查看、桌面运行状态查看等。</w:t>
            </w:r>
          </w:p>
          <w:p w14:paraId="4AAC2537">
            <w:pPr>
              <w:keepNext w:val="0"/>
              <w:keepLines w:val="0"/>
              <w:pageBreakBefore w:val="0"/>
              <w:kinsoku/>
              <w:wordWrap w:val="0"/>
              <w:overflowPunct/>
              <w:topLinePunct w:val="0"/>
              <w:autoSpaceDE/>
              <w:autoSpaceDN/>
              <w:bidi w:val="0"/>
              <w:adjustRightInd/>
              <w:snapToGrid/>
              <w:spacing w:line="400" w:lineRule="exact"/>
              <w:textAlignment w:val="auto"/>
              <w:rPr>
                <w:rFonts w:hint="default" w:ascii="宋体" w:hAnsi="宋体" w:eastAsia="宋体" w:cs="宋体"/>
                <w:b w:val="0"/>
                <w:bCs w:val="0"/>
                <w:strike w:val="0"/>
                <w:dstrike w:val="0"/>
                <w:color w:val="auto"/>
                <w:szCs w:val="21"/>
                <w:highlight w:val="none"/>
                <w:lang w:val="en-US" w:eastAsia="zh-CN"/>
              </w:rPr>
            </w:pPr>
            <w:r>
              <w:rPr>
                <w:rFonts w:hint="eastAsia" w:ascii="宋体" w:hAnsi="宋体" w:eastAsia="宋体" w:cs="宋体"/>
                <w:b w:val="0"/>
                <w:bCs w:val="0"/>
                <w:strike w:val="0"/>
                <w:dstrike w:val="0"/>
                <w:color w:val="auto"/>
                <w:szCs w:val="21"/>
                <w:highlight w:val="none"/>
              </w:rPr>
              <w:t>12.支持手机扫码配置管理平台绑定，支持手机扫码查看设备SN、软件版本、BIOS版本；支持连续扫码多台设备并配置关联学校、分组、编号、设备名称等信息；支持手机扫码多台终端设备后，统一设置IP地址等网络信息，支持动态获取或静态IP，支持静态IP与座位编号关联递增。</w:t>
            </w:r>
          </w:p>
          <w:p w14:paraId="324B1C7F">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13.支持配置终端防盗用状态监控，当设备在管理员授权外的网络环境下使用终端设备时，会自动锁定设备，无法启动云桌面镜像或自动退出云桌面镜像；以免设备被挪用脱离管控。</w:t>
            </w:r>
          </w:p>
          <w:p w14:paraId="5F89EEDB">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14.为减少更新镜像的操作步骤，提高更新镜像效率，管理员不需要提前进入特定模式或重启电脑，在系统中安装更新软件后就可以直接合并镜像。</w:t>
            </w:r>
          </w:p>
          <w:p w14:paraId="59A74DD3">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15.支持硬盘保护，支持常见硬盘，如SSD硬盘，不受病毒影响，重启即可还原；支持使用U盘/移动硬盘在脱机的情况下（完全没有网络）脱机恢复桌面。</w:t>
            </w:r>
          </w:p>
          <w:p w14:paraId="05EE76F4">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16.支持配置多网卡网络，支持分别配置IP地址和DNS的自动或手动设置，支持显示网线连接状态与速率，配置的网络信息同步到启动的云桌面镜像中保持一致，多个系统切换启动后的网络信息保持一致。</w:t>
            </w:r>
          </w:p>
          <w:p w14:paraId="2BD418A2">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17.支持监测网络状态，支持查看当前网络类型，支持查看终端设备IP地址，支持查看与管理平台的网络连接质量，支持IP冲突、网关连通状态、互联网连通状态检测；支持诊断网络，支持检测与管理平台的通讯状态，服务状态、支持TCP延迟、CONNECT延迟、ICMP延迟、外网上传下载速度检测，支持导出诊断结果。</w:t>
            </w:r>
          </w:p>
          <w:p w14:paraId="436B80B3">
            <w:pPr>
              <w:keepNext w:val="0"/>
              <w:keepLines w:val="0"/>
              <w:pageBreakBefore w:val="0"/>
              <w:kinsoku/>
              <w:wordWrap w:val="0"/>
              <w:overflowPunct/>
              <w:topLinePunct w:val="0"/>
              <w:autoSpaceDE/>
              <w:autoSpaceDN/>
              <w:bidi w:val="0"/>
              <w:adjustRightInd/>
              <w:snapToGrid/>
              <w:spacing w:line="400" w:lineRule="exact"/>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18.安装至采购人指定的244台计算机终端。</w:t>
            </w:r>
          </w:p>
        </w:tc>
        <w:tc>
          <w:tcPr>
            <w:tcW w:w="255" w:type="pct"/>
            <w:vAlign w:val="center"/>
          </w:tcPr>
          <w:p w14:paraId="1DA387A5">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lang w:eastAsia="zh-CN"/>
              </w:rPr>
            </w:pPr>
            <w:r>
              <w:rPr>
                <w:rFonts w:hint="eastAsia" w:ascii="宋体" w:hAnsi="宋体" w:eastAsia="宋体" w:cs="宋体"/>
                <w:color w:val="auto"/>
                <w:szCs w:val="21"/>
                <w:highlight w:val="none"/>
                <w:lang w:val="en-US" w:eastAsia="zh-CN"/>
              </w:rPr>
              <w:t>1</w:t>
            </w:r>
          </w:p>
        </w:tc>
        <w:tc>
          <w:tcPr>
            <w:tcW w:w="207" w:type="pct"/>
            <w:vAlign w:val="center"/>
          </w:tcPr>
          <w:p w14:paraId="22613230">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套</w:t>
            </w:r>
          </w:p>
        </w:tc>
        <w:tc>
          <w:tcPr>
            <w:tcW w:w="266" w:type="pct"/>
            <w:vAlign w:val="center"/>
          </w:tcPr>
          <w:p w14:paraId="606FF13A">
            <w:pPr>
              <w:keepNext w:val="0"/>
              <w:keepLines w:val="0"/>
              <w:pageBreakBefore w:val="0"/>
              <w:widowControl/>
              <w:kinsoku/>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color w:val="auto"/>
                <w:kern w:val="0"/>
                <w:szCs w:val="21"/>
                <w:highlight w:val="none"/>
              </w:rPr>
              <w:t>软件和信息技术服务业</w:t>
            </w:r>
          </w:p>
        </w:tc>
        <w:tc>
          <w:tcPr>
            <w:tcW w:w="441" w:type="pct"/>
            <w:vAlign w:val="center"/>
          </w:tcPr>
          <w:p w14:paraId="751B5AE8">
            <w:pPr>
              <w:keepNext w:val="0"/>
              <w:keepLines w:val="0"/>
              <w:pageBreakBefore w:val="0"/>
              <w:widowControl/>
              <w:kinsoku/>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color w:val="auto"/>
                <w:kern w:val="0"/>
                <w:szCs w:val="21"/>
                <w:highlight w:val="none"/>
              </w:rPr>
              <w:t>否</w:t>
            </w:r>
          </w:p>
        </w:tc>
        <w:tc>
          <w:tcPr>
            <w:tcW w:w="327" w:type="pct"/>
            <w:vAlign w:val="center"/>
          </w:tcPr>
          <w:p w14:paraId="2838BA60">
            <w:pPr>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p>
        </w:tc>
      </w:tr>
      <w:tr w14:paraId="7EB13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 w:type="pct"/>
            <w:vAlign w:val="center"/>
          </w:tcPr>
          <w:p w14:paraId="030D9D60">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442" w:type="pct"/>
            <w:vAlign w:val="center"/>
          </w:tcPr>
          <w:p w14:paraId="624214E7">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电子教学软件</w:t>
            </w:r>
          </w:p>
        </w:tc>
        <w:tc>
          <w:tcPr>
            <w:tcW w:w="2796" w:type="pct"/>
            <w:vAlign w:val="center"/>
          </w:tcPr>
          <w:p w14:paraId="36690CB1">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1.登录方式多样性：支持二维码扫码登录和账号密码登录，提供无账号登录选项，无需账号信息即可进入系统授课</w:t>
            </w:r>
          </w:p>
          <w:p w14:paraId="1DF23284">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2.设备管理：可实现实时监控学生机画面、以及进行统一的教学管理，文件共享和回收。</w:t>
            </w:r>
          </w:p>
          <w:p w14:paraId="0F1BFF69">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3.人员管理：学校超级管理员可以添加教师和管理员的角色，添加之后管理员能够绑定设备和进行正常的授课工作，教师只能在终端应用软件进行授课操作。</w:t>
            </w:r>
          </w:p>
          <w:p w14:paraId="3B66DF38">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4.教师广播：不需要借助任何外接设备，支持将教师机的画面以及声音广播给全班学生，教师广播关闭接收端设备音频：教师发起屏幕广播后支持把学生接收端原先的播放的音频输出关闭。</w:t>
            </w:r>
          </w:p>
          <w:p w14:paraId="2A45F297">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5.教师广播批注：教师在屏幕广播状态下，提供授课小工具，包括提供可自由调整笔迹颜色及笔触粗细的画笔、黑板、橡皮擦、以及支持撤销和加页码。</w:t>
            </w:r>
          </w:p>
          <w:p w14:paraId="3F42C9C2">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6.学生演示：支持老师将指定学生的屏幕画面广播给其他所有学生，同时老师也能看到该指定学生的屏幕图像。</w:t>
            </w:r>
          </w:p>
          <w:p w14:paraId="58C312B7">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▲7.课件答题互动：支持同步课堂活动的课件并支持下发，下发后学生拖动答案进行作答，系统将自动判断正误。（提供第三方检测机构出具的检测报告扫描件）</w:t>
            </w:r>
          </w:p>
          <w:p w14:paraId="30585A12">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8.课堂活动作答：支持学生在完成教师下发的课堂活动时，查看自己本次作答完成的排名、耗时以及答题情况。</w:t>
            </w:r>
          </w:p>
          <w:p w14:paraId="3AD45F01">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9.学生未进入课堂通知：教师可以在管理后台预先录入学生名单。授课时，教师选择相应的班级，学生在课程开始后只需输入自己的姓名即可完成签到。同时，教师端能够实时显示尚未签到的学生名单。</w:t>
            </w:r>
          </w:p>
          <w:p w14:paraId="0AF5A101">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10.移动传屏广播：教师可通过移动教学软件，在不同局域网环境下实现屏幕共享，支持屏幕画面自动广播至学生端，在不同局域网环境下实现摄像直播，支持摄像画面自动广播至学生端，课件答题参与：课堂活动的参与按钮根据开课状态智能显示。（提供第三方检测机构出具的检测报告扫描件）。</w:t>
            </w:r>
          </w:p>
          <w:p w14:paraId="62228E0E">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11.登录模式支持免输入姓名：在登录模式下，教师可选择允许特定设备免输入姓名直接进入课堂。远程控制：支持教师端远程控制学生端的画面操作。</w:t>
            </w:r>
          </w:p>
          <w:p w14:paraId="5B43C80E">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rPr>
              <w:t>12.文件共享：支持教师把云空间的文件批量共享给指定的多个授课班级，设备重启还原后，学生进入授课班级后仍可重新下载。支持教师把已共享的资料进行取消共享，当作业空间存在多个班级的时候，支持显示当前正在授课班级</w:t>
            </w:r>
            <w:r>
              <w:rPr>
                <w:rFonts w:hint="eastAsia" w:ascii="宋体" w:hAnsi="宋体" w:eastAsia="宋体" w:cs="宋体"/>
                <w:b/>
                <w:bCs/>
                <w:color w:val="auto"/>
                <w:szCs w:val="21"/>
                <w:highlight w:val="none"/>
                <w:lang w:eastAsia="zh-CN"/>
              </w:rPr>
              <w:t>。</w:t>
            </w:r>
          </w:p>
          <w:p w14:paraId="480472FF">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13.作业回收进度查看：回收作业过程中，支持自动统计已提交和未提交的学生名单。</w:t>
            </w:r>
          </w:p>
          <w:p w14:paraId="69448ADB">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14.黑屏管控：教师可以选定学生执行黑屏操作，支持教师统一配置授课是否开启离线黑屏。</w:t>
            </w:r>
          </w:p>
          <w:p w14:paraId="645095CC">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15.设备环境检测：开始授课后，若学生设备离线时会自动在教师端显示离线的设备总量以及对应离线的设备IP，程序限制：支持设置应用程序白名单。</w:t>
            </w:r>
          </w:p>
          <w:p w14:paraId="475032CB">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▲16.自动获取学生端应用环境：开启授课后自动获取授课学生设备安装的应用环境，教师可以直接禁用管理学生设备的实际真实应用（提供第三方检测机构出具的检测报告扫描件）。</w:t>
            </w:r>
          </w:p>
          <w:p w14:paraId="5199B349">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17.违规使用记录：支持显示最近一节课的违规使用应用程序的名称、违规操作人、设备IP，以及支持教师禁用和取消禁用学生使用违规应用程序。</w:t>
            </w:r>
          </w:p>
          <w:p w14:paraId="7FDD6367">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18.一键禁用违规应用：支持教师对最近一节课的违规使用应用程序进行一键禁用。</w:t>
            </w:r>
          </w:p>
          <w:p w14:paraId="03277E90">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19.网页限制：支持设定学生访问网站的白名单信息，对学生可以访问的网址进行管理，应用防卸载：支持防止卸载学生端应用，应用进程防杀：支持结束学生端应用进程时，立即自动重启应用。</w:t>
            </w:r>
          </w:p>
          <w:p w14:paraId="1F87CB43">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20.学生画面监看：教师机可以监视全体、单一学生机的实时画面，学生名单管理：支持在管理后台导入、增加、删除、更改、查询班级学生名单，并同步到终端应用教学软件中，教师名单管理：支持在管理后台导入、增加、删除、更改、查询教师名单。</w:t>
            </w:r>
          </w:p>
          <w:p w14:paraId="66D835F4">
            <w:pPr>
              <w:keepNext w:val="0"/>
              <w:keepLines w:val="0"/>
              <w:pageBreakBefore w:val="0"/>
              <w:kinsoku/>
              <w:wordWrap w:val="0"/>
              <w:overflowPunct/>
              <w:topLinePunct w:val="0"/>
              <w:autoSpaceDE/>
              <w:autoSpaceDN/>
              <w:bidi w:val="0"/>
              <w:adjustRightInd/>
              <w:snapToGrid/>
              <w:spacing w:line="400" w:lineRule="exact"/>
              <w:textAlignment w:val="auto"/>
              <w:rPr>
                <w:rFonts w:hint="default"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rPr>
              <w:t>▲21.AI意图识别:支持用户输入文字，对输入文字的意图进行大模型的语义分析，理解和判断，识别其可能期望进行的动作，并推荐对应功能，对会议、待办、AI生成课件、AI传屏、AI提问等内容，可以自动识别主题并填入，可以快速拉起对应应用中对应模块（提供第三方检测机构出具的检测报告扫描件）。</w:t>
            </w:r>
          </w:p>
        </w:tc>
        <w:tc>
          <w:tcPr>
            <w:tcW w:w="255" w:type="pct"/>
            <w:vAlign w:val="center"/>
          </w:tcPr>
          <w:p w14:paraId="1DB505A0">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lang w:eastAsia="zh-CN"/>
              </w:rPr>
            </w:pPr>
            <w:r>
              <w:rPr>
                <w:rFonts w:hint="eastAsia" w:ascii="宋体" w:hAnsi="宋体" w:eastAsia="宋体" w:cs="宋体"/>
                <w:color w:val="auto"/>
                <w:szCs w:val="21"/>
                <w:highlight w:val="none"/>
                <w:lang w:val="en-US" w:eastAsia="zh-CN"/>
              </w:rPr>
              <w:t>4</w:t>
            </w:r>
          </w:p>
        </w:tc>
        <w:tc>
          <w:tcPr>
            <w:tcW w:w="207" w:type="pct"/>
            <w:vAlign w:val="center"/>
          </w:tcPr>
          <w:p w14:paraId="7FE96EA7">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套</w:t>
            </w:r>
          </w:p>
        </w:tc>
        <w:tc>
          <w:tcPr>
            <w:tcW w:w="266" w:type="pct"/>
            <w:vAlign w:val="center"/>
          </w:tcPr>
          <w:p w14:paraId="132E26B1">
            <w:pPr>
              <w:keepNext w:val="0"/>
              <w:keepLines w:val="0"/>
              <w:pageBreakBefore w:val="0"/>
              <w:widowControl/>
              <w:kinsoku/>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color w:val="auto"/>
                <w:kern w:val="0"/>
                <w:szCs w:val="21"/>
                <w:highlight w:val="none"/>
              </w:rPr>
              <w:t>软件和信息技术服务业</w:t>
            </w:r>
          </w:p>
        </w:tc>
        <w:tc>
          <w:tcPr>
            <w:tcW w:w="441" w:type="pct"/>
            <w:vAlign w:val="center"/>
          </w:tcPr>
          <w:p w14:paraId="41EDBABD">
            <w:pPr>
              <w:keepNext w:val="0"/>
              <w:keepLines w:val="0"/>
              <w:pageBreakBefore w:val="0"/>
              <w:widowControl/>
              <w:kinsoku/>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color w:val="auto"/>
                <w:kern w:val="0"/>
                <w:szCs w:val="21"/>
                <w:highlight w:val="none"/>
              </w:rPr>
              <w:t>否</w:t>
            </w:r>
          </w:p>
        </w:tc>
        <w:tc>
          <w:tcPr>
            <w:tcW w:w="327" w:type="pct"/>
            <w:vAlign w:val="center"/>
          </w:tcPr>
          <w:p w14:paraId="4E76AD87">
            <w:pPr>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p>
        </w:tc>
      </w:tr>
      <w:tr w14:paraId="7F432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9" w:hRule="atLeast"/>
          <w:jc w:val="center"/>
        </w:trPr>
        <w:tc>
          <w:tcPr>
            <w:tcW w:w="262" w:type="pct"/>
            <w:vAlign w:val="center"/>
          </w:tcPr>
          <w:p w14:paraId="3E5B9F5F">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442" w:type="pct"/>
            <w:vAlign w:val="center"/>
          </w:tcPr>
          <w:p w14:paraId="6892CAA6">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1222、1220学生桌凳</w:t>
            </w:r>
          </w:p>
        </w:tc>
        <w:tc>
          <w:tcPr>
            <w:tcW w:w="2796" w:type="pct"/>
            <w:vAlign w:val="center"/>
          </w:tcPr>
          <w:p w14:paraId="4220C591">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1.尺寸(长*宽*高)不低于600mm*600mm*750mm。</w:t>
            </w:r>
          </w:p>
          <w:p w14:paraId="22A1ADE5">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材料：主体钢制结构，侧框采用25mm*50mm*1.0mm厚方钢，中间镶嵌走线槽，走线槽为冷轧钢板制作，预留有八六插座位置。横杆为厚度不低于30mm*30mm*1.0的方钢，后背板为冷轧钢板。表面经脱脂除锈，酸洗、磷化、静电喷涂，表面无焊点。</w:t>
            </w:r>
          </w:p>
          <w:p w14:paraId="3757D4EC">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3.桌面面板为厚度不低于25mm的三聚氰胺板，硬度高，不易磨花，防虫，防腐。</w:t>
            </w:r>
          </w:p>
          <w:p w14:paraId="3E537DBF">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4.走线要求：电脑桌桌面留有两个50进线孔，侧面隐藏式上线槽，桌面下方设有主机箱，主机横向放置，键盘放置桌面，无需键盘托减少故障率。整体结构稳定牢固，承重力强，简约大气、美观、大方。</w:t>
            </w:r>
          </w:p>
          <w:p w14:paraId="6BE892FD">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5.耐霉菌性等级（黑曲霉）达0级，抑菌率(金黄色葡萄球菌、大肠杆菌、 肺炎克雷伯氏菌</w:t>
            </w:r>
            <w:r>
              <w:rPr>
                <w:rFonts w:hint="eastAsia" w:ascii="宋体" w:hAnsi="宋体" w:eastAsia="宋体" w:cs="宋体"/>
                <w:b w:val="0"/>
                <w:bCs w:val="0"/>
                <w:color w:val="auto"/>
                <w:szCs w:val="21"/>
                <w:highlight w:val="none"/>
                <w:lang w:val="en-US" w:eastAsia="zh-CN"/>
              </w:rPr>
              <w:t>等</w:t>
            </w:r>
            <w:r>
              <w:rPr>
                <w:rFonts w:hint="eastAsia" w:ascii="宋体" w:hAnsi="宋体" w:eastAsia="宋体" w:cs="宋体"/>
                <w:b w:val="0"/>
                <w:bCs w:val="0"/>
                <w:color w:val="auto"/>
                <w:szCs w:val="21"/>
                <w:highlight w:val="none"/>
              </w:rPr>
              <w:t>)≥99%，金属喷漆（塑）涂层附着力达1级、硬度≥5H、冲击强度无剥落、裂纹、皱纹，金属喷漆（塑）涂层理化性能（耐腐蚀≥500h乙酸盐雾试验ASS）等级≥10级。</w:t>
            </w:r>
          </w:p>
          <w:p w14:paraId="22509228">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学生凳：</w:t>
            </w:r>
          </w:p>
          <w:p w14:paraId="7966B4C9">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1.钢木方凳，凳面为340*240mm三聚氰胺板，四周边沿采用同色封边。</w:t>
            </w:r>
          </w:p>
          <w:p w14:paraId="5550F74F">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2.凳腿部件材质为喷塑钢架厚度不低于1.0MM，配尼龙方管塞，坚固耐用。</w:t>
            </w:r>
          </w:p>
          <w:p w14:paraId="58DAF58B">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3.尺寸规格：不低于340*240*450MM(长*宽*高）。</w:t>
            </w:r>
          </w:p>
          <w:p w14:paraId="31AA3EA6">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kern w:val="0"/>
                <w:szCs w:val="21"/>
                <w:highlight w:val="none"/>
              </w:rPr>
            </w:pPr>
            <w:r>
              <w:rPr>
                <w:rFonts w:hint="eastAsia" w:ascii="宋体" w:hAnsi="宋体" w:eastAsia="宋体" w:cs="宋体"/>
                <w:b w:val="0"/>
                <w:bCs w:val="0"/>
                <w:color w:val="auto"/>
                <w:szCs w:val="21"/>
                <w:highlight w:val="none"/>
              </w:rPr>
              <w:t>4.通过表面电阻测试仪、温湿度传感器检测点对点电阻、对可接地点电阻均符合相关要求。</w:t>
            </w:r>
          </w:p>
        </w:tc>
        <w:tc>
          <w:tcPr>
            <w:tcW w:w="255" w:type="pct"/>
            <w:vAlign w:val="center"/>
          </w:tcPr>
          <w:p w14:paraId="1895C575">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120</w:t>
            </w:r>
          </w:p>
        </w:tc>
        <w:tc>
          <w:tcPr>
            <w:tcW w:w="207" w:type="pct"/>
            <w:vAlign w:val="center"/>
          </w:tcPr>
          <w:p w14:paraId="092B5E9E">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套</w:t>
            </w:r>
          </w:p>
        </w:tc>
        <w:tc>
          <w:tcPr>
            <w:tcW w:w="266" w:type="pct"/>
            <w:vAlign w:val="center"/>
          </w:tcPr>
          <w:p w14:paraId="68935C1A">
            <w:pPr>
              <w:keepNext w:val="0"/>
              <w:keepLines w:val="0"/>
              <w:pageBreakBefore w:val="0"/>
              <w:widowControl/>
              <w:kinsoku/>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工业</w:t>
            </w:r>
          </w:p>
        </w:tc>
        <w:tc>
          <w:tcPr>
            <w:tcW w:w="441" w:type="pct"/>
            <w:vAlign w:val="center"/>
          </w:tcPr>
          <w:p w14:paraId="1A33A6A8">
            <w:pPr>
              <w:keepNext w:val="0"/>
              <w:keepLines w:val="0"/>
              <w:pageBreakBefore w:val="0"/>
              <w:widowControl/>
              <w:kinsoku/>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否</w:t>
            </w:r>
          </w:p>
        </w:tc>
        <w:tc>
          <w:tcPr>
            <w:tcW w:w="327" w:type="pct"/>
            <w:vAlign w:val="center"/>
          </w:tcPr>
          <w:p w14:paraId="0433AD92">
            <w:pPr>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p>
        </w:tc>
      </w:tr>
      <w:tr w14:paraId="2202C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 w:type="pct"/>
            <w:vAlign w:val="center"/>
          </w:tcPr>
          <w:p w14:paraId="6F05B6FA">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442" w:type="pct"/>
            <w:vAlign w:val="center"/>
          </w:tcPr>
          <w:p w14:paraId="4B8D41D4">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1226、1228学生桌凳</w:t>
            </w:r>
          </w:p>
        </w:tc>
        <w:tc>
          <w:tcPr>
            <w:tcW w:w="2796" w:type="pct"/>
            <w:vAlign w:val="center"/>
          </w:tcPr>
          <w:p w14:paraId="6603D7A1">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1.尺寸(长*宽*高)为700mm*600mm*750mm(可按现场需求定制)。</w:t>
            </w:r>
          </w:p>
          <w:p w14:paraId="5B444D0A">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材料：主体钢制结构，侧框采用25mm*50mm*1.0mm厚方钢，中间镶嵌走线槽，走线槽为冷轧钢板制作，预留有八六插座位置。横杆为厚度不低于30mm*30mm*1.0的方钢，后背板为冷轧钢板。表面经脱脂除锈，酸洗、磷化、静电喷涂，表面无焊点。</w:t>
            </w:r>
          </w:p>
          <w:p w14:paraId="01D99985">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3.桌面面板为厚度不低于25mm的三聚氰胺板，硬度高，不易磨花，防虫，防腐。</w:t>
            </w:r>
          </w:p>
          <w:p w14:paraId="2A3B5B8F">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4.走线要求：电脑桌桌面留有两个50进线孔，侧面隐藏式上线槽，桌面下方设有主机箱，主机横向放置，键盘放置桌面，无需键盘托减少故障率。整体结构稳定牢固，承重力强，简约大气、美观、大方。</w:t>
            </w:r>
          </w:p>
          <w:p w14:paraId="12C374BB">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5.耐霉菌性等级（黑曲霉）达0级，抑菌率(金黄色葡萄球菌、大肠杆菌、 肺炎克雷伯氏菌</w:t>
            </w:r>
            <w:r>
              <w:rPr>
                <w:rFonts w:hint="eastAsia" w:ascii="宋体" w:hAnsi="宋体" w:eastAsia="宋体" w:cs="宋体"/>
                <w:b w:val="0"/>
                <w:bCs w:val="0"/>
                <w:color w:val="auto"/>
                <w:szCs w:val="21"/>
                <w:highlight w:val="none"/>
                <w:lang w:val="en-US" w:eastAsia="zh-CN"/>
              </w:rPr>
              <w:t>等</w:t>
            </w:r>
            <w:r>
              <w:rPr>
                <w:rFonts w:hint="eastAsia" w:ascii="宋体" w:hAnsi="宋体" w:eastAsia="宋体" w:cs="宋体"/>
                <w:b w:val="0"/>
                <w:bCs w:val="0"/>
                <w:color w:val="auto"/>
                <w:szCs w:val="21"/>
                <w:highlight w:val="none"/>
              </w:rPr>
              <w:t>)≥99%，金属喷漆（塑）涂层附着力达1级、硬度≥5H、冲击强度无剥落、裂纹、皱纹，金属喷漆（塑）涂层理化性能（耐腐蚀≥500h乙酸盐雾试验ASS）等级≥10级。</w:t>
            </w:r>
          </w:p>
          <w:p w14:paraId="01F3C581">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学生凳：</w:t>
            </w:r>
          </w:p>
          <w:p w14:paraId="652E934B">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1.钢木方凳，凳面为340*240mm三聚氰胺板，四周边沿采用同色封边。</w:t>
            </w:r>
          </w:p>
          <w:p w14:paraId="02FC80AD">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2.凳腿部件材质为喷塑钢架厚度不低于1.0MM，配尼龙方管塞，坚固耐用。</w:t>
            </w:r>
          </w:p>
          <w:p w14:paraId="6D1BC31F">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3.尺寸规格：不低于340*240*450MM(长*宽*高）。</w:t>
            </w:r>
          </w:p>
          <w:p w14:paraId="5DB7BF5B">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kern w:val="0"/>
                <w:szCs w:val="21"/>
                <w:highlight w:val="none"/>
              </w:rPr>
            </w:pPr>
            <w:r>
              <w:rPr>
                <w:rFonts w:hint="eastAsia" w:ascii="宋体" w:hAnsi="宋体" w:eastAsia="宋体" w:cs="宋体"/>
                <w:b w:val="0"/>
                <w:bCs w:val="0"/>
                <w:color w:val="auto"/>
                <w:szCs w:val="21"/>
                <w:highlight w:val="none"/>
              </w:rPr>
              <w:t>4.通过表面电阻测试仪、温湿度传感器检测点对点电阻、对可接地点电阻均符合相关要求。</w:t>
            </w:r>
          </w:p>
        </w:tc>
        <w:tc>
          <w:tcPr>
            <w:tcW w:w="255" w:type="pct"/>
            <w:vAlign w:val="center"/>
          </w:tcPr>
          <w:p w14:paraId="751BD6E5">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120</w:t>
            </w:r>
          </w:p>
        </w:tc>
        <w:tc>
          <w:tcPr>
            <w:tcW w:w="207" w:type="pct"/>
            <w:vAlign w:val="center"/>
          </w:tcPr>
          <w:p w14:paraId="004A6F50">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套</w:t>
            </w:r>
          </w:p>
        </w:tc>
        <w:tc>
          <w:tcPr>
            <w:tcW w:w="266" w:type="pct"/>
            <w:vAlign w:val="center"/>
          </w:tcPr>
          <w:p w14:paraId="160E8EA8">
            <w:pPr>
              <w:keepNext w:val="0"/>
              <w:keepLines w:val="0"/>
              <w:pageBreakBefore w:val="0"/>
              <w:widowControl/>
              <w:kinsoku/>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工业</w:t>
            </w:r>
          </w:p>
        </w:tc>
        <w:tc>
          <w:tcPr>
            <w:tcW w:w="441" w:type="pct"/>
            <w:vAlign w:val="center"/>
          </w:tcPr>
          <w:p w14:paraId="2D1B6DBC">
            <w:pPr>
              <w:keepNext w:val="0"/>
              <w:keepLines w:val="0"/>
              <w:pageBreakBefore w:val="0"/>
              <w:widowControl/>
              <w:kinsoku/>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否</w:t>
            </w:r>
          </w:p>
        </w:tc>
        <w:tc>
          <w:tcPr>
            <w:tcW w:w="327" w:type="pct"/>
            <w:vAlign w:val="center"/>
          </w:tcPr>
          <w:p w14:paraId="5773989B">
            <w:pPr>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p>
        </w:tc>
      </w:tr>
      <w:tr w14:paraId="3AAAF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 w:type="pct"/>
            <w:vAlign w:val="center"/>
          </w:tcPr>
          <w:p w14:paraId="1CFAA752">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442" w:type="pct"/>
            <w:vAlign w:val="center"/>
          </w:tcPr>
          <w:p w14:paraId="2BE3D3B6">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教师桌椅</w:t>
            </w:r>
          </w:p>
        </w:tc>
        <w:tc>
          <w:tcPr>
            <w:tcW w:w="2796" w:type="pct"/>
            <w:vAlign w:val="center"/>
          </w:tcPr>
          <w:p w14:paraId="49495406">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1.规格：</w:t>
            </w:r>
            <w:r>
              <w:rPr>
                <w:rFonts w:hint="eastAsia" w:ascii="宋体" w:hAnsi="宋体" w:eastAsia="宋体" w:cs="宋体"/>
                <w:color w:val="auto"/>
                <w:szCs w:val="21"/>
                <w:highlight w:val="none"/>
                <w:lang w:val="en-US" w:eastAsia="zh-CN"/>
              </w:rPr>
              <w:t>不低于</w:t>
            </w:r>
            <w:r>
              <w:rPr>
                <w:rFonts w:hint="eastAsia" w:ascii="宋体" w:hAnsi="宋体" w:eastAsia="宋体" w:cs="宋体"/>
                <w:color w:val="auto"/>
                <w:szCs w:val="21"/>
                <w:highlight w:val="none"/>
              </w:rPr>
              <w:t>1400MM*650MM*750MM</w:t>
            </w:r>
          </w:p>
          <w:p w14:paraId="29AE8B75">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台面采用三聚氰胺板厚度不低于25mm，下柜采用冷轧钢厚度不低于1.0mm，表面经酸洗磷化、静电喷涂处理，塑面经久耐用。桌面留有进线孔，配置线盒，方便进线。桌体左侧有固定的主机托架，右侧有一柜门，里面可以放置3台或以上交换机机架式固定，带有安全锁。</w:t>
            </w:r>
          </w:p>
          <w:p w14:paraId="4ACEE55E">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b w:val="0"/>
                <w:bCs w:val="0"/>
                <w:color w:val="auto"/>
                <w:szCs w:val="21"/>
                <w:highlight w:val="none"/>
              </w:rPr>
              <w:t>3.耐酸性、耐湿热性、耐盐雾性、硬度、耐腐蚀、冲击强度、抑菌率(金黄色葡萄球菌、大肠杆菌、 肺炎克雷伯氏菌</w:t>
            </w:r>
            <w:r>
              <w:rPr>
                <w:rFonts w:hint="eastAsia" w:ascii="宋体" w:hAnsi="宋体" w:eastAsia="宋体" w:cs="宋体"/>
                <w:b w:val="0"/>
                <w:bCs w:val="0"/>
                <w:color w:val="auto"/>
                <w:szCs w:val="21"/>
                <w:highlight w:val="none"/>
                <w:lang w:val="en-US" w:eastAsia="zh-CN"/>
              </w:rPr>
              <w:t>等</w:t>
            </w:r>
            <w:r>
              <w:rPr>
                <w:rFonts w:hint="eastAsia" w:ascii="宋体" w:hAnsi="宋体" w:eastAsia="宋体" w:cs="宋体"/>
                <w:b w:val="0"/>
                <w:bCs w:val="0"/>
                <w:color w:val="auto"/>
                <w:szCs w:val="21"/>
                <w:highlight w:val="none"/>
              </w:rPr>
              <w:t>)≥99％；耐霉等级（黑曲霉、球毛壳霉、宛氏拟青霉）达0级</w:t>
            </w:r>
            <w:r>
              <w:rPr>
                <w:rFonts w:hint="eastAsia" w:ascii="宋体" w:hAnsi="宋体" w:eastAsia="宋体" w:cs="宋体"/>
                <w:b w:val="0"/>
                <w:bCs w:val="0"/>
                <w:color w:val="auto"/>
                <w:szCs w:val="21"/>
                <w:highlight w:val="none"/>
                <w:lang w:eastAsia="zh-CN"/>
              </w:rPr>
              <w:t>。</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教师椅：</w:t>
            </w:r>
          </w:p>
          <w:p w14:paraId="02F77294">
            <w:pPr>
              <w:keepNext w:val="0"/>
              <w:keepLines w:val="0"/>
              <w:pageBreakBefore w:val="0"/>
              <w:numPr>
                <w:ilvl w:val="0"/>
                <w:numId w:val="2"/>
              </w:numPr>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面料：采用透气网布面料，防磨防污性好；</w:t>
            </w:r>
          </w:p>
          <w:p w14:paraId="318E4A30">
            <w:pPr>
              <w:keepNext w:val="0"/>
              <w:keepLines w:val="0"/>
              <w:pageBreakBefore w:val="0"/>
              <w:numPr>
                <w:ilvl w:val="0"/>
                <w:numId w:val="0"/>
              </w:numPr>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2.塑料：采用PP+纤维塑料，抗拉性高，一次性成型；拉力100KG，五星脚静止压力850KG</w:t>
            </w:r>
          </w:p>
          <w:p w14:paraId="0167E8CE">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2.座棉：采用高弹力聚氨脂弹力海绵，可防氧化、防碎，软硬适中，回弹性良好，不易变形；</w:t>
            </w:r>
          </w:p>
          <w:p w14:paraId="5FD4227B">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3.底盘功能：可逍遥、锁定、高低升降；</w:t>
            </w:r>
          </w:p>
          <w:p w14:paraId="194483DD">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4.五星脚：全新PP+纤原料，可过880KG静压测试，承重力强。 </w:t>
            </w:r>
          </w:p>
          <w:p w14:paraId="009F4021">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5.静音轮。</w:t>
            </w:r>
          </w:p>
        </w:tc>
        <w:tc>
          <w:tcPr>
            <w:tcW w:w="255" w:type="pct"/>
            <w:vAlign w:val="center"/>
          </w:tcPr>
          <w:p w14:paraId="35120999">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4</w:t>
            </w:r>
          </w:p>
        </w:tc>
        <w:tc>
          <w:tcPr>
            <w:tcW w:w="207" w:type="pct"/>
            <w:vAlign w:val="center"/>
          </w:tcPr>
          <w:p w14:paraId="5FDCAE82">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套</w:t>
            </w:r>
          </w:p>
        </w:tc>
        <w:tc>
          <w:tcPr>
            <w:tcW w:w="266" w:type="pct"/>
            <w:vAlign w:val="center"/>
          </w:tcPr>
          <w:p w14:paraId="35EB2E26">
            <w:pPr>
              <w:keepNext w:val="0"/>
              <w:keepLines w:val="0"/>
              <w:pageBreakBefore w:val="0"/>
              <w:widowControl/>
              <w:kinsoku/>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工业</w:t>
            </w:r>
          </w:p>
        </w:tc>
        <w:tc>
          <w:tcPr>
            <w:tcW w:w="441" w:type="pct"/>
            <w:vAlign w:val="center"/>
          </w:tcPr>
          <w:p w14:paraId="6D427349">
            <w:pPr>
              <w:keepNext w:val="0"/>
              <w:keepLines w:val="0"/>
              <w:pageBreakBefore w:val="0"/>
              <w:widowControl/>
              <w:kinsoku/>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否</w:t>
            </w:r>
          </w:p>
        </w:tc>
        <w:tc>
          <w:tcPr>
            <w:tcW w:w="327" w:type="pct"/>
            <w:vAlign w:val="center"/>
          </w:tcPr>
          <w:p w14:paraId="4A8CDF9C">
            <w:pPr>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p>
        </w:tc>
      </w:tr>
      <w:tr w14:paraId="13FE4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 w:type="pct"/>
            <w:vAlign w:val="center"/>
          </w:tcPr>
          <w:p w14:paraId="2E71AC42">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p>
        </w:tc>
        <w:tc>
          <w:tcPr>
            <w:tcW w:w="442" w:type="pct"/>
            <w:vAlign w:val="center"/>
          </w:tcPr>
          <w:p w14:paraId="159D247F">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24口交换机</w:t>
            </w:r>
          </w:p>
        </w:tc>
        <w:tc>
          <w:tcPr>
            <w:tcW w:w="2796" w:type="pct"/>
            <w:vAlign w:val="center"/>
          </w:tcPr>
          <w:p w14:paraId="237F588B">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1.固化千兆电接口≥24个，SFP千兆光接口≥4个；</w:t>
            </w:r>
          </w:p>
          <w:p w14:paraId="4DF5C56B">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2.交换容量≥6.72Tbps，包转发率≥171Mpps；</w:t>
            </w:r>
          </w:p>
          <w:p w14:paraId="190562C8">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3.支持IPV4/IPV6静态路由，RIP、RIPng、OSPF、OSPFv3协议；</w:t>
            </w:r>
          </w:p>
          <w:p w14:paraId="2CE03FE0">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4.支持生成树协议802.1D、802.1w、802.1s，保证网络的稳定运行和链路的负载均衡，合理使用网络通道，提供冗余链路利用率；</w:t>
            </w:r>
          </w:p>
          <w:p w14:paraId="6B23DAE4">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5.支持特有的CPU保护策略，对发往CPU的数据流，进行流区分和优先级队列分级处理，并根据需要实施带宽限速，充分保护CPU不被非法流量占用、恶意攻击和资源消耗；</w:t>
            </w:r>
          </w:p>
          <w:p w14:paraId="538A74EF">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6.风暴控制：支持基于端口的风暴控制，支持按带宽百分比方式控制广播、组播、未知单播，保障设备稳定运行；</w:t>
            </w:r>
          </w:p>
          <w:p w14:paraId="34AA7C30">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7.链路检测：支持基于接口的环路检测、单向链路检测、双向链路检测功能；故障处理方式包括告警、关闭端口学习转发、关闭端口所在的svi等；</w:t>
            </w:r>
          </w:p>
          <w:p w14:paraId="4854C513">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8.设备自带云管理功能，即插即用，可随时查看网络健康度，告警及时推送，有日记事件供回溯；</w:t>
            </w:r>
          </w:p>
        </w:tc>
        <w:tc>
          <w:tcPr>
            <w:tcW w:w="255" w:type="pct"/>
            <w:vAlign w:val="center"/>
          </w:tcPr>
          <w:p w14:paraId="6695E584">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4</w:t>
            </w:r>
          </w:p>
        </w:tc>
        <w:tc>
          <w:tcPr>
            <w:tcW w:w="207" w:type="pct"/>
            <w:vAlign w:val="center"/>
          </w:tcPr>
          <w:p w14:paraId="26F616E0">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台</w:t>
            </w:r>
          </w:p>
        </w:tc>
        <w:tc>
          <w:tcPr>
            <w:tcW w:w="266" w:type="pct"/>
            <w:vAlign w:val="center"/>
          </w:tcPr>
          <w:p w14:paraId="0743A8F0">
            <w:pPr>
              <w:keepNext w:val="0"/>
              <w:keepLines w:val="0"/>
              <w:pageBreakBefore w:val="0"/>
              <w:widowControl/>
              <w:kinsoku/>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color w:val="auto"/>
                <w:kern w:val="0"/>
                <w:szCs w:val="21"/>
                <w:highlight w:val="none"/>
              </w:rPr>
              <w:t>工业</w:t>
            </w:r>
          </w:p>
        </w:tc>
        <w:tc>
          <w:tcPr>
            <w:tcW w:w="441" w:type="pct"/>
            <w:vAlign w:val="center"/>
          </w:tcPr>
          <w:p w14:paraId="6EC8F41D">
            <w:pPr>
              <w:keepNext w:val="0"/>
              <w:keepLines w:val="0"/>
              <w:pageBreakBefore w:val="0"/>
              <w:widowControl/>
              <w:kinsoku/>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color w:val="auto"/>
                <w:kern w:val="0"/>
                <w:szCs w:val="21"/>
                <w:highlight w:val="none"/>
              </w:rPr>
              <w:t>否</w:t>
            </w:r>
          </w:p>
        </w:tc>
        <w:tc>
          <w:tcPr>
            <w:tcW w:w="327" w:type="pct"/>
            <w:vAlign w:val="center"/>
          </w:tcPr>
          <w:p w14:paraId="35FE1772">
            <w:pPr>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p>
        </w:tc>
      </w:tr>
      <w:tr w14:paraId="5D8A6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 w:type="pct"/>
            <w:vAlign w:val="center"/>
          </w:tcPr>
          <w:p w14:paraId="2B07CA4F">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w:t>
            </w:r>
          </w:p>
        </w:tc>
        <w:tc>
          <w:tcPr>
            <w:tcW w:w="442" w:type="pct"/>
            <w:vAlign w:val="center"/>
          </w:tcPr>
          <w:p w14:paraId="36DEC5F6">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48口交换机</w:t>
            </w:r>
          </w:p>
        </w:tc>
        <w:tc>
          <w:tcPr>
            <w:tcW w:w="2796" w:type="pct"/>
            <w:vAlign w:val="center"/>
          </w:tcPr>
          <w:p w14:paraId="55409843">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1.固化千兆电接口≥48个，SFP千兆光接口≥4个，整机最大可用千兆口≥52；</w:t>
            </w:r>
          </w:p>
          <w:p w14:paraId="1E3910B6">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2.交换容量≥5.98Tbps，包转发率≥166Mpps；</w:t>
            </w:r>
          </w:p>
          <w:p w14:paraId="2F19D682">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3.支持IPV4/IPV6静态路由，RIP、RIPng、OSPF、OSPFv3协议；</w:t>
            </w:r>
          </w:p>
          <w:p w14:paraId="71C2497D">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4.支持生成树协议802.1D、802.1w、802.1s，保证网络的稳定运行和链路的负载均衡，合理使用网络通道，提供冗余链路利用率；</w:t>
            </w:r>
          </w:p>
          <w:p w14:paraId="28D5412A">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5.支持特有的CPU保护策略，对发往CPU的数据流，进行流区分和优先级队列分级处理，并根据需要实施带宽限速，充分保护CPU不被非法流量占用、恶意攻击和资源消耗；</w:t>
            </w:r>
          </w:p>
          <w:p w14:paraId="10BA12DC">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6.为保证设备在受到外界机械碰撞时能够正常运行，要求所投交换机IK防护测试级别至少达到IK05；</w:t>
            </w:r>
          </w:p>
          <w:p w14:paraId="28EAB741">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7.支持快速链路检测协议，可快速检测链路的通断和光纤链路的单向性，并支持端口下的环路检测功能，防止端口下因私接Hub等设备形成的环路而导致网络故障的现象；</w:t>
            </w:r>
          </w:p>
          <w:p w14:paraId="7BA87F3E">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8.设备自带云管理功能，即插即用，可随时查看网络健康度，告警及时推送，有日记事件供回溯；</w:t>
            </w:r>
          </w:p>
        </w:tc>
        <w:tc>
          <w:tcPr>
            <w:tcW w:w="255" w:type="pct"/>
            <w:vAlign w:val="center"/>
          </w:tcPr>
          <w:p w14:paraId="1F61BAAE">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4</w:t>
            </w:r>
          </w:p>
        </w:tc>
        <w:tc>
          <w:tcPr>
            <w:tcW w:w="207" w:type="pct"/>
            <w:vAlign w:val="center"/>
          </w:tcPr>
          <w:p w14:paraId="2E2B6B51">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台</w:t>
            </w:r>
          </w:p>
        </w:tc>
        <w:tc>
          <w:tcPr>
            <w:tcW w:w="266" w:type="pct"/>
            <w:vAlign w:val="center"/>
          </w:tcPr>
          <w:p w14:paraId="669BCB64">
            <w:pPr>
              <w:keepNext w:val="0"/>
              <w:keepLines w:val="0"/>
              <w:pageBreakBefore w:val="0"/>
              <w:widowControl/>
              <w:kinsoku/>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color w:val="auto"/>
                <w:kern w:val="0"/>
                <w:szCs w:val="21"/>
                <w:highlight w:val="none"/>
              </w:rPr>
              <w:t>工业</w:t>
            </w:r>
          </w:p>
        </w:tc>
        <w:tc>
          <w:tcPr>
            <w:tcW w:w="441" w:type="pct"/>
            <w:vAlign w:val="center"/>
          </w:tcPr>
          <w:p w14:paraId="6790A7E7">
            <w:pPr>
              <w:keepNext w:val="0"/>
              <w:keepLines w:val="0"/>
              <w:pageBreakBefore w:val="0"/>
              <w:widowControl/>
              <w:kinsoku/>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color w:val="auto"/>
                <w:kern w:val="0"/>
                <w:szCs w:val="21"/>
                <w:highlight w:val="none"/>
              </w:rPr>
              <w:t>否</w:t>
            </w:r>
          </w:p>
        </w:tc>
        <w:tc>
          <w:tcPr>
            <w:tcW w:w="327" w:type="pct"/>
            <w:vAlign w:val="center"/>
          </w:tcPr>
          <w:p w14:paraId="5CE9398D">
            <w:pPr>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p>
        </w:tc>
      </w:tr>
      <w:tr w14:paraId="22085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 w:type="pct"/>
            <w:vAlign w:val="center"/>
          </w:tcPr>
          <w:p w14:paraId="2B3A3D84">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w:t>
            </w:r>
          </w:p>
        </w:tc>
        <w:tc>
          <w:tcPr>
            <w:tcW w:w="442" w:type="pct"/>
            <w:vAlign w:val="center"/>
          </w:tcPr>
          <w:p w14:paraId="00AD0FAD">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路由器</w:t>
            </w:r>
          </w:p>
        </w:tc>
        <w:tc>
          <w:tcPr>
            <w:tcW w:w="2796" w:type="pct"/>
            <w:vAlign w:val="center"/>
          </w:tcPr>
          <w:p w14:paraId="3F33FD82">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5个干兆电口，1个USB口，一Console口;可带机200终端，支持1000M带宽。内置状态检测防火墙，支持投屏、支持Easy VPN、IPSec VPN、SSL VPN,VPN隧道和隧道内流量做可视化管理。支持Web认证、本地服务器认证，支持应用流控、提升上网体验、保证关键应用的流畅。支持整网管理应用会话抑制、应用控制、URL阻断，支持应用路由、策略路由等多类型路由。</w:t>
            </w:r>
          </w:p>
        </w:tc>
        <w:tc>
          <w:tcPr>
            <w:tcW w:w="255" w:type="pct"/>
            <w:vAlign w:val="center"/>
          </w:tcPr>
          <w:p w14:paraId="2153CE5C">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4</w:t>
            </w:r>
          </w:p>
        </w:tc>
        <w:tc>
          <w:tcPr>
            <w:tcW w:w="207" w:type="pct"/>
            <w:vAlign w:val="center"/>
          </w:tcPr>
          <w:p w14:paraId="794D9B64">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台</w:t>
            </w:r>
          </w:p>
        </w:tc>
        <w:tc>
          <w:tcPr>
            <w:tcW w:w="266" w:type="pct"/>
            <w:vAlign w:val="center"/>
          </w:tcPr>
          <w:p w14:paraId="3E86C89D">
            <w:pPr>
              <w:keepNext w:val="0"/>
              <w:keepLines w:val="0"/>
              <w:pageBreakBefore w:val="0"/>
              <w:widowControl/>
              <w:kinsoku/>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color w:val="auto"/>
                <w:kern w:val="0"/>
                <w:szCs w:val="21"/>
                <w:highlight w:val="none"/>
              </w:rPr>
              <w:t>工业</w:t>
            </w:r>
          </w:p>
        </w:tc>
        <w:tc>
          <w:tcPr>
            <w:tcW w:w="441" w:type="pct"/>
            <w:vAlign w:val="center"/>
          </w:tcPr>
          <w:p w14:paraId="379EC421">
            <w:pPr>
              <w:keepNext w:val="0"/>
              <w:keepLines w:val="0"/>
              <w:pageBreakBefore w:val="0"/>
              <w:widowControl/>
              <w:kinsoku/>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color w:val="auto"/>
                <w:kern w:val="0"/>
                <w:szCs w:val="21"/>
                <w:highlight w:val="none"/>
              </w:rPr>
              <w:t>否</w:t>
            </w:r>
          </w:p>
        </w:tc>
        <w:tc>
          <w:tcPr>
            <w:tcW w:w="327" w:type="pct"/>
            <w:vAlign w:val="center"/>
          </w:tcPr>
          <w:p w14:paraId="2653551B">
            <w:pPr>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p>
        </w:tc>
      </w:tr>
      <w:tr w14:paraId="21FA6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 w:type="pct"/>
            <w:vAlign w:val="center"/>
          </w:tcPr>
          <w:p w14:paraId="296809C9">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442" w:type="pct"/>
            <w:vAlign w:val="center"/>
          </w:tcPr>
          <w:p w14:paraId="2F339781">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75寸智能平板</w:t>
            </w:r>
          </w:p>
        </w:tc>
        <w:tc>
          <w:tcPr>
            <w:tcW w:w="2796" w:type="pct"/>
            <w:vAlign w:val="center"/>
          </w:tcPr>
          <w:p w14:paraId="7D326BAE">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一、硬件参数和安全性：</w:t>
            </w:r>
          </w:p>
          <w:p w14:paraId="60C45C90">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1.原装LED液晶A规屏。</w:t>
            </w:r>
          </w:p>
          <w:p w14:paraId="43F6FCEC">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2.显示比例16:9，亮度≥180cd/m2，对比度≥1200：1，可视角度≥178°响应时间6.5ms,刷新率60Hz。</w:t>
            </w:r>
          </w:p>
          <w:p w14:paraId="66C477BB">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3.分辨率：液晶屏物理分辨率≥3840 * 2160 ，满足数字全高清显示要求。</w:t>
            </w:r>
          </w:p>
          <w:p w14:paraId="3346CAE3">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4.4K显示：整机系统具备4K视频处理能力，4K高清画质输出，使画面亮丽、清晰、流畅，保证显示效果；且具有自动优化运动图像功能,可有效解决图像抖动问题，使运动画面更加清晰流畅。</w:t>
            </w:r>
          </w:p>
          <w:p w14:paraId="5BECEBBE">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5.超高清H.264解码：多媒体交互一体机产品支持纯硬件高清解码技术，在无PC状态下支持4K片源流畅播放。</w:t>
            </w:r>
          </w:p>
          <w:p w14:paraId="5467D494">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6.整机MTBF≥120000小时。（整机使用寿命≥30000小时)</w:t>
            </w:r>
          </w:p>
          <w:p w14:paraId="36D729F2">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7.整机在0℃—50℃温度环境下可正常工作，-20℃—60℃的环境下可正常贮存且贮存后功能无损，保证设备适应各种天气环境。</w:t>
            </w:r>
          </w:p>
          <w:p w14:paraId="51C036BA">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二、硬件和接口参数：</w:t>
            </w:r>
          </w:p>
          <w:p w14:paraId="373F3EEB">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1.内置安卓嵌入式系统，CPU/GPU规格≥A55*4/Mali-G52 2Core，高清智能4核处理器。机身内存≥32G ROM，运行内存≥2G RAM。</w:t>
            </w:r>
          </w:p>
          <w:p w14:paraId="6974D83C">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2.前置下出音音响设计，可实现反射式环绕音效≥2*8W。</w:t>
            </w:r>
          </w:p>
          <w:p w14:paraId="395AA46D">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3.后置接口：≥RJ45*1、≥USB*1、≥HDMI*2、≥LINE OUT*1</w:t>
            </w:r>
          </w:p>
          <w:p w14:paraId="0BAE7FBE">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4.自带无线 AP 热点共享。</w:t>
            </w:r>
          </w:p>
          <w:p w14:paraId="254AFD88">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5.支持无线投屏器。</w:t>
            </w:r>
          </w:p>
          <w:p w14:paraId="61E767DD">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三、人性化设计：</w:t>
            </w:r>
          </w:p>
          <w:p w14:paraId="066BD569">
            <w:pPr>
              <w:keepNext w:val="0"/>
              <w:keepLines w:val="0"/>
              <w:pageBreakBefore w:val="0"/>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1.智能遥控器：一键切换显示模式、一键黑屏待机、PPT上下翻页、PPT退出等功能</w:t>
            </w:r>
          </w:p>
          <w:p w14:paraId="1F755914">
            <w:pPr>
              <w:keepNext w:val="0"/>
              <w:keepLines w:val="0"/>
              <w:pageBreakBefore w:val="0"/>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2.节能：一体机在待机状态下功率≤0.5W。</w:t>
            </w:r>
          </w:p>
          <w:p w14:paraId="71E7F5FA">
            <w:pPr>
              <w:keepNext w:val="0"/>
              <w:keepLines w:val="0"/>
              <w:pageBreakBefore w:val="0"/>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特点：</w:t>
            </w:r>
          </w:p>
          <w:p w14:paraId="4CB357D4">
            <w:pPr>
              <w:keepNext w:val="0"/>
              <w:keepLines w:val="0"/>
              <w:pageBreakBefore w:val="0"/>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1.采用无边框设计，整机轻薄美观；</w:t>
            </w:r>
          </w:p>
          <w:p w14:paraId="68525888">
            <w:pPr>
              <w:keepNext w:val="0"/>
              <w:keepLines w:val="0"/>
              <w:pageBreakBefore w:val="0"/>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2.采用4K超高清液晶屏，支持3840*2160分辨率；</w:t>
            </w:r>
          </w:p>
          <w:p w14:paraId="2F299BE3">
            <w:pPr>
              <w:keepNext w:val="0"/>
              <w:keepLines w:val="0"/>
              <w:pageBreakBefore w:val="0"/>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3.内置投屏软件，可自建热点；</w:t>
            </w:r>
          </w:p>
          <w:p w14:paraId="2F623488">
            <w:pPr>
              <w:keepNext w:val="0"/>
              <w:keepLines w:val="0"/>
              <w:pageBreakBefore w:val="0"/>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4.产品为无触摸设计，主要应用于投屏会议。</w:t>
            </w:r>
          </w:p>
          <w:p w14:paraId="3B0977E5">
            <w:pPr>
              <w:keepNext w:val="0"/>
              <w:keepLines w:val="0"/>
              <w:pageBreakBefore w:val="0"/>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五、安卓应用软件：</w:t>
            </w:r>
          </w:p>
          <w:p w14:paraId="27E9A945">
            <w:pPr>
              <w:keepNext w:val="0"/>
              <w:keepLines w:val="0"/>
              <w:pageBreakBefore w:val="0"/>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1.内置无线投屏模块，连接设备自身热点，iOS、安卓系统无需任何外部辅助工具即可实现投屏。该设备兼容win7/8/10,MAC OSX 10.9及以上，传输分辨率支持≥1920*1080@60Hz,并且支持≥4个设备同时在线，且可实现手机、电脑、PAD 四画面显示。</w:t>
            </w:r>
          </w:p>
          <w:p w14:paraId="2087EF65">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2.支持外接U盘时安卓系统对文件进行自动归类，实现office文档、音乐、视频、图片等分类浏览，支持U盘自主安装第三方APK应用。</w:t>
            </w:r>
          </w:p>
        </w:tc>
        <w:tc>
          <w:tcPr>
            <w:tcW w:w="255" w:type="pct"/>
            <w:vAlign w:val="center"/>
          </w:tcPr>
          <w:p w14:paraId="63615652">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8</w:t>
            </w:r>
          </w:p>
        </w:tc>
        <w:tc>
          <w:tcPr>
            <w:tcW w:w="207" w:type="pct"/>
            <w:vAlign w:val="center"/>
          </w:tcPr>
          <w:p w14:paraId="0E826649">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台</w:t>
            </w:r>
          </w:p>
        </w:tc>
        <w:tc>
          <w:tcPr>
            <w:tcW w:w="266" w:type="pct"/>
            <w:vAlign w:val="center"/>
          </w:tcPr>
          <w:p w14:paraId="4117AC02">
            <w:pPr>
              <w:keepNext w:val="0"/>
              <w:keepLines w:val="0"/>
              <w:pageBreakBefore w:val="0"/>
              <w:widowControl/>
              <w:kinsoku/>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color w:val="auto"/>
                <w:kern w:val="0"/>
                <w:szCs w:val="21"/>
                <w:highlight w:val="none"/>
              </w:rPr>
              <w:t>工业</w:t>
            </w:r>
          </w:p>
        </w:tc>
        <w:tc>
          <w:tcPr>
            <w:tcW w:w="441" w:type="pct"/>
            <w:vAlign w:val="center"/>
          </w:tcPr>
          <w:p w14:paraId="2E7FBAA8">
            <w:pPr>
              <w:keepNext w:val="0"/>
              <w:keepLines w:val="0"/>
              <w:pageBreakBefore w:val="0"/>
              <w:widowControl/>
              <w:kinsoku/>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color w:val="auto"/>
                <w:kern w:val="0"/>
                <w:szCs w:val="21"/>
                <w:highlight w:val="none"/>
              </w:rPr>
              <w:t>否</w:t>
            </w:r>
          </w:p>
        </w:tc>
        <w:tc>
          <w:tcPr>
            <w:tcW w:w="327" w:type="pct"/>
            <w:vAlign w:val="center"/>
          </w:tcPr>
          <w:p w14:paraId="0C3500C9">
            <w:pPr>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p>
        </w:tc>
      </w:tr>
      <w:tr w14:paraId="496C1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 w:type="pct"/>
            <w:vAlign w:val="center"/>
          </w:tcPr>
          <w:p w14:paraId="52B57CCA">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16</w:t>
            </w:r>
          </w:p>
        </w:tc>
        <w:tc>
          <w:tcPr>
            <w:tcW w:w="442" w:type="pct"/>
            <w:vAlign w:val="center"/>
          </w:tcPr>
          <w:p w14:paraId="7AE7E391">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智能中央控制器</w:t>
            </w:r>
          </w:p>
        </w:tc>
        <w:tc>
          <w:tcPr>
            <w:tcW w:w="2796" w:type="pct"/>
            <w:vAlign w:val="center"/>
          </w:tcPr>
          <w:p w14:paraId="619E3C72">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1.嵌入式多CPU+MCU+多DSP硬件架构，ARM 架构，采用32位微处理器,linux系统，低功耗设计，待机功率小于1W，能7*24小时工作</w:t>
            </w:r>
            <w:r>
              <w:rPr>
                <w:rFonts w:hint="eastAsia" w:ascii="宋体" w:hAnsi="宋体" w:eastAsia="宋体" w:cs="宋体"/>
                <w:color w:val="auto"/>
                <w:szCs w:val="21"/>
                <w:highlight w:val="none"/>
                <w:lang w:eastAsia="zh-CN"/>
              </w:rPr>
              <w:t>；</w:t>
            </w:r>
          </w:p>
          <w:p w14:paraId="73BDB2A9">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2.集成≥4进4出HDIM与VGA的混合输入输出接口（HDMI输入≥4路、VGA信号输出≥1路、HDMI输出≥3路，HDMI带音频同步）,支持4K高清信号输出</w:t>
            </w:r>
            <w:r>
              <w:rPr>
                <w:rFonts w:hint="eastAsia" w:ascii="宋体" w:hAnsi="宋体" w:eastAsia="宋体" w:cs="宋体"/>
                <w:color w:val="auto"/>
                <w:szCs w:val="21"/>
                <w:highlight w:val="none"/>
                <w:lang w:eastAsia="zh-CN"/>
              </w:rPr>
              <w:t>；</w:t>
            </w:r>
          </w:p>
          <w:p w14:paraId="30EB28CA">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可以实现电脑、笔记本、投影机等高清数字信号自由混合切换，HDMI接口输入的视频信号可直接从VGA接口输出，不用转接头，且HDMI接口输入的音频信号也可同步输出，不用另接音频线，做到真正的HDMI和VGA混合切换的音视频同步输出，4K信号自由切换。</w:t>
            </w:r>
          </w:p>
          <w:p w14:paraId="03989EE5">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7路电源管理，强电带AC85V-275V稳压模块，电压不稳定情况下也可以正常使用；带投影机断电散热保护功能，系统关闭后，投影机灯泡散热继续供电保护，带电流过载保护模块：电流过载自动断电，保护电脑投影机等外接电源设备；</w:t>
            </w:r>
          </w:p>
          <w:p w14:paraId="260957CB">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内置集成：智能控制接口≥2路.电子锁接口≥1路、通迅接口≥2路、RJ45网络接口≥3路，独立可编程232控制接口≥2路、红外控制接口≥4路，IO控制接口≥2路、USB主机USB设置接口≥1路、U盘文件读取接口≥2路，3.5mm音频输出接口≥1路、MIC接口≥1路，TYPE-C接口≥1路； </w:t>
            </w:r>
          </w:p>
          <w:p w14:paraId="165AA638">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6.集成网络模块（内置）</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支持远程程序更新功能，远程批处理、支持手机微信小程序远程管理，可多平台对所有辖区内多媒体教室多媒体设备进行集中化、可视化管理;</w:t>
            </w:r>
          </w:p>
          <w:p w14:paraId="2B32B7B3">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可扩展：网络对讲、广播、监听模块，全铝合金拉丝外壳，内置高灵敏度拾音器，与数字高保真喇叭输出，带回音反馈抑制功能，实现一键呼叫与管理中心对讲、控制中心对教室的监听、与校园广播，带3.5立体数字音频输出接口可外接功放输出，控制中心配合数字监控系统，可以实现自动判别呼叫信号弹屏放大，可视化对讲功能;</w:t>
            </w:r>
          </w:p>
          <w:p w14:paraId="35766C34">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二、交互控制面板：</w:t>
            </w:r>
          </w:p>
          <w:p w14:paraId="0DAC709D">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1.电容式5.8英寸触摸面板集成:系统开、系统关、投影机开、投影机休眠、投影机关、智能控制1、智能控制2、音量加、音量减、静音按键、电脑、笔记本、无线传屏、备用按键； </w:t>
            </w:r>
          </w:p>
          <w:p w14:paraId="42E5BD5B">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2.控制面板集成国标二三插，可随中控开关机管理联动输出AC220V/50Hz电压，方便老师笔记本，手机等设备用电。</w:t>
            </w:r>
          </w:p>
        </w:tc>
        <w:tc>
          <w:tcPr>
            <w:tcW w:w="255" w:type="pct"/>
            <w:vAlign w:val="center"/>
          </w:tcPr>
          <w:p w14:paraId="0CA2FC36">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4</w:t>
            </w:r>
          </w:p>
        </w:tc>
        <w:tc>
          <w:tcPr>
            <w:tcW w:w="207" w:type="pct"/>
            <w:vAlign w:val="center"/>
          </w:tcPr>
          <w:p w14:paraId="30F9DBE5">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台</w:t>
            </w:r>
          </w:p>
        </w:tc>
        <w:tc>
          <w:tcPr>
            <w:tcW w:w="266" w:type="pct"/>
            <w:vAlign w:val="center"/>
          </w:tcPr>
          <w:p w14:paraId="0472ECDE">
            <w:pPr>
              <w:keepNext w:val="0"/>
              <w:keepLines w:val="0"/>
              <w:pageBreakBefore w:val="0"/>
              <w:widowControl/>
              <w:kinsoku/>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color w:val="auto"/>
                <w:kern w:val="0"/>
                <w:szCs w:val="21"/>
                <w:highlight w:val="none"/>
              </w:rPr>
              <w:t>工业</w:t>
            </w:r>
          </w:p>
        </w:tc>
        <w:tc>
          <w:tcPr>
            <w:tcW w:w="441" w:type="pct"/>
            <w:vAlign w:val="center"/>
          </w:tcPr>
          <w:p w14:paraId="19FE5603">
            <w:pPr>
              <w:keepNext w:val="0"/>
              <w:keepLines w:val="0"/>
              <w:pageBreakBefore w:val="0"/>
              <w:widowControl/>
              <w:kinsoku/>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color w:val="auto"/>
                <w:kern w:val="0"/>
                <w:szCs w:val="21"/>
                <w:highlight w:val="none"/>
              </w:rPr>
              <w:t>否</w:t>
            </w:r>
          </w:p>
        </w:tc>
        <w:tc>
          <w:tcPr>
            <w:tcW w:w="327" w:type="pct"/>
            <w:vAlign w:val="center"/>
          </w:tcPr>
          <w:p w14:paraId="1100A2CE">
            <w:pPr>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p>
        </w:tc>
      </w:tr>
      <w:tr w14:paraId="71BB1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 w:type="pct"/>
            <w:vAlign w:val="center"/>
          </w:tcPr>
          <w:p w14:paraId="0E2390CF">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17</w:t>
            </w:r>
          </w:p>
        </w:tc>
        <w:tc>
          <w:tcPr>
            <w:tcW w:w="442" w:type="pct"/>
            <w:vAlign w:val="center"/>
          </w:tcPr>
          <w:p w14:paraId="7AD8B260">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智能物联网络多媒体控制系统嵌入式软件</w:t>
            </w:r>
          </w:p>
        </w:tc>
        <w:tc>
          <w:tcPr>
            <w:tcW w:w="2796" w:type="pct"/>
            <w:vAlign w:val="center"/>
          </w:tcPr>
          <w:p w14:paraId="36A1C83F">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1.通过USB直接与主机连接，无需专用串口或者特定方式通讯。</w:t>
            </w:r>
          </w:p>
          <w:p w14:paraId="5CD16BC0">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2.Ip配置无需通过串口读取、配置，通过网络直接配置。</w:t>
            </w:r>
          </w:p>
          <w:p w14:paraId="12E3C943">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3.通过网络能直接与主机连接，远程配置数据。</w:t>
            </w:r>
          </w:p>
          <w:p w14:paraId="6BFF9D35">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具有场景配置功能，通过勾选来配置场景（如开机场景，系统开启时需要自动开启哪些设备通过勾选即可，无需填写专用代码），并能通过网络直接配置各场景，场景包括开机场景、关机场景、上课场景、下课场景、自习场景。各场景均能直接勾选物联的联动（包括灯光、窗帘、空调、风扇等开关），投标须提供软件界面截图和智能物联网络多媒体控制系统嵌入式</w:t>
            </w:r>
            <w:r>
              <w:rPr>
                <w:rFonts w:hint="eastAsia" w:ascii="宋体" w:hAnsi="宋体" w:eastAsia="宋体" w:cs="宋体"/>
                <w:b/>
                <w:bCs/>
                <w:color w:val="auto"/>
                <w:szCs w:val="21"/>
                <w:highlight w:val="none"/>
                <w:lang w:val="en-US" w:eastAsia="zh-CN"/>
              </w:rPr>
              <w:t>第三方机构出具的测试报告</w:t>
            </w:r>
            <w:r>
              <w:rPr>
                <w:rFonts w:hint="eastAsia" w:ascii="宋体" w:hAnsi="宋体" w:eastAsia="宋体" w:cs="宋体"/>
                <w:b/>
                <w:bCs/>
                <w:color w:val="auto"/>
                <w:szCs w:val="21"/>
                <w:highlight w:val="none"/>
              </w:rPr>
              <w:t>。</w:t>
            </w:r>
          </w:p>
          <w:p w14:paraId="4A23830D">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5.具有时间矫正和恢复出厂默认功能。</w:t>
            </w:r>
          </w:p>
          <w:p w14:paraId="5E8E8958">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6.具有投影机数据设置功能，包括直接导入投影机代码的功能以方便调试，并具有读取投影时间和矫正时间功能。</w:t>
            </w:r>
          </w:p>
          <w:p w14:paraId="492C3FE4">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具有延时时间功能，包括投影机开机延时发码时间（通过直接选择数字方式来延时时间，方便调试和修改数据，而非通过代码的方式延时）、投影机关机断电延时时间、幕布断电延时时间、设备电源断电延时时间。</w:t>
            </w:r>
          </w:p>
          <w:p w14:paraId="5AA26F83">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▲8.具有读卡器设置功能，包括卡号类型（插卡类型、刷卡类型）选择，以便于一种读卡器能使用任意讲台模式、读卡器授权模式（开放模式和授权模式），灵活调整使用，提供软件截图佐证。</w:t>
            </w:r>
          </w:p>
          <w:p w14:paraId="65F05FF4">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9.具有物联连接和配置功能，让主机能快速连接上物联开关。</w:t>
            </w:r>
          </w:p>
          <w:p w14:paraId="2B20EDED">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10.软件能直接开启中控。</w:t>
            </w:r>
          </w:p>
          <w:p w14:paraId="11B8BE00">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11.监视电脑功能。</w:t>
            </w:r>
          </w:p>
          <w:p w14:paraId="6E223B8F">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12.具有调用系统关闭功能，以方便在主机关机时自动关闭电脑。</w:t>
            </w:r>
          </w:p>
          <w:p w14:paraId="33B8570F">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13.具有抓屏功能，能在网络条件不理想的情况下抓取当前桌面图片的能力。</w:t>
            </w:r>
          </w:p>
          <w:p w14:paraId="66495554">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14.具有接管电脑功能，远端通过本软件可直接接管安装有此软件的电脑。</w:t>
            </w:r>
          </w:p>
          <w:p w14:paraId="0C5B8D2B">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bCs/>
                <w:color w:val="auto"/>
                <w:szCs w:val="21"/>
                <w:highlight w:val="none"/>
              </w:rPr>
            </w:pPr>
            <w:r>
              <w:rPr>
                <w:rFonts w:hint="eastAsia" w:ascii="宋体" w:hAnsi="宋体" w:eastAsia="宋体" w:cs="宋体"/>
                <w:b/>
                <w:bCs/>
                <w:color w:val="auto"/>
                <w:szCs w:val="21"/>
                <w:highlight w:val="none"/>
              </w:rPr>
              <w:t>▲15.提供智能物联网络多媒体控制系统嵌入式软件</w:t>
            </w:r>
            <w:r>
              <w:rPr>
                <w:rFonts w:hint="eastAsia" w:ascii="宋体" w:hAnsi="宋体" w:eastAsia="宋体" w:cs="宋体"/>
                <w:b/>
                <w:bCs/>
                <w:color w:val="auto"/>
                <w:szCs w:val="21"/>
                <w:highlight w:val="none"/>
                <w:lang w:val="en-US" w:eastAsia="zh-CN"/>
              </w:rPr>
              <w:t>著作权</w:t>
            </w:r>
            <w:r>
              <w:rPr>
                <w:rFonts w:hint="eastAsia" w:ascii="宋体" w:hAnsi="宋体" w:eastAsia="宋体" w:cs="宋体"/>
                <w:b/>
                <w:bCs/>
                <w:color w:val="auto"/>
                <w:szCs w:val="21"/>
                <w:highlight w:val="none"/>
              </w:rPr>
              <w:t>证书。</w:t>
            </w:r>
          </w:p>
        </w:tc>
        <w:tc>
          <w:tcPr>
            <w:tcW w:w="255" w:type="pct"/>
            <w:vAlign w:val="center"/>
          </w:tcPr>
          <w:p w14:paraId="520F8EC0">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4</w:t>
            </w:r>
          </w:p>
        </w:tc>
        <w:tc>
          <w:tcPr>
            <w:tcW w:w="207" w:type="pct"/>
            <w:vAlign w:val="center"/>
          </w:tcPr>
          <w:p w14:paraId="562AC8E2">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val="en-US" w:eastAsia="zh-CN"/>
              </w:rPr>
              <w:t>套</w:t>
            </w:r>
          </w:p>
        </w:tc>
        <w:tc>
          <w:tcPr>
            <w:tcW w:w="266" w:type="pct"/>
            <w:vAlign w:val="center"/>
          </w:tcPr>
          <w:p w14:paraId="657C2400">
            <w:pPr>
              <w:keepNext w:val="0"/>
              <w:keepLines w:val="0"/>
              <w:pageBreakBefore w:val="0"/>
              <w:widowControl/>
              <w:kinsoku/>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color w:val="auto"/>
                <w:kern w:val="0"/>
                <w:szCs w:val="21"/>
                <w:highlight w:val="none"/>
              </w:rPr>
              <w:t>软件和信息技术服务业</w:t>
            </w:r>
          </w:p>
        </w:tc>
        <w:tc>
          <w:tcPr>
            <w:tcW w:w="441" w:type="pct"/>
            <w:vAlign w:val="center"/>
          </w:tcPr>
          <w:p w14:paraId="7A39362B">
            <w:pPr>
              <w:keepNext w:val="0"/>
              <w:keepLines w:val="0"/>
              <w:pageBreakBefore w:val="0"/>
              <w:widowControl/>
              <w:kinsoku/>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color w:val="auto"/>
                <w:kern w:val="0"/>
                <w:szCs w:val="21"/>
                <w:highlight w:val="none"/>
              </w:rPr>
              <w:t>否</w:t>
            </w:r>
          </w:p>
        </w:tc>
        <w:tc>
          <w:tcPr>
            <w:tcW w:w="327" w:type="pct"/>
            <w:vAlign w:val="center"/>
          </w:tcPr>
          <w:p w14:paraId="70A130A0">
            <w:pPr>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p>
        </w:tc>
      </w:tr>
      <w:tr w14:paraId="6737C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 w:type="pct"/>
            <w:vAlign w:val="center"/>
          </w:tcPr>
          <w:p w14:paraId="5E79A98D">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rPr>
              <w:t>18</w:t>
            </w:r>
          </w:p>
        </w:tc>
        <w:tc>
          <w:tcPr>
            <w:tcW w:w="442" w:type="pct"/>
            <w:vAlign w:val="center"/>
          </w:tcPr>
          <w:p w14:paraId="27586089">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rPr>
              <w:t>智能护耳多功能一体化音响</w:t>
            </w:r>
          </w:p>
        </w:tc>
        <w:tc>
          <w:tcPr>
            <w:tcW w:w="2796" w:type="pct"/>
            <w:vAlign w:val="center"/>
          </w:tcPr>
          <w:p w14:paraId="322361B7">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b w:val="0"/>
                <w:bCs w:val="0"/>
                <w:color w:val="auto"/>
                <w:szCs w:val="21"/>
                <w:highlight w:val="none"/>
              </w:rPr>
            </w:pPr>
            <w:r>
              <w:rPr>
                <w:rFonts w:hint="eastAsia" w:ascii="宋体" w:hAnsi="宋体" w:eastAsia="宋体" w:cs="宋体"/>
                <w:color w:val="auto"/>
                <w:szCs w:val="21"/>
                <w:highlight w:val="none"/>
              </w:rPr>
              <w:t>音箱技术参数：</w:t>
            </w:r>
            <w:r>
              <w:rPr>
                <w:rFonts w:hint="eastAsia" w:ascii="宋体" w:hAnsi="宋体" w:eastAsia="宋体" w:cs="宋体"/>
                <w:color w:val="auto"/>
                <w:szCs w:val="21"/>
                <w:highlight w:val="none"/>
              </w:rPr>
              <w:br w:type="textWrapping"/>
            </w:r>
            <w:r>
              <w:rPr>
                <w:rFonts w:hint="eastAsia" w:ascii="宋体" w:hAnsi="宋体" w:eastAsia="宋体" w:cs="宋体"/>
                <w:b w:val="0"/>
                <w:bCs w:val="0"/>
                <w:color w:val="auto"/>
                <w:szCs w:val="21"/>
                <w:highlight w:val="none"/>
              </w:rPr>
              <w:t>1.音频输入：支持模拟音频输入；支持蓝牙音频输入；支持无线麦克风音频输入；</w:t>
            </w:r>
            <w:r>
              <w:rPr>
                <w:rFonts w:hint="eastAsia" w:ascii="宋体" w:hAnsi="宋体" w:eastAsia="宋体" w:cs="宋体"/>
                <w:b w:val="0"/>
                <w:bCs w:val="0"/>
                <w:color w:val="auto"/>
                <w:szCs w:val="21"/>
                <w:highlight w:val="none"/>
              </w:rPr>
              <w:br w:type="textWrapping"/>
            </w:r>
            <w:r>
              <w:rPr>
                <w:rFonts w:hint="eastAsia" w:ascii="宋体" w:hAnsi="宋体" w:eastAsia="宋体" w:cs="宋体"/>
                <w:b w:val="0"/>
                <w:bCs w:val="0"/>
                <w:color w:val="auto"/>
                <w:szCs w:val="21"/>
                <w:highlight w:val="none"/>
              </w:rPr>
              <w:t>2.支持音量旋钮进行音量调节；</w:t>
            </w:r>
            <w:r>
              <w:rPr>
                <w:rFonts w:hint="eastAsia" w:ascii="宋体" w:hAnsi="宋体" w:eastAsia="宋体" w:cs="宋体"/>
                <w:b w:val="0"/>
                <w:bCs w:val="0"/>
                <w:strike/>
                <w:color w:val="auto"/>
                <w:szCs w:val="21"/>
                <w:highlight w:val="none"/>
              </w:rPr>
              <w:br w:type="textWrapping"/>
            </w:r>
            <w:r>
              <w:rPr>
                <w:rFonts w:hint="eastAsia" w:ascii="宋体" w:hAnsi="宋体" w:eastAsia="宋体" w:cs="宋体"/>
                <w:b w:val="0"/>
                <w:bCs w:val="0"/>
                <w:color w:val="auto"/>
                <w:szCs w:val="21"/>
                <w:highlight w:val="none"/>
              </w:rPr>
              <w:t>3.声压级:1m处最大声压级不低于98dB@1KHz&amp;1m；</w:t>
            </w:r>
          </w:p>
          <w:p w14:paraId="0EC5C926">
            <w:pPr>
              <w:keepNext w:val="0"/>
              <w:keepLines w:val="0"/>
              <w:pageBreakBefore w:val="0"/>
              <w:numPr>
                <w:ilvl w:val="0"/>
                <w:numId w:val="0"/>
              </w:numPr>
              <w:kinsoku/>
              <w:wordWrap w:val="0"/>
              <w:overflowPunct/>
              <w:topLinePunct w:val="0"/>
              <w:autoSpaceDE/>
              <w:autoSpaceDN/>
              <w:bidi w:val="0"/>
              <w:adjustRightInd/>
              <w:snapToGrid/>
              <w:spacing w:line="400" w:lineRule="exact"/>
              <w:textAlignment w:val="auto"/>
              <w:rPr>
                <w:rFonts w:hint="eastAsia" w:ascii="宋体" w:hAnsi="宋体" w:eastAsia="宋体" w:cs="宋体"/>
                <w:b w:val="0"/>
                <w:bCs w:val="0"/>
                <w:color w:val="auto"/>
                <w:szCs w:val="21"/>
                <w:highlight w:val="none"/>
                <w:lang w:eastAsia="zh-CN"/>
              </w:rPr>
            </w:pPr>
            <w:r>
              <w:rPr>
                <w:rFonts w:hint="eastAsia" w:ascii="宋体" w:hAnsi="宋体" w:eastAsia="宋体" w:cs="宋体"/>
                <w:b w:val="0"/>
                <w:bCs w:val="0"/>
                <w:color w:val="auto"/>
                <w:szCs w:val="21"/>
                <w:highlight w:val="none"/>
                <w:lang w:val="en-US" w:eastAsia="zh-CN"/>
              </w:rPr>
              <w:t>4.</w:t>
            </w:r>
            <w:r>
              <w:rPr>
                <w:rFonts w:hint="eastAsia" w:ascii="宋体" w:hAnsi="宋体" w:eastAsia="宋体" w:cs="宋体"/>
                <w:b w:val="0"/>
                <w:bCs w:val="0"/>
                <w:color w:val="auto"/>
                <w:szCs w:val="21"/>
                <w:highlight w:val="none"/>
              </w:rPr>
              <w:t>有效频率范围：115Hz-20KHz（频率范围宽泛，支持低频到高频）</w:t>
            </w:r>
            <w:r>
              <w:rPr>
                <w:rFonts w:hint="eastAsia" w:ascii="宋体" w:hAnsi="宋体" w:eastAsia="宋体" w:cs="宋体"/>
                <w:b w:val="0"/>
                <w:bCs w:val="0"/>
                <w:color w:val="auto"/>
                <w:szCs w:val="21"/>
                <w:highlight w:val="none"/>
                <w:lang w:eastAsia="zh-CN"/>
              </w:rPr>
              <w:t>；</w:t>
            </w:r>
          </w:p>
          <w:p w14:paraId="27C653E0">
            <w:pPr>
              <w:keepNext w:val="0"/>
              <w:keepLines w:val="0"/>
              <w:pageBreakBefore w:val="0"/>
              <w:numPr>
                <w:ilvl w:val="0"/>
                <w:numId w:val="0"/>
              </w:numPr>
              <w:kinsoku/>
              <w:wordWrap w:val="0"/>
              <w:overflowPunct/>
              <w:topLinePunct w:val="0"/>
              <w:autoSpaceDE/>
              <w:autoSpaceDN/>
              <w:bidi w:val="0"/>
              <w:adjustRightInd/>
              <w:snapToGrid/>
              <w:spacing w:line="400" w:lineRule="exact"/>
              <w:ind w:leftChars="0"/>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en-US" w:eastAsia="zh-CN"/>
              </w:rPr>
              <w:t>5.</w:t>
            </w:r>
            <w:r>
              <w:rPr>
                <w:rFonts w:hint="eastAsia" w:ascii="宋体" w:hAnsi="宋体" w:eastAsia="宋体" w:cs="宋体"/>
                <w:b w:val="0"/>
                <w:bCs w:val="0"/>
                <w:color w:val="auto"/>
                <w:szCs w:val="21"/>
                <w:highlight w:val="none"/>
              </w:rPr>
              <w:t>前后声压级差：@1m&amp;2KHz前后声压级差不小于23dB；</w:t>
            </w:r>
          </w:p>
          <w:p w14:paraId="35B220CE">
            <w:pPr>
              <w:keepNext w:val="0"/>
              <w:keepLines w:val="0"/>
              <w:pageBreakBefore w:val="0"/>
              <w:numPr>
                <w:ilvl w:val="0"/>
                <w:numId w:val="0"/>
              </w:numPr>
              <w:kinsoku/>
              <w:wordWrap w:val="0"/>
              <w:overflowPunct/>
              <w:topLinePunct w:val="0"/>
              <w:autoSpaceDE/>
              <w:autoSpaceDN/>
              <w:bidi w:val="0"/>
              <w:adjustRightInd/>
              <w:snapToGrid/>
              <w:spacing w:line="400" w:lineRule="exact"/>
              <w:ind w:leftChars="0"/>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 xml:space="preserve">6.扬声器数量不少于6个； </w:t>
            </w:r>
          </w:p>
          <w:p w14:paraId="4BD781FC">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7.教室和会议室等使用场所内各学生座位测量点的稳态声压级最大值与最小值差值范围为±2dB；</w:t>
            </w:r>
          </w:p>
          <w:p w14:paraId="3AB84458">
            <w:pPr>
              <w:keepNext w:val="0"/>
              <w:keepLines w:val="0"/>
              <w:pageBreakBefore w:val="0"/>
              <w:kinsoku/>
              <w:wordWrap w:val="0"/>
              <w:overflowPunct/>
              <w:topLinePunct w:val="0"/>
              <w:autoSpaceDE/>
              <w:autoSpaceDN/>
              <w:bidi w:val="0"/>
              <w:adjustRightInd/>
              <w:snapToGrid/>
              <w:spacing w:line="400" w:lineRule="exact"/>
              <w:textAlignment w:val="auto"/>
              <w:rPr>
                <w:rStyle w:val="82"/>
                <w:rFonts w:hint="default"/>
                <w:color w:val="auto"/>
                <w:sz w:val="21"/>
                <w:szCs w:val="21"/>
                <w:highlight w:val="none"/>
                <w:lang w:bidi="ar"/>
              </w:rPr>
            </w:pPr>
            <w:r>
              <w:rPr>
                <w:rFonts w:hint="eastAsia" w:ascii="宋体" w:hAnsi="宋体" w:eastAsia="宋体" w:cs="宋体"/>
                <w:color w:val="auto"/>
                <w:szCs w:val="21"/>
                <w:highlight w:val="none"/>
              </w:rPr>
              <w:t>8.整机重量不大于5Kg；</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9.电源电压：AC220V；</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10.整机最大功率不大于60W；</w:t>
            </w:r>
            <w:r>
              <w:rPr>
                <w:rFonts w:hint="eastAsia" w:ascii="宋体" w:hAnsi="宋体" w:eastAsia="宋体" w:cs="宋体"/>
                <w:b/>
                <w:bCs/>
                <w:color w:val="auto"/>
                <w:szCs w:val="21"/>
                <w:highlight w:val="none"/>
              </w:rPr>
              <w:br w:type="textWrapping"/>
            </w:r>
            <w:r>
              <w:rPr>
                <w:rFonts w:hint="eastAsia" w:ascii="宋体" w:hAnsi="宋体" w:eastAsia="宋体" w:cs="宋体"/>
                <w:color w:val="auto"/>
                <w:szCs w:val="21"/>
                <w:highlight w:val="none"/>
              </w:rPr>
              <w:t>12.产品腔体为木质结构，保障高品质音效。</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13.安装方式：挂壁式安装在黑板一侧，竖向垂直于墙壁，高度1.7-2.8m。</w:t>
            </w:r>
            <w:r>
              <w:rPr>
                <w:rFonts w:hint="eastAsia" w:ascii="宋体" w:hAnsi="宋体" w:eastAsia="宋体" w:cs="宋体"/>
                <w:color w:val="auto"/>
                <w:szCs w:val="21"/>
                <w:highlight w:val="none"/>
              </w:rPr>
              <w:br w:type="textWrapping"/>
            </w:r>
            <w:r>
              <w:rPr>
                <w:rFonts w:hint="eastAsia" w:ascii="宋体" w:hAnsi="宋体" w:eastAsia="宋体" w:cs="宋体"/>
                <w:b/>
                <w:bCs/>
                <w:color w:val="auto"/>
                <w:szCs w:val="21"/>
                <w:highlight w:val="none"/>
              </w:rPr>
              <w:t>▲（一）配套APP技术参数：（提供第三方检测机构出具的检测报告扫描件）</w:t>
            </w:r>
            <w:r>
              <w:rPr>
                <w:rFonts w:hint="eastAsia" w:ascii="宋体" w:hAnsi="宋体" w:eastAsia="宋体" w:cs="宋体"/>
                <w:b/>
                <w:bCs/>
                <w:strike/>
                <w:color w:val="auto"/>
                <w:szCs w:val="21"/>
                <w:highlight w:val="none"/>
              </w:rPr>
              <w:br w:type="textWrapping"/>
            </w:r>
            <w:r>
              <w:rPr>
                <w:rFonts w:hint="eastAsia" w:ascii="宋体" w:hAnsi="宋体" w:eastAsia="宋体" w:cs="宋体"/>
                <w:b/>
                <w:bCs/>
                <w:color w:val="auto"/>
                <w:szCs w:val="21"/>
                <w:highlight w:val="none"/>
              </w:rPr>
              <w:t>1.支持角度设置，上下角度-30°至30°可调；通过调节发声角度适用于不同环境的声场均衡；</w:t>
            </w:r>
            <w:r>
              <w:rPr>
                <w:rFonts w:hint="eastAsia" w:ascii="宋体" w:hAnsi="宋体" w:eastAsia="宋体" w:cs="宋体"/>
                <w:b/>
                <w:bCs/>
                <w:color w:val="auto"/>
                <w:szCs w:val="21"/>
                <w:highlight w:val="none"/>
              </w:rPr>
              <w:br w:type="textWrapping"/>
            </w:r>
            <w:r>
              <w:rPr>
                <w:rFonts w:hint="eastAsia" w:ascii="宋体" w:hAnsi="宋体" w:eastAsia="宋体" w:cs="宋体"/>
                <w:b/>
                <w:bCs/>
                <w:color w:val="auto"/>
                <w:szCs w:val="21"/>
                <w:highlight w:val="none"/>
              </w:rPr>
              <w:t>2.支持清晰度设置，支持语音正常、清晰、超清晰调节；</w:t>
            </w:r>
            <w:r>
              <w:rPr>
                <w:rFonts w:hint="eastAsia" w:ascii="宋体" w:hAnsi="宋体" w:eastAsia="宋体" w:cs="宋体"/>
                <w:b/>
                <w:bCs/>
                <w:color w:val="auto"/>
                <w:szCs w:val="21"/>
                <w:highlight w:val="none"/>
              </w:rPr>
              <w:br w:type="textWrapping"/>
            </w:r>
            <w:r>
              <w:rPr>
                <w:rFonts w:hint="eastAsia" w:ascii="宋体" w:hAnsi="宋体" w:eastAsia="宋体" w:cs="宋体"/>
                <w:b/>
                <w:bCs/>
                <w:color w:val="auto"/>
                <w:szCs w:val="21"/>
                <w:highlight w:val="none"/>
              </w:rPr>
              <w:t>3.支持啸叫抑制设置，可对啸叫进行高、中、低三档抑制调节；</w:t>
            </w:r>
            <w:r>
              <w:rPr>
                <w:rFonts w:hint="eastAsia" w:ascii="宋体" w:hAnsi="宋体" w:eastAsia="宋体" w:cs="宋体"/>
                <w:b/>
                <w:bCs/>
                <w:color w:val="auto"/>
                <w:szCs w:val="21"/>
                <w:highlight w:val="none"/>
              </w:rPr>
              <w:br w:type="textWrapping"/>
            </w:r>
            <w:r>
              <w:rPr>
                <w:rFonts w:hint="eastAsia" w:ascii="宋体" w:hAnsi="宋体" w:eastAsia="宋体" w:cs="宋体"/>
                <w:b/>
                <w:bCs/>
                <w:color w:val="auto"/>
                <w:szCs w:val="21"/>
                <w:highlight w:val="none"/>
              </w:rPr>
              <w:t>4.支持设备固件升级，通过APP可一键升级固件；</w:t>
            </w:r>
            <w:r>
              <w:rPr>
                <w:rFonts w:hint="eastAsia" w:ascii="宋体" w:hAnsi="宋体" w:eastAsia="宋体" w:cs="宋体"/>
                <w:b/>
                <w:bCs/>
                <w:color w:val="auto"/>
                <w:szCs w:val="21"/>
                <w:highlight w:val="none"/>
              </w:rPr>
              <w:br w:type="textWrapping"/>
            </w:r>
            <w:r>
              <w:rPr>
                <w:rFonts w:hint="eastAsia" w:ascii="宋体" w:hAnsi="宋体" w:eastAsia="宋体" w:cs="宋体"/>
                <w:b/>
                <w:bCs/>
                <w:color w:val="auto"/>
                <w:szCs w:val="21"/>
                <w:highlight w:val="none"/>
              </w:rPr>
              <w:t>5.支持音效算法升级，可在线一键升级音效算法版本；</w:t>
            </w:r>
            <w:r>
              <w:rPr>
                <w:rFonts w:hint="eastAsia" w:ascii="宋体" w:hAnsi="宋体" w:eastAsia="宋体" w:cs="宋体"/>
                <w:b/>
                <w:bCs/>
                <w:color w:val="auto"/>
                <w:szCs w:val="21"/>
                <w:highlight w:val="none"/>
              </w:rPr>
              <w:br w:type="textWrapping"/>
            </w:r>
            <w:r>
              <w:rPr>
                <w:rFonts w:hint="eastAsia" w:ascii="宋体" w:hAnsi="宋体" w:eastAsia="宋体" w:cs="宋体"/>
                <w:b/>
                <w:bCs/>
                <w:color w:val="auto"/>
                <w:szCs w:val="21"/>
                <w:highlight w:val="none"/>
              </w:rPr>
              <w:t>6.支持在线修改名称；</w:t>
            </w:r>
            <w:r>
              <w:rPr>
                <w:rFonts w:hint="eastAsia" w:ascii="宋体" w:hAnsi="宋体" w:eastAsia="宋体" w:cs="宋体"/>
                <w:b/>
                <w:bCs/>
                <w:color w:val="auto"/>
                <w:szCs w:val="21"/>
                <w:highlight w:val="none"/>
              </w:rPr>
              <w:br w:type="textWrapping"/>
            </w:r>
            <w:r>
              <w:rPr>
                <w:rFonts w:hint="eastAsia" w:ascii="宋体" w:hAnsi="宋体" w:eastAsia="宋体" w:cs="宋体"/>
                <w:b/>
                <w:bCs/>
                <w:color w:val="auto"/>
                <w:szCs w:val="21"/>
                <w:highlight w:val="none"/>
              </w:rPr>
              <w:t>7.支持扬声器检测，可单独检测每个扬声器声音是否正常；</w:t>
            </w:r>
            <w:r>
              <w:rPr>
                <w:rFonts w:hint="eastAsia" w:ascii="宋体" w:hAnsi="宋体" w:eastAsia="宋体" w:cs="宋体"/>
                <w:b/>
                <w:bCs/>
                <w:color w:val="auto"/>
                <w:szCs w:val="21"/>
                <w:highlight w:val="none"/>
              </w:rPr>
              <w:br w:type="textWrapping"/>
            </w:r>
            <w:r>
              <w:rPr>
                <w:rFonts w:hint="eastAsia" w:ascii="宋体" w:hAnsi="宋体" w:eastAsia="宋体" w:cs="宋体"/>
                <w:b/>
                <w:bCs/>
                <w:color w:val="auto"/>
                <w:szCs w:val="21"/>
                <w:highlight w:val="none"/>
              </w:rPr>
              <w:t>8.支持建立声场图，输入不同点位声压级，可在线创建现场环境声场图；</w:t>
            </w:r>
          </w:p>
        </w:tc>
        <w:tc>
          <w:tcPr>
            <w:tcW w:w="255" w:type="pct"/>
            <w:vAlign w:val="center"/>
          </w:tcPr>
          <w:p w14:paraId="30EB6B64">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rPr>
              <w:t>4</w:t>
            </w:r>
          </w:p>
        </w:tc>
        <w:tc>
          <w:tcPr>
            <w:tcW w:w="207" w:type="pct"/>
            <w:vAlign w:val="center"/>
          </w:tcPr>
          <w:p w14:paraId="640F7707">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台</w:t>
            </w:r>
          </w:p>
        </w:tc>
        <w:tc>
          <w:tcPr>
            <w:tcW w:w="266" w:type="pct"/>
            <w:vAlign w:val="center"/>
          </w:tcPr>
          <w:p w14:paraId="2D1CE4C2">
            <w:pPr>
              <w:keepNext w:val="0"/>
              <w:keepLines w:val="0"/>
              <w:pageBreakBefore w:val="0"/>
              <w:widowControl/>
              <w:kinsoku/>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工业</w:t>
            </w:r>
          </w:p>
        </w:tc>
        <w:tc>
          <w:tcPr>
            <w:tcW w:w="441" w:type="pct"/>
            <w:vAlign w:val="center"/>
          </w:tcPr>
          <w:p w14:paraId="496D001B">
            <w:pPr>
              <w:keepNext w:val="0"/>
              <w:keepLines w:val="0"/>
              <w:pageBreakBefore w:val="0"/>
              <w:widowControl/>
              <w:kinsoku/>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否</w:t>
            </w:r>
          </w:p>
        </w:tc>
        <w:tc>
          <w:tcPr>
            <w:tcW w:w="327" w:type="pct"/>
            <w:vAlign w:val="center"/>
          </w:tcPr>
          <w:p w14:paraId="36E8BC0A">
            <w:pPr>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p>
        </w:tc>
      </w:tr>
      <w:tr w14:paraId="405A2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 w:type="pct"/>
            <w:vAlign w:val="center"/>
          </w:tcPr>
          <w:p w14:paraId="61E70700">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19</w:t>
            </w:r>
          </w:p>
        </w:tc>
        <w:tc>
          <w:tcPr>
            <w:tcW w:w="442" w:type="pct"/>
            <w:vAlign w:val="center"/>
          </w:tcPr>
          <w:p w14:paraId="3A106A4B">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智能护耳扩声耳麦</w:t>
            </w:r>
          </w:p>
        </w:tc>
        <w:tc>
          <w:tcPr>
            <w:tcW w:w="2796" w:type="pct"/>
            <w:vAlign w:val="center"/>
          </w:tcPr>
          <w:p w14:paraId="2E510C18">
            <w:pPr>
              <w:keepNext w:val="0"/>
              <w:keepLines w:val="0"/>
              <w:pageBreakBefore w:val="0"/>
              <w:numPr>
                <w:ilvl w:val="0"/>
                <w:numId w:val="0"/>
              </w:numPr>
              <w:kinsoku/>
              <w:wordWrap w:val="0"/>
              <w:overflowPunct/>
              <w:topLinePunct w:val="0"/>
              <w:autoSpaceDE/>
              <w:autoSpaceDN/>
              <w:bidi w:val="0"/>
              <w:adjustRightInd/>
              <w:snapToGrid/>
              <w:spacing w:line="400" w:lineRule="exact"/>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en-US" w:eastAsia="zh-CN"/>
              </w:rPr>
              <w:t>1.</w:t>
            </w:r>
            <w:r>
              <w:rPr>
                <w:rFonts w:hint="eastAsia" w:ascii="宋体" w:hAnsi="宋体" w:eastAsia="宋体" w:cs="宋体"/>
                <w:b w:val="0"/>
                <w:bCs w:val="0"/>
                <w:color w:val="auto"/>
                <w:szCs w:val="21"/>
                <w:highlight w:val="none"/>
              </w:rPr>
              <w:t>无线麦克风对频距离低于2m可自动与音箱对频；</w:t>
            </w:r>
          </w:p>
          <w:p w14:paraId="15C13F6C">
            <w:pPr>
              <w:keepNext w:val="0"/>
              <w:keepLines w:val="0"/>
              <w:pageBreakBefore w:val="0"/>
              <w:numPr>
                <w:ilvl w:val="0"/>
                <w:numId w:val="0"/>
              </w:numPr>
              <w:kinsoku/>
              <w:wordWrap w:val="0"/>
              <w:overflowPunct/>
              <w:topLinePunct w:val="0"/>
              <w:autoSpaceDE/>
              <w:autoSpaceDN/>
              <w:bidi w:val="0"/>
              <w:adjustRightInd/>
              <w:snapToGrid/>
              <w:spacing w:line="400" w:lineRule="exact"/>
              <w:textAlignment w:val="auto"/>
              <w:rPr>
                <w:rFonts w:hint="eastAsia" w:ascii="宋体" w:hAnsi="宋体" w:eastAsia="宋体" w:cs="宋体"/>
                <w:bCs/>
                <w:color w:val="auto"/>
                <w:szCs w:val="21"/>
                <w:highlight w:val="none"/>
              </w:rPr>
            </w:pPr>
            <w:r>
              <w:rPr>
                <w:rFonts w:hint="eastAsia" w:ascii="宋体" w:hAnsi="宋体" w:eastAsia="宋体" w:cs="宋体"/>
                <w:b w:val="0"/>
                <w:bCs w:val="0"/>
                <w:color w:val="auto"/>
                <w:szCs w:val="21"/>
                <w:highlight w:val="none"/>
              </w:rPr>
              <w:t>2.能手动调节无线麦克风音量，从而控制音箱音量；</w:t>
            </w:r>
            <w:r>
              <w:rPr>
                <w:rFonts w:hint="eastAsia" w:ascii="宋体" w:hAnsi="宋体" w:eastAsia="宋体" w:cs="宋体"/>
                <w:b w:val="0"/>
                <w:bCs w:val="0"/>
                <w:color w:val="auto"/>
                <w:szCs w:val="21"/>
                <w:highlight w:val="none"/>
              </w:rPr>
              <w:br w:type="textWrapping"/>
            </w:r>
            <w:r>
              <w:rPr>
                <w:rFonts w:hint="eastAsia" w:ascii="宋体" w:hAnsi="宋体" w:eastAsia="宋体" w:cs="宋体"/>
                <w:b w:val="0"/>
                <w:bCs w:val="0"/>
                <w:color w:val="auto"/>
                <w:szCs w:val="21"/>
                <w:highlight w:val="none"/>
              </w:rPr>
              <w:t>3.无线麦克风充满电后，连续工作时间不小于6H</w:t>
            </w:r>
            <w:r>
              <w:rPr>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rPr>
              <w:br w:type="textWrapping"/>
            </w:r>
            <w:r>
              <w:rPr>
                <w:rFonts w:hint="eastAsia" w:ascii="宋体" w:hAnsi="宋体" w:eastAsia="宋体" w:cs="宋体"/>
                <w:b w:val="0"/>
                <w:bCs w:val="0"/>
                <w:color w:val="auto"/>
                <w:szCs w:val="21"/>
                <w:highlight w:val="none"/>
              </w:rPr>
              <w:t>4.无线最大传输距离不低于10m；</w:t>
            </w:r>
            <w:r>
              <w:rPr>
                <w:rFonts w:hint="eastAsia" w:ascii="宋体" w:hAnsi="宋体" w:eastAsia="宋体" w:cs="宋体"/>
                <w:b w:val="0"/>
                <w:bCs w:val="0"/>
                <w:strike/>
                <w:color w:val="auto"/>
                <w:szCs w:val="21"/>
                <w:highlight w:val="none"/>
              </w:rPr>
              <w:br w:type="textWrapping"/>
            </w:r>
            <w:r>
              <w:rPr>
                <w:rFonts w:hint="eastAsia" w:ascii="宋体" w:hAnsi="宋体" w:eastAsia="宋体" w:cs="宋体"/>
                <w:b w:val="0"/>
                <w:bCs w:val="0"/>
                <w:color w:val="auto"/>
                <w:szCs w:val="21"/>
                <w:highlight w:val="none"/>
              </w:rPr>
              <w:t>5.无线麦克风支持一键静音功能；</w:t>
            </w:r>
            <w:r>
              <w:rPr>
                <w:rFonts w:hint="eastAsia" w:ascii="宋体" w:hAnsi="宋体" w:eastAsia="宋体" w:cs="宋体"/>
                <w:b w:val="0"/>
                <w:bCs w:val="0"/>
                <w:color w:val="auto"/>
                <w:szCs w:val="21"/>
                <w:highlight w:val="none"/>
              </w:rPr>
              <w:br w:type="textWrapping"/>
            </w:r>
            <w:r>
              <w:rPr>
                <w:rFonts w:hint="eastAsia" w:ascii="宋体" w:hAnsi="宋体" w:eastAsia="宋体" w:cs="宋体"/>
                <w:b w:val="0"/>
                <w:bCs w:val="0"/>
                <w:color w:val="auto"/>
                <w:szCs w:val="21"/>
                <w:highlight w:val="none"/>
              </w:rPr>
              <w:t>6.带有屏幕可显示无线麦克风调节音量；</w:t>
            </w:r>
            <w:r>
              <w:rPr>
                <w:rFonts w:hint="eastAsia" w:ascii="宋体" w:hAnsi="宋体" w:eastAsia="宋体" w:cs="宋体"/>
                <w:b w:val="0"/>
                <w:bCs w:val="0"/>
                <w:color w:val="auto"/>
                <w:szCs w:val="21"/>
                <w:highlight w:val="none"/>
              </w:rPr>
              <w:br w:type="textWrapping"/>
            </w:r>
            <w:r>
              <w:rPr>
                <w:rFonts w:hint="eastAsia" w:ascii="宋体" w:hAnsi="宋体" w:eastAsia="宋体" w:cs="宋体"/>
                <w:b w:val="0"/>
                <w:bCs w:val="0"/>
                <w:color w:val="auto"/>
                <w:szCs w:val="21"/>
                <w:highlight w:val="none"/>
              </w:rPr>
              <w:t>7.传输方式：2.4G调频；</w:t>
            </w:r>
          </w:p>
        </w:tc>
        <w:tc>
          <w:tcPr>
            <w:tcW w:w="255" w:type="pct"/>
            <w:vAlign w:val="center"/>
          </w:tcPr>
          <w:p w14:paraId="7A259053">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4</w:t>
            </w:r>
          </w:p>
        </w:tc>
        <w:tc>
          <w:tcPr>
            <w:tcW w:w="207" w:type="pct"/>
            <w:vAlign w:val="center"/>
          </w:tcPr>
          <w:p w14:paraId="19A49125">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个</w:t>
            </w:r>
          </w:p>
        </w:tc>
        <w:tc>
          <w:tcPr>
            <w:tcW w:w="266" w:type="pct"/>
            <w:vAlign w:val="center"/>
          </w:tcPr>
          <w:p w14:paraId="4AA2AC46">
            <w:pPr>
              <w:keepNext w:val="0"/>
              <w:keepLines w:val="0"/>
              <w:pageBreakBefore w:val="0"/>
              <w:widowControl/>
              <w:kinsoku/>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工业</w:t>
            </w:r>
          </w:p>
        </w:tc>
        <w:tc>
          <w:tcPr>
            <w:tcW w:w="441" w:type="pct"/>
            <w:vAlign w:val="center"/>
          </w:tcPr>
          <w:p w14:paraId="34875F96">
            <w:pPr>
              <w:keepNext w:val="0"/>
              <w:keepLines w:val="0"/>
              <w:pageBreakBefore w:val="0"/>
              <w:widowControl/>
              <w:kinsoku/>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否</w:t>
            </w:r>
          </w:p>
        </w:tc>
        <w:tc>
          <w:tcPr>
            <w:tcW w:w="327" w:type="pct"/>
            <w:vAlign w:val="center"/>
          </w:tcPr>
          <w:p w14:paraId="52CAB01C">
            <w:pPr>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p>
        </w:tc>
      </w:tr>
      <w:tr w14:paraId="2891D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 w:type="pct"/>
            <w:vAlign w:val="center"/>
          </w:tcPr>
          <w:p w14:paraId="1AF92BCC">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20</w:t>
            </w:r>
          </w:p>
        </w:tc>
        <w:tc>
          <w:tcPr>
            <w:tcW w:w="442" w:type="pct"/>
            <w:vAlign w:val="center"/>
          </w:tcPr>
          <w:p w14:paraId="2DE48C92">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网络机柜</w:t>
            </w:r>
          </w:p>
        </w:tc>
        <w:tc>
          <w:tcPr>
            <w:tcW w:w="2796" w:type="pct"/>
            <w:vAlign w:val="center"/>
          </w:tcPr>
          <w:p w14:paraId="31241D33">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标准网络机柜</w:t>
            </w:r>
          </w:p>
        </w:tc>
        <w:tc>
          <w:tcPr>
            <w:tcW w:w="255" w:type="pct"/>
            <w:vAlign w:val="center"/>
          </w:tcPr>
          <w:p w14:paraId="7FA0DA63">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4</w:t>
            </w:r>
          </w:p>
        </w:tc>
        <w:tc>
          <w:tcPr>
            <w:tcW w:w="207" w:type="pct"/>
            <w:vAlign w:val="center"/>
          </w:tcPr>
          <w:p w14:paraId="6D5C8207">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个</w:t>
            </w:r>
          </w:p>
        </w:tc>
        <w:tc>
          <w:tcPr>
            <w:tcW w:w="266" w:type="pct"/>
            <w:vAlign w:val="center"/>
          </w:tcPr>
          <w:p w14:paraId="19F112F5">
            <w:pPr>
              <w:keepNext w:val="0"/>
              <w:keepLines w:val="0"/>
              <w:pageBreakBefore w:val="0"/>
              <w:widowControl/>
              <w:kinsoku/>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工业</w:t>
            </w:r>
          </w:p>
        </w:tc>
        <w:tc>
          <w:tcPr>
            <w:tcW w:w="441" w:type="pct"/>
            <w:vAlign w:val="center"/>
          </w:tcPr>
          <w:p w14:paraId="0177084C">
            <w:pPr>
              <w:keepNext w:val="0"/>
              <w:keepLines w:val="0"/>
              <w:pageBreakBefore w:val="0"/>
              <w:widowControl/>
              <w:kinsoku/>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否</w:t>
            </w:r>
          </w:p>
        </w:tc>
        <w:tc>
          <w:tcPr>
            <w:tcW w:w="327" w:type="pct"/>
            <w:vAlign w:val="center"/>
          </w:tcPr>
          <w:p w14:paraId="2ADACB11">
            <w:pPr>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p>
        </w:tc>
      </w:tr>
      <w:tr w14:paraId="47AB2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 w:type="pct"/>
            <w:vAlign w:val="center"/>
          </w:tcPr>
          <w:p w14:paraId="17EE93B8">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442" w:type="pct"/>
            <w:vAlign w:val="center"/>
          </w:tcPr>
          <w:p w14:paraId="63EC703E">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摄像头</w:t>
            </w:r>
          </w:p>
        </w:tc>
        <w:tc>
          <w:tcPr>
            <w:tcW w:w="2796" w:type="pct"/>
            <w:vAlign w:val="center"/>
          </w:tcPr>
          <w:p w14:paraId="761B9E07">
            <w:pPr>
              <w:keepNext w:val="0"/>
              <w:keepLines w:val="0"/>
              <w:pageBreakBefore w:val="0"/>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一、图像与视频</w:t>
            </w:r>
          </w:p>
          <w:p w14:paraId="38EE9F69">
            <w:pPr>
              <w:keepNext w:val="0"/>
              <w:keepLines w:val="0"/>
              <w:pageBreakBefore w:val="0"/>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像素：300 万（3MP），分辨率 2304×1296（2K）</w:t>
            </w:r>
          </w:p>
          <w:p w14:paraId="061A60AB">
            <w:pPr>
              <w:keepNext w:val="0"/>
              <w:keepLines w:val="0"/>
              <w:pageBreakBefore w:val="0"/>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传感器：1/2.8 英寸逐行扫描 CMOS</w:t>
            </w:r>
          </w:p>
          <w:p w14:paraId="695F6885">
            <w:pPr>
              <w:keepNext w:val="0"/>
              <w:keepLines w:val="0"/>
              <w:pageBreakBefore w:val="0"/>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镜头：3.6mm 定焦；水平 83°、垂直 46°、对角 100° 视场角</w:t>
            </w:r>
          </w:p>
          <w:p w14:paraId="708A5987">
            <w:pPr>
              <w:keepNext w:val="0"/>
              <w:keepLines w:val="0"/>
              <w:pageBreakBefore w:val="0"/>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夜视：850nm 红外灯，10 米红外夜视；微光全彩</w:t>
            </w:r>
          </w:p>
          <w:p w14:paraId="24787548">
            <w:pPr>
              <w:keepNext w:val="0"/>
              <w:keepLines w:val="0"/>
              <w:pageBreakBefore w:val="0"/>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编码：H.265（主）/H.264；8 倍数字变焦</w:t>
            </w:r>
          </w:p>
          <w:p w14:paraId="5DEB78A3">
            <w:pPr>
              <w:keepNext w:val="0"/>
              <w:keepLines w:val="0"/>
              <w:pageBreakBefore w:val="0"/>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帧率：最高 25/30fps</w:t>
            </w:r>
          </w:p>
          <w:p w14:paraId="6E644065">
            <w:pPr>
              <w:keepNext w:val="0"/>
              <w:keepLines w:val="0"/>
              <w:pageBreakBefore w:val="0"/>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二、云台与视野</w:t>
            </w:r>
          </w:p>
          <w:p w14:paraId="5903268C">
            <w:pPr>
              <w:keepNext w:val="0"/>
              <w:keepLines w:val="0"/>
              <w:pageBreakBefore w:val="0"/>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水平旋转：355°（无死角）</w:t>
            </w:r>
          </w:p>
          <w:p w14:paraId="08C8ACB8">
            <w:pPr>
              <w:keepNext w:val="0"/>
              <w:keepLines w:val="0"/>
              <w:pageBreakBefore w:val="0"/>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垂直旋转：-5°~+80°（可俯视）</w:t>
            </w:r>
          </w:p>
          <w:p w14:paraId="31B25993">
            <w:pPr>
              <w:keepNext w:val="0"/>
              <w:keepLines w:val="0"/>
              <w:pageBreakBefore w:val="0"/>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操控：手机 APP 远程控制，静音马达</w:t>
            </w:r>
          </w:p>
          <w:p w14:paraId="44126B07">
            <w:pPr>
              <w:keepNext w:val="0"/>
              <w:keepLines w:val="0"/>
              <w:pageBreakBefore w:val="0"/>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三、音频与告警</w:t>
            </w:r>
          </w:p>
          <w:p w14:paraId="072B0AD9">
            <w:pPr>
              <w:keepNext w:val="0"/>
              <w:keepLines w:val="0"/>
              <w:pageBreakBefore w:val="0"/>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双向对讲：内置麦克风 + 扬声器，5 米拾音</w:t>
            </w:r>
          </w:p>
          <w:p w14:paraId="3559C676">
            <w:pPr>
              <w:keepNext w:val="0"/>
              <w:keepLines w:val="0"/>
              <w:pageBreakBefore w:val="0"/>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AI 检测：人形检测、智能跟踪、异常声音告警</w:t>
            </w:r>
          </w:p>
          <w:p w14:paraId="1EBDD5A5">
            <w:pPr>
              <w:keepNext w:val="0"/>
              <w:keepLines w:val="0"/>
              <w:pageBreakBefore w:val="0"/>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隐私模式：一键物理遮蔽镜头</w:t>
            </w:r>
          </w:p>
          <w:p w14:paraId="28A36319">
            <w:pPr>
              <w:keepNext w:val="0"/>
              <w:keepLines w:val="0"/>
              <w:pageBreakBefore w:val="0"/>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四、网络与存储</w:t>
            </w:r>
          </w:p>
          <w:p w14:paraId="7CE85A37">
            <w:pPr>
              <w:keepNext w:val="0"/>
              <w:keepLines w:val="0"/>
              <w:pageBreakBefore w:val="0"/>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Wi-Fi：2.4GHz/5GHz 双频（IEEE802.11b/g/n）</w:t>
            </w:r>
          </w:p>
          <w:p w14:paraId="7D2DC512">
            <w:pPr>
              <w:keepNext w:val="0"/>
              <w:keepLines w:val="0"/>
              <w:pageBreakBefore w:val="0"/>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存储：64G；支持乐橙云存储、NVR</w:t>
            </w:r>
          </w:p>
          <w:p w14:paraId="6A25A2F9">
            <w:pPr>
              <w:keepNext w:val="0"/>
              <w:keepLines w:val="0"/>
              <w:pageBreakBefore w:val="0"/>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五、物理与电气</w:t>
            </w:r>
          </w:p>
          <w:p w14:paraId="37D88852">
            <w:pPr>
              <w:keepNext w:val="0"/>
              <w:keepLines w:val="0"/>
              <w:pageBreakBefore w:val="0"/>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供电：DC 5V/1A（不含 POE）</w:t>
            </w:r>
          </w:p>
          <w:p w14:paraId="08451450">
            <w:pPr>
              <w:keepNext w:val="0"/>
              <w:keepLines w:val="0"/>
              <w:pageBreakBefore w:val="0"/>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功耗：＜3.7W</w:t>
            </w:r>
          </w:p>
          <w:p w14:paraId="4C76B124">
            <w:pPr>
              <w:keepNext w:val="0"/>
              <w:keepLines w:val="0"/>
              <w:pageBreakBefore w:val="0"/>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尺寸：83×83×106.1mm；重量约 201g</w:t>
            </w:r>
          </w:p>
          <w:p w14:paraId="72B7BCFD">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工作环境：-10℃~+45℃，湿度＜95% RH</w:t>
            </w:r>
          </w:p>
        </w:tc>
        <w:tc>
          <w:tcPr>
            <w:tcW w:w="255" w:type="pct"/>
            <w:vAlign w:val="center"/>
          </w:tcPr>
          <w:p w14:paraId="2FE50561">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4</w:t>
            </w:r>
          </w:p>
        </w:tc>
        <w:tc>
          <w:tcPr>
            <w:tcW w:w="207" w:type="pct"/>
            <w:vAlign w:val="center"/>
          </w:tcPr>
          <w:p w14:paraId="12D08061">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个</w:t>
            </w:r>
          </w:p>
        </w:tc>
        <w:tc>
          <w:tcPr>
            <w:tcW w:w="266" w:type="pct"/>
            <w:vAlign w:val="center"/>
          </w:tcPr>
          <w:p w14:paraId="76A1FC4B">
            <w:pPr>
              <w:keepNext w:val="0"/>
              <w:keepLines w:val="0"/>
              <w:pageBreakBefore w:val="0"/>
              <w:widowControl/>
              <w:kinsoku/>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工业</w:t>
            </w:r>
          </w:p>
        </w:tc>
        <w:tc>
          <w:tcPr>
            <w:tcW w:w="441" w:type="pct"/>
            <w:vAlign w:val="center"/>
          </w:tcPr>
          <w:p w14:paraId="59309034">
            <w:pPr>
              <w:keepNext w:val="0"/>
              <w:keepLines w:val="0"/>
              <w:pageBreakBefore w:val="0"/>
              <w:widowControl/>
              <w:kinsoku/>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否</w:t>
            </w:r>
          </w:p>
        </w:tc>
        <w:tc>
          <w:tcPr>
            <w:tcW w:w="327" w:type="pct"/>
            <w:vAlign w:val="center"/>
          </w:tcPr>
          <w:p w14:paraId="4FB988D0">
            <w:pPr>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p>
        </w:tc>
      </w:tr>
      <w:tr w14:paraId="166CB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 w:type="pct"/>
            <w:vAlign w:val="center"/>
          </w:tcPr>
          <w:p w14:paraId="37C68251">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22</w:t>
            </w:r>
          </w:p>
        </w:tc>
        <w:tc>
          <w:tcPr>
            <w:tcW w:w="442" w:type="pct"/>
            <w:vAlign w:val="center"/>
          </w:tcPr>
          <w:p w14:paraId="5E488BCA">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六类非屏蔽双绞线</w:t>
            </w:r>
          </w:p>
        </w:tc>
        <w:tc>
          <w:tcPr>
            <w:tcW w:w="2796" w:type="pct"/>
            <w:vAlign w:val="center"/>
          </w:tcPr>
          <w:p w14:paraId="68D6A44A">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1.导体：精炼铜；</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2.屏蔽方式：线对采用“十”字骨架隔离；</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3.护套材料：PVC，抗拉耐磨；</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4.支持监控 POE 供电；</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5.包装方式：易拉箱。</w:t>
            </w:r>
          </w:p>
        </w:tc>
        <w:tc>
          <w:tcPr>
            <w:tcW w:w="255" w:type="pct"/>
            <w:vAlign w:val="center"/>
          </w:tcPr>
          <w:p w14:paraId="6808E85C">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20</w:t>
            </w:r>
          </w:p>
        </w:tc>
        <w:tc>
          <w:tcPr>
            <w:tcW w:w="207" w:type="pct"/>
            <w:vAlign w:val="center"/>
          </w:tcPr>
          <w:p w14:paraId="0B7A2EB2">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val="en-US" w:eastAsia="zh-CN"/>
              </w:rPr>
              <w:t>卷</w:t>
            </w:r>
          </w:p>
        </w:tc>
        <w:tc>
          <w:tcPr>
            <w:tcW w:w="266" w:type="pct"/>
            <w:vAlign w:val="center"/>
          </w:tcPr>
          <w:p w14:paraId="34D358F4">
            <w:pPr>
              <w:keepNext w:val="0"/>
              <w:keepLines w:val="0"/>
              <w:pageBreakBefore w:val="0"/>
              <w:widowControl/>
              <w:kinsoku/>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工业</w:t>
            </w:r>
          </w:p>
        </w:tc>
        <w:tc>
          <w:tcPr>
            <w:tcW w:w="441" w:type="pct"/>
            <w:vAlign w:val="center"/>
          </w:tcPr>
          <w:p w14:paraId="23248B9D">
            <w:pPr>
              <w:keepNext w:val="0"/>
              <w:keepLines w:val="0"/>
              <w:pageBreakBefore w:val="0"/>
              <w:widowControl/>
              <w:kinsoku/>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否</w:t>
            </w:r>
          </w:p>
        </w:tc>
        <w:tc>
          <w:tcPr>
            <w:tcW w:w="327" w:type="pct"/>
            <w:vAlign w:val="center"/>
          </w:tcPr>
          <w:p w14:paraId="0244E587">
            <w:pPr>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p>
        </w:tc>
      </w:tr>
      <w:tr w14:paraId="2CC0E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 w:type="pct"/>
            <w:vAlign w:val="center"/>
          </w:tcPr>
          <w:p w14:paraId="5F96FD74">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rPr>
              <w:t>23</w:t>
            </w:r>
          </w:p>
        </w:tc>
        <w:tc>
          <w:tcPr>
            <w:tcW w:w="442" w:type="pct"/>
            <w:vAlign w:val="center"/>
          </w:tcPr>
          <w:p w14:paraId="717B7529">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rPr>
              <w:t>综合布线</w:t>
            </w:r>
          </w:p>
        </w:tc>
        <w:tc>
          <w:tcPr>
            <w:tcW w:w="2796" w:type="pct"/>
            <w:vAlign w:val="center"/>
          </w:tcPr>
          <w:p w14:paraId="346F82F1">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bCs/>
                <w:color w:val="auto"/>
                <w:szCs w:val="21"/>
                <w:highlight w:val="none"/>
                <w:lang w:eastAsia="zh-CN"/>
              </w:rPr>
            </w:pPr>
            <w:r>
              <w:rPr>
                <w:rFonts w:hint="eastAsia" w:ascii="宋体" w:hAnsi="宋体" w:eastAsia="宋体" w:cs="宋体"/>
                <w:color w:val="auto"/>
                <w:szCs w:val="21"/>
                <w:highlight w:val="none"/>
              </w:rPr>
              <w:t>设备的安装</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调试及垃圾清理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教室文化</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原有设备</w:t>
            </w:r>
            <w:r>
              <w:rPr>
                <w:rFonts w:hint="eastAsia" w:ascii="宋体" w:hAnsi="宋体" w:eastAsia="宋体" w:cs="宋体"/>
                <w:color w:val="auto"/>
                <w:szCs w:val="21"/>
                <w:highlight w:val="none"/>
                <w:lang w:val="en-US" w:eastAsia="zh-CN"/>
              </w:rPr>
              <w:t>和桌椅</w:t>
            </w:r>
            <w:r>
              <w:rPr>
                <w:rFonts w:hint="eastAsia" w:ascii="宋体" w:hAnsi="宋体" w:eastAsia="宋体" w:cs="宋体"/>
                <w:color w:val="auto"/>
                <w:szCs w:val="21"/>
                <w:highlight w:val="none"/>
              </w:rPr>
              <w:t>的拆除、搬运等费用</w:t>
            </w:r>
            <w:r>
              <w:rPr>
                <w:rFonts w:hint="eastAsia" w:ascii="宋体" w:hAnsi="宋体" w:eastAsia="宋体" w:cs="宋体"/>
                <w:color w:val="auto"/>
                <w:szCs w:val="21"/>
                <w:highlight w:val="none"/>
                <w:lang w:eastAsia="zh-CN"/>
              </w:rPr>
              <w:t>。</w:t>
            </w:r>
          </w:p>
        </w:tc>
        <w:tc>
          <w:tcPr>
            <w:tcW w:w="255" w:type="pct"/>
            <w:vAlign w:val="center"/>
          </w:tcPr>
          <w:p w14:paraId="0744213F">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4</w:t>
            </w:r>
          </w:p>
        </w:tc>
        <w:tc>
          <w:tcPr>
            <w:tcW w:w="207" w:type="pct"/>
            <w:vAlign w:val="center"/>
          </w:tcPr>
          <w:p w14:paraId="3081B104">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间</w:t>
            </w:r>
          </w:p>
        </w:tc>
        <w:tc>
          <w:tcPr>
            <w:tcW w:w="266" w:type="pct"/>
            <w:vAlign w:val="center"/>
          </w:tcPr>
          <w:p w14:paraId="77A2F1EC">
            <w:pPr>
              <w:keepNext w:val="0"/>
              <w:keepLines w:val="0"/>
              <w:pageBreakBefore w:val="0"/>
              <w:widowControl/>
              <w:kinsoku/>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工业</w:t>
            </w:r>
          </w:p>
        </w:tc>
        <w:tc>
          <w:tcPr>
            <w:tcW w:w="441" w:type="pct"/>
            <w:vAlign w:val="center"/>
          </w:tcPr>
          <w:p w14:paraId="28B2C964">
            <w:pPr>
              <w:keepNext w:val="0"/>
              <w:keepLines w:val="0"/>
              <w:pageBreakBefore w:val="0"/>
              <w:widowControl/>
              <w:kinsoku/>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否</w:t>
            </w:r>
          </w:p>
        </w:tc>
        <w:tc>
          <w:tcPr>
            <w:tcW w:w="327" w:type="pct"/>
            <w:vAlign w:val="center"/>
          </w:tcPr>
          <w:p w14:paraId="3D4473A4">
            <w:pPr>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p>
        </w:tc>
      </w:tr>
      <w:tr w14:paraId="714F6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 w:type="pct"/>
            <w:vAlign w:val="center"/>
          </w:tcPr>
          <w:p w14:paraId="339E9C8B">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rPr>
              <w:t>24</w:t>
            </w:r>
          </w:p>
        </w:tc>
        <w:tc>
          <w:tcPr>
            <w:tcW w:w="442" w:type="pct"/>
            <w:vAlign w:val="center"/>
          </w:tcPr>
          <w:p w14:paraId="5569B33A">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rPr>
              <w:t>实训台式机</w:t>
            </w:r>
          </w:p>
        </w:tc>
        <w:tc>
          <w:tcPr>
            <w:tcW w:w="2796" w:type="pct"/>
            <w:vAlign w:val="center"/>
          </w:tcPr>
          <w:p w14:paraId="331F99C8">
            <w:pPr>
              <w:pStyle w:val="8"/>
              <w:keepNext w:val="0"/>
              <w:keepLines w:val="0"/>
              <w:pageBreakBefore w:val="0"/>
              <w:widowControl w:val="0"/>
              <w:kinsoku/>
              <w:wordWrap w:val="0"/>
              <w:overflowPunct/>
              <w:topLinePunct w:val="0"/>
              <w:autoSpaceDE/>
              <w:autoSpaceDN/>
              <w:bidi w:val="0"/>
              <w:adjustRightInd/>
              <w:snapToGrid/>
              <w:spacing w:after="0" w:line="400" w:lineRule="exact"/>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1.主频≥2.5GHz 、≥6核处理器12线程，三级缓存≥18MB。</w:t>
            </w:r>
          </w:p>
          <w:p w14:paraId="1CD6FFBF">
            <w:pPr>
              <w:pStyle w:val="8"/>
              <w:keepNext w:val="0"/>
              <w:keepLines w:val="0"/>
              <w:pageBreakBefore w:val="0"/>
              <w:widowControl w:val="0"/>
              <w:kinsoku/>
              <w:wordWrap w:val="0"/>
              <w:overflowPunct/>
              <w:topLinePunct w:val="0"/>
              <w:autoSpaceDE/>
              <w:autoSpaceDN/>
              <w:bidi w:val="0"/>
              <w:adjustRightInd/>
              <w:snapToGrid/>
              <w:spacing w:after="0" w:line="400" w:lineRule="exact"/>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2.内存：16GB DDR4 3200MT/s内存或以上。最大可支持拓展64GB。</w:t>
            </w:r>
          </w:p>
          <w:p w14:paraId="72CB7843">
            <w:pPr>
              <w:pStyle w:val="8"/>
              <w:keepNext w:val="0"/>
              <w:keepLines w:val="0"/>
              <w:pageBreakBefore w:val="0"/>
              <w:widowControl w:val="0"/>
              <w:kinsoku/>
              <w:wordWrap w:val="0"/>
              <w:overflowPunct/>
              <w:topLinePunct w:val="0"/>
              <w:autoSpaceDE/>
              <w:autoSpaceDN/>
              <w:bidi w:val="0"/>
              <w:adjustRightInd/>
              <w:snapToGrid/>
              <w:spacing w:after="0" w:line="400" w:lineRule="exact"/>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3.硬盘：≥512G  M.2 NVMe SSD硬盘。</w:t>
            </w:r>
          </w:p>
          <w:p w14:paraId="201F1B85">
            <w:pPr>
              <w:pStyle w:val="8"/>
              <w:keepNext w:val="0"/>
              <w:keepLines w:val="0"/>
              <w:pageBreakBefore w:val="0"/>
              <w:widowControl w:val="0"/>
              <w:kinsoku/>
              <w:wordWrap w:val="0"/>
              <w:overflowPunct/>
              <w:topLinePunct w:val="0"/>
              <w:autoSpaceDE/>
              <w:autoSpaceDN/>
              <w:bidi w:val="0"/>
              <w:adjustRightInd/>
              <w:snapToGrid/>
              <w:spacing w:after="0" w:line="400" w:lineRule="exact"/>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4.支持拓展9.5mm标准光驱。</w:t>
            </w:r>
          </w:p>
          <w:p w14:paraId="35275354">
            <w:pPr>
              <w:pStyle w:val="8"/>
              <w:keepNext w:val="0"/>
              <w:keepLines w:val="0"/>
              <w:pageBreakBefore w:val="0"/>
              <w:widowControl w:val="0"/>
              <w:kinsoku/>
              <w:wordWrap w:val="0"/>
              <w:overflowPunct/>
              <w:topLinePunct w:val="0"/>
              <w:autoSpaceDE/>
              <w:autoSpaceDN/>
              <w:bidi w:val="0"/>
              <w:adjustRightInd/>
              <w:snapToGrid/>
              <w:spacing w:after="0" w:line="400" w:lineRule="exact"/>
              <w:textAlignment w:val="auto"/>
              <w:rPr>
                <w:rFonts w:hint="eastAsia" w:ascii="宋体" w:hAnsi="宋体" w:eastAsia="宋体" w:cs="宋体"/>
                <w:b w:val="0"/>
                <w:bCs w:val="0"/>
                <w:color w:val="auto"/>
                <w:szCs w:val="21"/>
                <w:highlight w:val="none"/>
                <w:lang w:val="en-US"/>
              </w:rPr>
            </w:pPr>
            <w:r>
              <w:rPr>
                <w:rFonts w:hint="eastAsia" w:ascii="宋体" w:hAnsi="宋体" w:eastAsia="宋体" w:cs="宋体"/>
                <w:b w:val="0"/>
                <w:bCs w:val="0"/>
                <w:color w:val="auto"/>
                <w:szCs w:val="21"/>
                <w:highlight w:val="none"/>
                <w:lang w:val="en-US"/>
              </w:rPr>
              <w:t>5.</w:t>
            </w:r>
            <w:r>
              <w:rPr>
                <w:rFonts w:hint="eastAsia" w:ascii="宋体" w:hAnsi="宋体" w:eastAsia="宋体" w:cs="宋体"/>
                <w:b w:val="0"/>
                <w:bCs w:val="0"/>
                <w:color w:val="auto"/>
                <w:szCs w:val="21"/>
                <w:highlight w:val="none"/>
              </w:rPr>
              <w:t>网口支持</w:t>
            </w:r>
            <w:r>
              <w:rPr>
                <w:rFonts w:hint="eastAsia" w:ascii="宋体" w:hAnsi="宋体" w:eastAsia="宋体" w:cs="宋体"/>
                <w:b w:val="0"/>
                <w:bCs w:val="0"/>
                <w:color w:val="auto"/>
                <w:szCs w:val="21"/>
                <w:highlight w:val="none"/>
                <w:lang w:val="en-US"/>
              </w:rPr>
              <w:t>1000Mbps，</w:t>
            </w:r>
            <w:r>
              <w:rPr>
                <w:rFonts w:hint="eastAsia" w:ascii="宋体" w:hAnsi="宋体" w:eastAsia="宋体" w:cs="宋体"/>
                <w:b w:val="0"/>
                <w:bCs w:val="0"/>
                <w:color w:val="auto"/>
                <w:szCs w:val="21"/>
                <w:highlight w:val="none"/>
              </w:rPr>
              <w:t>网口支持</w:t>
            </w:r>
            <w:r>
              <w:rPr>
                <w:rFonts w:hint="eastAsia" w:ascii="宋体" w:hAnsi="宋体" w:eastAsia="宋体" w:cs="宋体"/>
                <w:b w:val="0"/>
                <w:bCs w:val="0"/>
                <w:color w:val="auto"/>
                <w:szCs w:val="21"/>
                <w:highlight w:val="none"/>
                <w:lang w:val="en-US"/>
              </w:rPr>
              <w:t>wake on LAN</w:t>
            </w:r>
            <w:r>
              <w:rPr>
                <w:rFonts w:hint="eastAsia" w:ascii="宋体" w:hAnsi="宋体" w:eastAsia="宋体" w:cs="宋体"/>
                <w:b w:val="0"/>
                <w:bCs w:val="0"/>
                <w:color w:val="auto"/>
                <w:szCs w:val="21"/>
                <w:highlight w:val="none"/>
              </w:rPr>
              <w:t>。</w:t>
            </w:r>
          </w:p>
          <w:p w14:paraId="4AEA0C20">
            <w:pPr>
              <w:pStyle w:val="8"/>
              <w:keepNext w:val="0"/>
              <w:keepLines w:val="0"/>
              <w:pageBreakBefore w:val="0"/>
              <w:widowControl w:val="0"/>
              <w:kinsoku/>
              <w:wordWrap w:val="0"/>
              <w:overflowPunct/>
              <w:topLinePunct w:val="0"/>
              <w:autoSpaceDE/>
              <w:autoSpaceDN/>
              <w:bidi w:val="0"/>
              <w:adjustRightInd/>
              <w:snapToGrid/>
              <w:spacing w:after="0" w:line="400" w:lineRule="exact"/>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6.集成标准声卡。</w:t>
            </w:r>
          </w:p>
          <w:p w14:paraId="7BBBF409">
            <w:pPr>
              <w:pStyle w:val="8"/>
              <w:keepNext w:val="0"/>
              <w:keepLines w:val="0"/>
              <w:pageBreakBefore w:val="0"/>
              <w:widowControl w:val="0"/>
              <w:kinsoku/>
              <w:wordWrap w:val="0"/>
              <w:overflowPunct/>
              <w:topLinePunct w:val="0"/>
              <w:autoSpaceDE/>
              <w:autoSpaceDN/>
              <w:bidi w:val="0"/>
              <w:adjustRightInd/>
              <w:snapToGrid/>
              <w:spacing w:after="0" w:line="400" w:lineRule="exact"/>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7.USB有线键盘、鼠标；</w:t>
            </w:r>
          </w:p>
          <w:p w14:paraId="5F45F7CB">
            <w:pPr>
              <w:pStyle w:val="8"/>
              <w:keepNext w:val="0"/>
              <w:keepLines w:val="0"/>
              <w:pageBreakBefore w:val="0"/>
              <w:widowControl w:val="0"/>
              <w:kinsoku/>
              <w:wordWrap w:val="0"/>
              <w:overflowPunct/>
              <w:topLinePunct w:val="0"/>
              <w:autoSpaceDE/>
              <w:autoSpaceDN/>
              <w:bidi w:val="0"/>
              <w:adjustRightInd/>
              <w:snapToGrid/>
              <w:spacing w:after="0" w:line="400" w:lineRule="exact"/>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8.前置面板：USB3.0≥6个（其中两个支持USB 3.2 Gen2，四个支持USB 3.2 Gen1）；TypeC≥1个（支持USB 3.2 Gen1）；麦克风输入≥1个，音频输出≥1个。</w:t>
            </w:r>
          </w:p>
          <w:p w14:paraId="7554D113">
            <w:pPr>
              <w:pStyle w:val="8"/>
              <w:keepNext w:val="0"/>
              <w:keepLines w:val="0"/>
              <w:pageBreakBefore w:val="0"/>
              <w:widowControl w:val="0"/>
              <w:kinsoku/>
              <w:wordWrap w:val="0"/>
              <w:overflowPunct/>
              <w:topLinePunct w:val="0"/>
              <w:autoSpaceDE/>
              <w:autoSpaceDN/>
              <w:bidi w:val="0"/>
              <w:adjustRightInd/>
              <w:snapToGrid/>
              <w:spacing w:after="0" w:line="400" w:lineRule="exact"/>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9.关机状态下，支持≥2前置USB端口对外供电。</w:t>
            </w:r>
          </w:p>
          <w:p w14:paraId="7A018D43">
            <w:pPr>
              <w:pStyle w:val="8"/>
              <w:keepNext w:val="0"/>
              <w:keepLines w:val="0"/>
              <w:pageBreakBefore w:val="0"/>
              <w:widowControl w:val="0"/>
              <w:kinsoku/>
              <w:wordWrap w:val="0"/>
              <w:overflowPunct/>
              <w:topLinePunct w:val="0"/>
              <w:autoSpaceDE/>
              <w:autoSpaceDN/>
              <w:bidi w:val="0"/>
              <w:adjustRightInd/>
              <w:snapToGrid/>
              <w:spacing w:after="0" w:line="400" w:lineRule="exact"/>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10.前置面板音频输出接口采用四段式接口，兼容单耳机输出和耳机、麦克风二合一。</w:t>
            </w:r>
          </w:p>
          <w:p w14:paraId="506BE25B">
            <w:pPr>
              <w:pStyle w:val="8"/>
              <w:keepNext w:val="0"/>
              <w:keepLines w:val="0"/>
              <w:pageBreakBefore w:val="0"/>
              <w:widowControl w:val="0"/>
              <w:kinsoku/>
              <w:wordWrap w:val="0"/>
              <w:overflowPunct/>
              <w:topLinePunct w:val="0"/>
              <w:autoSpaceDE/>
              <w:autoSpaceDN/>
              <w:bidi w:val="0"/>
              <w:adjustRightInd/>
              <w:snapToGrid/>
              <w:spacing w:after="0" w:line="400" w:lineRule="exact"/>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11.后置面板：USB2.0≥4个；HDMI输出≥1；VGA输出≥1；DP输出≥1；音频输入≥2；音频输出≥1；RJ45≥1；串口≥1。</w:t>
            </w:r>
          </w:p>
          <w:p w14:paraId="2BFC34B0">
            <w:pPr>
              <w:pStyle w:val="8"/>
              <w:keepNext w:val="0"/>
              <w:keepLines w:val="0"/>
              <w:pageBreakBefore w:val="0"/>
              <w:widowControl w:val="0"/>
              <w:kinsoku/>
              <w:wordWrap w:val="0"/>
              <w:overflowPunct/>
              <w:topLinePunct w:val="0"/>
              <w:autoSpaceDE/>
              <w:autoSpaceDN/>
              <w:bidi w:val="0"/>
              <w:adjustRightInd/>
              <w:snapToGrid/>
              <w:spacing w:after="0" w:line="400" w:lineRule="exact"/>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12.内部插槽：PCIEX16接口≥1个；PCIEX1接口≥2个；PCI接口≥1个；M.2接口≥2个；SATA接口≥3个。</w:t>
            </w:r>
          </w:p>
          <w:p w14:paraId="6B07B33D">
            <w:pPr>
              <w:pStyle w:val="8"/>
              <w:keepNext w:val="0"/>
              <w:keepLines w:val="0"/>
              <w:pageBreakBefore w:val="0"/>
              <w:widowControl w:val="0"/>
              <w:kinsoku/>
              <w:wordWrap w:val="0"/>
              <w:overflowPunct/>
              <w:topLinePunct w:val="0"/>
              <w:autoSpaceDE/>
              <w:autoSpaceDN/>
              <w:bidi w:val="0"/>
              <w:adjustRightInd/>
              <w:snapToGrid/>
              <w:spacing w:after="0" w:line="400" w:lineRule="exact"/>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13.机箱体积：≥15L。</w:t>
            </w:r>
          </w:p>
          <w:p w14:paraId="6A768ABE">
            <w:pPr>
              <w:pStyle w:val="8"/>
              <w:keepNext w:val="0"/>
              <w:keepLines w:val="0"/>
              <w:pageBreakBefore w:val="0"/>
              <w:widowControl w:val="0"/>
              <w:kinsoku/>
              <w:wordWrap w:val="0"/>
              <w:overflowPunct/>
              <w:topLinePunct w:val="0"/>
              <w:autoSpaceDE/>
              <w:autoSpaceDN/>
              <w:bidi w:val="0"/>
              <w:adjustRightInd/>
              <w:snapToGrid/>
              <w:spacing w:after="0" w:line="400" w:lineRule="exact"/>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14.电源功率：≥300W；</w:t>
            </w:r>
          </w:p>
          <w:p w14:paraId="369277E3">
            <w:pPr>
              <w:pStyle w:val="8"/>
              <w:keepNext w:val="0"/>
              <w:keepLines w:val="0"/>
              <w:pageBreakBefore w:val="0"/>
              <w:widowControl w:val="0"/>
              <w:kinsoku/>
              <w:wordWrap w:val="0"/>
              <w:overflowPunct/>
              <w:topLinePunct w:val="0"/>
              <w:autoSpaceDE/>
              <w:autoSpaceDN/>
              <w:bidi w:val="0"/>
              <w:adjustRightInd/>
              <w:snapToGrid/>
              <w:spacing w:after="0" w:line="400" w:lineRule="exact"/>
              <w:textAlignment w:val="auto"/>
              <w:rPr>
                <w:rFonts w:hint="eastAsia" w:ascii="宋体" w:hAnsi="宋体" w:eastAsia="宋体" w:cs="宋体"/>
                <w:b w:val="0"/>
                <w:bCs w:val="0"/>
                <w:color w:val="auto"/>
                <w:szCs w:val="21"/>
                <w:highlight w:val="none"/>
                <w:lang w:val="en-US"/>
              </w:rPr>
            </w:pPr>
            <w:r>
              <w:rPr>
                <w:rFonts w:hint="eastAsia" w:ascii="宋体" w:hAnsi="宋体" w:eastAsia="宋体" w:cs="宋体"/>
                <w:b w:val="0"/>
                <w:bCs w:val="0"/>
                <w:color w:val="auto"/>
                <w:szCs w:val="21"/>
                <w:highlight w:val="none"/>
                <w:lang w:val="en-US"/>
              </w:rPr>
              <w:t>15.显示设备：显示屏屏占比</w:t>
            </w:r>
            <w:r>
              <w:rPr>
                <w:rFonts w:hint="eastAsia" w:ascii="宋体" w:hAnsi="宋体" w:eastAsia="宋体" w:cs="宋体"/>
                <w:b w:val="0"/>
                <w:bCs w:val="0"/>
                <w:color w:val="auto"/>
                <w:szCs w:val="21"/>
                <w:highlight w:val="none"/>
              </w:rPr>
              <w:t>≥92%；</w:t>
            </w:r>
            <w:r>
              <w:rPr>
                <w:rFonts w:hint="eastAsia" w:ascii="宋体" w:hAnsi="宋体" w:eastAsia="宋体" w:cs="宋体"/>
                <w:b w:val="0"/>
                <w:bCs w:val="0"/>
                <w:color w:val="auto"/>
                <w:szCs w:val="21"/>
                <w:highlight w:val="none"/>
                <w:lang w:val="en-US"/>
              </w:rPr>
              <w:t>显示屏分辨率≥1920x1080；显示屏尺寸≥23.8 英寸；显示屏亮度</w:t>
            </w:r>
            <w:r>
              <w:rPr>
                <w:rFonts w:ascii="宋体" w:hAnsi="宋体" w:eastAsia="宋体" w:cs="宋体"/>
                <w:b w:val="0"/>
                <w:bCs w:val="0"/>
                <w:color w:val="auto"/>
                <w:szCs w:val="21"/>
                <w:highlight w:val="none"/>
                <w:lang w:val="en-US"/>
              </w:rPr>
              <w:t>≥300尼特</w:t>
            </w:r>
            <w:r>
              <w:rPr>
                <w:rFonts w:hint="eastAsia" w:ascii="宋体" w:hAnsi="宋体" w:eastAsia="宋体" w:cs="宋体"/>
                <w:b w:val="0"/>
                <w:bCs w:val="0"/>
                <w:color w:val="auto"/>
                <w:szCs w:val="21"/>
                <w:highlight w:val="none"/>
                <w:lang w:val="en-US"/>
              </w:rPr>
              <w:t>；</w:t>
            </w:r>
            <w:r>
              <w:rPr>
                <w:rFonts w:hint="eastAsia" w:ascii="宋体" w:hAnsi="宋体" w:eastAsia="宋体" w:cs="宋体"/>
                <w:b w:val="0"/>
                <w:bCs w:val="0"/>
                <w:color w:val="auto"/>
                <w:szCs w:val="21"/>
                <w:highlight w:val="none"/>
              </w:rPr>
              <w:t>对比度≥1000:1，屏幕刷新率≥100Hz，响应时间≤7ms；可视角度≥178°；支持VGA≥1，HDMI≥1；</w:t>
            </w:r>
          </w:p>
          <w:p w14:paraId="1E94DA08">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bCs/>
                <w:color w:val="auto"/>
                <w:szCs w:val="21"/>
                <w:highlight w:val="none"/>
              </w:rPr>
            </w:pPr>
            <w:r>
              <w:rPr>
                <w:rFonts w:hint="eastAsia" w:ascii="宋体" w:hAnsi="宋体" w:eastAsia="宋体" w:cs="宋体"/>
                <w:b w:val="0"/>
                <w:bCs w:val="0"/>
                <w:color w:val="auto"/>
                <w:szCs w:val="21"/>
                <w:highlight w:val="none"/>
              </w:rPr>
              <w:t>16.可通过物理按键实现系统一键还原。</w:t>
            </w:r>
          </w:p>
        </w:tc>
        <w:tc>
          <w:tcPr>
            <w:tcW w:w="255" w:type="pct"/>
            <w:vAlign w:val="center"/>
          </w:tcPr>
          <w:p w14:paraId="4FACAFA8">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28</w:t>
            </w:r>
          </w:p>
        </w:tc>
        <w:tc>
          <w:tcPr>
            <w:tcW w:w="207" w:type="pct"/>
            <w:vAlign w:val="center"/>
          </w:tcPr>
          <w:p w14:paraId="6CE613DE">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台</w:t>
            </w:r>
          </w:p>
        </w:tc>
        <w:tc>
          <w:tcPr>
            <w:tcW w:w="266" w:type="pct"/>
            <w:vAlign w:val="center"/>
          </w:tcPr>
          <w:p w14:paraId="7B5C06FB">
            <w:pPr>
              <w:keepNext w:val="0"/>
              <w:keepLines w:val="0"/>
              <w:pageBreakBefore w:val="0"/>
              <w:widowControl/>
              <w:kinsoku/>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工业</w:t>
            </w:r>
          </w:p>
        </w:tc>
        <w:tc>
          <w:tcPr>
            <w:tcW w:w="441" w:type="pct"/>
            <w:vAlign w:val="center"/>
          </w:tcPr>
          <w:p w14:paraId="02517516">
            <w:pPr>
              <w:keepNext w:val="0"/>
              <w:keepLines w:val="0"/>
              <w:pageBreakBefore w:val="0"/>
              <w:widowControl/>
              <w:kinsoku/>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否</w:t>
            </w:r>
          </w:p>
        </w:tc>
        <w:tc>
          <w:tcPr>
            <w:tcW w:w="327" w:type="pct"/>
            <w:vAlign w:val="center"/>
          </w:tcPr>
          <w:p w14:paraId="37613D09">
            <w:pPr>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p>
        </w:tc>
      </w:tr>
      <w:tr w14:paraId="5E075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 w:type="pct"/>
            <w:vAlign w:val="center"/>
          </w:tcPr>
          <w:p w14:paraId="56094C65">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rPr>
              <w:t>25</w:t>
            </w:r>
          </w:p>
        </w:tc>
        <w:tc>
          <w:tcPr>
            <w:tcW w:w="442" w:type="pct"/>
            <w:vAlign w:val="center"/>
          </w:tcPr>
          <w:p w14:paraId="417C6A73">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rPr>
              <w:t>75寸一体机</w:t>
            </w:r>
          </w:p>
        </w:tc>
        <w:tc>
          <w:tcPr>
            <w:tcW w:w="2796" w:type="pct"/>
            <w:vAlign w:val="center"/>
          </w:tcPr>
          <w:p w14:paraId="4124641D">
            <w:pPr>
              <w:pStyle w:val="8"/>
              <w:keepNext w:val="0"/>
              <w:keepLines w:val="0"/>
              <w:pageBreakBefore w:val="0"/>
              <w:kinsoku/>
              <w:wordWrap w:val="0"/>
              <w:overflowPunct/>
              <w:topLinePunct w:val="0"/>
              <w:autoSpaceDE/>
              <w:autoSpaceDN/>
              <w:bidi w:val="0"/>
              <w:adjustRightInd/>
              <w:snapToGrid/>
              <w:spacing w:after="0"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一、整机设计</w:t>
            </w:r>
          </w:p>
          <w:p w14:paraId="2D595234">
            <w:pPr>
              <w:pStyle w:val="8"/>
              <w:keepNext w:val="0"/>
              <w:keepLines w:val="0"/>
              <w:pageBreakBefore w:val="0"/>
              <w:kinsoku/>
              <w:wordWrap w:val="0"/>
              <w:overflowPunct/>
              <w:topLinePunct w:val="0"/>
              <w:autoSpaceDE/>
              <w:autoSpaceDN/>
              <w:bidi w:val="0"/>
              <w:adjustRightInd/>
              <w:snapToGrid/>
              <w:spacing w:after="0"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1.整机屏幕采用75英寸液晶显示器。整机采用超高清LED液晶显示屏，显示比例16:9，分辨率3840×2160。</w:t>
            </w:r>
          </w:p>
          <w:p w14:paraId="6DDF4F7F">
            <w:pPr>
              <w:pStyle w:val="8"/>
              <w:keepNext w:val="0"/>
              <w:keepLines w:val="0"/>
              <w:pageBreakBefore w:val="0"/>
              <w:kinsoku/>
              <w:wordWrap w:val="0"/>
              <w:overflowPunct/>
              <w:topLinePunct w:val="0"/>
              <w:autoSpaceDE/>
              <w:autoSpaceDN/>
              <w:bidi w:val="0"/>
              <w:adjustRightInd/>
              <w:snapToGrid/>
              <w:spacing w:after="0" w:line="400" w:lineRule="exact"/>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2.整机采用≥12核嵌入式芯片，整机嵌入式系统版本≥15.0，主频≥1.6GHz，内存≥2GB，存储空间≥32GB，整机CPU芯片，WIFI与蓝牙芯片、摄像头图像处理芯片、均采用自主芯片。</w:t>
            </w:r>
          </w:p>
          <w:p w14:paraId="5EB2603E">
            <w:pPr>
              <w:pStyle w:val="8"/>
              <w:keepNext w:val="0"/>
              <w:keepLines w:val="0"/>
              <w:pageBreakBefore w:val="0"/>
              <w:kinsoku/>
              <w:wordWrap w:val="0"/>
              <w:overflowPunct/>
              <w:topLinePunct w:val="0"/>
              <w:autoSpaceDE/>
              <w:autoSpaceDN/>
              <w:bidi w:val="0"/>
              <w:adjustRightInd/>
              <w:snapToGrid/>
              <w:spacing w:after="0" w:line="400" w:lineRule="exact"/>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3.整机设备内置2.2声道扬声器，前朝向发声，12W高音扬声器2个，上朝向30W中低音扬声器2个，最大功率≥84W，单个扬声器容积≥0.62L，最低谐振频率≤85Hz，整机全部扬声器均采用模块化设计，无需打开背板即可单独拆卸，便于维护。</w:t>
            </w:r>
          </w:p>
          <w:p w14:paraId="41CFF24E">
            <w:pPr>
              <w:pStyle w:val="8"/>
              <w:keepNext w:val="0"/>
              <w:keepLines w:val="0"/>
              <w:pageBreakBefore w:val="0"/>
              <w:kinsoku/>
              <w:wordWrap w:val="0"/>
              <w:overflowPunct/>
              <w:topLinePunct w:val="0"/>
              <w:autoSpaceDE/>
              <w:autoSpaceDN/>
              <w:bidi w:val="0"/>
              <w:adjustRightInd/>
              <w:snapToGrid/>
              <w:spacing w:after="0"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4.侧置输入接口具备2路HDMI、1路RS232（RJ45形态）、1路USB接口，侧置输出接口具备1路音频输出、1路触控USB输出，前置输入接口3路USB接口（包含1路Type-C、2路USB）。</w:t>
            </w:r>
          </w:p>
          <w:p w14:paraId="71288832">
            <w:pPr>
              <w:pStyle w:val="8"/>
              <w:keepNext w:val="0"/>
              <w:keepLines w:val="0"/>
              <w:pageBreakBefore w:val="0"/>
              <w:kinsoku/>
              <w:wordWrap w:val="0"/>
              <w:overflowPunct/>
              <w:topLinePunct w:val="0"/>
              <w:autoSpaceDE/>
              <w:autoSpaceDN/>
              <w:bidi w:val="0"/>
              <w:adjustRightInd/>
              <w:snapToGrid/>
              <w:spacing w:after="0"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5.整机为适配教学场景的便捷使用，设备按键采用简洁化设计，前置接口与按键在设备同一侧，可实现开关机、音量＋－、护眼、录屏、设置功能。</w:t>
            </w:r>
          </w:p>
          <w:p w14:paraId="7E730668">
            <w:pPr>
              <w:pStyle w:val="8"/>
              <w:keepNext w:val="0"/>
              <w:keepLines w:val="0"/>
              <w:pageBreakBefore w:val="0"/>
              <w:kinsoku/>
              <w:wordWrap w:val="0"/>
              <w:overflowPunct/>
              <w:topLinePunct w:val="0"/>
              <w:autoSpaceDE/>
              <w:autoSpaceDN/>
              <w:bidi w:val="0"/>
              <w:adjustRightInd/>
              <w:snapToGrid/>
              <w:spacing w:after="0"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6.整机上边框内置非独立摄像头，采用一体化集成设计，⽀持输出4:3、16:9⽐例的图⽚和视频，支持拍摄＞1600万像素数的照片和视频，支持输出4k分辨率的视频。</w:t>
            </w:r>
          </w:p>
          <w:p w14:paraId="08B8754F">
            <w:pPr>
              <w:pStyle w:val="8"/>
              <w:keepNext w:val="0"/>
              <w:keepLines w:val="0"/>
              <w:pageBreakBefore w:val="0"/>
              <w:kinsoku/>
              <w:wordWrap w:val="0"/>
              <w:overflowPunct/>
              <w:topLinePunct w:val="0"/>
              <w:autoSpaceDE/>
              <w:autoSpaceDN/>
              <w:bidi w:val="0"/>
              <w:adjustRightInd/>
              <w:snapToGrid/>
              <w:spacing w:after="0"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7.整机采用红外触控技术，支持≥50点触控及书写划线，集成预测算法，支持多档预测速度可调节，在书写速度≥50cm/s，支持笔迹距离笔的距离小于20mm，书写触控延迟≤25ms。</w:t>
            </w:r>
          </w:p>
          <w:p w14:paraId="193C690C">
            <w:pPr>
              <w:pStyle w:val="8"/>
              <w:keepNext w:val="0"/>
              <w:keepLines w:val="0"/>
              <w:pageBreakBefore w:val="0"/>
              <w:kinsoku/>
              <w:wordWrap w:val="0"/>
              <w:overflowPunct/>
              <w:topLinePunct w:val="0"/>
              <w:autoSpaceDE/>
              <w:autoSpaceDN/>
              <w:bidi w:val="0"/>
              <w:adjustRightInd/>
              <w:snapToGrid/>
              <w:spacing w:after="0"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8.整机屏幕蓝光占比（有害蓝光415～455nm能量综合）/（整体蓝光400～500nm能量综合）＜50%，色域覆盖率（NTSC）≥72%。</w:t>
            </w:r>
          </w:p>
          <w:p w14:paraId="6ED31155">
            <w:pPr>
              <w:pStyle w:val="8"/>
              <w:keepNext w:val="0"/>
              <w:keepLines w:val="0"/>
              <w:pageBreakBefore w:val="0"/>
              <w:kinsoku/>
              <w:wordWrap w:val="0"/>
              <w:overflowPunct/>
              <w:topLinePunct w:val="0"/>
              <w:autoSpaceDE/>
              <w:autoSpaceDN/>
              <w:bidi w:val="0"/>
              <w:adjustRightInd/>
              <w:snapToGrid/>
              <w:spacing w:after="0"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整机系统支持手势上滑调出人工智能画质调节模式（AI-PQ），开启AI-PQ功能后，播放视频即可根据屏幕内容自动调节画质参数，当屏幕出现人物、建筑、夜景元素时，自动调整对比度、饱和度、锐利度、色调色相值、高光/阴影。</w:t>
            </w:r>
          </w:p>
          <w:p w14:paraId="12D99C5B">
            <w:pPr>
              <w:pStyle w:val="8"/>
              <w:keepNext w:val="0"/>
              <w:keepLines w:val="0"/>
              <w:pageBreakBefore w:val="0"/>
              <w:kinsoku/>
              <w:wordWrap w:val="0"/>
              <w:overflowPunct/>
              <w:topLinePunct w:val="0"/>
              <w:autoSpaceDE/>
              <w:autoSpaceDN/>
              <w:bidi w:val="0"/>
              <w:adjustRightInd/>
              <w:snapToGrid/>
              <w:spacing w:after="0"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10.支持标准、听力、观影和AI空间感知音效模式，AI空间感知音效模式可通过内置麦克风采集教室物理环境声音，自动生成符合当前教室物理环境的频段、音量、音效。</w:t>
            </w:r>
          </w:p>
          <w:p w14:paraId="36FA53E6">
            <w:pPr>
              <w:pStyle w:val="8"/>
              <w:keepNext w:val="0"/>
              <w:keepLines w:val="0"/>
              <w:pageBreakBefore w:val="0"/>
              <w:kinsoku/>
              <w:wordWrap w:val="0"/>
              <w:overflowPunct/>
              <w:topLinePunct w:val="0"/>
              <w:autoSpaceDE/>
              <w:autoSpaceDN/>
              <w:bidi w:val="0"/>
              <w:adjustRightInd/>
              <w:snapToGrid/>
              <w:spacing w:after="0" w:line="400" w:lineRule="exac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11.整机听力模式下具备AI人声语言增强功能，支持三挡强弱调节，通过AI算法提取视频/音频中的语言进行效果增强，在不增加音量的情况下提升语言清晰度，扩声系统语言传输指数（STIPA）≥0.75。（提供第三方检测机构出具的检测报告扫描件）</w:t>
            </w:r>
          </w:p>
          <w:p w14:paraId="746B401F">
            <w:pPr>
              <w:pStyle w:val="8"/>
              <w:keepNext w:val="0"/>
              <w:keepLines w:val="0"/>
              <w:pageBreakBefore w:val="0"/>
              <w:kinsoku/>
              <w:wordWrap w:val="0"/>
              <w:overflowPunct/>
              <w:topLinePunct w:val="0"/>
              <w:autoSpaceDE/>
              <w:autoSpaceDN/>
              <w:bidi w:val="0"/>
              <w:adjustRightInd/>
              <w:snapToGrid/>
              <w:spacing w:after="0"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12.整机支持在无任何外部设备的情况下，实时录制用户朗读内容，识别用户声纹并进行统一身份登录，登录后自动获取个人云端教学课件列表，打开教学白板软件时可跳过软件自带登录步骤。</w:t>
            </w:r>
          </w:p>
          <w:p w14:paraId="16248DF1">
            <w:pPr>
              <w:pStyle w:val="8"/>
              <w:keepNext w:val="0"/>
              <w:keepLines w:val="0"/>
              <w:pageBreakBefore w:val="0"/>
              <w:kinsoku/>
              <w:wordWrap w:val="0"/>
              <w:overflowPunct/>
              <w:topLinePunct w:val="0"/>
              <w:autoSpaceDE/>
              <w:autoSpaceDN/>
              <w:bidi w:val="0"/>
              <w:adjustRightInd/>
              <w:snapToGrid/>
              <w:spacing w:after="0"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13.整机支持发出频率为18kHz-22kHz超声波信号，智能手机通过麦克风接收后，智能手机与整机无需在同一局域网内，可实现配对，一键投屏，用户无需手动输入投屏码或扫码获取投屏码。</w:t>
            </w:r>
          </w:p>
          <w:p w14:paraId="5F0907CB">
            <w:pPr>
              <w:pStyle w:val="8"/>
              <w:keepNext w:val="0"/>
              <w:keepLines w:val="0"/>
              <w:pageBreakBefore w:val="0"/>
              <w:kinsoku/>
              <w:wordWrap w:val="0"/>
              <w:overflowPunct/>
              <w:topLinePunct w:val="0"/>
              <w:autoSpaceDE/>
              <w:autoSpaceDN/>
              <w:bidi w:val="0"/>
              <w:adjustRightInd/>
              <w:snapToGrid/>
              <w:spacing w:after="0" w:line="400" w:lineRule="exact"/>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▲14.整机设备支持多种身份识别方式，支持通过账号登录、手机扫码登录、人脸识别登录、声纹识别登录、近场发现登录，并支持账号安全登录检测。（提供第三方检测机构出具的检测报告扫描件）</w:t>
            </w:r>
          </w:p>
          <w:p w14:paraId="36775AAB">
            <w:pPr>
              <w:pStyle w:val="8"/>
              <w:keepNext w:val="0"/>
              <w:keepLines w:val="0"/>
              <w:pageBreakBefore w:val="0"/>
              <w:kinsoku/>
              <w:wordWrap w:val="0"/>
              <w:overflowPunct/>
              <w:topLinePunct w:val="0"/>
              <w:autoSpaceDE/>
              <w:autoSpaceDN/>
              <w:bidi w:val="0"/>
              <w:adjustRightInd/>
              <w:snapToGrid/>
              <w:spacing w:after="0" w:line="400" w:lineRule="exact"/>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15.整机支持文件传输应用，支持通过扫码、wifi直连</w:t>
            </w:r>
            <w:r>
              <w:rPr>
                <w:rFonts w:hint="eastAsia" w:ascii="宋体" w:hAnsi="宋体" w:eastAsia="宋体" w:cs="宋体"/>
                <w:b w:val="0"/>
                <w:bCs w:val="0"/>
                <w:color w:val="auto"/>
                <w:szCs w:val="21"/>
                <w:highlight w:val="none"/>
                <w:lang w:val="en-US" w:eastAsia="zh-CN"/>
              </w:rPr>
              <w:t>两</w:t>
            </w:r>
            <w:r>
              <w:rPr>
                <w:rFonts w:hint="eastAsia" w:ascii="宋体" w:hAnsi="宋体" w:eastAsia="宋体" w:cs="宋体"/>
                <w:b w:val="0"/>
                <w:bCs w:val="0"/>
                <w:color w:val="auto"/>
                <w:szCs w:val="21"/>
                <w:highlight w:val="none"/>
              </w:rPr>
              <w:t>种方式与手机进行握手连接，实现文件传输功能。</w:t>
            </w:r>
          </w:p>
          <w:p w14:paraId="6B2767DD">
            <w:pPr>
              <w:pStyle w:val="8"/>
              <w:keepNext w:val="0"/>
              <w:keepLines w:val="0"/>
              <w:pageBreakBefore w:val="0"/>
              <w:kinsoku/>
              <w:wordWrap w:val="0"/>
              <w:overflowPunct/>
              <w:topLinePunct w:val="0"/>
              <w:autoSpaceDE/>
              <w:autoSpaceDN/>
              <w:bidi w:val="0"/>
              <w:adjustRightInd/>
              <w:snapToGrid/>
              <w:spacing w:after="0"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16.整机内置传屏接收模块，整机不需要连接任何附加设备，可实现外部电脑、手机设备的音视频信号实时传输到整机上；当使用外部电脑传屏时，支持触摸回传，屏幕上部显示传屏工具栏，可以进行触摸回传控制、勿扰模式、暂停投屏功能；开启勿扰模式时，不允许其他人再进行传屏；投屏时可以选择特定应用窗口，从而实现过滤其他应用窗口，如邮件应用窗口。</w:t>
            </w:r>
          </w:p>
          <w:p w14:paraId="12474C58">
            <w:pPr>
              <w:pStyle w:val="8"/>
              <w:keepNext w:val="0"/>
              <w:keepLines w:val="0"/>
              <w:pageBreakBefore w:val="0"/>
              <w:kinsoku/>
              <w:wordWrap w:val="0"/>
              <w:overflowPunct/>
              <w:topLinePunct w:val="0"/>
              <w:autoSpaceDE/>
              <w:autoSpaceDN/>
              <w:bidi w:val="0"/>
              <w:adjustRightInd/>
              <w:snapToGrid/>
              <w:spacing w:after="0"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17.整机内置双WiFi6无线网卡（不接受外接），在双系统下，可实现Wi-Fi无线上网连接、AP无线热点发射。</w:t>
            </w:r>
          </w:p>
          <w:p w14:paraId="558880A1">
            <w:pPr>
              <w:pStyle w:val="8"/>
              <w:keepNext w:val="0"/>
              <w:keepLines w:val="0"/>
              <w:pageBreakBefore w:val="0"/>
              <w:kinsoku/>
              <w:wordWrap w:val="0"/>
              <w:overflowPunct/>
              <w:topLinePunct w:val="0"/>
              <w:autoSpaceDE/>
              <w:autoSpaceDN/>
              <w:bidi w:val="0"/>
              <w:adjustRightInd/>
              <w:snapToGrid/>
              <w:spacing w:after="0"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18.整机支持提笔书写，在内置系统下可实现无需点击任意功能入口，当检测到红外笔笔尖接触屏幕时，自动进入书写模式。</w:t>
            </w:r>
          </w:p>
          <w:p w14:paraId="472EADA9">
            <w:pPr>
              <w:pStyle w:val="8"/>
              <w:keepNext w:val="0"/>
              <w:keepLines w:val="0"/>
              <w:pageBreakBefore w:val="0"/>
              <w:kinsoku/>
              <w:wordWrap w:val="0"/>
              <w:overflowPunct/>
              <w:topLinePunct w:val="0"/>
              <w:autoSpaceDE/>
              <w:autoSpaceDN/>
              <w:bidi w:val="0"/>
              <w:adjustRightInd/>
              <w:snapToGrid/>
              <w:spacing w:after="0"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19.支持智能书写功能，书写文字自动识别为标准印刷体，支持图形识别功能，可将多种手绘图形转化为矩形、三角形、圆形标准图形。</w:t>
            </w:r>
          </w:p>
          <w:p w14:paraId="6F89EE66">
            <w:pPr>
              <w:pStyle w:val="8"/>
              <w:keepNext w:val="0"/>
              <w:keepLines w:val="0"/>
              <w:pageBreakBefore w:val="0"/>
              <w:kinsoku/>
              <w:wordWrap w:val="0"/>
              <w:overflowPunct/>
              <w:topLinePunct w:val="0"/>
              <w:autoSpaceDE/>
              <w:autoSpaceDN/>
              <w:bidi w:val="0"/>
              <w:adjustRightInd/>
              <w:snapToGrid/>
              <w:spacing w:after="0"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20.整机全通道支持纸质护眼模式，可实现画面纹理的实时调整；支持纸质纹理：牛皮纸、素描纸、宣纸、水彩纸、水纹纸；支持透明度调节；支持色温调节，纸质护眼模式下，显示画面各像素点灰度不规则，减少背景干扰。</w:t>
            </w:r>
          </w:p>
          <w:p w14:paraId="3A5FC31A">
            <w:pPr>
              <w:pStyle w:val="8"/>
              <w:keepNext w:val="0"/>
              <w:keepLines w:val="0"/>
              <w:pageBreakBefore w:val="0"/>
              <w:kinsoku/>
              <w:wordWrap w:val="0"/>
              <w:overflowPunct/>
              <w:topLinePunct w:val="0"/>
              <w:autoSpaceDE/>
              <w:autoSpaceDN/>
              <w:bidi w:val="0"/>
              <w:adjustRightInd/>
              <w:snapToGrid/>
              <w:spacing w:after="0"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21.整机侧边栏内置智能语音转文字工具，支持实时拾取整机系统播放的音视频源内容并进行文字转译，以悬浮字幕形式将文字显示在屏幕上。</w:t>
            </w:r>
          </w:p>
          <w:p w14:paraId="4A4F12B0">
            <w:pPr>
              <w:pStyle w:val="8"/>
              <w:keepNext w:val="0"/>
              <w:keepLines w:val="0"/>
              <w:pageBreakBefore w:val="0"/>
              <w:kinsoku/>
              <w:wordWrap w:val="0"/>
              <w:overflowPunct/>
              <w:topLinePunct w:val="0"/>
              <w:autoSpaceDE/>
              <w:autoSpaceDN/>
              <w:bidi w:val="0"/>
              <w:adjustRightInd/>
              <w:snapToGrid/>
              <w:spacing w:after="0"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22.整机侧边栏内置自习工具，通过整机麦克风监测教室中学生音量大小，当学生音量大于阈值时，屏幕自动弹窗提醒进行自习纪律干预。</w:t>
            </w:r>
          </w:p>
          <w:p w14:paraId="7EDD1E6C">
            <w:pPr>
              <w:pStyle w:val="8"/>
              <w:keepNext w:val="0"/>
              <w:keepLines w:val="0"/>
              <w:pageBreakBefore w:val="0"/>
              <w:kinsoku/>
              <w:wordWrap w:val="0"/>
              <w:overflowPunct/>
              <w:topLinePunct w:val="0"/>
              <w:autoSpaceDE/>
              <w:autoSpaceDN/>
              <w:bidi w:val="0"/>
              <w:adjustRightInd/>
              <w:snapToGrid/>
              <w:spacing w:after="0" w:line="400" w:lineRule="exac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▲23.整机自带AI书写美化能力，智能识别批注的书写轨迹，进行笔锋智能美化，模拟纸上书写的起笔、行笔和收笔效果。（提供第三方检测机构出具的检测报告扫描件）</w:t>
            </w:r>
          </w:p>
          <w:p w14:paraId="7E00D43E">
            <w:pPr>
              <w:pStyle w:val="8"/>
              <w:keepNext w:val="0"/>
              <w:keepLines w:val="0"/>
              <w:pageBreakBefore w:val="0"/>
              <w:kinsoku/>
              <w:wordWrap w:val="0"/>
              <w:overflowPunct/>
              <w:topLinePunct w:val="0"/>
              <w:autoSpaceDE/>
              <w:autoSpaceDN/>
              <w:bidi w:val="0"/>
              <w:adjustRightInd/>
              <w:snapToGrid/>
              <w:spacing w:after="0"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24.支持手写笔迹的智能编辑，支持通过手绘置换符快速置换前后文字语序，支持手动涂抹笔迹对象进行快速删除，支持圈选笔迹对象进行手写笔迹缩放，支持文字间手绘竖线进行文字间距的快速调整。</w:t>
            </w:r>
          </w:p>
          <w:p w14:paraId="5712532B">
            <w:pPr>
              <w:pStyle w:val="8"/>
              <w:keepNext w:val="0"/>
              <w:keepLines w:val="0"/>
              <w:pageBreakBefore w:val="0"/>
              <w:kinsoku/>
              <w:wordWrap w:val="0"/>
              <w:overflowPunct/>
              <w:topLinePunct w:val="0"/>
              <w:autoSpaceDE/>
              <w:autoSpaceDN/>
              <w:bidi w:val="0"/>
              <w:adjustRightInd/>
              <w:snapToGrid/>
              <w:spacing w:after="0"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25.支持智能图表绘制，可将手绘表格转化为智能表格，形成表格对象后表格中书写区域可根据书写内容自适应调整大小，支持将表格外书写内容一键拖动到表格中。</w:t>
            </w:r>
          </w:p>
          <w:p w14:paraId="7B0F0DEA">
            <w:pPr>
              <w:pStyle w:val="8"/>
              <w:keepNext w:val="0"/>
              <w:keepLines w:val="0"/>
              <w:pageBreakBefore w:val="0"/>
              <w:kinsoku/>
              <w:wordWrap w:val="0"/>
              <w:overflowPunct/>
              <w:topLinePunct w:val="0"/>
              <w:autoSpaceDE/>
              <w:autoSpaceDN/>
              <w:bidi w:val="0"/>
              <w:adjustRightInd/>
              <w:snapToGrid/>
              <w:spacing w:after="0"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26.整机侧边栏内置智能语音转文字工具，支持实时拾取整机系统播放的音视频源内容并进行文字转译，以悬浮字幕形式将文字显示在屏幕上。</w:t>
            </w:r>
          </w:p>
          <w:p w14:paraId="1E42A346">
            <w:pPr>
              <w:pStyle w:val="8"/>
              <w:keepNext w:val="0"/>
              <w:keepLines w:val="0"/>
              <w:pageBreakBefore w:val="0"/>
              <w:kinsoku/>
              <w:wordWrap w:val="0"/>
              <w:overflowPunct/>
              <w:topLinePunct w:val="0"/>
              <w:autoSpaceDE/>
              <w:autoSpaceDN/>
              <w:bidi w:val="0"/>
              <w:adjustRightInd/>
              <w:snapToGrid/>
              <w:spacing w:after="0"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27.整机内置微课制作工具，支持对全屏/区域的屏幕内容、整机声音、麦克风声音、摄像头内容进行录制，支持切换录制分辨率，支持录制过程中进行画笔标注与擦除；支持中途暂停录制和继续录制，内置文字快剪功能，支持微课录制结束后提取视频中的文字，按照提取出的文字，对视频进行快速视频剪辑。</w:t>
            </w:r>
          </w:p>
          <w:p w14:paraId="3E5B8DCE">
            <w:pPr>
              <w:pStyle w:val="8"/>
              <w:keepNext w:val="0"/>
              <w:keepLines w:val="0"/>
              <w:pageBreakBefore w:val="0"/>
              <w:kinsoku/>
              <w:wordWrap w:val="0"/>
              <w:overflowPunct/>
              <w:topLinePunct w:val="0"/>
              <w:autoSpaceDE/>
              <w:autoSpaceDN/>
              <w:bidi w:val="0"/>
              <w:adjustRightInd/>
              <w:snapToGrid/>
              <w:spacing w:after="0"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28.整机教学桌面支持U盘、移动硬盘外接存储设备直接在桌面显示，无需打开文件浏览器即可查看文件列表，并且支持文件打开。支持查看全部文件列表以及按照文档、图片、音视频分类方式查看文件列表。</w:t>
            </w:r>
          </w:p>
          <w:p w14:paraId="4A389E9B">
            <w:pPr>
              <w:pStyle w:val="8"/>
              <w:keepNext w:val="0"/>
              <w:keepLines w:val="0"/>
              <w:pageBreakBefore w:val="0"/>
              <w:kinsoku/>
              <w:wordWrap w:val="0"/>
              <w:overflowPunct/>
              <w:topLinePunct w:val="0"/>
              <w:autoSpaceDE/>
              <w:autoSpaceDN/>
              <w:bidi w:val="0"/>
              <w:adjustRightInd/>
              <w:snapToGrid/>
              <w:spacing w:after="0"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二、计算处理单元</w:t>
            </w:r>
          </w:p>
          <w:p w14:paraId="6758510A">
            <w:pPr>
              <w:pStyle w:val="8"/>
              <w:keepNext w:val="0"/>
              <w:keepLines w:val="0"/>
              <w:pageBreakBefore w:val="0"/>
              <w:kinsoku/>
              <w:wordWrap w:val="0"/>
              <w:overflowPunct/>
              <w:topLinePunct w:val="0"/>
              <w:autoSpaceDE/>
              <w:autoSpaceDN/>
              <w:bidi w:val="0"/>
              <w:adjustRightInd/>
              <w:snapToGrid/>
              <w:spacing w:after="0"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1.CPU主频≥2.0GHz，8核12线程，内存：16GB DDR4内存或以上配置，硬盘：512GB或以上SSD固态硬盘。</w:t>
            </w:r>
          </w:p>
          <w:p w14:paraId="3D950A76">
            <w:pPr>
              <w:pStyle w:val="8"/>
              <w:keepNext w:val="0"/>
              <w:keepLines w:val="0"/>
              <w:pageBreakBefore w:val="0"/>
              <w:kinsoku/>
              <w:wordWrap w:val="0"/>
              <w:overflowPunct/>
              <w:topLinePunct w:val="0"/>
              <w:autoSpaceDE/>
              <w:autoSpaceDN/>
              <w:bidi w:val="0"/>
              <w:adjustRightInd/>
              <w:snapToGrid/>
              <w:spacing w:after="0"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2.机身采用热浸镀锌金属材质，采用智能风扇低噪音散热设计，以预留足够散热空间，确保封闭空间内有效散热。具有标准PC防盗锁孔。</w:t>
            </w:r>
          </w:p>
          <w:p w14:paraId="1DB5231D">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3.采用按压式卡扣，无需工具就可快速拆卸电脑模块。</w:t>
            </w:r>
          </w:p>
          <w:p w14:paraId="16E15C22">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4.配移动支架</w:t>
            </w:r>
          </w:p>
        </w:tc>
        <w:tc>
          <w:tcPr>
            <w:tcW w:w="255" w:type="pct"/>
            <w:vAlign w:val="center"/>
          </w:tcPr>
          <w:p w14:paraId="16B4E853">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1</w:t>
            </w:r>
          </w:p>
        </w:tc>
        <w:tc>
          <w:tcPr>
            <w:tcW w:w="207" w:type="pct"/>
            <w:vAlign w:val="center"/>
          </w:tcPr>
          <w:p w14:paraId="1D226F07">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台</w:t>
            </w:r>
          </w:p>
        </w:tc>
        <w:tc>
          <w:tcPr>
            <w:tcW w:w="266" w:type="pct"/>
            <w:vAlign w:val="center"/>
          </w:tcPr>
          <w:p w14:paraId="654CBDFE">
            <w:pPr>
              <w:keepNext w:val="0"/>
              <w:keepLines w:val="0"/>
              <w:pageBreakBefore w:val="0"/>
              <w:widowControl/>
              <w:kinsoku/>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工业</w:t>
            </w:r>
          </w:p>
        </w:tc>
        <w:tc>
          <w:tcPr>
            <w:tcW w:w="441" w:type="pct"/>
            <w:vAlign w:val="center"/>
          </w:tcPr>
          <w:p w14:paraId="0F2308D6">
            <w:pPr>
              <w:keepNext w:val="0"/>
              <w:keepLines w:val="0"/>
              <w:pageBreakBefore w:val="0"/>
              <w:widowControl/>
              <w:kinsoku/>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否</w:t>
            </w:r>
          </w:p>
        </w:tc>
        <w:tc>
          <w:tcPr>
            <w:tcW w:w="327" w:type="pct"/>
            <w:vAlign w:val="center"/>
          </w:tcPr>
          <w:p w14:paraId="1611B697">
            <w:pPr>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p>
        </w:tc>
      </w:tr>
      <w:tr w14:paraId="2F02F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 w:type="pct"/>
            <w:vAlign w:val="center"/>
          </w:tcPr>
          <w:p w14:paraId="6BC53F7A">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rPr>
              <w:t>26</w:t>
            </w:r>
          </w:p>
        </w:tc>
        <w:tc>
          <w:tcPr>
            <w:tcW w:w="442" w:type="pct"/>
            <w:vAlign w:val="center"/>
          </w:tcPr>
          <w:p w14:paraId="776F9EC5">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rPr>
              <w:t>投屏多媒体教学一体机</w:t>
            </w:r>
          </w:p>
        </w:tc>
        <w:tc>
          <w:tcPr>
            <w:tcW w:w="2796" w:type="pct"/>
            <w:vAlign w:val="center"/>
          </w:tcPr>
          <w:p w14:paraId="45C6A346">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一、硬件参数和安全性：</w:t>
            </w:r>
          </w:p>
          <w:p w14:paraId="2D6FFB9B">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1.原装LED液晶A规屏。</w:t>
            </w:r>
          </w:p>
          <w:p w14:paraId="400A564B">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2.显示比例16:9，亮度≥180cd/m2，对比度≥1200：1，可视角度≥178°响应时间6.5ms,刷新率60Hz。</w:t>
            </w:r>
          </w:p>
          <w:p w14:paraId="45B86ADB">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3.分辨率：液晶屏物理分辨率≥3840 * 2160，满足数字全高清显示要求。</w:t>
            </w:r>
          </w:p>
          <w:p w14:paraId="171D1105">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4.4K显示：整机系统具备4K视频处理能力，4K 高清画质输出，使画面亮丽、清晰、流畅，保证显示效果；且具有自动优化运动图像功能,可有效解决图像抖动问题，使运动画面更加清晰流畅。</w:t>
            </w:r>
          </w:p>
          <w:p w14:paraId="70BF8579">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5.超高清H.264解码：多媒体交互一体机产品支持纯硬件高清解码技术，在无 PC状态下支持4K片源流畅播放。</w:t>
            </w:r>
          </w:p>
          <w:p w14:paraId="292085AD">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6.整机MTBF≥120000小时。（整机使用寿命≥30000小时)</w:t>
            </w:r>
          </w:p>
          <w:p w14:paraId="241F092E">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7.整机在0℃—50℃温度环境下可正常工作，-20℃—60℃的环境下可正常贮存且贮存后功能无损，保证设备适应各种天气环境。</w:t>
            </w:r>
          </w:p>
          <w:p w14:paraId="5F235388">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二、硬件和接口参数：</w:t>
            </w:r>
          </w:p>
          <w:p w14:paraId="6A1B883E">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1.内置安卓嵌入式系统，CPU/GPU规格≥A55*4/Mali-G52 2Core，高清智能4核处理器。机身内存≥32G ROM，运行内存≥2G RAM。</w:t>
            </w:r>
          </w:p>
          <w:p w14:paraId="1CB7F9D1">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2.前置下出音音响设计，可实现反射式环绕音效≥2*8W。</w:t>
            </w:r>
          </w:p>
          <w:p w14:paraId="67FF574C">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3.后置接口：≥RJ45*1、≥USB*1、≥HDMI*2、≥LINE OUT*1</w:t>
            </w:r>
          </w:p>
          <w:p w14:paraId="175E2014">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4.自带无线AP热点共享。</w:t>
            </w:r>
          </w:p>
          <w:p w14:paraId="3E516740">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5.支持无线投屏器。</w:t>
            </w:r>
          </w:p>
          <w:p w14:paraId="0175E543">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三、人性化设计：</w:t>
            </w:r>
          </w:p>
          <w:p w14:paraId="6055DFE4">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1.智能遥控器：一键切换显示模式、一键黑屏待机、PPT 上下翻页、PPT退出等功能；</w:t>
            </w:r>
          </w:p>
          <w:p w14:paraId="519E9ABA">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2.节能：一体机在待机状态下功率≤0.5W。</w:t>
            </w:r>
          </w:p>
          <w:p w14:paraId="307BA67B">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特点：</w:t>
            </w:r>
          </w:p>
          <w:p w14:paraId="56B9DAC7">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1.采用无边框设计，整机轻薄美观；</w:t>
            </w:r>
          </w:p>
          <w:p w14:paraId="2632A195">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2.采用 4K 超高清液晶屏，支持 3840*2160分辨率；</w:t>
            </w:r>
          </w:p>
          <w:p w14:paraId="5647F922">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3.内置投屏软件，可自建热点；</w:t>
            </w:r>
          </w:p>
          <w:p w14:paraId="268130FD">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4.产品为无触摸设计，主要应用于投屏会议。</w:t>
            </w:r>
          </w:p>
          <w:p w14:paraId="0B002EF7">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四、应用软件：</w:t>
            </w:r>
          </w:p>
          <w:p w14:paraId="4DA61AAD">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1.内置无线投屏模块，连接设备自身热点，iOS、安卓系统无需任何外部辅助工具即可实现投屏。该设备兼容win7/8/10,MAC OSX 10.9 及以上，传输分辨率支持≥1920*1080@60Hz,并且支持 ≥4 个设备同时在线，且可实现手机、电脑、PAD 四画面显示。</w:t>
            </w:r>
          </w:p>
          <w:p w14:paraId="7863DE62">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2.支持外接U盘时安卓系统对文件进行自动归类，实现office 文档、音乐、视频、图片等分类浏览，支持U盘自主安装第三方APK应用。</w:t>
            </w:r>
          </w:p>
          <w:p w14:paraId="6F206E9A">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五、配移动支架</w:t>
            </w:r>
          </w:p>
        </w:tc>
        <w:tc>
          <w:tcPr>
            <w:tcW w:w="255" w:type="pct"/>
            <w:vAlign w:val="center"/>
          </w:tcPr>
          <w:p w14:paraId="39CFD54A">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8</w:t>
            </w:r>
          </w:p>
        </w:tc>
        <w:tc>
          <w:tcPr>
            <w:tcW w:w="207" w:type="pct"/>
            <w:vAlign w:val="center"/>
          </w:tcPr>
          <w:p w14:paraId="28229642">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台</w:t>
            </w:r>
          </w:p>
        </w:tc>
        <w:tc>
          <w:tcPr>
            <w:tcW w:w="266" w:type="pct"/>
            <w:vAlign w:val="center"/>
          </w:tcPr>
          <w:p w14:paraId="7521BCC6">
            <w:pPr>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工业</w:t>
            </w:r>
          </w:p>
        </w:tc>
        <w:tc>
          <w:tcPr>
            <w:tcW w:w="441" w:type="pct"/>
            <w:vAlign w:val="center"/>
          </w:tcPr>
          <w:p w14:paraId="113FDBDD">
            <w:pPr>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否</w:t>
            </w:r>
          </w:p>
        </w:tc>
        <w:tc>
          <w:tcPr>
            <w:tcW w:w="327" w:type="pct"/>
            <w:vAlign w:val="center"/>
          </w:tcPr>
          <w:p w14:paraId="467F6E20">
            <w:pPr>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p>
        </w:tc>
      </w:tr>
      <w:tr w14:paraId="6A1CD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 w:type="pct"/>
            <w:vAlign w:val="center"/>
          </w:tcPr>
          <w:p w14:paraId="093D2C58">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rPr>
              <w:t>27</w:t>
            </w:r>
          </w:p>
        </w:tc>
        <w:tc>
          <w:tcPr>
            <w:tcW w:w="442" w:type="pct"/>
            <w:vAlign w:val="center"/>
          </w:tcPr>
          <w:p w14:paraId="53F69DCD">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rPr>
              <w:t>屏风桌</w:t>
            </w:r>
          </w:p>
        </w:tc>
        <w:tc>
          <w:tcPr>
            <w:tcW w:w="2796" w:type="pct"/>
            <w:vAlign w:val="center"/>
          </w:tcPr>
          <w:p w14:paraId="36032623">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1.规格：≥1200*600*750，基材：采用免漆颗粒板，经过防潮、防虫、防腐化学处理，甲醛释放量≤0.05mg/m3；含水率、静曲强度、弹性模量、内结合强度、表面胶合强度均达到国家标准，握螺钉力</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N</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:板面≥900N、板边≥600N，</w:t>
            </w:r>
          </w:p>
          <w:p w14:paraId="506A0C5A">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2.四边ABS封边条：耐热性、耐开裂性、耐能力磨性、耐冷热循环性，理化性能合格，甲醛释放量≤0.1mg/L;</w:t>
            </w:r>
          </w:p>
          <w:p w14:paraId="28C32E41">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3.粘胶：采用环保热熔胶，苯、甲苯+二甲苯、卤代烃≤100mg/Kg，总挥发性有机物≤50g/L；</w:t>
            </w:r>
          </w:p>
          <w:p w14:paraId="0E4C3D4D">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4.屏风：铝合金屏风厚度45mm，框架结构，条纹玻璃装饰。下设走线功能。</w:t>
            </w:r>
          </w:p>
        </w:tc>
        <w:tc>
          <w:tcPr>
            <w:tcW w:w="255" w:type="pct"/>
            <w:vAlign w:val="center"/>
          </w:tcPr>
          <w:p w14:paraId="386BC1F0">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22</w:t>
            </w:r>
          </w:p>
        </w:tc>
        <w:tc>
          <w:tcPr>
            <w:tcW w:w="207" w:type="pct"/>
            <w:vAlign w:val="center"/>
          </w:tcPr>
          <w:p w14:paraId="2CAC2906">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张</w:t>
            </w:r>
          </w:p>
        </w:tc>
        <w:tc>
          <w:tcPr>
            <w:tcW w:w="266" w:type="pct"/>
            <w:vAlign w:val="center"/>
          </w:tcPr>
          <w:p w14:paraId="12A47EFA">
            <w:pPr>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工业</w:t>
            </w:r>
          </w:p>
        </w:tc>
        <w:tc>
          <w:tcPr>
            <w:tcW w:w="441" w:type="pct"/>
            <w:vAlign w:val="center"/>
          </w:tcPr>
          <w:p w14:paraId="3B17215D">
            <w:pPr>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否</w:t>
            </w:r>
          </w:p>
        </w:tc>
        <w:tc>
          <w:tcPr>
            <w:tcW w:w="327" w:type="pct"/>
            <w:vAlign w:val="center"/>
          </w:tcPr>
          <w:p w14:paraId="060ACD21">
            <w:pPr>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p>
        </w:tc>
      </w:tr>
      <w:tr w14:paraId="586A6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 w:type="pct"/>
            <w:vAlign w:val="center"/>
          </w:tcPr>
          <w:p w14:paraId="46415042">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rPr>
              <w:t>28</w:t>
            </w:r>
          </w:p>
        </w:tc>
        <w:tc>
          <w:tcPr>
            <w:tcW w:w="442" w:type="pct"/>
            <w:vAlign w:val="center"/>
          </w:tcPr>
          <w:p w14:paraId="0079A80E">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rPr>
              <w:t>办公桌</w:t>
            </w:r>
          </w:p>
        </w:tc>
        <w:tc>
          <w:tcPr>
            <w:tcW w:w="2796" w:type="pct"/>
            <w:vAlign w:val="center"/>
          </w:tcPr>
          <w:p w14:paraId="476846AE">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1.规格≥1600*800*760H</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面材:采用胡桃木木皮饰面，木皮无裂纹、虫眼、夹皮、纹理协调一致。</w:t>
            </w:r>
          </w:p>
          <w:p w14:paraId="4C348C10">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2.油漆:采用环保油漆，苯含量乱0.01%,甲苯、二甲苯、乙苯含量总和≤20%</w:t>
            </w:r>
          </w:p>
          <w:p w14:paraId="71568679">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3.基材:采用环保中密度板</w:t>
            </w:r>
            <w:r>
              <w:rPr>
                <w:rFonts w:hint="eastAsia" w:ascii="宋体" w:hAnsi="宋体" w:eastAsia="宋体" w:cs="宋体"/>
                <w:strike w:val="0"/>
                <w:dstrike w:val="0"/>
                <w:color w:val="auto"/>
                <w:szCs w:val="21"/>
                <w:highlight w:val="none"/>
              </w:rPr>
              <w:t>，符合GB/T11718-</w:t>
            </w:r>
            <w:r>
              <w:rPr>
                <w:rFonts w:hint="eastAsia" w:ascii="宋体" w:hAnsi="宋体" w:eastAsia="宋体" w:cs="宋体"/>
                <w:strike w:val="0"/>
                <w:dstrike w:val="0"/>
                <w:color w:val="auto"/>
                <w:szCs w:val="21"/>
                <w:highlight w:val="none"/>
                <w:lang w:val="en-US" w:eastAsia="zh-CN"/>
              </w:rPr>
              <w:t>2021</w:t>
            </w:r>
            <w:r>
              <w:rPr>
                <w:rFonts w:hint="eastAsia" w:ascii="宋体" w:hAnsi="宋体" w:eastAsia="宋体" w:cs="宋体"/>
                <w:strike w:val="0"/>
                <w:dstrike w:val="0"/>
                <w:color w:val="auto"/>
                <w:szCs w:val="21"/>
                <w:highlight w:val="none"/>
              </w:rPr>
              <w:t>标准</w:t>
            </w:r>
            <w:r>
              <w:rPr>
                <w:rFonts w:hint="eastAsia" w:ascii="宋体" w:hAnsi="宋体" w:eastAsia="宋体" w:cs="宋体"/>
                <w:color w:val="auto"/>
                <w:szCs w:val="21"/>
                <w:highlight w:val="none"/>
              </w:rPr>
              <w:t>。经防虫、防腐等化学处理，木材含水率3-13%,甲醛释放量&lt;3-g/100gi</w:t>
            </w:r>
          </w:p>
          <w:p w14:paraId="12B23E26">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4.白乳:符合GB 18583-2008标准，游离甲醛≤0.05g/kg,苯≤ 0.01g/kg;</w:t>
            </w:r>
          </w:p>
          <w:p w14:paraId="27207D32">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5.五金:采用五金配件，五金配件紧密拼接，牢固，间隙细小且均包，平整无毛刺。</w:t>
            </w:r>
          </w:p>
        </w:tc>
        <w:tc>
          <w:tcPr>
            <w:tcW w:w="255" w:type="pct"/>
            <w:vAlign w:val="center"/>
          </w:tcPr>
          <w:p w14:paraId="6CC07619">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6</w:t>
            </w:r>
          </w:p>
        </w:tc>
        <w:tc>
          <w:tcPr>
            <w:tcW w:w="207" w:type="pct"/>
            <w:vAlign w:val="center"/>
          </w:tcPr>
          <w:p w14:paraId="78F3ADB5">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张</w:t>
            </w:r>
          </w:p>
        </w:tc>
        <w:tc>
          <w:tcPr>
            <w:tcW w:w="266" w:type="pct"/>
            <w:vAlign w:val="center"/>
          </w:tcPr>
          <w:p w14:paraId="04AEF92C">
            <w:pPr>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工业</w:t>
            </w:r>
          </w:p>
        </w:tc>
        <w:tc>
          <w:tcPr>
            <w:tcW w:w="441" w:type="pct"/>
            <w:vAlign w:val="center"/>
          </w:tcPr>
          <w:p w14:paraId="6BBF4455">
            <w:pPr>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否</w:t>
            </w:r>
          </w:p>
        </w:tc>
        <w:tc>
          <w:tcPr>
            <w:tcW w:w="327" w:type="pct"/>
            <w:vAlign w:val="center"/>
          </w:tcPr>
          <w:p w14:paraId="4BFBE389">
            <w:pPr>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p>
        </w:tc>
      </w:tr>
      <w:tr w14:paraId="101F0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 w:type="pct"/>
            <w:vAlign w:val="center"/>
          </w:tcPr>
          <w:p w14:paraId="4ACBD025">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rPr>
              <w:t>29</w:t>
            </w:r>
          </w:p>
        </w:tc>
        <w:tc>
          <w:tcPr>
            <w:tcW w:w="442" w:type="pct"/>
            <w:vAlign w:val="center"/>
          </w:tcPr>
          <w:p w14:paraId="06464389">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rPr>
              <w:t>办公椅</w:t>
            </w:r>
          </w:p>
        </w:tc>
        <w:tc>
          <w:tcPr>
            <w:tcW w:w="2796" w:type="pct"/>
            <w:vAlign w:val="center"/>
          </w:tcPr>
          <w:p w14:paraId="6090C249">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采用透气网布，防磨防污2.塑料：采用纤维塑料，一次性注塑成型；拉力120KG，五星脚架，3座垫：采用高弹海绵，软硬适中，回弹性好，不易变形4.底盘功能：可逍遥、锁定。</w:t>
            </w:r>
          </w:p>
        </w:tc>
        <w:tc>
          <w:tcPr>
            <w:tcW w:w="255" w:type="pct"/>
            <w:vAlign w:val="center"/>
          </w:tcPr>
          <w:p w14:paraId="7E2714FA">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28</w:t>
            </w:r>
          </w:p>
        </w:tc>
        <w:tc>
          <w:tcPr>
            <w:tcW w:w="207" w:type="pct"/>
            <w:vAlign w:val="center"/>
          </w:tcPr>
          <w:p w14:paraId="14365F5B">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张</w:t>
            </w:r>
          </w:p>
        </w:tc>
        <w:tc>
          <w:tcPr>
            <w:tcW w:w="266" w:type="pct"/>
            <w:vAlign w:val="center"/>
          </w:tcPr>
          <w:p w14:paraId="23FD9055">
            <w:pPr>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工业</w:t>
            </w:r>
          </w:p>
        </w:tc>
        <w:tc>
          <w:tcPr>
            <w:tcW w:w="441" w:type="pct"/>
            <w:vAlign w:val="center"/>
          </w:tcPr>
          <w:p w14:paraId="4FDD0094">
            <w:pPr>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否</w:t>
            </w:r>
          </w:p>
        </w:tc>
        <w:tc>
          <w:tcPr>
            <w:tcW w:w="327" w:type="pct"/>
            <w:vAlign w:val="center"/>
          </w:tcPr>
          <w:p w14:paraId="745A5194">
            <w:pPr>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p>
        </w:tc>
      </w:tr>
      <w:tr w14:paraId="25862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 w:type="pct"/>
            <w:vAlign w:val="center"/>
          </w:tcPr>
          <w:p w14:paraId="7F261BE7">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rPr>
              <w:t>30</w:t>
            </w:r>
          </w:p>
        </w:tc>
        <w:tc>
          <w:tcPr>
            <w:tcW w:w="442" w:type="pct"/>
            <w:vAlign w:val="center"/>
          </w:tcPr>
          <w:p w14:paraId="75E5B1FF">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rPr>
              <w:t>有线插排</w:t>
            </w:r>
          </w:p>
        </w:tc>
        <w:tc>
          <w:tcPr>
            <w:tcW w:w="2796" w:type="pct"/>
            <w:vAlign w:val="center"/>
          </w:tcPr>
          <w:p w14:paraId="4FCB2D07">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插孔数量 (位)： 10</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颜色分类 ：【总控】10位5米</w:t>
            </w:r>
          </w:p>
        </w:tc>
        <w:tc>
          <w:tcPr>
            <w:tcW w:w="255" w:type="pct"/>
            <w:vAlign w:val="center"/>
          </w:tcPr>
          <w:p w14:paraId="249BB565">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30</w:t>
            </w:r>
          </w:p>
        </w:tc>
        <w:tc>
          <w:tcPr>
            <w:tcW w:w="207" w:type="pct"/>
            <w:vAlign w:val="center"/>
          </w:tcPr>
          <w:p w14:paraId="4B75AC72">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个</w:t>
            </w:r>
          </w:p>
        </w:tc>
        <w:tc>
          <w:tcPr>
            <w:tcW w:w="266" w:type="pct"/>
            <w:vAlign w:val="center"/>
          </w:tcPr>
          <w:p w14:paraId="7A8383B9">
            <w:pPr>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工业</w:t>
            </w:r>
          </w:p>
        </w:tc>
        <w:tc>
          <w:tcPr>
            <w:tcW w:w="441" w:type="pct"/>
            <w:vAlign w:val="center"/>
          </w:tcPr>
          <w:p w14:paraId="7D2EE343">
            <w:pPr>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否</w:t>
            </w:r>
          </w:p>
        </w:tc>
        <w:tc>
          <w:tcPr>
            <w:tcW w:w="327" w:type="pct"/>
            <w:vAlign w:val="center"/>
          </w:tcPr>
          <w:p w14:paraId="3C74D557">
            <w:pPr>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p>
        </w:tc>
      </w:tr>
      <w:tr w14:paraId="6B89C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 w:type="pct"/>
            <w:vAlign w:val="center"/>
          </w:tcPr>
          <w:p w14:paraId="2933B2B1">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rPr>
              <w:t>31</w:t>
            </w:r>
          </w:p>
        </w:tc>
        <w:tc>
          <w:tcPr>
            <w:tcW w:w="442" w:type="pct"/>
            <w:vAlign w:val="center"/>
          </w:tcPr>
          <w:p w14:paraId="45526EA6">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rPr>
              <w:t>直播用无线夹领麦克风</w:t>
            </w:r>
          </w:p>
        </w:tc>
        <w:tc>
          <w:tcPr>
            <w:tcW w:w="2796" w:type="pct"/>
            <w:vAlign w:val="center"/>
          </w:tcPr>
          <w:p w14:paraId="2389C77C">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迷你无线麦克风 多色前盖高品质音频降噪领夹麦克风 一拖二 苹果全系+安卓+相机（含lighting头（安卓/苹果全系））</w:t>
            </w:r>
          </w:p>
        </w:tc>
        <w:tc>
          <w:tcPr>
            <w:tcW w:w="255" w:type="pct"/>
            <w:vAlign w:val="center"/>
          </w:tcPr>
          <w:p w14:paraId="5A613219">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3</w:t>
            </w:r>
          </w:p>
        </w:tc>
        <w:tc>
          <w:tcPr>
            <w:tcW w:w="207" w:type="pct"/>
            <w:vAlign w:val="center"/>
          </w:tcPr>
          <w:p w14:paraId="6DD8BE73">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个</w:t>
            </w:r>
          </w:p>
        </w:tc>
        <w:tc>
          <w:tcPr>
            <w:tcW w:w="266" w:type="pct"/>
            <w:vAlign w:val="center"/>
          </w:tcPr>
          <w:p w14:paraId="59C339C0">
            <w:pPr>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工业</w:t>
            </w:r>
          </w:p>
        </w:tc>
        <w:tc>
          <w:tcPr>
            <w:tcW w:w="441" w:type="pct"/>
            <w:vAlign w:val="center"/>
          </w:tcPr>
          <w:p w14:paraId="157F2779">
            <w:pPr>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否</w:t>
            </w:r>
          </w:p>
        </w:tc>
        <w:tc>
          <w:tcPr>
            <w:tcW w:w="327" w:type="pct"/>
            <w:vAlign w:val="center"/>
          </w:tcPr>
          <w:p w14:paraId="08956513">
            <w:pPr>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p>
        </w:tc>
      </w:tr>
      <w:tr w14:paraId="1510E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 w:type="pct"/>
            <w:vAlign w:val="center"/>
          </w:tcPr>
          <w:p w14:paraId="55F4961C">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rPr>
              <w:t>32</w:t>
            </w:r>
          </w:p>
        </w:tc>
        <w:tc>
          <w:tcPr>
            <w:tcW w:w="442" w:type="pct"/>
            <w:vAlign w:val="center"/>
          </w:tcPr>
          <w:p w14:paraId="056E9EBC">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rPr>
              <w:t>手持稳定器</w:t>
            </w:r>
          </w:p>
        </w:tc>
        <w:tc>
          <w:tcPr>
            <w:tcW w:w="2796" w:type="pct"/>
            <w:vAlign w:val="center"/>
          </w:tcPr>
          <w:p w14:paraId="4E78F97F">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手机稳定器手持云台</w:t>
            </w:r>
          </w:p>
        </w:tc>
        <w:tc>
          <w:tcPr>
            <w:tcW w:w="255" w:type="pct"/>
            <w:vAlign w:val="center"/>
          </w:tcPr>
          <w:p w14:paraId="174D2FF2">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2</w:t>
            </w:r>
          </w:p>
        </w:tc>
        <w:tc>
          <w:tcPr>
            <w:tcW w:w="207" w:type="pct"/>
            <w:vAlign w:val="center"/>
          </w:tcPr>
          <w:p w14:paraId="038B32A0">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个</w:t>
            </w:r>
          </w:p>
        </w:tc>
        <w:tc>
          <w:tcPr>
            <w:tcW w:w="266" w:type="pct"/>
            <w:vAlign w:val="center"/>
          </w:tcPr>
          <w:p w14:paraId="64E3AC23">
            <w:pPr>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工业</w:t>
            </w:r>
          </w:p>
        </w:tc>
        <w:tc>
          <w:tcPr>
            <w:tcW w:w="441" w:type="pct"/>
            <w:vAlign w:val="center"/>
          </w:tcPr>
          <w:p w14:paraId="76295157">
            <w:pPr>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否</w:t>
            </w:r>
          </w:p>
        </w:tc>
        <w:tc>
          <w:tcPr>
            <w:tcW w:w="327" w:type="pct"/>
            <w:vAlign w:val="center"/>
          </w:tcPr>
          <w:p w14:paraId="74964035">
            <w:pPr>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p>
        </w:tc>
      </w:tr>
      <w:tr w14:paraId="6121A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 w:type="pct"/>
            <w:vAlign w:val="center"/>
          </w:tcPr>
          <w:p w14:paraId="36D71451">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rPr>
              <w:t>33</w:t>
            </w:r>
          </w:p>
        </w:tc>
        <w:tc>
          <w:tcPr>
            <w:tcW w:w="442" w:type="pct"/>
            <w:vAlign w:val="center"/>
          </w:tcPr>
          <w:p w14:paraId="4F2F827D">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rPr>
              <w:t>绿幕及背景架套装</w:t>
            </w:r>
          </w:p>
        </w:tc>
        <w:tc>
          <w:tcPr>
            <w:tcW w:w="2796" w:type="pct"/>
            <w:vAlign w:val="center"/>
          </w:tcPr>
          <w:p w14:paraId="6DC0E6A7">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3*6m绿幕+2.88*3m龙门背景架</w:t>
            </w:r>
          </w:p>
        </w:tc>
        <w:tc>
          <w:tcPr>
            <w:tcW w:w="255" w:type="pct"/>
            <w:vAlign w:val="center"/>
          </w:tcPr>
          <w:p w14:paraId="6EB77CF4">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1</w:t>
            </w:r>
          </w:p>
        </w:tc>
        <w:tc>
          <w:tcPr>
            <w:tcW w:w="207" w:type="pct"/>
            <w:vAlign w:val="center"/>
          </w:tcPr>
          <w:p w14:paraId="3F610A19">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个</w:t>
            </w:r>
          </w:p>
        </w:tc>
        <w:tc>
          <w:tcPr>
            <w:tcW w:w="266" w:type="pct"/>
            <w:vAlign w:val="center"/>
          </w:tcPr>
          <w:p w14:paraId="4F0A83CE">
            <w:pPr>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工业</w:t>
            </w:r>
          </w:p>
        </w:tc>
        <w:tc>
          <w:tcPr>
            <w:tcW w:w="441" w:type="pct"/>
            <w:vAlign w:val="center"/>
          </w:tcPr>
          <w:p w14:paraId="12682C92">
            <w:pPr>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否</w:t>
            </w:r>
          </w:p>
        </w:tc>
        <w:tc>
          <w:tcPr>
            <w:tcW w:w="327" w:type="pct"/>
            <w:vAlign w:val="center"/>
          </w:tcPr>
          <w:p w14:paraId="058C42BD">
            <w:pPr>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p>
        </w:tc>
      </w:tr>
      <w:tr w14:paraId="45A50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 w:type="pct"/>
            <w:vAlign w:val="center"/>
          </w:tcPr>
          <w:p w14:paraId="099A3684">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rPr>
              <w:t>34</w:t>
            </w:r>
          </w:p>
        </w:tc>
        <w:tc>
          <w:tcPr>
            <w:tcW w:w="442" w:type="pct"/>
            <w:vAlign w:val="center"/>
          </w:tcPr>
          <w:p w14:paraId="4818D30D">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rPr>
              <w:t>深抛柔光箱套装</w:t>
            </w:r>
          </w:p>
        </w:tc>
        <w:tc>
          <w:tcPr>
            <w:tcW w:w="2796" w:type="pct"/>
            <w:vAlign w:val="center"/>
          </w:tcPr>
          <w:p w14:paraId="73BB803B">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330W三色单灯+2.8米专业打灯支架+90CM深口柔光箱+格栅+调光遥控器</w:t>
            </w:r>
          </w:p>
        </w:tc>
        <w:tc>
          <w:tcPr>
            <w:tcW w:w="255" w:type="pct"/>
            <w:vAlign w:val="center"/>
          </w:tcPr>
          <w:p w14:paraId="1796FED5">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2</w:t>
            </w:r>
          </w:p>
        </w:tc>
        <w:tc>
          <w:tcPr>
            <w:tcW w:w="207" w:type="pct"/>
            <w:vAlign w:val="center"/>
          </w:tcPr>
          <w:p w14:paraId="2108341D">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个</w:t>
            </w:r>
          </w:p>
        </w:tc>
        <w:tc>
          <w:tcPr>
            <w:tcW w:w="266" w:type="pct"/>
            <w:vAlign w:val="center"/>
          </w:tcPr>
          <w:p w14:paraId="36C38FE6">
            <w:pPr>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工业</w:t>
            </w:r>
          </w:p>
        </w:tc>
        <w:tc>
          <w:tcPr>
            <w:tcW w:w="441" w:type="pct"/>
            <w:vAlign w:val="center"/>
          </w:tcPr>
          <w:p w14:paraId="27449DDC">
            <w:pPr>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否</w:t>
            </w:r>
          </w:p>
        </w:tc>
        <w:tc>
          <w:tcPr>
            <w:tcW w:w="327" w:type="pct"/>
            <w:vAlign w:val="center"/>
          </w:tcPr>
          <w:p w14:paraId="02B8A55F">
            <w:pPr>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p>
        </w:tc>
      </w:tr>
      <w:tr w14:paraId="33E39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 w:type="pct"/>
            <w:vAlign w:val="center"/>
          </w:tcPr>
          <w:p w14:paraId="298DA707">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rPr>
              <w:t>35</w:t>
            </w:r>
          </w:p>
        </w:tc>
        <w:tc>
          <w:tcPr>
            <w:tcW w:w="442" w:type="pct"/>
            <w:vAlign w:val="center"/>
          </w:tcPr>
          <w:p w14:paraId="5909F67B">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rPr>
              <w:t>环形灯套装</w:t>
            </w:r>
          </w:p>
        </w:tc>
        <w:tc>
          <w:tcPr>
            <w:tcW w:w="2796" w:type="pct"/>
            <w:vAlign w:val="center"/>
          </w:tcPr>
          <w:p w14:paraId="2DA686EE">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45cm环形补光灯 *1 软管+手机夹*3+遥控器及遥控电池 *1+ 1.5m 3C电源线*1 +2.1m支架*1</w:t>
            </w:r>
          </w:p>
        </w:tc>
        <w:tc>
          <w:tcPr>
            <w:tcW w:w="255" w:type="pct"/>
            <w:vAlign w:val="center"/>
          </w:tcPr>
          <w:p w14:paraId="38AE3C07">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1</w:t>
            </w:r>
          </w:p>
        </w:tc>
        <w:tc>
          <w:tcPr>
            <w:tcW w:w="207" w:type="pct"/>
            <w:vAlign w:val="center"/>
          </w:tcPr>
          <w:p w14:paraId="7C70CD38">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个</w:t>
            </w:r>
          </w:p>
        </w:tc>
        <w:tc>
          <w:tcPr>
            <w:tcW w:w="266" w:type="pct"/>
            <w:vAlign w:val="center"/>
          </w:tcPr>
          <w:p w14:paraId="7F3102CE">
            <w:pPr>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工业</w:t>
            </w:r>
          </w:p>
        </w:tc>
        <w:tc>
          <w:tcPr>
            <w:tcW w:w="441" w:type="pct"/>
            <w:vAlign w:val="center"/>
          </w:tcPr>
          <w:p w14:paraId="39EF4D39">
            <w:pPr>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否</w:t>
            </w:r>
          </w:p>
        </w:tc>
        <w:tc>
          <w:tcPr>
            <w:tcW w:w="327" w:type="pct"/>
            <w:vAlign w:val="center"/>
          </w:tcPr>
          <w:p w14:paraId="22BBE06E">
            <w:pPr>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p>
        </w:tc>
      </w:tr>
      <w:tr w14:paraId="363DE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 w:type="pct"/>
            <w:vAlign w:val="center"/>
          </w:tcPr>
          <w:p w14:paraId="261C794E">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rPr>
              <w:t>36</w:t>
            </w:r>
          </w:p>
        </w:tc>
        <w:tc>
          <w:tcPr>
            <w:tcW w:w="442" w:type="pct"/>
            <w:vAlign w:val="center"/>
          </w:tcPr>
          <w:p w14:paraId="1A1EDA61">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rPr>
              <w:t>直播一体机</w:t>
            </w:r>
          </w:p>
        </w:tc>
        <w:tc>
          <w:tcPr>
            <w:tcW w:w="2796" w:type="pct"/>
            <w:vAlign w:val="center"/>
          </w:tcPr>
          <w:p w14:paraId="2C713269">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屏幕尺寸：不低于43英寸 </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 xml:space="preserve">颜色分类：黑色 </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内存容量：不低于8G+128G</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系统平台： 不低于Android 13.0</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分辨率：不低于1920*1080（FHD）</w:t>
            </w:r>
          </w:p>
          <w:p w14:paraId="224E3873">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触摸类型：红外触控</w:t>
            </w:r>
          </w:p>
          <w:p w14:paraId="0D8C0BFC">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触摸电控：20点触控</w:t>
            </w:r>
          </w:p>
          <w:p w14:paraId="468CBA6A">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亮度：350cd/m^2</w:t>
            </w:r>
          </w:p>
          <w:p w14:paraId="77239896">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处理器：不低于QCM6125-8核</w:t>
            </w:r>
          </w:p>
          <w:p w14:paraId="3855347C">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底座支架：升降</w:t>
            </w:r>
          </w:p>
        </w:tc>
        <w:tc>
          <w:tcPr>
            <w:tcW w:w="255" w:type="pct"/>
            <w:vAlign w:val="center"/>
          </w:tcPr>
          <w:p w14:paraId="6FF3D336">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1</w:t>
            </w:r>
          </w:p>
        </w:tc>
        <w:tc>
          <w:tcPr>
            <w:tcW w:w="207" w:type="pct"/>
            <w:vAlign w:val="center"/>
          </w:tcPr>
          <w:p w14:paraId="71A8D0E2">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个</w:t>
            </w:r>
          </w:p>
        </w:tc>
        <w:tc>
          <w:tcPr>
            <w:tcW w:w="266" w:type="pct"/>
            <w:vAlign w:val="center"/>
          </w:tcPr>
          <w:p w14:paraId="621F572D">
            <w:pPr>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工业</w:t>
            </w:r>
          </w:p>
        </w:tc>
        <w:tc>
          <w:tcPr>
            <w:tcW w:w="441" w:type="pct"/>
            <w:vAlign w:val="center"/>
          </w:tcPr>
          <w:p w14:paraId="773D1592">
            <w:pPr>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否</w:t>
            </w:r>
          </w:p>
        </w:tc>
        <w:tc>
          <w:tcPr>
            <w:tcW w:w="327" w:type="pct"/>
            <w:vAlign w:val="center"/>
          </w:tcPr>
          <w:p w14:paraId="384DAF1A">
            <w:pPr>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p>
        </w:tc>
      </w:tr>
      <w:tr w14:paraId="2CCAF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 w:type="pct"/>
            <w:vAlign w:val="center"/>
          </w:tcPr>
          <w:p w14:paraId="2A9E9CAD">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rPr>
              <w:t>37</w:t>
            </w:r>
          </w:p>
        </w:tc>
        <w:tc>
          <w:tcPr>
            <w:tcW w:w="442" w:type="pct"/>
            <w:vAlign w:val="center"/>
          </w:tcPr>
          <w:p w14:paraId="1032B855">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rPr>
              <w:t>云台相机</w:t>
            </w:r>
          </w:p>
        </w:tc>
        <w:tc>
          <w:tcPr>
            <w:tcW w:w="2796" w:type="pct"/>
            <w:vAlign w:val="center"/>
          </w:tcPr>
          <w:p w14:paraId="78B6B9F7">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外接电源：支持外接电源 </w:t>
            </w:r>
          </w:p>
          <w:p w14:paraId="7905D9B2">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标准ISO感光度：ISO 50-16000</w:t>
            </w:r>
          </w:p>
          <w:p w14:paraId="1A63A002">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产品尺寸（mm）：139.7*42.2*33.5mm </w:t>
            </w:r>
          </w:p>
          <w:p w14:paraId="23074C53">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画幅：1英寸画幅 </w:t>
            </w:r>
          </w:p>
          <w:p w14:paraId="05C1EA11">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传感器类型：CMOS  </w:t>
            </w:r>
          </w:p>
          <w:p w14:paraId="3C01B6CE">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功能：机身防抖 可遥控 自拍  </w:t>
            </w:r>
          </w:p>
          <w:p w14:paraId="3E5966BF">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像素：500-1000万</w:t>
            </w:r>
          </w:p>
        </w:tc>
        <w:tc>
          <w:tcPr>
            <w:tcW w:w="255" w:type="pct"/>
            <w:vAlign w:val="center"/>
          </w:tcPr>
          <w:p w14:paraId="11F18CF5">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1</w:t>
            </w:r>
          </w:p>
        </w:tc>
        <w:tc>
          <w:tcPr>
            <w:tcW w:w="207" w:type="pct"/>
            <w:vAlign w:val="center"/>
          </w:tcPr>
          <w:p w14:paraId="021C727C">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台</w:t>
            </w:r>
          </w:p>
        </w:tc>
        <w:tc>
          <w:tcPr>
            <w:tcW w:w="266" w:type="pct"/>
            <w:vAlign w:val="center"/>
          </w:tcPr>
          <w:p w14:paraId="0AA707C0">
            <w:pPr>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工业</w:t>
            </w:r>
          </w:p>
        </w:tc>
        <w:tc>
          <w:tcPr>
            <w:tcW w:w="441" w:type="pct"/>
            <w:vAlign w:val="center"/>
          </w:tcPr>
          <w:p w14:paraId="63E6F27A">
            <w:pPr>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否</w:t>
            </w:r>
          </w:p>
        </w:tc>
        <w:tc>
          <w:tcPr>
            <w:tcW w:w="327" w:type="pct"/>
            <w:vAlign w:val="center"/>
          </w:tcPr>
          <w:p w14:paraId="63BECD48">
            <w:pPr>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p>
        </w:tc>
      </w:tr>
      <w:tr w14:paraId="709C0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 w:type="pct"/>
            <w:vAlign w:val="center"/>
          </w:tcPr>
          <w:p w14:paraId="30D7D494">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bookmarkStart w:id="38" w:name="_Toc4843"/>
            <w:bookmarkStart w:id="39" w:name="_Toc7421"/>
            <w:r>
              <w:rPr>
                <w:rFonts w:hint="eastAsia" w:ascii="宋体" w:hAnsi="宋体" w:eastAsia="宋体" w:cs="宋体"/>
                <w:color w:val="auto"/>
                <w:szCs w:val="21"/>
                <w:highlight w:val="none"/>
              </w:rPr>
              <w:t>38</w:t>
            </w:r>
          </w:p>
        </w:tc>
        <w:tc>
          <w:tcPr>
            <w:tcW w:w="442" w:type="pct"/>
            <w:vAlign w:val="center"/>
          </w:tcPr>
          <w:p w14:paraId="345D18CE">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运动相机</w:t>
            </w:r>
          </w:p>
        </w:tc>
        <w:tc>
          <w:tcPr>
            <w:tcW w:w="2796" w:type="pct"/>
            <w:vAlign w:val="center"/>
          </w:tcPr>
          <w:p w14:paraId="12972C6A">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电池续航时间：240分钟</w:t>
            </w:r>
          </w:p>
          <w:p w14:paraId="42A63333">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电池可拆卸：可拆卸</w:t>
            </w:r>
          </w:p>
          <w:p w14:paraId="24F818C2">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单镜头像素：3800万像素</w:t>
            </w:r>
          </w:p>
          <w:p w14:paraId="72CF45A8">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镜头防抖：电子防抖</w:t>
            </w:r>
          </w:p>
          <w:p w14:paraId="3FCBC7EE">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广角拍摄：支持广角拍摄</w:t>
            </w:r>
          </w:p>
          <w:p w14:paraId="7E1E327F">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充电可拍摄：支持</w:t>
            </w:r>
          </w:p>
          <w:p w14:paraId="1EEC612C">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视频格式：MP4格式</w:t>
            </w:r>
          </w:p>
          <w:p w14:paraId="08A51D04">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机身材质：工程塑料</w:t>
            </w:r>
          </w:p>
          <w:p w14:paraId="6ADB1CAF">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全景拍摄：不支持</w:t>
            </w:r>
          </w:p>
          <w:p w14:paraId="56BADD46">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防水能力：20米</w:t>
            </w:r>
          </w:p>
          <w:p w14:paraId="7D485A91">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存储介质：TF（MicroSD）卡</w:t>
            </w:r>
          </w:p>
        </w:tc>
        <w:tc>
          <w:tcPr>
            <w:tcW w:w="255" w:type="pct"/>
            <w:vAlign w:val="center"/>
          </w:tcPr>
          <w:p w14:paraId="48D317E0">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07" w:type="pct"/>
            <w:vAlign w:val="center"/>
          </w:tcPr>
          <w:p w14:paraId="42367FDF">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台</w:t>
            </w:r>
          </w:p>
        </w:tc>
        <w:tc>
          <w:tcPr>
            <w:tcW w:w="266" w:type="pct"/>
            <w:vAlign w:val="center"/>
          </w:tcPr>
          <w:p w14:paraId="5EEB17CE">
            <w:pPr>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工业</w:t>
            </w:r>
          </w:p>
        </w:tc>
        <w:tc>
          <w:tcPr>
            <w:tcW w:w="441" w:type="pct"/>
            <w:vAlign w:val="center"/>
          </w:tcPr>
          <w:p w14:paraId="77E6490E">
            <w:pPr>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否</w:t>
            </w:r>
          </w:p>
        </w:tc>
        <w:tc>
          <w:tcPr>
            <w:tcW w:w="327" w:type="pct"/>
            <w:vAlign w:val="center"/>
          </w:tcPr>
          <w:p w14:paraId="37131390">
            <w:pPr>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p>
        </w:tc>
      </w:tr>
    </w:tbl>
    <w:p w14:paraId="3BAC5F37">
      <w:pPr>
        <w:spacing w:line="360" w:lineRule="auto"/>
        <w:ind w:firstLine="437"/>
        <w:outlineLvl w:val="1"/>
        <w:rPr>
          <w:rFonts w:hint="eastAsia" w:ascii="宋体" w:hAnsi="宋体" w:eastAsia="宋体"/>
          <w:b/>
          <w:bCs/>
          <w:color w:val="auto"/>
          <w:sz w:val="24"/>
          <w:szCs w:val="18"/>
          <w:highlight w:val="none"/>
        </w:rPr>
        <w:sectPr>
          <w:pgSz w:w="16838" w:h="11905" w:orient="landscape"/>
          <w:pgMar w:top="1417" w:right="1440" w:bottom="1417" w:left="1440" w:header="850" w:footer="992" w:gutter="0"/>
          <w:cols w:space="0" w:num="1"/>
          <w:docGrid w:type="lines" w:linePitch="317" w:charSpace="0"/>
        </w:sectPr>
      </w:pPr>
      <w:r>
        <w:rPr>
          <w:rFonts w:hint="eastAsia" w:ascii="宋体" w:hAnsi="宋体" w:eastAsia="宋体"/>
          <w:b/>
          <w:bCs/>
          <w:color w:val="auto"/>
          <w:sz w:val="24"/>
          <w:szCs w:val="18"/>
          <w:highlight w:val="none"/>
        </w:rPr>
        <w:t>属于《节能产品政府采购品目清单》中政府强制采购的节能产品，则投标人所投产品投标时须提供市场监管总局公布的《参与实施政府采购节能产品认证机构目录》中的认证机构出具的、处于有效期内的节能产品认证证书，否则按无效标处理。</w:t>
      </w:r>
    </w:p>
    <w:p w14:paraId="7211EA8A">
      <w:pPr>
        <w:spacing w:line="360" w:lineRule="auto"/>
        <w:ind w:firstLine="437"/>
        <w:outlineLvl w:val="1"/>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三、报价要求</w:t>
      </w:r>
      <w:bookmarkEnd w:id="38"/>
      <w:bookmarkEnd w:id="39"/>
    </w:p>
    <w:p w14:paraId="6015AA15">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投标报价包括对应本项目需求的全部货物及所需附件购置费、包装费、运输费、人工费、保险费、安装调试费、各种税费、资料费、售后服务费及完成项目应有的全部费用。采购人后期不予追加任何费用，请投标人综合考虑各种风险，谨慎报价。</w:t>
      </w:r>
    </w:p>
    <w:p w14:paraId="0C00EC5F">
      <w:pPr>
        <w:spacing w:line="360" w:lineRule="auto"/>
        <w:ind w:firstLine="437"/>
        <w:outlineLvl w:val="1"/>
        <w:rPr>
          <w:rFonts w:hint="eastAsia" w:ascii="宋体" w:hAnsi="宋体" w:eastAsia="宋体"/>
          <w:b/>
          <w:bCs/>
          <w:color w:val="auto"/>
          <w:sz w:val="24"/>
          <w:szCs w:val="18"/>
          <w:highlight w:val="none"/>
        </w:rPr>
      </w:pPr>
      <w:bookmarkStart w:id="40" w:name="_Toc14698"/>
      <w:bookmarkStart w:id="41" w:name="_Toc15293"/>
      <w:r>
        <w:rPr>
          <w:rFonts w:hint="eastAsia" w:ascii="宋体" w:hAnsi="宋体" w:eastAsia="宋体"/>
          <w:b/>
          <w:bCs/>
          <w:color w:val="auto"/>
          <w:sz w:val="24"/>
          <w:szCs w:val="18"/>
          <w:highlight w:val="none"/>
        </w:rPr>
        <w:t>四、其他要求</w:t>
      </w:r>
      <w:bookmarkEnd w:id="40"/>
      <w:bookmarkEnd w:id="41"/>
    </w:p>
    <w:p w14:paraId="37517848">
      <w:pPr>
        <w:wordWrap w:val="0"/>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（一）货物的生产、安装、维修、检验、验收等按照以下原则执行：有国家标准的执行国家标准；无国家标准的执行行业标准；无行业标准的执行地方标准；无地方标准的执行企业标准。</w:t>
      </w:r>
    </w:p>
    <w:p w14:paraId="4A0041EC">
      <w:pPr>
        <w:wordWrap w:val="0"/>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二）如果在技术参数或配置中标明了品牌或产地，则仅供参考，并非指定，但投标人提供的货物必须满足主要技术参数及配置要求，投标人可以选用替代的方案，但这种替代整体上要优于或相当于招标文件的相关要求。</w:t>
      </w:r>
    </w:p>
    <w:p w14:paraId="65D95BFA">
      <w:pPr>
        <w:wordWrap w:val="0"/>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三）供货时所有货物（包括零部件）须为全新的、未使用过的原装正品，并完全符合国家质量标准，提供厂家出具的合格证书、有国家强制性认证要求的产品须提供相应证书，货物的技术参数及配置情况必须由投标人提供国家相关检测机构出具的检验报告、生产厂家公开发布的印刷资料等技术资料予以支持。没有技术资料支持的技术参数及配置不能视为响应。 (厂家出具的合格证书供货时提供)</w:t>
      </w:r>
    </w:p>
    <w:p w14:paraId="469B8743">
      <w:pPr>
        <w:wordWrap w:val="0"/>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（四）技术支持</w:t>
      </w:r>
    </w:p>
    <w:p w14:paraId="19C79127">
      <w:pPr>
        <w:wordWrap w:val="0"/>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1.中标人应向采购人提供全方位、及时而有效的技术支持和服务。</w:t>
      </w:r>
    </w:p>
    <w:p w14:paraId="3C7CA19D">
      <w:pPr>
        <w:wordWrap w:val="0"/>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2.中标人负责供货、安装、调试。</w:t>
      </w:r>
    </w:p>
    <w:p w14:paraId="32173307">
      <w:pPr>
        <w:wordWrap w:val="0"/>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3.中标人负责将货物的全部有关技术文件（外文应提供中文翻译资料，下同）、施工图纸、资料、测试、验收报告等汇集成册交付采购人，涉及进口的产品或部件配件软件等须提供中国海关进口货物报关单、完税证明及商检证明等材料。</w:t>
      </w:r>
    </w:p>
    <w:p w14:paraId="256E0B1B">
      <w:pPr>
        <w:wordWrap w:val="0"/>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（五）质保及售后服务：</w:t>
      </w:r>
    </w:p>
    <w:p w14:paraId="5FB9BC28">
      <w:pPr>
        <w:wordWrap w:val="0"/>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1.中标人须提供至少</w:t>
      </w:r>
      <w:r>
        <w:rPr>
          <w:rFonts w:hint="eastAsia" w:ascii="宋体" w:hAnsi="宋体" w:eastAsia="宋体"/>
          <w:bCs/>
          <w:color w:val="auto"/>
          <w:sz w:val="24"/>
          <w:szCs w:val="18"/>
          <w:highlight w:val="none"/>
          <w:u w:val="single"/>
        </w:rPr>
        <w:t xml:space="preserve"> 3 </w:t>
      </w:r>
      <w:r>
        <w:rPr>
          <w:rFonts w:hint="eastAsia" w:ascii="宋体" w:hAnsi="宋体" w:eastAsia="宋体"/>
          <w:bCs/>
          <w:color w:val="auto"/>
          <w:sz w:val="24"/>
          <w:szCs w:val="18"/>
          <w:highlight w:val="none"/>
        </w:rPr>
        <w:t>年的免费质保服务。所有质保费用均已包含在投标报价中，质保期满后，应提供优先的有偿售后服务及按不高于投标文件中主要配件、易损件清单所报价格供应原厂零配件等。软件终身免费升级服务。</w:t>
      </w:r>
    </w:p>
    <w:p w14:paraId="5DCDBCD9">
      <w:pPr>
        <w:wordWrap w:val="0"/>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2.中标人须设有维修服务电话，负责解答用户在货物使用中遇到的问题，及时提出解决问题的建议和操作方法。</w:t>
      </w:r>
    </w:p>
    <w:p w14:paraId="5A654A76">
      <w:pPr>
        <w:wordWrap w:val="0"/>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3.售后服务响应时间：如货物出现故障，电话响应无法解决，中标人必须在接报修电话 24 小时内到现场并解决问题。</w:t>
      </w:r>
    </w:p>
    <w:p w14:paraId="74B7EE1C">
      <w:pPr>
        <w:wordWrap w:val="0"/>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（六）培训：中标人负责为采购人操作人员提供操作及维护培训，直至其能熟练独立操作及日常维护与保养，简单故障诊断与排除。</w:t>
      </w:r>
    </w:p>
    <w:p w14:paraId="75C4A298">
      <w:pPr>
        <w:wordWrap w:val="0"/>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（七）交货地点：滁州职业技术学院。</w:t>
      </w:r>
    </w:p>
    <w:p w14:paraId="05AA00AA">
      <w:pPr>
        <w:wordWrap w:val="0"/>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（八）验收：</w:t>
      </w:r>
    </w:p>
    <w:p w14:paraId="0B439B83">
      <w:pPr>
        <w:wordWrap w:val="0"/>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1.采购人和相关部门按照国家规定标准验收，没有国家标准的按行业标准验收，无行业标准的按地方或企业标准验收，中标人予以配合。涉及安全、消防、环保等其他需要由质检或行业主管部门验收的项目，采购人须约请相关部门和专家参加项目验收。</w:t>
      </w:r>
    </w:p>
    <w:p w14:paraId="48AA30BB">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2.货物在验收时，投标人应提供发票、制造厂家出具的产品合格证书、装箱清单等, 涉及进口的产品、部件、配件等须提供中国海关进口货物报关单、完税证明及商检证明等材料；提供有关货物的操作规程和使用说明书，维护手册、保养修理所需的各种随机工具及相关设计、制造、检验、安装、技术性指导等文件和应由投标人提供的必要文件。</w:t>
      </w:r>
    </w:p>
    <w:p w14:paraId="15D04563">
      <w:pPr>
        <w:spacing w:line="360" w:lineRule="auto"/>
        <w:ind w:firstLine="437"/>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279C25AF">
      <w:pPr>
        <w:spacing w:line="360" w:lineRule="auto"/>
        <w:jc w:val="center"/>
        <w:outlineLvl w:val="0"/>
        <w:rPr>
          <w:rFonts w:hint="eastAsia" w:asciiTheme="minorEastAsia" w:hAnsiTheme="minorEastAsia" w:eastAsiaTheme="minorEastAsia"/>
          <w:b/>
          <w:color w:val="auto"/>
          <w:sz w:val="28"/>
          <w:highlight w:val="none"/>
        </w:rPr>
      </w:pPr>
      <w:bookmarkStart w:id="42" w:name="_Toc16417"/>
      <w:r>
        <w:rPr>
          <w:rFonts w:hint="eastAsia" w:asciiTheme="minorEastAsia" w:hAnsiTheme="minorEastAsia" w:eastAsiaTheme="minorEastAsia"/>
          <w:b/>
          <w:color w:val="auto"/>
          <w:sz w:val="28"/>
          <w:highlight w:val="none"/>
        </w:rPr>
        <w:t>第四章  评标方法和标准（综合评分法）</w:t>
      </w:r>
      <w:bookmarkEnd w:id="42"/>
    </w:p>
    <w:p w14:paraId="36FB348D">
      <w:pPr>
        <w:spacing w:line="360" w:lineRule="auto"/>
        <w:ind w:firstLine="437"/>
        <w:outlineLvl w:val="1"/>
        <w:rPr>
          <w:rFonts w:hint="eastAsia" w:asciiTheme="minorEastAsia" w:hAnsiTheme="minorEastAsia" w:eastAsiaTheme="minorEastAsia"/>
          <w:b/>
          <w:color w:val="auto"/>
          <w:sz w:val="24"/>
          <w:highlight w:val="none"/>
        </w:rPr>
      </w:pPr>
      <w:bookmarkStart w:id="43" w:name="_Toc11823"/>
      <w:bookmarkStart w:id="44" w:name="_Toc1246"/>
      <w:r>
        <w:rPr>
          <w:rFonts w:hint="eastAsia" w:asciiTheme="minorEastAsia" w:hAnsiTheme="minorEastAsia" w:eastAsiaTheme="minorEastAsia"/>
          <w:b/>
          <w:color w:val="auto"/>
          <w:sz w:val="24"/>
          <w:highlight w:val="none"/>
        </w:rPr>
        <w:t>一、总则</w:t>
      </w:r>
      <w:bookmarkEnd w:id="43"/>
      <w:bookmarkEnd w:id="44"/>
    </w:p>
    <w:p w14:paraId="19F1BC4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本项目将按照招标文件第二章 投标人须知的相关要求</w:t>
      </w:r>
      <w:r>
        <w:rPr>
          <w:rFonts w:asciiTheme="minorEastAsia" w:hAnsiTheme="minorEastAsia" w:eastAsiaTheme="minorEastAsia"/>
          <w:color w:val="auto"/>
          <w:sz w:val="24"/>
          <w:highlight w:val="none"/>
        </w:rPr>
        <w:t>及本章的规定评标。</w:t>
      </w:r>
    </w:p>
    <w:p w14:paraId="7527F94B">
      <w:pPr>
        <w:spacing w:line="360" w:lineRule="auto"/>
        <w:ind w:firstLine="437"/>
        <w:outlineLvl w:val="1"/>
        <w:rPr>
          <w:rFonts w:hint="eastAsia" w:asciiTheme="minorEastAsia" w:hAnsiTheme="minorEastAsia" w:eastAsiaTheme="minorEastAsia"/>
          <w:b/>
          <w:color w:val="auto"/>
          <w:sz w:val="24"/>
          <w:highlight w:val="none"/>
        </w:rPr>
      </w:pPr>
      <w:bookmarkStart w:id="45" w:name="_Toc13117"/>
      <w:bookmarkStart w:id="46" w:name="_Toc31871"/>
      <w:r>
        <w:rPr>
          <w:rFonts w:hint="eastAsia" w:asciiTheme="minorEastAsia" w:hAnsiTheme="minorEastAsia" w:eastAsiaTheme="minorEastAsia"/>
          <w:b/>
          <w:color w:val="auto"/>
          <w:sz w:val="24"/>
          <w:highlight w:val="none"/>
        </w:rPr>
        <w:t>二、评标方法</w:t>
      </w:r>
      <w:bookmarkEnd w:id="45"/>
      <w:bookmarkEnd w:id="46"/>
    </w:p>
    <w:p w14:paraId="40AD420F">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2.1资格审查</w:t>
      </w:r>
    </w:p>
    <w:tbl>
      <w:tblPr>
        <w:tblStyle w:val="23"/>
        <w:tblW w:w="51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1796"/>
        <w:gridCol w:w="4964"/>
        <w:gridCol w:w="2062"/>
      </w:tblGrid>
      <w:tr w14:paraId="7F0E8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6AE99113">
            <w:pPr>
              <w:adjustRightInd w:val="0"/>
              <w:snapToGrid w:val="0"/>
              <w:spacing w:line="360" w:lineRule="auto"/>
              <w:ind w:right="-10"/>
              <w:jc w:val="center"/>
              <w:rPr>
                <w:rFonts w:hint="eastAsia" w:ascii="宋体" w:hAnsi="宋体" w:eastAsia="宋体"/>
                <w:color w:val="auto"/>
                <w:sz w:val="24"/>
                <w:highlight w:val="none"/>
              </w:rPr>
            </w:pPr>
            <w:r>
              <w:rPr>
                <w:rFonts w:hint="eastAsia" w:ascii="宋体" w:hAnsi="宋体" w:eastAsia="宋体"/>
                <w:b/>
                <w:color w:val="auto"/>
                <w:sz w:val="24"/>
                <w:szCs w:val="22"/>
                <w:highlight w:val="none"/>
              </w:rPr>
              <w:t>资格审查表</w:t>
            </w:r>
          </w:p>
        </w:tc>
      </w:tr>
      <w:tr w14:paraId="5EDA5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tcBorders>
              <w:bottom w:val="single" w:color="auto" w:sz="4" w:space="0"/>
            </w:tcBorders>
            <w:vAlign w:val="center"/>
          </w:tcPr>
          <w:p w14:paraId="6EF5068C">
            <w:pPr>
              <w:adjustRightInd w:val="0"/>
              <w:snapToGrid w:val="0"/>
              <w:spacing w:line="360" w:lineRule="auto"/>
              <w:ind w:right="-10"/>
              <w:jc w:val="center"/>
              <w:rPr>
                <w:rFonts w:hint="eastAsia" w:ascii="宋体" w:hAnsi="宋体" w:eastAsia="宋体"/>
                <w:color w:val="auto"/>
                <w:sz w:val="24"/>
                <w:highlight w:val="none"/>
              </w:rPr>
            </w:pPr>
            <w:r>
              <w:rPr>
                <w:rFonts w:hint="eastAsia" w:ascii="宋体" w:hAnsi="宋体" w:eastAsia="宋体"/>
                <w:color w:val="auto"/>
                <w:sz w:val="24"/>
                <w:highlight w:val="none"/>
              </w:rPr>
              <w:t>序号</w:t>
            </w:r>
          </w:p>
        </w:tc>
        <w:tc>
          <w:tcPr>
            <w:tcW w:w="941" w:type="pct"/>
            <w:tcBorders>
              <w:bottom w:val="single" w:color="auto" w:sz="4" w:space="0"/>
            </w:tcBorders>
            <w:vAlign w:val="center"/>
          </w:tcPr>
          <w:p w14:paraId="11869532">
            <w:pPr>
              <w:pStyle w:val="42"/>
              <w:pBdr>
                <w:bottom w:val="none" w:color="auto" w:sz="0" w:space="0"/>
              </w:pBdr>
              <w:tabs>
                <w:tab w:val="clear" w:pos="4153"/>
                <w:tab w:val="clear" w:pos="8306"/>
              </w:tabs>
              <w:snapToGrid w:val="0"/>
              <w:spacing w:line="360" w:lineRule="auto"/>
              <w:ind w:right="-10"/>
              <w:textAlignment w:val="auto"/>
              <w:rPr>
                <w:rFonts w:hint="eastAsia" w:ascii="宋体" w:hAnsi="宋体" w:eastAsia="宋体"/>
                <w:color w:val="auto"/>
                <w:kern w:val="2"/>
                <w:szCs w:val="24"/>
                <w:highlight w:val="none"/>
              </w:rPr>
            </w:pPr>
            <w:r>
              <w:rPr>
                <w:rFonts w:hint="eastAsia" w:ascii="宋体" w:hAnsi="宋体" w:eastAsia="宋体"/>
                <w:color w:val="auto"/>
                <w:kern w:val="2"/>
                <w:szCs w:val="24"/>
                <w:highlight w:val="none"/>
              </w:rPr>
              <w:t>审查因素</w:t>
            </w:r>
          </w:p>
        </w:tc>
        <w:tc>
          <w:tcPr>
            <w:tcW w:w="2601" w:type="pct"/>
            <w:tcBorders>
              <w:bottom w:val="single" w:color="auto" w:sz="4" w:space="0"/>
            </w:tcBorders>
            <w:vAlign w:val="center"/>
          </w:tcPr>
          <w:p w14:paraId="42B470F8">
            <w:pPr>
              <w:adjustRightInd w:val="0"/>
              <w:snapToGrid w:val="0"/>
              <w:spacing w:line="360" w:lineRule="auto"/>
              <w:ind w:right="-10"/>
              <w:jc w:val="center"/>
              <w:rPr>
                <w:rFonts w:hint="eastAsia" w:ascii="宋体" w:hAnsi="宋体" w:eastAsia="宋体"/>
                <w:color w:val="auto"/>
                <w:sz w:val="24"/>
                <w:highlight w:val="none"/>
              </w:rPr>
            </w:pPr>
            <w:r>
              <w:rPr>
                <w:rFonts w:hint="eastAsia" w:ascii="宋体" w:hAnsi="宋体" w:eastAsia="宋体"/>
                <w:color w:val="auto"/>
                <w:sz w:val="24"/>
                <w:highlight w:val="none"/>
              </w:rPr>
              <w:t>审查内容</w:t>
            </w:r>
          </w:p>
        </w:tc>
        <w:tc>
          <w:tcPr>
            <w:tcW w:w="1078" w:type="pct"/>
            <w:tcBorders>
              <w:bottom w:val="single" w:color="auto" w:sz="4" w:space="0"/>
            </w:tcBorders>
            <w:vAlign w:val="center"/>
          </w:tcPr>
          <w:p w14:paraId="55DEE12A">
            <w:pPr>
              <w:adjustRightInd w:val="0"/>
              <w:snapToGrid w:val="0"/>
              <w:spacing w:line="360" w:lineRule="auto"/>
              <w:ind w:right="-10"/>
              <w:jc w:val="center"/>
              <w:rPr>
                <w:rFonts w:hint="eastAsia" w:ascii="宋体" w:hAnsi="宋体" w:eastAsia="宋体"/>
                <w:color w:val="auto"/>
                <w:sz w:val="24"/>
                <w:highlight w:val="none"/>
              </w:rPr>
            </w:pPr>
            <w:r>
              <w:rPr>
                <w:rFonts w:hint="eastAsia" w:ascii="宋体" w:hAnsi="宋体" w:eastAsia="宋体"/>
                <w:color w:val="auto"/>
                <w:sz w:val="24"/>
                <w:highlight w:val="none"/>
              </w:rPr>
              <w:t>格式要求</w:t>
            </w:r>
          </w:p>
        </w:tc>
      </w:tr>
      <w:tr w14:paraId="629BB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8" w:type="pct"/>
            <w:tcBorders>
              <w:bottom w:val="single" w:color="auto" w:sz="4" w:space="0"/>
            </w:tcBorders>
            <w:vAlign w:val="center"/>
          </w:tcPr>
          <w:p w14:paraId="694D4209">
            <w:pPr>
              <w:adjustRightInd w:val="0"/>
              <w:snapToGrid w:val="0"/>
              <w:spacing w:line="360" w:lineRule="auto"/>
              <w:ind w:right="-10"/>
              <w:jc w:val="center"/>
              <w:rPr>
                <w:rFonts w:hint="eastAsia" w:ascii="宋体" w:hAnsi="宋体" w:eastAsia="宋体"/>
                <w:color w:val="auto"/>
                <w:sz w:val="24"/>
                <w:highlight w:val="none"/>
              </w:rPr>
            </w:pPr>
            <w:r>
              <w:rPr>
                <w:rFonts w:hint="eastAsia" w:ascii="宋体" w:hAnsi="宋体" w:eastAsia="宋体"/>
                <w:color w:val="auto"/>
                <w:sz w:val="24"/>
                <w:highlight w:val="none"/>
              </w:rPr>
              <w:t>1</w:t>
            </w:r>
          </w:p>
        </w:tc>
        <w:tc>
          <w:tcPr>
            <w:tcW w:w="941" w:type="pct"/>
            <w:tcBorders>
              <w:bottom w:val="single" w:color="auto" w:sz="4" w:space="0"/>
            </w:tcBorders>
            <w:vAlign w:val="center"/>
          </w:tcPr>
          <w:p w14:paraId="07E3D5CB">
            <w:pPr>
              <w:spacing w:after="50" w:line="360" w:lineRule="auto"/>
              <w:ind w:right="-10"/>
              <w:jc w:val="center"/>
              <w:rPr>
                <w:rFonts w:hint="eastAsia" w:ascii="宋体" w:hAnsi="宋体" w:eastAsia="宋体"/>
                <w:color w:val="auto"/>
                <w:sz w:val="24"/>
                <w:szCs w:val="28"/>
                <w:highlight w:val="none"/>
              </w:rPr>
            </w:pPr>
            <w:r>
              <w:rPr>
                <w:rFonts w:ascii="宋体" w:hAnsi="宋体" w:eastAsia="宋体" w:cs="宋体"/>
                <w:color w:val="auto"/>
                <w:spacing w:val="9"/>
                <w:sz w:val="24"/>
                <w:szCs w:val="24"/>
                <w:highlight w:val="none"/>
              </w:rPr>
              <w:t>营业执照等证明</w:t>
            </w:r>
            <w:r>
              <w:rPr>
                <w:rFonts w:ascii="宋体" w:hAnsi="宋体" w:eastAsia="宋体" w:cs="宋体"/>
                <w:color w:val="auto"/>
                <w:spacing w:val="-3"/>
                <w:sz w:val="24"/>
                <w:szCs w:val="24"/>
                <w:highlight w:val="none"/>
              </w:rPr>
              <w:t>文件</w:t>
            </w:r>
          </w:p>
        </w:tc>
        <w:tc>
          <w:tcPr>
            <w:tcW w:w="2601" w:type="pct"/>
            <w:tcBorders>
              <w:bottom w:val="single" w:color="auto" w:sz="4" w:space="0"/>
            </w:tcBorders>
            <w:vAlign w:val="center"/>
          </w:tcPr>
          <w:p w14:paraId="2D206A20">
            <w:pPr>
              <w:spacing w:after="50" w:line="360" w:lineRule="auto"/>
              <w:ind w:right="-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ascii="宋体" w:hAnsi="宋体" w:eastAsia="宋体" w:cs="宋体"/>
                <w:color w:val="auto"/>
                <w:sz w:val="24"/>
                <w:szCs w:val="24"/>
                <w:highlight w:val="none"/>
              </w:rPr>
              <w:t>投标人为企业（包括合伙企业）的，应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供有效的营业执照；</w:t>
            </w:r>
          </w:p>
          <w:p w14:paraId="1AD42113">
            <w:pPr>
              <w:spacing w:after="50" w:line="360" w:lineRule="auto"/>
              <w:ind w:right="-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ascii="宋体" w:hAnsi="宋体" w:eastAsia="宋体" w:cs="宋体"/>
                <w:color w:val="auto"/>
                <w:sz w:val="24"/>
                <w:szCs w:val="24"/>
                <w:highlight w:val="none"/>
              </w:rPr>
              <w:t>投标人为事业单位的，应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供有效的事业单位法人证书；</w:t>
            </w:r>
          </w:p>
          <w:p w14:paraId="6E619164">
            <w:pPr>
              <w:spacing w:after="50" w:line="360" w:lineRule="auto"/>
              <w:ind w:right="-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ascii="宋体" w:hAnsi="宋体" w:eastAsia="宋体" w:cs="宋体"/>
                <w:color w:val="auto"/>
                <w:sz w:val="24"/>
                <w:szCs w:val="24"/>
                <w:highlight w:val="none"/>
              </w:rPr>
              <w:t>投标人是非企业机构的，应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供有效的执业许可证</w:t>
            </w:r>
            <w:r>
              <w:rPr>
                <w:rFonts w:hint="eastAsia" w:ascii="宋体" w:hAnsi="宋体" w:eastAsia="宋体" w:cs="宋体"/>
                <w:color w:val="auto"/>
                <w:sz w:val="24"/>
                <w:szCs w:val="24"/>
                <w:highlight w:val="none"/>
              </w:rPr>
              <w:t>或</w:t>
            </w:r>
            <w:r>
              <w:rPr>
                <w:rFonts w:ascii="宋体" w:hAnsi="宋体" w:eastAsia="宋体" w:cs="宋体"/>
                <w:color w:val="auto"/>
                <w:sz w:val="24"/>
                <w:szCs w:val="24"/>
                <w:highlight w:val="none"/>
              </w:rPr>
              <w:t>登记证书等证明文件；</w:t>
            </w:r>
          </w:p>
          <w:p w14:paraId="11D3135A">
            <w:pPr>
              <w:spacing w:after="50" w:line="360" w:lineRule="auto"/>
              <w:ind w:right="-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ascii="宋体" w:hAnsi="宋体" w:eastAsia="宋体" w:cs="宋体"/>
                <w:color w:val="auto"/>
                <w:sz w:val="24"/>
                <w:szCs w:val="24"/>
                <w:highlight w:val="none"/>
              </w:rPr>
              <w:t>投标人是个体工商户的，应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供有效的个体工商户营业执照；</w:t>
            </w:r>
          </w:p>
          <w:p w14:paraId="29D30936">
            <w:pPr>
              <w:spacing w:after="50" w:line="360" w:lineRule="auto"/>
              <w:ind w:right="-10"/>
              <w:jc w:val="left"/>
              <w:rPr>
                <w:rFonts w:hint="eastAsia" w:ascii="宋体" w:hAnsi="宋体" w:eastAsia="宋体"/>
                <w:color w:val="auto"/>
                <w:sz w:val="24"/>
                <w:szCs w:val="28"/>
                <w:highlight w:val="none"/>
              </w:rPr>
            </w:pPr>
            <w:r>
              <w:rPr>
                <w:rFonts w:hint="eastAsia" w:ascii="宋体" w:hAnsi="宋体" w:eastAsia="宋体" w:cs="宋体"/>
                <w:color w:val="auto"/>
                <w:sz w:val="24"/>
                <w:szCs w:val="24"/>
                <w:highlight w:val="none"/>
              </w:rPr>
              <w:t>（5）</w:t>
            </w:r>
            <w:r>
              <w:rPr>
                <w:rFonts w:ascii="宋体" w:hAnsi="宋体" w:eastAsia="宋体" w:cs="宋体"/>
                <w:color w:val="auto"/>
                <w:sz w:val="24"/>
                <w:szCs w:val="24"/>
                <w:highlight w:val="none"/>
              </w:rPr>
              <w:t>投标人是自然人的，应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供有效的自然人身份证明。</w:t>
            </w:r>
          </w:p>
        </w:tc>
        <w:tc>
          <w:tcPr>
            <w:tcW w:w="1078" w:type="pct"/>
            <w:vAlign w:val="center"/>
          </w:tcPr>
          <w:p w14:paraId="6B7C513F">
            <w:pPr>
              <w:spacing w:line="360" w:lineRule="auto"/>
              <w:jc w:val="left"/>
              <w:rPr>
                <w:rFonts w:hint="eastAsia" w:ascii="宋体" w:hAnsi="宋体" w:eastAsia="宋体"/>
                <w:color w:val="auto"/>
                <w:sz w:val="24"/>
                <w:highlight w:val="none"/>
              </w:rPr>
            </w:pPr>
            <w:r>
              <w:rPr>
                <w:rFonts w:hint="eastAsia" w:ascii="宋体" w:hAnsi="宋体" w:eastAsia="宋体" w:cs="宋体"/>
                <w:color w:val="auto"/>
                <w:sz w:val="24"/>
                <w:szCs w:val="24"/>
                <w:highlight w:val="none"/>
              </w:rPr>
              <w:t>提供材料扫描件或电子证照，应完整的体现出材料或电子证照全部内容。联合体投标的联合体各方均须提供。</w:t>
            </w:r>
          </w:p>
        </w:tc>
      </w:tr>
      <w:tr w14:paraId="5B239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8" w:type="pct"/>
            <w:tcBorders>
              <w:bottom w:val="single" w:color="auto" w:sz="4" w:space="0"/>
            </w:tcBorders>
            <w:vAlign w:val="center"/>
          </w:tcPr>
          <w:p w14:paraId="02DEF098">
            <w:pPr>
              <w:adjustRightInd w:val="0"/>
              <w:snapToGrid w:val="0"/>
              <w:spacing w:line="360" w:lineRule="auto"/>
              <w:ind w:right="-10"/>
              <w:jc w:val="center"/>
              <w:rPr>
                <w:rFonts w:hint="eastAsia" w:ascii="宋体" w:hAnsi="宋体" w:eastAsia="宋体"/>
                <w:color w:val="auto"/>
                <w:sz w:val="24"/>
                <w:highlight w:val="none"/>
              </w:rPr>
            </w:pPr>
            <w:r>
              <w:rPr>
                <w:rFonts w:hint="eastAsia" w:ascii="宋体" w:hAnsi="宋体" w:eastAsia="宋体"/>
                <w:color w:val="auto"/>
                <w:sz w:val="24"/>
                <w:highlight w:val="none"/>
              </w:rPr>
              <w:t>2</w:t>
            </w:r>
          </w:p>
        </w:tc>
        <w:tc>
          <w:tcPr>
            <w:tcW w:w="941" w:type="pct"/>
            <w:tcBorders>
              <w:bottom w:val="single" w:color="auto" w:sz="4" w:space="0"/>
            </w:tcBorders>
            <w:vAlign w:val="center"/>
          </w:tcPr>
          <w:p w14:paraId="4FE2BB42">
            <w:pPr>
              <w:spacing w:after="50" w:line="360" w:lineRule="auto"/>
              <w:ind w:right="-10"/>
              <w:jc w:val="center"/>
              <w:rPr>
                <w:rFonts w:hint="eastAsia" w:ascii="宋体" w:hAnsi="宋体" w:eastAsia="宋体"/>
                <w:color w:val="auto"/>
                <w:sz w:val="24"/>
                <w:szCs w:val="28"/>
                <w:highlight w:val="none"/>
              </w:rPr>
            </w:pPr>
            <w:r>
              <w:rPr>
                <w:rFonts w:hint="eastAsia" w:ascii="宋体" w:hAnsi="宋体" w:eastAsia="宋体"/>
                <w:color w:val="auto"/>
                <w:sz w:val="24"/>
                <w:szCs w:val="18"/>
                <w:highlight w:val="none"/>
              </w:rPr>
              <w:t>投标人资格声明书</w:t>
            </w:r>
          </w:p>
        </w:tc>
        <w:tc>
          <w:tcPr>
            <w:tcW w:w="2601" w:type="pct"/>
            <w:tcBorders>
              <w:bottom w:val="single" w:color="auto" w:sz="4" w:space="0"/>
            </w:tcBorders>
            <w:vAlign w:val="center"/>
          </w:tcPr>
          <w:p w14:paraId="696248A5">
            <w:pPr>
              <w:spacing w:after="50" w:line="360" w:lineRule="auto"/>
              <w:ind w:right="-10"/>
              <w:jc w:val="left"/>
              <w:rPr>
                <w:rFonts w:hint="eastAsia" w:ascii="宋体" w:hAnsi="宋体" w:eastAsia="宋体"/>
                <w:color w:val="auto"/>
                <w:sz w:val="24"/>
                <w:szCs w:val="28"/>
                <w:highlight w:val="none"/>
              </w:rPr>
            </w:pP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供符合招标文件要求的《投标人资格声明书》</w:t>
            </w:r>
            <w:r>
              <w:rPr>
                <w:rFonts w:hint="eastAsia" w:ascii="宋体" w:hAnsi="宋体" w:eastAsia="宋体" w:cs="宋体"/>
                <w:color w:val="auto"/>
                <w:sz w:val="24"/>
                <w:szCs w:val="24"/>
                <w:highlight w:val="none"/>
              </w:rPr>
              <w:t>。</w:t>
            </w:r>
          </w:p>
        </w:tc>
        <w:tc>
          <w:tcPr>
            <w:tcW w:w="1078" w:type="pct"/>
            <w:vAlign w:val="center"/>
          </w:tcPr>
          <w:p w14:paraId="75138E7F">
            <w:pPr>
              <w:spacing w:line="360" w:lineRule="auto"/>
              <w:jc w:val="left"/>
              <w:rPr>
                <w:rFonts w:hint="eastAsia" w:ascii="宋体" w:hAnsi="宋体" w:eastAsia="宋体" w:cs="宋体"/>
                <w:color w:val="auto"/>
                <w:sz w:val="24"/>
                <w:szCs w:val="24"/>
                <w:highlight w:val="none"/>
              </w:rPr>
            </w:pPr>
            <w:r>
              <w:rPr>
                <w:rFonts w:hint="eastAsia" w:ascii="宋体" w:hAnsi="宋体" w:eastAsia="宋体"/>
                <w:color w:val="auto"/>
                <w:sz w:val="24"/>
                <w:highlight w:val="none"/>
              </w:rPr>
              <w:t>详见第六章投标文件格式。</w:t>
            </w:r>
          </w:p>
        </w:tc>
      </w:tr>
      <w:tr w14:paraId="773D7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tcBorders>
              <w:bottom w:val="single" w:color="auto" w:sz="4" w:space="0"/>
            </w:tcBorders>
            <w:vAlign w:val="center"/>
          </w:tcPr>
          <w:p w14:paraId="7FF1CBD9">
            <w:pPr>
              <w:adjustRightInd w:val="0"/>
              <w:snapToGrid w:val="0"/>
              <w:spacing w:line="360" w:lineRule="auto"/>
              <w:ind w:right="-10"/>
              <w:jc w:val="center"/>
              <w:rPr>
                <w:rFonts w:hint="eastAsia" w:ascii="宋体" w:hAnsi="宋体" w:eastAsia="宋体"/>
                <w:color w:val="auto"/>
                <w:sz w:val="24"/>
                <w:highlight w:val="none"/>
              </w:rPr>
            </w:pPr>
            <w:r>
              <w:rPr>
                <w:rFonts w:hint="eastAsia" w:ascii="宋体" w:hAnsi="宋体" w:eastAsia="宋体"/>
                <w:color w:val="auto"/>
                <w:sz w:val="24"/>
                <w:highlight w:val="none"/>
              </w:rPr>
              <w:t>3</w:t>
            </w:r>
          </w:p>
        </w:tc>
        <w:tc>
          <w:tcPr>
            <w:tcW w:w="941" w:type="pct"/>
            <w:tcBorders>
              <w:bottom w:val="single" w:color="auto" w:sz="4" w:space="0"/>
            </w:tcBorders>
            <w:vAlign w:val="center"/>
          </w:tcPr>
          <w:p w14:paraId="0E70A6B6">
            <w:pPr>
              <w:spacing w:after="50" w:line="360" w:lineRule="auto"/>
              <w:ind w:right="-10"/>
              <w:jc w:val="center"/>
              <w:rPr>
                <w:rFonts w:hint="eastAsia"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2601" w:type="pct"/>
            <w:tcBorders>
              <w:bottom w:val="single" w:color="auto" w:sz="4" w:space="0"/>
            </w:tcBorders>
            <w:vAlign w:val="center"/>
          </w:tcPr>
          <w:p w14:paraId="090CE335">
            <w:pPr>
              <w:spacing w:after="50" w:line="360" w:lineRule="auto"/>
              <w:ind w:right="-10"/>
              <w:jc w:val="left"/>
              <w:rPr>
                <w:rFonts w:hint="eastAsia"/>
                <w:color w:val="auto"/>
                <w:highlight w:val="none"/>
              </w:rPr>
            </w:pPr>
            <w:r>
              <w:rPr>
                <w:rFonts w:hint="eastAsia" w:ascii="宋体" w:hAnsi="宋体" w:eastAsia="宋体" w:cs="宋体"/>
                <w:color w:val="auto"/>
                <w:sz w:val="24"/>
                <w:szCs w:val="24"/>
                <w:highlight w:val="none"/>
                <w:lang w:val="zh-CN"/>
              </w:rPr>
              <w:t>投标人不得存在投标人须知正文第1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078" w:type="pct"/>
            <w:tcBorders>
              <w:bottom w:val="single" w:color="auto" w:sz="4" w:space="0"/>
            </w:tcBorders>
            <w:vAlign w:val="center"/>
          </w:tcPr>
          <w:p w14:paraId="5CD1505C">
            <w:pPr>
              <w:spacing w:line="360" w:lineRule="auto"/>
              <w:jc w:val="left"/>
              <w:rPr>
                <w:rFonts w:hint="eastAsia"/>
                <w:color w:val="auto"/>
                <w:highlight w:val="none"/>
              </w:rPr>
            </w:pPr>
            <w:r>
              <w:rPr>
                <w:rFonts w:hint="eastAsia" w:ascii="宋体" w:hAnsi="宋体" w:eastAsia="宋体" w:cs="宋体"/>
                <w:color w:val="auto"/>
                <w:sz w:val="24"/>
                <w:szCs w:val="24"/>
                <w:highlight w:val="none"/>
              </w:rPr>
              <w:t>无须投标人提供，由采购人或采购代理机构查询。</w:t>
            </w:r>
          </w:p>
        </w:tc>
      </w:tr>
      <w:tr w14:paraId="72541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tcBorders>
              <w:bottom w:val="single" w:color="auto" w:sz="4" w:space="0"/>
            </w:tcBorders>
            <w:vAlign w:val="center"/>
          </w:tcPr>
          <w:p w14:paraId="77C33C4A">
            <w:pPr>
              <w:adjustRightInd w:val="0"/>
              <w:snapToGrid w:val="0"/>
              <w:spacing w:line="360" w:lineRule="auto"/>
              <w:ind w:right="-10"/>
              <w:jc w:val="center"/>
              <w:rPr>
                <w:rFonts w:hint="eastAsia" w:ascii="宋体" w:hAnsi="宋体" w:eastAsia="宋体"/>
                <w:color w:val="auto"/>
                <w:sz w:val="24"/>
                <w:highlight w:val="none"/>
              </w:rPr>
            </w:pPr>
            <w:r>
              <w:rPr>
                <w:rFonts w:hint="eastAsia" w:ascii="宋体" w:hAnsi="宋体" w:eastAsia="宋体"/>
                <w:color w:val="auto"/>
                <w:sz w:val="24"/>
                <w:highlight w:val="none"/>
              </w:rPr>
              <w:t>4</w:t>
            </w:r>
          </w:p>
        </w:tc>
        <w:tc>
          <w:tcPr>
            <w:tcW w:w="941" w:type="pct"/>
            <w:tcBorders>
              <w:bottom w:val="single" w:color="auto" w:sz="4" w:space="0"/>
            </w:tcBorders>
            <w:vAlign w:val="center"/>
          </w:tcPr>
          <w:p w14:paraId="2F5FD024">
            <w:pPr>
              <w:spacing w:after="50" w:line="360" w:lineRule="auto"/>
              <w:ind w:right="-10"/>
              <w:rPr>
                <w:rFonts w:hint="eastAsia" w:ascii="宋体" w:hAnsi="宋体" w:eastAsia="宋体" w:cs="宋体"/>
                <w:color w:val="auto"/>
                <w:sz w:val="24"/>
                <w:szCs w:val="24"/>
                <w:highlight w:val="none"/>
              </w:rPr>
            </w:pPr>
            <w:r>
              <w:rPr>
                <w:rFonts w:ascii="宋体" w:hAnsi="宋体" w:eastAsia="宋体" w:cs="宋体"/>
                <w:color w:val="auto"/>
                <w:spacing w:val="10"/>
                <w:sz w:val="24"/>
                <w:szCs w:val="24"/>
                <w:highlight w:val="none"/>
              </w:rPr>
              <w:t>其它落实政府采</w:t>
            </w:r>
            <w:r>
              <w:rPr>
                <w:rFonts w:ascii="宋体" w:hAnsi="宋体" w:eastAsia="宋体" w:cs="宋体"/>
                <w:color w:val="auto"/>
                <w:spacing w:val="11"/>
                <w:sz w:val="24"/>
                <w:szCs w:val="24"/>
                <w:highlight w:val="none"/>
              </w:rPr>
              <w:t>购政策的资格要</w:t>
            </w:r>
            <w:r>
              <w:rPr>
                <w:rFonts w:ascii="宋体" w:hAnsi="宋体" w:eastAsia="宋体" w:cs="宋体"/>
                <w:color w:val="auto"/>
                <w:sz w:val="24"/>
                <w:szCs w:val="24"/>
                <w:highlight w:val="none"/>
              </w:rPr>
              <w:t>求</w:t>
            </w:r>
          </w:p>
        </w:tc>
        <w:tc>
          <w:tcPr>
            <w:tcW w:w="2601" w:type="pct"/>
            <w:tcBorders>
              <w:bottom w:val="single" w:color="auto" w:sz="4" w:space="0"/>
            </w:tcBorders>
            <w:vAlign w:val="center"/>
          </w:tcPr>
          <w:p w14:paraId="18FF0883">
            <w:pPr>
              <w:spacing w:after="50" w:line="360" w:lineRule="auto"/>
              <w:ind w:right="-10"/>
              <w:rPr>
                <w:rFonts w:hint="eastAsia" w:ascii="宋体" w:hAnsi="宋体" w:eastAsia="宋体" w:cs="宋体"/>
                <w:color w:val="auto"/>
                <w:sz w:val="24"/>
                <w:szCs w:val="24"/>
                <w:highlight w:val="none"/>
              </w:rPr>
            </w:pPr>
            <w:r>
              <w:rPr>
                <w:rFonts w:ascii="宋体" w:hAnsi="宋体" w:eastAsia="宋体" w:cs="宋体"/>
                <w:color w:val="auto"/>
                <w:spacing w:val="-2"/>
                <w:sz w:val="24"/>
                <w:szCs w:val="24"/>
                <w:highlight w:val="none"/>
              </w:rPr>
              <w:t>如有，见第一章《投标邀请》</w:t>
            </w:r>
          </w:p>
        </w:tc>
        <w:tc>
          <w:tcPr>
            <w:tcW w:w="1078" w:type="pct"/>
            <w:tcBorders>
              <w:bottom w:val="single" w:color="auto" w:sz="4" w:space="0"/>
            </w:tcBorders>
            <w:vAlign w:val="center"/>
          </w:tcPr>
          <w:p w14:paraId="7E76CF47">
            <w:pPr>
              <w:spacing w:after="50" w:line="360" w:lineRule="auto"/>
              <w:ind w:right="-10"/>
              <w:rPr>
                <w:rFonts w:hint="eastAsia" w:ascii="宋体" w:hAnsi="宋体" w:eastAsia="宋体"/>
                <w:color w:val="auto"/>
                <w:sz w:val="24"/>
                <w:highlight w:val="none"/>
              </w:rPr>
            </w:pPr>
            <w:r>
              <w:rPr>
                <w:rFonts w:hint="eastAsia" w:ascii="宋体" w:hAnsi="宋体" w:eastAsia="宋体" w:cs="宋体"/>
                <w:color w:val="auto"/>
                <w:sz w:val="24"/>
                <w:szCs w:val="24"/>
                <w:highlight w:val="none"/>
              </w:rPr>
              <w:t>提供材料扫描件或电子证照，应完整的体现出材料或电子证照全部内容。</w:t>
            </w:r>
          </w:p>
        </w:tc>
      </w:tr>
      <w:tr w14:paraId="6F1FF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vAlign w:val="center"/>
          </w:tcPr>
          <w:p w14:paraId="1E140DA6">
            <w:pPr>
              <w:adjustRightInd w:val="0"/>
              <w:snapToGrid w:val="0"/>
              <w:spacing w:line="360" w:lineRule="auto"/>
              <w:ind w:right="-10"/>
              <w:jc w:val="center"/>
              <w:rPr>
                <w:rFonts w:hint="eastAsia" w:ascii="宋体" w:hAnsi="宋体" w:eastAsia="宋体"/>
                <w:color w:val="auto"/>
                <w:sz w:val="24"/>
                <w:highlight w:val="none"/>
              </w:rPr>
            </w:pPr>
            <w:r>
              <w:rPr>
                <w:rFonts w:hint="eastAsia" w:ascii="宋体" w:hAnsi="宋体" w:eastAsia="宋体"/>
                <w:color w:val="auto"/>
                <w:sz w:val="24"/>
                <w:highlight w:val="none"/>
              </w:rPr>
              <w:t>5</w:t>
            </w:r>
          </w:p>
        </w:tc>
        <w:tc>
          <w:tcPr>
            <w:tcW w:w="941" w:type="pct"/>
            <w:vAlign w:val="center"/>
          </w:tcPr>
          <w:p w14:paraId="34D8973F">
            <w:pPr>
              <w:spacing w:after="50" w:line="360" w:lineRule="auto"/>
              <w:ind w:right="-10"/>
              <w:rPr>
                <w:rFonts w:hint="eastAsia" w:ascii="宋体" w:hAnsi="宋体" w:eastAsia="宋体" w:cs="宋体"/>
                <w:color w:val="auto"/>
                <w:spacing w:val="10"/>
                <w:sz w:val="24"/>
                <w:szCs w:val="24"/>
                <w:highlight w:val="none"/>
              </w:rPr>
            </w:pPr>
            <w:r>
              <w:rPr>
                <w:rFonts w:ascii="宋体" w:hAnsi="宋体" w:eastAsia="宋体" w:cs="宋体"/>
                <w:color w:val="auto"/>
                <w:spacing w:val="10"/>
                <w:sz w:val="24"/>
                <w:szCs w:val="24"/>
                <w:highlight w:val="none"/>
              </w:rPr>
              <w:t>本项目的特定资格要求</w:t>
            </w:r>
          </w:p>
        </w:tc>
        <w:tc>
          <w:tcPr>
            <w:tcW w:w="2601" w:type="pct"/>
            <w:vAlign w:val="center"/>
          </w:tcPr>
          <w:p w14:paraId="6E4DCC4D">
            <w:pPr>
              <w:spacing w:after="50" w:line="360" w:lineRule="auto"/>
              <w:ind w:right="-10"/>
              <w:rPr>
                <w:rFonts w:hint="eastAsia" w:ascii="宋体" w:hAnsi="宋体" w:eastAsia="宋体" w:cs="宋体"/>
                <w:color w:val="auto"/>
                <w:spacing w:val="10"/>
                <w:sz w:val="24"/>
                <w:szCs w:val="24"/>
                <w:highlight w:val="none"/>
              </w:rPr>
            </w:pPr>
            <w:r>
              <w:rPr>
                <w:rFonts w:ascii="宋体" w:hAnsi="宋体" w:eastAsia="宋体" w:cs="宋体"/>
                <w:color w:val="auto"/>
                <w:spacing w:val="10"/>
                <w:sz w:val="24"/>
                <w:szCs w:val="24"/>
                <w:highlight w:val="none"/>
              </w:rPr>
              <w:t>如有，见第一章《投标邀请》</w:t>
            </w:r>
          </w:p>
        </w:tc>
        <w:tc>
          <w:tcPr>
            <w:tcW w:w="1078" w:type="pct"/>
            <w:vAlign w:val="center"/>
          </w:tcPr>
          <w:p w14:paraId="7EAB58B4">
            <w:pPr>
              <w:spacing w:after="50" w:line="360" w:lineRule="auto"/>
              <w:ind w:right="-10"/>
              <w:rPr>
                <w:rFonts w:hint="eastAsia" w:ascii="宋体" w:hAnsi="宋体" w:eastAsia="宋体" w:cs="宋体"/>
                <w:color w:val="auto"/>
                <w:spacing w:val="10"/>
                <w:sz w:val="24"/>
                <w:szCs w:val="24"/>
                <w:highlight w:val="none"/>
              </w:rPr>
            </w:pPr>
            <w:r>
              <w:rPr>
                <w:rFonts w:hint="eastAsia" w:ascii="宋体" w:hAnsi="宋体" w:eastAsia="宋体" w:cs="宋体"/>
                <w:color w:val="auto"/>
                <w:sz w:val="24"/>
                <w:szCs w:val="24"/>
                <w:highlight w:val="none"/>
              </w:rPr>
              <w:t>提供材料扫描件或电子证照，应完整的体现出材料或电子证照全部内容。</w:t>
            </w:r>
          </w:p>
        </w:tc>
      </w:tr>
      <w:tr w14:paraId="7CF61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Align w:val="center"/>
          </w:tcPr>
          <w:p w14:paraId="2D6C799E">
            <w:pPr>
              <w:adjustRightInd w:val="0"/>
              <w:snapToGrid w:val="0"/>
              <w:spacing w:line="360" w:lineRule="auto"/>
              <w:ind w:right="-10"/>
              <w:jc w:val="center"/>
              <w:rPr>
                <w:rFonts w:hint="eastAsia" w:ascii="宋体" w:hAnsi="宋体" w:eastAsia="宋体"/>
                <w:color w:val="auto"/>
                <w:sz w:val="24"/>
                <w:highlight w:val="none"/>
              </w:rPr>
            </w:pPr>
            <w:r>
              <w:rPr>
                <w:rFonts w:hint="eastAsia" w:ascii="宋体" w:hAnsi="宋体" w:eastAsia="宋体"/>
                <w:color w:val="auto"/>
                <w:sz w:val="24"/>
                <w:highlight w:val="none"/>
              </w:rPr>
              <w:t>6</w:t>
            </w:r>
          </w:p>
        </w:tc>
        <w:tc>
          <w:tcPr>
            <w:tcW w:w="1798" w:type="dxa"/>
            <w:vAlign w:val="center"/>
          </w:tcPr>
          <w:p w14:paraId="0F691441">
            <w:pPr>
              <w:wordWrap w:val="0"/>
              <w:spacing w:after="50" w:line="360" w:lineRule="auto"/>
              <w:ind w:right="-10"/>
              <w:jc w:val="center"/>
              <w:rPr>
                <w:rFonts w:hint="eastAsia" w:ascii="宋体" w:hAnsi="宋体" w:eastAsia="宋体" w:cs="宋体"/>
                <w:color w:val="auto"/>
                <w:spacing w:val="10"/>
                <w:sz w:val="24"/>
                <w:szCs w:val="24"/>
                <w:highlight w:val="none"/>
              </w:rPr>
            </w:pPr>
            <w:r>
              <w:rPr>
                <w:rFonts w:hint="eastAsia" w:ascii="宋体" w:hAnsi="宋体" w:eastAsia="宋体" w:cs="宋体"/>
                <w:color w:val="auto"/>
                <w:sz w:val="24"/>
                <w:szCs w:val="24"/>
                <w:highlight w:val="none"/>
              </w:rPr>
              <w:t>诚信投标承诺书</w:t>
            </w:r>
          </w:p>
        </w:tc>
        <w:tc>
          <w:tcPr>
            <w:tcW w:w="4967" w:type="dxa"/>
            <w:vAlign w:val="center"/>
          </w:tcPr>
          <w:p w14:paraId="359AB29F">
            <w:pPr>
              <w:wordWrap w:val="0"/>
              <w:spacing w:after="50" w:line="360" w:lineRule="auto"/>
              <w:ind w:right="-10"/>
              <w:rPr>
                <w:rFonts w:hint="eastAsia" w:ascii="宋体" w:hAnsi="宋体" w:eastAsia="宋体" w:cs="宋体"/>
                <w:color w:val="auto"/>
                <w:spacing w:val="10"/>
                <w:sz w:val="24"/>
                <w:szCs w:val="24"/>
                <w:highlight w:val="none"/>
              </w:rPr>
            </w:pPr>
            <w:r>
              <w:rPr>
                <w:rFonts w:hint="eastAsia" w:ascii="宋体" w:hAnsi="宋体" w:eastAsia="宋体" w:cs="宋体"/>
                <w:color w:val="auto"/>
                <w:sz w:val="24"/>
                <w:szCs w:val="24"/>
                <w:highlight w:val="none"/>
              </w:rPr>
              <w:t>格式、填写要求符合招标文件规定并加盖投标人电子签章</w:t>
            </w:r>
          </w:p>
        </w:tc>
        <w:tc>
          <w:tcPr>
            <w:tcW w:w="2058" w:type="dxa"/>
            <w:vAlign w:val="center"/>
          </w:tcPr>
          <w:p w14:paraId="27D8274A">
            <w:pPr>
              <w:wordWrap w:val="0"/>
              <w:spacing w:after="50" w:line="360" w:lineRule="auto"/>
              <w:ind w:right="-10"/>
              <w:rPr>
                <w:rFonts w:hint="eastAsia" w:ascii="宋体" w:hAnsi="宋体" w:eastAsia="宋体" w:cs="宋体"/>
                <w:color w:val="auto"/>
                <w:sz w:val="24"/>
                <w:szCs w:val="24"/>
                <w:highlight w:val="none"/>
              </w:rPr>
            </w:pPr>
            <w:r>
              <w:rPr>
                <w:rFonts w:hint="eastAsia" w:ascii="宋体" w:hAnsi="宋体" w:eastAsia="宋体"/>
                <w:color w:val="auto"/>
                <w:sz w:val="24"/>
                <w:highlight w:val="none"/>
              </w:rPr>
              <w:t>详见第六章投标文件格式。</w:t>
            </w:r>
          </w:p>
        </w:tc>
      </w:tr>
    </w:tbl>
    <w:p w14:paraId="5C0F0F0D">
      <w:pPr>
        <w:spacing w:line="360" w:lineRule="auto"/>
        <w:ind w:firstLine="435"/>
        <w:rPr>
          <w:rFonts w:hint="eastAsia" w:asciiTheme="minorEastAsia" w:hAnsiTheme="minorEastAsia" w:eastAsiaTheme="minorEastAsia"/>
          <w:color w:val="auto"/>
          <w:sz w:val="24"/>
          <w:highlight w:val="none"/>
        </w:rPr>
      </w:pPr>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p w14:paraId="2D1D94D0">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2.2符合性审查</w:t>
      </w:r>
    </w:p>
    <w:p w14:paraId="129ACA9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评标委员会对通过资格审查的投标人的投标文件进行符合性审查，以确定其是否满足招标文件的实质性要求。符合性审查表如下：</w:t>
      </w:r>
    </w:p>
    <w:tbl>
      <w:tblPr>
        <w:tblStyle w:val="23"/>
        <w:tblW w:w="50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1713"/>
        <w:gridCol w:w="3995"/>
        <w:gridCol w:w="2922"/>
      </w:tblGrid>
      <w:tr w14:paraId="7A2DD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725C2C4F">
            <w:pPr>
              <w:adjustRightInd w:val="0"/>
              <w:snapToGrid w:val="0"/>
              <w:spacing w:line="360" w:lineRule="auto"/>
              <w:ind w:right="-10"/>
              <w:jc w:val="center"/>
              <w:rPr>
                <w:rFonts w:hint="eastAsia" w:ascii="宋体" w:hAnsi="宋体" w:eastAsia="宋体"/>
                <w:b/>
                <w:bCs/>
                <w:color w:val="auto"/>
                <w:sz w:val="24"/>
                <w:highlight w:val="none"/>
              </w:rPr>
            </w:pPr>
            <w:r>
              <w:rPr>
                <w:rFonts w:hint="eastAsia" w:ascii="宋体" w:hAnsi="宋体" w:eastAsia="宋体"/>
                <w:b/>
                <w:bCs/>
                <w:color w:val="auto"/>
                <w:sz w:val="24"/>
                <w:highlight w:val="none"/>
              </w:rPr>
              <w:t>符合性审查表</w:t>
            </w:r>
          </w:p>
        </w:tc>
      </w:tr>
      <w:tr w14:paraId="04A32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440" w:type="pct"/>
            <w:tcBorders>
              <w:bottom w:val="single" w:color="auto" w:sz="4" w:space="0"/>
            </w:tcBorders>
            <w:vAlign w:val="center"/>
          </w:tcPr>
          <w:p w14:paraId="37E0F440">
            <w:pPr>
              <w:adjustRightInd w:val="0"/>
              <w:snapToGrid w:val="0"/>
              <w:spacing w:line="480" w:lineRule="exact"/>
              <w:ind w:right="-11"/>
              <w:jc w:val="center"/>
              <w:rPr>
                <w:rFonts w:hint="eastAsia" w:ascii="宋体" w:hAnsi="宋体" w:eastAsia="宋体"/>
                <w:color w:val="auto"/>
                <w:sz w:val="24"/>
                <w:highlight w:val="none"/>
              </w:rPr>
            </w:pPr>
            <w:r>
              <w:rPr>
                <w:rFonts w:hint="eastAsia" w:ascii="宋体" w:hAnsi="宋体" w:eastAsia="宋体"/>
                <w:color w:val="auto"/>
                <w:sz w:val="24"/>
                <w:highlight w:val="none"/>
              </w:rPr>
              <w:t>序号</w:t>
            </w:r>
          </w:p>
        </w:tc>
        <w:tc>
          <w:tcPr>
            <w:tcW w:w="905" w:type="pct"/>
            <w:tcBorders>
              <w:bottom w:val="single" w:color="auto" w:sz="4" w:space="0"/>
            </w:tcBorders>
            <w:vAlign w:val="center"/>
          </w:tcPr>
          <w:p w14:paraId="7EEA7CDE">
            <w:pPr>
              <w:pStyle w:val="42"/>
              <w:pBdr>
                <w:bottom w:val="none" w:color="auto" w:sz="0" w:space="0"/>
              </w:pBdr>
              <w:tabs>
                <w:tab w:val="clear" w:pos="4153"/>
                <w:tab w:val="clear" w:pos="8306"/>
              </w:tabs>
              <w:snapToGrid w:val="0"/>
              <w:spacing w:line="480" w:lineRule="exact"/>
              <w:ind w:right="-11"/>
              <w:textAlignment w:val="auto"/>
              <w:rPr>
                <w:rFonts w:hint="eastAsia" w:ascii="宋体" w:hAnsi="宋体" w:eastAsia="宋体"/>
                <w:color w:val="auto"/>
                <w:kern w:val="2"/>
                <w:highlight w:val="none"/>
              </w:rPr>
            </w:pPr>
            <w:r>
              <w:rPr>
                <w:rFonts w:hint="eastAsia" w:ascii="宋体" w:hAnsi="宋体" w:eastAsia="宋体"/>
                <w:color w:val="auto"/>
                <w:kern w:val="2"/>
                <w:highlight w:val="none"/>
              </w:rPr>
              <w:t>审查指标</w:t>
            </w:r>
          </w:p>
        </w:tc>
        <w:tc>
          <w:tcPr>
            <w:tcW w:w="2111" w:type="pct"/>
            <w:tcBorders>
              <w:bottom w:val="single" w:color="auto" w:sz="4" w:space="0"/>
            </w:tcBorders>
            <w:vAlign w:val="center"/>
          </w:tcPr>
          <w:p w14:paraId="66528796">
            <w:pPr>
              <w:adjustRightInd w:val="0"/>
              <w:snapToGrid w:val="0"/>
              <w:spacing w:line="480" w:lineRule="exact"/>
              <w:ind w:right="-11"/>
              <w:jc w:val="center"/>
              <w:rPr>
                <w:rFonts w:hint="eastAsia" w:ascii="宋体" w:hAnsi="宋体" w:eastAsia="宋体"/>
                <w:color w:val="auto"/>
                <w:sz w:val="24"/>
                <w:highlight w:val="none"/>
              </w:rPr>
            </w:pPr>
            <w:r>
              <w:rPr>
                <w:rFonts w:hint="eastAsia" w:ascii="宋体" w:hAnsi="宋体" w:eastAsia="宋体"/>
                <w:color w:val="auto"/>
                <w:sz w:val="24"/>
                <w:highlight w:val="none"/>
              </w:rPr>
              <w:t>审查标准</w:t>
            </w:r>
          </w:p>
        </w:tc>
        <w:tc>
          <w:tcPr>
            <w:tcW w:w="1541" w:type="pct"/>
            <w:tcBorders>
              <w:bottom w:val="single" w:color="auto" w:sz="4" w:space="0"/>
            </w:tcBorders>
            <w:vAlign w:val="center"/>
          </w:tcPr>
          <w:p w14:paraId="275F9489">
            <w:pPr>
              <w:adjustRightInd w:val="0"/>
              <w:snapToGrid w:val="0"/>
              <w:spacing w:line="480" w:lineRule="exact"/>
              <w:ind w:right="-11"/>
              <w:jc w:val="center"/>
              <w:rPr>
                <w:rFonts w:hint="eastAsia" w:ascii="宋体" w:hAnsi="宋体" w:eastAsia="宋体"/>
                <w:color w:val="auto"/>
                <w:sz w:val="24"/>
                <w:highlight w:val="none"/>
              </w:rPr>
            </w:pPr>
            <w:r>
              <w:rPr>
                <w:rFonts w:hint="eastAsia" w:ascii="宋体" w:hAnsi="宋体" w:eastAsia="宋体"/>
                <w:color w:val="auto"/>
                <w:sz w:val="24"/>
                <w:highlight w:val="none"/>
              </w:rPr>
              <w:t>格式要求</w:t>
            </w:r>
          </w:p>
        </w:tc>
      </w:tr>
      <w:tr w14:paraId="05CA4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vAlign w:val="center"/>
          </w:tcPr>
          <w:p w14:paraId="3D38D85B">
            <w:pPr>
              <w:adjustRightInd w:val="0"/>
              <w:snapToGrid w:val="0"/>
              <w:spacing w:line="360" w:lineRule="auto"/>
              <w:ind w:right="-1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905" w:type="pct"/>
            <w:vAlign w:val="center"/>
          </w:tcPr>
          <w:p w14:paraId="1AD2D963">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highlight w:val="none"/>
              </w:rPr>
              <w:t>开标一览表</w:t>
            </w:r>
          </w:p>
        </w:tc>
        <w:tc>
          <w:tcPr>
            <w:tcW w:w="2111" w:type="pct"/>
            <w:vAlign w:val="center"/>
          </w:tcPr>
          <w:p w14:paraId="5FFB2C96">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541" w:type="pct"/>
            <w:vAlign w:val="center"/>
          </w:tcPr>
          <w:p w14:paraId="2F9F3473">
            <w:pPr>
              <w:adjustRightInd w:val="0"/>
              <w:snapToGrid w:val="0"/>
              <w:spacing w:line="360" w:lineRule="auto"/>
              <w:ind w:right="-1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5B691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vAlign w:val="center"/>
          </w:tcPr>
          <w:p w14:paraId="2CBA361A">
            <w:pPr>
              <w:adjustRightInd w:val="0"/>
              <w:snapToGrid w:val="0"/>
              <w:spacing w:line="360" w:lineRule="auto"/>
              <w:ind w:right="-1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905" w:type="pct"/>
            <w:vAlign w:val="center"/>
          </w:tcPr>
          <w:p w14:paraId="4E436A99">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投标函</w:t>
            </w:r>
          </w:p>
        </w:tc>
        <w:tc>
          <w:tcPr>
            <w:tcW w:w="2111" w:type="pct"/>
            <w:vAlign w:val="center"/>
          </w:tcPr>
          <w:p w14:paraId="71B88ED2">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541" w:type="pct"/>
            <w:vAlign w:val="center"/>
          </w:tcPr>
          <w:p w14:paraId="4FA487B3">
            <w:pPr>
              <w:adjustRightInd w:val="0"/>
              <w:snapToGrid w:val="0"/>
              <w:spacing w:line="360" w:lineRule="auto"/>
              <w:ind w:right="-1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42B1B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vAlign w:val="center"/>
          </w:tcPr>
          <w:p w14:paraId="058DB2FC">
            <w:pPr>
              <w:adjustRightInd w:val="0"/>
              <w:snapToGrid w:val="0"/>
              <w:spacing w:line="360" w:lineRule="auto"/>
              <w:ind w:right="-10"/>
              <w:jc w:val="center"/>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w:t>
            </w:r>
          </w:p>
        </w:tc>
        <w:tc>
          <w:tcPr>
            <w:tcW w:w="905" w:type="pct"/>
            <w:vAlign w:val="center"/>
          </w:tcPr>
          <w:p w14:paraId="7495C389">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授权书</w:t>
            </w:r>
          </w:p>
        </w:tc>
        <w:tc>
          <w:tcPr>
            <w:tcW w:w="2111" w:type="pct"/>
            <w:vAlign w:val="center"/>
          </w:tcPr>
          <w:p w14:paraId="12C2E3FA">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541" w:type="pct"/>
            <w:vAlign w:val="center"/>
          </w:tcPr>
          <w:p w14:paraId="2D906B26">
            <w:pPr>
              <w:adjustRightInd w:val="0"/>
              <w:snapToGrid w:val="0"/>
              <w:spacing w:line="360" w:lineRule="auto"/>
              <w:ind w:right="-1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法定代表人参加投标的无需此件，提供身份证明即可。详见第六章投标文件格式。</w:t>
            </w:r>
          </w:p>
        </w:tc>
      </w:tr>
      <w:tr w14:paraId="3EF13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vAlign w:val="center"/>
          </w:tcPr>
          <w:p w14:paraId="49BE6863">
            <w:pPr>
              <w:adjustRightInd w:val="0"/>
              <w:snapToGrid w:val="0"/>
              <w:spacing w:line="360" w:lineRule="auto"/>
              <w:ind w:right="-1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905" w:type="pct"/>
            <w:vAlign w:val="center"/>
          </w:tcPr>
          <w:p w14:paraId="7DAECA49">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投标报价</w:t>
            </w:r>
          </w:p>
        </w:tc>
        <w:tc>
          <w:tcPr>
            <w:tcW w:w="2111" w:type="pct"/>
            <w:vAlign w:val="center"/>
          </w:tcPr>
          <w:p w14:paraId="12C4EB26">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rPr>
              <w:t>招标文件投标人须知正文第9条要求</w:t>
            </w:r>
          </w:p>
        </w:tc>
        <w:tc>
          <w:tcPr>
            <w:tcW w:w="1541" w:type="pct"/>
            <w:vAlign w:val="center"/>
          </w:tcPr>
          <w:p w14:paraId="20712899">
            <w:pPr>
              <w:adjustRightInd w:val="0"/>
              <w:snapToGrid w:val="0"/>
              <w:spacing w:line="360" w:lineRule="auto"/>
              <w:ind w:right="-1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5ECD4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vAlign w:val="center"/>
          </w:tcPr>
          <w:p w14:paraId="0255A013">
            <w:pPr>
              <w:adjustRightInd w:val="0"/>
              <w:snapToGrid w:val="0"/>
              <w:spacing w:line="360" w:lineRule="auto"/>
              <w:ind w:right="-1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p>
        </w:tc>
        <w:tc>
          <w:tcPr>
            <w:tcW w:w="905" w:type="pct"/>
            <w:vAlign w:val="center"/>
          </w:tcPr>
          <w:p w14:paraId="4D1992A2">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商务响应情况</w:t>
            </w:r>
          </w:p>
        </w:tc>
        <w:tc>
          <w:tcPr>
            <w:tcW w:w="2111" w:type="pct"/>
            <w:vAlign w:val="center"/>
          </w:tcPr>
          <w:p w14:paraId="6CD21DB3">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符合招标文件采购需求中对付款方式、供货及安装期限、供货及安装地点、免费质保期等实质性要求</w:t>
            </w:r>
          </w:p>
        </w:tc>
        <w:tc>
          <w:tcPr>
            <w:tcW w:w="1541" w:type="pct"/>
            <w:vAlign w:val="center"/>
          </w:tcPr>
          <w:p w14:paraId="002ED430">
            <w:pPr>
              <w:adjustRightInd w:val="0"/>
              <w:snapToGrid w:val="0"/>
              <w:spacing w:line="360" w:lineRule="auto"/>
              <w:ind w:right="-1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3F876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vAlign w:val="center"/>
          </w:tcPr>
          <w:p w14:paraId="35C6D096">
            <w:pPr>
              <w:adjustRightInd w:val="0"/>
              <w:snapToGrid w:val="0"/>
              <w:spacing w:line="360" w:lineRule="auto"/>
              <w:ind w:right="-1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p>
        </w:tc>
        <w:tc>
          <w:tcPr>
            <w:tcW w:w="905" w:type="pct"/>
            <w:vAlign w:val="center"/>
          </w:tcPr>
          <w:p w14:paraId="5A915EFD">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技术响应情况</w:t>
            </w:r>
          </w:p>
        </w:tc>
        <w:tc>
          <w:tcPr>
            <w:tcW w:w="2111" w:type="pct"/>
            <w:vAlign w:val="center"/>
          </w:tcPr>
          <w:p w14:paraId="67394AE6">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符合招标文件采购需求中货物技术参数等实质性要求</w:t>
            </w:r>
          </w:p>
        </w:tc>
        <w:tc>
          <w:tcPr>
            <w:tcW w:w="1541" w:type="pct"/>
            <w:vAlign w:val="center"/>
          </w:tcPr>
          <w:p w14:paraId="4DF86823">
            <w:pPr>
              <w:adjustRightInd w:val="0"/>
              <w:snapToGrid w:val="0"/>
              <w:spacing w:line="360" w:lineRule="auto"/>
              <w:ind w:right="-1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4CAB6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vAlign w:val="center"/>
          </w:tcPr>
          <w:p w14:paraId="00796BB1">
            <w:pPr>
              <w:adjustRightInd w:val="0"/>
              <w:snapToGrid w:val="0"/>
              <w:spacing w:line="360" w:lineRule="auto"/>
              <w:ind w:right="-1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p>
        </w:tc>
        <w:tc>
          <w:tcPr>
            <w:tcW w:w="905" w:type="pct"/>
            <w:vAlign w:val="center"/>
          </w:tcPr>
          <w:p w14:paraId="3AAE0128">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其他要求</w:t>
            </w:r>
          </w:p>
        </w:tc>
        <w:tc>
          <w:tcPr>
            <w:tcW w:w="2111" w:type="pct"/>
            <w:vAlign w:val="center"/>
          </w:tcPr>
          <w:p w14:paraId="21D46057">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符合法律、行政法规规定的其他条件或招标文件列明的其他实质性要求</w:t>
            </w:r>
          </w:p>
        </w:tc>
        <w:tc>
          <w:tcPr>
            <w:tcW w:w="1541" w:type="pct"/>
            <w:vAlign w:val="center"/>
          </w:tcPr>
          <w:p w14:paraId="63368BCE">
            <w:pPr>
              <w:adjustRightInd w:val="0"/>
              <w:snapToGrid w:val="0"/>
              <w:spacing w:line="360" w:lineRule="auto"/>
              <w:ind w:right="-10"/>
              <w:jc w:val="center"/>
              <w:rPr>
                <w:rFonts w:hint="eastAsia" w:asciiTheme="minorEastAsia" w:hAnsiTheme="minorEastAsia" w:eastAsiaTheme="minorEastAsia"/>
                <w:color w:val="auto"/>
                <w:sz w:val="24"/>
                <w:highlight w:val="none"/>
              </w:rPr>
            </w:pPr>
          </w:p>
        </w:tc>
      </w:tr>
    </w:tbl>
    <w:p w14:paraId="37A7818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符合性审查指标通过标准：</w:t>
      </w:r>
      <w:r>
        <w:rPr>
          <w:rFonts w:hint="eastAsia" w:asciiTheme="minorEastAsia" w:hAnsiTheme="minorEastAsia" w:eastAsiaTheme="minorEastAsia"/>
          <w:color w:val="auto"/>
          <w:sz w:val="24"/>
          <w:highlight w:val="none"/>
        </w:rPr>
        <w:t>投标人必须通过符合性审查表中的全部评审指标。</w:t>
      </w:r>
    </w:p>
    <w:p w14:paraId="37A2601D">
      <w:pPr>
        <w:spacing w:line="360" w:lineRule="auto"/>
        <w:ind w:firstLine="435"/>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2.3异常低价投标审查</w:t>
      </w:r>
    </w:p>
    <w:tbl>
      <w:tblPr>
        <w:tblStyle w:val="23"/>
        <w:tblW w:w="52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7"/>
        <w:gridCol w:w="1580"/>
        <w:gridCol w:w="4837"/>
        <w:gridCol w:w="2463"/>
      </w:tblGrid>
      <w:tr w14:paraId="38B52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954" w:type="dxa"/>
            <w:gridSpan w:val="4"/>
            <w:tcBorders>
              <w:bottom w:val="single" w:color="auto" w:sz="4" w:space="0"/>
            </w:tcBorders>
            <w:vAlign w:val="center"/>
          </w:tcPr>
          <w:p w14:paraId="0490FDDC">
            <w:pPr>
              <w:adjustRightInd w:val="0"/>
              <w:snapToGrid w:val="0"/>
              <w:spacing w:line="360" w:lineRule="auto"/>
              <w:ind w:right="-10"/>
              <w:jc w:val="center"/>
              <w:rPr>
                <w:rFonts w:hint="eastAsia" w:ascii="宋体" w:hAnsi="宋体" w:eastAsia="宋体"/>
                <w:color w:val="auto"/>
                <w:sz w:val="24"/>
                <w:highlight w:val="none"/>
              </w:rPr>
            </w:pPr>
            <w:r>
              <w:rPr>
                <w:rFonts w:hint="eastAsia" w:ascii="宋体" w:hAnsi="宋体" w:eastAsia="宋体" w:cs="Times New Roman"/>
                <w:b/>
                <w:bCs/>
                <w:color w:val="auto"/>
                <w:sz w:val="24"/>
                <w:highlight w:val="none"/>
              </w:rPr>
              <w:t>异常低价投标审查表</w:t>
            </w:r>
          </w:p>
        </w:tc>
      </w:tr>
      <w:tr w14:paraId="0B914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tcBorders>
              <w:bottom w:val="single" w:color="auto" w:sz="4" w:space="0"/>
            </w:tcBorders>
            <w:vAlign w:val="center"/>
          </w:tcPr>
          <w:p w14:paraId="3D11B06C">
            <w:pPr>
              <w:spacing w:line="360" w:lineRule="auto"/>
              <w:jc w:val="center"/>
              <w:rPr>
                <w:rFonts w:hint="eastAsia" w:ascii="宋体" w:hAnsi="宋体" w:eastAsia="宋体"/>
                <w:color w:val="auto"/>
                <w:sz w:val="24"/>
                <w:highlight w:val="none"/>
              </w:rPr>
            </w:pPr>
            <w:r>
              <w:rPr>
                <w:rFonts w:hint="eastAsia" w:ascii="宋体" w:hAnsi="宋体" w:eastAsia="宋体" w:cs="Times New Roman"/>
                <w:color w:val="auto"/>
                <w:sz w:val="24"/>
                <w:highlight w:val="none"/>
              </w:rPr>
              <w:t>序号</w:t>
            </w:r>
          </w:p>
        </w:tc>
        <w:tc>
          <w:tcPr>
            <w:tcW w:w="1450" w:type="dxa"/>
            <w:tcBorders>
              <w:bottom w:val="single" w:color="auto" w:sz="4" w:space="0"/>
            </w:tcBorders>
            <w:vAlign w:val="center"/>
          </w:tcPr>
          <w:p w14:paraId="1685EC71">
            <w:pPr>
              <w:spacing w:line="360" w:lineRule="auto"/>
              <w:ind w:firstLine="240" w:firstLineChars="100"/>
              <w:jc w:val="center"/>
              <w:rPr>
                <w:rFonts w:hint="eastAsia" w:ascii="宋体" w:hAnsi="宋体" w:eastAsia="宋体"/>
                <w:color w:val="auto"/>
                <w:szCs w:val="24"/>
                <w:highlight w:val="none"/>
              </w:rPr>
            </w:pPr>
            <w:r>
              <w:rPr>
                <w:rFonts w:hint="eastAsia" w:ascii="宋体" w:hAnsi="宋体" w:eastAsia="宋体" w:cs="Times New Roman"/>
                <w:color w:val="auto"/>
                <w:sz w:val="24"/>
                <w:highlight w:val="none"/>
              </w:rPr>
              <w:t>评审指标</w:t>
            </w:r>
          </w:p>
        </w:tc>
        <w:tc>
          <w:tcPr>
            <w:tcW w:w="4439" w:type="dxa"/>
            <w:tcBorders>
              <w:bottom w:val="single" w:color="auto" w:sz="4" w:space="0"/>
            </w:tcBorders>
            <w:vAlign w:val="center"/>
          </w:tcPr>
          <w:p w14:paraId="48227F1E">
            <w:pPr>
              <w:spacing w:line="360" w:lineRule="auto"/>
              <w:ind w:firstLine="240" w:firstLineChars="100"/>
              <w:jc w:val="center"/>
              <w:rPr>
                <w:rFonts w:hint="eastAsia" w:ascii="宋体" w:hAnsi="宋体" w:eastAsia="宋体"/>
                <w:color w:val="auto"/>
                <w:sz w:val="24"/>
                <w:highlight w:val="none"/>
              </w:rPr>
            </w:pPr>
            <w:r>
              <w:rPr>
                <w:rFonts w:hint="eastAsia" w:ascii="宋体" w:hAnsi="宋体" w:eastAsia="宋体" w:cs="Times New Roman"/>
                <w:color w:val="auto"/>
                <w:sz w:val="24"/>
                <w:highlight w:val="none"/>
              </w:rPr>
              <w:t>评审标准</w:t>
            </w:r>
          </w:p>
        </w:tc>
        <w:tc>
          <w:tcPr>
            <w:tcW w:w="2260" w:type="dxa"/>
            <w:tcBorders>
              <w:bottom w:val="single" w:color="auto" w:sz="4" w:space="0"/>
            </w:tcBorders>
            <w:vAlign w:val="center"/>
          </w:tcPr>
          <w:p w14:paraId="75A52B50">
            <w:pPr>
              <w:spacing w:line="360" w:lineRule="auto"/>
              <w:jc w:val="center"/>
              <w:rPr>
                <w:rFonts w:hint="eastAsia" w:ascii="宋体" w:hAnsi="宋体" w:eastAsia="宋体"/>
                <w:color w:val="auto"/>
                <w:sz w:val="24"/>
                <w:highlight w:val="none"/>
              </w:rPr>
            </w:pPr>
            <w:r>
              <w:rPr>
                <w:rFonts w:hint="eastAsia" w:ascii="宋体" w:hAnsi="宋体" w:eastAsia="宋体" w:cs="Times New Roman"/>
                <w:color w:val="auto"/>
                <w:sz w:val="24"/>
                <w:highlight w:val="none"/>
              </w:rPr>
              <w:t>格式及材料要求</w:t>
            </w:r>
          </w:p>
        </w:tc>
      </w:tr>
      <w:tr w14:paraId="398B6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805" w:type="dxa"/>
            <w:tcBorders>
              <w:bottom w:val="single" w:color="auto" w:sz="4" w:space="0"/>
            </w:tcBorders>
            <w:vAlign w:val="center"/>
          </w:tcPr>
          <w:p w14:paraId="03712B20">
            <w:pPr>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450" w:type="dxa"/>
            <w:tcBorders>
              <w:bottom w:val="single" w:color="auto" w:sz="4" w:space="0"/>
            </w:tcBorders>
            <w:vAlign w:val="center"/>
          </w:tcPr>
          <w:p w14:paraId="6544B483">
            <w:pPr>
              <w:spacing w:line="360" w:lineRule="auto"/>
              <w:rPr>
                <w:rFonts w:hint="eastAsia" w:ascii="宋体" w:hAnsi="宋体" w:eastAsia="宋体" w:cs="宋体"/>
                <w:color w:val="auto"/>
                <w:sz w:val="24"/>
                <w:szCs w:val="28"/>
                <w:highlight w:val="none"/>
              </w:rPr>
            </w:pPr>
            <w:r>
              <w:rPr>
                <w:rFonts w:hint="eastAsia" w:ascii="宋体" w:hAnsi="宋体" w:eastAsia="宋体" w:cs="宋体"/>
                <w:color w:val="auto"/>
                <w:sz w:val="24"/>
                <w:highlight w:val="none"/>
              </w:rPr>
              <w:t>异常低价投标审查</w:t>
            </w:r>
          </w:p>
        </w:tc>
        <w:tc>
          <w:tcPr>
            <w:tcW w:w="4439" w:type="dxa"/>
            <w:tcBorders>
              <w:bottom w:val="single" w:color="auto" w:sz="4" w:space="0"/>
            </w:tcBorders>
            <w:vAlign w:val="center"/>
          </w:tcPr>
          <w:p w14:paraId="2B9A75F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（1）投标报价＜全部通过符合性审查投标人投标报价平均值×</w:t>
            </w:r>
            <w:r>
              <w:rPr>
                <w:rFonts w:hint="eastAsia" w:ascii="宋体" w:hAnsi="宋体" w:eastAsia="宋体" w:cs="宋体"/>
                <w:color w:val="auto"/>
                <w:sz w:val="24"/>
                <w:szCs w:val="24"/>
                <w:highlight w:val="none"/>
                <w:u w:val="single"/>
                <w:lang w:val="en-US" w:eastAsia="zh-CN"/>
              </w:rPr>
              <w:t>65</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14:paraId="388BFE3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（2）投标报价＜通过符合性审查的次低报价投标人投标报价×</w:t>
            </w:r>
            <w:r>
              <w:rPr>
                <w:rFonts w:hint="eastAsia" w:ascii="宋体" w:hAnsi="宋体" w:eastAsia="宋体" w:cs="宋体"/>
                <w:color w:val="auto"/>
                <w:sz w:val="24"/>
                <w:szCs w:val="24"/>
                <w:highlight w:val="none"/>
                <w:u w:val="single"/>
                <w:lang w:val="en-US" w:eastAsia="zh-CN"/>
              </w:rPr>
              <w:t>65</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14:paraId="6A29628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（3）投标报价＜采购项目最高限价（</w:t>
            </w:r>
            <w:r>
              <w:rPr>
                <w:rFonts w:hint="eastAsia" w:ascii="宋体" w:hAnsi="宋体" w:eastAsia="宋体" w:cs="宋体"/>
                <w:color w:val="auto"/>
                <w:sz w:val="24"/>
                <w:highlight w:val="none"/>
              </w:rPr>
              <w:t>如采购项目未设定最高限价的，以采购项目预算金额作为最高限价</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65%</w:t>
            </w:r>
            <w:r>
              <w:rPr>
                <w:rFonts w:hint="eastAsia" w:ascii="宋体" w:hAnsi="宋体" w:eastAsia="宋体" w:cs="宋体"/>
                <w:color w:val="auto"/>
                <w:sz w:val="24"/>
                <w:szCs w:val="24"/>
                <w:highlight w:val="none"/>
              </w:rPr>
              <w:t>；</w:t>
            </w:r>
          </w:p>
          <w:p w14:paraId="2AF026C8">
            <w:pPr>
              <w:pStyle w:val="7"/>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（4）评标委员会基于专业判断，认为投标人报价过低，有可能影响产品质量或者不能诚信履约的其他情形。</w:t>
            </w:r>
          </w:p>
          <w:p w14:paraId="23C179B8">
            <w:pPr>
              <w:pStyle w:val="7"/>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提醒：</w:t>
            </w:r>
          </w:p>
          <w:p w14:paraId="0B014BAB">
            <w:pPr>
              <w:pStyle w:val="7"/>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上述</w:t>
            </w:r>
            <w:r>
              <w:rPr>
                <w:rFonts w:hint="eastAsia" w:ascii="宋体" w:hAnsi="宋体" w:eastAsia="宋体"/>
                <w:color w:val="auto"/>
                <w:sz w:val="24"/>
                <w:highlight w:val="none"/>
              </w:rPr>
              <w:t>第（1）项数值计算：涉及总价、单价的精确到“分”并四舍五入，涉及费率的精确到小数点后两位，第三位四舍五入（例：如平均值为123.456元，即为123.46元；如平均值为80.126%，即为80.13%）。</w:t>
            </w:r>
          </w:p>
        </w:tc>
        <w:tc>
          <w:tcPr>
            <w:tcW w:w="2260" w:type="dxa"/>
            <w:vAlign w:val="center"/>
          </w:tcPr>
          <w:p w14:paraId="483833C3">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投标人在评审现场合理的时间内对投标价格作出解释，提供项目具体成本测算等与报价合理性相关的书面说明及必要的证明材料，包括但不限于原材料成本、人工成本、制造费用等。</w:t>
            </w:r>
          </w:p>
        </w:tc>
      </w:tr>
    </w:tbl>
    <w:p w14:paraId="4F028160">
      <w:pPr>
        <w:spacing w:line="360" w:lineRule="auto"/>
        <w:rPr>
          <w:rFonts w:hint="eastAsia" w:ascii="宋体" w:hAnsi="宋体" w:eastAsia="宋体" w:cs="Arial"/>
          <w:color w:val="auto"/>
          <w:sz w:val="24"/>
          <w:highlight w:val="none"/>
        </w:rPr>
      </w:pPr>
      <w:r>
        <w:rPr>
          <w:rFonts w:hint="eastAsia" w:ascii="宋体" w:hAnsi="宋体" w:eastAsia="宋体" w:cs="Times New Roman"/>
          <w:color w:val="auto"/>
          <w:sz w:val="24"/>
          <w:highlight w:val="none"/>
        </w:rPr>
        <w:t>注：</w:t>
      </w:r>
    </w:p>
    <w:p w14:paraId="7B457B81">
      <w:pPr>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根据《关于推进解决政府采购异常低价问题的通知》（财库〔</w:t>
      </w:r>
      <w:r>
        <w:rPr>
          <w:rFonts w:ascii="宋体" w:hAnsi="宋体" w:eastAsia="宋体"/>
          <w:color w:val="auto"/>
          <w:sz w:val="24"/>
          <w:highlight w:val="none"/>
        </w:rPr>
        <w:t>202</w:t>
      </w:r>
      <w:r>
        <w:rPr>
          <w:rFonts w:hint="eastAsia" w:ascii="宋体" w:hAnsi="宋体" w:eastAsia="宋体"/>
          <w:color w:val="auto"/>
          <w:sz w:val="24"/>
          <w:highlight w:val="none"/>
        </w:rPr>
        <w:t>6</w:t>
      </w: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号</w:t>
      </w:r>
      <w:r>
        <w:rPr>
          <w:rFonts w:hint="eastAsia" w:ascii="宋体" w:hAnsi="宋体" w:eastAsia="宋体"/>
          <w:color w:val="auto"/>
          <w:sz w:val="24"/>
          <w:highlight w:val="none"/>
        </w:rPr>
        <w:t>），采购人可以结合具体项目实际情况，提高上述</w:t>
      </w:r>
      <w:r>
        <w:rPr>
          <w:rFonts w:hint="eastAsia" w:ascii="宋体" w:hAnsi="宋体" w:eastAsia="宋体" w:cs="Times New Roman"/>
          <w:color w:val="auto"/>
          <w:sz w:val="24"/>
          <w:highlight w:val="none"/>
        </w:rPr>
        <w:t>评审标准</w:t>
      </w:r>
      <w:r>
        <w:rPr>
          <w:rFonts w:hint="eastAsia" w:ascii="宋体" w:hAnsi="宋体" w:eastAsia="宋体"/>
          <w:color w:val="auto"/>
          <w:sz w:val="24"/>
          <w:highlight w:val="none"/>
        </w:rPr>
        <w:t>第（1）项至第（3）项中的数值标准，但是最高不得超过65%。</w:t>
      </w:r>
    </w:p>
    <w:p w14:paraId="1A071BDD">
      <w:pPr>
        <w:spacing w:line="360" w:lineRule="auto"/>
        <w:ind w:firstLine="480" w:firstLineChars="200"/>
        <w:rPr>
          <w:rFonts w:hint="eastAsia" w:ascii="宋体" w:hAnsi="宋体" w:eastAsia="宋体" w:cs="Arial"/>
          <w:color w:val="auto"/>
          <w:sz w:val="24"/>
          <w:highlight w:val="none"/>
        </w:rPr>
      </w:pPr>
      <w:r>
        <w:rPr>
          <w:rFonts w:hint="eastAsia" w:ascii="宋体" w:hAnsi="宋体" w:eastAsia="宋体" w:cs="Arial"/>
          <w:color w:val="auto"/>
          <w:sz w:val="24"/>
          <w:highlight w:val="none"/>
        </w:rPr>
        <w:t>评标委员会启动异常低价投标审查后，属于评审标准中第（1）项至第（4）项情形的，应当要求相关投标人在评审现场合理的时间内（不少于30分钟）对投标价格作出解释，提供项目具体成本测算等与报价合理性相关的书面说明及必要的证明材料，包括但不限于原材料成本、人工成本、制造费用等。其中，属于第</w:t>
      </w:r>
      <w:r>
        <w:rPr>
          <w:rFonts w:hint="eastAsia" w:ascii="宋体" w:hAnsi="宋体" w:cs="Arial"/>
          <w:color w:val="auto"/>
          <w:sz w:val="24"/>
          <w:highlight w:val="none"/>
        </w:rPr>
        <w:t>（3）</w:t>
      </w:r>
      <w:r>
        <w:rPr>
          <w:rFonts w:hint="eastAsia" w:ascii="宋体" w:hAnsi="宋体" w:eastAsia="宋体" w:cs="Arial"/>
          <w:color w:val="auto"/>
          <w:sz w:val="24"/>
          <w:highlight w:val="none"/>
        </w:rPr>
        <w:t>项情形，投标人已随投标文件一并提交相关书面说明及必要的证明材料的，在评审现场可不再重复提交。</w:t>
      </w:r>
    </w:p>
    <w:p w14:paraId="1CABF238">
      <w:pPr>
        <w:pStyle w:val="7"/>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评标委员会依据专业经验，参考同类项目中标（成交）价格、类似产品市场价格水平、行业人工费用标准、国家有关部门指导行业协会发布的行业平均成本等情况，对报价合理性进行判断。投标人不能提供书面说明、证明材料，或者提供的书面说明、证明材料不能证明其报价合理性的，评标委员会应当将其作为</w:t>
      </w:r>
      <w:r>
        <w:rPr>
          <w:rFonts w:hint="eastAsia" w:ascii="宋体" w:hAnsi="宋体" w:eastAsia="宋体"/>
          <w:b/>
          <w:bCs/>
          <w:color w:val="auto"/>
          <w:sz w:val="24"/>
          <w:highlight w:val="none"/>
        </w:rPr>
        <w:t>无效投标</w:t>
      </w:r>
      <w:r>
        <w:rPr>
          <w:rFonts w:hint="eastAsia" w:ascii="宋体" w:hAnsi="宋体" w:eastAsia="宋体"/>
          <w:color w:val="auto"/>
          <w:sz w:val="24"/>
          <w:highlight w:val="none"/>
        </w:rPr>
        <w:t>处理。</w:t>
      </w:r>
    </w:p>
    <w:p w14:paraId="262C0784">
      <w:pPr>
        <w:pStyle w:val="7"/>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评标委员会借助互联网等渠道查询相关信息的，应当严格遵守评审工作纪律，不得实施影响评审公正的行为。异常低价响应审查的启动原因、审查意见和审查结果应当在评审报告中记录，并随投标人提供的相关书面说明及证明材料，以及评标委员会有关互联网浏览、查询历史一并归档。</w:t>
      </w:r>
    </w:p>
    <w:p w14:paraId="49D55E2D">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2.4详细审查</w:t>
      </w:r>
    </w:p>
    <w:p w14:paraId="285FBC7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评标委员会按照下表对投标文件进行详细审查和评分。</w:t>
      </w:r>
    </w:p>
    <w:p w14:paraId="784909A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本项目综合评分满分为1</w:t>
      </w:r>
      <w:r>
        <w:rPr>
          <w:rFonts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rPr>
        <w:t>分，其中：技术资信分值占总分值的权重为</w:t>
      </w:r>
      <w:r>
        <w:rPr>
          <w:rFonts w:hint="eastAsia" w:asciiTheme="minorEastAsia" w:hAnsiTheme="minorEastAsia" w:eastAsiaTheme="minorEastAsia"/>
          <w:color w:val="auto"/>
          <w:sz w:val="24"/>
          <w:highlight w:val="none"/>
          <w:u w:val="single"/>
        </w:rPr>
        <w:t>70</w:t>
      </w:r>
      <w:r>
        <w:rPr>
          <w:rFonts w:asciiTheme="minorEastAsia" w:hAnsiTheme="minorEastAsia" w:eastAsiaTheme="minorEastAsia"/>
          <w:color w:val="auto"/>
          <w:sz w:val="24"/>
          <w:highlight w:val="none"/>
        </w:rPr>
        <w:t>%，价格分值占总分值的权重为</w:t>
      </w:r>
      <w:r>
        <w:rPr>
          <w:rFonts w:hint="eastAsia" w:asciiTheme="minorEastAsia" w:hAnsiTheme="minorEastAsia" w:eastAsiaTheme="minorEastAsia"/>
          <w:color w:val="auto"/>
          <w:sz w:val="24"/>
          <w:highlight w:val="none"/>
          <w:u w:val="single"/>
        </w:rPr>
        <w:t>30</w:t>
      </w:r>
      <w:r>
        <w:rPr>
          <w:rFonts w:asciiTheme="minorEastAsia" w:hAnsiTheme="minorEastAsia" w:eastAsiaTheme="minorEastAsia"/>
          <w:color w:val="auto"/>
          <w:sz w:val="24"/>
          <w:highlight w:val="none"/>
        </w:rPr>
        <w:t>%。具体评分细则如下：</w:t>
      </w:r>
    </w:p>
    <w:tbl>
      <w:tblPr>
        <w:tblStyle w:val="23"/>
        <w:tblW w:w="50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3"/>
        <w:gridCol w:w="1874"/>
        <w:gridCol w:w="4691"/>
        <w:gridCol w:w="1258"/>
      </w:tblGrid>
      <w:tr w14:paraId="210EE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50" w:type="pct"/>
            <w:tcBorders>
              <w:top w:val="single" w:color="auto" w:sz="4" w:space="0"/>
              <w:left w:val="single" w:color="auto" w:sz="4" w:space="0"/>
              <w:bottom w:val="single" w:color="auto" w:sz="4" w:space="0"/>
              <w:right w:val="single" w:color="auto" w:sz="4" w:space="0"/>
            </w:tcBorders>
            <w:vAlign w:val="center"/>
          </w:tcPr>
          <w:p w14:paraId="3A893938">
            <w:pPr>
              <w:spacing w:line="360" w:lineRule="auto"/>
              <w:jc w:val="center"/>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类别</w:t>
            </w:r>
          </w:p>
        </w:tc>
        <w:tc>
          <w:tcPr>
            <w:tcW w:w="994" w:type="pct"/>
            <w:tcBorders>
              <w:top w:val="single" w:color="auto" w:sz="4" w:space="0"/>
              <w:left w:val="single" w:color="auto" w:sz="4" w:space="0"/>
              <w:bottom w:val="single" w:color="auto" w:sz="4" w:space="0"/>
              <w:right w:val="single" w:color="auto" w:sz="4" w:space="0"/>
            </w:tcBorders>
            <w:vAlign w:val="center"/>
          </w:tcPr>
          <w:p w14:paraId="14068F5B">
            <w:pPr>
              <w:spacing w:line="360" w:lineRule="auto"/>
              <w:jc w:val="center"/>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评分内容</w:t>
            </w:r>
          </w:p>
        </w:tc>
        <w:tc>
          <w:tcPr>
            <w:tcW w:w="2488" w:type="pct"/>
            <w:tcBorders>
              <w:top w:val="single" w:color="auto" w:sz="4" w:space="0"/>
              <w:left w:val="single" w:color="auto" w:sz="4" w:space="0"/>
              <w:bottom w:val="single" w:color="auto" w:sz="4" w:space="0"/>
              <w:right w:val="single" w:color="auto" w:sz="4" w:space="0"/>
            </w:tcBorders>
            <w:vAlign w:val="center"/>
          </w:tcPr>
          <w:p w14:paraId="2F9E0AE8">
            <w:pPr>
              <w:spacing w:line="360" w:lineRule="auto"/>
              <w:jc w:val="center"/>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评分标准</w:t>
            </w:r>
          </w:p>
        </w:tc>
        <w:tc>
          <w:tcPr>
            <w:tcW w:w="666" w:type="pct"/>
            <w:tcBorders>
              <w:top w:val="single" w:color="auto" w:sz="4" w:space="0"/>
              <w:left w:val="single" w:color="auto" w:sz="4" w:space="0"/>
              <w:bottom w:val="single" w:color="auto" w:sz="4" w:space="0"/>
              <w:right w:val="single" w:color="auto" w:sz="4" w:space="0"/>
            </w:tcBorders>
            <w:vAlign w:val="center"/>
          </w:tcPr>
          <w:p w14:paraId="204AEBE6">
            <w:pPr>
              <w:spacing w:line="360" w:lineRule="auto"/>
              <w:jc w:val="center"/>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分值范围</w:t>
            </w:r>
          </w:p>
        </w:tc>
      </w:tr>
      <w:tr w14:paraId="56156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9" w:hRule="atLeast"/>
          <w:jc w:val="center"/>
        </w:trPr>
        <w:tc>
          <w:tcPr>
            <w:tcW w:w="850" w:type="pct"/>
            <w:vMerge w:val="restart"/>
            <w:tcBorders>
              <w:top w:val="single" w:color="auto" w:sz="4" w:space="0"/>
              <w:left w:val="single" w:color="auto" w:sz="4" w:space="0"/>
              <w:right w:val="single" w:color="auto" w:sz="4" w:space="0"/>
            </w:tcBorders>
            <w:vAlign w:val="center"/>
          </w:tcPr>
          <w:p w14:paraId="5C7CD238">
            <w:pPr>
              <w:spacing w:line="360" w:lineRule="auto"/>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技术资信分</w:t>
            </w:r>
          </w:p>
          <w:p w14:paraId="127C554B">
            <w:pPr>
              <w:spacing w:line="360" w:lineRule="auto"/>
              <w:jc w:val="center"/>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70</w:t>
            </w:r>
            <w:r>
              <w:rPr>
                <w:rFonts w:hint="eastAsia" w:asciiTheme="minorEastAsia" w:hAnsiTheme="minorEastAsia" w:eastAsiaTheme="minorEastAsia"/>
                <w:color w:val="auto"/>
                <w:sz w:val="24"/>
                <w:highlight w:val="none"/>
              </w:rPr>
              <w:t>分）</w:t>
            </w:r>
          </w:p>
        </w:tc>
        <w:tc>
          <w:tcPr>
            <w:tcW w:w="994" w:type="pct"/>
            <w:tcBorders>
              <w:top w:val="single" w:color="auto" w:sz="4" w:space="0"/>
              <w:left w:val="single" w:color="auto" w:sz="4" w:space="0"/>
              <w:right w:val="single" w:color="auto" w:sz="4" w:space="0"/>
            </w:tcBorders>
            <w:vAlign w:val="center"/>
          </w:tcPr>
          <w:p w14:paraId="0BE8B62D">
            <w:pPr>
              <w:spacing w:line="360" w:lineRule="auto"/>
              <w:jc w:val="center"/>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投标人业绩</w:t>
            </w:r>
          </w:p>
        </w:tc>
        <w:tc>
          <w:tcPr>
            <w:tcW w:w="2488" w:type="pct"/>
            <w:tcBorders>
              <w:top w:val="single" w:color="auto" w:sz="4" w:space="0"/>
              <w:left w:val="single" w:color="auto" w:sz="4" w:space="0"/>
              <w:right w:val="single" w:color="auto" w:sz="4" w:space="0"/>
            </w:tcBorders>
            <w:vAlign w:val="center"/>
          </w:tcPr>
          <w:p w14:paraId="463D51A9">
            <w:pPr>
              <w:spacing w:line="360" w:lineRule="auto"/>
              <w:jc w:val="left"/>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自2021年1月1日以来(以合同签订时间为准)，投标人具有计算机机房建设（或改造）项目业绩的</w:t>
            </w:r>
            <w:r>
              <w:rPr>
                <w:rFonts w:hint="eastAsia" w:asciiTheme="minorEastAsia" w:hAnsiTheme="minorEastAsia" w:eastAsiaTheme="minorEastAsia"/>
                <w:bCs/>
                <w:color w:val="auto"/>
                <w:sz w:val="24"/>
                <w:highlight w:val="none"/>
                <w:lang w:eastAsia="zh-CN"/>
              </w:rPr>
              <w:t>（</w:t>
            </w:r>
            <w:r>
              <w:rPr>
                <w:rFonts w:hint="eastAsia" w:asciiTheme="minorEastAsia" w:hAnsiTheme="minorEastAsia" w:eastAsiaTheme="minorEastAsia"/>
                <w:bCs/>
                <w:color w:val="auto"/>
                <w:sz w:val="24"/>
                <w:highlight w:val="none"/>
                <w:lang w:val="en-US" w:eastAsia="zh-CN"/>
              </w:rPr>
              <w:t>合同内容至少包括计算机采购及安装</w:t>
            </w:r>
            <w:r>
              <w:rPr>
                <w:rFonts w:hint="eastAsia" w:asciiTheme="minorEastAsia" w:hAnsiTheme="minorEastAsia" w:eastAsiaTheme="minorEastAsia"/>
                <w:bCs/>
                <w:color w:val="auto"/>
                <w:sz w:val="24"/>
                <w:highlight w:val="none"/>
                <w:lang w:eastAsia="zh-CN"/>
              </w:rPr>
              <w:t>）</w:t>
            </w:r>
            <w:r>
              <w:rPr>
                <w:rFonts w:hint="eastAsia" w:asciiTheme="minorEastAsia" w:hAnsiTheme="minorEastAsia" w:eastAsiaTheme="minorEastAsia"/>
                <w:bCs/>
                <w:color w:val="auto"/>
                <w:sz w:val="24"/>
                <w:highlight w:val="none"/>
              </w:rPr>
              <w:t>，每提供一个业绩得2分，满分4分。</w:t>
            </w:r>
          </w:p>
          <w:p w14:paraId="5DCBEF53">
            <w:pPr>
              <w:spacing w:line="360" w:lineRule="auto"/>
              <w:jc w:val="left"/>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注：提供合同扫描件，业绩时间以合同签订时间为准，若以上证明材料无法体现项目内容等关键评审因素的，须同时提供业主（合同甲方）出具的证明材料扫描件。</w:t>
            </w:r>
          </w:p>
        </w:tc>
        <w:tc>
          <w:tcPr>
            <w:tcW w:w="666" w:type="pct"/>
            <w:tcBorders>
              <w:top w:val="single" w:color="auto" w:sz="4" w:space="0"/>
              <w:left w:val="single" w:color="auto" w:sz="4" w:space="0"/>
              <w:bottom w:val="single" w:color="auto" w:sz="4" w:space="0"/>
              <w:right w:val="single" w:color="auto" w:sz="4" w:space="0"/>
            </w:tcBorders>
            <w:vAlign w:val="center"/>
          </w:tcPr>
          <w:p w14:paraId="34053CF9">
            <w:pPr>
              <w:spacing w:line="360" w:lineRule="auto"/>
              <w:jc w:val="center"/>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0-4分</w:t>
            </w:r>
          </w:p>
        </w:tc>
      </w:tr>
      <w:tr w14:paraId="6D913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pct"/>
            <w:vMerge w:val="continue"/>
            <w:tcBorders>
              <w:left w:val="single" w:color="auto" w:sz="4" w:space="0"/>
              <w:right w:val="single" w:color="auto" w:sz="4" w:space="0"/>
            </w:tcBorders>
            <w:vAlign w:val="center"/>
          </w:tcPr>
          <w:p w14:paraId="7A1F55A4">
            <w:pPr>
              <w:spacing w:line="360" w:lineRule="auto"/>
              <w:ind w:firstLine="435"/>
              <w:jc w:val="center"/>
              <w:rPr>
                <w:rFonts w:hint="eastAsia" w:asciiTheme="minorEastAsia" w:hAnsiTheme="minorEastAsia" w:eastAsiaTheme="minorEastAsia"/>
                <w:b/>
                <w:bCs/>
                <w:color w:val="auto"/>
                <w:sz w:val="24"/>
                <w:highlight w:val="none"/>
              </w:rPr>
            </w:pPr>
          </w:p>
        </w:tc>
        <w:tc>
          <w:tcPr>
            <w:tcW w:w="994" w:type="pct"/>
            <w:tcBorders>
              <w:top w:val="single" w:color="auto" w:sz="4" w:space="0"/>
              <w:left w:val="single" w:color="auto" w:sz="4" w:space="0"/>
              <w:bottom w:val="single" w:color="auto" w:sz="4" w:space="0"/>
              <w:right w:val="single" w:color="auto" w:sz="4" w:space="0"/>
            </w:tcBorders>
            <w:vAlign w:val="center"/>
          </w:tcPr>
          <w:p w14:paraId="2594D885">
            <w:pPr>
              <w:spacing w:line="360" w:lineRule="auto"/>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产品技术参数</w:t>
            </w:r>
          </w:p>
        </w:tc>
        <w:tc>
          <w:tcPr>
            <w:tcW w:w="2488" w:type="pct"/>
            <w:tcBorders>
              <w:top w:val="single" w:color="auto" w:sz="4" w:space="0"/>
              <w:left w:val="single" w:color="auto" w:sz="4" w:space="0"/>
              <w:bottom w:val="single" w:color="auto" w:sz="4" w:space="0"/>
              <w:right w:val="single" w:color="auto" w:sz="4" w:space="0"/>
            </w:tcBorders>
            <w:vAlign w:val="center"/>
          </w:tcPr>
          <w:p w14:paraId="75F7C7F9">
            <w:pPr>
              <w:spacing w:line="360" w:lineRule="auto"/>
              <w:jc w:val="left"/>
              <w:rPr>
                <w:rFonts w:hint="eastAsia" w:ascii="宋体" w:hAnsi="宋体" w:eastAsia="宋体"/>
                <w:bCs/>
                <w:color w:val="auto"/>
                <w:sz w:val="24"/>
                <w:highlight w:val="none"/>
              </w:rPr>
            </w:pPr>
            <w:r>
              <w:rPr>
                <w:rFonts w:hint="eastAsia" w:ascii="宋体" w:hAnsi="宋体" w:eastAsia="宋体"/>
                <w:bCs/>
                <w:color w:val="auto"/>
                <w:sz w:val="24"/>
                <w:highlight w:val="none"/>
              </w:rPr>
              <w:t>所投产品完全满足或优于招标文件中“采购需求及技术参数要求”的，得46分；</w:t>
            </w:r>
          </w:p>
          <w:p w14:paraId="340BE3B8">
            <w:pPr>
              <w:pStyle w:val="79"/>
              <w:spacing w:line="440" w:lineRule="exact"/>
              <w:ind w:firstLine="0" w:firstLineChars="0"/>
              <w:jc w:val="left"/>
              <w:rPr>
                <w:rFonts w:hint="eastAsia" w:ascii="宋体" w:hAnsi="宋体" w:eastAsia="宋体" w:cs="@仿宋_GB2312"/>
                <w:bCs/>
                <w:color w:val="auto"/>
                <w:szCs w:val="20"/>
                <w:highlight w:val="none"/>
              </w:rPr>
            </w:pPr>
            <w:r>
              <w:rPr>
                <w:rFonts w:hint="eastAsia" w:ascii="宋体" w:hAnsi="宋体" w:eastAsia="宋体" w:cs="@仿宋_GB2312"/>
                <w:bCs/>
                <w:color w:val="auto"/>
                <w:szCs w:val="20"/>
                <w:highlight w:val="none"/>
              </w:rPr>
              <w:t>1、▲代表重要指标,每满足或优于一项指标得</w:t>
            </w:r>
            <w:r>
              <w:rPr>
                <w:rFonts w:hint="eastAsia" w:ascii="宋体" w:hAnsi="宋体" w:eastAsia="宋体" w:cs="@仿宋_GB2312"/>
                <w:bCs/>
                <w:color w:val="auto"/>
                <w:szCs w:val="20"/>
                <w:highlight w:val="none"/>
                <w:lang w:val="en-US" w:eastAsia="zh-CN"/>
              </w:rPr>
              <w:t>2</w:t>
            </w:r>
            <w:r>
              <w:rPr>
                <w:rFonts w:hint="eastAsia" w:ascii="宋体" w:hAnsi="宋体" w:eastAsia="宋体" w:cs="@仿宋_GB2312"/>
                <w:bCs/>
                <w:color w:val="auto"/>
                <w:szCs w:val="20"/>
                <w:highlight w:val="none"/>
              </w:rPr>
              <w:t>分，共</w:t>
            </w:r>
            <w:r>
              <w:rPr>
                <w:rFonts w:hint="eastAsia" w:ascii="宋体" w:hAnsi="宋体" w:eastAsia="宋体" w:cs="@仿宋_GB2312"/>
                <w:bCs/>
                <w:color w:val="auto"/>
                <w:szCs w:val="20"/>
                <w:highlight w:val="none"/>
                <w:lang w:val="en-US" w:eastAsia="zh-CN"/>
              </w:rPr>
              <w:t>23</w:t>
            </w:r>
            <w:r>
              <w:rPr>
                <w:rFonts w:hint="eastAsia" w:ascii="宋体" w:hAnsi="宋体" w:eastAsia="宋体" w:cs="@仿宋_GB2312"/>
                <w:bCs/>
                <w:color w:val="auto"/>
                <w:szCs w:val="20"/>
                <w:highlight w:val="none"/>
              </w:rPr>
              <w:t>项，共计46分；（以采购内容及技术参数要求中提供的证明材料作为评审依据）</w:t>
            </w:r>
          </w:p>
          <w:p w14:paraId="39930145">
            <w:pPr>
              <w:spacing w:line="360" w:lineRule="auto"/>
              <w:jc w:val="left"/>
              <w:rPr>
                <w:rFonts w:hint="eastAsia" w:ascii="宋体" w:hAnsi="宋体" w:eastAsia="宋体"/>
                <w:bCs/>
                <w:color w:val="auto"/>
                <w:sz w:val="24"/>
                <w:highlight w:val="none"/>
              </w:rPr>
            </w:pPr>
            <w:r>
              <w:rPr>
                <w:rFonts w:hint="eastAsia" w:ascii="宋体" w:hAnsi="宋体" w:eastAsia="宋体"/>
                <w:bCs/>
                <w:color w:val="auto"/>
                <w:sz w:val="24"/>
                <w:highlight w:val="none"/>
                <w:lang w:val="en-US" w:eastAsia="zh-CN"/>
              </w:rPr>
              <w:t>2</w:t>
            </w:r>
            <w:r>
              <w:rPr>
                <w:rFonts w:hint="eastAsia" w:ascii="宋体" w:hAnsi="宋体" w:eastAsia="宋体"/>
                <w:bCs/>
                <w:color w:val="auto"/>
                <w:sz w:val="24"/>
                <w:highlight w:val="none"/>
              </w:rPr>
              <w:t>、未标符号的为一般参数，投标文件中无需列明，但在合同签订后将作为履约验收的依据，</w:t>
            </w:r>
            <w:r>
              <w:rPr>
                <w:rFonts w:hint="eastAsia" w:ascii="宋体" w:hAnsi="宋体" w:eastAsia="宋体"/>
                <w:b/>
                <w:color w:val="auto"/>
                <w:sz w:val="24"/>
                <w:highlight w:val="none"/>
              </w:rPr>
              <w:t>投标人在投标文件中提供相关承诺函，承诺完全满足参数要求或逐条响应均可，承诺函格式自拟，否则投标无效。</w:t>
            </w:r>
          </w:p>
          <w:p w14:paraId="622CC535">
            <w:pPr>
              <w:spacing w:line="360" w:lineRule="auto"/>
              <w:jc w:val="left"/>
              <w:rPr>
                <w:rFonts w:hint="eastAsia" w:ascii="宋体" w:hAnsi="宋体" w:eastAsia="宋体"/>
                <w:bCs/>
                <w:color w:val="auto"/>
                <w:sz w:val="24"/>
                <w:highlight w:val="none"/>
              </w:rPr>
            </w:pPr>
            <w:r>
              <w:rPr>
                <w:rFonts w:hint="eastAsia" w:ascii="宋体" w:hAnsi="宋体" w:eastAsia="宋体"/>
                <w:bCs/>
                <w:color w:val="auto"/>
                <w:sz w:val="24"/>
                <w:highlight w:val="none"/>
              </w:rPr>
              <w:t>注：（1）如某项标识中包含多条技术参数或要求，则该项标识所含内容均需满足或优于招标文件要求，否则不予认可。</w:t>
            </w:r>
          </w:p>
          <w:p w14:paraId="58B0580E">
            <w:pPr>
              <w:spacing w:line="360" w:lineRule="auto"/>
              <w:jc w:val="left"/>
              <w:rPr>
                <w:rFonts w:hint="eastAsia" w:asciiTheme="minorEastAsia" w:hAnsiTheme="minorEastAsia" w:eastAsiaTheme="minorEastAsia"/>
                <w:color w:val="auto"/>
                <w:sz w:val="24"/>
                <w:highlight w:val="none"/>
              </w:rPr>
            </w:pPr>
            <w:r>
              <w:rPr>
                <w:rFonts w:hint="eastAsia" w:ascii="宋体" w:hAnsi="宋体" w:eastAsia="宋体"/>
                <w:bCs/>
                <w:color w:val="auto"/>
                <w:sz w:val="24"/>
                <w:highlight w:val="none"/>
              </w:rPr>
              <w:t>（2）本项内所有内容技术参数响应情况投标人须依据所投产品如实填写，若自填无偏离，供货时实际产品不响应或负偏离，采购人有权上报相关部门，按相关法律处理。</w:t>
            </w:r>
          </w:p>
        </w:tc>
        <w:tc>
          <w:tcPr>
            <w:tcW w:w="666" w:type="pct"/>
            <w:tcBorders>
              <w:top w:val="single" w:color="auto" w:sz="4" w:space="0"/>
              <w:left w:val="single" w:color="auto" w:sz="4" w:space="0"/>
              <w:bottom w:val="single" w:color="auto" w:sz="4" w:space="0"/>
              <w:right w:val="single" w:color="auto" w:sz="4" w:space="0"/>
            </w:tcBorders>
            <w:vAlign w:val="center"/>
          </w:tcPr>
          <w:p w14:paraId="717D62A7">
            <w:pPr>
              <w:spacing w:line="360" w:lineRule="auto"/>
              <w:jc w:val="center"/>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0-46分</w:t>
            </w:r>
          </w:p>
        </w:tc>
      </w:tr>
      <w:tr w14:paraId="74F69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pct"/>
            <w:vMerge w:val="continue"/>
            <w:tcBorders>
              <w:left w:val="single" w:color="auto" w:sz="4" w:space="0"/>
              <w:right w:val="single" w:color="auto" w:sz="4" w:space="0"/>
            </w:tcBorders>
            <w:vAlign w:val="center"/>
          </w:tcPr>
          <w:p w14:paraId="4B1993BD">
            <w:pPr>
              <w:spacing w:line="360" w:lineRule="auto"/>
              <w:ind w:firstLine="435"/>
              <w:jc w:val="center"/>
              <w:rPr>
                <w:rFonts w:hint="eastAsia" w:asciiTheme="minorEastAsia" w:hAnsiTheme="minorEastAsia" w:eastAsiaTheme="minorEastAsia"/>
                <w:b/>
                <w:bCs/>
                <w:color w:val="auto"/>
                <w:sz w:val="24"/>
                <w:highlight w:val="none"/>
              </w:rPr>
            </w:pPr>
          </w:p>
        </w:tc>
        <w:tc>
          <w:tcPr>
            <w:tcW w:w="994" w:type="pct"/>
            <w:tcBorders>
              <w:top w:val="single" w:color="auto" w:sz="4" w:space="0"/>
              <w:left w:val="single" w:color="auto" w:sz="4" w:space="0"/>
              <w:bottom w:val="single" w:color="auto" w:sz="4" w:space="0"/>
              <w:right w:val="single" w:color="auto" w:sz="4" w:space="0"/>
            </w:tcBorders>
            <w:vAlign w:val="center"/>
          </w:tcPr>
          <w:p w14:paraId="65E868BD">
            <w:pPr>
              <w:spacing w:line="360" w:lineRule="auto"/>
              <w:jc w:val="center"/>
              <w:rPr>
                <w:rFonts w:hint="eastAsia" w:asciiTheme="minorEastAsia" w:hAnsiTheme="minorEastAsia" w:eastAsiaTheme="minorEastAsia"/>
                <w:color w:val="auto"/>
                <w:sz w:val="24"/>
                <w:highlight w:val="none"/>
              </w:rPr>
            </w:pPr>
            <w:r>
              <w:rPr>
                <w:rFonts w:hint="eastAsia" w:ascii="宋体" w:hAnsi="宋体" w:eastAsia="宋体"/>
                <w:bCs/>
                <w:color w:val="auto"/>
                <w:sz w:val="24"/>
                <w:highlight w:val="none"/>
              </w:rPr>
              <w:t>项目实施方案</w:t>
            </w:r>
          </w:p>
        </w:tc>
        <w:tc>
          <w:tcPr>
            <w:tcW w:w="2488" w:type="pct"/>
            <w:tcBorders>
              <w:top w:val="single" w:color="auto" w:sz="4" w:space="0"/>
              <w:left w:val="single" w:color="auto" w:sz="4" w:space="0"/>
              <w:bottom w:val="single" w:color="auto" w:sz="4" w:space="0"/>
              <w:right w:val="single" w:color="auto" w:sz="4" w:space="0"/>
            </w:tcBorders>
          </w:tcPr>
          <w:p w14:paraId="52CF2316">
            <w:pPr>
              <w:spacing w:line="360" w:lineRule="auto"/>
              <w:jc w:val="left"/>
              <w:rPr>
                <w:rFonts w:hint="eastAsia" w:ascii="宋体" w:hAnsi="宋体" w:eastAsia="宋体"/>
                <w:bCs/>
                <w:color w:val="auto"/>
                <w:sz w:val="24"/>
                <w:highlight w:val="none"/>
              </w:rPr>
            </w:pPr>
            <w:r>
              <w:rPr>
                <w:rFonts w:hint="eastAsia" w:ascii="宋体" w:hAnsi="宋体" w:eastAsia="宋体"/>
                <w:bCs/>
                <w:color w:val="auto"/>
                <w:sz w:val="24"/>
                <w:highlight w:val="none"/>
              </w:rPr>
              <w:t>投标人根据项目具体情况制定实施方案，包括供货安装人员配置及技术措施、验收方案、施工进度计划、质量安全保障措施、协同配合方案等：</w:t>
            </w:r>
            <w:r>
              <w:rPr>
                <w:rFonts w:hint="default" w:ascii="宋体" w:hAnsi="宋体" w:eastAsia="宋体"/>
                <w:bCs/>
                <w:color w:val="auto"/>
                <w:sz w:val="24"/>
                <w:highlight w:val="none"/>
              </w:rPr>
              <w:br w:type="textWrapping"/>
            </w:r>
            <w:r>
              <w:rPr>
                <w:rFonts w:hint="default" w:ascii="宋体" w:hAnsi="宋体" w:eastAsia="宋体"/>
                <w:bCs/>
                <w:color w:val="auto"/>
                <w:sz w:val="24"/>
                <w:highlight w:val="none"/>
              </w:rPr>
              <w:t>①实施方案内容详实，各环节衔接紧凑，对机房改造项目的重点难点有深入分析，人员配置合理且职责明确，施工技术措施针对性强，进度安排合理紧凑，质量安全保障体系完整且具有可操作性，验收方案具体明确，协同配合方案周全细致，能够有效指导项目全流程实施，得5分；</w:t>
            </w:r>
            <w:r>
              <w:rPr>
                <w:rFonts w:hint="default" w:ascii="宋体" w:hAnsi="宋体" w:eastAsia="宋体"/>
                <w:bCs/>
                <w:color w:val="auto"/>
                <w:sz w:val="24"/>
                <w:highlight w:val="none"/>
              </w:rPr>
              <w:br w:type="textWrapping"/>
            </w:r>
            <w:r>
              <w:rPr>
                <w:rFonts w:hint="default" w:ascii="宋体" w:hAnsi="宋体" w:eastAsia="宋体"/>
                <w:bCs/>
                <w:color w:val="auto"/>
                <w:sz w:val="24"/>
                <w:highlight w:val="none"/>
              </w:rPr>
              <w:t>②实施方案内容完整，对主要环节有相应安排，人员配置和施工措施能够满足项目实施需要，进度、质量、安全、验收、协同等方面均有相应部署，</w:t>
            </w:r>
            <w:r>
              <w:rPr>
                <w:rFonts w:hint="eastAsia" w:ascii="宋体" w:hAnsi="宋体" w:eastAsia="宋体"/>
                <w:bCs/>
                <w:color w:val="auto"/>
                <w:sz w:val="24"/>
                <w:highlight w:val="none"/>
                <w:lang w:val="en-US" w:eastAsia="zh-CN"/>
              </w:rPr>
              <w:t>满足项目需求</w:t>
            </w:r>
            <w:r>
              <w:rPr>
                <w:rFonts w:hint="default" w:ascii="宋体" w:hAnsi="宋体" w:eastAsia="宋体"/>
                <w:bCs/>
                <w:color w:val="auto"/>
                <w:sz w:val="24"/>
                <w:highlight w:val="none"/>
              </w:rPr>
              <w:t>，得4分；</w:t>
            </w:r>
            <w:r>
              <w:rPr>
                <w:rFonts w:hint="default" w:ascii="宋体" w:hAnsi="宋体" w:eastAsia="宋体"/>
                <w:bCs/>
                <w:color w:val="auto"/>
                <w:sz w:val="24"/>
                <w:highlight w:val="none"/>
              </w:rPr>
              <w:br w:type="textWrapping"/>
            </w:r>
            <w:r>
              <w:rPr>
                <w:rFonts w:hint="default" w:ascii="宋体" w:hAnsi="宋体" w:eastAsia="宋体"/>
                <w:bCs/>
                <w:color w:val="auto"/>
                <w:sz w:val="24"/>
                <w:highlight w:val="none"/>
              </w:rPr>
              <w:t>③实施方案涵盖了项目实施所需的各项内容，但各部分均为概括性描述，</w:t>
            </w:r>
            <w:r>
              <w:rPr>
                <w:rFonts w:hint="eastAsia" w:ascii="宋体" w:hAnsi="宋体" w:eastAsia="宋体"/>
                <w:bCs/>
                <w:color w:val="auto"/>
                <w:sz w:val="24"/>
                <w:highlight w:val="none"/>
                <w:lang w:val="en-US" w:eastAsia="zh-CN"/>
              </w:rPr>
              <w:t>有待进一步完善</w:t>
            </w:r>
            <w:r>
              <w:rPr>
                <w:rFonts w:hint="default" w:ascii="宋体" w:hAnsi="宋体" w:eastAsia="宋体"/>
                <w:bCs/>
                <w:color w:val="auto"/>
                <w:sz w:val="24"/>
                <w:highlight w:val="none"/>
              </w:rPr>
              <w:t>，得3分；</w:t>
            </w:r>
          </w:p>
          <w:p w14:paraId="13CBC4DC">
            <w:pPr>
              <w:spacing w:line="360" w:lineRule="auto"/>
              <w:jc w:val="left"/>
              <w:rPr>
                <w:rFonts w:hint="eastAsia" w:asciiTheme="minorEastAsia" w:hAnsiTheme="minorEastAsia" w:eastAsiaTheme="minorEastAsia"/>
                <w:color w:val="auto"/>
                <w:sz w:val="24"/>
                <w:highlight w:val="none"/>
              </w:rPr>
            </w:pPr>
            <w:r>
              <w:rPr>
                <w:rFonts w:hint="eastAsia" w:ascii="宋体" w:hAnsi="宋体" w:eastAsia="宋体"/>
                <w:bCs/>
                <w:color w:val="auto"/>
                <w:sz w:val="24"/>
                <w:highlight w:val="none"/>
              </w:rPr>
              <w:t>④未提供的不得分。</w:t>
            </w:r>
          </w:p>
        </w:tc>
        <w:tc>
          <w:tcPr>
            <w:tcW w:w="666" w:type="pct"/>
            <w:tcBorders>
              <w:top w:val="single" w:color="auto" w:sz="4" w:space="0"/>
              <w:left w:val="single" w:color="auto" w:sz="4" w:space="0"/>
              <w:bottom w:val="single" w:color="auto" w:sz="4" w:space="0"/>
              <w:right w:val="single" w:color="auto" w:sz="4" w:space="0"/>
            </w:tcBorders>
            <w:vAlign w:val="center"/>
          </w:tcPr>
          <w:p w14:paraId="234B9436">
            <w:pPr>
              <w:spacing w:line="360" w:lineRule="auto"/>
              <w:jc w:val="center"/>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0-5分</w:t>
            </w:r>
          </w:p>
        </w:tc>
      </w:tr>
      <w:tr w14:paraId="26419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850" w:type="pct"/>
            <w:vMerge w:val="continue"/>
            <w:tcBorders>
              <w:left w:val="single" w:color="auto" w:sz="4" w:space="0"/>
              <w:right w:val="single" w:color="auto" w:sz="4" w:space="0"/>
            </w:tcBorders>
            <w:vAlign w:val="center"/>
          </w:tcPr>
          <w:p w14:paraId="418050C9">
            <w:pPr>
              <w:spacing w:line="360" w:lineRule="auto"/>
              <w:ind w:firstLine="435"/>
              <w:jc w:val="center"/>
              <w:rPr>
                <w:rFonts w:hint="eastAsia" w:asciiTheme="minorEastAsia" w:hAnsiTheme="minorEastAsia" w:eastAsiaTheme="minorEastAsia"/>
                <w:b/>
                <w:bCs/>
                <w:color w:val="auto"/>
                <w:sz w:val="24"/>
                <w:highlight w:val="none"/>
              </w:rPr>
            </w:pPr>
          </w:p>
        </w:tc>
        <w:tc>
          <w:tcPr>
            <w:tcW w:w="994" w:type="pct"/>
            <w:tcBorders>
              <w:top w:val="single" w:color="auto" w:sz="4" w:space="0"/>
              <w:left w:val="single" w:color="auto" w:sz="4" w:space="0"/>
              <w:right w:val="single" w:color="auto" w:sz="4" w:space="0"/>
            </w:tcBorders>
            <w:vAlign w:val="center"/>
          </w:tcPr>
          <w:p w14:paraId="0A70C3DE">
            <w:pPr>
              <w:spacing w:line="360" w:lineRule="auto"/>
              <w:jc w:val="center"/>
              <w:rPr>
                <w:rFonts w:hint="eastAsia" w:asciiTheme="minorEastAsia" w:hAnsiTheme="minorEastAsia" w:eastAsiaTheme="minorEastAsia"/>
                <w:color w:val="auto"/>
                <w:sz w:val="24"/>
                <w:highlight w:val="none"/>
              </w:rPr>
            </w:pPr>
            <w:r>
              <w:rPr>
                <w:rFonts w:hint="eastAsia" w:ascii="宋体" w:hAnsi="宋体" w:eastAsia="宋体"/>
                <w:bCs/>
                <w:color w:val="auto"/>
                <w:sz w:val="24"/>
                <w:highlight w:val="none"/>
              </w:rPr>
              <w:t>培训方案</w:t>
            </w:r>
          </w:p>
        </w:tc>
        <w:tc>
          <w:tcPr>
            <w:tcW w:w="2488" w:type="pct"/>
            <w:tcBorders>
              <w:top w:val="single" w:color="auto" w:sz="4" w:space="0"/>
              <w:left w:val="single" w:color="auto" w:sz="4" w:space="0"/>
              <w:right w:val="single" w:color="auto" w:sz="4" w:space="0"/>
            </w:tcBorders>
          </w:tcPr>
          <w:p w14:paraId="6B1CED92">
            <w:pPr>
              <w:spacing w:line="360" w:lineRule="auto"/>
              <w:jc w:val="left"/>
              <w:rPr>
                <w:rFonts w:hint="eastAsia" w:asciiTheme="minorEastAsia" w:hAnsiTheme="minorEastAsia" w:eastAsiaTheme="minorEastAsia"/>
                <w:color w:val="auto"/>
                <w:sz w:val="24"/>
                <w:highlight w:val="none"/>
              </w:rPr>
            </w:pPr>
            <w:r>
              <w:rPr>
                <w:rFonts w:hint="eastAsia" w:ascii="宋体" w:hAnsi="宋体" w:eastAsia="宋体"/>
                <w:bCs/>
                <w:color w:val="auto"/>
                <w:sz w:val="24"/>
                <w:highlight w:val="none"/>
              </w:rPr>
              <w:t>投标人针对采购人操作人员提供的培训方案，包括培训目标、内容设置、时间安排、人员配置、培训方式及考核评估等：</w:t>
            </w:r>
            <w:r>
              <w:rPr>
                <w:rFonts w:hint="eastAsia" w:ascii="宋体" w:hAnsi="宋体" w:eastAsia="宋体"/>
                <w:bCs/>
                <w:color w:val="auto"/>
                <w:sz w:val="24"/>
                <w:highlight w:val="none"/>
              </w:rPr>
              <w:br w:type="textWrapping"/>
            </w:r>
            <w:r>
              <w:rPr>
                <w:rFonts w:hint="eastAsia" w:ascii="宋体" w:hAnsi="宋体" w:eastAsia="宋体"/>
                <w:bCs/>
                <w:color w:val="auto"/>
                <w:sz w:val="24"/>
                <w:highlight w:val="none"/>
              </w:rPr>
              <w:t>①培训目标明确，培训内容紧密结合本项目设备的操作与日常维护，理论讲解与实操演练搭配得当，能够确保操作人员独立上岗，得5分；</w:t>
            </w:r>
            <w:r>
              <w:rPr>
                <w:rFonts w:hint="eastAsia" w:ascii="宋体" w:hAnsi="宋体" w:eastAsia="宋体"/>
                <w:bCs/>
                <w:color w:val="auto"/>
                <w:sz w:val="24"/>
                <w:highlight w:val="none"/>
              </w:rPr>
              <w:br w:type="textWrapping"/>
            </w:r>
            <w:r>
              <w:rPr>
                <w:rFonts w:hint="eastAsia" w:ascii="宋体" w:hAnsi="宋体" w:eastAsia="宋体"/>
                <w:bCs/>
                <w:color w:val="auto"/>
                <w:sz w:val="24"/>
                <w:highlight w:val="none"/>
              </w:rPr>
              <w:t>②培训内容完整，时间、人员、方式等要素齐全，能够满足操作人员掌握设备使用的基本需求，得4分；</w:t>
            </w:r>
            <w:r>
              <w:rPr>
                <w:rFonts w:hint="eastAsia" w:ascii="宋体" w:hAnsi="宋体" w:eastAsia="宋体"/>
                <w:bCs/>
                <w:color w:val="auto"/>
                <w:sz w:val="24"/>
                <w:highlight w:val="none"/>
              </w:rPr>
              <w:br w:type="textWrapping"/>
            </w:r>
            <w:r>
              <w:rPr>
                <w:rFonts w:hint="eastAsia" w:ascii="宋体" w:hAnsi="宋体" w:eastAsia="宋体"/>
                <w:bCs/>
                <w:color w:val="auto"/>
                <w:sz w:val="24"/>
                <w:highlight w:val="none"/>
              </w:rPr>
              <w:t>③培训方案涵盖了培训的基本要素，但部分环节（如考核标准、实操安排）的细化程度尚有不足，得3分；</w:t>
            </w:r>
            <w:r>
              <w:rPr>
                <w:rFonts w:hint="eastAsia" w:ascii="宋体" w:hAnsi="宋体" w:eastAsia="宋体"/>
                <w:bCs/>
                <w:color w:val="auto"/>
                <w:sz w:val="24"/>
                <w:highlight w:val="none"/>
              </w:rPr>
              <w:br w:type="textWrapping"/>
            </w:r>
            <w:r>
              <w:rPr>
                <w:rFonts w:hint="eastAsia" w:ascii="宋体" w:hAnsi="宋体" w:eastAsia="宋体"/>
                <w:bCs/>
                <w:color w:val="auto"/>
                <w:sz w:val="24"/>
                <w:highlight w:val="none"/>
              </w:rPr>
              <w:t xml:space="preserve">④未提供的不得分。 </w:t>
            </w:r>
          </w:p>
        </w:tc>
        <w:tc>
          <w:tcPr>
            <w:tcW w:w="666" w:type="pct"/>
            <w:tcBorders>
              <w:top w:val="single" w:color="auto" w:sz="4" w:space="0"/>
              <w:left w:val="single" w:color="auto" w:sz="4" w:space="0"/>
              <w:bottom w:val="single" w:color="auto" w:sz="4" w:space="0"/>
              <w:right w:val="single" w:color="auto" w:sz="4" w:space="0"/>
            </w:tcBorders>
            <w:vAlign w:val="center"/>
          </w:tcPr>
          <w:p w14:paraId="7ADB3E7E">
            <w:pPr>
              <w:spacing w:line="360" w:lineRule="auto"/>
              <w:jc w:val="center"/>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0-5分</w:t>
            </w:r>
          </w:p>
        </w:tc>
      </w:tr>
      <w:tr w14:paraId="7354E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850" w:type="pct"/>
            <w:vMerge w:val="continue"/>
            <w:tcBorders>
              <w:left w:val="single" w:color="auto" w:sz="4" w:space="0"/>
              <w:right w:val="single" w:color="auto" w:sz="4" w:space="0"/>
            </w:tcBorders>
            <w:vAlign w:val="center"/>
          </w:tcPr>
          <w:p w14:paraId="375E0F32">
            <w:pPr>
              <w:spacing w:line="360" w:lineRule="auto"/>
              <w:ind w:firstLine="435"/>
              <w:jc w:val="center"/>
              <w:rPr>
                <w:rFonts w:hint="eastAsia" w:asciiTheme="minorEastAsia" w:hAnsiTheme="minorEastAsia" w:eastAsiaTheme="minorEastAsia"/>
                <w:b/>
                <w:bCs/>
                <w:color w:val="auto"/>
                <w:sz w:val="24"/>
                <w:highlight w:val="none"/>
              </w:rPr>
            </w:pPr>
          </w:p>
        </w:tc>
        <w:tc>
          <w:tcPr>
            <w:tcW w:w="994" w:type="pct"/>
            <w:tcBorders>
              <w:top w:val="single" w:color="auto" w:sz="4" w:space="0"/>
              <w:left w:val="single" w:color="auto" w:sz="4" w:space="0"/>
              <w:right w:val="single" w:color="auto" w:sz="4" w:space="0"/>
            </w:tcBorders>
            <w:vAlign w:val="center"/>
          </w:tcPr>
          <w:p w14:paraId="55B0A1B1">
            <w:pPr>
              <w:spacing w:line="360" w:lineRule="auto"/>
              <w:jc w:val="center"/>
              <w:rPr>
                <w:rFonts w:hint="eastAsia" w:ascii="宋体" w:hAnsi="宋体" w:eastAsia="宋体"/>
                <w:bCs/>
                <w:color w:val="auto"/>
                <w:sz w:val="24"/>
                <w:highlight w:val="none"/>
              </w:rPr>
            </w:pPr>
            <w:r>
              <w:rPr>
                <w:rFonts w:hint="eastAsia" w:ascii="宋体" w:hAnsi="宋体" w:eastAsia="宋体"/>
                <w:bCs/>
                <w:color w:val="auto"/>
                <w:sz w:val="24"/>
                <w:highlight w:val="none"/>
              </w:rPr>
              <w:t>应急响应方案</w:t>
            </w:r>
          </w:p>
        </w:tc>
        <w:tc>
          <w:tcPr>
            <w:tcW w:w="2488" w:type="pct"/>
            <w:tcBorders>
              <w:top w:val="single" w:color="auto" w:sz="4" w:space="0"/>
              <w:left w:val="single" w:color="auto" w:sz="4" w:space="0"/>
              <w:right w:val="single" w:color="auto" w:sz="4" w:space="0"/>
            </w:tcBorders>
            <w:vAlign w:val="center"/>
          </w:tcPr>
          <w:p w14:paraId="065BE1C3">
            <w:pPr>
              <w:spacing w:line="360" w:lineRule="auto"/>
              <w:jc w:val="left"/>
              <w:rPr>
                <w:rFonts w:hint="eastAsia" w:ascii="宋体" w:hAnsi="宋体" w:eastAsia="宋体"/>
                <w:bCs/>
                <w:color w:val="auto"/>
                <w:sz w:val="24"/>
                <w:highlight w:val="none"/>
              </w:rPr>
            </w:pPr>
            <w:r>
              <w:rPr>
                <w:rFonts w:hint="eastAsia" w:ascii="宋体" w:hAnsi="宋体" w:eastAsia="宋体"/>
                <w:bCs/>
                <w:color w:val="auto"/>
                <w:sz w:val="24"/>
                <w:highlight w:val="none"/>
              </w:rPr>
              <w:t>根据投标人针对本项目实施过程中可能发生的突发情况（包括但不限于货物到货异常、施工过程故障、施工人员因素、施工条件变化、天气状况等）制定的应急处理措施和处理能力进行综合评审：</w:t>
            </w:r>
          </w:p>
          <w:p w14:paraId="78A4A780">
            <w:pPr>
              <w:spacing w:line="360" w:lineRule="auto"/>
              <w:jc w:val="left"/>
              <w:rPr>
                <w:rFonts w:hint="eastAsia" w:ascii="宋体" w:hAnsi="宋体" w:eastAsia="宋体"/>
                <w:bCs/>
                <w:color w:val="auto"/>
                <w:sz w:val="24"/>
                <w:highlight w:val="none"/>
              </w:rPr>
            </w:pPr>
            <w:r>
              <w:rPr>
                <w:rFonts w:hint="eastAsia" w:ascii="宋体" w:hAnsi="宋体" w:eastAsia="宋体"/>
                <w:bCs/>
                <w:color w:val="auto"/>
                <w:sz w:val="24"/>
                <w:highlight w:val="none"/>
              </w:rPr>
              <w:t>①方案对各类突发情况均有深入分析和预判，应急处理措施详尽具体、切实可行，处置流程清晰，责任分工明确，备选方案充分，完全能够保障项目按计划推进的得5分；</w:t>
            </w:r>
          </w:p>
          <w:p w14:paraId="6DE52F52">
            <w:pPr>
              <w:spacing w:line="360" w:lineRule="auto"/>
              <w:jc w:val="left"/>
              <w:rPr>
                <w:rFonts w:hint="eastAsia" w:ascii="宋体" w:hAnsi="宋体" w:eastAsia="宋体"/>
                <w:bCs/>
                <w:color w:val="auto"/>
                <w:sz w:val="24"/>
                <w:highlight w:val="none"/>
              </w:rPr>
            </w:pPr>
            <w:r>
              <w:rPr>
                <w:rFonts w:hint="eastAsia" w:ascii="宋体" w:hAnsi="宋体" w:eastAsia="宋体"/>
                <w:bCs/>
                <w:color w:val="auto"/>
                <w:sz w:val="24"/>
                <w:highlight w:val="none"/>
              </w:rPr>
              <w:t>②方案对主要突发情况有分析和预判，应急处理措施全面、表述清晰，有具体的处置流程和责任人，有相应的备选方案，能够满足项目应急需求的得4分；</w:t>
            </w:r>
          </w:p>
          <w:p w14:paraId="215FACF5">
            <w:pPr>
              <w:spacing w:line="360" w:lineRule="auto"/>
              <w:jc w:val="left"/>
              <w:rPr>
                <w:rFonts w:hint="eastAsia" w:ascii="宋体" w:hAnsi="宋体" w:eastAsia="宋体"/>
                <w:bCs/>
                <w:color w:val="auto"/>
                <w:sz w:val="24"/>
                <w:highlight w:val="none"/>
              </w:rPr>
            </w:pPr>
            <w:r>
              <w:rPr>
                <w:rFonts w:hint="eastAsia" w:ascii="宋体" w:hAnsi="宋体" w:eastAsia="宋体"/>
                <w:bCs/>
                <w:color w:val="auto"/>
                <w:sz w:val="24"/>
                <w:highlight w:val="none"/>
              </w:rPr>
              <w:t>③方案覆盖了突发情况的基本类型，但应急措施均为原则性表述，缺少具体的操作步骤和责任落实，得3分；</w:t>
            </w:r>
          </w:p>
          <w:p w14:paraId="0E14EC60">
            <w:pPr>
              <w:spacing w:line="360" w:lineRule="auto"/>
              <w:jc w:val="left"/>
              <w:rPr>
                <w:rFonts w:hint="eastAsia" w:ascii="宋体" w:hAnsi="宋体" w:eastAsia="宋体"/>
                <w:bCs/>
                <w:color w:val="auto"/>
                <w:sz w:val="24"/>
                <w:highlight w:val="none"/>
              </w:rPr>
            </w:pPr>
            <w:r>
              <w:rPr>
                <w:rFonts w:hint="eastAsia" w:ascii="宋体" w:hAnsi="宋体" w:eastAsia="宋体"/>
                <w:bCs/>
                <w:color w:val="auto"/>
                <w:sz w:val="24"/>
                <w:highlight w:val="none"/>
              </w:rPr>
              <w:t xml:space="preserve">④未提供的不得分。 </w:t>
            </w:r>
          </w:p>
        </w:tc>
        <w:tc>
          <w:tcPr>
            <w:tcW w:w="666" w:type="pct"/>
            <w:tcBorders>
              <w:top w:val="single" w:color="auto" w:sz="4" w:space="0"/>
              <w:left w:val="single" w:color="auto" w:sz="4" w:space="0"/>
              <w:bottom w:val="single" w:color="auto" w:sz="4" w:space="0"/>
              <w:right w:val="single" w:color="auto" w:sz="4" w:space="0"/>
            </w:tcBorders>
            <w:vAlign w:val="center"/>
          </w:tcPr>
          <w:p w14:paraId="4AA46430">
            <w:pPr>
              <w:widowControl/>
              <w:jc w:val="center"/>
              <w:textAlignment w:val="center"/>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0-5分</w:t>
            </w:r>
          </w:p>
        </w:tc>
      </w:tr>
      <w:tr w14:paraId="0BBD8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850" w:type="pct"/>
            <w:vMerge w:val="continue"/>
            <w:tcBorders>
              <w:left w:val="single" w:color="auto" w:sz="4" w:space="0"/>
              <w:right w:val="single" w:color="auto" w:sz="4" w:space="0"/>
            </w:tcBorders>
            <w:vAlign w:val="center"/>
          </w:tcPr>
          <w:p w14:paraId="4B9213E1">
            <w:pPr>
              <w:spacing w:line="360" w:lineRule="auto"/>
              <w:ind w:firstLine="435"/>
              <w:jc w:val="center"/>
              <w:rPr>
                <w:rFonts w:hint="eastAsia" w:asciiTheme="minorEastAsia" w:hAnsiTheme="minorEastAsia" w:eastAsiaTheme="minorEastAsia"/>
                <w:b/>
                <w:bCs/>
                <w:color w:val="auto"/>
                <w:sz w:val="24"/>
                <w:highlight w:val="none"/>
              </w:rPr>
            </w:pPr>
          </w:p>
        </w:tc>
        <w:tc>
          <w:tcPr>
            <w:tcW w:w="994" w:type="pct"/>
            <w:tcBorders>
              <w:top w:val="single" w:color="auto" w:sz="4" w:space="0"/>
              <w:left w:val="single" w:color="auto" w:sz="4" w:space="0"/>
              <w:right w:val="single" w:color="auto" w:sz="4" w:space="0"/>
            </w:tcBorders>
            <w:vAlign w:val="center"/>
          </w:tcPr>
          <w:p w14:paraId="42D1E837">
            <w:pPr>
              <w:spacing w:line="360" w:lineRule="auto"/>
              <w:jc w:val="center"/>
              <w:rPr>
                <w:rFonts w:hint="eastAsia" w:ascii="宋体" w:hAnsi="宋体" w:eastAsia="宋体"/>
                <w:bCs/>
                <w:color w:val="auto"/>
                <w:sz w:val="24"/>
                <w:highlight w:val="none"/>
              </w:rPr>
            </w:pPr>
            <w:r>
              <w:rPr>
                <w:rFonts w:hint="eastAsia" w:ascii="宋体" w:hAnsi="宋体" w:eastAsia="宋体"/>
                <w:bCs/>
                <w:color w:val="auto"/>
                <w:sz w:val="24"/>
                <w:highlight w:val="none"/>
              </w:rPr>
              <w:t>售后服务方案</w:t>
            </w:r>
          </w:p>
        </w:tc>
        <w:tc>
          <w:tcPr>
            <w:tcW w:w="2488" w:type="pct"/>
            <w:tcBorders>
              <w:top w:val="single" w:color="auto" w:sz="4" w:space="0"/>
              <w:left w:val="single" w:color="auto" w:sz="4" w:space="0"/>
              <w:right w:val="single" w:color="auto" w:sz="4" w:space="0"/>
            </w:tcBorders>
            <w:vAlign w:val="center"/>
          </w:tcPr>
          <w:p w14:paraId="3125E0ED">
            <w:pPr>
              <w:spacing w:line="360" w:lineRule="auto"/>
              <w:jc w:val="left"/>
              <w:rPr>
                <w:rFonts w:hint="eastAsia" w:ascii="宋体" w:hAnsi="宋体" w:eastAsia="宋体"/>
                <w:bCs/>
                <w:color w:val="auto"/>
                <w:sz w:val="24"/>
                <w:highlight w:val="none"/>
              </w:rPr>
            </w:pPr>
            <w:r>
              <w:rPr>
                <w:rFonts w:hint="eastAsia" w:ascii="宋体" w:hAnsi="宋体" w:eastAsia="宋体"/>
                <w:bCs/>
                <w:color w:val="auto"/>
                <w:sz w:val="24"/>
                <w:highlight w:val="none"/>
              </w:rPr>
              <w:t>根据投标人提供的售后服务管理制度、保障措施、服务体系、服务内容、自查频率、维修响应时效等情况进行综合评审：</w:t>
            </w:r>
          </w:p>
          <w:p w14:paraId="79220A9C">
            <w:pPr>
              <w:spacing w:line="360" w:lineRule="auto"/>
              <w:jc w:val="left"/>
              <w:rPr>
                <w:rFonts w:hint="eastAsia" w:ascii="宋体" w:hAnsi="宋体" w:eastAsia="宋体"/>
                <w:bCs/>
                <w:color w:val="auto"/>
                <w:sz w:val="24"/>
                <w:highlight w:val="none"/>
              </w:rPr>
            </w:pPr>
            <w:r>
              <w:rPr>
                <w:rFonts w:hint="eastAsia" w:ascii="宋体" w:hAnsi="宋体" w:eastAsia="宋体"/>
                <w:bCs/>
                <w:color w:val="auto"/>
                <w:sz w:val="24"/>
                <w:highlight w:val="none"/>
              </w:rPr>
              <w:t>①售后服务方案切合本项目实际，保障措施具体得力，服务内容全面完整（包括安装调试指导、故障维修、定期巡检、远程技术支持、备件供应等），维修响应时效优于招标文件要求，有明确的自查频率和备品备件保障方案，措施切实可行的得5分；</w:t>
            </w:r>
          </w:p>
          <w:p w14:paraId="774AF704">
            <w:pPr>
              <w:spacing w:line="360" w:lineRule="auto"/>
              <w:jc w:val="left"/>
              <w:rPr>
                <w:rFonts w:hint="eastAsia" w:ascii="宋体" w:hAnsi="宋体" w:eastAsia="宋体"/>
                <w:bCs/>
                <w:color w:val="auto"/>
                <w:sz w:val="24"/>
                <w:highlight w:val="none"/>
              </w:rPr>
            </w:pPr>
            <w:r>
              <w:rPr>
                <w:rFonts w:hint="eastAsia" w:ascii="宋体" w:hAnsi="宋体" w:eastAsia="宋体"/>
                <w:bCs/>
                <w:color w:val="auto"/>
                <w:sz w:val="24"/>
                <w:highlight w:val="none"/>
              </w:rPr>
              <w:t>②售后服务方案</w:t>
            </w:r>
            <w:bookmarkStart w:id="154" w:name="_GoBack"/>
            <w:bookmarkEnd w:id="154"/>
            <w:r>
              <w:rPr>
                <w:rFonts w:hint="eastAsia" w:ascii="宋体" w:hAnsi="宋体" w:eastAsia="宋体"/>
                <w:bCs/>
                <w:color w:val="auto"/>
                <w:sz w:val="24"/>
                <w:highlight w:val="none"/>
              </w:rPr>
              <w:t>符合项目实际，保障措施合理，服务内容完整，维修响应时效满足招标文件要求，有自查频率和备品备件保障方案，方案表述清晰、能够满足项目售后需求的得4分；</w:t>
            </w:r>
          </w:p>
          <w:p w14:paraId="1E67CCEB">
            <w:pPr>
              <w:spacing w:line="360" w:lineRule="auto"/>
              <w:jc w:val="left"/>
              <w:rPr>
                <w:rFonts w:hint="eastAsia" w:ascii="宋体" w:hAnsi="宋体" w:eastAsia="宋体"/>
                <w:bCs/>
                <w:color w:val="auto"/>
                <w:sz w:val="24"/>
                <w:highlight w:val="none"/>
              </w:rPr>
            </w:pPr>
            <w:r>
              <w:rPr>
                <w:rFonts w:hint="eastAsia" w:ascii="宋体" w:hAnsi="宋体" w:eastAsia="宋体"/>
                <w:bCs/>
                <w:color w:val="auto"/>
                <w:sz w:val="24"/>
                <w:highlight w:val="none"/>
              </w:rPr>
              <w:t>③售后服务方案内容简单，有保障措施和维修响应承诺，但方案未充分结合本项目实训机房设备特点，或自查频率、备件保障等内容缺失的得3分；</w:t>
            </w:r>
          </w:p>
          <w:p w14:paraId="6E8F7F0D">
            <w:pPr>
              <w:spacing w:line="360" w:lineRule="auto"/>
              <w:jc w:val="left"/>
              <w:rPr>
                <w:rFonts w:hint="eastAsia" w:ascii="宋体" w:hAnsi="宋体" w:eastAsia="宋体"/>
                <w:bCs/>
                <w:color w:val="auto"/>
                <w:sz w:val="24"/>
                <w:highlight w:val="none"/>
              </w:rPr>
            </w:pPr>
            <w:r>
              <w:rPr>
                <w:rFonts w:hint="eastAsia" w:ascii="宋体" w:hAnsi="宋体" w:eastAsia="宋体"/>
                <w:bCs/>
                <w:color w:val="auto"/>
                <w:sz w:val="24"/>
                <w:highlight w:val="none"/>
              </w:rPr>
              <w:t xml:space="preserve">④未提供的不得分。 </w:t>
            </w:r>
          </w:p>
        </w:tc>
        <w:tc>
          <w:tcPr>
            <w:tcW w:w="666" w:type="pct"/>
            <w:tcBorders>
              <w:top w:val="single" w:color="auto" w:sz="4" w:space="0"/>
              <w:left w:val="single" w:color="auto" w:sz="4" w:space="0"/>
              <w:bottom w:val="single" w:color="auto" w:sz="4" w:space="0"/>
              <w:right w:val="single" w:color="auto" w:sz="4" w:space="0"/>
            </w:tcBorders>
            <w:vAlign w:val="center"/>
          </w:tcPr>
          <w:p w14:paraId="21DC332B">
            <w:pPr>
              <w:widowControl/>
              <w:jc w:val="center"/>
              <w:textAlignment w:val="center"/>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0-5分</w:t>
            </w:r>
          </w:p>
        </w:tc>
      </w:tr>
      <w:tr w14:paraId="5FA14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pct"/>
            <w:tcBorders>
              <w:left w:val="single" w:color="auto" w:sz="4" w:space="0"/>
              <w:right w:val="single" w:color="auto" w:sz="4" w:space="0"/>
            </w:tcBorders>
            <w:vAlign w:val="center"/>
          </w:tcPr>
          <w:p w14:paraId="4DFF79FC">
            <w:pPr>
              <w:spacing w:line="360" w:lineRule="auto"/>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价格分</w:t>
            </w:r>
          </w:p>
          <w:p w14:paraId="462C62B4">
            <w:pPr>
              <w:spacing w:line="360" w:lineRule="auto"/>
              <w:jc w:val="center"/>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30</w:t>
            </w:r>
            <w:r>
              <w:rPr>
                <w:rFonts w:hint="eastAsia" w:asciiTheme="minorEastAsia" w:hAnsiTheme="minorEastAsia" w:eastAsiaTheme="minorEastAsia"/>
                <w:color w:val="auto"/>
                <w:sz w:val="24"/>
                <w:highlight w:val="none"/>
              </w:rPr>
              <w:t>分）</w:t>
            </w:r>
          </w:p>
        </w:tc>
        <w:tc>
          <w:tcPr>
            <w:tcW w:w="4149" w:type="pct"/>
            <w:gridSpan w:val="3"/>
            <w:tcBorders>
              <w:top w:val="single" w:color="auto" w:sz="4" w:space="0"/>
              <w:left w:val="single" w:color="auto" w:sz="4" w:space="0"/>
              <w:bottom w:val="single" w:color="auto" w:sz="4" w:space="0"/>
              <w:right w:val="single" w:color="auto" w:sz="4" w:space="0"/>
            </w:tcBorders>
            <w:vAlign w:val="center"/>
          </w:tcPr>
          <w:p w14:paraId="12E83CD3">
            <w:pPr>
              <w:spacing w:line="360" w:lineRule="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价格分统一采用低价优先法，即满足招标文件要求且投标价格最低的投标报价为评标基准价，其价格分为满分</w:t>
            </w:r>
            <w:r>
              <w:rPr>
                <w:rFonts w:hint="eastAsia" w:asciiTheme="minorEastAsia" w:hAnsiTheme="minorEastAsia" w:eastAsiaTheme="minorEastAsia"/>
                <w:color w:val="auto"/>
                <w:sz w:val="24"/>
                <w:highlight w:val="none"/>
                <w:u w:val="single"/>
              </w:rPr>
              <w:t xml:space="preserve"> 30 </w:t>
            </w:r>
            <w:r>
              <w:rPr>
                <w:rFonts w:hint="eastAsia" w:asciiTheme="minorEastAsia" w:hAnsiTheme="minorEastAsia" w:eastAsiaTheme="minorEastAsia"/>
                <w:color w:val="auto"/>
                <w:sz w:val="24"/>
                <w:highlight w:val="none"/>
              </w:rPr>
              <w:t>分。其他投标人的价格分统一按照下列公式计算：</w:t>
            </w:r>
          </w:p>
          <w:p w14:paraId="6399CD59">
            <w:pPr>
              <w:spacing w:line="360" w:lineRule="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投标报价得分＝（评标基准价/投标报价）×</w:t>
            </w:r>
            <w:r>
              <w:rPr>
                <w:rFonts w:hint="eastAsia" w:asciiTheme="minorEastAsia" w:hAnsiTheme="minorEastAsia" w:eastAsiaTheme="minorEastAsia"/>
                <w:color w:val="auto"/>
                <w:sz w:val="24"/>
                <w:highlight w:val="none"/>
                <w:u w:val="single"/>
              </w:rPr>
              <w:t xml:space="preserve"> 30 </w:t>
            </w:r>
            <w:r>
              <w:rPr>
                <w:rFonts w:hint="eastAsia" w:asciiTheme="minorEastAsia" w:hAnsiTheme="minorEastAsia" w:eastAsiaTheme="minorEastAsia"/>
                <w:color w:val="auto"/>
                <w:sz w:val="24"/>
                <w:highlight w:val="none"/>
              </w:rPr>
              <w:t>％×100</w:t>
            </w:r>
          </w:p>
          <w:p w14:paraId="345F2985">
            <w:pPr>
              <w:spacing w:line="360" w:lineRule="auto"/>
              <w:rPr>
                <w:rFonts w:hint="eastAsia" w:asciiTheme="minorEastAsia" w:hAnsiTheme="minorEastAsia" w:eastAsiaTheme="minorEastAsia"/>
                <w:color w:val="auto"/>
                <w:sz w:val="24"/>
                <w:highlight w:val="none"/>
              </w:rPr>
            </w:pPr>
            <w:r>
              <w:rPr>
                <w:rFonts w:hint="eastAsia" w:ascii="宋体" w:hAnsi="宋体" w:eastAsia="宋体" w:cs="宋体"/>
                <w:b/>
                <w:bCs w:val="0"/>
                <w:color w:val="auto"/>
                <w:kern w:val="0"/>
                <w:sz w:val="24"/>
                <w:szCs w:val="24"/>
                <w:highlight w:val="none"/>
                <w:lang w:val="en-US" w:eastAsia="zh-CN" w:bidi="ar-SA"/>
              </w:rPr>
              <w:t>注:上述价格如有前附表规定的扣除，则按扣除后价格参与评审。</w:t>
            </w:r>
          </w:p>
        </w:tc>
      </w:tr>
    </w:tbl>
    <w:p w14:paraId="128AA9E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分值汇总</w:t>
      </w:r>
    </w:p>
    <w:p w14:paraId="22AEEC2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评标委员会各成员应当独立对每个</w:t>
      </w:r>
      <w:r>
        <w:rPr>
          <w:rFonts w:hint="eastAsia" w:asciiTheme="minorEastAsia" w:hAnsiTheme="minorEastAsia" w:eastAsiaTheme="minorEastAsia"/>
          <w:color w:val="auto"/>
          <w:sz w:val="24"/>
          <w:highlight w:val="none"/>
        </w:rPr>
        <w:t>有效</w:t>
      </w:r>
      <w:r>
        <w:rPr>
          <w:rFonts w:asciiTheme="minorEastAsia" w:hAnsiTheme="minorEastAsia" w:eastAsiaTheme="minorEastAsia"/>
          <w:color w:val="auto"/>
          <w:sz w:val="24"/>
          <w:highlight w:val="none"/>
        </w:rPr>
        <w:t>投标人的投标文件进行评</w:t>
      </w:r>
      <w:r>
        <w:rPr>
          <w:rFonts w:hint="eastAsia" w:asciiTheme="minorEastAsia" w:hAnsiTheme="minorEastAsia" w:eastAsiaTheme="minorEastAsia"/>
          <w:color w:val="auto"/>
          <w:sz w:val="24"/>
          <w:highlight w:val="none"/>
        </w:rPr>
        <w:t>分</w:t>
      </w:r>
      <w:r>
        <w:rPr>
          <w:rFonts w:asciiTheme="minorEastAsia" w:hAnsiTheme="minorEastAsia" w:eastAsiaTheme="minorEastAsia"/>
          <w:color w:val="auto"/>
          <w:sz w:val="24"/>
          <w:highlight w:val="none"/>
        </w:rPr>
        <w:t>，并汇总每个投</w:t>
      </w:r>
      <w:r>
        <w:rPr>
          <w:rFonts w:hint="eastAsia" w:asciiTheme="minorEastAsia" w:hAnsiTheme="minorEastAsia" w:eastAsiaTheme="minorEastAsia"/>
          <w:color w:val="auto"/>
          <w:sz w:val="24"/>
          <w:highlight w:val="none"/>
        </w:rPr>
        <w:t>标人的得分。取各位评委评分之平均值，四舍五入保留至小数点后两位数，</w:t>
      </w:r>
      <w:r>
        <w:rPr>
          <w:rFonts w:asciiTheme="minorEastAsia" w:hAnsiTheme="minorEastAsia" w:eastAsiaTheme="minorEastAsia"/>
          <w:color w:val="auto"/>
          <w:sz w:val="24"/>
          <w:highlight w:val="none"/>
        </w:rPr>
        <w:t>得到该投标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的技术资信分</w:t>
      </w:r>
      <w:r>
        <w:rPr>
          <w:rFonts w:hint="eastAsia" w:asciiTheme="minorEastAsia" w:hAnsiTheme="minorEastAsia" w:eastAsiaTheme="minorEastAsia"/>
          <w:color w:val="auto"/>
          <w:sz w:val="24"/>
          <w:highlight w:val="none"/>
        </w:rPr>
        <w:t>。</w:t>
      </w:r>
    </w:p>
    <w:p w14:paraId="1805370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将投标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的技术资信分加上根据上述标准计算出的价格分，即为该投标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的综合总得分。</w:t>
      </w:r>
    </w:p>
    <w:p w14:paraId="0F97346E">
      <w:pPr>
        <w:wordWrap w:val="0"/>
        <w:spacing w:line="360" w:lineRule="auto"/>
        <w:ind w:firstLine="435"/>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三、无效投标条款</w:t>
      </w:r>
    </w:p>
    <w:p w14:paraId="6D82E28B">
      <w:pPr>
        <w:wordWrap w:val="0"/>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3.1投标文件有下列情形之一的,其投标文件拒收:</w:t>
      </w:r>
    </w:p>
    <w:p w14:paraId="428AA856">
      <w:pPr>
        <w:wordWrap w:val="0"/>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 未在开标截止时间前通过网上招标投标系统递交有效电子投标文件的，开标系统不予接收，投标将被拒绝。</w:t>
      </w:r>
    </w:p>
    <w:p w14:paraId="09EB84EE">
      <w:pPr>
        <w:wordWrap w:val="0"/>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投标企业接到远程解密指令后，须在规定时间内解密。因投标人自身原因导致投标文件在规定时间内未能解密、解密失败或解密超时，投标文件无效；解密时间：从本项目解密程序开始时计时，至完成投标文件解密时间，不得超过60分钟，否则投标文件将被拒绝。</w:t>
      </w:r>
    </w:p>
    <w:p w14:paraId="76C1C5CE">
      <w:pPr>
        <w:wordWrap w:val="0"/>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3.2投标人有下列情形之一的,资格审查后其投标作无效投标处理：</w:t>
      </w:r>
    </w:p>
    <w:p w14:paraId="70D5B7C8">
      <w:pPr>
        <w:wordWrap w:val="0"/>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(1)投标人为本项目提供招标代理服务的；</w:t>
      </w:r>
    </w:p>
    <w:p w14:paraId="0E815B0A">
      <w:pPr>
        <w:wordWrap w:val="0"/>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(2)投标人与在本项目代理机构存在相互任职或工作的；</w:t>
      </w:r>
    </w:p>
    <w:p w14:paraId="3E83AD0C">
      <w:pPr>
        <w:wordWrap w:val="0"/>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(3)招标公告写明专门面向中小企业采购，投标人提供的货物非中小企业制造的；</w:t>
      </w:r>
    </w:p>
    <w:p w14:paraId="4AA34013">
      <w:pPr>
        <w:wordWrap w:val="0"/>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(4)要求供应商以联合体形式参加采购活动，投标人非联合体或者联合协议中中小企业合同金额未达到应当达到的比例；</w:t>
      </w:r>
    </w:p>
    <w:p w14:paraId="580006A2">
      <w:pPr>
        <w:wordWrap w:val="0"/>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(5)要求获得采购合同的供应商向中小企业分包，投标人未提供分包意向协议或者分包意向协议中中小企业合同金额未达到应当达到的比例；</w:t>
      </w:r>
    </w:p>
    <w:p w14:paraId="36427F0A">
      <w:pPr>
        <w:wordWrap w:val="0"/>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(6)评标专家无法查看并检验电子投标文件中相关资料的；</w:t>
      </w:r>
    </w:p>
    <w:p w14:paraId="5C2ACCB5">
      <w:pPr>
        <w:wordWrap w:val="0"/>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(7)联合体投标未提交联合体协议的；</w:t>
      </w:r>
    </w:p>
    <w:p w14:paraId="6EE0D183">
      <w:pPr>
        <w:wordWrap w:val="0"/>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(8)责令停产停业的；</w:t>
      </w:r>
    </w:p>
    <w:p w14:paraId="3F55B16C">
      <w:pPr>
        <w:wordWrap w:val="0"/>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(9)暂停或者取消参与政府采购项目资格的；</w:t>
      </w:r>
    </w:p>
    <w:p w14:paraId="5809673E">
      <w:pPr>
        <w:wordWrap w:val="0"/>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(10)投标人单位负责人为同一人或者存在（直接）控股、管理关系的不同单位的；</w:t>
      </w:r>
    </w:p>
    <w:p w14:paraId="3CB3058A">
      <w:pPr>
        <w:wordWrap w:val="0"/>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(11)投标人基本资格条件和特定资格条件中有一项及以上不符合要求的；</w:t>
      </w:r>
    </w:p>
    <w:p w14:paraId="40113D1B">
      <w:pPr>
        <w:wordWrap w:val="0"/>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开标时查询投标文件制作机器码、文件创建标识码及造价软件加密锁号。若存在投标文件制作机器码或创建标识码或造价软件加密锁号信息与其他投标人雷同的，投标无效、进行信用信息披露，行政监管部门将依据线索依法查处；</w:t>
      </w:r>
    </w:p>
    <w:p w14:paraId="053004E0">
      <w:pPr>
        <w:wordWrap w:val="0"/>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(13)其它情形，经评标委员会提出按无效投标处理，并经公共资源交易监督部门核准的；</w:t>
      </w:r>
    </w:p>
    <w:p w14:paraId="429BDB97">
      <w:pPr>
        <w:wordWrap w:val="0"/>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(14)投标人投标MAC地址或投标人联系人或联系电话相同的，由评标委员会否决其投标，并报告监管部门作不良行为处理和进一步调查；</w:t>
      </w:r>
    </w:p>
    <w:p w14:paraId="3E3DB7A0">
      <w:pPr>
        <w:wordWrap w:val="0"/>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(15)投标人单方面出现其他投标人材料的；</w:t>
      </w:r>
    </w:p>
    <w:p w14:paraId="66803C8B">
      <w:pPr>
        <w:wordWrap w:val="0"/>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(16)招标公告未写明允许采购进口产品，投标人所投产品为进口产品的；</w:t>
      </w:r>
    </w:p>
    <w:p w14:paraId="72BFF172">
      <w:pPr>
        <w:wordWrap w:val="0"/>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(17)招标文件规定的其它无效投标情形。</w:t>
      </w:r>
    </w:p>
    <w:p w14:paraId="2ECC637D">
      <w:pPr>
        <w:wordWrap w:val="0"/>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3.3 投标人有下列情形之一的,符合性审查后其投标按无效投标处理：</w:t>
      </w:r>
    </w:p>
    <w:p w14:paraId="144FE8D7">
      <w:pPr>
        <w:wordWrap w:val="0"/>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(1)投标文件签字、盖章不全，经评标委员会一致认定对开评标内容有实质性影响并经公共资源交易监督部门核准的；</w:t>
      </w:r>
    </w:p>
    <w:p w14:paraId="1EAD0444">
      <w:pPr>
        <w:wordWrap w:val="0"/>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(2)未按规定的格式填写导致实质性内容不全以及实质上不响应，或者关键字迹模糊、无法辨认；经公共资源交易监督部门核准的；</w:t>
      </w:r>
    </w:p>
    <w:p w14:paraId="5E44BB37">
      <w:pPr>
        <w:wordWrap w:val="0"/>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(3)同一投标人提交两个以上不同的投标文件或者投标报价，但招标文件规定提交备选方案的除外；</w:t>
      </w:r>
    </w:p>
    <w:p w14:paraId="5690F484">
      <w:pPr>
        <w:wordWrap w:val="0"/>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(4)投标文件没有对招标文件的实质性要求和条件作出响应;</w:t>
      </w:r>
    </w:p>
    <w:p w14:paraId="43E1C3D9">
      <w:pPr>
        <w:wordWrap w:val="0"/>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(5)投标报价超出规定的投标限价或公布的采购预算的或投标人的投标报价各项单价高于招标文件给定的单价最高限价；</w:t>
      </w:r>
    </w:p>
    <w:p w14:paraId="3992EB6D">
      <w:pPr>
        <w:wordWrap w:val="0"/>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(6)不按评标委员会要求澄清、说明或补正的，或者评标委员会根据招标文件的规定对投标文件的计算错误进行修正后，投标人不接受修正的投标报价的。</w:t>
      </w:r>
    </w:p>
    <w:p w14:paraId="58726E47">
      <w:pPr>
        <w:wordWrap w:val="0"/>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(7)其它情形，经评标委员会提出按无效投标处理，并经公共资源交易监督部门核准的；</w:t>
      </w:r>
    </w:p>
    <w:p w14:paraId="2F501490">
      <w:pPr>
        <w:wordWrap w:val="0"/>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(8)投标文件含有采购人不能接受的附加条件的；</w:t>
      </w:r>
    </w:p>
    <w:p w14:paraId="1482DBB6">
      <w:pPr>
        <w:wordWrap w:val="0"/>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(9)招标文件规定的其它无效投标情形。</w:t>
      </w:r>
    </w:p>
    <w:p w14:paraId="40739752">
      <w:pPr>
        <w:wordWrap w:val="0"/>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3.4 投标人有下列情形之一的, 详细评审后其投标按无效投标处理：</w:t>
      </w:r>
    </w:p>
    <w:p w14:paraId="6A32C748">
      <w:pPr>
        <w:wordWrap w:val="0"/>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(1)投标产品不符合必须强制执行的国家标准的；</w:t>
      </w:r>
    </w:p>
    <w:p w14:paraId="01D94437">
      <w:pPr>
        <w:wordWrap w:val="0"/>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(2)投标人有串通投标、弄虚作假、行贿等违法行为；</w:t>
      </w:r>
    </w:p>
    <w:p w14:paraId="6FB5A0AF">
      <w:pPr>
        <w:wordWrap w:val="0"/>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(3)投标文件含有违反国家法律、法规的内容，或附有采购人不能接受的条件的；</w:t>
      </w:r>
    </w:p>
    <w:p w14:paraId="74D3FC22">
      <w:pPr>
        <w:wordWrap w:val="0"/>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(4)报价明显低于其他投标人，且不能证明报价合理性的投标无效；</w:t>
      </w:r>
    </w:p>
    <w:p w14:paraId="35A301C9">
      <w:pPr>
        <w:wordWrap w:val="0"/>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(5)拒不确认评标委员会评审修正的投标无效；</w:t>
      </w:r>
    </w:p>
    <w:p w14:paraId="5A8D692A">
      <w:pPr>
        <w:wordWrap w:val="0"/>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(6)其它情形，经评标委员会提出按无效投标处理，并经公共资源交易监督部门核准的；</w:t>
      </w:r>
    </w:p>
    <w:p w14:paraId="0CDC5CCA">
      <w:pPr>
        <w:wordWrap w:val="0"/>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(7)招标文件规定的其它无效投标情形。</w:t>
      </w:r>
    </w:p>
    <w:p w14:paraId="307BE695">
      <w:pPr>
        <w:wordWrap w:val="0"/>
        <w:spacing w:line="360" w:lineRule="auto"/>
        <w:ind w:firstLine="435"/>
        <w:rPr>
          <w:rFonts w:hint="eastAsia" w:asciiTheme="minorEastAsia" w:hAnsiTheme="minorEastAsia" w:eastAsiaTheme="minorEastAsia"/>
          <w:color w:val="auto"/>
          <w:sz w:val="24"/>
          <w:highlight w:val="none"/>
        </w:rPr>
      </w:pPr>
    </w:p>
    <w:p w14:paraId="641BF9D6">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4DD94BDF">
      <w:pPr>
        <w:spacing w:line="360" w:lineRule="auto"/>
        <w:jc w:val="center"/>
        <w:outlineLvl w:val="0"/>
        <w:rPr>
          <w:rFonts w:hint="eastAsia" w:asciiTheme="minorEastAsia" w:hAnsiTheme="minorEastAsia" w:eastAsiaTheme="minorEastAsia"/>
          <w:b/>
          <w:color w:val="auto"/>
          <w:sz w:val="28"/>
          <w:highlight w:val="none"/>
        </w:rPr>
      </w:pPr>
      <w:bookmarkStart w:id="47" w:name="_Toc4682"/>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政府采购合同</w:t>
      </w:r>
      <w:bookmarkEnd w:id="47"/>
    </w:p>
    <w:p w14:paraId="481E7F4D">
      <w:pPr>
        <w:pStyle w:val="8"/>
        <w:spacing w:after="0" w:line="360" w:lineRule="auto"/>
        <w:rPr>
          <w:rFonts w:hint="eastAsia" w:ascii="宋体" w:hAnsi="宋体" w:eastAsia="宋体" w:cs="宋体"/>
          <w:b/>
          <w:bCs/>
          <w:color w:val="auto"/>
          <w:spacing w:val="-20"/>
          <w:kern w:val="44"/>
          <w:sz w:val="24"/>
          <w:highlight w:val="none"/>
        </w:rPr>
      </w:pPr>
    </w:p>
    <w:p w14:paraId="6C024A07">
      <w:pPr>
        <w:pStyle w:val="8"/>
        <w:spacing w:after="0" w:line="360" w:lineRule="auto"/>
        <w:jc w:val="center"/>
        <w:rPr>
          <w:rFonts w:hint="eastAsia" w:ascii="宋体" w:hAnsi="宋体" w:eastAsia="宋体" w:cs="宋体"/>
          <w:b/>
          <w:bCs/>
          <w:color w:val="auto"/>
          <w:spacing w:val="-20"/>
          <w:kern w:val="44"/>
          <w:sz w:val="24"/>
          <w:highlight w:val="none"/>
        </w:rPr>
      </w:pPr>
    </w:p>
    <w:p w14:paraId="1948CBD0">
      <w:pPr>
        <w:pStyle w:val="8"/>
        <w:spacing w:after="0" w:line="360" w:lineRule="auto"/>
        <w:jc w:val="center"/>
        <w:rPr>
          <w:rFonts w:hint="eastAsia" w:ascii="宋体" w:hAnsi="宋体" w:eastAsia="宋体" w:cs="宋体"/>
          <w:b/>
          <w:bCs/>
          <w:color w:val="auto"/>
          <w:spacing w:val="-20"/>
          <w:kern w:val="44"/>
          <w:sz w:val="24"/>
          <w:highlight w:val="none"/>
        </w:rPr>
      </w:pPr>
    </w:p>
    <w:p w14:paraId="2C82C013">
      <w:pPr>
        <w:pStyle w:val="8"/>
        <w:spacing w:after="0" w:line="360" w:lineRule="auto"/>
        <w:jc w:val="center"/>
        <w:rPr>
          <w:rFonts w:hint="eastAsia" w:ascii="宋体" w:hAnsi="宋体" w:eastAsia="宋体" w:cs="宋体"/>
          <w:b/>
          <w:bCs/>
          <w:color w:val="auto"/>
          <w:spacing w:val="-20"/>
          <w:kern w:val="44"/>
          <w:sz w:val="24"/>
          <w:highlight w:val="none"/>
        </w:rPr>
      </w:pPr>
    </w:p>
    <w:p w14:paraId="6E3DD6F2">
      <w:pPr>
        <w:spacing w:line="360" w:lineRule="auto"/>
        <w:rPr>
          <w:rFonts w:hint="eastAsia" w:ascii="宋体" w:hAnsi="宋体" w:eastAsia="宋体" w:cs="宋体"/>
          <w:b/>
          <w:bCs/>
          <w:color w:val="auto"/>
          <w:spacing w:val="-20"/>
          <w:kern w:val="44"/>
          <w:sz w:val="24"/>
          <w:szCs w:val="24"/>
          <w:highlight w:val="none"/>
        </w:rPr>
      </w:pPr>
    </w:p>
    <w:p w14:paraId="69AE4AF1">
      <w:pPr>
        <w:pStyle w:val="8"/>
        <w:rPr>
          <w:rFonts w:hint="eastAsia" w:ascii="宋体" w:hAnsi="宋体" w:eastAsia="宋体" w:cs="宋体"/>
          <w:b/>
          <w:bCs/>
          <w:color w:val="auto"/>
          <w:spacing w:val="-20"/>
          <w:kern w:val="44"/>
          <w:sz w:val="24"/>
          <w:highlight w:val="none"/>
        </w:rPr>
      </w:pPr>
    </w:p>
    <w:p w14:paraId="1DCC0BE9">
      <w:pPr>
        <w:pStyle w:val="8"/>
        <w:rPr>
          <w:rFonts w:hint="eastAsia" w:ascii="宋体" w:hAnsi="宋体" w:eastAsia="宋体" w:cs="宋体"/>
          <w:b/>
          <w:bCs/>
          <w:color w:val="auto"/>
          <w:spacing w:val="-20"/>
          <w:kern w:val="44"/>
          <w:sz w:val="24"/>
          <w:highlight w:val="none"/>
        </w:rPr>
      </w:pPr>
    </w:p>
    <w:p w14:paraId="49ADC794">
      <w:pPr>
        <w:spacing w:line="360" w:lineRule="auto"/>
        <w:rPr>
          <w:rFonts w:hint="eastAsia" w:ascii="宋体" w:hAnsi="宋体" w:eastAsia="宋体" w:cs="宋体"/>
          <w:b/>
          <w:bCs/>
          <w:color w:val="auto"/>
          <w:spacing w:val="-20"/>
          <w:kern w:val="44"/>
          <w:sz w:val="24"/>
          <w:szCs w:val="24"/>
          <w:highlight w:val="none"/>
        </w:rPr>
      </w:pPr>
    </w:p>
    <w:p w14:paraId="22B2A3D7">
      <w:pPr>
        <w:pStyle w:val="8"/>
        <w:spacing w:line="360" w:lineRule="auto"/>
        <w:rPr>
          <w:rFonts w:hint="eastAsia"/>
          <w:color w:val="auto"/>
          <w:highlight w:val="none"/>
        </w:rPr>
      </w:pPr>
    </w:p>
    <w:p w14:paraId="5FF8F2E5">
      <w:pPr>
        <w:spacing w:line="360" w:lineRule="auto"/>
        <w:rPr>
          <w:rFonts w:hint="eastAsia" w:ascii="宋体" w:hAnsi="宋体" w:eastAsia="宋体" w:cs="宋体"/>
          <w:b/>
          <w:bCs/>
          <w:color w:val="auto"/>
          <w:spacing w:val="-20"/>
          <w:kern w:val="44"/>
          <w:sz w:val="24"/>
          <w:szCs w:val="24"/>
          <w:highlight w:val="none"/>
        </w:rPr>
      </w:pPr>
    </w:p>
    <w:p w14:paraId="0492E5BD">
      <w:pPr>
        <w:spacing w:line="360" w:lineRule="auto"/>
        <w:ind w:left="420" w:leftChars="200"/>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项目名称：</w:t>
      </w:r>
      <w:r>
        <w:rPr>
          <w:rFonts w:hint="eastAsia" w:ascii="宋体" w:hAnsi="宋体" w:eastAsia="宋体" w:cs="宋体"/>
          <w:color w:val="auto"/>
          <w:kern w:val="0"/>
          <w:sz w:val="24"/>
          <w:szCs w:val="24"/>
          <w:highlight w:val="none"/>
          <w:u w:val="single"/>
        </w:rPr>
        <w:t xml:space="preserve">                             </w:t>
      </w:r>
    </w:p>
    <w:p w14:paraId="3D384426">
      <w:pPr>
        <w:spacing w:line="360" w:lineRule="auto"/>
        <w:ind w:left="420" w:leftChars="200"/>
        <w:rPr>
          <w:rFonts w:hint="eastAsia"/>
          <w:color w:val="auto"/>
          <w:highlight w:val="none"/>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EA9484A">
      <w:pPr>
        <w:spacing w:line="360" w:lineRule="auto"/>
        <w:ind w:left="420" w:left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合同编号：</w:t>
      </w:r>
      <w:r>
        <w:rPr>
          <w:rFonts w:hint="eastAsia" w:ascii="宋体" w:hAnsi="宋体" w:eastAsia="宋体" w:cs="宋体"/>
          <w:color w:val="auto"/>
          <w:sz w:val="24"/>
          <w:szCs w:val="24"/>
          <w:highlight w:val="none"/>
          <w:u w:val="single"/>
        </w:rPr>
        <w:t xml:space="preserve">                             </w:t>
      </w:r>
    </w:p>
    <w:p w14:paraId="15E1C78E">
      <w:pPr>
        <w:spacing w:line="360" w:lineRule="auto"/>
        <w:ind w:left="420" w:leftChars="200"/>
        <w:rPr>
          <w:rFonts w:hint="eastAsia" w:ascii="宋体" w:hAnsi="宋体" w:eastAsia="宋体" w:cs="宋体"/>
          <w:color w:val="auto"/>
          <w:sz w:val="24"/>
          <w:szCs w:val="24"/>
          <w:highlight w:val="none"/>
        </w:rPr>
      </w:pPr>
      <w:r>
        <w:rPr>
          <w:rFonts w:hint="eastAsia" w:cs="Times New Roman" w:asciiTheme="minorEastAsia" w:hAnsiTheme="minorEastAsia" w:eastAsiaTheme="minorEastAsia"/>
          <w:color w:val="auto"/>
          <w:sz w:val="24"/>
          <w:szCs w:val="24"/>
          <w:highlight w:val="none"/>
        </w:rPr>
        <w:t>甲方（采购人）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41A86F36">
      <w:pPr>
        <w:spacing w:line="360" w:lineRule="auto"/>
        <w:ind w:left="420" w:leftChars="200"/>
        <w:rPr>
          <w:rFonts w:hint="eastAsia" w:ascii="宋体" w:hAnsi="宋体" w:eastAsia="宋体" w:cs="宋体"/>
          <w:color w:val="auto"/>
          <w:sz w:val="24"/>
          <w:szCs w:val="24"/>
          <w:highlight w:val="none"/>
          <w:u w:val="single"/>
        </w:rPr>
      </w:pPr>
      <w:r>
        <w:rPr>
          <w:rFonts w:hint="eastAsia" w:cs="Times New Roman" w:asciiTheme="minorEastAsia" w:hAnsiTheme="minorEastAsia" w:eastAsiaTheme="minorEastAsia"/>
          <w:color w:val="auto"/>
          <w:sz w:val="24"/>
          <w:szCs w:val="24"/>
          <w:highlight w:val="none"/>
        </w:rPr>
        <w:t>乙方（中标人）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6A35D745">
      <w:pPr>
        <w:spacing w:line="360" w:lineRule="auto"/>
        <w:ind w:left="420"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签订时间：</w:t>
      </w:r>
      <w:r>
        <w:rPr>
          <w:rFonts w:hint="eastAsia" w:ascii="宋体" w:hAnsi="宋体" w:eastAsia="宋体" w:cs="宋体"/>
          <w:color w:val="auto"/>
          <w:sz w:val="24"/>
          <w:szCs w:val="24"/>
          <w:highlight w:val="none"/>
          <w:u w:val="single"/>
        </w:rPr>
        <w:t xml:space="preserve">                             </w:t>
      </w:r>
    </w:p>
    <w:p w14:paraId="2658675D">
      <w:pPr>
        <w:spacing w:line="360" w:lineRule="auto"/>
        <w:rPr>
          <w:rFonts w:hint="eastAsia" w:ascii="宋体" w:hAnsi="宋体" w:eastAsia="宋体" w:cs="宋体"/>
          <w:color w:val="auto"/>
          <w:sz w:val="24"/>
          <w:szCs w:val="24"/>
          <w:highlight w:val="none"/>
        </w:rPr>
      </w:pPr>
    </w:p>
    <w:p w14:paraId="0BC445A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7D9DFCF4">
      <w:pPr>
        <w:spacing w:line="360" w:lineRule="auto"/>
        <w:jc w:val="center"/>
        <w:outlineLvl w:val="1"/>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使 用 说 明</w:t>
      </w:r>
    </w:p>
    <w:p w14:paraId="13898A2B">
      <w:pPr>
        <w:spacing w:line="360" w:lineRule="auto"/>
        <w:ind w:firstLine="480" w:firstLineChars="200"/>
        <w:rPr>
          <w:rFonts w:hint="eastAsia" w:ascii="宋体" w:hAnsi="宋体" w:eastAsia="宋体" w:cs="宋体"/>
          <w:color w:val="auto"/>
          <w:sz w:val="24"/>
          <w:szCs w:val="24"/>
          <w:highlight w:val="none"/>
        </w:rPr>
      </w:pPr>
    </w:p>
    <w:p w14:paraId="7A9A0C8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1.本合同标准文本适用于购买现成货物的采购项目，不包括需要供应商定制开发、创新研发的货物采购项目。</w:t>
      </w:r>
    </w:p>
    <w:p w14:paraId="5DD6D63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2.本合同标准文本为政府采购货物买卖合同编制提供参考，可以结合采购项目具体情况，对文本作必要的调整修订后使用。</w:t>
      </w:r>
    </w:p>
    <w:p w14:paraId="5C459E3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3.本合同标准文本各条款中，如涉及填写多家供应商、制造商，多种采购标的、分包主要内容等信息的，可根据采购项目具体情况添加信息项。</w:t>
      </w:r>
    </w:p>
    <w:p w14:paraId="1A1458FD">
      <w:pPr>
        <w:spacing w:line="360" w:lineRule="auto"/>
        <w:ind w:firstLine="480" w:firstLineChars="200"/>
        <w:rPr>
          <w:rFonts w:hint="eastAsia" w:ascii="宋体" w:hAnsi="宋体" w:eastAsia="宋体" w:cs="宋体"/>
          <w:color w:val="auto"/>
          <w:sz w:val="24"/>
          <w:szCs w:val="24"/>
          <w:highlight w:val="none"/>
        </w:rPr>
        <w:sectPr>
          <w:pgSz w:w="11905" w:h="16838"/>
          <w:pgMar w:top="1440" w:right="1417" w:bottom="1440" w:left="1417" w:header="850" w:footer="992" w:gutter="0"/>
          <w:cols w:space="0" w:num="1"/>
          <w:docGrid w:type="lines" w:linePitch="317" w:charSpace="0"/>
        </w:sectPr>
      </w:pPr>
    </w:p>
    <w:p w14:paraId="6AC82267">
      <w:pPr>
        <w:spacing w:line="360" w:lineRule="auto"/>
        <w:jc w:val="center"/>
        <w:outlineLvl w:val="1"/>
        <w:rPr>
          <w:rFonts w:hint="eastAsia" w:asciiTheme="minorEastAsia" w:hAnsiTheme="minorEastAsia" w:eastAsiaTheme="minorEastAsia"/>
          <w:b/>
          <w:color w:val="auto"/>
          <w:sz w:val="24"/>
          <w:highlight w:val="none"/>
        </w:rPr>
      </w:pPr>
      <w:bookmarkStart w:id="48" w:name="_Toc22209"/>
      <w:r>
        <w:rPr>
          <w:rFonts w:hint="eastAsia" w:asciiTheme="minorEastAsia" w:hAnsiTheme="minorEastAsia" w:eastAsiaTheme="minorEastAsia"/>
          <w:b/>
          <w:color w:val="auto"/>
          <w:sz w:val="24"/>
          <w:highlight w:val="none"/>
        </w:rPr>
        <w:t>第一节 政府采购合同协议书</w:t>
      </w:r>
      <w:bookmarkEnd w:id="48"/>
    </w:p>
    <w:p w14:paraId="6249A378">
      <w:pPr>
        <w:adjustRightInd w:val="0"/>
        <w:snapToGrid w:val="0"/>
        <w:spacing w:line="360" w:lineRule="auto"/>
        <w:rPr>
          <w:rFonts w:hint="eastAsia" w:ascii="宋体" w:hAnsi="宋体" w:eastAsia="宋体" w:cs="宋体"/>
          <w:color w:val="auto"/>
          <w:sz w:val="24"/>
          <w:szCs w:val="24"/>
          <w:highlight w:val="none"/>
        </w:rPr>
      </w:pPr>
    </w:p>
    <w:p w14:paraId="16DE1120">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（采购人、受采购人委托签订合同的单位或采购</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                                   文件约定的合同甲方）</w:t>
      </w:r>
    </w:p>
    <w:p w14:paraId="3D76E6B6">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乙方1（全称）：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w:t>
      </w:r>
    </w:p>
    <w:p w14:paraId="635380D7">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乙方2（全称）：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（联合体成员供应商或其他合同主体）（如有）</w:t>
      </w:r>
    </w:p>
    <w:p w14:paraId="31C8E89A">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乙方3（全称）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（联合体成员供应商或其他合同主体）（如有）</w:t>
      </w:r>
    </w:p>
    <w:p w14:paraId="3F6AAAC2">
      <w:pPr>
        <w:spacing w:line="360" w:lineRule="auto"/>
        <w:rPr>
          <w:rFonts w:hint="eastAsia" w:ascii="宋体" w:hAnsi="宋体" w:eastAsia="宋体" w:cs="宋体"/>
          <w:color w:val="auto"/>
          <w:sz w:val="24"/>
          <w:szCs w:val="24"/>
          <w:highlight w:val="none"/>
        </w:rPr>
      </w:pPr>
    </w:p>
    <w:p w14:paraId="55DF6642">
      <w:pPr>
        <w:pStyle w:val="9"/>
        <w:adjustRightInd w:val="0"/>
        <w:snapToGrid w:val="0"/>
        <w:spacing w:after="0"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0192DD0E">
      <w:pPr>
        <w:numPr>
          <w:ilvl w:val="0"/>
          <w:numId w:val="3"/>
        </w:numPr>
        <w:adjustRightInd w:val="0"/>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项目信息</w:t>
      </w:r>
    </w:p>
    <w:p w14:paraId="7E8DA577">
      <w:pPr>
        <w:pStyle w:val="9"/>
        <w:numPr>
          <w:ilvl w:val="0"/>
          <w:numId w:val="4"/>
        </w:numPr>
        <w:adjustRightInd w:val="0"/>
        <w:snapToGrid w:val="0"/>
        <w:spacing w:after="0" w:line="360" w:lineRule="auto"/>
        <w:ind w:left="0" w:leftChars="0"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采购项目名称：</w:t>
      </w:r>
      <w:r>
        <w:rPr>
          <w:rFonts w:hint="eastAsia" w:ascii="宋体" w:hAnsi="宋体" w:eastAsia="宋体" w:cs="宋体"/>
          <w:color w:val="auto"/>
          <w:sz w:val="24"/>
          <w:szCs w:val="24"/>
          <w:highlight w:val="none"/>
          <w:u w:val="single"/>
        </w:rPr>
        <w:t xml:space="preserve">                                            </w:t>
      </w:r>
    </w:p>
    <w:p w14:paraId="54CE0EFE">
      <w:pPr>
        <w:pStyle w:val="9"/>
        <w:numPr>
          <w:ilvl w:val="255"/>
          <w:numId w:val="0"/>
        </w:numPr>
        <w:tabs>
          <w:tab w:val="left" w:pos="999"/>
        </w:tabs>
        <w:adjustRightInd w:val="0"/>
        <w:snapToGrid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采购项目编号：</w:t>
      </w:r>
      <w:r>
        <w:rPr>
          <w:rFonts w:hint="eastAsia" w:ascii="宋体" w:hAnsi="宋体" w:eastAsia="宋体" w:cs="宋体"/>
          <w:color w:val="auto"/>
          <w:sz w:val="24"/>
          <w:szCs w:val="24"/>
          <w:highlight w:val="none"/>
          <w:u w:val="single"/>
        </w:rPr>
        <w:t xml:space="preserve">                                          </w:t>
      </w:r>
    </w:p>
    <w:p w14:paraId="1B652F2C">
      <w:pPr>
        <w:pStyle w:val="9"/>
        <w:adjustRightInd w:val="0"/>
        <w:snapToGrid w:val="0"/>
        <w:spacing w:after="0"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（2）采购计划编号：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3AC80454">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（3）项目内容：</w:t>
      </w:r>
    </w:p>
    <w:p w14:paraId="119109AD">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采购标的及数量（台/套</w:t>
      </w:r>
      <w:r>
        <w:rPr>
          <w:rFonts w:hint="eastAsia" w:ascii="宋体" w:hAnsi="宋体" w:eastAsia="宋体" w:cs="宋体"/>
          <w:color w:val="auto"/>
          <w:sz w:val="24"/>
          <w:szCs w:val="24"/>
          <w:highlight w:val="none"/>
          <w:lang w:val="en"/>
        </w:rPr>
        <w:t>/个/架/组等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7E199F5F">
      <w:pPr>
        <w:numPr>
          <w:ilvl w:val="255"/>
          <w:numId w:val="0"/>
        </w:numPr>
        <w:adjustRightInd w:val="0"/>
        <w:snapToGrid w:val="0"/>
        <w:spacing w:line="360" w:lineRule="auto"/>
        <w:ind w:firstLine="480" w:firstLineChars="200"/>
        <w:rPr>
          <w:rFonts w:hint="eastAsia" w:ascii="宋体" w:hAnsi="宋体" w:eastAsia="宋体" w:cs="宋体"/>
          <w:color w:val="auto"/>
          <w:sz w:val="24"/>
          <w:szCs w:val="24"/>
          <w:highlight w:val="none"/>
          <w:lang w:val="en"/>
        </w:rPr>
      </w:pPr>
      <w:r>
        <w:rPr>
          <w:rFonts w:hint="eastAsia" w:ascii="宋体" w:hAnsi="宋体" w:eastAsia="宋体" w:cs="宋体"/>
          <w:color w:val="auto"/>
          <w:sz w:val="24"/>
          <w:szCs w:val="24"/>
          <w:highlight w:val="none"/>
        </w:rPr>
        <w:t xml:space="preserve">     品牌：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en"/>
        </w:rPr>
        <w:t xml:space="preserve">     </w:t>
      </w:r>
      <w:r>
        <w:rPr>
          <w:rFonts w:hint="eastAsia" w:ascii="宋体" w:hAnsi="宋体" w:eastAsia="宋体" w:cs="宋体"/>
          <w:color w:val="auto"/>
          <w:sz w:val="24"/>
          <w:szCs w:val="24"/>
          <w:highlight w:val="none"/>
        </w:rPr>
        <w:t>规格型号：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
        </w:rPr>
        <w:t xml:space="preserve">   </w:t>
      </w:r>
    </w:p>
    <w:p w14:paraId="5885EAC9">
      <w:pPr>
        <w:adjustRightInd w:val="0"/>
        <w:snapToGrid w:val="0"/>
        <w:spacing w:line="360" w:lineRule="auto"/>
        <w:ind w:firstLine="1080" w:firstLineChars="45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采购标的的技术要求、商务要求具体见附件。</w:t>
      </w:r>
    </w:p>
    <w:p w14:paraId="0628852D">
      <w:pPr>
        <w:numPr>
          <w:ilvl w:val="255"/>
          <w:numId w:val="0"/>
        </w:numPr>
        <w:adjustRightInd w:val="0"/>
        <w:snapToGrid w:val="0"/>
        <w:spacing w:line="360" w:lineRule="auto"/>
        <w:ind w:firstLine="1080" w:firstLineChars="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①涉及信息类产品，请填写该产品关键部件的品牌、型号：</w:t>
      </w:r>
    </w:p>
    <w:p w14:paraId="59CF042D">
      <w:pPr>
        <w:numPr>
          <w:ilvl w:val="255"/>
          <w:numId w:val="0"/>
        </w:numPr>
        <w:adjustRightInd w:val="0"/>
        <w:snapToGrid w:val="0"/>
        <w:spacing w:line="360" w:lineRule="auto"/>
        <w:ind w:firstLine="480" w:firstLineChars="200"/>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rPr>
        <w:t xml:space="preserve">     标的名称：</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
        </w:rPr>
        <w:t xml:space="preserve">               </w:t>
      </w:r>
      <w:r>
        <w:rPr>
          <w:rFonts w:hint="eastAsia" w:ascii="宋体" w:hAnsi="宋体" w:eastAsia="宋体" w:cs="宋体"/>
          <w:color w:val="auto"/>
          <w:kern w:val="0"/>
          <w:sz w:val="24"/>
          <w:szCs w:val="24"/>
          <w:highlight w:val="none"/>
          <w:u w:val="single"/>
        </w:rPr>
        <w:t xml:space="preserve">    </w:t>
      </w:r>
    </w:p>
    <w:p w14:paraId="2BC913FF">
      <w:pPr>
        <w:numPr>
          <w:ilvl w:val="255"/>
          <w:numId w:val="0"/>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关键部件：</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sz w:val="24"/>
          <w:szCs w:val="24"/>
          <w:highlight w:val="none"/>
        </w:rPr>
        <w:t>品牌：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型号：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356C9677">
      <w:pPr>
        <w:pStyle w:val="69"/>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kern w:val="2"/>
          <w:sz w:val="24"/>
          <w:szCs w:val="24"/>
          <w:highlight w:val="none"/>
        </w:rPr>
        <w:t>关键部件</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品牌：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型号：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186B9854">
      <w:pPr>
        <w:pStyle w:val="69"/>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关键部件：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品牌：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型号：</w:t>
      </w:r>
      <w:r>
        <w:rPr>
          <w:rFonts w:hint="eastAsia" w:ascii="宋体" w:hAnsi="宋体" w:eastAsia="宋体" w:cs="宋体"/>
          <w:color w:val="auto"/>
          <w:sz w:val="24"/>
          <w:szCs w:val="24"/>
          <w:highlight w:val="none"/>
          <w:u w:val="single"/>
        </w:rPr>
        <w:t xml:space="preserve">       </w:t>
      </w:r>
    </w:p>
    <w:p w14:paraId="00334371">
      <w:pPr>
        <w:pStyle w:val="69"/>
        <w:numPr>
          <w:ilvl w:val="255"/>
          <w:numId w:val="0"/>
        </w:num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（注：关键部件是指财政部会同有关部门发布的政府采购需求标准规定的需要通过国家有关部门指定的测评机构开展的安全可靠测评的软硬件，如CPU芯片、操作系统、数据库等。）</w:t>
      </w:r>
    </w:p>
    <w:p w14:paraId="3750F200">
      <w:pPr>
        <w:pStyle w:val="69"/>
        <w:numPr>
          <w:ilvl w:val="255"/>
          <w:numId w:val="0"/>
        </w:num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②涉及车辆采购，请填写是否属于新能源汽车：</w:t>
      </w:r>
    </w:p>
    <w:p w14:paraId="7F0145BD">
      <w:pPr>
        <w:pStyle w:val="69"/>
        <w:numPr>
          <w:ilvl w:val="255"/>
          <w:numId w:val="0"/>
        </w:num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是，《政府采购品目分类目录》底级品目名称：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数量：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金额：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78469241">
      <w:pPr>
        <w:pStyle w:val="69"/>
        <w:numPr>
          <w:ilvl w:val="255"/>
          <w:numId w:val="0"/>
        </w:num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否</w:t>
      </w:r>
    </w:p>
    <w:p w14:paraId="5E2884D3">
      <w:pPr>
        <w:pStyle w:val="69"/>
        <w:numPr>
          <w:ilvl w:val="255"/>
          <w:numId w:val="0"/>
        </w:num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
        </w:rPr>
        <w:t>4</w:t>
      </w:r>
      <w:r>
        <w:rPr>
          <w:rFonts w:hint="eastAsia" w:ascii="宋体" w:hAnsi="宋体" w:eastAsia="宋体" w:cs="宋体"/>
          <w:color w:val="auto"/>
          <w:sz w:val="24"/>
          <w:szCs w:val="24"/>
          <w:highlight w:val="none"/>
        </w:rPr>
        <w:t>）政府采购组织形式：</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 xml:space="preserve">政府集中采购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部门集中采购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分散采购</w:t>
      </w:r>
    </w:p>
    <w:p w14:paraId="06B93630">
      <w:pPr>
        <w:pStyle w:val="69"/>
        <w:numPr>
          <w:ilvl w:val="255"/>
          <w:numId w:val="0"/>
        </w:numPr>
        <w:snapToGrid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
        </w:rPr>
        <w:t>5</w:t>
      </w:r>
      <w:r>
        <w:rPr>
          <w:rFonts w:hint="eastAsia" w:ascii="宋体" w:hAnsi="宋体" w:eastAsia="宋体" w:cs="宋体"/>
          <w:color w:val="auto"/>
          <w:sz w:val="24"/>
          <w:szCs w:val="24"/>
          <w:highlight w:val="none"/>
        </w:rPr>
        <w:t>）政府采购方式：</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 xml:space="preserve">公开招标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邀请招标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竞争性谈判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竞争性磋商</w:t>
      </w:r>
    </w:p>
    <w:p w14:paraId="2C1BF4DA">
      <w:pPr>
        <w:pStyle w:val="69"/>
        <w:numPr>
          <w:ilvl w:val="255"/>
          <w:numId w:val="0"/>
        </w:numPr>
        <w:snapToGrid w:val="0"/>
        <w:spacing w:line="360" w:lineRule="auto"/>
        <w:ind w:firstLine="42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询价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单一来源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框架协议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其他：</w:t>
      </w:r>
      <w:r>
        <w:rPr>
          <w:rFonts w:hint="eastAsia" w:ascii="宋体" w:hAnsi="宋体" w:eastAsia="宋体" w:cs="宋体"/>
          <w:color w:val="auto"/>
          <w:sz w:val="24"/>
          <w:szCs w:val="24"/>
          <w:highlight w:val="none"/>
          <w:u w:val="single"/>
        </w:rPr>
        <w:t xml:space="preserve">          </w:t>
      </w:r>
    </w:p>
    <w:p w14:paraId="4F52D560">
      <w:pPr>
        <w:pStyle w:val="69"/>
        <w:numPr>
          <w:ilvl w:val="255"/>
          <w:numId w:val="0"/>
        </w:numPr>
        <w:snapToGrid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（注：在框架协议采购的第二阶段，可选择使用该合同文本）</w:t>
      </w:r>
    </w:p>
    <w:p w14:paraId="77F6B326">
      <w:pPr>
        <w:pStyle w:val="69"/>
        <w:numPr>
          <w:ilvl w:val="255"/>
          <w:numId w:val="0"/>
        </w:numPr>
        <w:snapToGrid w:val="0"/>
        <w:spacing w:line="360" w:lineRule="auto"/>
        <w:ind w:firstLine="240" w:firstLineChars="100"/>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
        </w:rPr>
        <w:t>6</w:t>
      </w:r>
      <w:r>
        <w:rPr>
          <w:rFonts w:hint="eastAsia" w:ascii="宋体" w:hAnsi="宋体" w:eastAsia="宋体" w:cs="宋体"/>
          <w:color w:val="auto"/>
          <w:sz w:val="24"/>
          <w:szCs w:val="24"/>
          <w:highlight w:val="none"/>
        </w:rPr>
        <w:t>）</w:t>
      </w:r>
      <w:r>
        <w:rPr>
          <w:rFonts w:hint="eastAsia" w:ascii="宋体" w:hAnsi="宋体" w:eastAsia="宋体" w:cs="宋体"/>
          <w:color w:val="auto"/>
          <w:kern w:val="2"/>
          <w:sz w:val="24"/>
          <w:szCs w:val="24"/>
          <w:highlight w:val="none"/>
        </w:rPr>
        <w:t>中标（成交）采购标的制造商是否为中小企业：</w:t>
      </w:r>
      <w:r>
        <w:rPr>
          <w:rFonts w:hint="eastAsia" w:ascii="宋体" w:hAnsi="宋体" w:eastAsia="宋体" w:cs="宋体"/>
          <w:color w:val="auto"/>
          <w:kern w:val="2"/>
          <w:sz w:val="24"/>
          <w:szCs w:val="24"/>
          <w:highlight w:val="none"/>
        </w:rPr>
        <w:sym w:font="Wingdings" w:char="00A8"/>
      </w:r>
      <w:r>
        <w:rPr>
          <w:rFonts w:hint="eastAsia" w:ascii="宋体" w:hAnsi="宋体" w:eastAsia="宋体" w:cs="宋体"/>
          <w:color w:val="auto"/>
          <w:kern w:val="2"/>
          <w:sz w:val="24"/>
          <w:szCs w:val="24"/>
          <w:highlight w:val="none"/>
        </w:rPr>
        <w:t xml:space="preserve">是      </w:t>
      </w:r>
      <w:r>
        <w:rPr>
          <w:rFonts w:hint="eastAsia" w:ascii="宋体" w:hAnsi="宋体" w:eastAsia="宋体" w:cs="宋体"/>
          <w:color w:val="auto"/>
          <w:kern w:val="2"/>
          <w:sz w:val="24"/>
          <w:szCs w:val="24"/>
          <w:highlight w:val="none"/>
        </w:rPr>
        <w:sym w:font="Wingdings" w:char="00A8"/>
      </w:r>
      <w:r>
        <w:rPr>
          <w:rFonts w:hint="eastAsia" w:ascii="宋体" w:hAnsi="宋体" w:eastAsia="宋体" w:cs="宋体"/>
          <w:color w:val="auto"/>
          <w:kern w:val="2"/>
          <w:sz w:val="24"/>
          <w:szCs w:val="24"/>
          <w:highlight w:val="none"/>
        </w:rPr>
        <w:t>否</w:t>
      </w:r>
    </w:p>
    <w:p w14:paraId="70F89113">
      <w:pPr>
        <w:numPr>
          <w:ilvl w:val="255"/>
          <w:numId w:val="0"/>
        </w:numPr>
        <w:adjustRightInd w:val="0"/>
        <w:snapToGrid w:val="0"/>
        <w:spacing w:line="360" w:lineRule="auto"/>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rPr>
        <w:t xml:space="preserve">         本合同是否为专门面向中小企业的采购合同（中小企业预留合同）：</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6301AA4A">
      <w:pPr>
        <w:numPr>
          <w:ilvl w:val="255"/>
          <w:numId w:val="0"/>
        </w:numPr>
        <w:adjustRightInd w:val="0"/>
        <w:snapToGrid w:val="0"/>
        <w:spacing w:line="360" w:lineRule="auto"/>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rPr>
        <w:t xml:space="preserve">         若本项目不专门面向中小企业采购，是否给予小微企业评审优惠：</w:t>
      </w:r>
      <w:r>
        <w:rPr>
          <w:rFonts w:hint="eastAsia" w:ascii="宋体" w:hAnsi="宋体" w:eastAsia="宋体" w:cs="宋体"/>
          <w:iCs/>
          <w:color w:val="auto"/>
          <w:sz w:val="24"/>
          <w:szCs w:val="24"/>
          <w:highlight w:val="none"/>
        </w:rPr>
        <w:sym w:font="Wingdings" w:char="00FE"/>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59B7856B">
      <w:pPr>
        <w:numPr>
          <w:ilvl w:val="255"/>
          <w:numId w:val="0"/>
        </w:numPr>
        <w:adjustRightInd w:val="0"/>
        <w:snapToGrid w:val="0"/>
        <w:spacing w:line="360" w:lineRule="auto"/>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rPr>
        <w:t xml:space="preserve">         中标（成交）采购标的制造商是否为残疾人福利性单位：</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260D4F8B">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中标（成交）采购标的制造商是否为监狱企业：</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19412690">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
        </w:rPr>
        <w:t>7</w:t>
      </w:r>
      <w:r>
        <w:rPr>
          <w:rFonts w:hint="eastAsia" w:ascii="宋体" w:hAnsi="宋体" w:eastAsia="宋体" w:cs="宋体"/>
          <w:color w:val="auto"/>
          <w:sz w:val="24"/>
          <w:szCs w:val="24"/>
          <w:highlight w:val="none"/>
        </w:rPr>
        <w:t>）合同是否分包：</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306D7406">
      <w:pPr>
        <w:adjustRightInd w:val="0"/>
        <w:snapToGrid w:val="0"/>
        <w:spacing w:line="360" w:lineRule="auto"/>
        <w:ind w:firstLine="960" w:firstLineChars="4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分包主要内容：</w:t>
      </w:r>
      <w:r>
        <w:rPr>
          <w:rFonts w:hint="eastAsia" w:ascii="宋体" w:hAnsi="宋体" w:eastAsia="宋体" w:cs="宋体"/>
          <w:color w:val="auto"/>
          <w:sz w:val="24"/>
          <w:szCs w:val="24"/>
          <w:highlight w:val="none"/>
          <w:u w:val="single"/>
        </w:rPr>
        <w:t xml:space="preserve">                                            </w:t>
      </w:r>
    </w:p>
    <w:p w14:paraId="055A7567">
      <w:pPr>
        <w:adjustRightInd w:val="0"/>
        <w:snapToGrid w:val="0"/>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分包供应商/制造商名称（如供应商和制造商不同，请分别填写）：</w:t>
      </w:r>
    </w:p>
    <w:p w14:paraId="2675AA5A">
      <w:pPr>
        <w:adjustRightInd w:val="0"/>
        <w:snapToGrid w:val="0"/>
        <w:spacing w:line="360" w:lineRule="auto"/>
        <w:ind w:firstLine="960" w:firstLineChars="4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p>
    <w:p w14:paraId="0D73BC1C">
      <w:pPr>
        <w:adjustRightInd w:val="0"/>
        <w:snapToGrid w:val="0"/>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分包供应商/制造商类型（如果供应商和制造商不同，只填写制造商类型）：</w:t>
      </w:r>
    </w:p>
    <w:p w14:paraId="4E409858">
      <w:pPr>
        <w:adjustRightInd w:val="0"/>
        <w:snapToGrid w:val="0"/>
        <w:spacing w:line="360" w:lineRule="auto"/>
        <w:ind w:firstLine="960" w:firstLineChars="400"/>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大型企业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中型企业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小微型企业  </w:t>
      </w:r>
    </w:p>
    <w:p w14:paraId="3B555FC9">
      <w:pPr>
        <w:adjustRightInd w:val="0"/>
        <w:snapToGrid w:val="0"/>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iCs/>
          <w:color w:val="auto"/>
          <w:sz w:val="24"/>
          <w:szCs w:val="24"/>
          <w:highlight w:val="none"/>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残疾人福利性单位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监狱企业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其他</w:t>
      </w:r>
    </w:p>
    <w:p w14:paraId="041E96A7">
      <w:pPr>
        <w:numPr>
          <w:ilvl w:val="255"/>
          <w:numId w:val="0"/>
        </w:numPr>
        <w:adjustRightInd w:val="0"/>
        <w:snapToGrid w:val="0"/>
        <w:spacing w:line="360" w:lineRule="auto"/>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
        </w:rPr>
        <w:t>8</w:t>
      </w:r>
      <w:r>
        <w:rPr>
          <w:rFonts w:hint="eastAsia" w:ascii="宋体" w:hAnsi="宋体" w:eastAsia="宋体" w:cs="宋体"/>
          <w:color w:val="auto"/>
          <w:sz w:val="24"/>
          <w:szCs w:val="24"/>
          <w:highlight w:val="none"/>
        </w:rPr>
        <w:t>）中标（成交）供应商是否为外商投资企业：</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24E81743">
      <w:pPr>
        <w:pStyle w:val="69"/>
        <w:tabs>
          <w:tab w:val="left" w:pos="1340"/>
        </w:tabs>
        <w:spacing w:line="360" w:lineRule="auto"/>
        <w:ind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外商投资企业类型：</w:t>
      </w:r>
      <w:r>
        <w:rPr>
          <w:rFonts w:hint="eastAsia" w:ascii="宋体" w:hAnsi="宋体" w:eastAsia="宋体" w:cs="宋体"/>
          <w:iCs/>
          <w:color w:val="auto"/>
          <w:sz w:val="24"/>
          <w:szCs w:val="24"/>
          <w:highlight w:val="none"/>
        </w:rPr>
        <w:sym w:font="Wingdings" w:char="00A8"/>
      </w:r>
      <w:r>
        <w:rPr>
          <w:rFonts w:hint="eastAsia" w:ascii="宋体" w:hAnsi="宋体" w:eastAsia="宋体" w:cs="宋体"/>
          <w:color w:val="auto"/>
          <w:sz w:val="24"/>
          <w:szCs w:val="24"/>
          <w:highlight w:val="none"/>
        </w:rPr>
        <w:t xml:space="preserve">全部由外国投资者投资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部分由外国投资者投资</w:t>
      </w:r>
    </w:p>
    <w:p w14:paraId="6F9224D0">
      <w:pPr>
        <w:numPr>
          <w:ilvl w:val="255"/>
          <w:numId w:val="0"/>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
        </w:rPr>
        <w:t>9</w:t>
      </w:r>
      <w:r>
        <w:rPr>
          <w:rFonts w:hint="eastAsia" w:ascii="宋体" w:hAnsi="宋体" w:eastAsia="宋体" w:cs="宋体"/>
          <w:color w:val="auto"/>
          <w:sz w:val="24"/>
          <w:szCs w:val="24"/>
          <w:highlight w:val="none"/>
        </w:rPr>
        <w:t>）是否涉及进口产品：</w:t>
      </w:r>
    </w:p>
    <w:p w14:paraId="7FE192B0">
      <w:pPr>
        <w:numPr>
          <w:ilvl w:val="255"/>
          <w:numId w:val="0"/>
        </w:numPr>
        <w:adjustRightInd w:val="0"/>
        <w:snapToGrid w:val="0"/>
        <w:spacing w:line="360" w:lineRule="auto"/>
        <w:ind w:firstLine="960" w:firstLineChars="4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是，《政府采购品目分类目录》底级品目名称：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金额：</w:t>
      </w:r>
      <w:r>
        <w:rPr>
          <w:rFonts w:hint="eastAsia" w:ascii="宋体" w:hAnsi="宋体" w:eastAsia="宋体" w:cs="宋体"/>
          <w:color w:val="auto"/>
          <w:sz w:val="24"/>
          <w:szCs w:val="24"/>
          <w:highlight w:val="none"/>
          <w:u w:val="single"/>
        </w:rPr>
        <w:t xml:space="preserve">        </w:t>
      </w:r>
    </w:p>
    <w:p w14:paraId="3ECE4138">
      <w:pPr>
        <w:numPr>
          <w:ilvl w:val="255"/>
          <w:numId w:val="0"/>
        </w:numPr>
        <w:adjustRightInd w:val="0"/>
        <w:snapToGrid w:val="0"/>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国别：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品牌：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规格型号：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21907437">
      <w:pPr>
        <w:adjustRightInd w:val="0"/>
        <w:snapToGrid w:val="0"/>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否</w:t>
      </w:r>
    </w:p>
    <w:p w14:paraId="326E5340">
      <w:pPr>
        <w:numPr>
          <w:ilvl w:val="255"/>
          <w:numId w:val="0"/>
        </w:numPr>
        <w:tabs>
          <w:tab w:val="left" w:pos="740"/>
        </w:tabs>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w:t>
      </w:r>
      <w:r>
        <w:rPr>
          <w:rFonts w:hint="eastAsia" w:ascii="宋体" w:hAnsi="宋体" w:eastAsia="宋体" w:cs="宋体"/>
          <w:color w:val="auto"/>
          <w:sz w:val="24"/>
          <w:szCs w:val="24"/>
          <w:highlight w:val="none"/>
          <w:lang w:val="en"/>
        </w:rPr>
        <w:t>0</w:t>
      </w:r>
      <w:r>
        <w:rPr>
          <w:rFonts w:hint="eastAsia" w:ascii="宋体" w:hAnsi="宋体" w:eastAsia="宋体" w:cs="宋体"/>
          <w:color w:val="auto"/>
          <w:sz w:val="24"/>
          <w:szCs w:val="24"/>
          <w:highlight w:val="none"/>
        </w:rPr>
        <w:t>）是否涉及节能产品：</w:t>
      </w:r>
    </w:p>
    <w:p w14:paraId="36C76BD7">
      <w:pPr>
        <w:numPr>
          <w:ilvl w:val="255"/>
          <w:numId w:val="0"/>
        </w:numPr>
        <w:tabs>
          <w:tab w:val="left" w:pos="740"/>
        </w:tabs>
        <w:adjustRightInd w:val="0"/>
        <w:snapToGrid w:val="0"/>
        <w:spacing w:line="360" w:lineRule="auto"/>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是，《节能产品政府采购品目清单》的底级品目名称：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iCs/>
          <w:color w:val="auto"/>
          <w:sz w:val="24"/>
          <w:szCs w:val="24"/>
          <w:highlight w:val="none"/>
        </w:rPr>
        <w:t xml:space="preserve">     </w:t>
      </w:r>
    </w:p>
    <w:p w14:paraId="3FA7E166">
      <w:pPr>
        <w:numPr>
          <w:ilvl w:val="255"/>
          <w:numId w:val="0"/>
        </w:numPr>
        <w:tabs>
          <w:tab w:val="left" w:pos="740"/>
        </w:tabs>
        <w:adjustRightInd w:val="0"/>
        <w:snapToGrid w:val="0"/>
        <w:spacing w:line="360" w:lineRule="auto"/>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强制采购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优先采购    </w:t>
      </w:r>
    </w:p>
    <w:p w14:paraId="7B08E220">
      <w:pPr>
        <w:numPr>
          <w:ilvl w:val="255"/>
          <w:numId w:val="0"/>
        </w:numPr>
        <w:tabs>
          <w:tab w:val="left" w:pos="740"/>
        </w:tabs>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i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否</w:t>
      </w:r>
    </w:p>
    <w:p w14:paraId="5F22A14F">
      <w:pPr>
        <w:numPr>
          <w:ilvl w:val="255"/>
          <w:numId w:val="0"/>
        </w:numPr>
        <w:tabs>
          <w:tab w:val="left" w:pos="740"/>
        </w:tabs>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是否涉及环境标志产品：</w:t>
      </w:r>
    </w:p>
    <w:p w14:paraId="062053FE">
      <w:pPr>
        <w:numPr>
          <w:ilvl w:val="255"/>
          <w:numId w:val="0"/>
        </w:numPr>
        <w:tabs>
          <w:tab w:val="left" w:pos="740"/>
        </w:tabs>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是，《环境标志产品政府采购品目清单》的底级品目名称：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iCs/>
          <w:color w:val="auto"/>
          <w:sz w:val="24"/>
          <w:szCs w:val="24"/>
          <w:highlight w:val="none"/>
        </w:rPr>
        <w:t xml:space="preserve"> </w:t>
      </w:r>
    </w:p>
    <w:p w14:paraId="2089887C">
      <w:pPr>
        <w:numPr>
          <w:ilvl w:val="255"/>
          <w:numId w:val="0"/>
        </w:numPr>
        <w:tabs>
          <w:tab w:val="left" w:pos="740"/>
        </w:tabs>
        <w:adjustRightInd w:val="0"/>
        <w:snapToGrid w:val="0"/>
        <w:spacing w:line="360" w:lineRule="auto"/>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强制采购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优先采购    </w:t>
      </w:r>
    </w:p>
    <w:p w14:paraId="23432BED">
      <w:pPr>
        <w:numPr>
          <w:ilvl w:val="255"/>
          <w:numId w:val="0"/>
        </w:numPr>
        <w:tabs>
          <w:tab w:val="left" w:pos="740"/>
        </w:tabs>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i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否</w:t>
      </w:r>
    </w:p>
    <w:p w14:paraId="50ECD914">
      <w:pPr>
        <w:pStyle w:val="69"/>
        <w:numPr>
          <w:ilvl w:val="255"/>
          <w:numId w:val="0"/>
        </w:numPr>
        <w:snapToGrid w:val="0"/>
        <w:spacing w:line="360" w:lineRule="auto"/>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kern w:val="2"/>
          <w:sz w:val="24"/>
          <w:szCs w:val="24"/>
          <w:highlight w:val="none"/>
        </w:rPr>
        <w:t xml:space="preserve">是否涉及绿色产品： </w:t>
      </w:r>
    </w:p>
    <w:p w14:paraId="6F2799B2">
      <w:pPr>
        <w:pStyle w:val="69"/>
        <w:spacing w:line="360" w:lineRule="auto"/>
        <w:ind w:firstLine="420" w:firstLineChars="0"/>
        <w:rPr>
          <w:rFonts w:hint="eastAsia" w:ascii="宋体" w:hAnsi="宋体" w:eastAsia="宋体" w:cs="宋体"/>
          <w:color w:val="auto"/>
          <w:sz w:val="24"/>
          <w:szCs w:val="24"/>
          <w:highlight w:val="none"/>
          <w:u w:val="single"/>
        </w:rPr>
      </w:pPr>
      <w:r>
        <w:rPr>
          <w:rFonts w:hint="eastAsia" w:ascii="宋体" w:hAnsi="宋体" w:eastAsia="宋体" w:cs="宋体"/>
          <w:color w:val="auto"/>
          <w:kern w:val="2"/>
          <w:sz w:val="24"/>
          <w:szCs w:val="24"/>
          <w:highlight w:val="none"/>
        </w:rPr>
        <w:t xml:space="preserve">     </w:t>
      </w:r>
      <w:r>
        <w:rPr>
          <w:rFonts w:hint="eastAsia" w:ascii="宋体" w:hAnsi="宋体" w:eastAsia="宋体" w:cs="宋体"/>
          <w:color w:val="auto"/>
          <w:kern w:val="2"/>
          <w:sz w:val="24"/>
          <w:szCs w:val="24"/>
          <w:highlight w:val="none"/>
        </w:rPr>
        <w:sym w:font="Wingdings" w:char="00A8"/>
      </w:r>
      <w:r>
        <w:rPr>
          <w:rFonts w:hint="eastAsia" w:ascii="宋体" w:hAnsi="宋体" w:eastAsia="宋体" w:cs="宋体"/>
          <w:color w:val="auto"/>
          <w:kern w:val="2"/>
          <w:sz w:val="24"/>
          <w:szCs w:val="24"/>
          <w:highlight w:val="none"/>
        </w:rPr>
        <w:t>是，绿色产品政府采购相关政策确定的底级品目名称：</w:t>
      </w:r>
      <w:r>
        <w:rPr>
          <w:rFonts w:hint="eastAsia" w:ascii="宋体" w:hAnsi="宋体" w:eastAsia="宋体" w:cs="宋体"/>
          <w:color w:val="auto"/>
          <w:sz w:val="24"/>
          <w:szCs w:val="24"/>
          <w:highlight w:val="none"/>
          <w:u w:val="single"/>
        </w:rPr>
        <w:t xml:space="preserve">         </w:t>
      </w:r>
    </w:p>
    <w:p w14:paraId="66991146">
      <w:pPr>
        <w:numPr>
          <w:ilvl w:val="255"/>
          <w:numId w:val="0"/>
        </w:numPr>
        <w:tabs>
          <w:tab w:val="left" w:pos="740"/>
        </w:tabs>
        <w:adjustRightInd w:val="0"/>
        <w:snapToGrid w:val="0"/>
        <w:spacing w:line="360" w:lineRule="auto"/>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强制采购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优先采购    </w:t>
      </w:r>
    </w:p>
    <w:p w14:paraId="178973F8">
      <w:pPr>
        <w:pStyle w:val="69"/>
        <w:spacing w:line="360" w:lineRule="auto"/>
        <w:ind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 xml:space="preserve">     </w:t>
      </w:r>
      <w:r>
        <w:rPr>
          <w:rFonts w:hint="eastAsia" w:ascii="宋体" w:hAnsi="宋体" w:eastAsia="宋体" w:cs="宋体"/>
          <w:color w:val="auto"/>
          <w:kern w:val="2"/>
          <w:sz w:val="24"/>
          <w:szCs w:val="24"/>
          <w:highlight w:val="none"/>
        </w:rPr>
        <w:sym w:font="Wingdings" w:char="00A8"/>
      </w:r>
      <w:r>
        <w:rPr>
          <w:rFonts w:hint="eastAsia" w:ascii="宋体" w:hAnsi="宋体" w:eastAsia="宋体" w:cs="宋体"/>
          <w:color w:val="auto"/>
          <w:kern w:val="2"/>
          <w:sz w:val="24"/>
          <w:szCs w:val="24"/>
          <w:highlight w:val="none"/>
        </w:rPr>
        <w:t>否</w:t>
      </w:r>
    </w:p>
    <w:p w14:paraId="3157FF84">
      <w:pPr>
        <w:numPr>
          <w:ilvl w:val="255"/>
          <w:numId w:val="0"/>
        </w:num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w:t>
      </w:r>
      <w:r>
        <w:rPr>
          <w:rFonts w:hint="eastAsia" w:ascii="宋体" w:hAnsi="宋体" w:eastAsia="宋体" w:cs="宋体"/>
          <w:color w:val="auto"/>
          <w:sz w:val="24"/>
          <w:szCs w:val="24"/>
          <w:highlight w:val="none"/>
          <w:lang w:val="en"/>
        </w:rPr>
        <w:t>1</w:t>
      </w:r>
      <w:r>
        <w:rPr>
          <w:rFonts w:hint="eastAsia" w:ascii="宋体" w:hAnsi="宋体" w:eastAsia="宋体" w:cs="宋体"/>
          <w:color w:val="auto"/>
          <w:sz w:val="24"/>
          <w:szCs w:val="24"/>
          <w:highlight w:val="none"/>
        </w:rPr>
        <w:t>）涉及商品包装和快递包装的，是否参考《商品包装政府采购需求标准（试行）》、《快递包装政府采购需求标准（试行）》明确产品及相关快递服务的具体包装要求：</w:t>
      </w:r>
    </w:p>
    <w:p w14:paraId="17250C3E">
      <w:pPr>
        <w:numPr>
          <w:ilvl w:val="255"/>
          <w:numId w:val="0"/>
        </w:numPr>
        <w:adjustRightInd w:val="0"/>
        <w:snapToGrid w:val="0"/>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否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不涉及</w:t>
      </w:r>
    </w:p>
    <w:p w14:paraId="4199C56E">
      <w:pPr>
        <w:numPr>
          <w:ilvl w:val="0"/>
          <w:numId w:val="3"/>
        </w:numPr>
        <w:adjustRightInd w:val="0"/>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合同金额</w:t>
      </w:r>
    </w:p>
    <w:p w14:paraId="2525E542">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（1）合同金额小写：</w:t>
      </w:r>
      <w:r>
        <w:rPr>
          <w:rFonts w:hint="eastAsia" w:ascii="宋体" w:hAnsi="宋体" w:eastAsia="宋体" w:cs="宋体"/>
          <w:color w:val="auto"/>
          <w:sz w:val="24"/>
          <w:szCs w:val="24"/>
          <w:highlight w:val="none"/>
          <w:u w:val="single"/>
        </w:rPr>
        <w:t xml:space="preserve">                           </w:t>
      </w:r>
    </w:p>
    <w:p w14:paraId="2D04DBA8">
      <w:pPr>
        <w:adjustRightInd w:val="0"/>
        <w:snapToGrid w:val="0"/>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大写：</w:t>
      </w:r>
      <w:r>
        <w:rPr>
          <w:rFonts w:hint="eastAsia" w:ascii="宋体" w:hAnsi="宋体" w:eastAsia="宋体" w:cs="宋体"/>
          <w:color w:val="auto"/>
          <w:sz w:val="24"/>
          <w:szCs w:val="24"/>
          <w:highlight w:val="none"/>
          <w:u w:val="single"/>
        </w:rPr>
        <w:t xml:space="preserve">                           </w:t>
      </w:r>
    </w:p>
    <w:p w14:paraId="2CBEEA8B">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分包金额（如有）小写：</w:t>
      </w:r>
      <w:r>
        <w:rPr>
          <w:rFonts w:hint="eastAsia" w:ascii="宋体" w:hAnsi="宋体" w:eastAsia="宋体" w:cs="宋体"/>
          <w:color w:val="auto"/>
          <w:sz w:val="24"/>
          <w:szCs w:val="24"/>
          <w:highlight w:val="none"/>
          <w:u w:val="single"/>
        </w:rPr>
        <w:t xml:space="preserve">                   </w:t>
      </w:r>
    </w:p>
    <w:p w14:paraId="51AEFC43">
      <w:pPr>
        <w:adjustRightInd w:val="0"/>
        <w:snapToGrid w:val="0"/>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大写：</w:t>
      </w:r>
      <w:r>
        <w:rPr>
          <w:rFonts w:hint="eastAsia" w:ascii="宋体" w:hAnsi="宋体" w:eastAsia="宋体" w:cs="宋体"/>
          <w:color w:val="auto"/>
          <w:sz w:val="24"/>
          <w:szCs w:val="24"/>
          <w:highlight w:val="none"/>
          <w:u w:val="single"/>
        </w:rPr>
        <w:t xml:space="preserve">                       </w:t>
      </w:r>
    </w:p>
    <w:p w14:paraId="1B150E9E">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（注：固定单价合同应填写单价和最高限价）</w:t>
      </w:r>
    </w:p>
    <w:p w14:paraId="6ACDB8AC">
      <w:pPr>
        <w:numPr>
          <w:ilvl w:val="255"/>
          <w:numId w:val="0"/>
        </w:num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（2）合同定价方式（采用组合定价方式的，可以勾选多项）：</w:t>
      </w:r>
    </w:p>
    <w:p w14:paraId="4522CF55">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iCs/>
          <w:color w:val="auto"/>
          <w:sz w:val="24"/>
          <w:szCs w:val="24"/>
          <w:highlight w:val="none"/>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固定总价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固定单价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固定费率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成本补偿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绩效激励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其他</w:t>
      </w:r>
      <w:r>
        <w:rPr>
          <w:rFonts w:hint="eastAsia" w:ascii="宋体" w:hAnsi="宋体" w:eastAsia="宋体" w:cs="宋体"/>
          <w:color w:val="auto"/>
          <w:sz w:val="24"/>
          <w:szCs w:val="24"/>
          <w:highlight w:val="none"/>
          <w:u w:val="single"/>
        </w:rPr>
        <w:t xml:space="preserve">       </w:t>
      </w:r>
    </w:p>
    <w:p w14:paraId="368A12BA">
      <w:pPr>
        <w:pStyle w:val="7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（3）付款方式（按项目实际勾选填写）：</w:t>
      </w:r>
    </w:p>
    <w:p w14:paraId="3770A1FC">
      <w:pPr>
        <w:adjustRightInd w:val="0"/>
        <w:snapToGrid w:val="0"/>
        <w:spacing w:line="360" w:lineRule="auto"/>
        <w:ind w:firstLine="720" w:firstLineChars="3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全额付款：</w:t>
      </w:r>
      <w:r>
        <w:rPr>
          <w:rFonts w:hint="eastAsia" w:ascii="宋体" w:hAnsi="宋体" w:eastAsia="宋体" w:cs="宋体"/>
          <w:color w:val="auto"/>
          <w:sz w:val="24"/>
          <w:szCs w:val="24"/>
          <w:highlight w:val="none"/>
          <w:u w:val="single"/>
        </w:rPr>
        <w:t xml:space="preserve">     （应明确一次性支付合同款项的条件）                    </w:t>
      </w:r>
    </w:p>
    <w:p w14:paraId="4939359A">
      <w:pPr>
        <w:snapToGrid w:val="0"/>
        <w:spacing w:line="360" w:lineRule="auto"/>
        <w:ind w:firstLine="720" w:firstLineChars="3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分期付款：</w:t>
      </w:r>
      <w:r>
        <w:rPr>
          <w:rFonts w:hint="eastAsia" w:ascii="宋体" w:hAnsi="宋体" w:eastAsia="宋体" w:cs="宋体"/>
          <w:color w:val="auto"/>
          <w:sz w:val="24"/>
          <w:szCs w:val="24"/>
          <w:highlight w:val="none"/>
          <w:u w:val="single"/>
        </w:rPr>
        <w:t xml:space="preserve">  </w:t>
      </w:r>
      <w:r>
        <w:rPr>
          <w:rFonts w:hint="eastAsia" w:ascii="宋体" w:hAnsi="宋体" w:eastAsia="宋体"/>
          <w:b/>
          <w:bCs/>
          <w:color w:val="auto"/>
          <w:sz w:val="24"/>
          <w:highlight w:val="none"/>
          <w:u w:val="single"/>
        </w:rPr>
        <w:t>合同签订且具备实施条件后，支付合同价的40%预付款（预付款支付前，中标人须提供同等金额的见索即付保函），全部供货安装调试运行完毕并由采购人验收合格后，一次性付清结算价款</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，其中涉及预付款的：</w:t>
      </w:r>
      <w:r>
        <w:rPr>
          <w:rFonts w:hint="eastAsia" w:ascii="宋体" w:hAnsi="宋体" w:eastAsia="宋体" w:cs="宋体"/>
          <w:b/>
          <w:bCs/>
          <w:color w:val="auto"/>
          <w:sz w:val="24"/>
          <w:szCs w:val="24"/>
          <w:highlight w:val="none"/>
          <w:u w:val="single"/>
        </w:rPr>
        <w:t xml:space="preserve"> （应明确预付款的支付比例和支付条件） </w:t>
      </w:r>
    </w:p>
    <w:p w14:paraId="5B69929F">
      <w:pPr>
        <w:adjustRightInd w:val="0"/>
        <w:snapToGrid w:val="0"/>
        <w:spacing w:line="360" w:lineRule="auto"/>
        <w:ind w:firstLine="720" w:firstLineChars="3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成本补偿：</w:t>
      </w:r>
      <w:r>
        <w:rPr>
          <w:rFonts w:hint="eastAsia" w:ascii="宋体" w:hAnsi="宋体" w:eastAsia="宋体" w:cs="宋体"/>
          <w:color w:val="auto"/>
          <w:sz w:val="24"/>
          <w:szCs w:val="24"/>
          <w:highlight w:val="none"/>
          <w:u w:val="single"/>
        </w:rPr>
        <w:t xml:space="preserve">      （应明确按照成本补偿方式的支付方式和支付条件）   </w:t>
      </w:r>
    </w:p>
    <w:p w14:paraId="05F2D4EA">
      <w:pPr>
        <w:adjustRightInd w:val="0"/>
        <w:snapToGrid w:val="0"/>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绩效激励：</w:t>
      </w:r>
      <w:r>
        <w:rPr>
          <w:rFonts w:hint="eastAsia" w:ascii="宋体" w:hAnsi="宋体" w:eastAsia="宋体" w:cs="宋体"/>
          <w:color w:val="auto"/>
          <w:sz w:val="24"/>
          <w:szCs w:val="24"/>
          <w:highlight w:val="none"/>
          <w:u w:val="single"/>
        </w:rPr>
        <w:t xml:space="preserve">      （应明确按照绩效激励方式的支付方式和支付条件）   </w:t>
      </w:r>
    </w:p>
    <w:p w14:paraId="1D5AC2A2">
      <w:pPr>
        <w:numPr>
          <w:ilvl w:val="0"/>
          <w:numId w:val="3"/>
        </w:numPr>
        <w:adjustRightInd w:val="0"/>
        <w:snapToGrid w:val="0"/>
        <w:spacing w:line="360" w:lineRule="auto"/>
        <w:ind w:firstLine="482" w:firstLineChars="200"/>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合同履行</w:t>
      </w:r>
    </w:p>
    <w:p w14:paraId="20A43747">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（1）起始日期：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日，完成日期：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76CD59A9">
      <w:pPr>
        <w:adjustRightInd w:val="0"/>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（2）履约地点</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u w:val="single"/>
        </w:rPr>
        <w:t xml:space="preserve">   滁州职业技术学院    </w:t>
      </w:r>
    </w:p>
    <w:p w14:paraId="0FED1C4F">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（3）履约担保：</w:t>
      </w:r>
      <w:r>
        <w:rPr>
          <w:rFonts w:hint="eastAsia" w:ascii="宋体" w:hAnsi="宋体" w:eastAsia="宋体" w:cs="宋体"/>
          <w:color w:val="auto"/>
          <w:sz w:val="24"/>
          <w:szCs w:val="24"/>
          <w:highlight w:val="none"/>
        </w:rPr>
        <w:t>是否收取履约保证金：</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否</w:t>
      </w:r>
    </w:p>
    <w:p w14:paraId="3B9A6592">
      <w:pPr>
        <w:wordWrap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kern w:val="0"/>
          <w:sz w:val="24"/>
          <w:szCs w:val="24"/>
          <w:highlight w:val="none"/>
        </w:rPr>
        <w:t>收取履约保证金形式：</w:t>
      </w:r>
      <w:r>
        <w:rPr>
          <w:rFonts w:hint="eastAsia" w:ascii="宋体" w:hAnsi="宋体" w:eastAsia="宋体" w:cs="宋体"/>
          <w:color w:val="auto"/>
          <w:kern w:val="0"/>
          <w:sz w:val="24"/>
          <w:szCs w:val="24"/>
          <w:highlight w:val="none"/>
          <w:u w:val="single"/>
        </w:rPr>
        <w:sym w:font="Wingdings" w:char="00FE"/>
      </w:r>
      <w:r>
        <w:rPr>
          <w:rFonts w:ascii="宋体" w:hAnsi="宋体" w:eastAsia="宋体" w:cs="宋体"/>
          <w:color w:val="auto"/>
          <w:kern w:val="0"/>
          <w:sz w:val="24"/>
          <w:szCs w:val="24"/>
          <w:highlight w:val="none"/>
          <w:u w:val="single"/>
        </w:rPr>
        <w:t>转账/电汇</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rPr>
        <w:sym w:font="Wingdings" w:char="00FE"/>
      </w:r>
      <w:r>
        <w:rPr>
          <w:rFonts w:ascii="宋体" w:hAnsi="宋体" w:eastAsia="宋体" w:cs="宋体"/>
          <w:color w:val="auto"/>
          <w:kern w:val="0"/>
          <w:sz w:val="24"/>
          <w:szCs w:val="24"/>
          <w:highlight w:val="none"/>
          <w:u w:val="single"/>
        </w:rPr>
        <w:t xml:space="preserve">支票 </w:t>
      </w:r>
      <w:r>
        <w:rPr>
          <w:rFonts w:hint="eastAsia" w:ascii="宋体" w:hAnsi="宋体" w:eastAsia="宋体" w:cs="宋体"/>
          <w:color w:val="auto"/>
          <w:kern w:val="0"/>
          <w:sz w:val="24"/>
          <w:szCs w:val="24"/>
          <w:highlight w:val="none"/>
          <w:u w:val="single"/>
        </w:rPr>
        <w:sym w:font="Wingdings" w:char="00FE"/>
      </w:r>
      <w:r>
        <w:rPr>
          <w:rFonts w:ascii="宋体" w:hAnsi="宋体" w:eastAsia="宋体" w:cs="宋体"/>
          <w:color w:val="auto"/>
          <w:kern w:val="0"/>
          <w:sz w:val="24"/>
          <w:szCs w:val="24"/>
          <w:highlight w:val="none"/>
          <w:u w:val="single"/>
        </w:rPr>
        <w:t>汇票</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rPr>
        <w:sym w:font="Wingdings" w:char="00FE"/>
      </w:r>
      <w:r>
        <w:rPr>
          <w:rFonts w:hint="eastAsia" w:ascii="宋体" w:hAnsi="宋体" w:eastAsia="宋体" w:cs="宋体"/>
          <w:color w:val="auto"/>
          <w:kern w:val="0"/>
          <w:sz w:val="24"/>
          <w:szCs w:val="24"/>
          <w:highlight w:val="none"/>
          <w:u w:val="single"/>
        </w:rPr>
        <w:t xml:space="preserve">本票 </w:t>
      </w:r>
      <w:r>
        <w:rPr>
          <w:rFonts w:hint="eastAsia" w:ascii="宋体" w:hAnsi="宋体" w:eastAsia="宋体" w:cs="宋体"/>
          <w:color w:val="auto"/>
          <w:kern w:val="0"/>
          <w:sz w:val="24"/>
          <w:szCs w:val="24"/>
          <w:highlight w:val="none"/>
          <w:u w:val="single"/>
        </w:rPr>
        <w:sym w:font="Wingdings" w:char="00FE"/>
      </w:r>
      <w:r>
        <w:rPr>
          <w:rFonts w:ascii="宋体" w:hAnsi="宋体" w:eastAsia="宋体" w:cs="宋体"/>
          <w:color w:val="auto"/>
          <w:kern w:val="0"/>
          <w:sz w:val="24"/>
          <w:szCs w:val="24"/>
          <w:highlight w:val="none"/>
          <w:u w:val="single"/>
        </w:rPr>
        <w:t>保</w:t>
      </w:r>
      <w:r>
        <w:rPr>
          <w:rFonts w:hint="eastAsia" w:ascii="宋体" w:hAnsi="宋体" w:eastAsia="宋体" w:cs="宋体"/>
          <w:color w:val="auto"/>
          <w:kern w:val="0"/>
          <w:sz w:val="24"/>
          <w:szCs w:val="24"/>
          <w:highlight w:val="none"/>
          <w:u w:val="single"/>
        </w:rPr>
        <w:t xml:space="preserve">险 </w:t>
      </w:r>
      <w:r>
        <w:rPr>
          <w:rFonts w:hint="eastAsia" w:ascii="宋体" w:hAnsi="宋体" w:eastAsia="宋体" w:cs="宋体"/>
          <w:color w:val="auto"/>
          <w:kern w:val="0"/>
          <w:sz w:val="24"/>
          <w:szCs w:val="24"/>
          <w:highlight w:val="none"/>
          <w:u w:val="single"/>
        </w:rPr>
        <w:sym w:font="Wingdings" w:char="00FE"/>
      </w:r>
      <w:r>
        <w:rPr>
          <w:rFonts w:hint="eastAsia" w:ascii="宋体" w:hAnsi="宋体" w:eastAsia="宋体" w:cs="宋体"/>
          <w:color w:val="auto"/>
          <w:kern w:val="0"/>
          <w:sz w:val="24"/>
          <w:szCs w:val="24"/>
          <w:highlight w:val="none"/>
          <w:u w:val="single"/>
        </w:rPr>
        <w:t>保</w:t>
      </w:r>
      <w:r>
        <w:rPr>
          <w:rFonts w:ascii="宋体" w:hAnsi="宋体" w:eastAsia="宋体" w:cs="宋体"/>
          <w:color w:val="auto"/>
          <w:kern w:val="0"/>
          <w:sz w:val="24"/>
          <w:szCs w:val="24"/>
          <w:highlight w:val="none"/>
          <w:u w:val="single"/>
        </w:rPr>
        <w:t>函</w:t>
      </w:r>
    </w:p>
    <w:p w14:paraId="7276231C">
      <w:pPr>
        <w:pStyle w:val="69"/>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收取履约保证金金额：</w:t>
      </w:r>
      <w:r>
        <w:rPr>
          <w:rFonts w:hint="eastAsia" w:ascii="宋体" w:hAnsi="宋体" w:eastAsia="宋体" w:cs="宋体"/>
          <w:bCs/>
          <w:color w:val="auto"/>
          <w:sz w:val="24"/>
          <w:szCs w:val="24"/>
          <w:highlight w:val="none"/>
          <w:u w:val="single"/>
        </w:rPr>
        <w:t xml:space="preserve">     合同价的 2.5 %    </w:t>
      </w:r>
    </w:p>
    <w:p w14:paraId="43326420">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履约担保期限：</w:t>
      </w:r>
      <w:r>
        <w:rPr>
          <w:rFonts w:hint="eastAsia" w:ascii="宋体" w:hAnsi="宋体" w:eastAsia="宋体" w:cs="宋体"/>
          <w:bCs/>
          <w:color w:val="auto"/>
          <w:sz w:val="24"/>
          <w:szCs w:val="24"/>
          <w:highlight w:val="none"/>
          <w:u w:val="single"/>
        </w:rPr>
        <w:t xml:space="preserve">                                  </w:t>
      </w:r>
    </w:p>
    <w:p w14:paraId="04ABA76D">
      <w:p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（4）分期履行要求：</w:t>
      </w:r>
      <w:r>
        <w:rPr>
          <w:rFonts w:hint="eastAsia" w:ascii="宋体" w:hAnsi="宋体" w:eastAsia="宋体" w:cs="宋体"/>
          <w:bCs/>
          <w:color w:val="auto"/>
          <w:sz w:val="24"/>
          <w:szCs w:val="24"/>
          <w:highlight w:val="none"/>
          <w:u w:val="single"/>
        </w:rPr>
        <w:t xml:space="preserve">                                                        </w:t>
      </w:r>
    </w:p>
    <w:p w14:paraId="34CEDE8E">
      <w:pPr>
        <w:adjustRightInd w:val="0"/>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bCs/>
          <w:color w:val="auto"/>
          <w:sz w:val="24"/>
          <w:szCs w:val="24"/>
          <w:highlight w:val="none"/>
        </w:rPr>
        <w:t>（5）风险处置措施和替代方案：</w:t>
      </w:r>
      <w:r>
        <w:rPr>
          <w:rFonts w:hint="eastAsia" w:ascii="宋体" w:hAnsi="宋体" w:eastAsia="宋体" w:cs="宋体"/>
          <w:color w:val="auto"/>
          <w:sz w:val="24"/>
          <w:szCs w:val="24"/>
          <w:highlight w:val="none"/>
          <w:u w:val="single"/>
        </w:rPr>
        <w:t xml:space="preserve">                                                               </w:t>
      </w:r>
    </w:p>
    <w:p w14:paraId="21431EF6">
      <w:pPr>
        <w:numPr>
          <w:ilvl w:val="0"/>
          <w:numId w:val="3"/>
        </w:numPr>
        <w:adjustRightInd w:val="0"/>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合同验收</w:t>
      </w:r>
    </w:p>
    <w:p w14:paraId="7AC62BB9">
      <w:pPr>
        <w:numPr>
          <w:ilvl w:val="0"/>
          <w:numId w:val="5"/>
        </w:num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验收组织方式：</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自行组织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委托第三方组织</w:t>
      </w:r>
    </w:p>
    <w:p w14:paraId="4204E435">
      <w:pPr>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验收主体：</w:t>
      </w:r>
      <w:r>
        <w:rPr>
          <w:rFonts w:hint="eastAsia" w:ascii="宋体" w:hAnsi="宋体" w:eastAsia="宋体" w:cs="宋体"/>
          <w:bCs/>
          <w:color w:val="auto"/>
          <w:sz w:val="24"/>
          <w:szCs w:val="24"/>
          <w:highlight w:val="none"/>
          <w:u w:val="single"/>
        </w:rPr>
        <w:t xml:space="preserve">                  </w:t>
      </w:r>
    </w:p>
    <w:p w14:paraId="618473A9">
      <w:pPr>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是否邀请本项目的其他供应商参加验收：</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51F8CCE7">
      <w:pPr>
        <w:adjustRightInd w:val="0"/>
        <w:snapToGrid w:val="0"/>
        <w:spacing w:line="360" w:lineRule="auto"/>
        <w:ind w:firstLine="960" w:firstLineChars="4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是否邀请专家参加验收：</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606F0D35">
      <w:pPr>
        <w:adjustRightInd w:val="0"/>
        <w:snapToGrid w:val="0"/>
        <w:spacing w:line="360" w:lineRule="auto"/>
        <w:ind w:firstLine="960" w:firstLineChars="4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是否邀请服务对象参加验收：</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4AE18EB5">
      <w:pPr>
        <w:adjustRightInd w:val="0"/>
        <w:snapToGrid w:val="0"/>
        <w:spacing w:line="360" w:lineRule="auto"/>
        <w:ind w:firstLine="960" w:firstLineChars="4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是否邀请第三方检测机构参加验收：</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174F6C09">
      <w:pPr>
        <w:adjustRightInd w:val="0"/>
        <w:snapToGrid w:val="0"/>
        <w:spacing w:line="360" w:lineRule="auto"/>
        <w:ind w:firstLine="960" w:firstLineChars="4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是否进行抽查检测：</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是，抽查比例：</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00FA2CBA">
      <w:pPr>
        <w:adjustRightInd w:val="0"/>
        <w:snapToGrid w:val="0"/>
        <w:spacing w:line="360" w:lineRule="auto"/>
        <w:ind w:firstLine="960" w:firstLineChars="4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是否存在破坏性检测：</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是，</w:t>
      </w:r>
      <w:r>
        <w:rPr>
          <w:rFonts w:hint="eastAsia" w:ascii="宋体" w:hAnsi="宋体" w:eastAsia="宋体" w:cs="宋体"/>
          <w:bCs/>
          <w:color w:val="auto"/>
          <w:sz w:val="24"/>
          <w:szCs w:val="24"/>
          <w:highlight w:val="none"/>
          <w:u w:val="single"/>
        </w:rPr>
        <w:t>（应明确对被破坏的检测产品的处理方式）</w:t>
      </w:r>
    </w:p>
    <w:p w14:paraId="1D738EA7">
      <w:pPr>
        <w:adjustRightInd w:val="0"/>
        <w:snapToGrid w:val="0"/>
        <w:spacing w:line="360" w:lineRule="auto"/>
        <w:ind w:firstLine="960" w:firstLineChars="4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62062968">
      <w:pPr>
        <w:adjustRightInd w:val="0"/>
        <w:snapToGrid w:val="0"/>
        <w:spacing w:line="360" w:lineRule="auto"/>
        <w:ind w:firstLine="960" w:firstLineChars="4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验收组织的其他事项：</w:t>
      </w:r>
      <w:r>
        <w:rPr>
          <w:rFonts w:hint="eastAsia" w:ascii="宋体" w:hAnsi="宋体" w:eastAsia="宋体" w:cs="宋体"/>
          <w:bCs/>
          <w:color w:val="auto"/>
          <w:sz w:val="24"/>
          <w:szCs w:val="24"/>
          <w:highlight w:val="none"/>
          <w:u w:val="single"/>
        </w:rPr>
        <w:t xml:space="preserve">                </w:t>
      </w:r>
    </w:p>
    <w:p w14:paraId="66FACEF2">
      <w:pPr>
        <w:adjustRightInd w:val="0"/>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（2）履约验收时间：</w:t>
      </w:r>
      <w:r>
        <w:rPr>
          <w:rFonts w:hint="eastAsia" w:ascii="宋体" w:hAnsi="宋体" w:eastAsia="宋体" w:cs="宋体"/>
          <w:bCs/>
          <w:color w:val="auto"/>
          <w:sz w:val="24"/>
          <w:szCs w:val="24"/>
          <w:highlight w:val="none"/>
          <w:u w:val="single"/>
        </w:rPr>
        <w:t xml:space="preserve">（计划于何时验收/供应商提出验收申请之日起   日内组织验收） </w:t>
      </w:r>
    </w:p>
    <w:p w14:paraId="3EFE26E9">
      <w:p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（3）履约验收方式：</w:t>
      </w:r>
      <w:r>
        <w:rPr>
          <w:rFonts w:hint="eastAsia" w:ascii="宋体" w:hAnsi="宋体" w:eastAsia="宋体" w:cs="宋体"/>
          <w:color w:val="auto"/>
          <w:sz w:val="24"/>
          <w:szCs w:val="24"/>
          <w:highlight w:val="none"/>
        </w:rPr>
        <w:sym w:font="Wingdings" w:char="00FE"/>
      </w:r>
      <w:r>
        <w:rPr>
          <w:rFonts w:hint="eastAsia" w:ascii="宋体" w:hAnsi="宋体" w:eastAsia="宋体" w:cs="宋体"/>
          <w:bCs/>
          <w:color w:val="auto"/>
          <w:sz w:val="24"/>
          <w:szCs w:val="24"/>
          <w:highlight w:val="none"/>
        </w:rPr>
        <w:t xml:space="preserve">一次性验收         </w:t>
      </w:r>
    </w:p>
    <w:p w14:paraId="744F5EA8">
      <w:pPr>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分期/分项验收：</w:t>
      </w:r>
      <w:r>
        <w:rPr>
          <w:rFonts w:hint="eastAsia" w:ascii="宋体" w:hAnsi="宋体" w:eastAsia="宋体" w:cs="宋体"/>
          <w:bCs/>
          <w:color w:val="auto"/>
          <w:sz w:val="24"/>
          <w:szCs w:val="24"/>
          <w:highlight w:val="none"/>
          <w:u w:val="single"/>
        </w:rPr>
        <w:t xml:space="preserve"> （应明确分期</w:t>
      </w:r>
      <w:r>
        <w:rPr>
          <w:rFonts w:hint="eastAsia" w:ascii="宋体" w:hAnsi="宋体" w:eastAsia="宋体" w:cs="宋体"/>
          <w:bCs/>
          <w:color w:val="auto"/>
          <w:sz w:val="24"/>
          <w:szCs w:val="24"/>
          <w:highlight w:val="none"/>
          <w:u w:val="single"/>
          <w:lang w:val="en"/>
        </w:rPr>
        <w:t>/分项验收的工作安排</w:t>
      </w:r>
      <w:r>
        <w:rPr>
          <w:rFonts w:hint="eastAsia" w:ascii="宋体" w:hAnsi="宋体" w:eastAsia="宋体" w:cs="宋体"/>
          <w:bCs/>
          <w:color w:val="auto"/>
          <w:sz w:val="24"/>
          <w:szCs w:val="24"/>
          <w:highlight w:val="none"/>
          <w:u w:val="single"/>
        </w:rPr>
        <w:t xml:space="preserve">）  </w:t>
      </w:r>
    </w:p>
    <w:p w14:paraId="40633E78">
      <w:p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（4）履约验收程序：</w:t>
      </w:r>
      <w:r>
        <w:rPr>
          <w:rFonts w:hint="eastAsia" w:ascii="宋体" w:hAnsi="宋体" w:eastAsia="宋体" w:cs="宋体"/>
          <w:bCs/>
          <w:color w:val="auto"/>
          <w:sz w:val="24"/>
          <w:szCs w:val="24"/>
          <w:highlight w:val="none"/>
          <w:u w:val="single"/>
        </w:rPr>
        <w:t xml:space="preserve">                                         </w:t>
      </w:r>
    </w:p>
    <w:p w14:paraId="4AC2555F">
      <w:pPr>
        <w:adjustRightInd w:val="0"/>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（5）履约验收的内容：</w:t>
      </w:r>
      <w:r>
        <w:rPr>
          <w:rFonts w:hint="eastAsia" w:ascii="宋体" w:hAnsi="宋体" w:eastAsia="宋体" w:cs="宋体"/>
          <w:bCs/>
          <w:color w:val="auto"/>
          <w:sz w:val="24"/>
          <w:szCs w:val="24"/>
          <w:highlight w:val="none"/>
          <w:u w:val="single"/>
        </w:rPr>
        <w:t xml:space="preserve"> （应当包括每一项技术和商务要求的履约情况，特别是落实政府采购扶持中小企业，支持绿色发展和乡村振兴等政策情况）                                      </w:t>
      </w:r>
    </w:p>
    <w:p w14:paraId="2B5E0D1F">
      <w:pPr>
        <w:adjustRightInd w:val="0"/>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（6）履约验收标准：</w:t>
      </w:r>
      <w:r>
        <w:rPr>
          <w:rFonts w:hint="eastAsia" w:ascii="宋体" w:hAnsi="宋体" w:eastAsia="宋体" w:cs="宋体"/>
          <w:bCs/>
          <w:color w:val="auto"/>
          <w:sz w:val="24"/>
          <w:szCs w:val="24"/>
          <w:highlight w:val="none"/>
          <w:u w:val="single"/>
        </w:rPr>
        <w:t xml:space="preserve">                                         </w:t>
      </w:r>
    </w:p>
    <w:p w14:paraId="41F5F689">
      <w:pPr>
        <w:pStyle w:val="69"/>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（7）是否以采购活动中供应商提供的样品作为参考：</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12923F34">
      <w:pPr>
        <w:adjustRightInd w:val="0"/>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（8）履约验收其他事项：</w:t>
      </w:r>
      <w:r>
        <w:rPr>
          <w:rFonts w:hint="eastAsia" w:ascii="宋体" w:hAnsi="宋体" w:eastAsia="宋体" w:cs="宋体"/>
          <w:bCs/>
          <w:color w:val="auto"/>
          <w:sz w:val="24"/>
          <w:szCs w:val="24"/>
          <w:highlight w:val="none"/>
          <w:u w:val="single"/>
        </w:rPr>
        <w:t xml:space="preserve">      （产权过户登记等）          </w:t>
      </w:r>
    </w:p>
    <w:p w14:paraId="18E13065">
      <w:pPr>
        <w:numPr>
          <w:ilvl w:val="0"/>
          <w:numId w:val="3"/>
        </w:numPr>
        <w:adjustRightInd w:val="0"/>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组成合同的文件</w:t>
      </w:r>
    </w:p>
    <w:p w14:paraId="5500EE55">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本协议书与下列文件一起构成合同文件，如下述文件之间有任何抵触、矛盾或歧义，应按以下顺序解释：</w:t>
      </w:r>
    </w:p>
    <w:p w14:paraId="2ADFA49F">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（1）政府采购合同协议书及其变更、补充协议</w:t>
      </w:r>
    </w:p>
    <w:p w14:paraId="0092542A">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（2）政府采购合同专用条款</w:t>
      </w:r>
    </w:p>
    <w:p w14:paraId="1822805E">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（3）政府采购合同通用条款</w:t>
      </w:r>
    </w:p>
    <w:p w14:paraId="3A486C83">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（4）中标（成交）通知书</w:t>
      </w:r>
    </w:p>
    <w:p w14:paraId="4A072DDA">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（5）投标（响应）文件</w:t>
      </w:r>
    </w:p>
    <w:p w14:paraId="74FE4BB1">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（6）采购文件</w:t>
      </w:r>
    </w:p>
    <w:p w14:paraId="2459D0BB">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（7）有关技术文件，图纸</w:t>
      </w:r>
    </w:p>
    <w:p w14:paraId="1AB92E46">
      <w:pPr>
        <w:pStyle w:val="69"/>
        <w:spacing w:line="360" w:lineRule="auto"/>
        <w:ind w:firstLine="480"/>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kern w:val="2"/>
          <w:sz w:val="24"/>
          <w:szCs w:val="24"/>
          <w:highlight w:val="none"/>
        </w:rPr>
        <w:t>国家法律、行政法规和规章制度规定或合同约定的作为合同组成部分的其他文件</w:t>
      </w:r>
    </w:p>
    <w:p w14:paraId="15680C26">
      <w:pPr>
        <w:numPr>
          <w:ilvl w:val="0"/>
          <w:numId w:val="3"/>
        </w:numPr>
        <w:adjustRightInd w:val="0"/>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合同生效</w:t>
      </w:r>
    </w:p>
    <w:p w14:paraId="741CBD1C">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本合同自</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生效。</w:t>
      </w:r>
    </w:p>
    <w:p w14:paraId="2FD6FFC3">
      <w:pPr>
        <w:numPr>
          <w:ilvl w:val="0"/>
          <w:numId w:val="3"/>
        </w:numPr>
        <w:adjustRightInd w:val="0"/>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合同份数</w:t>
      </w:r>
    </w:p>
    <w:p w14:paraId="2EEC7088">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本合同一式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份，甲方执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份，乙方执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份，均具有同等法律效力。</w:t>
      </w:r>
    </w:p>
    <w:p w14:paraId="4C67AC86">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合同订立时间：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6E7A3FC2">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合同订立地点：</w:t>
      </w:r>
      <w:r>
        <w:rPr>
          <w:rFonts w:hint="eastAsia" w:ascii="宋体" w:hAnsi="宋体" w:eastAsia="宋体" w:cs="宋体"/>
          <w:color w:val="auto"/>
          <w:sz w:val="24"/>
          <w:szCs w:val="24"/>
          <w:highlight w:val="none"/>
          <w:u w:val="single"/>
        </w:rPr>
        <w:t xml:space="preserve">                           </w:t>
      </w:r>
    </w:p>
    <w:p w14:paraId="640509CD">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附件：具体标的及其技术要求和商务要求、联合协议、分包意向协议等。</w:t>
      </w:r>
    </w:p>
    <w:p w14:paraId="63A5A87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50289C18">
      <w:pPr>
        <w:pStyle w:val="70"/>
        <w:spacing w:line="360" w:lineRule="auto"/>
        <w:ind w:firstLine="480"/>
        <w:rPr>
          <w:rFonts w:hint="eastAsia" w:ascii="宋体" w:hAnsi="宋体" w:eastAsia="宋体" w:cs="宋体"/>
          <w:color w:val="auto"/>
          <w:sz w:val="24"/>
          <w:szCs w:val="24"/>
          <w:highlight w:val="none"/>
        </w:rPr>
      </w:pPr>
    </w:p>
    <w:tbl>
      <w:tblPr>
        <w:tblStyle w:val="23"/>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61"/>
        <w:gridCol w:w="2628"/>
        <w:gridCol w:w="2156"/>
        <w:gridCol w:w="2306"/>
      </w:tblGrid>
      <w:tr w14:paraId="2461751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71F11375">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甲方（采购人、受采购人委托签订合同的单位或采购文件约定的合同甲方）</w:t>
            </w:r>
          </w:p>
        </w:tc>
        <w:tc>
          <w:tcPr>
            <w:tcW w:w="2437" w:type="pct"/>
            <w:gridSpan w:val="2"/>
            <w:tcBorders>
              <w:left w:val="single" w:color="auto" w:sz="2" w:space="0"/>
              <w:bottom w:val="single" w:color="auto" w:sz="2" w:space="0"/>
            </w:tcBorders>
            <w:vAlign w:val="center"/>
          </w:tcPr>
          <w:p w14:paraId="798DD84F">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乙方（供应商）</w:t>
            </w:r>
          </w:p>
        </w:tc>
      </w:tr>
      <w:tr w14:paraId="01AC5FE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70ACFB3E">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40360ED8">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687209F">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单位名称（公章或合同章）</w:t>
            </w:r>
          </w:p>
        </w:tc>
        <w:tc>
          <w:tcPr>
            <w:tcW w:w="1259" w:type="pct"/>
            <w:tcBorders>
              <w:top w:val="single" w:color="auto" w:sz="2" w:space="0"/>
              <w:left w:val="single" w:color="auto" w:sz="2" w:space="0"/>
              <w:bottom w:val="single" w:color="auto" w:sz="2" w:space="0"/>
            </w:tcBorders>
            <w:vAlign w:val="center"/>
          </w:tcPr>
          <w:p w14:paraId="73A2126F">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4617A9D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3FB1036D">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p w14:paraId="1E1D5978">
            <w:pPr>
              <w:adjustRightInd w:val="0"/>
              <w:snapToGrid w:val="0"/>
              <w:spacing w:line="360" w:lineRule="auto"/>
              <w:ind w:firstLine="115" w:firstLineChars="4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3C2D54C4">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right w:val="single" w:color="auto" w:sz="2" w:space="0"/>
            </w:tcBorders>
            <w:vAlign w:val="center"/>
          </w:tcPr>
          <w:p w14:paraId="2B918F9B">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p w14:paraId="429B7C38">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或其委托代理人（签章）</w:t>
            </w:r>
          </w:p>
        </w:tc>
        <w:tc>
          <w:tcPr>
            <w:tcW w:w="1259" w:type="pct"/>
            <w:tcBorders>
              <w:top w:val="single" w:color="auto" w:sz="2" w:space="0"/>
              <w:left w:val="single" w:color="auto" w:sz="2" w:space="0"/>
              <w:bottom w:val="single" w:color="auto" w:sz="2" w:space="0"/>
            </w:tcBorders>
            <w:vAlign w:val="center"/>
          </w:tcPr>
          <w:p w14:paraId="0E4459A4">
            <w:pPr>
              <w:adjustRightInd w:val="0"/>
              <w:snapToGrid w:val="0"/>
              <w:spacing w:line="360" w:lineRule="auto"/>
              <w:jc w:val="center"/>
              <w:rPr>
                <w:rFonts w:hint="eastAsia" w:ascii="宋体" w:hAnsi="宋体" w:eastAsia="宋体" w:cs="宋体"/>
                <w:color w:val="auto"/>
                <w:sz w:val="24"/>
                <w:szCs w:val="24"/>
                <w:highlight w:val="none"/>
              </w:rPr>
            </w:pPr>
          </w:p>
        </w:tc>
      </w:tr>
      <w:tr w14:paraId="31108D2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4C84FF3E">
            <w:pPr>
              <w:adjustRightInd w:val="0"/>
              <w:snapToGrid w:val="0"/>
              <w:spacing w:line="360" w:lineRule="auto"/>
              <w:jc w:val="center"/>
              <w:rPr>
                <w:rFonts w:hint="eastAsia" w:ascii="宋体" w:hAnsi="宋体" w:eastAsia="宋体" w:cs="宋体"/>
                <w:color w:val="auto"/>
                <w:sz w:val="24"/>
                <w:szCs w:val="24"/>
                <w:highlight w:val="none"/>
              </w:rPr>
            </w:pPr>
          </w:p>
        </w:tc>
        <w:tc>
          <w:tcPr>
            <w:tcW w:w="1436" w:type="pct"/>
            <w:vMerge w:val="continue"/>
            <w:tcBorders>
              <w:left w:val="single" w:color="auto" w:sz="2" w:space="0"/>
              <w:bottom w:val="single" w:color="auto" w:sz="2" w:space="0"/>
              <w:right w:val="single" w:color="auto" w:sz="2" w:space="0"/>
            </w:tcBorders>
            <w:vAlign w:val="center"/>
          </w:tcPr>
          <w:p w14:paraId="0AEB1E59">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E1AB23F">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拥有者性别</w:t>
            </w:r>
          </w:p>
        </w:tc>
        <w:tc>
          <w:tcPr>
            <w:tcW w:w="1259" w:type="pct"/>
            <w:tcBorders>
              <w:top w:val="single" w:color="auto" w:sz="2" w:space="0"/>
              <w:left w:val="single" w:color="auto" w:sz="2" w:space="0"/>
              <w:bottom w:val="single" w:color="auto" w:sz="2" w:space="0"/>
            </w:tcBorders>
            <w:vAlign w:val="center"/>
          </w:tcPr>
          <w:p w14:paraId="276E2437">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0E49FD3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7694A43">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7B44B2F2">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961430A">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住  所</w:t>
            </w:r>
          </w:p>
        </w:tc>
        <w:tc>
          <w:tcPr>
            <w:tcW w:w="1259" w:type="pct"/>
            <w:tcBorders>
              <w:top w:val="single" w:color="auto" w:sz="2" w:space="0"/>
              <w:left w:val="single" w:color="auto" w:sz="2" w:space="0"/>
              <w:bottom w:val="single" w:color="auto" w:sz="2" w:space="0"/>
            </w:tcBorders>
            <w:vAlign w:val="center"/>
          </w:tcPr>
          <w:p w14:paraId="42B8A6C3">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7DC63A3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ECCA6B3">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42D3E2D5">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140424E">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 系 人</w:t>
            </w:r>
          </w:p>
        </w:tc>
        <w:tc>
          <w:tcPr>
            <w:tcW w:w="1259" w:type="pct"/>
            <w:tcBorders>
              <w:top w:val="single" w:color="auto" w:sz="2" w:space="0"/>
              <w:left w:val="single" w:color="auto" w:sz="2" w:space="0"/>
              <w:bottom w:val="single" w:color="auto" w:sz="2" w:space="0"/>
            </w:tcBorders>
            <w:vAlign w:val="center"/>
          </w:tcPr>
          <w:p w14:paraId="172C37E6">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3559800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BCA23F6">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0C41B917">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4E4E5E4">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1259" w:type="pct"/>
            <w:tcBorders>
              <w:top w:val="single" w:color="auto" w:sz="2" w:space="0"/>
              <w:left w:val="single" w:color="auto" w:sz="2" w:space="0"/>
              <w:bottom w:val="single" w:color="auto" w:sz="2" w:space="0"/>
            </w:tcBorders>
            <w:vAlign w:val="center"/>
          </w:tcPr>
          <w:p w14:paraId="3A795BE9">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63A3BBE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FA2813A">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6BD224C6">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925A413">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p>
        </w:tc>
        <w:tc>
          <w:tcPr>
            <w:tcW w:w="1259" w:type="pct"/>
            <w:tcBorders>
              <w:top w:val="single" w:color="auto" w:sz="2" w:space="0"/>
              <w:left w:val="single" w:color="auto" w:sz="2" w:space="0"/>
              <w:bottom w:val="single" w:color="auto" w:sz="2" w:space="0"/>
            </w:tcBorders>
            <w:vAlign w:val="center"/>
          </w:tcPr>
          <w:p w14:paraId="5D5B0A04">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1DD5F48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858F8B5">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439497D1">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E492EC3">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1259" w:type="pct"/>
            <w:tcBorders>
              <w:top w:val="single" w:color="auto" w:sz="2" w:space="0"/>
              <w:left w:val="single" w:color="auto" w:sz="2" w:space="0"/>
              <w:bottom w:val="single" w:color="auto" w:sz="2" w:space="0"/>
            </w:tcBorders>
            <w:vAlign w:val="center"/>
          </w:tcPr>
          <w:p w14:paraId="592C65A0">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1979CDB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A6D5C5C">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3FA667B2">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A0C58C5">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1259" w:type="pct"/>
            <w:tcBorders>
              <w:top w:val="single" w:color="auto" w:sz="2" w:space="0"/>
              <w:left w:val="single" w:color="auto" w:sz="2" w:space="0"/>
              <w:bottom w:val="single" w:color="auto" w:sz="2" w:space="0"/>
            </w:tcBorders>
            <w:vAlign w:val="center"/>
          </w:tcPr>
          <w:p w14:paraId="77A6296C">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0713445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AE3B7DE">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22E41AA2">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E88592E">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tc>
        <w:tc>
          <w:tcPr>
            <w:tcW w:w="1259" w:type="pct"/>
            <w:tcBorders>
              <w:top w:val="single" w:color="auto" w:sz="2" w:space="0"/>
              <w:left w:val="single" w:color="auto" w:sz="2" w:space="0"/>
              <w:bottom w:val="single" w:color="auto" w:sz="2" w:space="0"/>
            </w:tcBorders>
            <w:vAlign w:val="center"/>
          </w:tcPr>
          <w:p w14:paraId="1587EA9D">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5139451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62FE945">
            <w:pPr>
              <w:adjustRightInd w:val="0"/>
              <w:snapToGrid w:val="0"/>
              <w:spacing w:line="360" w:lineRule="auto"/>
              <w:jc w:val="center"/>
              <w:rPr>
                <w:rFonts w:hint="eastAsia" w:ascii="宋体" w:hAnsi="宋体" w:eastAsia="宋体" w:cs="宋体"/>
                <w:color w:val="auto"/>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52067484">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930A2F9">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开户名称</w:t>
            </w:r>
          </w:p>
        </w:tc>
        <w:tc>
          <w:tcPr>
            <w:tcW w:w="1259" w:type="pct"/>
            <w:tcBorders>
              <w:top w:val="single" w:color="auto" w:sz="2" w:space="0"/>
              <w:left w:val="single" w:color="auto" w:sz="2" w:space="0"/>
              <w:bottom w:val="single" w:color="auto" w:sz="2" w:space="0"/>
            </w:tcBorders>
            <w:vAlign w:val="center"/>
          </w:tcPr>
          <w:p w14:paraId="00442A79">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1F48425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D1FB022">
            <w:pPr>
              <w:adjustRightInd w:val="0"/>
              <w:snapToGrid w:val="0"/>
              <w:spacing w:line="360" w:lineRule="auto"/>
              <w:jc w:val="center"/>
              <w:rPr>
                <w:rFonts w:hint="eastAsia" w:ascii="宋体" w:hAnsi="宋体" w:eastAsia="宋体" w:cs="宋体"/>
                <w:color w:val="auto"/>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3106FA42">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B6D5A94">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c>
          <w:tcPr>
            <w:tcW w:w="1259" w:type="pct"/>
            <w:tcBorders>
              <w:top w:val="single" w:color="auto" w:sz="2" w:space="0"/>
              <w:left w:val="single" w:color="auto" w:sz="2" w:space="0"/>
              <w:bottom w:val="single" w:color="auto" w:sz="2" w:space="0"/>
            </w:tcBorders>
            <w:vAlign w:val="center"/>
          </w:tcPr>
          <w:p w14:paraId="215B36B0">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0A29589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E3151A9">
            <w:pPr>
              <w:adjustRightInd w:val="0"/>
              <w:snapToGrid w:val="0"/>
              <w:spacing w:line="360" w:lineRule="auto"/>
              <w:jc w:val="center"/>
              <w:rPr>
                <w:rFonts w:hint="eastAsia" w:ascii="宋体" w:hAnsi="宋体" w:eastAsia="宋体" w:cs="宋体"/>
                <w:color w:val="auto"/>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738701B2">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5E0A04B">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银行账号</w:t>
            </w:r>
          </w:p>
        </w:tc>
        <w:tc>
          <w:tcPr>
            <w:tcW w:w="1259" w:type="pct"/>
            <w:tcBorders>
              <w:top w:val="single" w:color="auto" w:sz="2" w:space="0"/>
              <w:left w:val="single" w:color="auto" w:sz="2" w:space="0"/>
              <w:bottom w:val="single" w:color="auto" w:sz="2" w:space="0"/>
            </w:tcBorders>
            <w:vAlign w:val="center"/>
          </w:tcPr>
          <w:p w14:paraId="4C311DA3">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2E0E439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2334BD0E">
            <w:pPr>
              <w:pStyle w:val="9"/>
              <w:adjustRightInd w:val="0"/>
              <w:snapToGrid w:val="0"/>
              <w:spacing w:before="158" w:beforeLines="50" w:after="0" w:line="360" w:lineRule="auto"/>
              <w:ind w:left="0" w:leftChars="0"/>
              <w:jc w:val="left"/>
              <w:rPr>
                <w:rFonts w:hint="eastAsia" w:ascii="宋体" w:hAnsi="宋体" w:eastAsia="宋体" w:cs="宋体"/>
                <w:color w:val="auto"/>
                <w:spacing w:val="20"/>
                <w:sz w:val="24"/>
                <w:szCs w:val="24"/>
                <w:highlight w:val="none"/>
              </w:rPr>
            </w:pPr>
            <w:r>
              <w:rPr>
                <w:rFonts w:hint="eastAsia" w:ascii="宋体" w:hAnsi="宋体" w:eastAsia="宋体" w:cs="宋体"/>
                <w:color w:val="auto"/>
                <w:sz w:val="24"/>
                <w:szCs w:val="24"/>
                <w:highlight w:val="none"/>
              </w:rPr>
              <w:t>注：涉及联合体或其他合同主体的信息应按上表格式加列。</w:t>
            </w:r>
          </w:p>
        </w:tc>
      </w:tr>
    </w:tbl>
    <w:p w14:paraId="33AE4F50">
      <w:pPr>
        <w:pStyle w:val="3"/>
        <w:adjustRightInd w:val="0"/>
        <w:snapToGrid w:val="0"/>
        <w:spacing w:before="158" w:beforeLines="5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br w:type="page"/>
      </w:r>
      <w:bookmarkStart w:id="49" w:name="_Toc27624"/>
      <w:r>
        <w:rPr>
          <w:rFonts w:hint="eastAsia" w:cs="@仿宋_GB2312" w:asciiTheme="minorEastAsia" w:hAnsiTheme="minorEastAsia" w:eastAsiaTheme="minorEastAsia"/>
          <w:bCs w:val="0"/>
          <w:color w:val="auto"/>
          <w:sz w:val="24"/>
          <w:szCs w:val="20"/>
          <w:highlight w:val="none"/>
        </w:rPr>
        <w:t>第二节 政府采购合同通用条款</w:t>
      </w:r>
      <w:bookmarkEnd w:id="49"/>
    </w:p>
    <w:p w14:paraId="4DE468AF">
      <w:pPr>
        <w:tabs>
          <w:tab w:val="left" w:pos="8820"/>
          <w:tab w:val="left" w:pos="9345"/>
          <w:tab w:val="left" w:pos="9765"/>
        </w:tabs>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 xml:space="preserve">1. </w:t>
      </w:r>
      <w:r>
        <w:rPr>
          <w:rFonts w:hint="eastAsia" w:ascii="宋体" w:hAnsi="宋体" w:eastAsia="宋体" w:cs="宋体"/>
          <w:b/>
          <w:bCs/>
          <w:color w:val="auto"/>
          <w:sz w:val="24"/>
          <w:szCs w:val="24"/>
          <w:highlight w:val="none"/>
        </w:rPr>
        <w:t>定义</w:t>
      </w:r>
    </w:p>
    <w:p w14:paraId="3D8701FE">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1.1合同当事人</w:t>
      </w:r>
    </w:p>
    <w:p w14:paraId="0A68D9D0">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（1）采购人（以下称甲方）是指使用财政性资金，通过政府采购方式向供应商购买货物及其相关服务的国家机关、事业单位、团体组织。</w:t>
      </w:r>
    </w:p>
    <w:p w14:paraId="64FFA5F0">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（2）供应商（以下称乙方）是指参加政府采购活动并且中标（成交），向采购人提供合同约定的货物及其相关服务的法人、非法人组织或者自然人。</w:t>
      </w:r>
    </w:p>
    <w:p w14:paraId="6B2E3897">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auto"/>
          <w:sz w:val="24"/>
          <w:szCs w:val="24"/>
          <w:highlight w:val="none"/>
        </w:rPr>
        <w:t>依法参与合同缔结或履行，享有权利、承担义务的合同当事人</w:t>
      </w:r>
      <w:r>
        <w:rPr>
          <w:rFonts w:hint="eastAsia" w:ascii="宋体" w:hAnsi="宋体" w:eastAsia="宋体" w:cs="宋体"/>
          <w:color w:val="auto"/>
          <w:sz w:val="24"/>
          <w:szCs w:val="24"/>
          <w:highlight w:val="none"/>
        </w:rPr>
        <w:t>。</w:t>
      </w:r>
    </w:p>
    <w:p w14:paraId="7AB928B0">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47D2E4B4">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auto"/>
          <w:sz w:val="24"/>
          <w:szCs w:val="24"/>
          <w:highlight w:val="none"/>
        </w:rPr>
        <w:t>合同当事人意思表示达成一致的任何协议，包括签署的</w:t>
      </w:r>
      <w:r>
        <w:rPr>
          <w:rFonts w:hint="eastAsia" w:ascii="宋体" w:hAnsi="宋体" w:eastAsia="宋体" w:cs="宋体"/>
          <w:color w:val="auto"/>
          <w:sz w:val="24"/>
          <w:szCs w:val="24"/>
          <w:highlight w:val="none"/>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17ADE7CD">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（2）“合同价款”系指根据本合同规定乙方在全面履行合同义务后甲方应支付给乙方的价款。</w:t>
      </w:r>
    </w:p>
    <w:p w14:paraId="751C2E89">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（3）“货物”系指乙方根据本合同规定须向甲方提供的各种形态和种类的物品，包括原材料、设备、产品（包括软件）及相关的其备品备件、工具、手册及</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技术资料和材料等。</w:t>
      </w:r>
    </w:p>
    <w:p w14:paraId="0F548A38">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（4）“相关服务”系指根据合同规定，乙方应提供的与货物有关的技术、管理和</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服务，包括但不限于：管理和质量保证、运输、保险、检验、现场准备、安装、集成、调试、培训、维修、废弃处置、技术支持等以及合同中规定乙方应承担的</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义务。</w:t>
      </w:r>
    </w:p>
    <w:p w14:paraId="1B56BC74">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（5）“分包”系指中标（成交）供应商按采购文件、投标（响应）文件的规定，根据分包意向协议，将中标（成交）项目中的部分履约内容，分给具有相应资质条件的供应商履行合同的行为。</w:t>
      </w:r>
    </w:p>
    <w:p w14:paraId="5C42AF26">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w:t>
      </w:r>
    </w:p>
    <w:p w14:paraId="27EFBD31">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（7）其他术语解释，见【</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w:t>
      </w:r>
    </w:p>
    <w:p w14:paraId="44C0B6AA">
      <w:pPr>
        <w:numPr>
          <w:ilvl w:val="0"/>
          <w:numId w:val="6"/>
        </w:num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合同标的及金额</w:t>
      </w:r>
    </w:p>
    <w:p w14:paraId="2987E3C6">
      <w:pPr>
        <w:autoSpaceDE w:val="0"/>
        <w:autoSpaceDN w:val="0"/>
        <w:adjustRightInd w:val="0"/>
        <w:snapToGrid w:val="0"/>
        <w:spacing w:line="360" w:lineRule="auto"/>
        <w:ind w:firstLine="480" w:firstLineChars="200"/>
        <w:jc w:val="left"/>
        <w:rPr>
          <w:rFonts w:hint="eastAsia" w:ascii="宋体" w:hAnsi="宋体" w:eastAsia="宋体" w:cs="宋体"/>
          <w:b/>
          <w:bCs/>
          <w:i/>
          <w:iCs/>
          <w:color w:val="auto"/>
          <w:sz w:val="24"/>
          <w:szCs w:val="24"/>
          <w:highlight w:val="none"/>
        </w:rPr>
      </w:pPr>
      <w:r>
        <w:rPr>
          <w:rFonts w:hint="eastAsia" w:ascii="宋体" w:hAnsi="宋体" w:eastAsia="宋体" w:cs="宋体"/>
          <w:color w:val="auto"/>
          <w:sz w:val="24"/>
          <w:szCs w:val="24"/>
          <w:highlight w:val="none"/>
        </w:rPr>
        <w:t>2.1 合同标的及金额应与中标（成交）结果一致。乙方为履行本合同而发生的所有费用均应包含在合同价款中，甲方不再另行支付</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任何费用。</w:t>
      </w:r>
    </w:p>
    <w:p w14:paraId="049C74D0">
      <w:pPr>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 履行合同的时间、地点和方式</w:t>
      </w:r>
    </w:p>
    <w:p w14:paraId="452E57C9">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乙方应当在约定的时间、地点，按照约定方式履行合同。</w:t>
      </w:r>
    </w:p>
    <w:p w14:paraId="26E6D180">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 甲方的权利和义务</w:t>
      </w:r>
    </w:p>
    <w:p w14:paraId="40B0969F">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签署合同后，甲方应确定项目负责人（或项目联系人），负责与本合同有关的事务。甲方有权对乙方的履约行为进行检查，并及时确认乙方提交的事项。甲方应当配合乙方完成相关项目实施工作。</w:t>
      </w:r>
    </w:p>
    <w:p w14:paraId="794B4037">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 甲方有权要求乙方按时提交各阶段有关安排计划，并有权定期核对乙方提供货物数量、规格、质量等内容。甲方有权督促乙方工作并要求乙方更换不符合要求的货物。</w:t>
      </w:r>
    </w:p>
    <w:p w14:paraId="3EFE9990">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 甲方有权要求乙方对缺陷部分予以修复，并按合同约定享有货物保修及其他合同约定的权利。</w:t>
      </w:r>
    </w:p>
    <w:p w14:paraId="15EA225A">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 甲方应当按照合同约定及时对交付的货物进行验收，未在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约定的期限内对乙方履约提出任何异议或者向乙方作出任何说明的，视为验收通过。</w:t>
      </w:r>
    </w:p>
    <w:p w14:paraId="4069E33D">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 甲方应当根据合同约定及时向乙方支付合同价款，不得以内部人员变更、履行内部付款流程等为由，拒绝或迟延支付。</w:t>
      </w:r>
    </w:p>
    <w:p w14:paraId="5ACB74D4">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 国家法律法规规定及</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约定应由甲方承担的其他义务和责任。</w:t>
      </w:r>
    </w:p>
    <w:p w14:paraId="1EE2D114">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 乙方的权利和义务</w:t>
      </w:r>
    </w:p>
    <w:p w14:paraId="68FC6AAC">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 签署合同后，乙方应确定项目负责人（或项目联系人），负责与本合同有关的事务。</w:t>
      </w:r>
    </w:p>
    <w:p w14:paraId="36C16166">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7DBFBC22">
      <w:pPr>
        <w:pStyle w:val="8"/>
        <w:spacing w:after="0" w:line="360" w:lineRule="auto"/>
        <w:ind w:firstLine="422" w:firstLineChars="176"/>
        <w:rPr>
          <w:rFonts w:hint="eastAsia" w:ascii="宋体" w:hAnsi="宋体" w:eastAsia="宋体" w:cs="宋体"/>
          <w:color w:val="auto"/>
          <w:sz w:val="24"/>
          <w:highlight w:val="none"/>
        </w:rPr>
      </w:pPr>
      <w:r>
        <w:rPr>
          <w:rFonts w:hint="eastAsia" w:ascii="宋体" w:hAnsi="宋体" w:eastAsia="宋体" w:cs="宋体"/>
          <w:color w:val="auto"/>
          <w:sz w:val="24"/>
          <w:highlight w:val="none"/>
        </w:rPr>
        <w:t>5.3乙方有权根据合同约定向甲方收取合同价款。</w:t>
      </w:r>
    </w:p>
    <w:p w14:paraId="113BD4B1">
      <w:pPr>
        <w:pStyle w:val="8"/>
        <w:spacing w:after="0" w:line="360" w:lineRule="auto"/>
        <w:ind w:firstLine="422" w:firstLineChars="176"/>
        <w:rPr>
          <w:rFonts w:hint="eastAsia" w:ascii="宋体" w:hAnsi="宋体" w:eastAsia="宋体" w:cs="宋体"/>
          <w:color w:val="auto"/>
          <w:sz w:val="24"/>
          <w:highlight w:val="none"/>
        </w:rPr>
      </w:pPr>
      <w:r>
        <w:rPr>
          <w:rFonts w:hint="eastAsia" w:ascii="宋体" w:hAnsi="宋体" w:eastAsia="宋体" w:cs="宋体"/>
          <w:color w:val="auto"/>
          <w:sz w:val="24"/>
          <w:highlight w:val="none"/>
        </w:rPr>
        <w:t>5.4国家法律法规规定及</w:t>
      </w:r>
      <w:r>
        <w:rPr>
          <w:rFonts w:hint="eastAsia" w:ascii="宋体" w:hAnsi="宋体" w:eastAsia="宋体" w:cs="宋体"/>
          <w:b/>
          <w:bCs/>
          <w:color w:val="auto"/>
          <w:sz w:val="24"/>
          <w:highlight w:val="none"/>
        </w:rPr>
        <w:t>【政府采购合同专用条款】</w:t>
      </w:r>
      <w:r>
        <w:rPr>
          <w:rFonts w:hint="eastAsia" w:ascii="宋体" w:hAnsi="宋体" w:eastAsia="宋体" w:cs="宋体"/>
          <w:color w:val="auto"/>
          <w:sz w:val="24"/>
          <w:highlight w:val="none"/>
        </w:rPr>
        <w:t>约定应由乙方承担的其他义务和责任。</w:t>
      </w:r>
    </w:p>
    <w:p w14:paraId="4EE36645">
      <w:pPr>
        <w:numPr>
          <w:ilvl w:val="0"/>
          <w:numId w:val="7"/>
        </w:num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合同履行</w:t>
      </w:r>
    </w:p>
    <w:p w14:paraId="258D78E9">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 甲乙双方应当按照</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约定顺序履行合同义务；如果没有先后顺序的，应当同时履行。</w:t>
      </w:r>
    </w:p>
    <w:p w14:paraId="59F60386">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 甲乙双方按照合同约定顺序履行合同义务时，应当先履行一方未履行的，后履行一方有权拒绝其履行请求。先履行一方履行不符合约定的，后履行一方有权拒绝其相应的履行请求。</w:t>
      </w:r>
    </w:p>
    <w:p w14:paraId="14612F9D">
      <w:pPr>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 货物包装、运输、保险和交付要求</w:t>
      </w:r>
    </w:p>
    <w:p w14:paraId="7B572DF6">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 本合同</w:t>
      </w:r>
      <w:r>
        <w:rPr>
          <w:rFonts w:hint="eastAsia" w:ascii="宋体" w:hAnsi="宋体" w:eastAsia="宋体" w:cs="宋体"/>
          <w:bCs/>
          <w:color w:val="auto"/>
          <w:sz w:val="24"/>
          <w:szCs w:val="24"/>
          <w:highlight w:val="none"/>
        </w:rPr>
        <w:t>涉及商品包装、快递包装的，</w:t>
      </w:r>
      <w:r>
        <w:rPr>
          <w:rFonts w:hint="eastAsia" w:ascii="宋体" w:hAnsi="宋体" w:eastAsia="宋体" w:cs="宋体"/>
          <w:color w:val="auto"/>
          <w:sz w:val="24"/>
          <w:szCs w:val="24"/>
          <w:highlight w:val="none"/>
        </w:rPr>
        <w:t>除</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另有约定外，</w:t>
      </w:r>
      <w:r>
        <w:rPr>
          <w:rFonts w:hint="eastAsia" w:ascii="宋体" w:hAnsi="宋体" w:eastAsia="宋体" w:cs="宋体"/>
          <w:color w:val="auto"/>
          <w:sz w:val="24"/>
          <w:szCs w:val="24"/>
          <w:highlight w:val="none"/>
        </w:rPr>
        <w:t>包装应适应远距离运输、防潮、防震、防锈和防野蛮装卸等要求，确保货物安全无损地运抵</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约定的</w:t>
      </w:r>
      <w:r>
        <w:rPr>
          <w:rFonts w:hint="eastAsia" w:ascii="宋体" w:hAnsi="宋体" w:eastAsia="宋体" w:cs="宋体"/>
          <w:color w:val="auto"/>
          <w:sz w:val="24"/>
          <w:szCs w:val="24"/>
          <w:highlight w:val="none"/>
        </w:rPr>
        <w:t>指定现场。</w:t>
      </w:r>
    </w:p>
    <w:p w14:paraId="0EC4E7A0">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 除</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另有约定外，</w:t>
      </w:r>
      <w:r>
        <w:rPr>
          <w:rFonts w:hint="eastAsia" w:ascii="宋体" w:hAnsi="宋体" w:eastAsia="宋体" w:cs="宋体"/>
          <w:color w:val="auto"/>
          <w:sz w:val="24"/>
          <w:szCs w:val="24"/>
          <w:highlight w:val="none"/>
        </w:rPr>
        <w:t>乙方负责办理将货物运抵本合同规定的交货地点，并装卸、交付至甲方的一切运输事项，相关费用应包含在合同价款中。</w:t>
      </w:r>
    </w:p>
    <w:p w14:paraId="1C729CB7">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 货物保险要求按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规定执行</w:t>
      </w:r>
      <w:r>
        <w:rPr>
          <w:rFonts w:hint="eastAsia" w:ascii="宋体" w:hAnsi="宋体" w:eastAsia="宋体" w:cs="宋体"/>
          <w:color w:val="auto"/>
          <w:sz w:val="24"/>
          <w:szCs w:val="24"/>
          <w:highlight w:val="none"/>
        </w:rPr>
        <w:t>。</w:t>
      </w:r>
    </w:p>
    <w:p w14:paraId="4C0D164E">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6D1178C6">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 乙方在运输到达之前应提前通知甲方，并提示货物运输装卸的注意事项，甲方配合乙方做好货物的接收工作。</w:t>
      </w:r>
    </w:p>
    <w:p w14:paraId="754A4C6C">
      <w:pPr>
        <w:pStyle w:val="69"/>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7.6 如因包装、运输问题导致货物损毁、丢失或者品质下降，甲方有权要求降价、换货、拒收部分或整批货物，由此产生的费用和损失，均由乙方承担。</w:t>
      </w:r>
    </w:p>
    <w:p w14:paraId="031C60C5">
      <w:pPr>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 质量标准和保证</w:t>
      </w:r>
    </w:p>
    <w:p w14:paraId="610FD084">
      <w:pPr>
        <w:pStyle w:val="11"/>
        <w:adjustRightInd w:val="0"/>
        <w:snapToGrid w:val="0"/>
        <w:spacing w:line="360" w:lineRule="auto"/>
        <w:ind w:firstLine="480" w:firstLineChars="200"/>
        <w:jc w:val="left"/>
        <w:rPr>
          <w:rFonts w:hint="eastAsia" w:hAnsi="宋体" w:eastAsia="宋体" w:cs="宋体"/>
          <w:b/>
          <w:color w:val="auto"/>
          <w:sz w:val="24"/>
          <w:szCs w:val="24"/>
          <w:highlight w:val="none"/>
        </w:rPr>
      </w:pPr>
      <w:r>
        <w:rPr>
          <w:rFonts w:hint="eastAsia" w:hAnsi="宋体" w:eastAsia="宋体" w:cs="宋体"/>
          <w:color w:val="auto"/>
          <w:sz w:val="24"/>
          <w:szCs w:val="24"/>
          <w:highlight w:val="none"/>
        </w:rPr>
        <w:t>8.1 质量标准</w:t>
      </w:r>
    </w:p>
    <w:p w14:paraId="4811CC4A">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4738D356">
      <w:pPr>
        <w:pStyle w:val="11"/>
        <w:adjustRightInd w:val="0"/>
        <w:snapToGrid w:val="0"/>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（2）采用中华人民共和国法定计量单位。</w:t>
      </w:r>
    </w:p>
    <w:p w14:paraId="25290485">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（3）乙方所提供的货物应符合国家有关安全、环保、卫生的规定。</w:t>
      </w:r>
    </w:p>
    <w:p w14:paraId="697E8503">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（4）乙方应向甲方提交所提供货物的技术文件，包括相应的中文技术文件，如：产品目录、图纸、操作手册、使用说明、维护手册或服务指南等。上述文件应包装好随货物一同发运。</w:t>
      </w:r>
    </w:p>
    <w:p w14:paraId="39E947C0">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 保证</w:t>
      </w:r>
    </w:p>
    <w:p w14:paraId="2D06C9BD">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规定或乙方书面承诺（两者以较长的为准）的质量保证期内，本保证保持有效。</w:t>
      </w:r>
    </w:p>
    <w:p w14:paraId="7864247E">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16909D92">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1966061E">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2A4F63C3">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（5）乙方在约定的时间内未能弥补缺陷，甲方可采取必要的补救措施，但其风险和费用将由乙方承担，甲方根据合同约定对乙方行使的其他权利不受影响。</w:t>
      </w:r>
    </w:p>
    <w:p w14:paraId="1E2C413E">
      <w:pPr>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9. 权利瑕疵担保</w:t>
      </w:r>
    </w:p>
    <w:p w14:paraId="0A8837EC">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 乙方保证对其出售的货物享有合法的权利。</w:t>
      </w:r>
    </w:p>
    <w:p w14:paraId="5AF4EC1C">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 乙方保证在交付的货物上不存在抵押权等担保物权。</w:t>
      </w:r>
    </w:p>
    <w:p w14:paraId="5A209C18">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 如甲方使用上述货物构成对第三人侵权的，则由乙方承担全部责任。</w:t>
      </w:r>
    </w:p>
    <w:p w14:paraId="61B8F36E">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10. 知识产权保护</w:t>
      </w:r>
    </w:p>
    <w:p w14:paraId="1E8BCD88">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 乙方对其所销售的货物应当享有知识产权或经权利人合法授权，保证没有侵犯任何第三人的知识产权等权利。</w:t>
      </w:r>
      <w:bookmarkStart w:id="50" w:name="_Hlk163047038"/>
      <w:r>
        <w:rPr>
          <w:rFonts w:hint="eastAsia" w:ascii="宋体" w:hAnsi="宋体" w:eastAsia="宋体" w:cs="宋体"/>
          <w:color w:val="auto"/>
          <w:sz w:val="24"/>
          <w:szCs w:val="24"/>
          <w:highlight w:val="none"/>
        </w:rPr>
        <w:t>因违反前述约定对第三人构成侵权的，应当由乙方向第三人承担法律责任；甲方依法向第三人赔偿后，有权向乙方追偿。甲方有其他损失的，乙方应当赔偿</w:t>
      </w:r>
      <w:bookmarkEnd w:id="50"/>
      <w:r>
        <w:rPr>
          <w:rFonts w:hint="eastAsia" w:ascii="宋体" w:hAnsi="宋体" w:eastAsia="宋体" w:cs="宋体"/>
          <w:color w:val="auto"/>
          <w:sz w:val="24"/>
          <w:szCs w:val="24"/>
          <w:highlight w:val="none"/>
        </w:rPr>
        <w:t>。</w:t>
      </w:r>
    </w:p>
    <w:p w14:paraId="02879CDB">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 保密义务</w:t>
      </w:r>
    </w:p>
    <w:p w14:paraId="47E400BA">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中约定。</w:t>
      </w:r>
    </w:p>
    <w:p w14:paraId="2C812456">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12. 合同价款支付</w:t>
      </w:r>
    </w:p>
    <w:p w14:paraId="1E57F75B">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合同价款支付按照国库集中支付制度及财政管理相关规定执行。</w:t>
      </w:r>
    </w:p>
    <w:p w14:paraId="32A5940B">
      <w:pPr>
        <w:pStyle w:val="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12.2 对于满足合同约定支付条件的，甲方原则上应当自收到发票后7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宋体"/>
          <w:color w:val="auto"/>
          <w:sz w:val="24"/>
          <w:szCs w:val="24"/>
          <w:highlight w:val="none"/>
        </w:rPr>
        <w:t>政府采购合同专用条款</w:t>
      </w:r>
      <w:r>
        <w:rPr>
          <w:rFonts w:hint="eastAsia" w:ascii="宋体" w:hAnsi="宋体" w:eastAsia="宋体" w:cs="宋体"/>
          <w:b w:val="0"/>
          <w:bCs w:val="0"/>
          <w:color w:val="auto"/>
          <w:sz w:val="24"/>
          <w:szCs w:val="24"/>
          <w:highlight w:val="none"/>
        </w:rPr>
        <w:t>】中约定。</w:t>
      </w:r>
    </w:p>
    <w:p w14:paraId="59BC7762">
      <w:pPr>
        <w:pStyle w:val="8"/>
        <w:spacing w:after="0"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w:t>
      </w:r>
      <w:r>
        <w:rPr>
          <w:rFonts w:hint="eastAsia" w:ascii="宋体" w:hAnsi="宋体" w:eastAsia="宋体" w:cs="宋体"/>
          <w:b/>
          <w:bCs/>
          <w:color w:val="auto"/>
          <w:sz w:val="24"/>
          <w:highlight w:val="none"/>
          <w:lang w:val="en-US"/>
        </w:rPr>
        <w:t xml:space="preserve"> </w:t>
      </w:r>
      <w:r>
        <w:rPr>
          <w:rFonts w:hint="eastAsia" w:ascii="宋体" w:hAnsi="宋体" w:eastAsia="宋体" w:cs="宋体"/>
          <w:b/>
          <w:bCs/>
          <w:color w:val="auto"/>
          <w:sz w:val="24"/>
          <w:highlight w:val="none"/>
        </w:rPr>
        <w:t>履约保证金</w:t>
      </w:r>
    </w:p>
    <w:p w14:paraId="23B0F6A7">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 乙方应当以支票、汇票、本票或者金融机构、担保机构出具的保函等非现金形式提交。</w:t>
      </w:r>
    </w:p>
    <w:p w14:paraId="6F573720">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 如果乙方出现</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约定情形的，履约保证金不予退还；如果乙方未能按合同约定全面履行义务，甲方有权从履约保证金中取得补偿或赔偿，且不影响甲方要求乙方承担合同约定的超过履约保证金的违约责任的权利。</w:t>
      </w:r>
    </w:p>
    <w:p w14:paraId="049634C8">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5F0CB35B">
      <w:pPr>
        <w:autoSpaceDE w:val="0"/>
        <w:autoSpaceDN w:val="0"/>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 xml:space="preserve">14. </w:t>
      </w:r>
      <w:r>
        <w:rPr>
          <w:rFonts w:hint="eastAsia" w:ascii="宋体" w:hAnsi="宋体" w:eastAsia="宋体" w:cs="宋体"/>
          <w:b/>
          <w:color w:val="auto"/>
          <w:sz w:val="24"/>
          <w:szCs w:val="24"/>
          <w:highlight w:val="none"/>
        </w:rPr>
        <w:t>售后服务</w:t>
      </w:r>
    </w:p>
    <w:p w14:paraId="3B02851E">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除项目不涉及或采购活动中明确约定无须承担外，乙方还应提供下列服务：</w:t>
      </w:r>
    </w:p>
    <w:p w14:paraId="25EF9D5C">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77AFDD7E">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7EA024A9">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约定的期限内对所有的货物实施运行监督、维修，但前提条件是该服务并不能免除乙方在质量保证期内所承担的义务；</w:t>
      </w:r>
    </w:p>
    <w:p w14:paraId="46111C30">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（4）在制造商所在地或指定现场就货物的安装、启动、运营、维护、废弃处置等对甲方操作人员进行培训；</w:t>
      </w:r>
    </w:p>
    <w:p w14:paraId="594C4B0D">
      <w:pPr>
        <w:pStyle w:val="69"/>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（5）依照法律、行政法规的规定或者按照</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约定，货物在有效使用年限届满后应予回收的，乙方负有自行或者委托第三人对货物予以回收的义务；</w:t>
      </w:r>
    </w:p>
    <w:p w14:paraId="73A5030D">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51431BCF">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乙方提供的售后服务的费用已包含在合同价款中，甲方不再另行支付。</w:t>
      </w:r>
    </w:p>
    <w:p w14:paraId="516EAD82">
      <w:pPr>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15. 违约责任</w:t>
      </w:r>
    </w:p>
    <w:p w14:paraId="4D057FDE">
      <w:pPr>
        <w:adjustRightInd w:val="0"/>
        <w:snapToGrid w:val="0"/>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15.1质量瑕疵的违约责任</w:t>
      </w:r>
    </w:p>
    <w:p w14:paraId="1DE96CE3">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乙方提供的产品不符合合同约定的质量标准或存在产品质量缺陷，甲方有权要求乙方根据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要求</w:t>
      </w:r>
      <w:r>
        <w:rPr>
          <w:rFonts w:hint="eastAsia" w:ascii="宋体" w:hAnsi="宋体" w:eastAsia="宋体" w:cs="宋体"/>
          <w:color w:val="auto"/>
          <w:sz w:val="24"/>
          <w:szCs w:val="24"/>
          <w:highlight w:val="none"/>
        </w:rPr>
        <w:t>及时修理、重作、更换，并承担由此给甲方造成的损失。</w:t>
      </w:r>
    </w:p>
    <w:p w14:paraId="5FD6631E">
      <w:pPr>
        <w:autoSpaceDE w:val="0"/>
        <w:autoSpaceDN w:val="0"/>
        <w:adjustRightInd w:val="0"/>
        <w:snapToGrid w:val="0"/>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15.2 迟延交货的违约责任</w:t>
      </w:r>
    </w:p>
    <w:p w14:paraId="136C913B">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14EB2F73">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（2）如果乙方没有按照合同规定的时间交货和提供相关服务，甲方有权从货款中扣除误期赔偿费而不影响合同项下的其他补救方法，赔偿费按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规定执行。如果涉及公共利益，且赔偿金额无法弥补公共利益损失，甲方可要求继续履行或者采取其他补救措施。</w:t>
      </w:r>
    </w:p>
    <w:p w14:paraId="78E3C742">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 迟延支付的违约责任</w:t>
      </w:r>
    </w:p>
    <w:p w14:paraId="2ED2B71F">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41358989">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15.4其他违约责任根据项目实际需要按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766B1A08">
      <w:pPr>
        <w:numPr>
          <w:ilvl w:val="0"/>
          <w:numId w:val="8"/>
        </w:numPr>
        <w:autoSpaceDE w:val="0"/>
        <w:autoSpaceDN w:val="0"/>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合同变更、中止与终止</w:t>
      </w:r>
    </w:p>
    <w:p w14:paraId="440876DC">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16.1合同的变更</w:t>
      </w:r>
    </w:p>
    <w:p w14:paraId="3516806C">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政府采购合同履行中，在不改变合同其他条款的前提下，甲方可以在合同价款10%的范围内追加与合同标的相同的货物，并就此与乙方协商一致后签订补充协议。</w:t>
      </w:r>
    </w:p>
    <w:p w14:paraId="00EAF56E">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16.2合同的中止</w:t>
      </w:r>
    </w:p>
    <w:p w14:paraId="64D60DC6">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（1）合同履行过程中因供应商就采购文件、采购过程或结果提起投诉的，甲方认为有必要的，可以中止合同的履行。</w:t>
      </w:r>
    </w:p>
    <w:p w14:paraId="7E8293A6">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29CE4C1C">
      <w:pPr>
        <w:pStyle w:val="69"/>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（3）乙方分立、合并或者变更住所的，应当及时以书面形式告知甲方。乙方没有及时告知甲方，致使合同履行发生困难的，甲方可以中止合同履行并要求乙方承担由此给甲方造成的损失。</w:t>
      </w:r>
    </w:p>
    <w:p w14:paraId="557939F8">
      <w:pPr>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（4）甲方不得以行政区划调整、政府换届、机构或者职能调整以及相关责任人更替为由中止合同。</w:t>
      </w:r>
    </w:p>
    <w:p w14:paraId="5D4DBD77">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16.3合同的终止</w:t>
      </w:r>
    </w:p>
    <w:p w14:paraId="7EBFDDFF">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37CF92A7">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（2）乙方未按合同约定履行，构成根本性违约的，甲方有权终止合同，并追究乙方的违约责任。</w:t>
      </w:r>
    </w:p>
    <w:p w14:paraId="4813795D">
      <w:pPr>
        <w:pStyle w:val="69"/>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16.4 </w:t>
      </w:r>
      <w:r>
        <w:rPr>
          <w:rFonts w:hint="eastAsia" w:ascii="宋体" w:hAnsi="宋体" w:eastAsia="宋体" w:cs="宋体"/>
          <w:color w:val="auto"/>
          <w:kern w:val="2"/>
          <w:sz w:val="24"/>
          <w:szCs w:val="24"/>
          <w:highlight w:val="none"/>
        </w:rPr>
        <w:t>涉及国家利益、社会公共利益的情形</w:t>
      </w:r>
    </w:p>
    <w:p w14:paraId="11202C94">
      <w:pPr>
        <w:pStyle w:val="69"/>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政府采购合同继续履行将损害国家利益和社会公共利益的，双方当事人应当变更、中止或者终止合同。有过错的一方应当承担赔偿责任，双方都有过错的，各自承担相应的责任。</w:t>
      </w:r>
    </w:p>
    <w:p w14:paraId="67AB6136">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17. 合同分包</w:t>
      </w:r>
    </w:p>
    <w:p w14:paraId="37A4C480">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 乙方不得将合同转包给其他供应商。涉及合同分包的，乙方应根据采购文件和投标（响应）文件规定进行合同分包。</w:t>
      </w:r>
    </w:p>
    <w:p w14:paraId="5D1CECA3">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 乙方执行政府采购政策向中小企业依法分包的，乙方应当按采购文件和投标（响应）文件签订分包意向协议，分包意向协议属于本合同组成部分。</w:t>
      </w:r>
    </w:p>
    <w:p w14:paraId="5FCE3A7E">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18. 不可抗力</w:t>
      </w:r>
    </w:p>
    <w:p w14:paraId="396878B2">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 不可抗力是指合同双方不能预见、不能避免且不能克服的客观情况。</w:t>
      </w:r>
    </w:p>
    <w:p w14:paraId="6DF2372D">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 任何一方对由于不可抗力造成的部分或全部不能履行合同不承担违约责任。但迟延履行后发生不可抗力的，不能免除责任。</w:t>
      </w:r>
    </w:p>
    <w:p w14:paraId="0D33D716">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797E71B0">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19. 解决争议的方法</w:t>
      </w:r>
    </w:p>
    <w:p w14:paraId="062CC2F2">
      <w:pPr>
        <w:pStyle w:val="69"/>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6A2A3AEA">
      <w:pPr>
        <w:pStyle w:val="69"/>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中进一步约定选择与争议有实际联系的地点的人民法院管辖，但管辖法院的约定不得违反级别管辖和专属管辖的规定。</w:t>
      </w:r>
    </w:p>
    <w:p w14:paraId="2A1B1022">
      <w:pPr>
        <w:pStyle w:val="69"/>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19.3 如甲乙双方有争议的事项不影响合同其他部分的履行，在争议解决期间，合同其他部分应当继续履行。</w:t>
      </w:r>
    </w:p>
    <w:p w14:paraId="3BEE2A07">
      <w:pPr>
        <w:autoSpaceDE w:val="0"/>
        <w:autoSpaceDN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20. 政府采购政策</w:t>
      </w:r>
    </w:p>
    <w:p w14:paraId="4F3C7FDF">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20.1 </w:t>
      </w:r>
      <w:r>
        <w:rPr>
          <w:rFonts w:hint="eastAsia" w:ascii="宋体" w:hAnsi="宋体" w:eastAsia="宋体" w:cs="宋体"/>
          <w:color w:val="auto"/>
          <w:sz w:val="24"/>
          <w:szCs w:val="24"/>
          <w:highlight w:val="none"/>
          <w:lang w:val="en-GB"/>
        </w:rPr>
        <w:t>本合同应当按照规定执行政府采购政策。</w:t>
      </w:r>
    </w:p>
    <w:p w14:paraId="43936D0A">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 本合同依法执行政府采购政策的方式和内容，属于合同履约验收的范围。甲乙双方</w:t>
      </w:r>
      <w:r>
        <w:rPr>
          <w:rFonts w:hint="eastAsia" w:ascii="宋体" w:hAnsi="宋体" w:eastAsia="宋体" w:cs="宋体"/>
          <w:color w:val="auto"/>
          <w:sz w:val="24"/>
          <w:szCs w:val="24"/>
          <w:highlight w:val="none"/>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388856D8">
      <w:pPr>
        <w:pStyle w:val="8"/>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rPr>
        <w:t>0</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rPr>
        <w:t>3</w:t>
      </w:r>
      <w:r>
        <w:rPr>
          <w:rFonts w:hint="eastAsia" w:ascii="宋体" w:hAnsi="宋体" w:eastAsia="宋体" w:cs="宋体"/>
          <w:color w:val="auto"/>
          <w:sz w:val="24"/>
          <w:highlight w:val="none"/>
        </w:rPr>
        <w:t xml:space="preserve">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1162CEC1">
      <w:pPr>
        <w:autoSpaceDE w:val="0"/>
        <w:autoSpaceDN w:val="0"/>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21. 法律适用</w:t>
      </w:r>
    </w:p>
    <w:p w14:paraId="5EB3A14F">
      <w:pPr>
        <w:pStyle w:val="69"/>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 本合同的订立、生效、解释、履行及与本合同有关的争议解决，均适用法律、行政法规。</w:t>
      </w:r>
    </w:p>
    <w:p w14:paraId="1C0077CD">
      <w:pPr>
        <w:pStyle w:val="69"/>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 本合同条款与法律、行政法规的强制性规定不一致的，双方当事人应按照法律、行政法规的强制性规定修改本合同的相关条款。</w:t>
      </w:r>
    </w:p>
    <w:p w14:paraId="14FB2268">
      <w:pPr>
        <w:numPr>
          <w:ilvl w:val="255"/>
          <w:numId w:val="0"/>
        </w:numPr>
        <w:autoSpaceDE w:val="0"/>
        <w:autoSpaceDN w:val="0"/>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22. 通知</w:t>
      </w:r>
    </w:p>
    <w:p w14:paraId="00537406">
      <w:pPr>
        <w:pStyle w:val="69"/>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 本合同任何一方向对方发出的通知、信件、数据电文等，应当发送至本合同第一部分《政府采购合同协议书》所约定的通讯地址、联系人、联系电话或电子邮箱。</w:t>
      </w:r>
    </w:p>
    <w:p w14:paraId="26F8F1BA">
      <w:pPr>
        <w:pStyle w:val="69"/>
        <w:spacing w:line="360" w:lineRule="auto"/>
        <w:ind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22.2 一方当事人变更名称、住所、联系人、联系电话或电子邮箱等信息的，应当在变更后3日内及时书面通知对方，对方实际收到变更通知前的送达仍为有效送达。</w:t>
      </w:r>
    </w:p>
    <w:p w14:paraId="59A2FD8F">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22.3本合同一方给另一方的通知均应采用书面形式，传真或快递送到本合同中规定的对方的地址和办理签收手续。</w:t>
      </w:r>
    </w:p>
    <w:p w14:paraId="61F76830">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22.4通知以送达之日或通知书中规定的生效之日起生效，两者中以较迟之日为准。</w:t>
      </w:r>
    </w:p>
    <w:p w14:paraId="7C6E0983">
      <w:pPr>
        <w:numPr>
          <w:ilvl w:val="0"/>
          <w:numId w:val="9"/>
        </w:numPr>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14:paraId="2E9532E9">
      <w:pPr>
        <w:adjustRightInd w:val="0"/>
        <w:snapToGrid w:val="0"/>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23.1合同未尽事项见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0E4AB5CB">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23.2 合同附件与合同正文具有同等的法律效力。</w:t>
      </w:r>
      <w:bookmarkStart w:id="51" w:name="_Toc20313"/>
    </w:p>
    <w:p w14:paraId="4BA328EF">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4AC815C8">
      <w:pPr>
        <w:pStyle w:val="3"/>
        <w:adjustRightInd w:val="0"/>
        <w:snapToGrid w:val="0"/>
        <w:spacing w:before="158" w:beforeLines="50" w:line="360" w:lineRule="auto"/>
        <w:jc w:val="center"/>
        <w:rPr>
          <w:rFonts w:hint="eastAsia" w:cs="@仿宋_GB2312" w:asciiTheme="minorEastAsia" w:hAnsiTheme="minorEastAsia" w:eastAsiaTheme="minorEastAsia"/>
          <w:bCs w:val="0"/>
          <w:color w:val="auto"/>
          <w:sz w:val="24"/>
          <w:szCs w:val="20"/>
          <w:highlight w:val="none"/>
        </w:rPr>
      </w:pPr>
      <w:r>
        <w:rPr>
          <w:rFonts w:hint="eastAsia" w:cs="@仿宋_GB2312" w:asciiTheme="minorEastAsia" w:hAnsiTheme="minorEastAsia" w:eastAsiaTheme="minorEastAsia"/>
          <w:bCs w:val="0"/>
          <w:color w:val="auto"/>
          <w:sz w:val="24"/>
          <w:szCs w:val="20"/>
          <w:highlight w:val="none"/>
        </w:rPr>
        <w:t>第三节 政府采购合同专用条款</w:t>
      </w:r>
      <w:bookmarkEnd w:id="51"/>
    </w:p>
    <w:tbl>
      <w:tblPr>
        <w:tblStyle w:val="23"/>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0DFFF5E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AE3C692">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1A4E294">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第1.2（6）项</w:t>
            </w:r>
          </w:p>
        </w:tc>
        <w:tc>
          <w:tcPr>
            <w:tcW w:w="1742" w:type="dxa"/>
            <w:vAlign w:val="center"/>
          </w:tcPr>
          <w:p w14:paraId="5AFA91B2">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联合体具体要求</w:t>
            </w:r>
          </w:p>
        </w:tc>
        <w:tc>
          <w:tcPr>
            <w:tcW w:w="5170" w:type="dxa"/>
            <w:vAlign w:val="center"/>
          </w:tcPr>
          <w:p w14:paraId="54A01E00">
            <w:pPr>
              <w:adjustRightInd w:val="0"/>
              <w:snapToGrid w:val="0"/>
              <w:spacing w:line="360" w:lineRule="auto"/>
              <w:jc w:val="left"/>
              <w:rPr>
                <w:rFonts w:hint="eastAsia" w:ascii="宋体" w:hAnsi="宋体" w:eastAsia="宋体" w:cs="宋体"/>
                <w:color w:val="auto"/>
                <w:sz w:val="24"/>
                <w:szCs w:val="24"/>
                <w:highlight w:val="none"/>
              </w:rPr>
            </w:pPr>
          </w:p>
        </w:tc>
      </w:tr>
      <w:tr w14:paraId="3251132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0417742E">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30F78DE">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第1.2（7）项</w:t>
            </w:r>
          </w:p>
        </w:tc>
        <w:tc>
          <w:tcPr>
            <w:tcW w:w="1742" w:type="dxa"/>
            <w:vAlign w:val="center"/>
          </w:tcPr>
          <w:p w14:paraId="5E6C7A5C">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其他术语解释</w:t>
            </w:r>
          </w:p>
        </w:tc>
        <w:tc>
          <w:tcPr>
            <w:tcW w:w="5170" w:type="dxa"/>
            <w:vAlign w:val="center"/>
          </w:tcPr>
          <w:p w14:paraId="04813E7D">
            <w:pPr>
              <w:adjustRightInd w:val="0"/>
              <w:snapToGrid w:val="0"/>
              <w:spacing w:line="360" w:lineRule="auto"/>
              <w:jc w:val="left"/>
              <w:rPr>
                <w:rFonts w:hint="eastAsia" w:ascii="宋体" w:hAnsi="宋体" w:eastAsia="宋体" w:cs="宋体"/>
                <w:color w:val="auto"/>
                <w:sz w:val="24"/>
                <w:szCs w:val="24"/>
                <w:highlight w:val="none"/>
              </w:rPr>
            </w:pPr>
          </w:p>
        </w:tc>
      </w:tr>
      <w:tr w14:paraId="18E0157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114495C">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048E0339">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第4.4款</w:t>
            </w:r>
          </w:p>
        </w:tc>
        <w:tc>
          <w:tcPr>
            <w:tcW w:w="1742" w:type="dxa"/>
            <w:vAlign w:val="center"/>
          </w:tcPr>
          <w:p w14:paraId="31EBB3A9">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履约验收中甲方提出异议或作出说明的期限</w:t>
            </w:r>
          </w:p>
        </w:tc>
        <w:tc>
          <w:tcPr>
            <w:tcW w:w="5170" w:type="dxa"/>
            <w:vAlign w:val="center"/>
          </w:tcPr>
          <w:p w14:paraId="73CC3AB0">
            <w:pPr>
              <w:adjustRightInd w:val="0"/>
              <w:snapToGrid w:val="0"/>
              <w:spacing w:line="360" w:lineRule="auto"/>
              <w:jc w:val="left"/>
              <w:rPr>
                <w:rFonts w:hint="eastAsia" w:ascii="宋体" w:hAnsi="宋体" w:eastAsia="宋体" w:cs="宋体"/>
                <w:color w:val="auto"/>
                <w:sz w:val="24"/>
                <w:szCs w:val="24"/>
                <w:highlight w:val="none"/>
              </w:rPr>
            </w:pPr>
          </w:p>
        </w:tc>
      </w:tr>
      <w:tr w14:paraId="4D50D7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D3F34C8">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37700E7">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第4.6款</w:t>
            </w:r>
          </w:p>
        </w:tc>
        <w:tc>
          <w:tcPr>
            <w:tcW w:w="1742" w:type="dxa"/>
            <w:vAlign w:val="center"/>
          </w:tcPr>
          <w:p w14:paraId="00A9DA4D">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约定甲方承担的其他义务和责任</w:t>
            </w:r>
          </w:p>
        </w:tc>
        <w:tc>
          <w:tcPr>
            <w:tcW w:w="5170" w:type="dxa"/>
            <w:vAlign w:val="center"/>
          </w:tcPr>
          <w:p w14:paraId="76137CB3">
            <w:pPr>
              <w:adjustRightInd w:val="0"/>
              <w:snapToGrid w:val="0"/>
              <w:spacing w:line="360" w:lineRule="auto"/>
              <w:jc w:val="left"/>
              <w:rPr>
                <w:rFonts w:hint="eastAsia" w:ascii="宋体" w:hAnsi="宋体" w:eastAsia="宋体" w:cs="宋体"/>
                <w:color w:val="auto"/>
                <w:sz w:val="24"/>
                <w:szCs w:val="24"/>
                <w:highlight w:val="none"/>
              </w:rPr>
            </w:pPr>
          </w:p>
        </w:tc>
      </w:tr>
      <w:tr w14:paraId="5937FF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60561BF">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15BC60E8">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第5.4款</w:t>
            </w:r>
          </w:p>
        </w:tc>
        <w:tc>
          <w:tcPr>
            <w:tcW w:w="1742" w:type="dxa"/>
            <w:vAlign w:val="center"/>
          </w:tcPr>
          <w:p w14:paraId="445A0451">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约定乙方承担的其他义务和责任</w:t>
            </w:r>
          </w:p>
        </w:tc>
        <w:tc>
          <w:tcPr>
            <w:tcW w:w="5170" w:type="dxa"/>
            <w:vAlign w:val="center"/>
          </w:tcPr>
          <w:p w14:paraId="23259377">
            <w:pPr>
              <w:adjustRightInd w:val="0"/>
              <w:snapToGrid w:val="0"/>
              <w:spacing w:line="360" w:lineRule="auto"/>
              <w:jc w:val="left"/>
              <w:rPr>
                <w:rFonts w:hint="eastAsia" w:ascii="宋体" w:hAnsi="宋体" w:eastAsia="宋体" w:cs="宋体"/>
                <w:color w:val="auto"/>
                <w:sz w:val="24"/>
                <w:szCs w:val="24"/>
                <w:highlight w:val="none"/>
              </w:rPr>
            </w:pPr>
          </w:p>
        </w:tc>
      </w:tr>
      <w:tr w14:paraId="7D479F0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6D23D5A">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18F55897">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第6.1款</w:t>
            </w:r>
          </w:p>
        </w:tc>
        <w:tc>
          <w:tcPr>
            <w:tcW w:w="1742" w:type="dxa"/>
            <w:vAlign w:val="center"/>
          </w:tcPr>
          <w:p w14:paraId="68FE36AA">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履行合同义务的顺序</w:t>
            </w:r>
          </w:p>
        </w:tc>
        <w:tc>
          <w:tcPr>
            <w:tcW w:w="5170" w:type="dxa"/>
            <w:vAlign w:val="center"/>
          </w:tcPr>
          <w:p w14:paraId="5806151A">
            <w:pPr>
              <w:adjustRightInd w:val="0"/>
              <w:snapToGrid w:val="0"/>
              <w:spacing w:line="360" w:lineRule="auto"/>
              <w:jc w:val="left"/>
              <w:rPr>
                <w:rFonts w:hint="eastAsia" w:ascii="宋体" w:hAnsi="宋体" w:eastAsia="宋体" w:cs="宋体"/>
                <w:color w:val="auto"/>
                <w:sz w:val="24"/>
                <w:szCs w:val="24"/>
                <w:highlight w:val="none"/>
              </w:rPr>
            </w:pPr>
          </w:p>
        </w:tc>
      </w:tr>
      <w:tr w14:paraId="7B1D15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6F600AE2">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72454B92">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第7.1款</w:t>
            </w:r>
          </w:p>
        </w:tc>
        <w:tc>
          <w:tcPr>
            <w:tcW w:w="1742" w:type="dxa"/>
            <w:vAlign w:val="center"/>
          </w:tcPr>
          <w:p w14:paraId="2D643C24">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包装特殊要求</w:t>
            </w:r>
          </w:p>
        </w:tc>
        <w:tc>
          <w:tcPr>
            <w:tcW w:w="5170" w:type="dxa"/>
            <w:vAlign w:val="center"/>
          </w:tcPr>
          <w:p w14:paraId="59217776">
            <w:pPr>
              <w:spacing w:line="360" w:lineRule="auto"/>
              <w:rPr>
                <w:rFonts w:hint="eastAsia" w:ascii="宋体" w:hAnsi="宋体" w:eastAsia="宋体" w:cs="宋体"/>
                <w:color w:val="auto"/>
                <w:sz w:val="24"/>
                <w:szCs w:val="24"/>
                <w:highlight w:val="none"/>
              </w:rPr>
            </w:pPr>
          </w:p>
        </w:tc>
      </w:tr>
      <w:tr w14:paraId="65BB9D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1A85FE24">
            <w:pPr>
              <w:adjustRightInd w:val="0"/>
              <w:snapToGrid w:val="0"/>
              <w:spacing w:line="360" w:lineRule="auto"/>
              <w:jc w:val="center"/>
              <w:rPr>
                <w:rFonts w:hint="eastAsia" w:ascii="宋体" w:hAnsi="宋体" w:eastAsia="宋体" w:cs="宋体"/>
                <w:color w:val="auto"/>
                <w:sz w:val="24"/>
                <w:szCs w:val="24"/>
                <w:highlight w:val="none"/>
              </w:rPr>
            </w:pPr>
          </w:p>
        </w:tc>
        <w:tc>
          <w:tcPr>
            <w:tcW w:w="1742" w:type="dxa"/>
            <w:vAlign w:val="center"/>
          </w:tcPr>
          <w:p w14:paraId="42378969">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指定现场</w:t>
            </w:r>
          </w:p>
        </w:tc>
        <w:tc>
          <w:tcPr>
            <w:tcW w:w="5170" w:type="dxa"/>
            <w:vAlign w:val="center"/>
          </w:tcPr>
          <w:p w14:paraId="58B256F3">
            <w:pPr>
              <w:spacing w:line="360" w:lineRule="auto"/>
              <w:rPr>
                <w:rFonts w:hint="eastAsia" w:ascii="宋体" w:hAnsi="宋体" w:eastAsia="宋体" w:cs="宋体"/>
                <w:color w:val="auto"/>
                <w:sz w:val="24"/>
                <w:szCs w:val="24"/>
                <w:highlight w:val="none"/>
              </w:rPr>
            </w:pPr>
          </w:p>
        </w:tc>
      </w:tr>
      <w:tr w14:paraId="4311BF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1D5FB2A5">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4D2EC157">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第7.2款</w:t>
            </w:r>
          </w:p>
        </w:tc>
        <w:tc>
          <w:tcPr>
            <w:tcW w:w="1742" w:type="dxa"/>
            <w:vAlign w:val="center"/>
          </w:tcPr>
          <w:p w14:paraId="04FFEF09">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运输特殊要求</w:t>
            </w:r>
          </w:p>
        </w:tc>
        <w:tc>
          <w:tcPr>
            <w:tcW w:w="5170" w:type="dxa"/>
            <w:vAlign w:val="center"/>
          </w:tcPr>
          <w:p w14:paraId="6E5D806C">
            <w:pPr>
              <w:spacing w:line="360" w:lineRule="auto"/>
              <w:rPr>
                <w:rFonts w:hint="eastAsia" w:ascii="宋体" w:hAnsi="宋体" w:eastAsia="宋体" w:cs="宋体"/>
                <w:color w:val="auto"/>
                <w:sz w:val="24"/>
                <w:szCs w:val="24"/>
                <w:highlight w:val="none"/>
              </w:rPr>
            </w:pPr>
          </w:p>
        </w:tc>
      </w:tr>
      <w:tr w14:paraId="2164C87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21012262">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453C8B23">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第7.3款</w:t>
            </w:r>
          </w:p>
        </w:tc>
        <w:tc>
          <w:tcPr>
            <w:tcW w:w="1742" w:type="dxa"/>
            <w:vAlign w:val="center"/>
          </w:tcPr>
          <w:p w14:paraId="58482393">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保险要求</w:t>
            </w:r>
          </w:p>
        </w:tc>
        <w:tc>
          <w:tcPr>
            <w:tcW w:w="5170" w:type="dxa"/>
            <w:vAlign w:val="center"/>
          </w:tcPr>
          <w:p w14:paraId="7AA07E7B">
            <w:pPr>
              <w:spacing w:line="360" w:lineRule="auto"/>
              <w:rPr>
                <w:rFonts w:hint="eastAsia" w:ascii="宋体" w:hAnsi="宋体" w:eastAsia="宋体" w:cs="宋体"/>
                <w:color w:val="auto"/>
                <w:sz w:val="24"/>
                <w:szCs w:val="24"/>
                <w:highlight w:val="none"/>
              </w:rPr>
            </w:pPr>
          </w:p>
        </w:tc>
      </w:tr>
      <w:tr w14:paraId="766879D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90BA30E">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0B31F9E7">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第8.2（1）项</w:t>
            </w:r>
          </w:p>
        </w:tc>
        <w:tc>
          <w:tcPr>
            <w:tcW w:w="1742" w:type="dxa"/>
            <w:vAlign w:val="center"/>
          </w:tcPr>
          <w:p w14:paraId="059F45CB">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质量保证期</w:t>
            </w:r>
          </w:p>
        </w:tc>
        <w:tc>
          <w:tcPr>
            <w:tcW w:w="5170" w:type="dxa"/>
            <w:vAlign w:val="center"/>
          </w:tcPr>
          <w:p w14:paraId="7CC299AB">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p>
        </w:tc>
      </w:tr>
      <w:tr w14:paraId="23EEE2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A16529A">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73EF06D">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第8.2（3）项</w:t>
            </w:r>
          </w:p>
        </w:tc>
        <w:tc>
          <w:tcPr>
            <w:tcW w:w="1742" w:type="dxa"/>
            <w:vAlign w:val="center"/>
          </w:tcPr>
          <w:p w14:paraId="5233DB7B">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货物质量缺陷</w:t>
            </w:r>
          </w:p>
          <w:p w14:paraId="71A10EFB">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响应时间</w:t>
            </w:r>
          </w:p>
        </w:tc>
        <w:tc>
          <w:tcPr>
            <w:tcW w:w="5170" w:type="dxa"/>
            <w:vAlign w:val="center"/>
          </w:tcPr>
          <w:p w14:paraId="1D29BB0A">
            <w:pPr>
              <w:adjustRightInd w:val="0"/>
              <w:snapToGrid w:val="0"/>
              <w:spacing w:line="360" w:lineRule="auto"/>
              <w:jc w:val="left"/>
              <w:rPr>
                <w:rFonts w:hint="eastAsia" w:ascii="宋体" w:hAnsi="宋体" w:eastAsia="宋体" w:cs="宋体"/>
                <w:color w:val="auto"/>
                <w:sz w:val="24"/>
                <w:szCs w:val="24"/>
                <w:highlight w:val="none"/>
              </w:rPr>
            </w:pPr>
          </w:p>
        </w:tc>
      </w:tr>
      <w:tr w14:paraId="1D82F7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9EBABF8">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3C670734">
            <w:pPr>
              <w:pStyle w:val="69"/>
              <w:spacing w:line="360" w:lineRule="auto"/>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第11.1款</w:t>
            </w:r>
          </w:p>
        </w:tc>
        <w:tc>
          <w:tcPr>
            <w:tcW w:w="1742" w:type="dxa"/>
            <w:vAlign w:val="center"/>
          </w:tcPr>
          <w:p w14:paraId="1D76EECF">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其他应当保密的信息</w:t>
            </w:r>
          </w:p>
        </w:tc>
        <w:tc>
          <w:tcPr>
            <w:tcW w:w="5170" w:type="dxa"/>
            <w:vAlign w:val="center"/>
          </w:tcPr>
          <w:p w14:paraId="016407E7">
            <w:pPr>
              <w:adjustRightInd w:val="0"/>
              <w:snapToGrid w:val="0"/>
              <w:spacing w:line="360" w:lineRule="auto"/>
              <w:jc w:val="left"/>
              <w:rPr>
                <w:rFonts w:hint="eastAsia" w:ascii="宋体" w:hAnsi="宋体" w:eastAsia="宋体" w:cs="宋体"/>
                <w:color w:val="auto"/>
                <w:sz w:val="24"/>
                <w:szCs w:val="24"/>
                <w:highlight w:val="none"/>
              </w:rPr>
            </w:pPr>
          </w:p>
        </w:tc>
      </w:tr>
      <w:tr w14:paraId="425042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676A9584">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1D6109AD">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第12.2款</w:t>
            </w:r>
          </w:p>
        </w:tc>
        <w:tc>
          <w:tcPr>
            <w:tcW w:w="1742" w:type="dxa"/>
            <w:vAlign w:val="center"/>
          </w:tcPr>
          <w:p w14:paraId="0CEABBE9">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合同价款支付时间</w:t>
            </w:r>
          </w:p>
        </w:tc>
        <w:tc>
          <w:tcPr>
            <w:tcW w:w="5170" w:type="dxa"/>
            <w:vAlign w:val="center"/>
          </w:tcPr>
          <w:p w14:paraId="2A0C6B0D">
            <w:pPr>
              <w:adjustRightInd w:val="0"/>
              <w:snapToGrid w:val="0"/>
              <w:spacing w:line="360" w:lineRule="auto"/>
              <w:jc w:val="left"/>
              <w:rPr>
                <w:rFonts w:hint="eastAsia" w:ascii="宋体" w:hAnsi="宋体" w:eastAsia="宋体" w:cs="宋体"/>
                <w:color w:val="auto"/>
                <w:sz w:val="24"/>
                <w:szCs w:val="24"/>
                <w:highlight w:val="none"/>
              </w:rPr>
            </w:pPr>
          </w:p>
        </w:tc>
      </w:tr>
      <w:tr w14:paraId="4F8C27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74DA16E1">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1AD99FEC">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第13.2款</w:t>
            </w:r>
          </w:p>
        </w:tc>
        <w:tc>
          <w:tcPr>
            <w:tcW w:w="1742" w:type="dxa"/>
            <w:vAlign w:val="center"/>
          </w:tcPr>
          <w:p w14:paraId="69FF9178">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履约保证金不予退还的情形</w:t>
            </w:r>
          </w:p>
        </w:tc>
        <w:tc>
          <w:tcPr>
            <w:tcW w:w="5170" w:type="dxa"/>
            <w:vAlign w:val="center"/>
          </w:tcPr>
          <w:p w14:paraId="539D43B8">
            <w:pPr>
              <w:adjustRightInd w:val="0"/>
              <w:snapToGrid w:val="0"/>
              <w:spacing w:line="360" w:lineRule="auto"/>
              <w:jc w:val="left"/>
              <w:rPr>
                <w:rFonts w:hint="eastAsia" w:ascii="宋体" w:hAnsi="宋体" w:eastAsia="宋体" w:cs="宋体"/>
                <w:color w:val="auto"/>
                <w:sz w:val="24"/>
                <w:szCs w:val="24"/>
                <w:highlight w:val="none"/>
              </w:rPr>
            </w:pPr>
          </w:p>
        </w:tc>
      </w:tr>
      <w:tr w14:paraId="361580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441464A">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43B3D679">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第13.3款</w:t>
            </w:r>
          </w:p>
        </w:tc>
        <w:tc>
          <w:tcPr>
            <w:tcW w:w="1742" w:type="dxa"/>
            <w:vAlign w:val="center"/>
          </w:tcPr>
          <w:p w14:paraId="7D193AB3">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履约保证金退还时间及逾期退还的违约金</w:t>
            </w:r>
          </w:p>
        </w:tc>
        <w:tc>
          <w:tcPr>
            <w:tcW w:w="5170" w:type="dxa"/>
            <w:vAlign w:val="center"/>
          </w:tcPr>
          <w:p w14:paraId="33E0AEE3">
            <w:pPr>
              <w:adjustRightInd w:val="0"/>
              <w:snapToGrid w:val="0"/>
              <w:spacing w:line="360" w:lineRule="auto"/>
              <w:jc w:val="left"/>
              <w:rPr>
                <w:rFonts w:hint="eastAsia" w:ascii="宋体" w:hAnsi="宋体" w:eastAsia="宋体" w:cs="宋体"/>
                <w:color w:val="auto"/>
                <w:sz w:val="24"/>
                <w:szCs w:val="24"/>
                <w:highlight w:val="none"/>
              </w:rPr>
            </w:pPr>
          </w:p>
        </w:tc>
      </w:tr>
      <w:tr w14:paraId="0C8F94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2968B08E">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2F862240">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第14.1（3）项</w:t>
            </w:r>
          </w:p>
        </w:tc>
        <w:tc>
          <w:tcPr>
            <w:tcW w:w="1742" w:type="dxa"/>
            <w:vAlign w:val="center"/>
          </w:tcPr>
          <w:p w14:paraId="0FA4F825">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运行监督、维修期限</w:t>
            </w:r>
          </w:p>
        </w:tc>
        <w:tc>
          <w:tcPr>
            <w:tcW w:w="5170" w:type="dxa"/>
            <w:vAlign w:val="center"/>
          </w:tcPr>
          <w:p w14:paraId="066F2AF6">
            <w:pPr>
              <w:adjustRightInd w:val="0"/>
              <w:snapToGrid w:val="0"/>
              <w:spacing w:line="360" w:lineRule="auto"/>
              <w:jc w:val="left"/>
              <w:rPr>
                <w:rFonts w:hint="eastAsia" w:ascii="宋体" w:hAnsi="宋体" w:eastAsia="宋体" w:cs="宋体"/>
                <w:color w:val="auto"/>
                <w:sz w:val="24"/>
                <w:szCs w:val="24"/>
                <w:highlight w:val="none"/>
              </w:rPr>
            </w:pPr>
          </w:p>
        </w:tc>
      </w:tr>
      <w:tr w14:paraId="0AFF5C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0451BABA">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C7F4C36">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第14.1（5）项</w:t>
            </w:r>
          </w:p>
        </w:tc>
        <w:tc>
          <w:tcPr>
            <w:tcW w:w="1742" w:type="dxa"/>
            <w:vAlign w:val="center"/>
          </w:tcPr>
          <w:p w14:paraId="0D17EC06">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货物回收的约定</w:t>
            </w:r>
          </w:p>
        </w:tc>
        <w:tc>
          <w:tcPr>
            <w:tcW w:w="5170" w:type="dxa"/>
            <w:vAlign w:val="center"/>
          </w:tcPr>
          <w:p w14:paraId="43C13EAB">
            <w:pPr>
              <w:adjustRightInd w:val="0"/>
              <w:snapToGrid w:val="0"/>
              <w:spacing w:line="360" w:lineRule="auto"/>
              <w:jc w:val="left"/>
              <w:rPr>
                <w:rFonts w:hint="eastAsia" w:ascii="宋体" w:hAnsi="宋体" w:eastAsia="宋体" w:cs="宋体"/>
                <w:color w:val="auto"/>
                <w:sz w:val="24"/>
                <w:szCs w:val="24"/>
                <w:highlight w:val="none"/>
              </w:rPr>
            </w:pPr>
          </w:p>
        </w:tc>
      </w:tr>
      <w:tr w14:paraId="1D2B45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10445B8">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77F27C91">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第14.1（6）项</w:t>
            </w:r>
          </w:p>
        </w:tc>
        <w:tc>
          <w:tcPr>
            <w:tcW w:w="1742" w:type="dxa"/>
            <w:vAlign w:val="center"/>
          </w:tcPr>
          <w:p w14:paraId="3500E3A6">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乙方提供的其他服务</w:t>
            </w:r>
          </w:p>
        </w:tc>
        <w:tc>
          <w:tcPr>
            <w:tcW w:w="5170" w:type="dxa"/>
            <w:vAlign w:val="center"/>
          </w:tcPr>
          <w:p w14:paraId="13194CD6">
            <w:pPr>
              <w:adjustRightInd w:val="0"/>
              <w:snapToGrid w:val="0"/>
              <w:spacing w:line="360" w:lineRule="auto"/>
              <w:jc w:val="left"/>
              <w:rPr>
                <w:rFonts w:hint="eastAsia" w:ascii="宋体" w:hAnsi="宋体" w:eastAsia="宋体" w:cs="宋体"/>
                <w:color w:val="auto"/>
                <w:sz w:val="24"/>
                <w:szCs w:val="24"/>
                <w:highlight w:val="none"/>
              </w:rPr>
            </w:pPr>
          </w:p>
        </w:tc>
      </w:tr>
      <w:tr w14:paraId="3E9B2E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4E34CEA">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1619A0A1">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第15.1款</w:t>
            </w:r>
          </w:p>
        </w:tc>
        <w:tc>
          <w:tcPr>
            <w:tcW w:w="1742" w:type="dxa"/>
            <w:vAlign w:val="center"/>
          </w:tcPr>
          <w:p w14:paraId="668BB69F">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修理、重作、更换相关具体规定</w:t>
            </w:r>
          </w:p>
        </w:tc>
        <w:tc>
          <w:tcPr>
            <w:tcW w:w="5170" w:type="dxa"/>
            <w:vAlign w:val="center"/>
          </w:tcPr>
          <w:p w14:paraId="1513F092">
            <w:pPr>
              <w:adjustRightInd w:val="0"/>
              <w:snapToGrid w:val="0"/>
              <w:spacing w:line="360" w:lineRule="auto"/>
              <w:jc w:val="left"/>
              <w:rPr>
                <w:rFonts w:hint="eastAsia" w:ascii="宋体" w:hAnsi="宋体" w:eastAsia="宋体" w:cs="宋体"/>
                <w:color w:val="auto"/>
                <w:sz w:val="24"/>
                <w:szCs w:val="24"/>
                <w:highlight w:val="none"/>
              </w:rPr>
            </w:pPr>
          </w:p>
        </w:tc>
      </w:tr>
      <w:tr w14:paraId="771A2A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6ED1E94">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2C4AD2FD">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第15.2（2）项</w:t>
            </w:r>
          </w:p>
        </w:tc>
        <w:tc>
          <w:tcPr>
            <w:tcW w:w="1742" w:type="dxa"/>
            <w:vAlign w:val="center"/>
          </w:tcPr>
          <w:p w14:paraId="692039FD">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迟延交货赔偿费</w:t>
            </w:r>
          </w:p>
        </w:tc>
        <w:tc>
          <w:tcPr>
            <w:tcW w:w="5170" w:type="dxa"/>
            <w:vAlign w:val="center"/>
          </w:tcPr>
          <w:p w14:paraId="28507A7B">
            <w:pPr>
              <w:adjustRightInd w:val="0"/>
              <w:snapToGrid w:val="0"/>
              <w:spacing w:line="360" w:lineRule="auto"/>
              <w:jc w:val="left"/>
              <w:rPr>
                <w:rFonts w:hint="eastAsia" w:ascii="宋体" w:hAnsi="宋体" w:eastAsia="宋体" w:cs="宋体"/>
                <w:color w:val="auto"/>
                <w:sz w:val="24"/>
                <w:szCs w:val="24"/>
                <w:highlight w:val="none"/>
                <w:u w:val="single"/>
              </w:rPr>
            </w:pPr>
          </w:p>
        </w:tc>
      </w:tr>
      <w:tr w14:paraId="2E098E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D3191BF">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10B8942D">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第15.3款</w:t>
            </w:r>
          </w:p>
        </w:tc>
        <w:tc>
          <w:tcPr>
            <w:tcW w:w="1742" w:type="dxa"/>
            <w:vAlign w:val="center"/>
          </w:tcPr>
          <w:p w14:paraId="0B0B1C20">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逾期付款利息</w:t>
            </w:r>
          </w:p>
        </w:tc>
        <w:tc>
          <w:tcPr>
            <w:tcW w:w="5170" w:type="dxa"/>
            <w:vAlign w:val="center"/>
          </w:tcPr>
          <w:p w14:paraId="38F3C75A">
            <w:pPr>
              <w:adjustRightInd w:val="0"/>
              <w:snapToGrid w:val="0"/>
              <w:spacing w:line="360" w:lineRule="auto"/>
              <w:jc w:val="left"/>
              <w:rPr>
                <w:rFonts w:hint="eastAsia" w:ascii="宋体" w:hAnsi="宋体" w:eastAsia="宋体" w:cs="宋体"/>
                <w:color w:val="auto"/>
                <w:sz w:val="24"/>
                <w:szCs w:val="24"/>
                <w:highlight w:val="none"/>
                <w:u w:val="single"/>
              </w:rPr>
            </w:pPr>
          </w:p>
        </w:tc>
      </w:tr>
      <w:tr w14:paraId="47B2FA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588A5D8D">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93EC5AA">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第15.4款</w:t>
            </w:r>
          </w:p>
        </w:tc>
        <w:tc>
          <w:tcPr>
            <w:tcW w:w="1742" w:type="dxa"/>
            <w:tcBorders>
              <w:left w:val="single" w:color="auto" w:sz="2" w:space="0"/>
              <w:bottom w:val="single" w:color="auto" w:sz="2" w:space="0"/>
              <w:right w:val="single" w:color="auto" w:sz="2" w:space="0"/>
            </w:tcBorders>
            <w:vAlign w:val="center"/>
          </w:tcPr>
          <w:p w14:paraId="68364ED8">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其他违约责任</w:t>
            </w:r>
          </w:p>
        </w:tc>
        <w:tc>
          <w:tcPr>
            <w:tcW w:w="5170" w:type="dxa"/>
            <w:tcBorders>
              <w:left w:val="single" w:color="auto" w:sz="2" w:space="0"/>
              <w:bottom w:val="single" w:color="auto" w:sz="2" w:space="0"/>
            </w:tcBorders>
            <w:vAlign w:val="center"/>
          </w:tcPr>
          <w:p w14:paraId="39CD55A6">
            <w:pPr>
              <w:adjustRightInd w:val="0"/>
              <w:snapToGrid w:val="0"/>
              <w:spacing w:line="360" w:lineRule="auto"/>
              <w:jc w:val="left"/>
              <w:rPr>
                <w:rFonts w:hint="eastAsia" w:ascii="宋体" w:hAnsi="宋体" w:eastAsia="宋体" w:cs="宋体"/>
                <w:color w:val="auto"/>
                <w:sz w:val="24"/>
                <w:szCs w:val="24"/>
                <w:highlight w:val="none"/>
                <w:u w:val="single"/>
              </w:rPr>
            </w:pPr>
          </w:p>
        </w:tc>
      </w:tr>
      <w:tr w14:paraId="387207C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7986A877">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3633A7C2">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第19.2款</w:t>
            </w:r>
          </w:p>
        </w:tc>
        <w:tc>
          <w:tcPr>
            <w:tcW w:w="1742" w:type="dxa"/>
            <w:tcBorders>
              <w:top w:val="single" w:color="auto" w:sz="2" w:space="0"/>
              <w:left w:val="single" w:color="auto" w:sz="2" w:space="0"/>
              <w:right w:val="single" w:color="auto" w:sz="2" w:space="0"/>
            </w:tcBorders>
            <w:vAlign w:val="center"/>
          </w:tcPr>
          <w:p w14:paraId="1B9F436B">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解决争议的方法</w:t>
            </w:r>
          </w:p>
        </w:tc>
        <w:tc>
          <w:tcPr>
            <w:tcW w:w="5170" w:type="dxa"/>
            <w:tcBorders>
              <w:top w:val="single" w:color="auto" w:sz="2" w:space="0"/>
              <w:left w:val="single" w:color="auto" w:sz="2" w:space="0"/>
            </w:tcBorders>
            <w:vAlign w:val="center"/>
          </w:tcPr>
          <w:p w14:paraId="003C7A27">
            <w:pPr>
              <w:autoSpaceDE w:val="0"/>
              <w:autoSpaceDN w:val="0"/>
              <w:adjustRightInd w:val="0"/>
              <w:snapToGrid w:val="0"/>
              <w:spacing w:line="360" w:lineRule="auto"/>
              <w:jc w:val="left"/>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因本合同及合同有关事项发生的争议，按下列第</w:t>
            </w:r>
            <w:r>
              <w:rPr>
                <w:rFonts w:hint="eastAsia" w:ascii="宋体" w:hAnsi="宋体" w:eastAsia="宋体" w:cs="宋体"/>
                <w:iCs/>
                <w:color w:val="auto"/>
                <w:sz w:val="24"/>
                <w:szCs w:val="24"/>
                <w:highlight w:val="none"/>
                <w:u w:val="single"/>
              </w:rPr>
              <w:t xml:space="preserve">   </w:t>
            </w:r>
            <w:r>
              <w:rPr>
                <w:rFonts w:hint="eastAsia" w:ascii="宋体" w:hAnsi="宋体" w:eastAsia="宋体" w:cs="宋体"/>
                <w:iCs/>
                <w:color w:val="auto"/>
                <w:sz w:val="24"/>
                <w:szCs w:val="24"/>
                <w:highlight w:val="none"/>
              </w:rPr>
              <w:t>种方式解决：</w:t>
            </w:r>
          </w:p>
          <w:p w14:paraId="12A82147">
            <w:pPr>
              <w:autoSpaceDE w:val="0"/>
              <w:autoSpaceDN w:val="0"/>
              <w:adjustRightInd w:val="0"/>
              <w:snapToGrid w:val="0"/>
              <w:spacing w:line="360" w:lineRule="auto"/>
              <w:jc w:val="left"/>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（1）向</w:t>
            </w:r>
            <w:r>
              <w:rPr>
                <w:rFonts w:hint="eastAsia" w:ascii="宋体" w:hAnsi="宋体" w:eastAsia="宋体" w:cs="宋体"/>
                <w:iCs/>
                <w:color w:val="auto"/>
                <w:sz w:val="24"/>
                <w:szCs w:val="24"/>
                <w:highlight w:val="none"/>
                <w:u w:val="single"/>
              </w:rPr>
              <w:t xml:space="preserve">                    </w:t>
            </w:r>
            <w:r>
              <w:rPr>
                <w:rFonts w:hint="eastAsia" w:ascii="宋体" w:hAnsi="宋体" w:eastAsia="宋体" w:cs="宋体"/>
                <w:iCs/>
                <w:color w:val="auto"/>
                <w:sz w:val="24"/>
                <w:szCs w:val="24"/>
                <w:highlight w:val="none"/>
              </w:rPr>
              <w:t>仲裁委员会申请仲裁，仲裁地点为</w:t>
            </w:r>
            <w:r>
              <w:rPr>
                <w:rFonts w:hint="eastAsia" w:ascii="宋体" w:hAnsi="宋体" w:eastAsia="宋体" w:cs="宋体"/>
                <w:iCs/>
                <w:color w:val="auto"/>
                <w:sz w:val="24"/>
                <w:szCs w:val="24"/>
                <w:highlight w:val="none"/>
                <w:u w:val="single"/>
              </w:rPr>
              <w:t xml:space="preserve">           </w:t>
            </w:r>
            <w:r>
              <w:rPr>
                <w:rFonts w:hint="eastAsia" w:ascii="宋体" w:hAnsi="宋体" w:eastAsia="宋体" w:cs="宋体"/>
                <w:iCs/>
                <w:color w:val="auto"/>
                <w:sz w:val="24"/>
                <w:szCs w:val="24"/>
                <w:highlight w:val="none"/>
              </w:rPr>
              <w:t>；</w:t>
            </w:r>
          </w:p>
          <w:p w14:paraId="1C064E38">
            <w:pPr>
              <w:adjustRightInd w:val="0"/>
              <w:snapToGrid w:val="0"/>
              <w:spacing w:line="360" w:lineRule="auto"/>
              <w:jc w:val="left"/>
              <w:rPr>
                <w:rFonts w:hint="eastAsia" w:ascii="宋体" w:hAnsi="宋体" w:eastAsia="宋体" w:cs="宋体"/>
                <w:color w:val="auto"/>
                <w:sz w:val="24"/>
                <w:szCs w:val="24"/>
                <w:highlight w:val="none"/>
                <w:u w:val="single"/>
              </w:rPr>
            </w:pPr>
            <w:r>
              <w:rPr>
                <w:rFonts w:hint="eastAsia" w:ascii="宋体" w:hAnsi="宋体" w:eastAsia="宋体" w:cs="宋体"/>
                <w:iCs/>
                <w:color w:val="auto"/>
                <w:sz w:val="24"/>
                <w:szCs w:val="24"/>
                <w:highlight w:val="none"/>
              </w:rPr>
              <w:t>（2）向</w:t>
            </w:r>
            <w:r>
              <w:rPr>
                <w:rFonts w:hint="eastAsia" w:ascii="宋体" w:hAnsi="宋体" w:eastAsia="宋体" w:cs="宋体"/>
                <w:iCs/>
                <w:color w:val="auto"/>
                <w:sz w:val="24"/>
                <w:szCs w:val="24"/>
                <w:highlight w:val="none"/>
                <w:u w:val="single"/>
              </w:rPr>
              <w:t xml:space="preserve">                    </w:t>
            </w:r>
            <w:r>
              <w:rPr>
                <w:rFonts w:hint="eastAsia" w:ascii="宋体" w:hAnsi="宋体" w:eastAsia="宋体" w:cs="宋体"/>
                <w:iCs/>
                <w:color w:val="auto"/>
                <w:sz w:val="24"/>
                <w:szCs w:val="24"/>
                <w:highlight w:val="none"/>
              </w:rPr>
              <w:t>人民法院起诉。</w:t>
            </w:r>
          </w:p>
        </w:tc>
      </w:tr>
      <w:tr w14:paraId="13467B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50F35767">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3FA4F252">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第23.1款</w:t>
            </w:r>
          </w:p>
        </w:tc>
        <w:tc>
          <w:tcPr>
            <w:tcW w:w="1742" w:type="dxa"/>
            <w:vAlign w:val="center"/>
          </w:tcPr>
          <w:p w14:paraId="187F7FD2">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其他专用条款</w:t>
            </w:r>
          </w:p>
        </w:tc>
        <w:tc>
          <w:tcPr>
            <w:tcW w:w="5170" w:type="dxa"/>
            <w:vAlign w:val="center"/>
          </w:tcPr>
          <w:p w14:paraId="2F917DD0">
            <w:pPr>
              <w:adjustRightInd w:val="0"/>
              <w:snapToGrid w:val="0"/>
              <w:spacing w:line="360" w:lineRule="auto"/>
              <w:jc w:val="left"/>
              <w:rPr>
                <w:rFonts w:hint="eastAsia" w:ascii="宋体" w:hAnsi="宋体" w:eastAsia="宋体" w:cs="宋体"/>
                <w:color w:val="auto"/>
                <w:sz w:val="24"/>
                <w:szCs w:val="24"/>
                <w:highlight w:val="none"/>
              </w:rPr>
            </w:pPr>
          </w:p>
        </w:tc>
      </w:tr>
    </w:tbl>
    <w:p w14:paraId="29092542">
      <w:pPr>
        <w:rPr>
          <w:rFonts w:hint="eastAsia" w:ascii="宋体" w:hAnsi="宋体" w:eastAsia="宋体" w:cs="宋体"/>
          <w:color w:val="auto"/>
          <w:sz w:val="24"/>
          <w:szCs w:val="24"/>
          <w:highlight w:val="none"/>
        </w:rPr>
      </w:pPr>
    </w:p>
    <w:p w14:paraId="0E6D9201">
      <w:pPr>
        <w:widowControl/>
        <w:jc w:val="left"/>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682D4B74">
      <w:pPr>
        <w:spacing w:line="360" w:lineRule="auto"/>
        <w:jc w:val="center"/>
        <w:outlineLvl w:val="0"/>
        <w:rPr>
          <w:rFonts w:hint="eastAsia" w:asciiTheme="minorEastAsia" w:hAnsiTheme="minorEastAsia" w:eastAsiaTheme="minorEastAsia"/>
          <w:b/>
          <w:color w:val="auto"/>
          <w:sz w:val="28"/>
          <w:highlight w:val="none"/>
        </w:rPr>
      </w:pPr>
      <w:bookmarkStart w:id="52" w:name="_Toc22492"/>
      <w:r>
        <w:rPr>
          <w:rFonts w:hint="eastAsia" w:asciiTheme="minorEastAsia" w:hAnsiTheme="minorEastAsia" w:eastAsiaTheme="minorEastAsia"/>
          <w:b/>
          <w:color w:val="auto"/>
          <w:sz w:val="28"/>
          <w:highlight w:val="none"/>
        </w:rPr>
        <w:t>第六章  投标文件格式</w:t>
      </w:r>
      <w:bookmarkEnd w:id="52"/>
    </w:p>
    <w:p w14:paraId="597E24F1">
      <w:pPr>
        <w:spacing w:line="900" w:lineRule="exact"/>
        <w:jc w:val="center"/>
        <w:rPr>
          <w:rFonts w:hint="eastAsia" w:asciiTheme="minorEastAsia" w:hAnsiTheme="minorEastAsia" w:eastAsiaTheme="minorEastAsia"/>
          <w:b/>
          <w:color w:val="auto"/>
          <w:sz w:val="72"/>
          <w:highlight w:val="none"/>
        </w:rPr>
      </w:pPr>
    </w:p>
    <w:p w14:paraId="5F1B657B">
      <w:pPr>
        <w:spacing w:line="900" w:lineRule="exact"/>
        <w:jc w:val="center"/>
        <w:outlineLvl w:val="1"/>
        <w:rPr>
          <w:rFonts w:hint="eastAsia" w:asciiTheme="minorEastAsia" w:hAnsiTheme="minorEastAsia" w:eastAsiaTheme="minorEastAsia"/>
          <w:b/>
          <w:color w:val="auto"/>
          <w:sz w:val="72"/>
          <w:highlight w:val="none"/>
        </w:rPr>
      </w:pPr>
      <w:bookmarkStart w:id="53" w:name="_Toc651"/>
      <w:r>
        <w:rPr>
          <w:rFonts w:hint="eastAsia" w:asciiTheme="minorEastAsia" w:hAnsiTheme="minorEastAsia" w:eastAsiaTheme="minorEastAsia"/>
          <w:b/>
          <w:color w:val="auto"/>
          <w:sz w:val="72"/>
          <w:highlight w:val="none"/>
        </w:rPr>
        <w:t>投</w:t>
      </w:r>
      <w:bookmarkEnd w:id="53"/>
    </w:p>
    <w:p w14:paraId="151E7C31">
      <w:pPr>
        <w:spacing w:line="900" w:lineRule="exact"/>
        <w:jc w:val="center"/>
        <w:rPr>
          <w:rFonts w:hint="eastAsia" w:asciiTheme="minorEastAsia" w:hAnsiTheme="minorEastAsia" w:eastAsiaTheme="minorEastAsia"/>
          <w:b/>
          <w:color w:val="auto"/>
          <w:sz w:val="72"/>
          <w:highlight w:val="none"/>
        </w:rPr>
      </w:pPr>
    </w:p>
    <w:p w14:paraId="2562A624">
      <w:pPr>
        <w:spacing w:line="900" w:lineRule="exact"/>
        <w:jc w:val="center"/>
        <w:outlineLvl w:val="1"/>
        <w:rPr>
          <w:rFonts w:hint="eastAsia" w:asciiTheme="minorEastAsia" w:hAnsiTheme="minorEastAsia" w:eastAsiaTheme="minorEastAsia"/>
          <w:b/>
          <w:color w:val="auto"/>
          <w:sz w:val="72"/>
          <w:highlight w:val="none"/>
        </w:rPr>
      </w:pPr>
      <w:bookmarkStart w:id="54" w:name="_Toc6148"/>
      <w:r>
        <w:rPr>
          <w:rFonts w:hint="eastAsia" w:asciiTheme="minorEastAsia" w:hAnsiTheme="minorEastAsia" w:eastAsiaTheme="minorEastAsia"/>
          <w:b/>
          <w:color w:val="auto"/>
          <w:sz w:val="72"/>
          <w:highlight w:val="none"/>
        </w:rPr>
        <w:t>标</w:t>
      </w:r>
      <w:bookmarkEnd w:id="54"/>
    </w:p>
    <w:p w14:paraId="194745C5">
      <w:pPr>
        <w:spacing w:line="900" w:lineRule="exact"/>
        <w:jc w:val="center"/>
        <w:rPr>
          <w:rFonts w:hint="eastAsia" w:asciiTheme="minorEastAsia" w:hAnsiTheme="minorEastAsia" w:eastAsiaTheme="minorEastAsia"/>
          <w:b/>
          <w:color w:val="auto"/>
          <w:sz w:val="72"/>
          <w:highlight w:val="none"/>
        </w:rPr>
      </w:pPr>
    </w:p>
    <w:p w14:paraId="41E80372">
      <w:pPr>
        <w:spacing w:line="900" w:lineRule="exact"/>
        <w:jc w:val="center"/>
        <w:outlineLvl w:val="1"/>
        <w:rPr>
          <w:rFonts w:hint="eastAsia" w:asciiTheme="minorEastAsia" w:hAnsiTheme="minorEastAsia" w:eastAsiaTheme="minorEastAsia"/>
          <w:b/>
          <w:color w:val="auto"/>
          <w:sz w:val="72"/>
          <w:highlight w:val="none"/>
        </w:rPr>
      </w:pPr>
      <w:bookmarkStart w:id="55" w:name="_Toc1338"/>
      <w:r>
        <w:rPr>
          <w:rFonts w:hint="eastAsia" w:asciiTheme="minorEastAsia" w:hAnsiTheme="minorEastAsia" w:eastAsiaTheme="minorEastAsia"/>
          <w:b/>
          <w:color w:val="auto"/>
          <w:sz w:val="72"/>
          <w:highlight w:val="none"/>
        </w:rPr>
        <w:t>文</w:t>
      </w:r>
      <w:bookmarkEnd w:id="55"/>
    </w:p>
    <w:p w14:paraId="25463D15">
      <w:pPr>
        <w:spacing w:line="900" w:lineRule="exact"/>
        <w:jc w:val="center"/>
        <w:rPr>
          <w:rFonts w:hint="eastAsia" w:asciiTheme="minorEastAsia" w:hAnsiTheme="minorEastAsia" w:eastAsiaTheme="minorEastAsia"/>
          <w:b/>
          <w:color w:val="auto"/>
          <w:sz w:val="72"/>
          <w:highlight w:val="none"/>
        </w:rPr>
      </w:pPr>
    </w:p>
    <w:p w14:paraId="10FE9B54">
      <w:pPr>
        <w:jc w:val="center"/>
        <w:outlineLvl w:val="1"/>
        <w:rPr>
          <w:rFonts w:hint="eastAsia" w:asciiTheme="minorEastAsia" w:hAnsiTheme="minorEastAsia" w:eastAsiaTheme="minorEastAsia"/>
          <w:b/>
          <w:color w:val="auto"/>
          <w:sz w:val="72"/>
          <w:highlight w:val="none"/>
        </w:rPr>
      </w:pPr>
      <w:bookmarkStart w:id="56" w:name="_Toc10796"/>
      <w:r>
        <w:rPr>
          <w:rFonts w:hint="eastAsia" w:asciiTheme="minorEastAsia" w:hAnsiTheme="minorEastAsia" w:eastAsiaTheme="minorEastAsia"/>
          <w:b/>
          <w:color w:val="auto"/>
          <w:sz w:val="72"/>
          <w:highlight w:val="none"/>
        </w:rPr>
        <w:t>件</w:t>
      </w:r>
      <w:bookmarkEnd w:id="56"/>
    </w:p>
    <w:p w14:paraId="100863D2">
      <w:pPr>
        <w:spacing w:after="158" w:afterLines="50"/>
        <w:jc w:val="center"/>
        <w:rPr>
          <w:rFonts w:hint="eastAsia" w:asciiTheme="minorEastAsia" w:hAnsiTheme="minorEastAsia" w:eastAsiaTheme="minorEastAsia"/>
          <w:b/>
          <w:color w:val="auto"/>
          <w:sz w:val="72"/>
          <w:highlight w:val="none"/>
        </w:rPr>
      </w:pPr>
    </w:p>
    <w:p w14:paraId="7543BA23">
      <w:pPr>
        <w:spacing w:before="158" w:beforeLines="50" w:after="158" w:afterLines="50"/>
        <w:jc w:val="center"/>
        <w:rPr>
          <w:rFonts w:hint="eastAsia" w:asciiTheme="minorEastAsia" w:hAnsiTheme="minorEastAsia" w:eastAsiaTheme="minorEastAsia"/>
          <w:b/>
          <w:color w:val="auto"/>
          <w:sz w:val="32"/>
          <w:szCs w:val="32"/>
          <w:highlight w:val="none"/>
        </w:rPr>
      </w:pPr>
    </w:p>
    <w:p w14:paraId="36F96B57">
      <w:pPr>
        <w:spacing w:after="158" w:afterLines="50" w:line="500" w:lineRule="exact"/>
        <w:jc w:val="center"/>
        <w:rPr>
          <w:rFonts w:hint="eastAsia" w:asciiTheme="minorEastAsia" w:hAnsiTheme="minorEastAsia" w:eastAsiaTheme="minorEastAsia"/>
          <w:b/>
          <w:color w:val="auto"/>
          <w:sz w:val="28"/>
          <w:szCs w:val="28"/>
          <w:highlight w:val="none"/>
        </w:rPr>
      </w:pPr>
    </w:p>
    <w:p w14:paraId="52203803">
      <w:pPr>
        <w:tabs>
          <w:tab w:val="left" w:pos="2410"/>
        </w:tabs>
        <w:autoSpaceDE w:val="0"/>
        <w:autoSpaceDN w:val="0"/>
        <w:adjustRightInd w:val="0"/>
        <w:snapToGrid w:val="0"/>
        <w:spacing w:line="360" w:lineRule="auto"/>
        <w:ind w:firstLine="643" w:firstLineChars="200"/>
        <w:rPr>
          <w:rFonts w:hint="eastAsia" w:ascii="宋体" w:hAnsi="宋体" w:eastAsia="宋体"/>
          <w:b/>
          <w:color w:val="auto"/>
          <w:spacing w:val="20"/>
          <w:kern w:val="0"/>
          <w:sz w:val="32"/>
          <w:szCs w:val="32"/>
          <w:highlight w:val="none"/>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p>
    <w:p w14:paraId="3B035378">
      <w:pPr>
        <w:tabs>
          <w:tab w:val="left" w:pos="2410"/>
        </w:tabs>
        <w:autoSpaceDE w:val="0"/>
        <w:autoSpaceDN w:val="0"/>
        <w:adjustRightInd w:val="0"/>
        <w:snapToGrid w:val="0"/>
        <w:spacing w:line="360" w:lineRule="auto"/>
        <w:ind w:firstLine="643" w:firstLineChars="200"/>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p>
    <w:p w14:paraId="1E81238D">
      <w:pPr>
        <w:tabs>
          <w:tab w:val="left" w:pos="2410"/>
        </w:tabs>
        <w:autoSpaceDE w:val="0"/>
        <w:autoSpaceDN w:val="0"/>
        <w:adjustRightInd w:val="0"/>
        <w:snapToGrid w:val="0"/>
        <w:spacing w:line="360" w:lineRule="auto"/>
        <w:ind w:firstLine="643" w:firstLineChars="200"/>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投 标 人：</w:t>
      </w:r>
      <w:r>
        <w:rPr>
          <w:rFonts w:hint="eastAsia" w:asciiTheme="minorEastAsia" w:hAnsiTheme="minorEastAsia" w:eastAsiaTheme="minorEastAsia"/>
          <w:b/>
          <w:color w:val="auto"/>
          <w:sz w:val="32"/>
          <w:highlight w:val="none"/>
          <w:u w:val="single"/>
        </w:rPr>
        <w:t xml:space="preserve">                  </w:t>
      </w:r>
    </w:p>
    <w:p w14:paraId="7A1AA654">
      <w:pPr>
        <w:spacing w:after="158" w:afterLines="50" w:line="500" w:lineRule="exact"/>
        <w:jc w:val="center"/>
        <w:outlineLvl w:val="1"/>
        <w:rPr>
          <w:rFonts w:hint="eastAsia"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bookmarkStart w:id="57" w:name="_Toc9994"/>
      <w:bookmarkStart w:id="58" w:name="_Toc8037"/>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57"/>
      <w:bookmarkEnd w:id="58"/>
    </w:p>
    <w:p w14:paraId="79FBBE57">
      <w:pPr>
        <w:widowControl/>
        <w:jc w:val="left"/>
        <w:rPr>
          <w:rFonts w:hint="eastAsia"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2F69E07D">
      <w:pPr>
        <w:spacing w:line="360" w:lineRule="auto"/>
        <w:jc w:val="center"/>
        <w:outlineLvl w:val="1"/>
        <w:rPr>
          <w:rFonts w:hint="eastAsia" w:asciiTheme="minorEastAsia" w:hAnsiTheme="minorEastAsia" w:eastAsiaTheme="minorEastAsia"/>
          <w:b/>
          <w:color w:val="auto"/>
          <w:sz w:val="24"/>
          <w:highlight w:val="none"/>
        </w:rPr>
      </w:pPr>
      <w:bookmarkStart w:id="59" w:name="_Toc28960"/>
      <w:bookmarkStart w:id="60" w:name="_Toc5555"/>
      <w:r>
        <w:rPr>
          <w:rFonts w:hint="eastAsia" w:asciiTheme="minorEastAsia" w:hAnsiTheme="minorEastAsia" w:eastAsiaTheme="minorEastAsia"/>
          <w:b/>
          <w:color w:val="auto"/>
          <w:sz w:val="24"/>
          <w:highlight w:val="none"/>
        </w:rPr>
        <w:t>一、开标一览表</w:t>
      </w:r>
      <w:bookmarkEnd w:id="59"/>
      <w:bookmarkEnd w:id="60"/>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1"/>
        <w:gridCol w:w="6776"/>
      </w:tblGrid>
      <w:tr w14:paraId="031EF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79199B50">
            <w:pPr>
              <w:widowControl/>
              <w:spacing w:line="360" w:lineRule="exact"/>
              <w:jc w:val="cente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项目名称</w:t>
            </w:r>
          </w:p>
        </w:tc>
        <w:tc>
          <w:tcPr>
            <w:tcW w:w="3648" w:type="pct"/>
            <w:tcBorders>
              <w:top w:val="single" w:color="auto" w:sz="4" w:space="0"/>
              <w:bottom w:val="single" w:color="auto" w:sz="4" w:space="0"/>
              <w:right w:val="single" w:color="auto" w:sz="4" w:space="0"/>
            </w:tcBorders>
            <w:vAlign w:val="center"/>
          </w:tcPr>
          <w:p w14:paraId="6565E86D">
            <w:pPr>
              <w:spacing w:line="360" w:lineRule="exact"/>
              <w:jc w:val="center"/>
              <w:rPr>
                <w:rFonts w:hint="eastAsia" w:asciiTheme="minorEastAsia" w:hAnsiTheme="minorEastAsia" w:eastAsiaTheme="minorEastAsia"/>
                <w:bCs/>
                <w:color w:val="auto"/>
                <w:sz w:val="24"/>
                <w:highlight w:val="none"/>
                <w:u w:val="single"/>
              </w:rPr>
            </w:pPr>
          </w:p>
        </w:tc>
      </w:tr>
      <w:tr w14:paraId="2E94E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1CDAA623">
            <w:pPr>
              <w:spacing w:line="360" w:lineRule="exact"/>
              <w:jc w:val="cente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投标人全称</w:t>
            </w:r>
          </w:p>
        </w:tc>
        <w:tc>
          <w:tcPr>
            <w:tcW w:w="3648" w:type="pct"/>
            <w:tcBorders>
              <w:top w:val="nil"/>
            </w:tcBorders>
            <w:vAlign w:val="center"/>
          </w:tcPr>
          <w:p w14:paraId="520B849E">
            <w:pPr>
              <w:spacing w:line="360" w:lineRule="auto"/>
              <w:rPr>
                <w:rFonts w:hint="eastAsia" w:asciiTheme="minorEastAsia" w:hAnsiTheme="minorEastAsia" w:eastAsiaTheme="minorEastAsia"/>
                <w:color w:val="auto"/>
                <w:sz w:val="24"/>
                <w:highlight w:val="none"/>
              </w:rPr>
            </w:pPr>
          </w:p>
        </w:tc>
      </w:tr>
      <w:tr w14:paraId="5AD26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1DF571CD">
            <w:pPr>
              <w:spacing w:line="360" w:lineRule="exact"/>
              <w:jc w:val="cente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投标范围</w:t>
            </w:r>
          </w:p>
        </w:tc>
        <w:tc>
          <w:tcPr>
            <w:tcW w:w="3648" w:type="pct"/>
            <w:tcBorders>
              <w:top w:val="nil"/>
            </w:tcBorders>
            <w:vAlign w:val="center"/>
          </w:tcPr>
          <w:p w14:paraId="267FB2FE">
            <w:pPr>
              <w:widowControl/>
              <w:spacing w:line="360" w:lineRule="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szCs w:val="28"/>
                <w:highlight w:val="none"/>
              </w:rPr>
              <w:t>全部</w:t>
            </w:r>
          </w:p>
        </w:tc>
      </w:tr>
      <w:tr w14:paraId="672DD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51A72F9E">
            <w:pPr>
              <w:spacing w:line="360" w:lineRule="exact"/>
              <w:jc w:val="cente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投标报价</w:t>
            </w:r>
          </w:p>
        </w:tc>
        <w:tc>
          <w:tcPr>
            <w:tcW w:w="3648" w:type="pct"/>
            <w:tcBorders>
              <w:top w:val="nil"/>
            </w:tcBorders>
            <w:vAlign w:val="center"/>
          </w:tcPr>
          <w:p w14:paraId="6C0B49FE">
            <w:pPr>
              <w:snapToGrid w:val="0"/>
              <w:spacing w:line="360" w:lineRule="auto"/>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0E6BEE16">
            <w:pPr>
              <w:spacing w:line="360" w:lineRule="auto"/>
              <w:ind w:right="-670"/>
              <w:rPr>
                <w:rFonts w:hint="eastAsia" w:asciiTheme="minorEastAsia" w:hAnsiTheme="minorEastAsia" w:eastAsiaTheme="minorEastAsia"/>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60E5B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7389F92A">
            <w:pPr>
              <w:spacing w:line="360" w:lineRule="auto"/>
              <w:jc w:val="cente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其他</w:t>
            </w:r>
          </w:p>
        </w:tc>
        <w:tc>
          <w:tcPr>
            <w:tcW w:w="3648" w:type="pct"/>
            <w:tcBorders>
              <w:top w:val="nil"/>
            </w:tcBorders>
            <w:vAlign w:val="center"/>
          </w:tcPr>
          <w:p w14:paraId="2C51E346">
            <w:pPr>
              <w:spacing w:line="360" w:lineRule="auto"/>
              <w:jc w:val="left"/>
              <w:rPr>
                <w:rFonts w:hint="eastAsia" w:asciiTheme="minorEastAsia" w:hAnsiTheme="minorEastAsia" w:eastAsiaTheme="minorEastAsia"/>
                <w:color w:val="auto"/>
                <w:sz w:val="24"/>
                <w:szCs w:val="28"/>
                <w:highlight w:val="none"/>
              </w:rPr>
            </w:pPr>
          </w:p>
        </w:tc>
      </w:tr>
    </w:tbl>
    <w:p w14:paraId="63B8A796">
      <w:pPr>
        <w:spacing w:line="360" w:lineRule="auto"/>
        <w:ind w:firstLine="4320" w:firstLineChars="1800"/>
        <w:jc w:val="center"/>
        <w:rPr>
          <w:rFonts w:hint="eastAsia"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投标人电子签章：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11AFE41F">
      <w:pPr>
        <w:spacing w:line="360" w:lineRule="auto"/>
        <w:ind w:firstLine="4320" w:firstLineChars="1800"/>
        <w:jc w:val="center"/>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1DB3B321">
      <w:pPr>
        <w:spacing w:line="360" w:lineRule="auto"/>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     </w:t>
      </w:r>
    </w:p>
    <w:p w14:paraId="1AE721FF">
      <w:pPr>
        <w:spacing w:line="360" w:lineRule="auto"/>
        <w:ind w:firstLine="360" w:firstLineChars="150"/>
        <w:rPr>
          <w:rFonts w:hint="eastAsia" w:asciiTheme="minorEastAsia" w:hAnsiTheme="minorEastAsia" w:eastAsiaTheme="minorEastAsia"/>
          <w:color w:val="auto"/>
          <w:sz w:val="24"/>
          <w:highlight w:val="none"/>
        </w:rPr>
      </w:pPr>
    </w:p>
    <w:p w14:paraId="4FDB0254">
      <w:pPr>
        <w:spacing w:line="360" w:lineRule="auto"/>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注：</w:t>
      </w:r>
    </w:p>
    <w:p w14:paraId="20EF0F37">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此表用于开标唱标之用。</w:t>
      </w:r>
    </w:p>
    <w:p w14:paraId="0CED911A">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表中投标报价即为优惠后报价，并作为评审及定标依据。任何有选择或有条件的投标报价，或者表中某一包别填写多个报价，均为无效报价。</w:t>
      </w:r>
    </w:p>
    <w:p w14:paraId="33196BB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3.表中大写金额与小写金额不一致的，以大写金额为准。</w:t>
      </w:r>
      <w:r>
        <w:rPr>
          <w:rFonts w:asciiTheme="minorEastAsia" w:hAnsiTheme="minorEastAsia" w:eastAsiaTheme="minorEastAsia"/>
          <w:color w:val="auto"/>
          <w:sz w:val="24"/>
          <w:highlight w:val="none"/>
        </w:rPr>
        <w:br w:type="page"/>
      </w:r>
    </w:p>
    <w:p w14:paraId="1FD95949">
      <w:pPr>
        <w:spacing w:line="360" w:lineRule="auto"/>
        <w:jc w:val="center"/>
        <w:outlineLvl w:val="1"/>
        <w:rPr>
          <w:rFonts w:hint="eastAsia" w:asciiTheme="minorEastAsia" w:hAnsiTheme="minorEastAsia" w:eastAsiaTheme="minorEastAsia"/>
          <w:b/>
          <w:color w:val="auto"/>
          <w:sz w:val="24"/>
          <w:highlight w:val="none"/>
        </w:rPr>
      </w:pPr>
      <w:bookmarkStart w:id="61" w:name="_Toc18010"/>
      <w:bookmarkStart w:id="62" w:name="_Toc6441"/>
      <w:r>
        <w:rPr>
          <w:rFonts w:hint="eastAsia" w:asciiTheme="minorEastAsia" w:hAnsiTheme="minorEastAsia" w:eastAsiaTheme="minorEastAsia"/>
          <w:b/>
          <w:color w:val="auto"/>
          <w:sz w:val="24"/>
          <w:highlight w:val="none"/>
        </w:rPr>
        <w:t>二、投标函</w:t>
      </w:r>
      <w:bookmarkEnd w:id="61"/>
      <w:bookmarkEnd w:id="62"/>
    </w:p>
    <w:p w14:paraId="5A91387F">
      <w:pPr>
        <w:pStyle w:val="12"/>
        <w:spacing w:line="360" w:lineRule="auto"/>
        <w:rPr>
          <w:rFonts w:hint="eastAsia" w:ascii="宋体" w:hAnsi="宋体"/>
          <w:color w:val="auto"/>
          <w:sz w:val="24"/>
          <w:highlight w:val="none"/>
          <w:u w:val="single"/>
        </w:rPr>
      </w:pPr>
      <w:r>
        <w:rPr>
          <w:rFonts w:hint="eastAsia" w:ascii="宋体" w:hAnsi="宋体"/>
          <w:color w:val="auto"/>
          <w:sz w:val="24"/>
          <w:highlight w:val="none"/>
        </w:rPr>
        <w:t>致：</w:t>
      </w:r>
      <w:r>
        <w:rPr>
          <w:rFonts w:hint="eastAsia" w:ascii="宋体" w:hAnsi="宋体"/>
          <w:color w:val="auto"/>
          <w:sz w:val="24"/>
          <w:highlight w:val="none"/>
          <w:u w:val="single"/>
        </w:rPr>
        <w:t>采购人</w:t>
      </w:r>
    </w:p>
    <w:p w14:paraId="75B5979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根据贵方的招标公告和投标邀请，我方兹宣布同意如下：</w:t>
      </w:r>
    </w:p>
    <w:p w14:paraId="4CF4E4F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4F5A932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2.我方已详细审核全部招标文件，包括招标文件附件及更正公告（如有），我方正式认可并遵守本次招标文件，并对招标文件各项条款、规定及要求均无异议。</w:t>
      </w:r>
    </w:p>
    <w:p w14:paraId="3DACCE0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3.我方同意从招标文件规定的开标日期起遵循本招标文件，并在招标文件规定的投标有效期之前均具有约束力。</w:t>
      </w:r>
    </w:p>
    <w:p w14:paraId="7258202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我方声明投标文件所提供的一切资料均真实无误、及时、有效，企业运营正常。由于我方提供资料不实而造成的责任和后果由我方承担。我方同意按照贵方提出的要求，提供与投标有关的任何证据、数据或资料。</w:t>
      </w:r>
    </w:p>
    <w:p w14:paraId="56CEA0D4">
      <w:pPr>
        <w:spacing w:line="360" w:lineRule="auto"/>
        <w:ind w:firstLine="4800" w:firstLineChars="2000"/>
        <w:rPr>
          <w:rFonts w:hint="eastAsia" w:ascii="宋体" w:hAnsi="宋体" w:eastAsia="宋体"/>
          <w:color w:val="auto"/>
          <w:sz w:val="24"/>
          <w:highlight w:val="none"/>
        </w:rPr>
      </w:pPr>
    </w:p>
    <w:p w14:paraId="79C1ABB0">
      <w:pPr>
        <w:spacing w:line="360" w:lineRule="auto"/>
        <w:ind w:firstLine="4800" w:firstLineChars="2000"/>
        <w:rPr>
          <w:rFonts w:hint="eastAsia"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p>
    <w:p w14:paraId="79A37600">
      <w:pPr>
        <w:spacing w:line="360" w:lineRule="auto"/>
        <w:ind w:firstLine="4800" w:firstLineChars="2000"/>
        <w:rPr>
          <w:rFonts w:hint="eastAsia"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78385054">
      <w:pPr>
        <w:widowControl/>
        <w:jc w:val="left"/>
        <w:rPr>
          <w:rFonts w:hint="eastAsia" w:ascii="宋体" w:hAnsi="宋体" w:eastAsia="宋体"/>
          <w:color w:val="auto"/>
          <w:sz w:val="24"/>
          <w:highlight w:val="none"/>
          <w:u w:val="single"/>
        </w:rPr>
      </w:pPr>
      <w:r>
        <w:rPr>
          <w:rFonts w:ascii="宋体" w:hAnsi="宋体" w:eastAsia="宋体"/>
          <w:color w:val="auto"/>
          <w:sz w:val="24"/>
          <w:highlight w:val="none"/>
          <w:u w:val="single"/>
        </w:rPr>
        <w:br w:type="page"/>
      </w:r>
    </w:p>
    <w:p w14:paraId="78775A16">
      <w:pPr>
        <w:spacing w:line="360" w:lineRule="auto"/>
        <w:jc w:val="center"/>
        <w:outlineLvl w:val="1"/>
        <w:rPr>
          <w:rFonts w:hint="eastAsia" w:asciiTheme="minorEastAsia" w:hAnsiTheme="minorEastAsia" w:eastAsiaTheme="minorEastAsia"/>
          <w:b/>
          <w:color w:val="auto"/>
          <w:sz w:val="24"/>
          <w:highlight w:val="none"/>
        </w:rPr>
      </w:pPr>
      <w:bookmarkStart w:id="63" w:name="_Toc1328"/>
      <w:r>
        <w:rPr>
          <w:rFonts w:hint="eastAsia" w:asciiTheme="minorEastAsia" w:hAnsiTheme="minorEastAsia" w:eastAsiaTheme="minorEastAsia"/>
          <w:b/>
          <w:color w:val="auto"/>
          <w:sz w:val="24"/>
          <w:highlight w:val="none"/>
        </w:rPr>
        <w:t>三．投标人资格声明书</w:t>
      </w:r>
      <w:bookmarkEnd w:id="63"/>
      <w:r>
        <w:rPr>
          <w:rFonts w:hint="eastAsia" w:asciiTheme="minorEastAsia" w:hAnsiTheme="minorEastAsia" w:eastAsiaTheme="minorEastAsia"/>
          <w:b/>
          <w:color w:val="auto"/>
          <w:sz w:val="24"/>
          <w:highlight w:val="none"/>
        </w:rPr>
        <w:t xml:space="preserve"> </w:t>
      </w:r>
    </w:p>
    <w:p w14:paraId="71C42E2A">
      <w:pPr>
        <w:pStyle w:val="12"/>
        <w:spacing w:line="360" w:lineRule="auto"/>
        <w:rPr>
          <w:rFonts w:hint="eastAsia" w:asciiTheme="minorEastAsia" w:hAnsiTheme="minorEastAsia" w:cstheme="minorEastAsia"/>
          <w:color w:val="auto"/>
          <w:sz w:val="24"/>
          <w:szCs w:val="24"/>
          <w:highlight w:val="none"/>
        </w:rPr>
      </w:pPr>
      <w:r>
        <w:rPr>
          <w:rFonts w:hint="eastAsia" w:ascii="宋体" w:hAnsi="宋体"/>
          <w:color w:val="auto"/>
          <w:sz w:val="24"/>
          <w:highlight w:val="none"/>
        </w:rPr>
        <w:t>致：</w:t>
      </w:r>
      <w:r>
        <w:rPr>
          <w:rFonts w:hint="eastAsia" w:ascii="宋体" w:hAnsi="宋体"/>
          <w:color w:val="auto"/>
          <w:sz w:val="24"/>
          <w:highlight w:val="none"/>
          <w:u w:val="single"/>
        </w:rPr>
        <w:t>采购人</w:t>
      </w:r>
    </w:p>
    <w:p w14:paraId="3EA201D1">
      <w:pPr>
        <w:widowControl/>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在参与本次项目投标中，我单位承诺：</w:t>
      </w:r>
    </w:p>
    <w:p w14:paraId="55C34CA8">
      <w:pPr>
        <w:widowControl/>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（一）具有良好的商业信誉和健全的财务会计制度；</w:t>
      </w:r>
    </w:p>
    <w:p w14:paraId="7D36F483">
      <w:pPr>
        <w:widowControl/>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（二）具有履行合同所必需的设备和专业技术能力；</w:t>
      </w:r>
    </w:p>
    <w:p w14:paraId="3575D457">
      <w:pPr>
        <w:widowControl/>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（三）有依法缴纳税收和社会保障资金的良好记录；</w:t>
      </w:r>
    </w:p>
    <w:p w14:paraId="4EB28A44">
      <w:pPr>
        <w:widowControl/>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7BB800F">
      <w:pPr>
        <w:widowControl/>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（五）我单位不存在为采购项目提供整体设计、规范编制或者项目管理、监理、检测等服务后，再参加该采购项目的其他采购活动的情形（单一来源采购项目除外）；</w:t>
      </w:r>
    </w:p>
    <w:p w14:paraId="3A8B2AEA">
      <w:pPr>
        <w:widowControl/>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kern w:val="0"/>
          <w:sz w:val="24"/>
          <w:szCs w:val="24"/>
          <w:highlight w:val="none"/>
          <w:lang w:bidi="ar"/>
        </w:rPr>
        <w:t>（六）与我单位存在单位负责人为同一人或者存在直接控股、管理关系的其他法人单位信息如下（如有，不论其是否参加同一合同项下的政府采购活动均须填写）：</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2B6B1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14:paraId="78095141">
            <w:pPr>
              <w:widowControl/>
              <w:spacing w:before="158" w:beforeLines="50" w:after="10"/>
              <w:jc w:val="center"/>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kern w:val="0"/>
                <w:sz w:val="24"/>
                <w:szCs w:val="24"/>
                <w:highlight w:val="none"/>
                <w:lang w:bidi="ar"/>
              </w:rPr>
              <w:t>序号</w:t>
            </w:r>
          </w:p>
        </w:tc>
        <w:tc>
          <w:tcPr>
            <w:tcW w:w="2841" w:type="dxa"/>
          </w:tcPr>
          <w:p w14:paraId="7AB1403A">
            <w:pPr>
              <w:pStyle w:val="8"/>
              <w:spacing w:before="158" w:beforeLines="50" w:after="10"/>
              <w:jc w:val="center"/>
              <w:rPr>
                <w:rFonts w:hint="eastAsia" w:asciiTheme="minorEastAsia" w:hAnsiTheme="minorEastAsia" w:eastAsiaTheme="minorEastAsia" w:cstheme="minorEastAsia"/>
                <w:color w:val="auto"/>
                <w:kern w:val="0"/>
                <w:sz w:val="24"/>
                <w:highlight w:val="none"/>
                <w:lang w:val="en-US" w:bidi="ar"/>
              </w:rPr>
            </w:pPr>
            <w:r>
              <w:rPr>
                <w:rFonts w:hint="eastAsia" w:asciiTheme="minorEastAsia" w:hAnsiTheme="minorEastAsia" w:eastAsiaTheme="minorEastAsia" w:cstheme="minorEastAsia"/>
                <w:color w:val="auto"/>
                <w:kern w:val="0"/>
                <w:sz w:val="24"/>
                <w:highlight w:val="none"/>
                <w:lang w:val="en-US" w:bidi="ar"/>
              </w:rPr>
              <w:t>单位名称</w:t>
            </w:r>
          </w:p>
        </w:tc>
        <w:tc>
          <w:tcPr>
            <w:tcW w:w="2841" w:type="dxa"/>
          </w:tcPr>
          <w:p w14:paraId="29A8ACBA">
            <w:pPr>
              <w:pStyle w:val="8"/>
              <w:spacing w:before="158" w:beforeLines="50" w:after="10"/>
              <w:jc w:val="center"/>
              <w:rPr>
                <w:rFonts w:hint="eastAsia" w:asciiTheme="minorEastAsia" w:hAnsiTheme="minorEastAsia" w:eastAsiaTheme="minorEastAsia" w:cstheme="minorEastAsia"/>
                <w:color w:val="auto"/>
                <w:kern w:val="0"/>
                <w:sz w:val="24"/>
                <w:highlight w:val="none"/>
                <w:lang w:val="en-US" w:bidi="ar"/>
              </w:rPr>
            </w:pPr>
            <w:r>
              <w:rPr>
                <w:rFonts w:hint="eastAsia" w:asciiTheme="minorEastAsia" w:hAnsiTheme="minorEastAsia" w:eastAsiaTheme="minorEastAsia" w:cstheme="minorEastAsia"/>
                <w:color w:val="auto"/>
                <w:kern w:val="0"/>
                <w:sz w:val="24"/>
                <w:highlight w:val="none"/>
                <w:lang w:val="en-US" w:bidi="ar"/>
              </w:rPr>
              <w:t>相互关系</w:t>
            </w:r>
          </w:p>
        </w:tc>
      </w:tr>
      <w:tr w14:paraId="105D6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84D332F">
            <w:pPr>
              <w:pStyle w:val="8"/>
              <w:spacing w:before="158" w:beforeLines="50" w:after="10"/>
              <w:jc w:val="center"/>
              <w:rPr>
                <w:rFonts w:hint="eastAsia" w:asciiTheme="minorEastAsia" w:hAnsiTheme="minorEastAsia" w:eastAsiaTheme="minorEastAsia" w:cstheme="minorEastAsia"/>
                <w:color w:val="auto"/>
                <w:kern w:val="0"/>
                <w:sz w:val="24"/>
                <w:highlight w:val="none"/>
                <w:lang w:val="en-US" w:bidi="ar"/>
              </w:rPr>
            </w:pPr>
            <w:r>
              <w:rPr>
                <w:rFonts w:hint="eastAsia" w:asciiTheme="minorEastAsia" w:hAnsiTheme="minorEastAsia" w:eastAsiaTheme="minorEastAsia" w:cstheme="minorEastAsia"/>
                <w:color w:val="auto"/>
                <w:kern w:val="0"/>
                <w:sz w:val="24"/>
                <w:highlight w:val="none"/>
                <w:lang w:val="en-US" w:bidi="ar"/>
              </w:rPr>
              <w:t>1</w:t>
            </w:r>
          </w:p>
        </w:tc>
        <w:tc>
          <w:tcPr>
            <w:tcW w:w="2841" w:type="dxa"/>
          </w:tcPr>
          <w:p w14:paraId="7A13D496">
            <w:pPr>
              <w:pStyle w:val="8"/>
              <w:spacing w:before="158" w:beforeLines="50" w:after="10"/>
              <w:jc w:val="center"/>
              <w:rPr>
                <w:rFonts w:hint="eastAsia" w:asciiTheme="minorEastAsia" w:hAnsiTheme="minorEastAsia" w:eastAsiaTheme="minorEastAsia" w:cstheme="minorEastAsia"/>
                <w:color w:val="auto"/>
                <w:kern w:val="0"/>
                <w:sz w:val="24"/>
                <w:highlight w:val="none"/>
                <w:lang w:val="en-US" w:bidi="ar"/>
              </w:rPr>
            </w:pPr>
          </w:p>
        </w:tc>
        <w:tc>
          <w:tcPr>
            <w:tcW w:w="2841" w:type="dxa"/>
          </w:tcPr>
          <w:p w14:paraId="19931D3C">
            <w:pPr>
              <w:pStyle w:val="8"/>
              <w:spacing w:before="158" w:beforeLines="50" w:after="10"/>
              <w:jc w:val="center"/>
              <w:rPr>
                <w:rFonts w:hint="eastAsia" w:asciiTheme="minorEastAsia" w:hAnsiTheme="minorEastAsia" w:eastAsiaTheme="minorEastAsia" w:cstheme="minorEastAsia"/>
                <w:color w:val="auto"/>
                <w:kern w:val="0"/>
                <w:sz w:val="24"/>
                <w:highlight w:val="none"/>
                <w:lang w:val="en-US" w:bidi="ar"/>
              </w:rPr>
            </w:pPr>
          </w:p>
        </w:tc>
      </w:tr>
      <w:tr w14:paraId="18D21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05F9944">
            <w:pPr>
              <w:pStyle w:val="8"/>
              <w:spacing w:before="158" w:beforeLines="50" w:after="10"/>
              <w:jc w:val="center"/>
              <w:rPr>
                <w:rFonts w:hint="eastAsia" w:asciiTheme="minorEastAsia" w:hAnsiTheme="minorEastAsia" w:eastAsiaTheme="minorEastAsia" w:cstheme="minorEastAsia"/>
                <w:color w:val="auto"/>
                <w:kern w:val="0"/>
                <w:sz w:val="24"/>
                <w:highlight w:val="none"/>
                <w:lang w:val="en-US" w:bidi="ar"/>
              </w:rPr>
            </w:pPr>
            <w:r>
              <w:rPr>
                <w:rFonts w:hint="eastAsia" w:asciiTheme="minorEastAsia" w:hAnsiTheme="minorEastAsia" w:eastAsiaTheme="minorEastAsia" w:cstheme="minorEastAsia"/>
                <w:color w:val="auto"/>
                <w:kern w:val="0"/>
                <w:sz w:val="24"/>
                <w:highlight w:val="none"/>
                <w:lang w:val="en-US" w:bidi="ar"/>
              </w:rPr>
              <w:t>2</w:t>
            </w:r>
          </w:p>
        </w:tc>
        <w:tc>
          <w:tcPr>
            <w:tcW w:w="2841" w:type="dxa"/>
          </w:tcPr>
          <w:p w14:paraId="6476754D">
            <w:pPr>
              <w:pStyle w:val="8"/>
              <w:spacing w:before="158" w:beforeLines="50" w:after="10"/>
              <w:jc w:val="center"/>
              <w:rPr>
                <w:rFonts w:hint="eastAsia" w:asciiTheme="minorEastAsia" w:hAnsiTheme="minorEastAsia" w:eastAsiaTheme="minorEastAsia" w:cstheme="minorEastAsia"/>
                <w:color w:val="auto"/>
                <w:kern w:val="0"/>
                <w:sz w:val="24"/>
                <w:highlight w:val="none"/>
                <w:lang w:val="en-US" w:bidi="ar"/>
              </w:rPr>
            </w:pPr>
          </w:p>
        </w:tc>
        <w:tc>
          <w:tcPr>
            <w:tcW w:w="2841" w:type="dxa"/>
          </w:tcPr>
          <w:p w14:paraId="270D37D4">
            <w:pPr>
              <w:pStyle w:val="8"/>
              <w:spacing w:before="158" w:beforeLines="50" w:after="10"/>
              <w:jc w:val="center"/>
              <w:rPr>
                <w:rFonts w:hint="eastAsia" w:asciiTheme="minorEastAsia" w:hAnsiTheme="minorEastAsia" w:eastAsiaTheme="minorEastAsia" w:cstheme="minorEastAsia"/>
                <w:color w:val="auto"/>
                <w:kern w:val="0"/>
                <w:sz w:val="24"/>
                <w:highlight w:val="none"/>
                <w:lang w:val="en-US" w:bidi="ar"/>
              </w:rPr>
            </w:pPr>
          </w:p>
        </w:tc>
      </w:tr>
    </w:tbl>
    <w:p w14:paraId="605A535D">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5429414E">
      <w:pPr>
        <w:spacing w:line="360" w:lineRule="auto"/>
        <w:ind w:firstLine="4800" w:firstLineChars="2000"/>
        <w:rPr>
          <w:rFonts w:hint="eastAsia"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6A7C5B6B">
      <w:pPr>
        <w:tabs>
          <w:tab w:val="left" w:pos="630"/>
        </w:tabs>
        <w:spacing w:line="360" w:lineRule="auto"/>
        <w:ind w:firstLine="4800" w:firstLineChars="2000"/>
        <w:rPr>
          <w:rFonts w:hint="eastAsia"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6EA2097A">
      <w:pPr>
        <w:pStyle w:val="8"/>
        <w:rPr>
          <w:rFonts w:hint="eastAsia" w:asciiTheme="minorEastAsia" w:hAnsiTheme="minorEastAsia" w:eastAsiaTheme="minorEastAsia" w:cstheme="minorEastAsia"/>
          <w:color w:val="auto"/>
          <w:kern w:val="0"/>
          <w:sz w:val="24"/>
          <w:highlight w:val="none"/>
          <w:lang w:val="en-US" w:bidi="ar"/>
        </w:rPr>
      </w:pPr>
    </w:p>
    <w:p w14:paraId="62FACBB4">
      <w:pPr>
        <w:pStyle w:val="8"/>
        <w:rPr>
          <w:rFonts w:hint="eastAsia" w:asciiTheme="minorEastAsia" w:hAnsiTheme="minorEastAsia" w:eastAsiaTheme="minorEastAsia" w:cstheme="minorEastAsia"/>
          <w:color w:val="auto"/>
          <w:kern w:val="0"/>
          <w:sz w:val="24"/>
          <w:highlight w:val="none"/>
          <w:lang w:val="en-US" w:bidi="ar"/>
        </w:rPr>
      </w:pPr>
    </w:p>
    <w:p w14:paraId="29236E8F">
      <w:pPr>
        <w:pStyle w:val="8"/>
        <w:rPr>
          <w:rFonts w:hint="eastAsia" w:asciiTheme="minorEastAsia" w:hAnsiTheme="minorEastAsia" w:eastAsiaTheme="minorEastAsia" w:cstheme="minorEastAsia"/>
          <w:color w:val="auto"/>
          <w:kern w:val="0"/>
          <w:sz w:val="24"/>
          <w:highlight w:val="none"/>
          <w:lang w:val="en-US" w:bidi="ar"/>
        </w:rPr>
      </w:pPr>
    </w:p>
    <w:p w14:paraId="17F618DD">
      <w:pPr>
        <w:rPr>
          <w:rFonts w:hint="eastAsia" w:asciiTheme="minorEastAsia" w:hAnsiTheme="minorEastAsia" w:eastAsiaTheme="minorEastAsia"/>
          <w:b/>
          <w:color w:val="auto"/>
          <w:sz w:val="24"/>
          <w:highlight w:val="none"/>
        </w:rPr>
      </w:pPr>
      <w:bookmarkStart w:id="64" w:name="_Toc11607"/>
      <w:r>
        <w:rPr>
          <w:rFonts w:hint="eastAsia" w:asciiTheme="minorEastAsia" w:hAnsiTheme="minorEastAsia" w:eastAsiaTheme="minorEastAsia"/>
          <w:b/>
          <w:color w:val="auto"/>
          <w:sz w:val="24"/>
          <w:highlight w:val="none"/>
        </w:rPr>
        <w:br w:type="page"/>
      </w:r>
    </w:p>
    <w:p w14:paraId="6C263433">
      <w:pPr>
        <w:spacing w:line="360" w:lineRule="auto"/>
        <w:jc w:val="center"/>
        <w:outlineLvl w:val="1"/>
        <w:rPr>
          <w:rFonts w:hint="eastAsia" w:asciiTheme="minorEastAsia" w:hAnsiTheme="minorEastAsia" w:eastAsiaTheme="minorEastAsia"/>
          <w:b/>
          <w:color w:val="auto"/>
          <w:sz w:val="24"/>
          <w:highlight w:val="none"/>
        </w:rPr>
      </w:pPr>
      <w:bookmarkStart w:id="65" w:name="_Toc16960"/>
      <w:r>
        <w:rPr>
          <w:rFonts w:hint="eastAsia" w:asciiTheme="minorEastAsia" w:hAnsiTheme="minorEastAsia" w:eastAsiaTheme="minorEastAsia"/>
          <w:b/>
          <w:color w:val="auto"/>
          <w:sz w:val="24"/>
          <w:highlight w:val="none"/>
        </w:rPr>
        <w:t>四、授权书</w:t>
      </w:r>
      <w:bookmarkEnd w:id="64"/>
      <w:bookmarkEnd w:id="65"/>
    </w:p>
    <w:p w14:paraId="08E8CC0E">
      <w:pPr>
        <w:pStyle w:val="11"/>
        <w:snapToGrid w:val="0"/>
        <w:spacing w:line="360" w:lineRule="auto"/>
        <w:ind w:firstLine="480" w:firstLineChars="200"/>
        <w:jc w:val="left"/>
        <w:rPr>
          <w:rFonts w:hint="eastAsia" w:hAnsi="宋体" w:eastAsia="宋体"/>
          <w:color w:val="auto"/>
          <w:sz w:val="24"/>
          <w:szCs w:val="28"/>
          <w:highlight w:val="none"/>
        </w:rPr>
      </w:pPr>
    </w:p>
    <w:p w14:paraId="5E50A686">
      <w:pPr>
        <w:spacing w:line="360" w:lineRule="auto"/>
        <w:ind w:firstLine="435"/>
        <w:rPr>
          <w:rFonts w:hint="eastAsia" w:hAnsi="宋体" w:eastAsia="宋体"/>
          <w:color w:val="auto"/>
          <w:sz w:val="24"/>
          <w:szCs w:val="28"/>
          <w:highlight w:val="none"/>
        </w:rPr>
      </w:pPr>
      <w:r>
        <w:rPr>
          <w:rFonts w:hint="eastAsia" w:hAnsi="宋体" w:eastAsia="宋体"/>
          <w:color w:val="auto"/>
          <w:sz w:val="24"/>
          <w:szCs w:val="28"/>
          <w:highlight w:val="none"/>
        </w:rPr>
        <w:t>本</w:t>
      </w:r>
      <w:r>
        <w:rPr>
          <w:rFonts w:hint="eastAsia" w:asciiTheme="minorEastAsia" w:hAnsiTheme="minorEastAsia" w:eastAsiaTheme="minorEastAsia"/>
          <w:color w:val="auto"/>
          <w:sz w:val="24"/>
          <w:highlight w:val="none"/>
        </w:rPr>
        <w:t>授权</w:t>
      </w:r>
      <w:r>
        <w:rPr>
          <w:rFonts w:hint="eastAsia" w:hAnsi="宋体" w:eastAsia="宋体"/>
          <w:color w:val="auto"/>
          <w:sz w:val="24"/>
          <w:szCs w:val="28"/>
          <w:highlight w:val="none"/>
        </w:rPr>
        <w:t>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5F3426E3">
      <w:pPr>
        <w:spacing w:line="360" w:lineRule="auto"/>
        <w:ind w:firstLine="435"/>
        <w:rPr>
          <w:rFonts w:hint="eastAsia"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10222876">
      <w:pPr>
        <w:spacing w:line="360" w:lineRule="auto"/>
        <w:ind w:firstLine="435"/>
        <w:rPr>
          <w:rFonts w:hint="eastAsia" w:hAnsi="宋体" w:eastAsia="宋体"/>
          <w:color w:val="auto"/>
          <w:sz w:val="24"/>
          <w:highlight w:val="none"/>
        </w:rPr>
      </w:pPr>
      <w:r>
        <w:rPr>
          <w:rFonts w:hint="eastAsia" w:hAnsi="宋体" w:eastAsia="宋体"/>
          <w:color w:val="auto"/>
          <w:sz w:val="24"/>
          <w:szCs w:val="28"/>
          <w:highlight w:val="none"/>
        </w:rPr>
        <w:t>授权</w:t>
      </w:r>
      <w:r>
        <w:rPr>
          <w:rFonts w:hint="eastAsia" w:asciiTheme="minorEastAsia" w:hAnsiTheme="minorEastAsia" w:eastAsiaTheme="minorEastAsia"/>
          <w:color w:val="auto"/>
          <w:sz w:val="24"/>
          <w:highlight w:val="none"/>
        </w:rPr>
        <w:t>代表</w:t>
      </w:r>
      <w:r>
        <w:rPr>
          <w:rFonts w:hint="eastAsia" w:hAnsi="宋体" w:eastAsia="宋体"/>
          <w:color w:val="auto"/>
          <w:sz w:val="24"/>
          <w:highlight w:val="none"/>
        </w:rPr>
        <w:t>身份证明扫描件：</w:t>
      </w:r>
    </w:p>
    <w:p w14:paraId="3EA03D83">
      <w:pPr>
        <w:spacing w:line="360" w:lineRule="auto"/>
        <w:ind w:firstLine="435"/>
        <w:rPr>
          <w:rFonts w:hint="eastAsia" w:asciiTheme="minorEastAsia" w:hAnsiTheme="minorEastAsia" w:eastAsiaTheme="minorEastAsia"/>
          <w:color w:val="auto"/>
          <w:sz w:val="24"/>
          <w:highlight w:val="none"/>
        </w:rPr>
      </w:pPr>
    </w:p>
    <w:p w14:paraId="53CAB130">
      <w:pPr>
        <w:spacing w:line="360" w:lineRule="auto"/>
        <w:ind w:firstLine="435"/>
        <w:rPr>
          <w:rFonts w:hint="eastAsia" w:asciiTheme="minorEastAsia" w:hAnsiTheme="minorEastAsia" w:eastAsiaTheme="minorEastAsia"/>
          <w:color w:val="auto"/>
          <w:sz w:val="24"/>
          <w:highlight w:val="none"/>
        </w:rPr>
      </w:pPr>
    </w:p>
    <w:p w14:paraId="2C5C8315">
      <w:pPr>
        <w:spacing w:line="360" w:lineRule="auto"/>
        <w:ind w:firstLine="435"/>
        <w:rPr>
          <w:rFonts w:hint="eastAsia" w:asciiTheme="minorEastAsia" w:hAnsiTheme="minorEastAsia" w:eastAsiaTheme="minorEastAsia"/>
          <w:color w:val="auto"/>
          <w:sz w:val="24"/>
          <w:highlight w:val="none"/>
        </w:rPr>
      </w:pPr>
    </w:p>
    <w:p w14:paraId="7BA25597">
      <w:pPr>
        <w:spacing w:line="360" w:lineRule="auto"/>
        <w:ind w:firstLine="435"/>
        <w:rPr>
          <w:rFonts w:hint="eastAsia" w:hAnsi="宋体" w:eastAsia="宋体"/>
          <w:color w:val="auto"/>
          <w:sz w:val="24"/>
          <w:szCs w:val="28"/>
          <w:highlight w:val="none"/>
          <w:u w:val="single"/>
          <w:lang w:val="zh-CN"/>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43814717">
      <w:pPr>
        <w:spacing w:line="360" w:lineRule="auto"/>
        <w:ind w:firstLine="435"/>
        <w:rPr>
          <w:rFonts w:hint="eastAsia" w:hAnsi="宋体" w:eastAsia="宋体"/>
          <w:color w:val="auto"/>
          <w:sz w:val="24"/>
          <w:szCs w:val="28"/>
          <w:highlight w:val="none"/>
          <w:lang w:val="zh-CN"/>
        </w:rPr>
      </w:pPr>
    </w:p>
    <w:p w14:paraId="1B778D7F">
      <w:pPr>
        <w:spacing w:line="360" w:lineRule="auto"/>
        <w:ind w:firstLine="435"/>
        <w:rPr>
          <w:rFonts w:hint="eastAsia" w:ascii="宋体" w:hAnsi="宋体" w:eastAsia="宋体"/>
          <w:color w:val="auto"/>
          <w:sz w:val="24"/>
          <w:szCs w:val="28"/>
          <w:highlight w:val="none"/>
        </w:rPr>
      </w:pPr>
      <w:r>
        <w:rPr>
          <w:rFonts w:hint="eastAsia" w:asciiTheme="minorEastAsia" w:hAnsiTheme="minorEastAsia" w:eastAsiaTheme="minorEastAsia"/>
          <w:color w:val="auto"/>
          <w:sz w:val="24"/>
          <w:highlight w:val="none"/>
        </w:rPr>
        <w:t>特此</w:t>
      </w:r>
      <w:r>
        <w:rPr>
          <w:rFonts w:hint="eastAsia" w:ascii="宋体" w:hAnsi="宋体" w:eastAsia="宋体"/>
          <w:color w:val="auto"/>
          <w:sz w:val="24"/>
          <w:szCs w:val="28"/>
          <w:highlight w:val="none"/>
        </w:rPr>
        <w:t>声明。</w:t>
      </w:r>
    </w:p>
    <w:p w14:paraId="30DD1F94">
      <w:pPr>
        <w:spacing w:line="360" w:lineRule="auto"/>
        <w:rPr>
          <w:rFonts w:hint="eastAsia" w:ascii="宋体" w:hAnsi="宋体" w:eastAsia="宋体"/>
          <w:color w:val="auto"/>
          <w:sz w:val="24"/>
          <w:szCs w:val="28"/>
          <w:highlight w:val="none"/>
        </w:rPr>
      </w:pPr>
    </w:p>
    <w:p w14:paraId="13DCB21B">
      <w:pPr>
        <w:spacing w:line="360" w:lineRule="auto"/>
        <w:ind w:firstLine="435"/>
        <w:jc w:val="center"/>
        <w:rPr>
          <w:rFonts w:hint="eastAsia" w:ascii="宋体" w:hAnsi="宋体" w:eastAsia="宋体"/>
          <w:bCs/>
          <w:color w:val="auto"/>
          <w:sz w:val="24"/>
          <w:szCs w:val="28"/>
          <w:highlight w:val="none"/>
        </w:rPr>
      </w:pPr>
      <w:r>
        <w:rPr>
          <w:rFonts w:hint="eastAsia" w:ascii="宋体" w:hAnsi="宋体" w:eastAsia="宋体"/>
          <w:bCs/>
          <w:color w:val="auto"/>
          <w:sz w:val="24"/>
          <w:szCs w:val="28"/>
          <w:highlight w:val="none"/>
        </w:rPr>
        <w:t xml:space="preserve">                            投标人电子签章：</w:t>
      </w:r>
      <w:r>
        <w:rPr>
          <w:rFonts w:hint="eastAsia" w:ascii="宋体" w:hAnsi="宋体" w:eastAsia="宋体"/>
          <w:bCs/>
          <w:color w:val="auto"/>
          <w:sz w:val="24"/>
          <w:szCs w:val="28"/>
          <w:highlight w:val="none"/>
          <w:u w:val="single"/>
        </w:rPr>
        <w:t xml:space="preserve">                    </w:t>
      </w:r>
    </w:p>
    <w:p w14:paraId="3A89123F">
      <w:pPr>
        <w:spacing w:line="360" w:lineRule="auto"/>
        <w:ind w:firstLine="435"/>
        <w:jc w:val="center"/>
        <w:rPr>
          <w:rFonts w:hint="eastAsia" w:ascii="宋体" w:hAnsi="宋体" w:eastAsia="宋体"/>
          <w:color w:val="auto"/>
          <w:sz w:val="24"/>
          <w:szCs w:val="28"/>
          <w:highlight w:val="none"/>
        </w:rPr>
      </w:pPr>
      <w:r>
        <w:rPr>
          <w:rFonts w:hint="eastAsia" w:ascii="宋体" w:hAnsi="宋体" w:eastAsia="宋体"/>
          <w:color w:val="auto"/>
          <w:sz w:val="24"/>
          <w:szCs w:val="28"/>
          <w:highlight w:val="none"/>
        </w:rPr>
        <w:t xml:space="preserve">                            日          期：</w:t>
      </w:r>
      <w:r>
        <w:rPr>
          <w:rFonts w:hint="eastAsia" w:ascii="宋体" w:hAnsi="宋体" w:eastAsia="宋体"/>
          <w:b/>
          <w:bCs/>
          <w:color w:val="auto"/>
          <w:sz w:val="24"/>
          <w:szCs w:val="28"/>
          <w:highlight w:val="none"/>
          <w:u w:val="single"/>
        </w:rPr>
        <w:t xml:space="preserve">                    </w:t>
      </w:r>
    </w:p>
    <w:p w14:paraId="623A7F90">
      <w:pPr>
        <w:spacing w:line="360" w:lineRule="auto"/>
        <w:ind w:firstLine="435"/>
        <w:rPr>
          <w:rFonts w:hint="eastAsia" w:asciiTheme="minorEastAsia" w:hAnsiTheme="minorEastAsia" w:eastAsiaTheme="minorEastAsia"/>
          <w:color w:val="auto"/>
          <w:sz w:val="24"/>
          <w:highlight w:val="none"/>
        </w:rPr>
      </w:pPr>
    </w:p>
    <w:p w14:paraId="7A581D12">
      <w:pPr>
        <w:spacing w:line="360" w:lineRule="auto"/>
        <w:ind w:firstLine="435"/>
        <w:rPr>
          <w:rFonts w:hint="eastAsia" w:asciiTheme="minorEastAsia" w:hAnsiTheme="minorEastAsia" w:eastAsiaTheme="minorEastAsia"/>
          <w:color w:val="auto"/>
          <w:sz w:val="24"/>
          <w:highlight w:val="none"/>
        </w:rPr>
      </w:pPr>
    </w:p>
    <w:p w14:paraId="2A1BBDB9">
      <w:pPr>
        <w:spacing w:line="360" w:lineRule="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w:t>
      </w:r>
    </w:p>
    <w:p w14:paraId="327E059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1.本项目只允许有唯一的投标人授权代表，提供身份证明扫描件；</w:t>
      </w:r>
    </w:p>
    <w:p w14:paraId="4555FA2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2.法定代表人参加投标的无需提供授权书，提供身份证明扫描件。</w:t>
      </w:r>
    </w:p>
    <w:p w14:paraId="2E4221C2">
      <w:pPr>
        <w:widowControl/>
        <w:jc w:val="left"/>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5CECE55C">
      <w:pPr>
        <w:spacing w:line="360" w:lineRule="auto"/>
        <w:jc w:val="center"/>
        <w:outlineLvl w:val="1"/>
        <w:rPr>
          <w:rFonts w:hint="eastAsia" w:asciiTheme="minorEastAsia" w:hAnsiTheme="minorEastAsia" w:eastAsiaTheme="minorEastAsia"/>
          <w:b/>
          <w:color w:val="auto"/>
          <w:sz w:val="24"/>
          <w:highlight w:val="none"/>
        </w:rPr>
      </w:pPr>
      <w:bookmarkStart w:id="66" w:name="_Toc31991"/>
      <w:bookmarkStart w:id="67" w:name="_Toc6796"/>
      <w:r>
        <w:rPr>
          <w:rFonts w:hint="eastAsia" w:asciiTheme="minorEastAsia" w:hAnsiTheme="minorEastAsia" w:eastAsiaTheme="minorEastAsia"/>
          <w:b/>
          <w:color w:val="auto"/>
          <w:sz w:val="24"/>
          <w:highlight w:val="none"/>
        </w:rPr>
        <w:t>五、投标分项报价表</w:t>
      </w:r>
      <w:bookmarkEnd w:id="66"/>
      <w:bookmarkEnd w:id="67"/>
    </w:p>
    <w:p w14:paraId="7BFA8A4B">
      <w:pPr>
        <w:pStyle w:val="49"/>
        <w:jc w:val="left"/>
        <w:rPr>
          <w:rFonts w:hint="eastAsia" w:ascii="宋体" w:hAnsi="宋体"/>
          <w:b/>
          <w:bCs/>
          <w:color w:val="auto"/>
          <w:highlight w:val="none"/>
        </w:rPr>
      </w:pPr>
      <w:r>
        <w:rPr>
          <w:rFonts w:hint="eastAsia" w:ascii="宋体" w:hAnsi="宋体"/>
          <w:b/>
          <w:bCs/>
          <w:color w:val="auto"/>
          <w:highlight w:val="none"/>
        </w:rPr>
        <w:t>5-1货物部分</w:t>
      </w:r>
    </w:p>
    <w:tbl>
      <w:tblPr>
        <w:tblStyle w:val="2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441"/>
        <w:gridCol w:w="1434"/>
        <w:gridCol w:w="1434"/>
        <w:gridCol w:w="731"/>
        <w:gridCol w:w="731"/>
        <w:gridCol w:w="1028"/>
        <w:gridCol w:w="1023"/>
        <w:gridCol w:w="729"/>
      </w:tblGrid>
      <w:tr w14:paraId="29F85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23" w:hRule="atLeast"/>
          <w:jc w:val="center"/>
        </w:trPr>
        <w:tc>
          <w:tcPr>
            <w:tcW w:w="393" w:type="pct"/>
            <w:vAlign w:val="center"/>
          </w:tcPr>
          <w:p w14:paraId="02EB3403">
            <w:pPr>
              <w:pStyle w:val="41"/>
              <w:widowControl w:val="0"/>
              <w:spacing w:before="0" w:beforeAutospacing="0" w:after="0" w:afterAutospacing="0"/>
              <w:rPr>
                <w:rFonts w:hint="eastAsia"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序号</w:t>
            </w:r>
          </w:p>
        </w:tc>
        <w:tc>
          <w:tcPr>
            <w:tcW w:w="776" w:type="pct"/>
            <w:vAlign w:val="center"/>
          </w:tcPr>
          <w:p w14:paraId="73FB9F55">
            <w:pPr>
              <w:jc w:val="center"/>
              <w:rPr>
                <w:rFonts w:hint="eastAsia" w:ascii="宋体" w:hAnsi="宋体" w:eastAsia="宋体"/>
                <w:b/>
                <w:color w:val="auto"/>
                <w:sz w:val="24"/>
                <w:highlight w:val="none"/>
              </w:rPr>
            </w:pPr>
            <w:r>
              <w:rPr>
                <w:rFonts w:hint="eastAsia" w:ascii="宋体" w:hAnsi="宋体" w:eastAsia="宋体"/>
                <w:b/>
                <w:color w:val="auto"/>
                <w:sz w:val="24"/>
                <w:highlight w:val="none"/>
              </w:rPr>
              <w:t>货物名称</w:t>
            </w:r>
          </w:p>
        </w:tc>
        <w:tc>
          <w:tcPr>
            <w:tcW w:w="772" w:type="pct"/>
            <w:vAlign w:val="center"/>
          </w:tcPr>
          <w:p w14:paraId="74F9288A">
            <w:pPr>
              <w:jc w:val="center"/>
              <w:rPr>
                <w:rFonts w:hint="eastAsia" w:ascii="宋体" w:hAnsi="宋体" w:eastAsia="宋体"/>
                <w:b/>
                <w:color w:val="auto"/>
                <w:sz w:val="24"/>
                <w:highlight w:val="none"/>
              </w:rPr>
            </w:pPr>
            <w:r>
              <w:rPr>
                <w:rFonts w:hint="eastAsia" w:ascii="宋体" w:hAnsi="宋体" w:eastAsia="宋体"/>
                <w:b/>
                <w:color w:val="auto"/>
                <w:sz w:val="24"/>
                <w:highlight w:val="none"/>
              </w:rPr>
              <w:t>品牌、型</w:t>
            </w:r>
          </w:p>
          <w:p w14:paraId="75AB3D77">
            <w:pPr>
              <w:jc w:val="center"/>
              <w:rPr>
                <w:rFonts w:hint="eastAsia" w:ascii="宋体" w:hAnsi="宋体" w:eastAsia="宋体"/>
                <w:b/>
                <w:color w:val="auto"/>
                <w:sz w:val="24"/>
                <w:highlight w:val="none"/>
              </w:rPr>
            </w:pPr>
            <w:r>
              <w:rPr>
                <w:rFonts w:hint="eastAsia" w:ascii="宋体" w:hAnsi="宋体" w:eastAsia="宋体"/>
                <w:b/>
                <w:color w:val="auto"/>
                <w:sz w:val="24"/>
                <w:highlight w:val="none"/>
              </w:rPr>
              <w:t>号规格</w:t>
            </w:r>
          </w:p>
        </w:tc>
        <w:tc>
          <w:tcPr>
            <w:tcW w:w="772" w:type="pct"/>
            <w:vAlign w:val="center"/>
          </w:tcPr>
          <w:p w14:paraId="3FC9B9D4">
            <w:pPr>
              <w:jc w:val="center"/>
              <w:rPr>
                <w:rFonts w:hint="eastAsia" w:ascii="宋体" w:hAnsi="宋体" w:eastAsia="宋体"/>
                <w:b/>
                <w:color w:val="auto"/>
                <w:sz w:val="24"/>
                <w:highlight w:val="none"/>
              </w:rPr>
            </w:pPr>
            <w:r>
              <w:rPr>
                <w:rFonts w:hint="eastAsia" w:ascii="宋体" w:hAnsi="宋体" w:eastAsia="宋体"/>
                <w:b/>
                <w:color w:val="auto"/>
                <w:sz w:val="24"/>
                <w:highlight w:val="none"/>
              </w:rPr>
              <w:t>原产地及</w:t>
            </w:r>
          </w:p>
          <w:p w14:paraId="69A6F33E">
            <w:pPr>
              <w:jc w:val="center"/>
              <w:rPr>
                <w:rFonts w:hint="eastAsia" w:ascii="宋体" w:hAnsi="宋体" w:eastAsia="宋体"/>
                <w:b/>
                <w:color w:val="auto"/>
                <w:sz w:val="24"/>
                <w:highlight w:val="none"/>
              </w:rPr>
            </w:pPr>
            <w:r>
              <w:rPr>
                <w:rFonts w:hint="eastAsia" w:ascii="宋体" w:hAnsi="宋体" w:eastAsia="宋体"/>
                <w:b/>
                <w:color w:val="auto"/>
                <w:sz w:val="24"/>
                <w:highlight w:val="none"/>
              </w:rPr>
              <w:t>生产厂商</w:t>
            </w:r>
          </w:p>
        </w:tc>
        <w:tc>
          <w:tcPr>
            <w:tcW w:w="394" w:type="pct"/>
            <w:vAlign w:val="center"/>
          </w:tcPr>
          <w:p w14:paraId="5E220F61">
            <w:pPr>
              <w:jc w:val="center"/>
              <w:rPr>
                <w:rFonts w:hint="eastAsia" w:ascii="宋体" w:hAnsi="宋体" w:eastAsia="宋体"/>
                <w:b/>
                <w:color w:val="auto"/>
                <w:sz w:val="24"/>
                <w:highlight w:val="none"/>
              </w:rPr>
            </w:pPr>
            <w:r>
              <w:rPr>
                <w:rFonts w:hint="eastAsia" w:ascii="宋体" w:hAnsi="宋体" w:eastAsia="宋体"/>
                <w:b/>
                <w:color w:val="auto"/>
                <w:sz w:val="24"/>
                <w:highlight w:val="none"/>
              </w:rPr>
              <w:t>单位</w:t>
            </w:r>
          </w:p>
        </w:tc>
        <w:tc>
          <w:tcPr>
            <w:tcW w:w="394" w:type="pct"/>
            <w:vAlign w:val="center"/>
          </w:tcPr>
          <w:p w14:paraId="320CC90F">
            <w:pPr>
              <w:jc w:val="center"/>
              <w:rPr>
                <w:rFonts w:hint="eastAsia" w:ascii="宋体" w:hAnsi="宋体" w:eastAsia="宋体"/>
                <w:b/>
                <w:color w:val="auto"/>
                <w:sz w:val="24"/>
                <w:highlight w:val="none"/>
              </w:rPr>
            </w:pPr>
            <w:r>
              <w:rPr>
                <w:rFonts w:hint="eastAsia" w:ascii="宋体" w:hAnsi="宋体" w:eastAsia="宋体"/>
                <w:b/>
                <w:color w:val="auto"/>
                <w:sz w:val="24"/>
                <w:highlight w:val="none"/>
              </w:rPr>
              <w:t>数量</w:t>
            </w:r>
          </w:p>
        </w:tc>
        <w:tc>
          <w:tcPr>
            <w:tcW w:w="551" w:type="pct"/>
            <w:vAlign w:val="center"/>
          </w:tcPr>
          <w:p w14:paraId="57B37F39">
            <w:pPr>
              <w:jc w:val="center"/>
              <w:rPr>
                <w:rFonts w:hint="eastAsia" w:ascii="宋体" w:hAnsi="宋体" w:eastAsia="宋体"/>
                <w:b/>
                <w:color w:val="auto"/>
                <w:sz w:val="24"/>
                <w:highlight w:val="none"/>
              </w:rPr>
            </w:pPr>
            <w:r>
              <w:rPr>
                <w:rFonts w:hint="eastAsia" w:ascii="宋体" w:hAnsi="宋体" w:eastAsia="宋体"/>
                <w:b/>
                <w:color w:val="auto"/>
                <w:sz w:val="24"/>
                <w:highlight w:val="none"/>
              </w:rPr>
              <w:t>单价</w:t>
            </w:r>
          </w:p>
          <w:p w14:paraId="39894848">
            <w:pPr>
              <w:jc w:val="center"/>
              <w:rPr>
                <w:rFonts w:hint="eastAsia" w:ascii="宋体" w:hAnsi="宋体" w:eastAsia="宋体"/>
                <w:b/>
                <w:color w:val="auto"/>
                <w:sz w:val="24"/>
                <w:highlight w:val="none"/>
              </w:rPr>
            </w:pPr>
            <w:r>
              <w:rPr>
                <w:rFonts w:hint="eastAsia" w:ascii="宋体" w:hAnsi="宋体" w:eastAsia="宋体"/>
                <w:b/>
                <w:color w:val="auto"/>
                <w:sz w:val="24"/>
                <w:highlight w:val="none"/>
              </w:rPr>
              <w:t>（元）</w:t>
            </w:r>
          </w:p>
        </w:tc>
        <w:tc>
          <w:tcPr>
            <w:tcW w:w="551" w:type="pct"/>
            <w:vAlign w:val="center"/>
          </w:tcPr>
          <w:p w14:paraId="3425285D">
            <w:pPr>
              <w:jc w:val="center"/>
              <w:rPr>
                <w:rFonts w:hint="eastAsia" w:ascii="宋体" w:hAnsi="宋体" w:eastAsia="宋体"/>
                <w:b/>
                <w:color w:val="auto"/>
                <w:sz w:val="24"/>
                <w:highlight w:val="none"/>
              </w:rPr>
            </w:pPr>
            <w:r>
              <w:rPr>
                <w:rFonts w:hint="eastAsia" w:ascii="宋体" w:hAnsi="宋体" w:eastAsia="宋体"/>
                <w:b/>
                <w:color w:val="auto"/>
                <w:sz w:val="24"/>
                <w:highlight w:val="none"/>
              </w:rPr>
              <w:t>小计</w:t>
            </w:r>
          </w:p>
          <w:p w14:paraId="57010817">
            <w:pPr>
              <w:jc w:val="center"/>
              <w:rPr>
                <w:rFonts w:hint="eastAsia" w:ascii="宋体" w:hAnsi="宋体" w:eastAsia="宋体"/>
                <w:b/>
                <w:color w:val="auto"/>
                <w:sz w:val="24"/>
                <w:highlight w:val="none"/>
              </w:rPr>
            </w:pPr>
            <w:r>
              <w:rPr>
                <w:rFonts w:hint="eastAsia" w:ascii="宋体" w:hAnsi="宋体" w:eastAsia="宋体"/>
                <w:b/>
                <w:color w:val="auto"/>
                <w:sz w:val="24"/>
                <w:highlight w:val="none"/>
              </w:rPr>
              <w:t>（元）</w:t>
            </w:r>
          </w:p>
        </w:tc>
        <w:tc>
          <w:tcPr>
            <w:tcW w:w="393" w:type="pct"/>
            <w:vAlign w:val="center"/>
          </w:tcPr>
          <w:p w14:paraId="47A63804">
            <w:pPr>
              <w:jc w:val="center"/>
              <w:rPr>
                <w:rFonts w:hint="eastAsia" w:ascii="宋体" w:hAnsi="宋体" w:eastAsia="宋体"/>
                <w:b/>
                <w:color w:val="auto"/>
                <w:sz w:val="24"/>
                <w:highlight w:val="none"/>
              </w:rPr>
            </w:pPr>
            <w:r>
              <w:rPr>
                <w:rFonts w:hint="eastAsia" w:ascii="宋体" w:hAnsi="宋体" w:eastAsia="宋体"/>
                <w:b/>
                <w:color w:val="auto"/>
                <w:sz w:val="24"/>
                <w:highlight w:val="none"/>
              </w:rPr>
              <w:t>备注</w:t>
            </w:r>
          </w:p>
        </w:tc>
      </w:tr>
      <w:tr w14:paraId="7492F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Borders>
              <w:bottom w:val="single" w:color="auto" w:sz="4" w:space="0"/>
            </w:tcBorders>
          </w:tcPr>
          <w:p w14:paraId="081E0F3E">
            <w:pPr>
              <w:jc w:val="center"/>
              <w:rPr>
                <w:rFonts w:hint="eastAsia" w:ascii="宋体" w:hAnsi="宋体" w:eastAsia="宋体"/>
                <w:color w:val="auto"/>
                <w:sz w:val="24"/>
                <w:highlight w:val="none"/>
              </w:rPr>
            </w:pPr>
            <w:r>
              <w:rPr>
                <w:rFonts w:hint="eastAsia" w:ascii="宋体" w:hAnsi="宋体" w:eastAsia="宋体"/>
                <w:color w:val="auto"/>
                <w:sz w:val="24"/>
                <w:highlight w:val="none"/>
              </w:rPr>
              <w:t>1</w:t>
            </w:r>
          </w:p>
        </w:tc>
        <w:tc>
          <w:tcPr>
            <w:tcW w:w="776" w:type="pct"/>
          </w:tcPr>
          <w:p w14:paraId="7761E195">
            <w:pPr>
              <w:rPr>
                <w:rFonts w:hint="eastAsia" w:ascii="宋体" w:hAnsi="宋体" w:eastAsia="宋体"/>
                <w:color w:val="auto"/>
                <w:sz w:val="24"/>
                <w:highlight w:val="none"/>
              </w:rPr>
            </w:pPr>
          </w:p>
        </w:tc>
        <w:tc>
          <w:tcPr>
            <w:tcW w:w="772" w:type="pct"/>
          </w:tcPr>
          <w:p w14:paraId="0375DE1C">
            <w:pPr>
              <w:rPr>
                <w:rFonts w:hint="eastAsia" w:ascii="宋体" w:hAnsi="宋体" w:eastAsia="宋体"/>
                <w:color w:val="auto"/>
                <w:sz w:val="24"/>
                <w:highlight w:val="none"/>
              </w:rPr>
            </w:pPr>
          </w:p>
        </w:tc>
        <w:tc>
          <w:tcPr>
            <w:tcW w:w="772" w:type="pct"/>
          </w:tcPr>
          <w:p w14:paraId="52FF1C92">
            <w:pPr>
              <w:rPr>
                <w:rFonts w:hint="eastAsia" w:ascii="宋体" w:hAnsi="宋体" w:eastAsia="宋体"/>
                <w:color w:val="auto"/>
                <w:sz w:val="24"/>
                <w:highlight w:val="none"/>
              </w:rPr>
            </w:pPr>
          </w:p>
        </w:tc>
        <w:tc>
          <w:tcPr>
            <w:tcW w:w="394" w:type="pct"/>
          </w:tcPr>
          <w:p w14:paraId="7C01FFE9">
            <w:pPr>
              <w:rPr>
                <w:rFonts w:hint="eastAsia" w:ascii="宋体" w:hAnsi="宋体" w:eastAsia="宋体"/>
                <w:color w:val="auto"/>
                <w:sz w:val="24"/>
                <w:highlight w:val="none"/>
              </w:rPr>
            </w:pPr>
          </w:p>
        </w:tc>
        <w:tc>
          <w:tcPr>
            <w:tcW w:w="394" w:type="pct"/>
          </w:tcPr>
          <w:p w14:paraId="4DE5AC10">
            <w:pPr>
              <w:rPr>
                <w:rFonts w:hint="eastAsia" w:ascii="宋体" w:hAnsi="宋体" w:eastAsia="宋体"/>
                <w:color w:val="auto"/>
                <w:sz w:val="24"/>
                <w:highlight w:val="none"/>
              </w:rPr>
            </w:pPr>
          </w:p>
        </w:tc>
        <w:tc>
          <w:tcPr>
            <w:tcW w:w="551" w:type="pct"/>
          </w:tcPr>
          <w:p w14:paraId="21DA4597">
            <w:pPr>
              <w:rPr>
                <w:rFonts w:hint="eastAsia" w:ascii="宋体" w:hAnsi="宋体" w:eastAsia="宋体"/>
                <w:color w:val="auto"/>
                <w:sz w:val="24"/>
                <w:highlight w:val="none"/>
              </w:rPr>
            </w:pPr>
          </w:p>
        </w:tc>
        <w:tc>
          <w:tcPr>
            <w:tcW w:w="551" w:type="pct"/>
          </w:tcPr>
          <w:p w14:paraId="2A9B41D8">
            <w:pPr>
              <w:rPr>
                <w:rFonts w:hint="eastAsia" w:ascii="宋体" w:hAnsi="宋体" w:eastAsia="宋体"/>
                <w:color w:val="auto"/>
                <w:sz w:val="24"/>
                <w:highlight w:val="none"/>
              </w:rPr>
            </w:pPr>
          </w:p>
        </w:tc>
        <w:tc>
          <w:tcPr>
            <w:tcW w:w="393" w:type="pct"/>
          </w:tcPr>
          <w:p w14:paraId="2B68B0FE">
            <w:pPr>
              <w:rPr>
                <w:rFonts w:hint="eastAsia" w:ascii="宋体" w:hAnsi="宋体" w:eastAsia="宋体"/>
                <w:color w:val="auto"/>
                <w:sz w:val="24"/>
                <w:highlight w:val="none"/>
              </w:rPr>
            </w:pPr>
          </w:p>
        </w:tc>
      </w:tr>
      <w:tr w14:paraId="6C4B5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3" w:type="pct"/>
          </w:tcPr>
          <w:p w14:paraId="01A75D3A">
            <w:pPr>
              <w:jc w:val="center"/>
              <w:rPr>
                <w:rFonts w:hint="eastAsia" w:ascii="宋体" w:hAnsi="宋体" w:eastAsia="宋体"/>
                <w:color w:val="auto"/>
                <w:sz w:val="24"/>
                <w:highlight w:val="none"/>
              </w:rPr>
            </w:pPr>
            <w:r>
              <w:rPr>
                <w:rFonts w:hint="eastAsia" w:ascii="宋体" w:hAnsi="宋体" w:eastAsia="宋体"/>
                <w:color w:val="auto"/>
                <w:sz w:val="24"/>
                <w:highlight w:val="none"/>
              </w:rPr>
              <w:t>2</w:t>
            </w:r>
          </w:p>
        </w:tc>
        <w:tc>
          <w:tcPr>
            <w:tcW w:w="776" w:type="pct"/>
          </w:tcPr>
          <w:p w14:paraId="1C5F27B4">
            <w:pPr>
              <w:rPr>
                <w:rFonts w:hint="eastAsia" w:ascii="宋体" w:hAnsi="宋体" w:eastAsia="宋体"/>
                <w:color w:val="auto"/>
                <w:sz w:val="24"/>
                <w:highlight w:val="none"/>
              </w:rPr>
            </w:pPr>
          </w:p>
        </w:tc>
        <w:tc>
          <w:tcPr>
            <w:tcW w:w="772" w:type="pct"/>
          </w:tcPr>
          <w:p w14:paraId="439F3115">
            <w:pPr>
              <w:rPr>
                <w:rFonts w:hint="eastAsia" w:ascii="宋体" w:hAnsi="宋体" w:eastAsia="宋体"/>
                <w:color w:val="auto"/>
                <w:sz w:val="24"/>
                <w:highlight w:val="none"/>
              </w:rPr>
            </w:pPr>
          </w:p>
        </w:tc>
        <w:tc>
          <w:tcPr>
            <w:tcW w:w="772" w:type="pct"/>
          </w:tcPr>
          <w:p w14:paraId="0B5EF6A2">
            <w:pPr>
              <w:rPr>
                <w:rFonts w:hint="eastAsia" w:ascii="宋体" w:hAnsi="宋体" w:eastAsia="宋体"/>
                <w:color w:val="auto"/>
                <w:sz w:val="24"/>
                <w:highlight w:val="none"/>
              </w:rPr>
            </w:pPr>
          </w:p>
        </w:tc>
        <w:tc>
          <w:tcPr>
            <w:tcW w:w="394" w:type="pct"/>
          </w:tcPr>
          <w:p w14:paraId="66BA4716">
            <w:pPr>
              <w:rPr>
                <w:rFonts w:hint="eastAsia" w:ascii="宋体" w:hAnsi="宋体" w:eastAsia="宋体"/>
                <w:color w:val="auto"/>
                <w:sz w:val="24"/>
                <w:highlight w:val="none"/>
              </w:rPr>
            </w:pPr>
          </w:p>
        </w:tc>
        <w:tc>
          <w:tcPr>
            <w:tcW w:w="394" w:type="pct"/>
          </w:tcPr>
          <w:p w14:paraId="4981F119">
            <w:pPr>
              <w:rPr>
                <w:rFonts w:hint="eastAsia" w:ascii="宋体" w:hAnsi="宋体" w:eastAsia="宋体"/>
                <w:color w:val="auto"/>
                <w:sz w:val="24"/>
                <w:highlight w:val="none"/>
              </w:rPr>
            </w:pPr>
          </w:p>
        </w:tc>
        <w:tc>
          <w:tcPr>
            <w:tcW w:w="551" w:type="pct"/>
          </w:tcPr>
          <w:p w14:paraId="6A08DEBB">
            <w:pPr>
              <w:rPr>
                <w:rFonts w:hint="eastAsia" w:ascii="宋体" w:hAnsi="宋体" w:eastAsia="宋体"/>
                <w:color w:val="auto"/>
                <w:sz w:val="24"/>
                <w:highlight w:val="none"/>
              </w:rPr>
            </w:pPr>
          </w:p>
        </w:tc>
        <w:tc>
          <w:tcPr>
            <w:tcW w:w="551" w:type="pct"/>
          </w:tcPr>
          <w:p w14:paraId="21EA39CE">
            <w:pPr>
              <w:rPr>
                <w:rFonts w:hint="eastAsia" w:ascii="宋体" w:hAnsi="宋体" w:eastAsia="宋体"/>
                <w:color w:val="auto"/>
                <w:sz w:val="24"/>
                <w:highlight w:val="none"/>
              </w:rPr>
            </w:pPr>
          </w:p>
        </w:tc>
        <w:tc>
          <w:tcPr>
            <w:tcW w:w="393" w:type="pct"/>
          </w:tcPr>
          <w:p w14:paraId="2599FD7C">
            <w:pPr>
              <w:rPr>
                <w:rFonts w:hint="eastAsia" w:ascii="宋体" w:hAnsi="宋体" w:eastAsia="宋体"/>
                <w:color w:val="auto"/>
                <w:sz w:val="24"/>
                <w:highlight w:val="none"/>
              </w:rPr>
            </w:pPr>
          </w:p>
        </w:tc>
      </w:tr>
      <w:tr w14:paraId="6233C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Pr>
          <w:p w14:paraId="7DD361CA">
            <w:pPr>
              <w:jc w:val="center"/>
              <w:rPr>
                <w:rFonts w:hint="eastAsia" w:ascii="宋体" w:hAnsi="宋体" w:eastAsia="宋体"/>
                <w:color w:val="auto"/>
                <w:sz w:val="24"/>
                <w:highlight w:val="none"/>
              </w:rPr>
            </w:pPr>
            <w:r>
              <w:rPr>
                <w:rFonts w:hint="eastAsia" w:ascii="宋体" w:hAnsi="宋体" w:eastAsia="宋体"/>
                <w:color w:val="auto"/>
                <w:sz w:val="24"/>
                <w:highlight w:val="none"/>
              </w:rPr>
              <w:t>…</w:t>
            </w:r>
          </w:p>
        </w:tc>
        <w:tc>
          <w:tcPr>
            <w:tcW w:w="776" w:type="pct"/>
          </w:tcPr>
          <w:p w14:paraId="52FDDD29">
            <w:pPr>
              <w:rPr>
                <w:rFonts w:hint="eastAsia" w:ascii="宋体" w:hAnsi="宋体" w:eastAsia="宋体"/>
                <w:color w:val="auto"/>
                <w:sz w:val="24"/>
                <w:highlight w:val="none"/>
              </w:rPr>
            </w:pPr>
          </w:p>
        </w:tc>
        <w:tc>
          <w:tcPr>
            <w:tcW w:w="772" w:type="pct"/>
          </w:tcPr>
          <w:p w14:paraId="0F448206">
            <w:pPr>
              <w:rPr>
                <w:rFonts w:hint="eastAsia" w:ascii="宋体" w:hAnsi="宋体" w:eastAsia="宋体"/>
                <w:color w:val="auto"/>
                <w:sz w:val="24"/>
                <w:highlight w:val="none"/>
              </w:rPr>
            </w:pPr>
          </w:p>
        </w:tc>
        <w:tc>
          <w:tcPr>
            <w:tcW w:w="772" w:type="pct"/>
          </w:tcPr>
          <w:p w14:paraId="6F4523F1">
            <w:pPr>
              <w:rPr>
                <w:rFonts w:hint="eastAsia" w:ascii="宋体" w:hAnsi="宋体" w:eastAsia="宋体"/>
                <w:color w:val="auto"/>
                <w:sz w:val="24"/>
                <w:highlight w:val="none"/>
              </w:rPr>
            </w:pPr>
          </w:p>
        </w:tc>
        <w:tc>
          <w:tcPr>
            <w:tcW w:w="394" w:type="pct"/>
          </w:tcPr>
          <w:p w14:paraId="5713503A">
            <w:pPr>
              <w:rPr>
                <w:rFonts w:hint="eastAsia" w:ascii="宋体" w:hAnsi="宋体" w:eastAsia="宋体"/>
                <w:color w:val="auto"/>
                <w:sz w:val="24"/>
                <w:highlight w:val="none"/>
              </w:rPr>
            </w:pPr>
          </w:p>
        </w:tc>
        <w:tc>
          <w:tcPr>
            <w:tcW w:w="394" w:type="pct"/>
          </w:tcPr>
          <w:p w14:paraId="44B66D33">
            <w:pPr>
              <w:rPr>
                <w:rFonts w:hint="eastAsia" w:ascii="宋体" w:hAnsi="宋体" w:eastAsia="宋体"/>
                <w:color w:val="auto"/>
                <w:sz w:val="24"/>
                <w:highlight w:val="none"/>
              </w:rPr>
            </w:pPr>
          </w:p>
        </w:tc>
        <w:tc>
          <w:tcPr>
            <w:tcW w:w="551" w:type="pct"/>
          </w:tcPr>
          <w:p w14:paraId="4D3028A2">
            <w:pPr>
              <w:rPr>
                <w:rFonts w:hint="eastAsia" w:ascii="宋体" w:hAnsi="宋体" w:eastAsia="宋体"/>
                <w:color w:val="auto"/>
                <w:sz w:val="24"/>
                <w:highlight w:val="none"/>
              </w:rPr>
            </w:pPr>
          </w:p>
        </w:tc>
        <w:tc>
          <w:tcPr>
            <w:tcW w:w="551" w:type="pct"/>
          </w:tcPr>
          <w:p w14:paraId="1790092E">
            <w:pPr>
              <w:rPr>
                <w:rFonts w:hint="eastAsia" w:ascii="宋体" w:hAnsi="宋体" w:eastAsia="宋体"/>
                <w:color w:val="auto"/>
                <w:sz w:val="24"/>
                <w:highlight w:val="none"/>
              </w:rPr>
            </w:pPr>
          </w:p>
        </w:tc>
        <w:tc>
          <w:tcPr>
            <w:tcW w:w="393" w:type="pct"/>
          </w:tcPr>
          <w:p w14:paraId="578F6552">
            <w:pPr>
              <w:rPr>
                <w:rFonts w:hint="eastAsia" w:ascii="宋体" w:hAnsi="宋体" w:eastAsia="宋体"/>
                <w:color w:val="auto"/>
                <w:sz w:val="24"/>
                <w:highlight w:val="none"/>
              </w:rPr>
            </w:pPr>
          </w:p>
        </w:tc>
      </w:tr>
      <w:tr w14:paraId="388BB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4055" w:type="pct"/>
            <w:gridSpan w:val="7"/>
            <w:vAlign w:val="center"/>
          </w:tcPr>
          <w:p w14:paraId="5461A2A8">
            <w:pPr>
              <w:jc w:val="center"/>
              <w:rPr>
                <w:rFonts w:hint="eastAsia" w:ascii="宋体" w:hAnsi="宋体" w:eastAsia="宋体"/>
                <w:color w:val="auto"/>
                <w:sz w:val="24"/>
                <w:highlight w:val="none"/>
              </w:rPr>
            </w:pPr>
            <w:r>
              <w:rPr>
                <w:rFonts w:hint="eastAsia" w:ascii="宋体" w:hAnsi="宋体" w:eastAsia="宋体"/>
                <w:b/>
                <w:color w:val="auto"/>
                <w:sz w:val="24"/>
                <w:highlight w:val="none"/>
              </w:rPr>
              <w:t>合计金额（元）</w:t>
            </w:r>
          </w:p>
        </w:tc>
        <w:tc>
          <w:tcPr>
            <w:tcW w:w="944" w:type="pct"/>
            <w:gridSpan w:val="2"/>
          </w:tcPr>
          <w:p w14:paraId="559957D4">
            <w:pPr>
              <w:rPr>
                <w:rFonts w:hint="eastAsia" w:ascii="宋体" w:hAnsi="宋体" w:eastAsia="宋体"/>
                <w:color w:val="auto"/>
                <w:sz w:val="24"/>
                <w:highlight w:val="none"/>
              </w:rPr>
            </w:pPr>
          </w:p>
        </w:tc>
      </w:tr>
    </w:tbl>
    <w:p w14:paraId="4C7090A7">
      <w:pPr>
        <w:pStyle w:val="49"/>
        <w:rPr>
          <w:rFonts w:hint="eastAsia" w:ascii="宋体" w:hAnsi="宋体"/>
          <w:b/>
          <w:bCs/>
          <w:i/>
          <w:iCs/>
          <w:color w:val="auto"/>
          <w:highlight w:val="none"/>
        </w:rPr>
      </w:pPr>
      <w:r>
        <w:rPr>
          <w:rFonts w:hint="eastAsia" w:ascii="宋体" w:hAnsi="宋体"/>
          <w:b/>
          <w:bCs/>
          <w:color w:val="auto"/>
          <w:highlight w:val="none"/>
        </w:rPr>
        <w:t>5-2服务部分</w:t>
      </w:r>
      <w:r>
        <w:rPr>
          <w:rFonts w:hint="eastAsia" w:ascii="宋体" w:hAnsi="宋体"/>
          <w:b/>
          <w:bCs/>
          <w:i/>
          <w:iCs/>
          <w:color w:val="auto"/>
          <w:highlight w:val="none"/>
        </w:rPr>
        <w:t>（仅供参考，投标人可自行制作格式）</w:t>
      </w:r>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3387"/>
        <w:gridCol w:w="1478"/>
        <w:gridCol w:w="1851"/>
        <w:gridCol w:w="1706"/>
      </w:tblGrid>
      <w:tr w14:paraId="4A9E4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463" w:type="pct"/>
            <w:vAlign w:val="center"/>
          </w:tcPr>
          <w:p w14:paraId="1CDA59DE">
            <w:pPr>
              <w:jc w:val="center"/>
              <w:rPr>
                <w:rFonts w:hint="eastAsia" w:ascii="宋体" w:hAnsi="宋体" w:eastAsia="宋体"/>
                <w:b/>
                <w:color w:val="auto"/>
                <w:sz w:val="24"/>
                <w:highlight w:val="none"/>
              </w:rPr>
            </w:pPr>
            <w:r>
              <w:rPr>
                <w:rFonts w:hint="eastAsia" w:ascii="宋体" w:hAnsi="宋体" w:eastAsia="宋体"/>
                <w:b/>
                <w:color w:val="auto"/>
                <w:sz w:val="24"/>
                <w:highlight w:val="none"/>
              </w:rPr>
              <w:t>序号</w:t>
            </w:r>
          </w:p>
        </w:tc>
        <w:tc>
          <w:tcPr>
            <w:tcW w:w="1824" w:type="pct"/>
            <w:vAlign w:val="center"/>
          </w:tcPr>
          <w:p w14:paraId="17CB7DC2">
            <w:pPr>
              <w:jc w:val="center"/>
              <w:rPr>
                <w:rFonts w:hint="eastAsia" w:ascii="宋体" w:hAnsi="宋体" w:eastAsia="宋体"/>
                <w:b/>
                <w:color w:val="auto"/>
                <w:sz w:val="24"/>
                <w:highlight w:val="none"/>
              </w:rPr>
            </w:pPr>
            <w:r>
              <w:rPr>
                <w:rFonts w:hint="eastAsia" w:ascii="宋体" w:hAnsi="宋体" w:eastAsia="宋体"/>
                <w:b/>
                <w:color w:val="auto"/>
                <w:sz w:val="24"/>
                <w:highlight w:val="none"/>
              </w:rPr>
              <w:t>服务内容</w:t>
            </w:r>
          </w:p>
        </w:tc>
        <w:tc>
          <w:tcPr>
            <w:tcW w:w="796" w:type="pct"/>
            <w:vAlign w:val="center"/>
          </w:tcPr>
          <w:p w14:paraId="69CD1F09">
            <w:pPr>
              <w:jc w:val="center"/>
              <w:rPr>
                <w:rFonts w:hint="eastAsia" w:ascii="宋体" w:hAnsi="宋体" w:eastAsia="宋体"/>
                <w:b/>
                <w:color w:val="auto"/>
                <w:sz w:val="24"/>
                <w:highlight w:val="none"/>
              </w:rPr>
            </w:pPr>
            <w:r>
              <w:rPr>
                <w:rFonts w:hint="eastAsia" w:ascii="宋体" w:hAnsi="宋体" w:eastAsia="宋体"/>
                <w:b/>
                <w:color w:val="auto"/>
                <w:sz w:val="24"/>
                <w:highlight w:val="none"/>
              </w:rPr>
              <w:t>项</w:t>
            </w:r>
          </w:p>
        </w:tc>
        <w:tc>
          <w:tcPr>
            <w:tcW w:w="996" w:type="pct"/>
            <w:vAlign w:val="center"/>
          </w:tcPr>
          <w:p w14:paraId="3C73F4D9">
            <w:pPr>
              <w:jc w:val="center"/>
              <w:rPr>
                <w:rFonts w:hint="eastAsia" w:ascii="宋体" w:hAnsi="宋体" w:eastAsia="宋体"/>
                <w:b/>
                <w:color w:val="auto"/>
                <w:sz w:val="24"/>
                <w:highlight w:val="none"/>
              </w:rPr>
            </w:pPr>
            <w:r>
              <w:rPr>
                <w:rFonts w:hint="eastAsia" w:ascii="宋体" w:hAnsi="宋体" w:eastAsia="宋体"/>
                <w:b/>
                <w:color w:val="auto"/>
                <w:sz w:val="24"/>
                <w:highlight w:val="none"/>
              </w:rPr>
              <w:t>单价</w:t>
            </w:r>
          </w:p>
        </w:tc>
        <w:tc>
          <w:tcPr>
            <w:tcW w:w="919" w:type="pct"/>
            <w:vAlign w:val="center"/>
          </w:tcPr>
          <w:p w14:paraId="18231BFF">
            <w:pPr>
              <w:jc w:val="center"/>
              <w:rPr>
                <w:rFonts w:hint="eastAsia" w:ascii="宋体" w:hAnsi="宋体" w:eastAsia="宋体"/>
                <w:b/>
                <w:color w:val="auto"/>
                <w:sz w:val="24"/>
                <w:highlight w:val="none"/>
              </w:rPr>
            </w:pPr>
            <w:r>
              <w:rPr>
                <w:rFonts w:hint="eastAsia" w:ascii="宋体" w:hAnsi="宋体" w:eastAsia="宋体"/>
                <w:b/>
                <w:color w:val="auto"/>
                <w:sz w:val="24"/>
                <w:highlight w:val="none"/>
              </w:rPr>
              <w:t>小计（元）</w:t>
            </w:r>
          </w:p>
        </w:tc>
      </w:tr>
      <w:tr w14:paraId="4603F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tcBorders>
              <w:bottom w:val="single" w:color="auto" w:sz="4" w:space="0"/>
            </w:tcBorders>
            <w:vAlign w:val="center"/>
          </w:tcPr>
          <w:p w14:paraId="3C2A5816">
            <w:pPr>
              <w:jc w:val="center"/>
              <w:rPr>
                <w:rFonts w:hint="eastAsia" w:ascii="宋体" w:hAnsi="宋体" w:eastAsia="宋体"/>
                <w:color w:val="auto"/>
                <w:sz w:val="24"/>
                <w:highlight w:val="none"/>
              </w:rPr>
            </w:pPr>
            <w:r>
              <w:rPr>
                <w:rFonts w:hint="eastAsia" w:ascii="宋体" w:hAnsi="宋体" w:eastAsia="宋体"/>
                <w:color w:val="auto"/>
                <w:sz w:val="24"/>
                <w:highlight w:val="none"/>
              </w:rPr>
              <w:t>1</w:t>
            </w:r>
          </w:p>
        </w:tc>
        <w:tc>
          <w:tcPr>
            <w:tcW w:w="1824" w:type="pct"/>
            <w:vAlign w:val="center"/>
          </w:tcPr>
          <w:p w14:paraId="176E8AA8">
            <w:pPr>
              <w:jc w:val="center"/>
              <w:rPr>
                <w:rFonts w:hint="eastAsia" w:ascii="宋体" w:hAnsi="宋体" w:eastAsia="宋体"/>
                <w:color w:val="auto"/>
                <w:sz w:val="24"/>
                <w:highlight w:val="none"/>
              </w:rPr>
            </w:pPr>
          </w:p>
        </w:tc>
        <w:tc>
          <w:tcPr>
            <w:tcW w:w="796" w:type="pct"/>
            <w:vAlign w:val="center"/>
          </w:tcPr>
          <w:p w14:paraId="2C5909C3">
            <w:pPr>
              <w:jc w:val="center"/>
              <w:rPr>
                <w:rFonts w:hint="eastAsia" w:ascii="宋体" w:hAnsi="宋体" w:eastAsia="宋体"/>
                <w:color w:val="auto"/>
                <w:sz w:val="24"/>
                <w:highlight w:val="none"/>
              </w:rPr>
            </w:pPr>
          </w:p>
        </w:tc>
        <w:tc>
          <w:tcPr>
            <w:tcW w:w="996" w:type="pct"/>
            <w:vAlign w:val="center"/>
          </w:tcPr>
          <w:p w14:paraId="575AA4E9">
            <w:pPr>
              <w:jc w:val="center"/>
              <w:rPr>
                <w:rFonts w:hint="eastAsia" w:ascii="宋体" w:hAnsi="宋体" w:eastAsia="宋体"/>
                <w:color w:val="auto"/>
                <w:sz w:val="24"/>
                <w:highlight w:val="none"/>
              </w:rPr>
            </w:pPr>
          </w:p>
        </w:tc>
        <w:tc>
          <w:tcPr>
            <w:tcW w:w="919" w:type="pct"/>
            <w:vAlign w:val="center"/>
          </w:tcPr>
          <w:p w14:paraId="60C54B4C">
            <w:pPr>
              <w:jc w:val="center"/>
              <w:rPr>
                <w:rFonts w:hint="eastAsia" w:ascii="宋体" w:hAnsi="宋体" w:eastAsia="宋体"/>
                <w:color w:val="auto"/>
                <w:sz w:val="24"/>
                <w:highlight w:val="none"/>
              </w:rPr>
            </w:pPr>
          </w:p>
        </w:tc>
      </w:tr>
      <w:tr w14:paraId="3CDC4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vAlign w:val="center"/>
          </w:tcPr>
          <w:p w14:paraId="1D70D3F5">
            <w:pPr>
              <w:jc w:val="center"/>
              <w:rPr>
                <w:rFonts w:hint="eastAsia" w:ascii="宋体" w:hAnsi="宋体" w:eastAsia="宋体"/>
                <w:color w:val="auto"/>
                <w:sz w:val="24"/>
                <w:highlight w:val="none"/>
              </w:rPr>
            </w:pPr>
            <w:r>
              <w:rPr>
                <w:rFonts w:hint="eastAsia" w:ascii="宋体" w:hAnsi="宋体" w:eastAsia="宋体"/>
                <w:color w:val="auto"/>
                <w:sz w:val="24"/>
                <w:highlight w:val="none"/>
              </w:rPr>
              <w:t>2</w:t>
            </w:r>
          </w:p>
        </w:tc>
        <w:tc>
          <w:tcPr>
            <w:tcW w:w="1824" w:type="pct"/>
            <w:vAlign w:val="center"/>
          </w:tcPr>
          <w:p w14:paraId="72BE9378">
            <w:pPr>
              <w:jc w:val="center"/>
              <w:rPr>
                <w:rFonts w:hint="eastAsia" w:ascii="宋体" w:hAnsi="宋体" w:eastAsia="宋体"/>
                <w:color w:val="auto"/>
                <w:sz w:val="24"/>
                <w:highlight w:val="none"/>
              </w:rPr>
            </w:pPr>
          </w:p>
        </w:tc>
        <w:tc>
          <w:tcPr>
            <w:tcW w:w="796" w:type="pct"/>
            <w:vAlign w:val="center"/>
          </w:tcPr>
          <w:p w14:paraId="6158F3CC">
            <w:pPr>
              <w:jc w:val="center"/>
              <w:rPr>
                <w:rFonts w:hint="eastAsia" w:ascii="宋体" w:hAnsi="宋体" w:eastAsia="宋体"/>
                <w:color w:val="auto"/>
                <w:sz w:val="24"/>
                <w:highlight w:val="none"/>
              </w:rPr>
            </w:pPr>
          </w:p>
        </w:tc>
        <w:tc>
          <w:tcPr>
            <w:tcW w:w="996" w:type="pct"/>
            <w:vAlign w:val="center"/>
          </w:tcPr>
          <w:p w14:paraId="6122CBD2">
            <w:pPr>
              <w:jc w:val="center"/>
              <w:rPr>
                <w:rFonts w:hint="eastAsia" w:ascii="宋体" w:hAnsi="宋体" w:eastAsia="宋体"/>
                <w:color w:val="auto"/>
                <w:sz w:val="24"/>
                <w:highlight w:val="none"/>
              </w:rPr>
            </w:pPr>
          </w:p>
        </w:tc>
        <w:tc>
          <w:tcPr>
            <w:tcW w:w="919" w:type="pct"/>
            <w:vAlign w:val="center"/>
          </w:tcPr>
          <w:p w14:paraId="560FF55C">
            <w:pPr>
              <w:jc w:val="center"/>
              <w:rPr>
                <w:rFonts w:hint="eastAsia" w:ascii="宋体" w:hAnsi="宋体" w:eastAsia="宋体"/>
                <w:color w:val="auto"/>
                <w:sz w:val="24"/>
                <w:highlight w:val="none"/>
              </w:rPr>
            </w:pPr>
          </w:p>
        </w:tc>
      </w:tr>
      <w:tr w14:paraId="23B5F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vAlign w:val="center"/>
          </w:tcPr>
          <w:p w14:paraId="7A4BB65E">
            <w:pPr>
              <w:jc w:val="center"/>
              <w:rPr>
                <w:rFonts w:hint="eastAsia" w:ascii="宋体" w:hAnsi="宋体" w:eastAsia="宋体"/>
                <w:color w:val="auto"/>
                <w:sz w:val="24"/>
                <w:highlight w:val="none"/>
              </w:rPr>
            </w:pPr>
            <w:r>
              <w:rPr>
                <w:rFonts w:ascii="宋体" w:hAnsi="宋体" w:eastAsia="宋体"/>
                <w:color w:val="auto"/>
                <w:sz w:val="24"/>
                <w:highlight w:val="none"/>
              </w:rPr>
              <w:t>…</w:t>
            </w:r>
          </w:p>
        </w:tc>
        <w:tc>
          <w:tcPr>
            <w:tcW w:w="1824" w:type="pct"/>
            <w:vAlign w:val="center"/>
          </w:tcPr>
          <w:p w14:paraId="1508F16C">
            <w:pPr>
              <w:jc w:val="center"/>
              <w:rPr>
                <w:rFonts w:hint="eastAsia" w:ascii="宋体" w:hAnsi="宋体" w:eastAsia="宋体"/>
                <w:color w:val="auto"/>
                <w:sz w:val="24"/>
                <w:highlight w:val="none"/>
              </w:rPr>
            </w:pPr>
          </w:p>
        </w:tc>
        <w:tc>
          <w:tcPr>
            <w:tcW w:w="796" w:type="pct"/>
            <w:vAlign w:val="center"/>
          </w:tcPr>
          <w:p w14:paraId="2DA9BCCD">
            <w:pPr>
              <w:jc w:val="center"/>
              <w:rPr>
                <w:rFonts w:hint="eastAsia" w:ascii="宋体" w:hAnsi="宋体" w:eastAsia="宋体"/>
                <w:color w:val="auto"/>
                <w:sz w:val="24"/>
                <w:highlight w:val="none"/>
              </w:rPr>
            </w:pPr>
          </w:p>
        </w:tc>
        <w:tc>
          <w:tcPr>
            <w:tcW w:w="996" w:type="pct"/>
            <w:vAlign w:val="center"/>
          </w:tcPr>
          <w:p w14:paraId="3AC80858">
            <w:pPr>
              <w:jc w:val="center"/>
              <w:rPr>
                <w:rFonts w:hint="eastAsia" w:ascii="宋体" w:hAnsi="宋体" w:eastAsia="宋体"/>
                <w:color w:val="auto"/>
                <w:sz w:val="24"/>
                <w:highlight w:val="none"/>
              </w:rPr>
            </w:pPr>
          </w:p>
        </w:tc>
        <w:tc>
          <w:tcPr>
            <w:tcW w:w="919" w:type="pct"/>
            <w:vAlign w:val="center"/>
          </w:tcPr>
          <w:p w14:paraId="7CCB6ABB">
            <w:pPr>
              <w:jc w:val="center"/>
              <w:rPr>
                <w:rFonts w:hint="eastAsia" w:ascii="宋体" w:hAnsi="宋体" w:eastAsia="宋体"/>
                <w:color w:val="auto"/>
                <w:sz w:val="24"/>
                <w:highlight w:val="none"/>
              </w:rPr>
            </w:pPr>
          </w:p>
        </w:tc>
      </w:tr>
      <w:tr w14:paraId="6C5FE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jc w:val="center"/>
        </w:trPr>
        <w:tc>
          <w:tcPr>
            <w:tcW w:w="4080" w:type="pct"/>
            <w:gridSpan w:val="4"/>
            <w:vAlign w:val="center"/>
          </w:tcPr>
          <w:p w14:paraId="6FBEAEBD">
            <w:pPr>
              <w:jc w:val="center"/>
              <w:rPr>
                <w:rFonts w:hint="eastAsia" w:ascii="宋体" w:hAnsi="宋体" w:eastAsia="宋体"/>
                <w:color w:val="auto"/>
                <w:sz w:val="24"/>
                <w:highlight w:val="none"/>
              </w:rPr>
            </w:pPr>
            <w:r>
              <w:rPr>
                <w:rFonts w:hint="eastAsia" w:ascii="宋体" w:hAnsi="宋体" w:eastAsia="宋体"/>
                <w:b/>
                <w:color w:val="auto"/>
                <w:sz w:val="24"/>
                <w:highlight w:val="none"/>
              </w:rPr>
              <w:t>合计金额（元）</w:t>
            </w:r>
          </w:p>
        </w:tc>
        <w:tc>
          <w:tcPr>
            <w:tcW w:w="919" w:type="pct"/>
            <w:vAlign w:val="center"/>
          </w:tcPr>
          <w:p w14:paraId="5005406A">
            <w:pPr>
              <w:jc w:val="center"/>
              <w:rPr>
                <w:rFonts w:hint="eastAsia" w:ascii="宋体" w:hAnsi="宋体" w:eastAsia="宋体"/>
                <w:color w:val="auto"/>
                <w:sz w:val="24"/>
                <w:highlight w:val="none"/>
              </w:rPr>
            </w:pPr>
          </w:p>
        </w:tc>
      </w:tr>
    </w:tbl>
    <w:p w14:paraId="6AD76037">
      <w:pPr>
        <w:spacing w:line="360" w:lineRule="auto"/>
        <w:ind w:firstLine="435"/>
        <w:jc w:val="right"/>
        <w:rPr>
          <w:rFonts w:hint="eastAsia" w:ascii="宋体" w:hAnsi="宋体" w:eastAsia="宋体"/>
          <w:b/>
          <w:bCs/>
          <w:color w:val="auto"/>
          <w:highlight w:val="none"/>
        </w:rPr>
      </w:pPr>
      <w:r>
        <w:rPr>
          <w:rFonts w:hint="eastAsia" w:ascii="宋体" w:hAnsi="宋体" w:eastAsia="宋体"/>
          <w:bCs/>
          <w:color w:val="auto"/>
          <w:sz w:val="24"/>
          <w:szCs w:val="28"/>
          <w:highlight w:val="none"/>
          <w:u w:val="single"/>
        </w:rPr>
        <w:t xml:space="preserve">       </w:t>
      </w:r>
    </w:p>
    <w:p w14:paraId="7C354805">
      <w:pPr>
        <w:pStyle w:val="49"/>
        <w:rPr>
          <w:rFonts w:hint="eastAsia" w:ascii="宋体" w:hAnsi="宋体"/>
          <w:b/>
          <w:bCs/>
          <w:color w:val="auto"/>
          <w:highlight w:val="none"/>
        </w:rPr>
      </w:pPr>
      <w:r>
        <w:rPr>
          <w:rFonts w:hint="eastAsia" w:ascii="宋体" w:hAnsi="宋体"/>
          <w:b/>
          <w:bCs/>
          <w:color w:val="auto"/>
          <w:highlight w:val="none"/>
        </w:rPr>
        <w:t>5-3 符合本国产品标准的产品成本之和占比</w:t>
      </w:r>
    </w:p>
    <w:tbl>
      <w:tblPr>
        <w:tblStyle w:val="24"/>
        <w:tblW w:w="93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8"/>
        <w:gridCol w:w="1766"/>
      </w:tblGrid>
      <w:tr w14:paraId="73E19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7588" w:type="dxa"/>
          </w:tcPr>
          <w:p w14:paraId="4DECA2F7">
            <w:pPr>
              <w:spacing w:line="400" w:lineRule="exact"/>
              <w:rPr>
                <w:rFonts w:hint="eastAsia" w:ascii="宋体" w:hAnsi="宋体" w:eastAsia="宋体"/>
                <w:b/>
                <w:bCs/>
                <w:color w:val="auto"/>
                <w:szCs w:val="21"/>
                <w:highlight w:val="none"/>
              </w:rPr>
            </w:pPr>
            <w:r>
              <w:rPr>
                <w:rFonts w:hint="eastAsia" w:ascii="宋体" w:hAnsi="宋体" w:eastAsia="宋体" w:cs="宋体"/>
                <w:color w:val="auto"/>
                <w:sz w:val="24"/>
                <w:szCs w:val="24"/>
                <w:highlight w:val="none"/>
              </w:rPr>
              <w:t>本公司（单位）提供的符合本国产品标准的产品成本之和占提供的全部产品成本之和的比例</w:t>
            </w:r>
          </w:p>
        </w:tc>
        <w:tc>
          <w:tcPr>
            <w:tcW w:w="1766" w:type="dxa"/>
          </w:tcPr>
          <w:p w14:paraId="6345AD47">
            <w:pPr>
              <w:spacing w:line="400" w:lineRule="exact"/>
              <w:rPr>
                <w:rFonts w:hint="eastAsia" w:ascii="宋体" w:hAnsi="宋体" w:eastAsia="宋体" w:cs="宋体"/>
                <w:color w:val="auto"/>
                <w:sz w:val="24"/>
                <w:szCs w:val="24"/>
                <w:highlight w:val="none"/>
                <w:u w:val="single"/>
              </w:rPr>
            </w:pPr>
          </w:p>
          <w:p w14:paraId="218CB0CA">
            <w:pPr>
              <w:spacing w:line="400" w:lineRule="exact"/>
              <w:rPr>
                <w:rFonts w:hint="eastAsia" w:ascii="宋体" w:hAnsi="宋体" w:eastAsia="宋体"/>
                <w:b/>
                <w:bCs/>
                <w:color w:val="auto"/>
                <w:szCs w:val="21"/>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Times New Roman"/>
                <w:bCs/>
                <w:color w:val="auto"/>
                <w:szCs w:val="24"/>
                <w:highlight w:val="none"/>
              </w:rPr>
              <w:t>%</w:t>
            </w:r>
          </w:p>
        </w:tc>
      </w:tr>
      <w:tr w14:paraId="3752A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5" w:hRule="atLeast"/>
        </w:trPr>
        <w:tc>
          <w:tcPr>
            <w:tcW w:w="9354" w:type="dxa"/>
            <w:gridSpan w:val="2"/>
          </w:tcPr>
          <w:p w14:paraId="6902F005">
            <w:pPr>
              <w:tabs>
                <w:tab w:val="left" w:pos="4620"/>
              </w:tabs>
              <w:spacing w:line="380" w:lineRule="exact"/>
              <w:jc w:val="left"/>
              <w:rPr>
                <w:rFonts w:hint="eastAsia" w:ascii="宋体" w:hAnsi="宋体" w:eastAsia="宋体" w:cs="Times New Roman"/>
                <w:b/>
                <w:color w:val="auto"/>
                <w:szCs w:val="24"/>
                <w:highlight w:val="none"/>
              </w:rPr>
            </w:pPr>
            <w:r>
              <w:rPr>
                <w:rFonts w:hint="eastAsia" w:ascii="宋体" w:hAnsi="宋体" w:eastAsia="宋体" w:cs="Times New Roman"/>
                <w:b/>
                <w:color w:val="auto"/>
                <w:szCs w:val="24"/>
                <w:highlight w:val="none"/>
              </w:rPr>
              <w:t>提醒：</w:t>
            </w:r>
          </w:p>
          <w:p w14:paraId="4211CC09">
            <w:pPr>
              <w:tabs>
                <w:tab w:val="left" w:pos="4620"/>
              </w:tabs>
              <w:spacing w:line="380" w:lineRule="exact"/>
              <w:jc w:val="left"/>
              <w:rPr>
                <w:rFonts w:hint="eastAsia" w:ascii="宋体" w:hAnsi="宋体" w:eastAsia="宋体" w:cs="Times New Roman"/>
                <w:bCs/>
                <w:color w:val="auto"/>
                <w:szCs w:val="24"/>
                <w:highlight w:val="none"/>
              </w:rPr>
            </w:pPr>
            <w:r>
              <w:rPr>
                <w:rFonts w:hint="eastAsia" w:ascii="宋体" w:hAnsi="宋体" w:eastAsia="宋体" w:cs="Times New Roman"/>
                <w:bCs/>
                <w:color w:val="auto"/>
                <w:szCs w:val="24"/>
                <w:highlight w:val="none"/>
              </w:rPr>
              <w:t>1.投标人为该采购项目或者采购包提供的符合本国产品标准的产品成本之和占该投标人提供的全部产品成本之和的比例达到80%以上时，对该投标人提供的全部产品给予价格评审优惠。</w:t>
            </w:r>
          </w:p>
          <w:p w14:paraId="22252D7C">
            <w:pPr>
              <w:spacing w:line="380" w:lineRule="exact"/>
              <w:rPr>
                <w:rFonts w:hint="eastAsia" w:ascii="宋体" w:hAnsi="宋体" w:eastAsia="宋体" w:cs="Times New Roman"/>
                <w:bCs/>
                <w:color w:val="auto"/>
                <w:szCs w:val="24"/>
                <w:highlight w:val="none"/>
              </w:rPr>
            </w:pPr>
            <w:r>
              <w:rPr>
                <w:rFonts w:hint="eastAsia" w:ascii="宋体" w:hAnsi="宋体" w:eastAsia="宋体" w:cs="Times New Roman"/>
                <w:bCs/>
                <w:color w:val="auto"/>
                <w:szCs w:val="24"/>
                <w:highlight w:val="none"/>
              </w:rPr>
              <w:t>2.投标人应当根据“投标分项报价表-货物部分”的内容对符合本国产品标准的产品成本进行测算（比例未达到80%或未进行比例测算的，对该投标人提供的全部产品不予价格评审优惠），如有虚假响应，投标人承担全部责任。</w:t>
            </w:r>
          </w:p>
          <w:p w14:paraId="12230B6B">
            <w:pPr>
              <w:spacing w:line="380" w:lineRule="exact"/>
              <w:rPr>
                <w:rFonts w:hint="eastAsia" w:ascii="宋体" w:hAnsi="宋体" w:eastAsia="宋体" w:cs="Times New Roman"/>
                <w:bCs/>
                <w:color w:val="auto"/>
                <w:szCs w:val="24"/>
                <w:highlight w:val="none"/>
              </w:rPr>
            </w:pPr>
            <w:r>
              <w:rPr>
                <w:rFonts w:hint="eastAsia" w:ascii="宋体" w:hAnsi="宋体" w:eastAsia="宋体" w:cs="Times New Roman"/>
                <w:bCs/>
                <w:color w:val="auto"/>
                <w:szCs w:val="24"/>
                <w:highlight w:val="none"/>
              </w:rPr>
              <w:t>3.</w:t>
            </w:r>
            <w:r>
              <w:rPr>
                <w:rFonts w:hint="eastAsia" w:ascii="宋体" w:hAnsi="宋体" w:eastAsia="宋体" w:cs="宋体"/>
                <w:bCs/>
                <w:color w:val="auto"/>
                <w:szCs w:val="21"/>
                <w:highlight w:val="none"/>
                <w:lang w:bidi="ar"/>
              </w:rPr>
              <w:t>上表中全部产品成本之和是指表5-1和表5-2包含的全部货物、服务产品成本之和。</w:t>
            </w:r>
          </w:p>
        </w:tc>
      </w:tr>
    </w:tbl>
    <w:p w14:paraId="725986D4">
      <w:pPr>
        <w:spacing w:line="360" w:lineRule="auto"/>
        <w:ind w:firstLine="4800" w:firstLineChars="2000"/>
        <w:jc w:val="center"/>
        <w:rPr>
          <w:rFonts w:hint="eastAsia"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43493136">
      <w:pPr>
        <w:tabs>
          <w:tab w:val="left" w:pos="630"/>
        </w:tabs>
        <w:spacing w:line="360" w:lineRule="auto"/>
        <w:ind w:firstLine="4800" w:firstLineChars="2000"/>
        <w:jc w:val="center"/>
        <w:rPr>
          <w:rFonts w:hint="eastAsia" w:ascii="宋体" w:hAnsi="宋体" w:eastAsia="宋体"/>
          <w:color w:val="auto"/>
          <w:sz w:val="24"/>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290C4559">
      <w:pPr>
        <w:spacing w:line="360" w:lineRule="auto"/>
        <w:rPr>
          <w:rFonts w:hint="eastAsia" w:ascii="宋体" w:hAnsi="宋体" w:eastAsia="宋体"/>
          <w:b/>
          <w:bCs/>
          <w:color w:val="auto"/>
          <w:szCs w:val="21"/>
          <w:highlight w:val="none"/>
        </w:rPr>
      </w:pPr>
      <w:r>
        <w:rPr>
          <w:rFonts w:hint="eastAsia" w:ascii="宋体" w:hAnsi="宋体" w:eastAsia="宋体"/>
          <w:b/>
          <w:bCs/>
          <w:color w:val="auto"/>
          <w:szCs w:val="21"/>
          <w:highlight w:val="none"/>
        </w:rPr>
        <w:t>注：</w:t>
      </w:r>
    </w:p>
    <w:p w14:paraId="0FC5F10B">
      <w:pPr>
        <w:spacing w:line="360" w:lineRule="auto"/>
        <w:rPr>
          <w:rFonts w:hint="eastAsia" w:ascii="宋体" w:hAnsi="宋体" w:eastAsia="宋体"/>
          <w:color w:val="auto"/>
          <w:szCs w:val="21"/>
          <w:highlight w:val="none"/>
        </w:rPr>
      </w:pPr>
      <w:r>
        <w:rPr>
          <w:rFonts w:hint="eastAsia" w:ascii="宋体" w:hAnsi="宋体" w:eastAsia="宋体"/>
          <w:color w:val="auto"/>
          <w:szCs w:val="21"/>
          <w:highlight w:val="none"/>
        </w:rPr>
        <w:t>1.表5-1中须明确列出所投产品的货物名称、品牌、型号规格、原产地及生产厂商，否则可能导致</w:t>
      </w:r>
      <w:r>
        <w:rPr>
          <w:rFonts w:hint="eastAsia" w:ascii="宋体" w:hAnsi="宋体" w:eastAsia="宋体"/>
          <w:b/>
          <w:bCs/>
          <w:color w:val="auto"/>
          <w:szCs w:val="21"/>
          <w:highlight w:val="none"/>
        </w:rPr>
        <w:t>投标无效。</w:t>
      </w:r>
    </w:p>
    <w:p w14:paraId="6F8C7329">
      <w:pPr>
        <w:spacing w:line="360" w:lineRule="auto"/>
        <w:rPr>
          <w:rFonts w:hint="eastAsia" w:ascii="宋体" w:hAnsi="宋体" w:eastAsia="宋体"/>
          <w:color w:val="auto"/>
          <w:szCs w:val="21"/>
          <w:highlight w:val="none"/>
        </w:rPr>
      </w:pPr>
      <w:r>
        <w:rPr>
          <w:rFonts w:hint="eastAsia" w:ascii="宋体" w:hAnsi="宋体" w:eastAsia="宋体"/>
          <w:color w:val="auto"/>
          <w:szCs w:val="21"/>
          <w:highlight w:val="none"/>
        </w:rPr>
        <w:t>2.上述报价为投标人完成本项目内容的全部费用（总报价为表5-1和表5-2合计金额之和），如有漏项或缺项，自行承担全部责任。</w:t>
      </w:r>
    </w:p>
    <w:p w14:paraId="26856CEA">
      <w:pPr>
        <w:spacing w:line="360" w:lineRule="auto"/>
        <w:jc w:val="center"/>
        <w:outlineLvl w:val="1"/>
        <w:rPr>
          <w:rFonts w:hint="eastAsia" w:asciiTheme="minorEastAsia" w:hAnsiTheme="minorEastAsia" w:eastAsiaTheme="minorEastAsia"/>
          <w:b/>
          <w:color w:val="auto"/>
          <w:sz w:val="24"/>
          <w:highlight w:val="none"/>
        </w:rPr>
      </w:pPr>
      <w:bookmarkStart w:id="68" w:name="_Toc11940"/>
      <w:bookmarkStart w:id="69" w:name="_Toc20329"/>
      <w:r>
        <w:rPr>
          <w:rFonts w:hint="eastAsia" w:asciiTheme="minorEastAsia" w:hAnsiTheme="minorEastAsia" w:eastAsiaTheme="minorEastAsia"/>
          <w:b/>
          <w:color w:val="auto"/>
          <w:sz w:val="24"/>
          <w:highlight w:val="none"/>
        </w:rPr>
        <w:t>六、投标响应表</w:t>
      </w:r>
      <w:bookmarkEnd w:id="68"/>
      <w:bookmarkEnd w:id="69"/>
    </w:p>
    <w:p w14:paraId="49D3ABA1">
      <w:pPr>
        <w:spacing w:line="360" w:lineRule="auto"/>
        <w:ind w:firstLine="435"/>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商务响应表</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2089"/>
        <w:gridCol w:w="2722"/>
        <w:gridCol w:w="2806"/>
        <w:gridCol w:w="883"/>
      </w:tblGrid>
      <w:tr w14:paraId="3248D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6DE5CA5C">
            <w:pPr>
              <w:pStyle w:val="11"/>
              <w:jc w:val="center"/>
              <w:rPr>
                <w:rFonts w:hint="eastAsia"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124" w:type="pct"/>
            <w:vAlign w:val="center"/>
          </w:tcPr>
          <w:p w14:paraId="6E5D9937">
            <w:pPr>
              <w:pStyle w:val="11"/>
              <w:jc w:val="center"/>
              <w:rPr>
                <w:rFonts w:hint="eastAsia"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1465" w:type="pct"/>
            <w:vAlign w:val="center"/>
          </w:tcPr>
          <w:p w14:paraId="5D44F6BE">
            <w:pPr>
              <w:pStyle w:val="11"/>
              <w:jc w:val="center"/>
              <w:rPr>
                <w:rFonts w:hint="eastAsia" w:cs="Wingdings" w:asciiTheme="minorEastAsia" w:hAnsiTheme="minorEastAsia"/>
                <w:b/>
                <w:color w:val="auto"/>
                <w:sz w:val="24"/>
                <w:highlight w:val="none"/>
              </w:rPr>
            </w:pPr>
            <w:r>
              <w:rPr>
                <w:rFonts w:hint="eastAsia" w:cs="Wingdings" w:asciiTheme="minorEastAsia" w:hAnsiTheme="minorEastAsia"/>
                <w:b/>
                <w:color w:val="auto"/>
                <w:sz w:val="24"/>
                <w:highlight w:val="none"/>
              </w:rPr>
              <w:t>招标文件要求</w:t>
            </w:r>
          </w:p>
        </w:tc>
        <w:tc>
          <w:tcPr>
            <w:tcW w:w="1510" w:type="pct"/>
            <w:vAlign w:val="center"/>
          </w:tcPr>
          <w:p w14:paraId="11DE3AE5">
            <w:pPr>
              <w:pStyle w:val="11"/>
              <w:jc w:val="center"/>
              <w:rPr>
                <w:rFonts w:hint="eastAsia" w:cs="Wingdings" w:asciiTheme="minorEastAsia" w:hAnsiTheme="minorEastAsia"/>
                <w:b/>
                <w:color w:val="auto"/>
                <w:sz w:val="24"/>
                <w:highlight w:val="none"/>
              </w:rPr>
            </w:pPr>
            <w:r>
              <w:rPr>
                <w:rFonts w:hint="eastAsia" w:cs="Wingdings" w:asciiTheme="minorEastAsia" w:hAnsiTheme="minorEastAsia"/>
                <w:b/>
                <w:color w:val="auto"/>
                <w:sz w:val="24"/>
                <w:highlight w:val="none"/>
              </w:rPr>
              <w:t>投标人承诺</w:t>
            </w:r>
          </w:p>
        </w:tc>
        <w:tc>
          <w:tcPr>
            <w:tcW w:w="475" w:type="pct"/>
            <w:vAlign w:val="center"/>
          </w:tcPr>
          <w:p w14:paraId="61A0A2A3">
            <w:pPr>
              <w:pStyle w:val="11"/>
              <w:jc w:val="center"/>
              <w:rPr>
                <w:rFonts w:hint="eastAsia"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6E3CD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539F8939">
            <w:pPr>
              <w:jc w:val="center"/>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124" w:type="pct"/>
            <w:vAlign w:val="center"/>
          </w:tcPr>
          <w:p w14:paraId="7C1AF61C">
            <w:pPr>
              <w:jc w:val="center"/>
              <w:rPr>
                <w:rFonts w:hint="eastAsia" w:ascii="宋体" w:hAnsi="宋体" w:eastAsia="宋体"/>
                <w:color w:val="auto"/>
                <w:sz w:val="24"/>
                <w:highlight w:val="none"/>
              </w:rPr>
            </w:pPr>
            <w:r>
              <w:rPr>
                <w:rFonts w:asciiTheme="minorEastAsia" w:hAnsiTheme="minorEastAsia" w:eastAsiaTheme="minorEastAsia"/>
                <w:color w:val="auto"/>
                <w:sz w:val="24"/>
                <w:highlight w:val="none"/>
              </w:rPr>
              <w:t>付款方式</w:t>
            </w:r>
          </w:p>
        </w:tc>
        <w:tc>
          <w:tcPr>
            <w:tcW w:w="1465" w:type="pct"/>
            <w:vAlign w:val="center"/>
          </w:tcPr>
          <w:p w14:paraId="09F9664D">
            <w:pPr>
              <w:jc w:val="center"/>
              <w:rPr>
                <w:rFonts w:hint="eastAsia" w:asciiTheme="minorEastAsia" w:hAnsiTheme="minorEastAsia" w:eastAsiaTheme="minorEastAsia"/>
                <w:color w:val="auto"/>
                <w:sz w:val="24"/>
                <w:highlight w:val="none"/>
              </w:rPr>
            </w:pPr>
          </w:p>
        </w:tc>
        <w:tc>
          <w:tcPr>
            <w:tcW w:w="1510" w:type="pct"/>
            <w:vAlign w:val="center"/>
          </w:tcPr>
          <w:p w14:paraId="6ED78673">
            <w:pPr>
              <w:jc w:val="center"/>
              <w:rPr>
                <w:rFonts w:hint="eastAsia" w:asciiTheme="minorEastAsia" w:hAnsiTheme="minorEastAsia" w:eastAsiaTheme="minorEastAsia"/>
                <w:color w:val="auto"/>
                <w:sz w:val="24"/>
                <w:highlight w:val="none"/>
              </w:rPr>
            </w:pPr>
          </w:p>
        </w:tc>
        <w:tc>
          <w:tcPr>
            <w:tcW w:w="475" w:type="pct"/>
            <w:vAlign w:val="center"/>
          </w:tcPr>
          <w:p w14:paraId="4090BFB7">
            <w:pPr>
              <w:jc w:val="center"/>
              <w:rPr>
                <w:rFonts w:hint="eastAsia" w:asciiTheme="minorEastAsia" w:hAnsiTheme="minorEastAsia" w:eastAsiaTheme="minorEastAsia"/>
                <w:color w:val="auto"/>
                <w:sz w:val="24"/>
                <w:highlight w:val="none"/>
              </w:rPr>
            </w:pPr>
          </w:p>
        </w:tc>
      </w:tr>
      <w:tr w14:paraId="68DA5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03CFEE93">
            <w:pPr>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124" w:type="pct"/>
            <w:vAlign w:val="center"/>
          </w:tcPr>
          <w:p w14:paraId="2380CFC8">
            <w:pPr>
              <w:jc w:val="center"/>
              <w:rPr>
                <w:rFonts w:hint="eastAsia" w:ascii="宋体" w:hAnsi="宋体" w:eastAsia="宋体"/>
                <w:color w:val="auto"/>
                <w:sz w:val="24"/>
                <w:highlight w:val="none"/>
              </w:rPr>
            </w:pPr>
            <w:r>
              <w:rPr>
                <w:rFonts w:hint="eastAsia" w:ascii="宋体" w:hAnsi="宋体" w:eastAsia="宋体"/>
                <w:color w:val="auto"/>
                <w:sz w:val="24"/>
                <w:highlight w:val="none"/>
              </w:rPr>
              <w:t>供货及安装地点</w:t>
            </w:r>
          </w:p>
        </w:tc>
        <w:tc>
          <w:tcPr>
            <w:tcW w:w="1465" w:type="pct"/>
            <w:vAlign w:val="center"/>
          </w:tcPr>
          <w:p w14:paraId="465346DC">
            <w:pPr>
              <w:jc w:val="center"/>
              <w:rPr>
                <w:rFonts w:hint="eastAsia" w:asciiTheme="minorEastAsia" w:hAnsiTheme="minorEastAsia" w:eastAsiaTheme="minorEastAsia"/>
                <w:color w:val="auto"/>
                <w:sz w:val="24"/>
                <w:highlight w:val="none"/>
              </w:rPr>
            </w:pPr>
          </w:p>
        </w:tc>
        <w:tc>
          <w:tcPr>
            <w:tcW w:w="1510" w:type="pct"/>
            <w:vAlign w:val="center"/>
          </w:tcPr>
          <w:p w14:paraId="3451F342">
            <w:pPr>
              <w:jc w:val="center"/>
              <w:rPr>
                <w:rFonts w:hint="eastAsia" w:asciiTheme="minorEastAsia" w:hAnsiTheme="minorEastAsia" w:eastAsiaTheme="minorEastAsia"/>
                <w:color w:val="auto"/>
                <w:sz w:val="24"/>
                <w:highlight w:val="none"/>
              </w:rPr>
            </w:pPr>
          </w:p>
        </w:tc>
        <w:tc>
          <w:tcPr>
            <w:tcW w:w="475" w:type="pct"/>
            <w:vAlign w:val="center"/>
          </w:tcPr>
          <w:p w14:paraId="4E06C111">
            <w:pPr>
              <w:jc w:val="center"/>
              <w:rPr>
                <w:rFonts w:hint="eastAsia" w:asciiTheme="minorEastAsia" w:hAnsiTheme="minorEastAsia" w:eastAsiaTheme="minorEastAsia"/>
                <w:color w:val="auto"/>
                <w:sz w:val="24"/>
                <w:highlight w:val="none"/>
              </w:rPr>
            </w:pPr>
          </w:p>
        </w:tc>
      </w:tr>
      <w:tr w14:paraId="60487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D160D98">
            <w:pPr>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124" w:type="pct"/>
            <w:vAlign w:val="center"/>
          </w:tcPr>
          <w:p w14:paraId="0BE4F9CA">
            <w:pPr>
              <w:jc w:val="center"/>
              <w:rPr>
                <w:rFonts w:hint="eastAsia" w:ascii="宋体" w:hAnsi="宋体" w:eastAsia="宋体"/>
                <w:color w:val="auto"/>
                <w:sz w:val="24"/>
                <w:highlight w:val="none"/>
              </w:rPr>
            </w:pPr>
            <w:r>
              <w:rPr>
                <w:rFonts w:hint="eastAsia" w:ascii="宋体" w:hAnsi="宋体" w:eastAsia="宋体"/>
                <w:color w:val="auto"/>
                <w:sz w:val="24"/>
                <w:highlight w:val="none"/>
              </w:rPr>
              <w:t>供货及安装期限</w:t>
            </w:r>
          </w:p>
        </w:tc>
        <w:tc>
          <w:tcPr>
            <w:tcW w:w="1465" w:type="pct"/>
            <w:vAlign w:val="center"/>
          </w:tcPr>
          <w:p w14:paraId="13DA4509">
            <w:pPr>
              <w:jc w:val="center"/>
              <w:rPr>
                <w:rFonts w:hint="eastAsia" w:asciiTheme="minorEastAsia" w:hAnsiTheme="minorEastAsia" w:eastAsiaTheme="minorEastAsia"/>
                <w:color w:val="auto"/>
                <w:sz w:val="24"/>
                <w:highlight w:val="none"/>
              </w:rPr>
            </w:pPr>
          </w:p>
        </w:tc>
        <w:tc>
          <w:tcPr>
            <w:tcW w:w="1510" w:type="pct"/>
            <w:vAlign w:val="center"/>
          </w:tcPr>
          <w:p w14:paraId="14884059">
            <w:pPr>
              <w:pStyle w:val="49"/>
              <w:jc w:val="center"/>
              <w:rPr>
                <w:rFonts w:hint="eastAsia" w:asciiTheme="minorEastAsia" w:hAnsiTheme="minorEastAsia" w:eastAsiaTheme="minorEastAsia"/>
                <w:color w:val="auto"/>
                <w:highlight w:val="none"/>
              </w:rPr>
            </w:pPr>
          </w:p>
        </w:tc>
        <w:tc>
          <w:tcPr>
            <w:tcW w:w="475" w:type="pct"/>
            <w:vAlign w:val="center"/>
          </w:tcPr>
          <w:p w14:paraId="637032A7">
            <w:pPr>
              <w:jc w:val="center"/>
              <w:rPr>
                <w:rFonts w:hint="eastAsia" w:asciiTheme="minorEastAsia" w:hAnsiTheme="minorEastAsia" w:eastAsiaTheme="minorEastAsia"/>
                <w:color w:val="auto"/>
                <w:sz w:val="24"/>
                <w:highlight w:val="none"/>
              </w:rPr>
            </w:pPr>
          </w:p>
        </w:tc>
      </w:tr>
      <w:tr w14:paraId="56C15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54F91037">
            <w:pPr>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124" w:type="pct"/>
            <w:vAlign w:val="center"/>
          </w:tcPr>
          <w:p w14:paraId="63516FEB">
            <w:pPr>
              <w:jc w:val="center"/>
              <w:rPr>
                <w:rFonts w:hint="eastAsia" w:ascii="宋体" w:hAnsi="宋体" w:eastAsia="宋体"/>
                <w:color w:val="auto"/>
                <w:sz w:val="24"/>
                <w:highlight w:val="none"/>
              </w:rPr>
            </w:pPr>
            <w:r>
              <w:rPr>
                <w:rFonts w:hint="eastAsia" w:ascii="宋体" w:hAnsi="宋体" w:eastAsia="宋体"/>
                <w:color w:val="auto"/>
                <w:sz w:val="24"/>
                <w:highlight w:val="none"/>
              </w:rPr>
              <w:t>免费质保期</w:t>
            </w:r>
          </w:p>
        </w:tc>
        <w:tc>
          <w:tcPr>
            <w:tcW w:w="1465" w:type="pct"/>
            <w:vAlign w:val="center"/>
          </w:tcPr>
          <w:p w14:paraId="7D93D9B8">
            <w:pPr>
              <w:jc w:val="center"/>
              <w:rPr>
                <w:rFonts w:hint="eastAsia" w:asciiTheme="minorEastAsia" w:hAnsiTheme="minorEastAsia" w:eastAsiaTheme="minorEastAsia"/>
                <w:color w:val="auto"/>
                <w:sz w:val="24"/>
                <w:highlight w:val="none"/>
              </w:rPr>
            </w:pPr>
          </w:p>
        </w:tc>
        <w:tc>
          <w:tcPr>
            <w:tcW w:w="1510" w:type="pct"/>
            <w:vAlign w:val="center"/>
          </w:tcPr>
          <w:p w14:paraId="0E421BCA">
            <w:pPr>
              <w:jc w:val="center"/>
              <w:rPr>
                <w:rFonts w:hint="eastAsia" w:asciiTheme="minorEastAsia" w:hAnsiTheme="minorEastAsia" w:eastAsiaTheme="minorEastAsia"/>
                <w:color w:val="auto"/>
                <w:sz w:val="24"/>
                <w:highlight w:val="none"/>
              </w:rPr>
            </w:pPr>
          </w:p>
        </w:tc>
        <w:tc>
          <w:tcPr>
            <w:tcW w:w="475" w:type="pct"/>
            <w:vAlign w:val="center"/>
          </w:tcPr>
          <w:p w14:paraId="369EF4EE">
            <w:pPr>
              <w:jc w:val="center"/>
              <w:rPr>
                <w:rFonts w:hint="eastAsia" w:asciiTheme="minorEastAsia" w:hAnsiTheme="minorEastAsia" w:eastAsiaTheme="minorEastAsia"/>
                <w:color w:val="auto"/>
                <w:sz w:val="24"/>
                <w:highlight w:val="none"/>
              </w:rPr>
            </w:pPr>
          </w:p>
        </w:tc>
      </w:tr>
      <w:tr w14:paraId="66F5F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48DC8EB4">
            <w:pPr>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1124" w:type="pct"/>
            <w:vAlign w:val="center"/>
          </w:tcPr>
          <w:p w14:paraId="71929B76">
            <w:pPr>
              <w:jc w:val="center"/>
              <w:rPr>
                <w:rFonts w:hint="eastAsia" w:ascii="宋体" w:hAnsi="宋体" w:eastAsia="宋体"/>
                <w:color w:val="auto"/>
                <w:sz w:val="24"/>
                <w:highlight w:val="none"/>
              </w:rPr>
            </w:pPr>
          </w:p>
        </w:tc>
        <w:tc>
          <w:tcPr>
            <w:tcW w:w="1465" w:type="pct"/>
            <w:vAlign w:val="center"/>
          </w:tcPr>
          <w:p w14:paraId="05607E67">
            <w:pPr>
              <w:jc w:val="center"/>
              <w:rPr>
                <w:rFonts w:hint="eastAsia" w:asciiTheme="minorEastAsia" w:hAnsiTheme="minorEastAsia" w:eastAsiaTheme="minorEastAsia"/>
                <w:color w:val="auto"/>
                <w:sz w:val="24"/>
                <w:highlight w:val="none"/>
              </w:rPr>
            </w:pPr>
          </w:p>
        </w:tc>
        <w:tc>
          <w:tcPr>
            <w:tcW w:w="1510" w:type="pct"/>
            <w:vAlign w:val="center"/>
          </w:tcPr>
          <w:p w14:paraId="33130A6B">
            <w:pPr>
              <w:jc w:val="center"/>
              <w:rPr>
                <w:rFonts w:hint="eastAsia" w:asciiTheme="minorEastAsia" w:hAnsiTheme="minorEastAsia" w:eastAsiaTheme="minorEastAsia"/>
                <w:color w:val="auto"/>
                <w:sz w:val="24"/>
                <w:highlight w:val="none"/>
              </w:rPr>
            </w:pPr>
          </w:p>
        </w:tc>
        <w:tc>
          <w:tcPr>
            <w:tcW w:w="475" w:type="pct"/>
            <w:vAlign w:val="center"/>
          </w:tcPr>
          <w:p w14:paraId="22AC22C6">
            <w:pPr>
              <w:jc w:val="center"/>
              <w:rPr>
                <w:rFonts w:hint="eastAsia" w:asciiTheme="minorEastAsia" w:hAnsiTheme="minorEastAsia" w:eastAsiaTheme="minorEastAsia"/>
                <w:color w:val="auto"/>
                <w:sz w:val="24"/>
                <w:highlight w:val="none"/>
              </w:rPr>
            </w:pPr>
          </w:p>
        </w:tc>
      </w:tr>
    </w:tbl>
    <w:p w14:paraId="2FC26D16">
      <w:pPr>
        <w:spacing w:line="360" w:lineRule="auto"/>
        <w:ind w:firstLine="435"/>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rPr>
        <w:t>技术响应表</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700"/>
        <w:gridCol w:w="3121"/>
        <w:gridCol w:w="2705"/>
        <w:gridCol w:w="933"/>
      </w:tblGrid>
      <w:tr w14:paraId="40FC1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6" w:type="pct"/>
            <w:vAlign w:val="center"/>
          </w:tcPr>
          <w:p w14:paraId="00AF40FB">
            <w:pPr>
              <w:pStyle w:val="11"/>
              <w:jc w:val="center"/>
              <w:rPr>
                <w:rFonts w:hint="eastAsia"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915" w:type="pct"/>
            <w:vAlign w:val="center"/>
          </w:tcPr>
          <w:p w14:paraId="2D699A9B">
            <w:pPr>
              <w:pStyle w:val="11"/>
              <w:jc w:val="center"/>
              <w:rPr>
                <w:rFonts w:hint="eastAsia" w:cs="Wingdings" w:asciiTheme="minorEastAsia" w:hAnsiTheme="minorEastAsia"/>
                <w:b/>
                <w:color w:val="auto"/>
                <w:sz w:val="24"/>
                <w:highlight w:val="none"/>
              </w:rPr>
            </w:pPr>
            <w:r>
              <w:rPr>
                <w:rFonts w:hint="eastAsia" w:asciiTheme="minorEastAsia" w:hAnsiTheme="minorEastAsia"/>
                <w:b/>
                <w:bCs/>
                <w:color w:val="auto"/>
                <w:sz w:val="24"/>
                <w:szCs w:val="24"/>
                <w:highlight w:val="none"/>
              </w:rPr>
              <w:t>货物名称</w:t>
            </w:r>
          </w:p>
        </w:tc>
        <w:tc>
          <w:tcPr>
            <w:tcW w:w="1680" w:type="pct"/>
            <w:vAlign w:val="center"/>
          </w:tcPr>
          <w:p w14:paraId="2EA62662">
            <w:pPr>
              <w:pStyle w:val="11"/>
              <w:jc w:val="center"/>
              <w:rPr>
                <w:rFonts w:hint="eastAsia" w:cs="Wingdings" w:asciiTheme="minorEastAsia" w:hAnsiTheme="minorEastAsia"/>
                <w:b/>
                <w:color w:val="auto"/>
                <w:sz w:val="24"/>
                <w:highlight w:val="none"/>
              </w:rPr>
            </w:pPr>
            <w:r>
              <w:rPr>
                <w:rFonts w:hint="eastAsia" w:cs="Wingdings" w:asciiTheme="minorEastAsia" w:hAnsiTheme="minorEastAsia"/>
                <w:b/>
                <w:color w:val="auto"/>
                <w:sz w:val="24"/>
                <w:highlight w:val="none"/>
              </w:rPr>
              <w:t>招标文件规定的技术参数及要求</w:t>
            </w:r>
          </w:p>
        </w:tc>
        <w:tc>
          <w:tcPr>
            <w:tcW w:w="1456" w:type="pct"/>
            <w:vAlign w:val="center"/>
          </w:tcPr>
          <w:p w14:paraId="2D27B6D9">
            <w:pPr>
              <w:pStyle w:val="11"/>
              <w:jc w:val="center"/>
              <w:rPr>
                <w:rFonts w:hint="eastAsia" w:cs="Wingdings" w:asciiTheme="minorEastAsia" w:hAnsiTheme="minorEastAsia"/>
                <w:b/>
                <w:color w:val="auto"/>
                <w:sz w:val="24"/>
                <w:highlight w:val="none"/>
              </w:rPr>
            </w:pPr>
            <w:r>
              <w:rPr>
                <w:rFonts w:hint="eastAsia" w:cs="Wingdings" w:asciiTheme="minorEastAsia" w:hAnsiTheme="minorEastAsia"/>
                <w:b/>
                <w:color w:val="auto"/>
                <w:sz w:val="24"/>
                <w:highlight w:val="none"/>
              </w:rPr>
              <w:t>所投产品的品牌、型号及技术参数</w:t>
            </w:r>
          </w:p>
        </w:tc>
        <w:tc>
          <w:tcPr>
            <w:tcW w:w="502" w:type="pct"/>
            <w:vAlign w:val="center"/>
          </w:tcPr>
          <w:p w14:paraId="776F5A45">
            <w:pPr>
              <w:pStyle w:val="11"/>
              <w:jc w:val="center"/>
              <w:rPr>
                <w:rFonts w:hint="eastAsia"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10E28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755C58FF">
            <w:pPr>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915" w:type="pct"/>
            <w:vAlign w:val="center"/>
          </w:tcPr>
          <w:p w14:paraId="63B3DBD6">
            <w:pPr>
              <w:jc w:val="center"/>
              <w:rPr>
                <w:rFonts w:hint="eastAsia" w:asciiTheme="minorEastAsia" w:hAnsiTheme="minorEastAsia" w:eastAsiaTheme="minorEastAsia"/>
                <w:color w:val="auto"/>
                <w:sz w:val="24"/>
                <w:highlight w:val="none"/>
              </w:rPr>
            </w:pPr>
          </w:p>
        </w:tc>
        <w:tc>
          <w:tcPr>
            <w:tcW w:w="1680" w:type="pct"/>
            <w:vAlign w:val="center"/>
          </w:tcPr>
          <w:p w14:paraId="11B61ECE">
            <w:pPr>
              <w:jc w:val="center"/>
              <w:rPr>
                <w:rFonts w:hint="eastAsia" w:asciiTheme="minorEastAsia" w:hAnsiTheme="minorEastAsia" w:eastAsiaTheme="minorEastAsia"/>
                <w:color w:val="auto"/>
                <w:sz w:val="24"/>
                <w:highlight w:val="none"/>
              </w:rPr>
            </w:pPr>
          </w:p>
        </w:tc>
        <w:tc>
          <w:tcPr>
            <w:tcW w:w="1456" w:type="pct"/>
            <w:vAlign w:val="center"/>
          </w:tcPr>
          <w:p w14:paraId="2A81A73A">
            <w:pPr>
              <w:jc w:val="center"/>
              <w:rPr>
                <w:rFonts w:hint="eastAsia" w:asciiTheme="minorEastAsia" w:hAnsiTheme="minorEastAsia" w:eastAsiaTheme="minorEastAsia"/>
                <w:color w:val="auto"/>
                <w:sz w:val="24"/>
                <w:highlight w:val="none"/>
              </w:rPr>
            </w:pPr>
          </w:p>
        </w:tc>
        <w:tc>
          <w:tcPr>
            <w:tcW w:w="502" w:type="pct"/>
            <w:vAlign w:val="center"/>
          </w:tcPr>
          <w:p w14:paraId="62BD3450">
            <w:pPr>
              <w:jc w:val="center"/>
              <w:rPr>
                <w:rFonts w:hint="eastAsia" w:asciiTheme="minorEastAsia" w:hAnsiTheme="minorEastAsia" w:eastAsiaTheme="minorEastAsia"/>
                <w:color w:val="auto"/>
                <w:sz w:val="24"/>
                <w:highlight w:val="none"/>
              </w:rPr>
            </w:pPr>
          </w:p>
        </w:tc>
      </w:tr>
      <w:tr w14:paraId="73792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3A8AF829">
            <w:pPr>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915" w:type="pct"/>
            <w:vAlign w:val="center"/>
          </w:tcPr>
          <w:p w14:paraId="29AD169B">
            <w:pPr>
              <w:jc w:val="center"/>
              <w:rPr>
                <w:rFonts w:hint="eastAsia" w:asciiTheme="minorEastAsia" w:hAnsiTheme="minorEastAsia" w:eastAsiaTheme="minorEastAsia"/>
                <w:color w:val="auto"/>
                <w:sz w:val="24"/>
                <w:highlight w:val="none"/>
              </w:rPr>
            </w:pPr>
          </w:p>
        </w:tc>
        <w:tc>
          <w:tcPr>
            <w:tcW w:w="1680" w:type="pct"/>
            <w:vAlign w:val="center"/>
          </w:tcPr>
          <w:p w14:paraId="2DED9E84">
            <w:pPr>
              <w:jc w:val="center"/>
              <w:rPr>
                <w:rFonts w:hint="eastAsia" w:asciiTheme="minorEastAsia" w:hAnsiTheme="minorEastAsia" w:eastAsiaTheme="minorEastAsia"/>
                <w:color w:val="auto"/>
                <w:sz w:val="24"/>
                <w:highlight w:val="none"/>
              </w:rPr>
            </w:pPr>
          </w:p>
        </w:tc>
        <w:tc>
          <w:tcPr>
            <w:tcW w:w="1456" w:type="pct"/>
            <w:vAlign w:val="center"/>
          </w:tcPr>
          <w:p w14:paraId="411F3E68">
            <w:pPr>
              <w:jc w:val="center"/>
              <w:rPr>
                <w:rFonts w:hint="eastAsia" w:asciiTheme="minorEastAsia" w:hAnsiTheme="minorEastAsia" w:eastAsiaTheme="minorEastAsia"/>
                <w:color w:val="auto"/>
                <w:sz w:val="24"/>
                <w:highlight w:val="none"/>
              </w:rPr>
            </w:pPr>
          </w:p>
        </w:tc>
        <w:tc>
          <w:tcPr>
            <w:tcW w:w="502" w:type="pct"/>
            <w:vAlign w:val="center"/>
          </w:tcPr>
          <w:p w14:paraId="23169102">
            <w:pPr>
              <w:jc w:val="center"/>
              <w:rPr>
                <w:rFonts w:hint="eastAsia" w:asciiTheme="minorEastAsia" w:hAnsiTheme="minorEastAsia" w:eastAsiaTheme="minorEastAsia"/>
                <w:color w:val="auto"/>
                <w:sz w:val="24"/>
                <w:highlight w:val="none"/>
              </w:rPr>
            </w:pPr>
          </w:p>
        </w:tc>
      </w:tr>
      <w:tr w14:paraId="566E0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05C3CBB0">
            <w:pPr>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915" w:type="pct"/>
            <w:vAlign w:val="center"/>
          </w:tcPr>
          <w:p w14:paraId="401040E0">
            <w:pPr>
              <w:jc w:val="center"/>
              <w:rPr>
                <w:rFonts w:hint="eastAsia" w:asciiTheme="minorEastAsia" w:hAnsiTheme="minorEastAsia" w:eastAsiaTheme="minorEastAsia"/>
                <w:color w:val="auto"/>
                <w:sz w:val="24"/>
                <w:highlight w:val="none"/>
              </w:rPr>
            </w:pPr>
          </w:p>
        </w:tc>
        <w:tc>
          <w:tcPr>
            <w:tcW w:w="1680" w:type="pct"/>
            <w:vAlign w:val="center"/>
          </w:tcPr>
          <w:p w14:paraId="410FA5A0">
            <w:pPr>
              <w:jc w:val="center"/>
              <w:rPr>
                <w:rFonts w:hint="eastAsia" w:asciiTheme="minorEastAsia" w:hAnsiTheme="minorEastAsia" w:eastAsiaTheme="minorEastAsia"/>
                <w:color w:val="auto"/>
                <w:sz w:val="24"/>
                <w:highlight w:val="none"/>
              </w:rPr>
            </w:pPr>
          </w:p>
        </w:tc>
        <w:tc>
          <w:tcPr>
            <w:tcW w:w="1456" w:type="pct"/>
            <w:vAlign w:val="center"/>
          </w:tcPr>
          <w:p w14:paraId="79158BE1">
            <w:pPr>
              <w:pStyle w:val="49"/>
              <w:jc w:val="center"/>
              <w:rPr>
                <w:rFonts w:hint="eastAsia" w:asciiTheme="minorEastAsia" w:hAnsiTheme="minorEastAsia" w:eastAsiaTheme="minorEastAsia"/>
                <w:color w:val="auto"/>
                <w:highlight w:val="none"/>
              </w:rPr>
            </w:pPr>
          </w:p>
        </w:tc>
        <w:tc>
          <w:tcPr>
            <w:tcW w:w="502" w:type="pct"/>
            <w:vAlign w:val="center"/>
          </w:tcPr>
          <w:p w14:paraId="51CD182D">
            <w:pPr>
              <w:jc w:val="center"/>
              <w:rPr>
                <w:rFonts w:hint="eastAsia" w:asciiTheme="minorEastAsia" w:hAnsiTheme="minorEastAsia" w:eastAsiaTheme="minorEastAsia"/>
                <w:color w:val="auto"/>
                <w:sz w:val="24"/>
                <w:highlight w:val="none"/>
              </w:rPr>
            </w:pPr>
          </w:p>
        </w:tc>
      </w:tr>
      <w:tr w14:paraId="5E611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22740B3D">
            <w:pPr>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915" w:type="pct"/>
            <w:vAlign w:val="center"/>
          </w:tcPr>
          <w:p w14:paraId="0ECA98CD">
            <w:pPr>
              <w:jc w:val="center"/>
              <w:rPr>
                <w:rFonts w:hint="eastAsia" w:asciiTheme="minorEastAsia" w:hAnsiTheme="minorEastAsia" w:eastAsiaTheme="minorEastAsia"/>
                <w:color w:val="auto"/>
                <w:sz w:val="24"/>
                <w:highlight w:val="none"/>
              </w:rPr>
            </w:pPr>
          </w:p>
        </w:tc>
        <w:tc>
          <w:tcPr>
            <w:tcW w:w="1680" w:type="pct"/>
            <w:vAlign w:val="center"/>
          </w:tcPr>
          <w:p w14:paraId="4235117A">
            <w:pPr>
              <w:jc w:val="center"/>
              <w:rPr>
                <w:rFonts w:hint="eastAsia" w:asciiTheme="minorEastAsia" w:hAnsiTheme="minorEastAsia" w:eastAsiaTheme="minorEastAsia"/>
                <w:color w:val="auto"/>
                <w:sz w:val="24"/>
                <w:highlight w:val="none"/>
              </w:rPr>
            </w:pPr>
          </w:p>
        </w:tc>
        <w:tc>
          <w:tcPr>
            <w:tcW w:w="1456" w:type="pct"/>
            <w:vAlign w:val="center"/>
          </w:tcPr>
          <w:p w14:paraId="5A9E69F4">
            <w:pPr>
              <w:pStyle w:val="49"/>
              <w:jc w:val="center"/>
              <w:rPr>
                <w:rFonts w:hint="eastAsia" w:asciiTheme="minorEastAsia" w:hAnsiTheme="minorEastAsia" w:eastAsiaTheme="minorEastAsia"/>
                <w:color w:val="auto"/>
                <w:highlight w:val="none"/>
              </w:rPr>
            </w:pPr>
          </w:p>
        </w:tc>
        <w:tc>
          <w:tcPr>
            <w:tcW w:w="502" w:type="pct"/>
            <w:vAlign w:val="center"/>
          </w:tcPr>
          <w:p w14:paraId="62CE2BB3">
            <w:pPr>
              <w:jc w:val="center"/>
              <w:rPr>
                <w:rFonts w:hint="eastAsia" w:asciiTheme="minorEastAsia" w:hAnsiTheme="minorEastAsia" w:eastAsiaTheme="minorEastAsia"/>
                <w:color w:val="auto"/>
                <w:sz w:val="24"/>
                <w:highlight w:val="none"/>
              </w:rPr>
            </w:pPr>
          </w:p>
        </w:tc>
      </w:tr>
      <w:tr w14:paraId="23AFD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478674A8">
            <w:pPr>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915" w:type="pct"/>
            <w:vAlign w:val="center"/>
          </w:tcPr>
          <w:p w14:paraId="1AEF0F50">
            <w:pPr>
              <w:jc w:val="center"/>
              <w:rPr>
                <w:rFonts w:hint="eastAsia" w:asciiTheme="minorEastAsia" w:hAnsiTheme="minorEastAsia" w:eastAsiaTheme="minorEastAsia"/>
                <w:color w:val="auto"/>
                <w:sz w:val="24"/>
                <w:highlight w:val="none"/>
              </w:rPr>
            </w:pPr>
          </w:p>
        </w:tc>
        <w:tc>
          <w:tcPr>
            <w:tcW w:w="1680" w:type="pct"/>
            <w:vAlign w:val="center"/>
          </w:tcPr>
          <w:p w14:paraId="6E85071B">
            <w:pPr>
              <w:jc w:val="center"/>
              <w:rPr>
                <w:rFonts w:hint="eastAsia" w:asciiTheme="minorEastAsia" w:hAnsiTheme="minorEastAsia" w:eastAsiaTheme="minorEastAsia"/>
                <w:color w:val="auto"/>
                <w:sz w:val="24"/>
                <w:highlight w:val="none"/>
              </w:rPr>
            </w:pPr>
          </w:p>
        </w:tc>
        <w:tc>
          <w:tcPr>
            <w:tcW w:w="1456" w:type="pct"/>
            <w:vAlign w:val="center"/>
          </w:tcPr>
          <w:p w14:paraId="2F6648C5">
            <w:pPr>
              <w:jc w:val="center"/>
              <w:rPr>
                <w:rFonts w:hint="eastAsia" w:asciiTheme="minorEastAsia" w:hAnsiTheme="minorEastAsia" w:eastAsiaTheme="minorEastAsia"/>
                <w:color w:val="auto"/>
                <w:sz w:val="24"/>
                <w:highlight w:val="none"/>
              </w:rPr>
            </w:pPr>
          </w:p>
        </w:tc>
        <w:tc>
          <w:tcPr>
            <w:tcW w:w="502" w:type="pct"/>
            <w:vAlign w:val="center"/>
          </w:tcPr>
          <w:p w14:paraId="22E3CC90">
            <w:pPr>
              <w:jc w:val="center"/>
              <w:rPr>
                <w:rFonts w:hint="eastAsia" w:asciiTheme="minorEastAsia" w:hAnsiTheme="minorEastAsia" w:eastAsiaTheme="minorEastAsia"/>
                <w:color w:val="auto"/>
                <w:sz w:val="24"/>
                <w:highlight w:val="none"/>
              </w:rPr>
            </w:pPr>
          </w:p>
        </w:tc>
      </w:tr>
    </w:tbl>
    <w:p w14:paraId="25FDEC34">
      <w:pPr>
        <w:spacing w:line="360" w:lineRule="auto"/>
        <w:ind w:firstLine="4800" w:firstLineChars="2000"/>
        <w:rPr>
          <w:rFonts w:hint="eastAsia"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p>
    <w:p w14:paraId="4A6B6792">
      <w:pPr>
        <w:spacing w:line="360" w:lineRule="auto"/>
        <w:ind w:firstLine="4800" w:firstLineChars="2000"/>
        <w:rPr>
          <w:rFonts w:hint="eastAsia"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180D7F4F">
      <w:pPr>
        <w:pStyle w:val="12"/>
        <w:spacing w:line="360" w:lineRule="auto"/>
        <w:rPr>
          <w:rFonts w:hint="eastAsia" w:asciiTheme="minorEastAsia" w:hAnsiTheme="minorEastAsia" w:eastAsiaTheme="minorEastAsia"/>
          <w:b w:val="0"/>
          <w:color w:val="auto"/>
          <w:sz w:val="24"/>
          <w:highlight w:val="none"/>
        </w:rPr>
      </w:pPr>
      <w:r>
        <w:rPr>
          <w:rFonts w:asciiTheme="minorEastAsia" w:hAnsiTheme="minorEastAsia" w:eastAsiaTheme="minorEastAsia"/>
          <w:b w:val="0"/>
          <w:color w:val="auto"/>
          <w:sz w:val="24"/>
          <w:highlight w:val="none"/>
        </w:rPr>
        <w:br w:type="page"/>
      </w:r>
    </w:p>
    <w:p w14:paraId="06F065E8">
      <w:pPr>
        <w:spacing w:line="360" w:lineRule="auto"/>
        <w:ind w:firstLine="435"/>
        <w:jc w:val="center"/>
        <w:rPr>
          <w:rFonts w:hint="eastAsia" w:asciiTheme="minorEastAsia" w:hAnsiTheme="minorEastAsia" w:eastAsiaTheme="minorEastAsia"/>
          <w:b/>
          <w:color w:val="auto"/>
          <w:sz w:val="24"/>
          <w:highlight w:val="none"/>
        </w:rPr>
      </w:pPr>
      <w:bookmarkStart w:id="70" w:name="_Toc11380"/>
      <w:r>
        <w:rPr>
          <w:rFonts w:hint="eastAsia" w:asciiTheme="minorEastAsia" w:hAnsiTheme="minorEastAsia" w:eastAsiaTheme="minorEastAsia"/>
          <w:b/>
          <w:color w:val="auto"/>
          <w:sz w:val="24"/>
          <w:highlight w:val="none"/>
        </w:rPr>
        <w:t>七、</w:t>
      </w:r>
      <w:bookmarkEnd w:id="70"/>
      <w:bookmarkStart w:id="71" w:name="_Toc9573"/>
      <w:bookmarkStart w:id="72" w:name="_Toc31244"/>
      <w:bookmarkStart w:id="73" w:name="OLE_LINK14"/>
      <w:bookmarkStart w:id="74" w:name="OLE_LINK13"/>
      <w:r>
        <w:rPr>
          <w:rFonts w:hint="eastAsia" w:asciiTheme="minorEastAsia" w:hAnsiTheme="minorEastAsia" w:eastAsiaTheme="minorEastAsia"/>
          <w:b/>
          <w:color w:val="auto"/>
          <w:sz w:val="24"/>
          <w:highlight w:val="none"/>
        </w:rPr>
        <w:t>中小企业声明函</w:t>
      </w:r>
      <w:bookmarkEnd w:id="71"/>
      <w:bookmarkEnd w:id="72"/>
    </w:p>
    <w:p w14:paraId="745ACDA4">
      <w:pPr>
        <w:pStyle w:val="8"/>
        <w:spacing w:line="360" w:lineRule="auto"/>
        <w:jc w:val="center"/>
        <w:rPr>
          <w:rFonts w:hint="eastAsia" w:ascii="宋体" w:hAnsi="宋体" w:eastAsia="宋体"/>
          <w:i/>
          <w:color w:val="auto"/>
          <w:sz w:val="24"/>
          <w:highlight w:val="none"/>
          <w:lang w:val="en-US"/>
        </w:rPr>
      </w:pPr>
      <w:r>
        <w:rPr>
          <w:rFonts w:hint="eastAsia" w:ascii="宋体" w:hAnsi="宋体" w:eastAsia="宋体"/>
          <w:i/>
          <w:color w:val="auto"/>
          <w:sz w:val="24"/>
          <w:highlight w:val="none"/>
          <w:lang w:val="en-US"/>
        </w:rPr>
        <w:t>（</w:t>
      </w:r>
      <w:r>
        <w:rPr>
          <w:rFonts w:hint="eastAsia" w:ascii="宋体" w:hAnsi="宋体" w:eastAsia="宋体"/>
          <w:i/>
          <w:color w:val="auto"/>
          <w:sz w:val="24"/>
          <w:highlight w:val="none"/>
        </w:rPr>
        <w:t>非中小企业投标</w:t>
      </w:r>
      <w:r>
        <w:rPr>
          <w:rFonts w:hint="eastAsia" w:ascii="宋体" w:hAnsi="宋体" w:eastAsia="宋体"/>
          <w:i/>
          <w:color w:val="auto"/>
          <w:sz w:val="24"/>
          <w:highlight w:val="none"/>
          <w:lang w:val="en-US"/>
        </w:rPr>
        <w:t>，不需此件，请删去“中小企业声明函”）</w:t>
      </w:r>
    </w:p>
    <w:p w14:paraId="7313C946">
      <w:pPr>
        <w:rPr>
          <w:rFonts w:hint="eastAsia" w:asciiTheme="minorEastAsia" w:hAnsiTheme="minorEastAsia" w:eastAsiaTheme="minorEastAsia"/>
          <w:color w:val="auto"/>
          <w:sz w:val="24"/>
          <w:szCs w:val="24"/>
          <w:highlight w:val="none"/>
        </w:rPr>
      </w:pPr>
    </w:p>
    <w:p w14:paraId="1FAB130D">
      <w:pPr>
        <w:spacing w:line="360" w:lineRule="auto"/>
        <w:ind w:firstLine="435"/>
        <w:rPr>
          <w:rFonts w:hint="eastAsia"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本公司（联合体）郑重声明，根据《政府采购促进中小企业发展管理办法》（财库﹝2020﹞46号）的规定，本公司（联合体）参加（</w:t>
      </w:r>
      <w:r>
        <w:rPr>
          <w:rFonts w:hint="eastAsia" w:ascii="宋体" w:hAnsi="宋体" w:eastAsia="宋体"/>
          <w:color w:val="auto"/>
          <w:sz w:val="24"/>
          <w:szCs w:val="24"/>
          <w:highlight w:val="none"/>
          <w:u w:val="single"/>
          <w:lang w:val="zh-CN"/>
        </w:rPr>
        <w:t>单位</w:t>
      </w:r>
      <w:r>
        <w:rPr>
          <w:rFonts w:hint="eastAsia" w:ascii="宋体" w:hAnsi="宋体" w:eastAsia="宋体"/>
          <w:color w:val="auto"/>
          <w:sz w:val="24"/>
          <w:szCs w:val="24"/>
          <w:highlight w:val="none"/>
          <w:u w:val="single"/>
        </w:rPr>
        <w:t>名称</w:t>
      </w:r>
      <w:r>
        <w:rPr>
          <w:rFonts w:hint="eastAsia" w:ascii="宋体" w:hAnsi="宋体" w:eastAsia="宋体"/>
          <w:color w:val="auto"/>
          <w:sz w:val="24"/>
          <w:szCs w:val="24"/>
          <w:highlight w:val="none"/>
          <w:lang w:val="zh-CN"/>
        </w:rPr>
        <w:t>）的（</w:t>
      </w:r>
      <w:r>
        <w:rPr>
          <w:rFonts w:hint="eastAsia" w:ascii="宋体" w:hAnsi="宋体" w:eastAsia="宋体"/>
          <w:color w:val="auto"/>
          <w:sz w:val="24"/>
          <w:szCs w:val="24"/>
          <w:highlight w:val="none"/>
          <w:u w:val="single"/>
          <w:lang w:val="zh-CN"/>
        </w:rPr>
        <w:t>项目</w:t>
      </w:r>
      <w:r>
        <w:rPr>
          <w:rFonts w:hint="eastAsia" w:ascii="宋体" w:hAnsi="宋体" w:eastAsia="宋体"/>
          <w:color w:val="auto"/>
          <w:sz w:val="24"/>
          <w:szCs w:val="24"/>
          <w:highlight w:val="none"/>
          <w:u w:val="single"/>
        </w:rPr>
        <w:t>名称</w:t>
      </w:r>
      <w:r>
        <w:rPr>
          <w:rFonts w:hint="eastAsia" w:ascii="宋体" w:hAnsi="宋体" w:eastAsia="宋体"/>
          <w:color w:val="auto"/>
          <w:sz w:val="24"/>
          <w:szCs w:val="24"/>
          <w:highlight w:val="none"/>
          <w:lang w:val="zh-CN"/>
        </w:rPr>
        <w:t xml:space="preserve">）采购活动，提供的货物全部由符合政策要求的中小企业制造。相关企业（含联合体中的中小企业、签订分包意向协议的中小企业）的具体情况如下： </w:t>
      </w:r>
    </w:p>
    <w:p w14:paraId="16ADC880">
      <w:pPr>
        <w:spacing w:line="360" w:lineRule="auto"/>
        <w:ind w:firstLine="435"/>
        <w:rPr>
          <w:rFonts w:hint="eastAsia"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1.</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行业；制造商为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3DB835B6">
      <w:pPr>
        <w:spacing w:line="360" w:lineRule="auto"/>
        <w:ind w:firstLine="435"/>
        <w:rPr>
          <w:rFonts w:hint="eastAsia"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2.</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行业；制造商为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6959F9A2">
      <w:pPr>
        <w:spacing w:line="360" w:lineRule="auto"/>
        <w:ind w:firstLine="435"/>
        <w:rPr>
          <w:rFonts w:hint="eastAsia"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w:t>
      </w:r>
    </w:p>
    <w:p w14:paraId="7D550789">
      <w:pPr>
        <w:spacing w:line="360" w:lineRule="auto"/>
        <w:ind w:firstLine="435"/>
        <w:rPr>
          <w:rFonts w:hint="eastAsia"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以上企业，不属于大企业的分支机构，不存在控股股东为大企业的情形，也不存在与大企业的负责人为同一人的情形。</w:t>
      </w:r>
    </w:p>
    <w:p w14:paraId="43B63DEA">
      <w:pPr>
        <w:spacing w:line="360" w:lineRule="auto"/>
        <w:ind w:firstLine="435"/>
        <w:rPr>
          <w:rFonts w:hint="eastAsia"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 xml:space="preserve">本企业对上述声明内容的真实性负责。如有虚假，将依法承担相应责任。 </w:t>
      </w:r>
    </w:p>
    <w:p w14:paraId="09DFE9DA">
      <w:pPr>
        <w:spacing w:line="360" w:lineRule="auto"/>
        <w:ind w:firstLine="4228" w:firstLineChars="1762"/>
        <w:rPr>
          <w:rFonts w:hint="eastAsia"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投标人</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720145CC">
      <w:pPr>
        <w:tabs>
          <w:tab w:val="left" w:pos="4620"/>
        </w:tabs>
        <w:spacing w:line="360" w:lineRule="auto"/>
        <w:ind w:firstLine="4252" w:firstLineChars="1772"/>
        <w:rPr>
          <w:rFonts w:hint="eastAsia"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6CAD3A32">
      <w:pPr>
        <w:tabs>
          <w:tab w:val="left" w:pos="4620"/>
        </w:tabs>
        <w:spacing w:line="360" w:lineRule="auto"/>
        <w:jc w:val="left"/>
        <w:rPr>
          <w:rFonts w:hint="eastAsia" w:asciiTheme="minorEastAsia" w:hAnsiTheme="minorEastAsia" w:eastAsiaTheme="minorEastAsia"/>
          <w:color w:val="auto"/>
          <w:sz w:val="24"/>
          <w:szCs w:val="24"/>
          <w:highlight w:val="none"/>
        </w:rPr>
      </w:pPr>
    </w:p>
    <w:p w14:paraId="263D840E">
      <w:pPr>
        <w:keepNext w:val="0"/>
        <w:keepLines w:val="0"/>
        <w:pageBreakBefore w:val="0"/>
        <w:widowControl w:val="0"/>
        <w:tabs>
          <w:tab w:val="left" w:pos="4620"/>
        </w:tabs>
        <w:kinsoku/>
        <w:wordWrap w:val="0"/>
        <w:overflowPunct/>
        <w:topLinePunct w:val="0"/>
        <w:autoSpaceDE/>
        <w:autoSpaceDN/>
        <w:bidi w:val="0"/>
        <w:adjustRightInd/>
        <w:snapToGrid/>
        <w:spacing w:line="360" w:lineRule="exact"/>
        <w:jc w:val="left"/>
        <w:textAlignment w:val="auto"/>
        <w:rPr>
          <w:rFonts w:hint="eastAsia"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注：</w:t>
      </w:r>
    </w:p>
    <w:p w14:paraId="38031744">
      <w:pPr>
        <w:keepNext w:val="0"/>
        <w:keepLines w:val="0"/>
        <w:pageBreakBefore w:val="0"/>
        <w:widowControl w:val="0"/>
        <w:tabs>
          <w:tab w:val="left" w:pos="4620"/>
        </w:tabs>
        <w:kinsoku/>
        <w:wordWrap w:val="0"/>
        <w:overflowPunct/>
        <w:topLinePunct w:val="0"/>
        <w:autoSpaceDE/>
        <w:autoSpaceDN/>
        <w:bidi w:val="0"/>
        <w:adjustRightInd/>
        <w:snapToGrid/>
        <w:spacing w:line="360" w:lineRule="exact"/>
        <w:jc w:val="left"/>
        <w:textAlignment w:val="auto"/>
        <w:rPr>
          <w:rFonts w:hint="eastAsia"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1.从业人员、营业收入、资产总额填报上一年数据，无上一年数据的新成立企业可不填报。</w:t>
      </w:r>
    </w:p>
    <w:p w14:paraId="00109325">
      <w:pPr>
        <w:keepNext w:val="0"/>
        <w:keepLines w:val="0"/>
        <w:pageBreakBefore w:val="0"/>
        <w:widowControl w:val="0"/>
        <w:tabs>
          <w:tab w:val="left" w:pos="4620"/>
        </w:tabs>
        <w:kinsoku/>
        <w:wordWrap w:val="0"/>
        <w:overflowPunct/>
        <w:topLinePunct w:val="0"/>
        <w:autoSpaceDE/>
        <w:autoSpaceDN/>
        <w:bidi w:val="0"/>
        <w:adjustRightInd/>
        <w:snapToGrid/>
        <w:spacing w:line="360" w:lineRule="exact"/>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2.投标人应根据《政府采购促进中小企业发展管理办法》（财库﹝2020﹞46号）和《关于印发中小企业划型标准规定的通知》(工信部联企业〔2011〕300号)相关规定，如实填写中小企业声明函。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color w:val="auto"/>
          <w:szCs w:val="21"/>
          <w:highlight w:val="none"/>
          <w:lang w:val="zh-CN"/>
        </w:rPr>
        <w:t>如有虚假，将依法承担相应责任。</w:t>
      </w:r>
      <w:r>
        <w:rPr>
          <w:rFonts w:hint="eastAsia" w:ascii="宋体" w:hAnsi="宋体" w:eastAsia="宋体" w:cs="宋体"/>
          <w:b/>
          <w:bCs/>
          <w:color w:val="auto"/>
          <w:szCs w:val="21"/>
          <w:highlight w:val="none"/>
        </w:rPr>
        <w:t>投标人自行登录工业和信息化部官网进行中小企业规模类型自测（查询网址https://www.miit.gov.cn/）。</w:t>
      </w:r>
    </w:p>
    <w:p w14:paraId="6555554D">
      <w:pPr>
        <w:keepNext w:val="0"/>
        <w:keepLines w:val="0"/>
        <w:pageBreakBefore w:val="0"/>
        <w:widowControl w:val="0"/>
        <w:tabs>
          <w:tab w:val="left" w:pos="4620"/>
        </w:tabs>
        <w:kinsoku/>
        <w:wordWrap w:val="0"/>
        <w:overflowPunct/>
        <w:topLinePunct w:val="0"/>
        <w:autoSpaceDE/>
        <w:autoSpaceDN/>
        <w:bidi w:val="0"/>
        <w:adjustRightInd/>
        <w:snapToGrid/>
        <w:spacing w:line="360" w:lineRule="exact"/>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3.上述“</w:t>
      </w:r>
      <w:r>
        <w:rPr>
          <w:rFonts w:hint="eastAsia" w:ascii="宋体" w:hAnsi="宋体" w:eastAsia="宋体" w:cs="宋体"/>
          <w:b/>
          <w:bCs/>
          <w:color w:val="auto"/>
          <w:szCs w:val="21"/>
          <w:highlight w:val="none"/>
          <w:u w:val="single"/>
          <w:lang w:val="zh-CN"/>
        </w:rPr>
        <w:t>标的名称</w:t>
      </w:r>
      <w:r>
        <w:rPr>
          <w:rFonts w:hint="eastAsia" w:ascii="宋体" w:hAnsi="宋体" w:eastAsia="宋体" w:cs="宋体"/>
          <w:b/>
          <w:bCs/>
          <w:color w:val="auto"/>
          <w:szCs w:val="21"/>
          <w:highlight w:val="none"/>
        </w:rPr>
        <w:t>”，详见第三章采购需求中明确的“货物名称”。</w:t>
      </w:r>
    </w:p>
    <w:p w14:paraId="58B10A9D">
      <w:pPr>
        <w:keepNext w:val="0"/>
        <w:keepLines w:val="0"/>
        <w:pageBreakBefore w:val="0"/>
        <w:widowControl w:val="0"/>
        <w:tabs>
          <w:tab w:val="left" w:pos="4620"/>
        </w:tabs>
        <w:kinsoku/>
        <w:wordWrap w:val="0"/>
        <w:overflowPunct/>
        <w:topLinePunct w:val="0"/>
        <w:autoSpaceDE/>
        <w:autoSpaceDN/>
        <w:bidi w:val="0"/>
        <w:adjustRightInd/>
        <w:snapToGrid/>
        <w:spacing w:line="360" w:lineRule="exact"/>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4.上述“</w:t>
      </w:r>
      <w:r>
        <w:rPr>
          <w:rFonts w:hint="eastAsia" w:ascii="宋体" w:hAnsi="宋体" w:eastAsia="宋体" w:cs="宋体"/>
          <w:b/>
          <w:bCs/>
          <w:color w:val="auto"/>
          <w:szCs w:val="21"/>
          <w:highlight w:val="none"/>
          <w:u w:val="single"/>
        </w:rPr>
        <w:t>采购文件中明确的所属行业</w:t>
      </w:r>
      <w:r>
        <w:rPr>
          <w:rFonts w:hint="eastAsia" w:ascii="宋体" w:hAnsi="宋体" w:eastAsia="宋体" w:cs="宋体"/>
          <w:b/>
          <w:bCs/>
          <w:color w:val="auto"/>
          <w:szCs w:val="21"/>
          <w:highlight w:val="none"/>
        </w:rPr>
        <w:t>”，详见第三章采购需求中明确的“所属行业”。</w:t>
      </w:r>
    </w:p>
    <w:p w14:paraId="7798627F">
      <w:pPr>
        <w:keepNext w:val="0"/>
        <w:keepLines w:val="0"/>
        <w:pageBreakBefore w:val="0"/>
        <w:widowControl w:val="0"/>
        <w:tabs>
          <w:tab w:val="left" w:pos="4620"/>
        </w:tabs>
        <w:kinsoku/>
        <w:wordWrap w:val="0"/>
        <w:overflowPunct/>
        <w:topLinePunct w:val="0"/>
        <w:autoSpaceDE/>
        <w:autoSpaceDN/>
        <w:bidi w:val="0"/>
        <w:adjustRightInd/>
        <w:snapToGrid/>
        <w:spacing w:line="360" w:lineRule="exact"/>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5．填写示例：</w:t>
      </w:r>
      <w:r>
        <w:rPr>
          <w:rFonts w:hint="eastAsia" w:ascii="宋体" w:hAnsi="宋体" w:eastAsia="宋体" w:cs="宋体"/>
          <w:b/>
          <w:bCs/>
          <w:color w:val="auto"/>
          <w:szCs w:val="21"/>
          <w:highlight w:val="none"/>
          <w:u w:val="single"/>
          <w:lang w:val="zh-CN"/>
        </w:rPr>
        <w:t>某设备</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u w:val="single"/>
        </w:rPr>
        <w:t>（填写第三章采购需求中对应货物的“所属行业”，如工业）</w:t>
      </w:r>
      <w:r>
        <w:rPr>
          <w:rFonts w:hint="eastAsia" w:ascii="宋体" w:hAnsi="宋体" w:eastAsia="宋体" w:cs="宋体"/>
          <w:b/>
          <w:bCs/>
          <w:color w:val="auto"/>
          <w:szCs w:val="21"/>
          <w:highlight w:val="none"/>
          <w:lang w:val="zh-CN"/>
        </w:rPr>
        <w:t>行业</w:t>
      </w:r>
      <w:r>
        <w:rPr>
          <w:rFonts w:hint="eastAsia" w:ascii="宋体" w:hAnsi="宋体" w:eastAsia="宋体" w:cs="宋体"/>
          <w:b/>
          <w:bCs/>
          <w:color w:val="auto"/>
          <w:szCs w:val="21"/>
          <w:highlight w:val="none"/>
        </w:rPr>
        <w:t>；制造</w:t>
      </w:r>
      <w:r>
        <w:rPr>
          <w:rFonts w:hint="eastAsia" w:ascii="宋体" w:hAnsi="宋体" w:eastAsia="宋体" w:cs="宋体"/>
          <w:b/>
          <w:bCs/>
          <w:color w:val="auto"/>
          <w:szCs w:val="21"/>
          <w:highlight w:val="none"/>
          <w:lang w:val="zh-CN"/>
        </w:rPr>
        <w:t>企业为</w:t>
      </w:r>
      <w:r>
        <w:rPr>
          <w:rFonts w:hint="eastAsia" w:ascii="宋体" w:hAnsi="宋体" w:eastAsia="宋体" w:cs="宋体"/>
          <w:b/>
          <w:bCs/>
          <w:color w:val="auto"/>
          <w:szCs w:val="21"/>
          <w:highlight w:val="none"/>
          <w:u w:val="single"/>
          <w:lang w:val="zh-CN"/>
        </w:rPr>
        <w:t>某</w:t>
      </w:r>
      <w:r>
        <w:rPr>
          <w:rFonts w:hint="eastAsia" w:ascii="宋体" w:hAnsi="宋体" w:eastAsia="宋体" w:cs="宋体"/>
          <w:b/>
          <w:bCs/>
          <w:color w:val="auto"/>
          <w:szCs w:val="21"/>
          <w:highlight w:val="none"/>
          <w:u w:val="single"/>
        </w:rPr>
        <w:t>企业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从业人员</w:t>
      </w:r>
      <w:r>
        <w:rPr>
          <w:rFonts w:hint="eastAsia" w:ascii="宋体" w:hAnsi="宋体" w:eastAsia="宋体" w:cs="宋体"/>
          <w:b/>
          <w:bCs/>
          <w:color w:val="auto"/>
          <w:szCs w:val="21"/>
          <w:highlight w:val="none"/>
          <w:u w:val="single"/>
        </w:rPr>
        <w:t>100</w:t>
      </w:r>
      <w:r>
        <w:rPr>
          <w:rFonts w:hint="eastAsia" w:ascii="宋体" w:hAnsi="宋体" w:eastAsia="宋体" w:cs="宋体"/>
          <w:b/>
          <w:bCs/>
          <w:color w:val="auto"/>
          <w:szCs w:val="21"/>
          <w:highlight w:val="none"/>
          <w:lang w:val="zh-CN"/>
        </w:rPr>
        <w:t>人</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营业收入为</w:t>
      </w:r>
      <w:r>
        <w:rPr>
          <w:rFonts w:hint="eastAsia" w:ascii="宋体" w:hAnsi="宋体" w:eastAsia="宋体" w:cs="宋体"/>
          <w:b/>
          <w:bCs/>
          <w:color w:val="auto"/>
          <w:szCs w:val="21"/>
          <w:highlight w:val="none"/>
          <w:u w:val="single"/>
        </w:rPr>
        <w:t>10000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资产总额为</w:t>
      </w:r>
      <w:r>
        <w:rPr>
          <w:rFonts w:hint="eastAsia" w:ascii="宋体" w:hAnsi="宋体" w:eastAsia="宋体" w:cs="宋体"/>
          <w:b/>
          <w:bCs/>
          <w:color w:val="auto"/>
          <w:szCs w:val="21"/>
          <w:highlight w:val="none"/>
          <w:u w:val="single"/>
        </w:rPr>
        <w:t>5000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u w:val="single"/>
          <w:lang w:val="zh-CN"/>
        </w:rPr>
        <w:t>小型</w:t>
      </w:r>
      <w:r>
        <w:rPr>
          <w:rFonts w:hint="eastAsia" w:ascii="宋体" w:hAnsi="宋体" w:eastAsia="宋体" w:cs="宋体"/>
          <w:b/>
          <w:bCs/>
          <w:color w:val="auto"/>
          <w:szCs w:val="21"/>
          <w:highlight w:val="none"/>
          <w:lang w:val="zh-CN"/>
        </w:rPr>
        <w:t>企业</w:t>
      </w:r>
      <w:r>
        <w:rPr>
          <w:rFonts w:hint="eastAsia" w:ascii="宋体" w:hAnsi="宋体" w:eastAsia="宋体" w:cs="宋体"/>
          <w:b/>
          <w:bCs/>
          <w:color w:val="auto"/>
          <w:szCs w:val="21"/>
          <w:highlight w:val="none"/>
        </w:rPr>
        <w:t>[投标人自行登录工业和信息化部官网进行中小企业规模类型自测（查询网址https://www.miit.gov.cn/）]</w:t>
      </w:r>
      <w:r>
        <w:rPr>
          <w:rFonts w:hint="eastAsia" w:ascii="宋体" w:hAnsi="宋体" w:eastAsia="宋体" w:cs="宋体"/>
          <w:b/>
          <w:bCs/>
          <w:color w:val="auto"/>
          <w:szCs w:val="21"/>
          <w:highlight w:val="none"/>
          <w:lang w:val="zh-CN"/>
        </w:rPr>
        <w:t>。</w:t>
      </w:r>
    </w:p>
    <w:bookmarkEnd w:id="73"/>
    <w:bookmarkEnd w:id="74"/>
    <w:p w14:paraId="052CBD7E">
      <w:pPr>
        <w:spacing w:line="360" w:lineRule="auto"/>
        <w:jc w:val="center"/>
        <w:outlineLvl w:val="1"/>
        <w:rPr>
          <w:rFonts w:hint="eastAsia" w:asciiTheme="minorEastAsia" w:hAnsiTheme="minorEastAsia" w:eastAsiaTheme="minorEastAsia"/>
          <w:b/>
          <w:color w:val="auto"/>
          <w:sz w:val="24"/>
          <w:highlight w:val="none"/>
        </w:rPr>
      </w:pPr>
      <w:bookmarkStart w:id="75" w:name="_Toc24563"/>
      <w:bookmarkStart w:id="76" w:name="_Toc16713"/>
      <w:r>
        <w:rPr>
          <w:rFonts w:hint="eastAsia" w:asciiTheme="minorEastAsia" w:hAnsiTheme="minorEastAsia" w:eastAsiaTheme="minorEastAsia"/>
          <w:b/>
          <w:color w:val="auto"/>
          <w:sz w:val="24"/>
          <w:highlight w:val="none"/>
        </w:rPr>
        <w:t>八、残疾人福利性单位声明函</w:t>
      </w:r>
      <w:bookmarkEnd w:id="75"/>
      <w:bookmarkEnd w:id="76"/>
    </w:p>
    <w:p w14:paraId="1BDECF44">
      <w:pPr>
        <w:pStyle w:val="8"/>
        <w:spacing w:line="360" w:lineRule="auto"/>
        <w:jc w:val="center"/>
        <w:rPr>
          <w:rFonts w:hint="eastAsia" w:ascii="宋体" w:hAnsi="宋体" w:eastAsia="宋体"/>
          <w:i/>
          <w:color w:val="auto"/>
          <w:sz w:val="24"/>
          <w:highlight w:val="none"/>
          <w:lang w:val="en-US"/>
        </w:rPr>
      </w:pPr>
      <w:r>
        <w:rPr>
          <w:rFonts w:hint="eastAsia" w:ascii="宋体" w:hAnsi="宋体" w:eastAsia="宋体"/>
          <w:i/>
          <w:color w:val="auto"/>
          <w:sz w:val="24"/>
          <w:highlight w:val="none"/>
          <w:lang w:val="en-US"/>
        </w:rPr>
        <w:t>（非残疾人福利性单位投标，请删去“残疾人福利性单位声明函”）</w:t>
      </w:r>
    </w:p>
    <w:p w14:paraId="78AE8357">
      <w:pPr>
        <w:spacing w:line="360" w:lineRule="auto"/>
        <w:ind w:firstLine="435"/>
        <w:rPr>
          <w:rFonts w:hint="eastAsia"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w:t>
      </w:r>
      <w:r>
        <w:rPr>
          <w:rFonts w:hint="eastAsia" w:asciiTheme="minorEastAsia" w:hAnsiTheme="minorEastAsia" w:eastAsiaTheme="minorEastAsia"/>
          <w:color w:val="auto"/>
          <w:sz w:val="24"/>
          <w:highlight w:val="none"/>
        </w:rPr>
        <w:t>郑重</w:t>
      </w:r>
      <w:r>
        <w:rPr>
          <w:rFonts w:hint="eastAsia" w:asciiTheme="minorEastAsia" w:hAnsiTheme="minorEastAsia" w:eastAsiaTheme="minorEastAsia"/>
          <w:color w:val="auto"/>
          <w:spacing w:val="6"/>
          <w:sz w:val="24"/>
          <w:szCs w:val="24"/>
          <w:highlight w:val="none"/>
        </w:rPr>
        <w:t>声明，根据《财政部 民政部 中国残疾人联合会关于促进残疾人就业政府采购政策的通知》（财库</w:t>
      </w:r>
      <w:r>
        <w:rPr>
          <w:rFonts w:hint="eastAsia" w:asciiTheme="minorEastAsia" w:hAnsiTheme="minorEastAsia" w:eastAsiaTheme="minorEastAsia"/>
          <w:color w:val="auto"/>
          <w:sz w:val="24"/>
          <w:szCs w:val="24"/>
          <w:highlight w:val="none"/>
        </w:rPr>
        <w:t>〔2017〕141</w:t>
      </w:r>
      <w:r>
        <w:rPr>
          <w:rFonts w:hint="eastAsia" w:asciiTheme="minorEastAsia" w:hAnsiTheme="minorEastAsia" w:eastAsiaTheme="minorEastAsia"/>
          <w:color w:val="auto"/>
          <w:spacing w:val="6"/>
          <w:sz w:val="24"/>
          <w:szCs w:val="24"/>
          <w:highlight w:val="none"/>
        </w:rPr>
        <w:t>号）的规定，本单位为</w:t>
      </w:r>
      <w:r>
        <w:rPr>
          <w:rFonts w:hint="eastAsia" w:asciiTheme="minorEastAsia" w:hAnsiTheme="minorEastAsia" w:eastAsiaTheme="minorEastAsia"/>
          <w:bCs/>
          <w:color w:val="auto"/>
          <w:sz w:val="24"/>
          <w:szCs w:val="24"/>
          <w:highlight w:val="none"/>
        </w:rPr>
        <w:t>符合</w:t>
      </w:r>
      <w:r>
        <w:rPr>
          <w:rFonts w:hint="eastAsia" w:asciiTheme="minorEastAsia" w:hAnsiTheme="minorEastAsia" w:eastAsiaTheme="minorEastAsia"/>
          <w:color w:val="auto"/>
          <w:spacing w:val="6"/>
          <w:sz w:val="24"/>
          <w:szCs w:val="24"/>
          <w:highlight w:val="none"/>
        </w:rPr>
        <w:t>条件的残疾人福利性单位，且本单位参加</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单位的</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项目采购活动提供本单位制造的货物（由本单位承担工程/提供服务），或者提供其他残疾人福利性单位制造的货物（不包括使用非残疾人福利性单位注册商标的货物）。</w:t>
      </w:r>
    </w:p>
    <w:p w14:paraId="4BFFEB57">
      <w:pPr>
        <w:spacing w:line="360" w:lineRule="auto"/>
        <w:ind w:firstLine="435"/>
        <w:rPr>
          <w:rFonts w:hint="eastAsia"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本单位对上述声明的真实性负责。如有虚假，将依法承担相应责任。</w:t>
      </w:r>
    </w:p>
    <w:p w14:paraId="16DF1435">
      <w:pPr>
        <w:spacing w:line="360" w:lineRule="auto"/>
        <w:ind w:firstLine="4228" w:firstLineChars="1762"/>
        <w:rPr>
          <w:rFonts w:hint="eastAsia" w:asciiTheme="minorEastAsia" w:hAnsiTheme="minorEastAsia" w:eastAsiaTheme="minorEastAsia"/>
          <w:color w:val="auto"/>
          <w:sz w:val="24"/>
          <w:szCs w:val="24"/>
          <w:highlight w:val="none"/>
        </w:rPr>
      </w:pPr>
    </w:p>
    <w:p w14:paraId="6F563A8F">
      <w:pPr>
        <w:spacing w:line="360" w:lineRule="auto"/>
        <w:ind w:firstLine="4228" w:firstLineChars="1762"/>
        <w:rPr>
          <w:rFonts w:hint="eastAsia" w:asciiTheme="minorEastAsia" w:hAnsiTheme="minorEastAsia" w:eastAsiaTheme="minorEastAsia"/>
          <w:color w:val="auto"/>
          <w:sz w:val="24"/>
          <w:szCs w:val="24"/>
          <w:highlight w:val="none"/>
        </w:rPr>
      </w:pPr>
    </w:p>
    <w:p w14:paraId="67EC27EE">
      <w:pPr>
        <w:spacing w:line="360" w:lineRule="auto"/>
        <w:ind w:firstLine="4228" w:firstLineChars="1762"/>
        <w:rPr>
          <w:rFonts w:hint="eastAsia"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投标人</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548ACF92">
      <w:pPr>
        <w:tabs>
          <w:tab w:val="left" w:pos="4620"/>
        </w:tabs>
        <w:spacing w:line="360" w:lineRule="auto"/>
        <w:ind w:firstLine="4252" w:firstLineChars="1772"/>
        <w:rPr>
          <w:rFonts w:hint="eastAsia"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22933CBC">
      <w:pPr>
        <w:widowControl/>
        <w:jc w:val="left"/>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01FA9ECF">
      <w:pPr>
        <w:spacing w:line="360" w:lineRule="auto"/>
        <w:jc w:val="center"/>
        <w:outlineLvl w:val="1"/>
        <w:rPr>
          <w:rFonts w:hint="eastAsia" w:ascii="宋体" w:hAnsi="宋体" w:eastAsia="宋体"/>
          <w:b/>
          <w:color w:val="auto"/>
          <w:sz w:val="24"/>
          <w:highlight w:val="none"/>
        </w:rPr>
      </w:pPr>
      <w:bookmarkStart w:id="77" w:name="_Toc520299348"/>
      <w:bookmarkStart w:id="78" w:name="_Toc300210382"/>
      <w:bookmarkStart w:id="79" w:name="_Toc457768004"/>
      <w:bookmarkStart w:id="80" w:name="_Toc25813"/>
      <w:bookmarkStart w:id="81" w:name="_Toc26536"/>
      <w:bookmarkStart w:id="82" w:name="_Hlk11701496"/>
      <w:r>
        <w:rPr>
          <w:rFonts w:hint="eastAsia" w:asciiTheme="minorEastAsia" w:hAnsiTheme="minorEastAsia" w:eastAsiaTheme="minorEastAsia"/>
          <w:b/>
          <w:color w:val="auto"/>
          <w:sz w:val="24"/>
          <w:highlight w:val="none"/>
        </w:rPr>
        <w:t>九、</w:t>
      </w:r>
      <w:r>
        <w:rPr>
          <w:rFonts w:hint="eastAsia" w:ascii="宋体" w:hAnsi="宋体" w:eastAsia="宋体"/>
          <w:b/>
          <w:color w:val="auto"/>
          <w:sz w:val="24"/>
          <w:highlight w:val="none"/>
        </w:rPr>
        <w:t>关于符合本国产品标准的声明函</w:t>
      </w:r>
    </w:p>
    <w:p w14:paraId="6FA5E4E8">
      <w:pPr>
        <w:spacing w:line="360" w:lineRule="auto"/>
        <w:jc w:val="center"/>
        <w:rPr>
          <w:rFonts w:hint="eastAsia" w:ascii="宋体" w:hAnsi="宋体" w:eastAsia="宋体" w:cs="宋体"/>
          <w:color w:val="auto"/>
          <w:sz w:val="24"/>
          <w:szCs w:val="24"/>
          <w:highlight w:val="none"/>
          <w:shd w:val="clear" w:color="auto" w:fill="FFFFFF"/>
        </w:rPr>
      </w:pPr>
      <w:r>
        <w:rPr>
          <w:rFonts w:hint="eastAsia" w:ascii="宋体" w:hAnsi="宋体" w:eastAsia="宋体"/>
          <w:i/>
          <w:color w:val="auto"/>
          <w:sz w:val="24"/>
          <w:highlight w:val="none"/>
        </w:rPr>
        <w:t>（不符合本国产品扶持政策，不需此件）</w:t>
      </w:r>
    </w:p>
    <w:p w14:paraId="4F4970E2">
      <w:pPr>
        <w:pStyle w:val="19"/>
        <w:widowControl/>
        <w:spacing w:before="0" w:beforeAutospacing="0" w:after="0" w:afterAutospacing="0" w:line="400" w:lineRule="exact"/>
        <w:ind w:firstLine="420"/>
        <w:textAlignment w:val="baseline"/>
        <w:rPr>
          <w:rFonts w:hint="eastAsia"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48C98507">
      <w:pPr>
        <w:pStyle w:val="19"/>
        <w:widowControl/>
        <w:spacing w:before="0" w:beforeAutospacing="0" w:after="0" w:afterAutospacing="0" w:line="400" w:lineRule="exact"/>
        <w:ind w:firstLine="420"/>
        <w:textAlignment w:val="baseline"/>
        <w:rPr>
          <w:rFonts w:hint="eastAsia"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1.</w:t>
      </w:r>
      <w:r>
        <w:rPr>
          <w:rStyle w:val="28"/>
          <w:rFonts w:hint="eastAsia" w:ascii="宋体" w:hAnsi="宋体" w:eastAsia="宋体" w:cs="宋体"/>
          <w:color w:val="auto"/>
          <w:szCs w:val="24"/>
          <w:highlight w:val="none"/>
          <w:u w:val="single"/>
          <w:shd w:val="clear" w:color="auto" w:fill="FFFFFF"/>
        </w:rPr>
        <w:t>（产品名称1）</w:t>
      </w:r>
      <w:r>
        <w:rPr>
          <w:rStyle w:val="28"/>
          <w:rFonts w:hint="eastAsia" w:ascii="宋体" w:hAnsi="宋体" w:eastAsia="宋体" w:cs="宋体"/>
          <w:color w:val="auto"/>
          <w:szCs w:val="24"/>
          <w:highlight w:val="none"/>
          <w:shd w:val="clear" w:color="auto" w:fill="FFFFFF"/>
          <w:vertAlign w:val="superscript"/>
        </w:rPr>
        <w:t>1</w:t>
      </w:r>
      <w:r>
        <w:rPr>
          <w:rFonts w:hint="eastAsia" w:ascii="宋体" w:hAnsi="宋体" w:eastAsia="宋体" w:cs="宋体"/>
          <w:color w:val="auto"/>
          <w:szCs w:val="24"/>
          <w:highlight w:val="none"/>
          <w:shd w:val="clear" w:color="auto" w:fill="FFFFFF"/>
        </w:rPr>
        <w:t>，生产厂为</w:t>
      </w:r>
      <w:r>
        <w:rPr>
          <w:rStyle w:val="28"/>
          <w:rFonts w:hint="eastAsia" w:ascii="宋体" w:hAnsi="宋体" w:eastAsia="宋体" w:cs="宋体"/>
          <w:color w:val="auto"/>
          <w:szCs w:val="24"/>
          <w:highlight w:val="none"/>
          <w:u w:val="single"/>
          <w:shd w:val="clear" w:color="auto" w:fill="FFFFFF"/>
        </w:rPr>
        <w:t>（厂名）</w:t>
      </w:r>
      <w:r>
        <w:rPr>
          <w:rStyle w:val="28"/>
          <w:rFonts w:hint="eastAsia" w:ascii="宋体" w:hAnsi="宋体" w:eastAsia="宋体" w:cs="宋体"/>
          <w:color w:val="auto"/>
          <w:szCs w:val="24"/>
          <w:highlight w:val="none"/>
          <w:shd w:val="clear" w:color="auto" w:fill="FFFFFF"/>
          <w:vertAlign w:val="superscript"/>
        </w:rPr>
        <w:t>2</w:t>
      </w:r>
      <w:r>
        <w:rPr>
          <w:rFonts w:hint="eastAsia" w:ascii="宋体" w:hAnsi="宋体" w:eastAsia="宋体" w:cs="宋体"/>
          <w:color w:val="auto"/>
          <w:szCs w:val="24"/>
          <w:highlight w:val="none"/>
          <w:shd w:val="clear" w:color="auto" w:fill="FFFFFF"/>
        </w:rPr>
        <w:t>，厂址为</w:t>
      </w:r>
      <w:r>
        <w:rPr>
          <w:rStyle w:val="28"/>
          <w:rFonts w:hint="eastAsia" w:ascii="宋体" w:hAnsi="宋体" w:eastAsia="宋体" w:cs="宋体"/>
          <w:color w:val="auto"/>
          <w:szCs w:val="24"/>
          <w:highlight w:val="none"/>
          <w:u w:val="single"/>
          <w:shd w:val="clear" w:color="auto" w:fill="FFFFFF"/>
        </w:rPr>
        <w:t>（生产厂址）</w:t>
      </w:r>
      <w:r>
        <w:rPr>
          <w:rFonts w:hint="eastAsia" w:ascii="宋体" w:hAnsi="宋体" w:eastAsia="宋体" w:cs="宋体"/>
          <w:color w:val="auto"/>
          <w:szCs w:val="24"/>
          <w:highlight w:val="none"/>
          <w:shd w:val="clear" w:color="auto" w:fill="FFFFFF"/>
        </w:rPr>
        <w:t>。</w:t>
      </w:r>
      <w:r>
        <w:rPr>
          <w:rStyle w:val="28"/>
          <w:rFonts w:hint="eastAsia" w:ascii="宋体" w:hAnsi="宋体" w:eastAsia="宋体" w:cs="宋体"/>
          <w:color w:val="auto"/>
          <w:szCs w:val="24"/>
          <w:highlight w:val="none"/>
          <w:u w:val="single"/>
          <w:shd w:val="clear" w:color="auto" w:fill="FFFFFF"/>
        </w:rPr>
        <w:t xml:space="preserve">  /  </w:t>
      </w:r>
      <w:r>
        <w:rPr>
          <w:rFonts w:hint="eastAsia" w:ascii="宋体" w:hAnsi="宋体" w:eastAsia="宋体" w:cs="宋体"/>
          <w:color w:val="auto"/>
          <w:szCs w:val="24"/>
          <w:highlight w:val="none"/>
          <w:shd w:val="clear" w:color="auto" w:fill="FFFFFF"/>
        </w:rPr>
        <w:t>的中国境内生产的组件成本占比≥</w:t>
      </w:r>
      <w:r>
        <w:rPr>
          <w:rStyle w:val="28"/>
          <w:rFonts w:hint="eastAsia" w:ascii="宋体" w:hAnsi="宋体" w:eastAsia="宋体" w:cs="宋体"/>
          <w:color w:val="auto"/>
          <w:szCs w:val="24"/>
          <w:highlight w:val="none"/>
          <w:u w:val="single"/>
          <w:shd w:val="clear" w:color="auto" w:fill="FFFFFF"/>
        </w:rPr>
        <w:t xml:space="preserve">  /  </w:t>
      </w:r>
      <w:r>
        <w:rPr>
          <w:rFonts w:hint="eastAsia" w:ascii="宋体" w:hAnsi="宋体" w:eastAsia="宋体" w:cs="宋体"/>
          <w:color w:val="auto"/>
          <w:szCs w:val="24"/>
          <w:highlight w:val="none"/>
          <w:shd w:val="clear" w:color="auto" w:fill="FFFFFF"/>
        </w:rPr>
        <w:t>。</w:t>
      </w:r>
      <w:r>
        <w:rPr>
          <w:rStyle w:val="28"/>
          <w:rFonts w:hint="eastAsia" w:ascii="宋体" w:hAnsi="宋体" w:eastAsia="宋体" w:cs="宋体"/>
          <w:color w:val="auto"/>
          <w:szCs w:val="24"/>
          <w:highlight w:val="none"/>
          <w:u w:val="single"/>
          <w:shd w:val="clear" w:color="auto" w:fill="FFFFFF"/>
        </w:rPr>
        <w:t xml:space="preserve">  /  </w:t>
      </w:r>
      <w:r>
        <w:rPr>
          <w:rFonts w:hint="eastAsia" w:ascii="宋体" w:hAnsi="宋体" w:eastAsia="宋体" w:cs="宋体"/>
          <w:color w:val="auto"/>
          <w:szCs w:val="24"/>
          <w:highlight w:val="none"/>
          <w:shd w:val="clear" w:color="auto" w:fill="FFFFFF"/>
        </w:rPr>
        <w:t>的</w:t>
      </w:r>
      <w:r>
        <w:rPr>
          <w:rStyle w:val="28"/>
          <w:rFonts w:hint="eastAsia" w:ascii="宋体" w:hAnsi="宋体" w:eastAsia="宋体" w:cs="宋体"/>
          <w:color w:val="auto"/>
          <w:szCs w:val="24"/>
          <w:highlight w:val="none"/>
          <w:u w:val="single"/>
          <w:shd w:val="clear" w:color="auto" w:fill="FFFFFF"/>
        </w:rPr>
        <w:t xml:space="preserve">  /  </w:t>
      </w:r>
      <w:r>
        <w:rPr>
          <w:rFonts w:hint="eastAsia" w:ascii="宋体" w:hAnsi="宋体" w:eastAsia="宋体" w:cs="宋体"/>
          <w:color w:val="auto"/>
          <w:szCs w:val="24"/>
          <w:highlight w:val="none"/>
          <w:shd w:val="clear" w:color="auto" w:fill="FFFFFF"/>
        </w:rPr>
        <w:t>在中国境内生产。</w:t>
      </w:r>
      <w:r>
        <w:rPr>
          <w:rStyle w:val="28"/>
          <w:rFonts w:hint="eastAsia" w:ascii="宋体" w:hAnsi="宋体" w:eastAsia="宋体" w:cs="宋体"/>
          <w:color w:val="auto"/>
          <w:szCs w:val="24"/>
          <w:highlight w:val="none"/>
          <w:u w:val="single"/>
          <w:shd w:val="clear" w:color="auto" w:fill="FFFFFF"/>
        </w:rPr>
        <w:t xml:space="preserve">  /  </w:t>
      </w:r>
      <w:r>
        <w:rPr>
          <w:rFonts w:hint="eastAsia" w:ascii="宋体" w:hAnsi="宋体" w:eastAsia="宋体" w:cs="宋体"/>
          <w:color w:val="auto"/>
          <w:szCs w:val="24"/>
          <w:highlight w:val="none"/>
          <w:shd w:val="clear" w:color="auto" w:fill="FFFFFF"/>
        </w:rPr>
        <w:t>的</w:t>
      </w:r>
      <w:r>
        <w:rPr>
          <w:rStyle w:val="28"/>
          <w:rFonts w:hint="eastAsia" w:ascii="宋体" w:hAnsi="宋体" w:eastAsia="宋体" w:cs="宋体"/>
          <w:color w:val="auto"/>
          <w:szCs w:val="24"/>
          <w:highlight w:val="none"/>
          <w:u w:val="single"/>
          <w:shd w:val="clear" w:color="auto" w:fill="FFFFFF"/>
        </w:rPr>
        <w:t xml:space="preserve">  /  </w:t>
      </w:r>
      <w:r>
        <w:rPr>
          <w:rFonts w:hint="eastAsia" w:ascii="宋体" w:hAnsi="宋体" w:eastAsia="宋体" w:cs="宋体"/>
          <w:color w:val="auto"/>
          <w:szCs w:val="24"/>
          <w:highlight w:val="none"/>
          <w:shd w:val="clear" w:color="auto" w:fill="FFFFFF"/>
        </w:rPr>
        <w:t>在中国境内完成。</w:t>
      </w:r>
    </w:p>
    <w:p w14:paraId="78D67292">
      <w:pPr>
        <w:pStyle w:val="19"/>
        <w:widowControl/>
        <w:spacing w:before="0" w:beforeAutospacing="0" w:after="0" w:afterAutospacing="0" w:line="400" w:lineRule="exact"/>
        <w:ind w:firstLine="420"/>
        <w:textAlignment w:val="baseline"/>
        <w:rPr>
          <w:rFonts w:hint="eastAsia"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2.</w:t>
      </w:r>
      <w:r>
        <w:rPr>
          <w:rStyle w:val="28"/>
          <w:rFonts w:hint="eastAsia" w:ascii="宋体" w:hAnsi="宋体" w:eastAsia="宋体" w:cs="宋体"/>
          <w:color w:val="auto"/>
          <w:szCs w:val="24"/>
          <w:highlight w:val="none"/>
          <w:u w:val="single"/>
          <w:shd w:val="clear" w:color="auto" w:fill="FFFFFF"/>
        </w:rPr>
        <w:t>（产品名称2）</w:t>
      </w:r>
      <w:r>
        <w:rPr>
          <w:rFonts w:hint="eastAsia" w:ascii="宋体" w:hAnsi="宋体" w:eastAsia="宋体" w:cs="宋体"/>
          <w:color w:val="auto"/>
          <w:szCs w:val="24"/>
          <w:highlight w:val="none"/>
          <w:shd w:val="clear" w:color="auto" w:fill="FFFFFF"/>
        </w:rPr>
        <w:t>，生产厂为</w:t>
      </w:r>
      <w:r>
        <w:rPr>
          <w:rStyle w:val="28"/>
          <w:rFonts w:hint="eastAsia" w:ascii="宋体" w:hAnsi="宋体" w:eastAsia="宋体" w:cs="宋体"/>
          <w:color w:val="auto"/>
          <w:szCs w:val="24"/>
          <w:highlight w:val="none"/>
          <w:u w:val="single"/>
          <w:shd w:val="clear" w:color="auto" w:fill="FFFFFF"/>
        </w:rPr>
        <w:t>（厂名）</w:t>
      </w:r>
      <w:r>
        <w:rPr>
          <w:rFonts w:hint="eastAsia" w:ascii="宋体" w:hAnsi="宋体" w:eastAsia="宋体" w:cs="宋体"/>
          <w:color w:val="auto"/>
          <w:szCs w:val="24"/>
          <w:highlight w:val="none"/>
          <w:shd w:val="clear" w:color="auto" w:fill="FFFFFF"/>
        </w:rPr>
        <w:t>，厂址为</w:t>
      </w:r>
      <w:r>
        <w:rPr>
          <w:rStyle w:val="28"/>
          <w:rFonts w:hint="eastAsia" w:ascii="宋体" w:hAnsi="宋体" w:eastAsia="宋体" w:cs="宋体"/>
          <w:color w:val="auto"/>
          <w:szCs w:val="24"/>
          <w:highlight w:val="none"/>
          <w:u w:val="single"/>
          <w:shd w:val="clear" w:color="auto" w:fill="FFFFFF"/>
        </w:rPr>
        <w:t>（生产厂址）</w:t>
      </w:r>
      <w:r>
        <w:rPr>
          <w:rFonts w:hint="eastAsia" w:ascii="宋体" w:hAnsi="宋体" w:eastAsia="宋体" w:cs="宋体"/>
          <w:color w:val="auto"/>
          <w:szCs w:val="24"/>
          <w:highlight w:val="none"/>
          <w:shd w:val="clear" w:color="auto" w:fill="FFFFFF"/>
        </w:rPr>
        <w:t>。</w:t>
      </w:r>
      <w:r>
        <w:rPr>
          <w:rStyle w:val="28"/>
          <w:rFonts w:hint="eastAsia" w:ascii="宋体" w:hAnsi="宋体" w:eastAsia="宋体" w:cs="宋体"/>
          <w:color w:val="auto"/>
          <w:szCs w:val="24"/>
          <w:highlight w:val="none"/>
          <w:u w:val="single"/>
          <w:shd w:val="clear" w:color="auto" w:fill="FFFFFF"/>
        </w:rPr>
        <w:t xml:space="preserve">  /  </w:t>
      </w:r>
      <w:r>
        <w:rPr>
          <w:rFonts w:hint="eastAsia" w:ascii="宋体" w:hAnsi="宋体" w:eastAsia="宋体" w:cs="宋体"/>
          <w:color w:val="auto"/>
          <w:szCs w:val="24"/>
          <w:highlight w:val="none"/>
          <w:shd w:val="clear" w:color="auto" w:fill="FFFFFF"/>
        </w:rPr>
        <w:t>的中国境内生产的组件成本占比≥</w:t>
      </w:r>
      <w:r>
        <w:rPr>
          <w:rStyle w:val="28"/>
          <w:rFonts w:hint="eastAsia" w:ascii="宋体" w:hAnsi="宋体" w:eastAsia="宋体" w:cs="宋体"/>
          <w:color w:val="auto"/>
          <w:szCs w:val="24"/>
          <w:highlight w:val="none"/>
          <w:u w:val="single"/>
          <w:shd w:val="clear" w:color="auto" w:fill="FFFFFF"/>
        </w:rPr>
        <w:t xml:space="preserve">  /  </w:t>
      </w:r>
      <w:r>
        <w:rPr>
          <w:rFonts w:hint="eastAsia" w:ascii="宋体" w:hAnsi="宋体" w:eastAsia="宋体" w:cs="宋体"/>
          <w:color w:val="auto"/>
          <w:szCs w:val="24"/>
          <w:highlight w:val="none"/>
          <w:shd w:val="clear" w:color="auto" w:fill="FFFFFF"/>
        </w:rPr>
        <w:t>。</w:t>
      </w:r>
      <w:r>
        <w:rPr>
          <w:rStyle w:val="28"/>
          <w:rFonts w:hint="eastAsia" w:ascii="宋体" w:hAnsi="宋体" w:eastAsia="宋体" w:cs="宋体"/>
          <w:color w:val="auto"/>
          <w:szCs w:val="24"/>
          <w:highlight w:val="none"/>
          <w:u w:val="single"/>
          <w:shd w:val="clear" w:color="auto" w:fill="FFFFFF"/>
        </w:rPr>
        <w:t xml:space="preserve">  /  </w:t>
      </w:r>
      <w:r>
        <w:rPr>
          <w:rFonts w:hint="eastAsia" w:ascii="宋体" w:hAnsi="宋体" w:eastAsia="宋体" w:cs="宋体"/>
          <w:color w:val="auto"/>
          <w:szCs w:val="24"/>
          <w:highlight w:val="none"/>
          <w:shd w:val="clear" w:color="auto" w:fill="FFFFFF"/>
        </w:rPr>
        <w:t>的</w:t>
      </w:r>
      <w:r>
        <w:rPr>
          <w:rStyle w:val="28"/>
          <w:rFonts w:hint="eastAsia" w:ascii="宋体" w:hAnsi="宋体" w:eastAsia="宋体" w:cs="宋体"/>
          <w:color w:val="auto"/>
          <w:szCs w:val="24"/>
          <w:highlight w:val="none"/>
          <w:u w:val="single"/>
          <w:shd w:val="clear" w:color="auto" w:fill="FFFFFF"/>
        </w:rPr>
        <w:t xml:space="preserve">  /  </w:t>
      </w:r>
      <w:r>
        <w:rPr>
          <w:rFonts w:hint="eastAsia" w:ascii="宋体" w:hAnsi="宋体" w:eastAsia="宋体" w:cs="宋体"/>
          <w:color w:val="auto"/>
          <w:szCs w:val="24"/>
          <w:highlight w:val="none"/>
          <w:shd w:val="clear" w:color="auto" w:fill="FFFFFF"/>
        </w:rPr>
        <w:t>在中国境内生产。</w:t>
      </w:r>
      <w:r>
        <w:rPr>
          <w:rStyle w:val="28"/>
          <w:rFonts w:hint="eastAsia" w:ascii="宋体" w:hAnsi="宋体" w:eastAsia="宋体" w:cs="宋体"/>
          <w:color w:val="auto"/>
          <w:szCs w:val="24"/>
          <w:highlight w:val="none"/>
          <w:u w:val="single"/>
          <w:shd w:val="clear" w:color="auto" w:fill="FFFFFF"/>
        </w:rPr>
        <w:t xml:space="preserve">  /  </w:t>
      </w:r>
      <w:r>
        <w:rPr>
          <w:rFonts w:hint="eastAsia" w:ascii="宋体" w:hAnsi="宋体" w:eastAsia="宋体" w:cs="宋体"/>
          <w:color w:val="auto"/>
          <w:szCs w:val="24"/>
          <w:highlight w:val="none"/>
          <w:shd w:val="clear" w:color="auto" w:fill="FFFFFF"/>
        </w:rPr>
        <w:t>的</w:t>
      </w:r>
      <w:r>
        <w:rPr>
          <w:rStyle w:val="28"/>
          <w:rFonts w:hint="eastAsia" w:ascii="宋体" w:hAnsi="宋体" w:eastAsia="宋体" w:cs="宋体"/>
          <w:color w:val="auto"/>
          <w:szCs w:val="24"/>
          <w:highlight w:val="none"/>
          <w:u w:val="single"/>
          <w:shd w:val="clear" w:color="auto" w:fill="FFFFFF"/>
        </w:rPr>
        <w:t xml:space="preserve">  /  </w:t>
      </w:r>
      <w:r>
        <w:rPr>
          <w:rFonts w:hint="eastAsia" w:ascii="宋体" w:hAnsi="宋体" w:eastAsia="宋体" w:cs="宋体"/>
          <w:color w:val="auto"/>
          <w:szCs w:val="24"/>
          <w:highlight w:val="none"/>
          <w:shd w:val="clear" w:color="auto" w:fill="FFFFFF"/>
        </w:rPr>
        <w:t>在中国境内完成。</w:t>
      </w:r>
    </w:p>
    <w:p w14:paraId="73D17525">
      <w:pPr>
        <w:pStyle w:val="19"/>
        <w:widowControl/>
        <w:spacing w:before="0" w:beforeAutospacing="0" w:after="0" w:afterAutospacing="0" w:line="400" w:lineRule="exact"/>
        <w:ind w:firstLine="420"/>
        <w:textAlignment w:val="baseline"/>
        <w:rPr>
          <w:rFonts w:hint="eastAsia"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w:t>
      </w:r>
    </w:p>
    <w:p w14:paraId="30910972">
      <w:pPr>
        <w:pStyle w:val="19"/>
        <w:widowControl/>
        <w:spacing w:before="0" w:beforeAutospacing="0" w:after="0" w:afterAutospacing="0" w:line="400" w:lineRule="exact"/>
        <w:ind w:firstLine="420"/>
        <w:textAlignment w:val="baseline"/>
        <w:rPr>
          <w:rFonts w:hint="eastAsia"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本公司（单位）对上述声明内容的真实性负责。如有虚假，愿承担相应法律责任。</w:t>
      </w:r>
    </w:p>
    <w:p w14:paraId="16ED9C98">
      <w:pPr>
        <w:spacing w:line="360" w:lineRule="auto"/>
        <w:ind w:firstLine="4228" w:firstLineChars="1762"/>
        <w:rPr>
          <w:rFonts w:hint="eastAsia" w:ascii="宋体" w:hAnsi="宋体" w:eastAsia="宋体"/>
          <w:color w:val="auto"/>
          <w:sz w:val="24"/>
          <w:szCs w:val="24"/>
          <w:highlight w:val="none"/>
          <w:u w:val="single"/>
        </w:rPr>
      </w:pPr>
      <w:r>
        <w:rPr>
          <w:rFonts w:hint="eastAsia" w:ascii="宋体" w:hAnsi="宋体" w:eastAsia="宋体"/>
          <w:color w:val="auto"/>
          <w:sz w:val="24"/>
          <w:szCs w:val="24"/>
          <w:highlight w:val="none"/>
        </w:rPr>
        <w:t>投标人</w:t>
      </w:r>
      <w:r>
        <w:rPr>
          <w:rFonts w:ascii="宋体" w:hAnsi="宋体" w:eastAsia="宋体"/>
          <w:color w:val="auto"/>
          <w:sz w:val="24"/>
          <w:szCs w:val="24"/>
          <w:highlight w:val="none"/>
        </w:rPr>
        <w:t>电子签章</w:t>
      </w:r>
      <w:r>
        <w:rPr>
          <w:rFonts w:hint="eastAsia" w:ascii="宋体" w:hAnsi="宋体" w:eastAsia="宋体"/>
          <w:color w:val="auto"/>
          <w:sz w:val="24"/>
          <w:szCs w:val="24"/>
          <w:highlight w:val="none"/>
        </w:rPr>
        <w:t>：</w:t>
      </w:r>
      <w:r>
        <w:rPr>
          <w:rFonts w:ascii="宋体" w:hAnsi="宋体" w:eastAsia="宋体"/>
          <w:color w:val="auto"/>
          <w:sz w:val="24"/>
          <w:szCs w:val="24"/>
          <w:highlight w:val="none"/>
          <w:u w:val="single"/>
        </w:rPr>
        <w:t xml:space="preserve">             </w:t>
      </w:r>
    </w:p>
    <w:p w14:paraId="2BB3B160">
      <w:pPr>
        <w:tabs>
          <w:tab w:val="left" w:pos="4620"/>
        </w:tabs>
        <w:spacing w:line="360" w:lineRule="auto"/>
        <w:ind w:firstLine="4252" w:firstLineChars="1772"/>
        <w:rPr>
          <w:rFonts w:hint="eastAsia" w:ascii="宋体" w:hAnsi="宋体" w:eastAsia="宋体" w:cs="宋体"/>
          <w:color w:val="auto"/>
          <w:sz w:val="24"/>
          <w:szCs w:val="24"/>
          <w:highlight w:val="none"/>
          <w:shd w:val="clear" w:color="auto" w:fill="FFFFFF"/>
        </w:rPr>
      </w:pPr>
      <w:r>
        <w:rPr>
          <w:rFonts w:hint="eastAsia" w:ascii="宋体" w:hAnsi="宋体" w:eastAsia="宋体"/>
          <w:color w:val="auto"/>
          <w:sz w:val="24"/>
          <w:szCs w:val="24"/>
          <w:highlight w:val="none"/>
        </w:rPr>
        <w:t>日</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期：</w:t>
      </w:r>
      <w:r>
        <w:rPr>
          <w:rFonts w:ascii="宋体" w:hAnsi="宋体" w:eastAsia="宋体"/>
          <w:color w:val="auto"/>
          <w:sz w:val="24"/>
          <w:szCs w:val="24"/>
          <w:highlight w:val="none"/>
          <w:u w:val="single"/>
        </w:rPr>
        <w:t xml:space="preserve">             </w:t>
      </w:r>
    </w:p>
    <w:p w14:paraId="7911893F">
      <w:pPr>
        <w:tabs>
          <w:tab w:val="left" w:pos="4620"/>
        </w:tabs>
        <w:spacing w:line="360" w:lineRule="auto"/>
        <w:jc w:val="left"/>
        <w:rPr>
          <w:rFonts w:hint="eastAsia" w:ascii="宋体" w:hAnsi="宋体" w:eastAsia="宋体"/>
          <w:bCs/>
          <w:color w:val="auto"/>
          <w:szCs w:val="24"/>
          <w:highlight w:val="none"/>
        </w:rPr>
      </w:pPr>
      <w:r>
        <w:rPr>
          <w:rFonts w:hint="eastAsia" w:ascii="宋体" w:hAnsi="宋体" w:eastAsia="宋体" w:cs="Times New Roman"/>
          <w:b/>
          <w:color w:val="auto"/>
          <w:szCs w:val="24"/>
          <w:highlight w:val="none"/>
        </w:rPr>
        <w:t>注：</w:t>
      </w:r>
    </w:p>
    <w:p w14:paraId="5587E5C8">
      <w:pPr>
        <w:tabs>
          <w:tab w:val="left" w:pos="4620"/>
        </w:tabs>
        <w:spacing w:line="360" w:lineRule="auto"/>
        <w:jc w:val="left"/>
        <w:rPr>
          <w:rFonts w:hint="eastAsia" w:ascii="宋体" w:hAnsi="宋体" w:eastAsia="宋体"/>
          <w:bCs/>
          <w:color w:val="auto"/>
          <w:szCs w:val="21"/>
          <w:highlight w:val="none"/>
        </w:rPr>
      </w:pPr>
      <w:r>
        <w:rPr>
          <w:rFonts w:hint="eastAsia" w:ascii="宋体" w:hAnsi="宋体" w:eastAsia="宋体"/>
          <w:bCs/>
          <w:color w:val="auto"/>
          <w:szCs w:val="21"/>
          <w:highlight w:val="none"/>
        </w:rPr>
        <w:t>1.产品如有型号，请在“产品名称”栏一并填写。</w:t>
      </w:r>
    </w:p>
    <w:p w14:paraId="3A737B37">
      <w:pPr>
        <w:tabs>
          <w:tab w:val="left" w:pos="4620"/>
        </w:tabs>
        <w:spacing w:line="360" w:lineRule="auto"/>
        <w:jc w:val="left"/>
        <w:rPr>
          <w:rFonts w:hint="eastAsia" w:ascii="宋体" w:hAnsi="宋体" w:eastAsia="宋体"/>
          <w:bCs/>
          <w:color w:val="auto"/>
          <w:szCs w:val="21"/>
          <w:highlight w:val="none"/>
        </w:rPr>
      </w:pPr>
      <w:r>
        <w:rPr>
          <w:rFonts w:hint="eastAsia" w:ascii="宋体" w:hAnsi="宋体" w:eastAsia="宋体"/>
          <w:bCs/>
          <w:color w:val="auto"/>
          <w:szCs w:val="21"/>
          <w:highlight w:val="none"/>
        </w:rPr>
        <w:t>2.生产厂名与厂址应与生产厂营业执照载明的相关信息保持一致。</w:t>
      </w:r>
    </w:p>
    <w:p w14:paraId="17016F2A">
      <w:pPr>
        <w:tabs>
          <w:tab w:val="left" w:pos="4620"/>
        </w:tabs>
        <w:spacing w:line="360" w:lineRule="auto"/>
        <w:jc w:val="left"/>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3.上述声明函中标注</w:t>
      </w:r>
      <w:r>
        <w:rPr>
          <w:rFonts w:hint="eastAsia" w:ascii="宋体" w:hAnsi="宋体" w:eastAsia="宋体" w:cs="Times New Roman"/>
          <w:bCs/>
          <w:color w:val="auto"/>
          <w:szCs w:val="21"/>
          <w:highlight w:val="none"/>
          <w:u w:val="single"/>
        </w:rPr>
        <w:t xml:space="preserve">  /  </w:t>
      </w:r>
      <w:r>
        <w:rPr>
          <w:rFonts w:hint="eastAsia" w:ascii="宋体" w:hAnsi="宋体" w:eastAsia="宋体" w:cs="Times New Roman"/>
          <w:bCs/>
          <w:color w:val="auto"/>
          <w:szCs w:val="21"/>
          <w:highlight w:val="none"/>
        </w:rPr>
        <w:t>的，无需填写。</w:t>
      </w:r>
    </w:p>
    <w:p w14:paraId="228CB750">
      <w:pPr>
        <w:tabs>
          <w:tab w:val="left" w:pos="4620"/>
        </w:tabs>
        <w:spacing w:line="360" w:lineRule="auto"/>
        <w:jc w:val="left"/>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4.投标人应当结合“五、投标分项报价表-货物部分”相关信息进行填写。</w:t>
      </w:r>
    </w:p>
    <w:p w14:paraId="20C6E2B1">
      <w:pPr>
        <w:tabs>
          <w:tab w:val="left" w:pos="4620"/>
        </w:tabs>
        <w:spacing w:line="360" w:lineRule="auto"/>
        <w:jc w:val="left"/>
        <w:rPr>
          <w:rFonts w:hint="eastAsia" w:asciiTheme="minorEastAsia" w:hAnsiTheme="minorEastAsia" w:eastAsiaTheme="minorEastAsia"/>
          <w:b/>
          <w:color w:val="auto"/>
          <w:sz w:val="24"/>
          <w:highlight w:val="none"/>
        </w:rPr>
      </w:pPr>
      <w:r>
        <w:rPr>
          <w:rFonts w:hint="eastAsia" w:ascii="宋体" w:hAnsi="宋体" w:eastAsia="宋体" w:cs="Times New Roman"/>
          <w:bCs/>
          <w:color w:val="auto"/>
          <w:szCs w:val="21"/>
          <w:highlight w:val="none"/>
        </w:rPr>
        <w:t>5.根据《国务院办公厅关于在政府采购中实施本国产品标准及相关政策的通知》（国办发〔2025〕34号）和财政部工业和信息化部关于贯彻落实《国务院办公厅关于在政府采购中实施本国产品标准及相关政策的通知》的意见（财库〔2025〕30号），本项目所称的本国产品是指在中国境内生产的产品，即在中华人民共和国关境内实现从原材料、组件到产品的属性改变。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CC83651">
      <w:pPr>
        <w:spacing w:line="360" w:lineRule="auto"/>
        <w:jc w:val="center"/>
        <w:outlineLvl w:val="1"/>
        <w:rPr>
          <w:rFonts w:hint="eastAsia" w:asciiTheme="minorEastAsia" w:hAnsiTheme="minorEastAsia" w:eastAsiaTheme="minorEastAsia"/>
          <w:b/>
          <w:color w:val="auto"/>
          <w:sz w:val="24"/>
          <w:highlight w:val="none"/>
        </w:rPr>
      </w:pPr>
    </w:p>
    <w:p w14:paraId="69A3F71E">
      <w:pPr>
        <w:spacing w:line="360" w:lineRule="auto"/>
        <w:jc w:val="center"/>
        <w:outlineLvl w:val="1"/>
        <w:rPr>
          <w:rFonts w:hint="eastAsia" w:asciiTheme="minorEastAsia" w:hAnsiTheme="minorEastAsia" w:eastAsiaTheme="minorEastAsia"/>
          <w:b/>
          <w:color w:val="auto"/>
          <w:sz w:val="24"/>
          <w:highlight w:val="none"/>
        </w:rPr>
      </w:pPr>
    </w:p>
    <w:p w14:paraId="40DF3B3A">
      <w:pPr>
        <w:spacing w:line="360" w:lineRule="auto"/>
        <w:jc w:val="center"/>
        <w:outlineLvl w:val="1"/>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十、</w:t>
      </w:r>
      <w:bookmarkEnd w:id="77"/>
      <w:bookmarkEnd w:id="78"/>
      <w:bookmarkEnd w:id="79"/>
      <w:r>
        <w:rPr>
          <w:rFonts w:hint="eastAsia" w:asciiTheme="minorEastAsia" w:hAnsiTheme="minorEastAsia" w:eastAsiaTheme="minorEastAsia"/>
          <w:b/>
          <w:color w:val="auto"/>
          <w:sz w:val="24"/>
          <w:highlight w:val="none"/>
        </w:rPr>
        <w:t>诚信履约承诺函</w:t>
      </w:r>
      <w:bookmarkEnd w:id="80"/>
      <w:bookmarkEnd w:id="81"/>
    </w:p>
    <w:p w14:paraId="0E258856">
      <w:pPr>
        <w:spacing w:line="360" w:lineRule="auto"/>
        <w:rPr>
          <w:rFonts w:hint="eastAsia" w:asciiTheme="minorEastAsia" w:hAnsiTheme="minorEastAsia" w:eastAsiaTheme="minorEastAsia"/>
          <w:b/>
          <w:bCs/>
          <w:color w:val="auto"/>
          <w:sz w:val="24"/>
          <w:highlight w:val="none"/>
        </w:rPr>
      </w:pPr>
    </w:p>
    <w:p w14:paraId="5D73717C">
      <w:pPr>
        <w:spacing w:line="360" w:lineRule="auto"/>
        <w:rPr>
          <w:rFonts w:hint="eastAsia" w:asciiTheme="minorEastAsia" w:hAnsiTheme="minorEastAsia" w:eastAsiaTheme="minorEastAsia"/>
          <w:b/>
          <w:bCs/>
          <w:color w:val="auto"/>
          <w:sz w:val="24"/>
          <w:highlight w:val="none"/>
          <w:u w:val="single"/>
        </w:rPr>
      </w:pPr>
      <w:r>
        <w:rPr>
          <w:rFonts w:hint="eastAsia" w:asciiTheme="minorEastAsia" w:hAnsiTheme="minorEastAsia" w:eastAsiaTheme="minorEastAsia"/>
          <w:b/>
          <w:bCs/>
          <w:color w:val="auto"/>
          <w:sz w:val="24"/>
          <w:highlight w:val="none"/>
        </w:rPr>
        <w:t>致：采购人</w:t>
      </w:r>
    </w:p>
    <w:p w14:paraId="27EDFBFB">
      <w:pPr>
        <w:spacing w:line="360" w:lineRule="auto"/>
        <w:ind w:firstLine="480" w:firstLineChars="200"/>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6E7E46E1">
      <w:pPr>
        <w:spacing w:line="360" w:lineRule="auto"/>
        <w:ind w:firstLine="480" w:firstLineChars="200"/>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（1）中标或者成交后无正当理由拒不与采购人签订政府采购合同；</w:t>
      </w:r>
    </w:p>
    <w:p w14:paraId="76248F65">
      <w:pPr>
        <w:spacing w:line="360" w:lineRule="auto"/>
        <w:ind w:firstLine="480" w:firstLineChars="200"/>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（2）未按照采购文件确定的事项签订政府采购合同；</w:t>
      </w:r>
    </w:p>
    <w:p w14:paraId="25FEE325">
      <w:pPr>
        <w:spacing w:line="360" w:lineRule="auto"/>
        <w:ind w:firstLine="480" w:firstLineChars="200"/>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14:paraId="29A03473">
      <w:pPr>
        <w:spacing w:line="360" w:lineRule="auto"/>
        <w:ind w:firstLine="480" w:firstLineChars="200"/>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50B24E45">
      <w:pPr>
        <w:spacing w:line="360" w:lineRule="auto"/>
        <w:ind w:firstLine="480" w:firstLineChars="200"/>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14:paraId="32AAE4B2">
      <w:pPr>
        <w:spacing w:line="360" w:lineRule="auto"/>
        <w:ind w:firstLine="480" w:firstLineChars="200"/>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30B2D9C">
      <w:pPr>
        <w:spacing w:line="360" w:lineRule="auto"/>
        <w:rPr>
          <w:rFonts w:hint="eastAsia" w:asciiTheme="minorEastAsia" w:hAnsiTheme="minorEastAsia" w:eastAsiaTheme="minorEastAsia"/>
          <w:bCs/>
          <w:color w:val="auto"/>
          <w:sz w:val="24"/>
          <w:highlight w:val="none"/>
        </w:rPr>
      </w:pPr>
    </w:p>
    <w:p w14:paraId="3FC54976">
      <w:pPr>
        <w:spacing w:line="360" w:lineRule="auto"/>
        <w:rPr>
          <w:rFonts w:hint="eastAsia" w:asciiTheme="minorEastAsia" w:hAnsiTheme="minorEastAsia" w:eastAsiaTheme="minorEastAsia"/>
          <w:bCs/>
          <w:color w:val="auto"/>
          <w:sz w:val="24"/>
          <w:highlight w:val="none"/>
        </w:rPr>
      </w:pPr>
    </w:p>
    <w:p w14:paraId="032B6DC0">
      <w:pPr>
        <w:spacing w:line="360" w:lineRule="auto"/>
        <w:ind w:firstLine="4320" w:firstLineChars="1800"/>
        <w:rPr>
          <w:rFonts w:hint="eastAsia"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投标人电子签章：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219D177E">
      <w:pPr>
        <w:spacing w:line="360" w:lineRule="auto"/>
        <w:ind w:firstLine="4320" w:firstLineChars="1800"/>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45FE8DAB">
      <w:pPr>
        <w:widowControl/>
        <w:jc w:val="left"/>
        <w:rPr>
          <w:rFonts w:hint="eastAsia" w:ascii="宋体" w:hAnsi="宋体" w:eastAsia="宋体" w:cs="Arial"/>
          <w:color w:val="auto"/>
          <w:sz w:val="24"/>
          <w:highlight w:val="none"/>
        </w:rPr>
      </w:pPr>
      <w:r>
        <w:rPr>
          <w:rFonts w:ascii="宋体" w:hAnsi="宋体" w:eastAsia="宋体" w:cs="Arial"/>
          <w:color w:val="auto"/>
          <w:sz w:val="24"/>
          <w:highlight w:val="none"/>
        </w:rPr>
        <w:br w:type="page"/>
      </w:r>
    </w:p>
    <w:bookmarkEnd w:id="82"/>
    <w:p w14:paraId="7393438E">
      <w:pPr>
        <w:spacing w:line="360" w:lineRule="auto"/>
        <w:jc w:val="center"/>
        <w:outlineLvl w:val="1"/>
        <w:rPr>
          <w:rFonts w:hint="eastAsia" w:ascii="宋体" w:hAnsi="宋体" w:eastAsia="宋体"/>
          <w:b/>
          <w:color w:val="auto"/>
          <w:sz w:val="24"/>
          <w:szCs w:val="24"/>
          <w:highlight w:val="none"/>
        </w:rPr>
      </w:pPr>
      <w:bookmarkStart w:id="83" w:name="_Toc32633"/>
      <w:bookmarkStart w:id="84" w:name="_Toc2683"/>
      <w:r>
        <w:rPr>
          <w:rFonts w:hint="eastAsia" w:asciiTheme="minorEastAsia" w:hAnsiTheme="minorEastAsia" w:eastAsiaTheme="minorEastAsia"/>
          <w:b/>
          <w:color w:val="auto"/>
          <w:sz w:val="24"/>
          <w:highlight w:val="none"/>
        </w:rPr>
        <w:t>十一、</w:t>
      </w:r>
      <w:r>
        <w:rPr>
          <w:rFonts w:hint="eastAsia" w:ascii="宋体" w:hAnsi="宋体" w:eastAsia="宋体" w:cs="宋体"/>
          <w:b/>
          <w:color w:val="auto"/>
          <w:sz w:val="24"/>
          <w:szCs w:val="24"/>
          <w:highlight w:val="none"/>
          <w:lang w:bidi="ar"/>
        </w:rPr>
        <w:t>诚信投标承诺书</w:t>
      </w:r>
    </w:p>
    <w:p w14:paraId="7908E886">
      <w:pPr>
        <w:spacing w:line="5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本人以企业法定代表人的身份郑重承诺：</w:t>
      </w:r>
    </w:p>
    <w:p w14:paraId="6065394A">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一、将遵循公开、公正和诚实信用的原则自愿参加</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项目的投标，所提供的一切材料都是真实、有效、合法的；</w:t>
      </w:r>
    </w:p>
    <w:p w14:paraId="4FA09703">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6E28CAD9">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三、不出借、转让资质证书，不让他人挂靠投标，不以他人名义投标或者以其他方式弄虚作假，骗取中标；</w:t>
      </w:r>
    </w:p>
    <w:p w14:paraId="7371DAFB">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四、不与其他投标人相互串通投标报价，不排挤其他投标人的公平竞争、损害招标人的合法权益；</w:t>
      </w:r>
    </w:p>
    <w:p w14:paraId="53BF9A05">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五、不与招标人、招标代理机构或其他投标人串通投标，损害国家利益、社会公共利益或者他人的合法权益；</w:t>
      </w:r>
    </w:p>
    <w:p w14:paraId="164F1727">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六、</w:t>
      </w:r>
      <w:r>
        <w:rPr>
          <w:rFonts w:hint="eastAsia" w:ascii="宋体" w:hAnsi="宋体" w:eastAsia="宋体" w:cs="宋体"/>
          <w:color w:val="auto"/>
          <w:szCs w:val="21"/>
          <w:highlight w:val="none"/>
          <w:u w:val="single"/>
          <w:lang w:bidi="ar"/>
        </w:rPr>
        <w:t xml:space="preserve">       （企业名称）</w:t>
      </w:r>
      <w:r>
        <w:rPr>
          <w:rFonts w:hint="eastAsia" w:ascii="宋体" w:hAnsi="宋体" w:eastAsia="宋体" w:cs="宋体"/>
          <w:color w:val="auto"/>
          <w:szCs w:val="21"/>
          <w:highlight w:val="none"/>
          <w:lang w:bidi="ar"/>
        </w:rPr>
        <w:t>或</w:t>
      </w:r>
      <w:r>
        <w:rPr>
          <w:rFonts w:hint="eastAsia" w:ascii="宋体" w:hAnsi="宋体" w:eastAsia="宋体" w:cs="宋体"/>
          <w:color w:val="auto"/>
          <w:szCs w:val="21"/>
          <w:highlight w:val="none"/>
          <w:u w:val="single"/>
          <w:lang w:bidi="ar"/>
        </w:rPr>
        <w:t xml:space="preserve">       （企业名称）</w:t>
      </w:r>
      <w:r>
        <w:rPr>
          <w:rFonts w:hint="eastAsia" w:ascii="宋体" w:hAnsi="宋体" w:eastAsia="宋体" w:cs="宋体"/>
          <w:color w:val="auto"/>
          <w:szCs w:val="21"/>
          <w:highlight w:val="none"/>
          <w:lang w:bidi="ar"/>
        </w:rPr>
        <w:t>法定代表人或拟派项目经理（负责人）没有下列情形：①被列入“信用中国”网站“失信被执行人”的；②被列入“信用中国”网站“重大税收违法失信主体”的；③被列入“信用中国”网站 “严重失信主体名单”的；④在“信用中国”网站上披露的仍在公示期的严重失信行为(具体行为类别及判定依据见“信用中国”查询的严重失信行为类别及判定依据)的。⑤被列入国家企业信用信息公示系统网站“经营异常名录”或者“严重违法失信名单”的。⑥被列入中国政府采购网站“政府采购严重违法失信行为信息记录”的。⑦前三年有行贿犯罪行为的单位和个人。（若采购文件对投标人所属分公司、办事处等分支机构有上述1-7项信誉要求，在此一并承诺我公司所属分公司、办事处等分支机构没有上述1-7项情形）</w:t>
      </w:r>
    </w:p>
    <w:p w14:paraId="2B77AFE7">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七、严格遵守开标现场纪律，服从监管人员管理；</w:t>
      </w:r>
    </w:p>
    <w:p w14:paraId="264A028A">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八、保证中标后不转包，若有分包征得招标人同意；</w:t>
      </w:r>
    </w:p>
    <w:p w14:paraId="7391BA2B">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九、保证中标之后，按照投标文件要求提供相关后续服务；</w:t>
      </w:r>
    </w:p>
    <w:p w14:paraId="1DFC1A6F">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十、保证企业及所属相关人员在本次投标中无行贿等犯罪行为；</w:t>
      </w:r>
    </w:p>
    <w:p w14:paraId="6831EA14">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十一、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3B9627F3">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以上内容我已仔细阅读，本公司若有违反承诺内容的行为，自愿接受取消投标或者中标（成交）资格、中标（成交）无效、记入不良行为记录等有关处理，愿意承担法律责任，给招标人造成损失的，依法承担赔偿责任。</w:t>
      </w:r>
    </w:p>
    <w:p w14:paraId="2621FBB0">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5421B222">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开户银行：                      基本账户：</w:t>
      </w:r>
    </w:p>
    <w:p w14:paraId="579D5DCD">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投标单位（签章）：               法定代表人（签章）：</w:t>
      </w:r>
    </w:p>
    <w:p w14:paraId="1E911E8A">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7A378430">
      <w:pPr>
        <w:spacing w:line="560" w:lineRule="exact"/>
        <w:jc w:val="right"/>
        <w:rPr>
          <w:rFonts w:hint="eastAsia" w:ascii="仿宋_GB2312" w:eastAsia="仿宋_GB2312" w:cs="仿宋_GB2312"/>
          <w:color w:val="auto"/>
          <w:sz w:val="32"/>
          <w:szCs w:val="32"/>
          <w:highlight w:val="none"/>
        </w:rPr>
      </w:pPr>
      <w:r>
        <w:rPr>
          <w:rFonts w:hint="eastAsia" w:ascii="宋体" w:hAnsi="宋体" w:eastAsia="宋体" w:cs="宋体"/>
          <w:color w:val="auto"/>
          <w:szCs w:val="21"/>
          <w:highlight w:val="none"/>
          <w:lang w:bidi="ar"/>
        </w:rPr>
        <w:t>日期：</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 xml:space="preserve">年 </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 xml:space="preserve">月 </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日</w:t>
      </w:r>
    </w:p>
    <w:p w14:paraId="24121F30">
      <w:pPr>
        <w:spacing w:line="360" w:lineRule="auto"/>
        <w:jc w:val="center"/>
        <w:outlineLvl w:val="1"/>
        <w:rPr>
          <w:rFonts w:hint="eastAsia" w:asciiTheme="minorEastAsia" w:hAnsiTheme="minorEastAsia" w:eastAsiaTheme="minorEastAsia"/>
          <w:b/>
          <w:color w:val="auto"/>
          <w:sz w:val="24"/>
          <w:highlight w:val="none"/>
        </w:rPr>
      </w:pPr>
    </w:p>
    <w:p w14:paraId="408EE52A">
      <w:pPr>
        <w:spacing w:line="360" w:lineRule="auto"/>
        <w:jc w:val="center"/>
        <w:outlineLvl w:val="1"/>
        <w:rPr>
          <w:rFonts w:hint="eastAsia" w:asciiTheme="minorEastAsia" w:hAnsiTheme="minorEastAsia" w:eastAsiaTheme="minorEastAsia"/>
          <w:b/>
          <w:color w:val="auto"/>
          <w:sz w:val="24"/>
          <w:highlight w:val="none"/>
        </w:rPr>
      </w:pPr>
    </w:p>
    <w:p w14:paraId="0E2B6030">
      <w:pPr>
        <w:spacing w:line="360" w:lineRule="auto"/>
        <w:jc w:val="center"/>
        <w:outlineLvl w:val="1"/>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十二、其他相关证明材料</w:t>
      </w:r>
      <w:bookmarkEnd w:id="83"/>
      <w:bookmarkEnd w:id="84"/>
    </w:p>
    <w:p w14:paraId="48C537D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提供符合投标邀请、采购需求及评标方法和标准规定的相关证明文件。</w:t>
      </w:r>
    </w:p>
    <w:p w14:paraId="732DA80E">
      <w:pPr>
        <w:spacing w:line="360" w:lineRule="auto"/>
        <w:ind w:firstLine="480" w:firstLineChars="200"/>
        <w:rPr>
          <w:rFonts w:hint="eastAsia" w:asciiTheme="minorEastAsia" w:hAnsiTheme="minorEastAsia" w:eastAsiaTheme="minorEastAsia"/>
          <w:color w:val="auto"/>
          <w:sz w:val="24"/>
          <w:highlight w:val="none"/>
        </w:rPr>
      </w:pPr>
    </w:p>
    <w:p w14:paraId="0EF54B81">
      <w:pPr>
        <w:spacing w:line="360" w:lineRule="auto"/>
        <w:ind w:firstLine="435"/>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特别提示：</w:t>
      </w:r>
    </w:p>
    <w:p w14:paraId="6D0C074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投标人在投标文件制作时可在此栏内上传</w:t>
      </w:r>
      <w:r>
        <w:rPr>
          <w:rFonts w:asciiTheme="minorEastAsia" w:hAnsiTheme="minorEastAsia" w:eastAsiaTheme="minorEastAsia"/>
          <w:color w:val="auto"/>
          <w:sz w:val="24"/>
          <w:highlight w:val="none"/>
        </w:rPr>
        <w:t>招标文件要求上传的证明资料</w:t>
      </w:r>
      <w:r>
        <w:rPr>
          <w:rFonts w:hint="eastAsia" w:asciiTheme="minorEastAsia" w:hAnsiTheme="minorEastAsia" w:eastAsiaTheme="minorEastAsia"/>
          <w:color w:val="auto"/>
          <w:sz w:val="24"/>
          <w:highlight w:val="none"/>
        </w:rPr>
        <w:t>，如营业执照、证书</w:t>
      </w:r>
      <w:r>
        <w:rPr>
          <w:rFonts w:asciiTheme="minorEastAsia" w:hAnsiTheme="minorEastAsia" w:eastAsiaTheme="minorEastAsia"/>
          <w:color w:val="auto"/>
          <w:sz w:val="24"/>
          <w:highlight w:val="none"/>
        </w:rPr>
        <w:t>等，应将上述证明材料制作成扫描件上传。</w:t>
      </w:r>
    </w:p>
    <w:p w14:paraId="1BAB6A4B">
      <w:pPr>
        <w:widowControl/>
        <w:jc w:val="left"/>
        <w:rPr>
          <w:rFonts w:hint="eastAsia" w:ascii="宋体" w:hAnsi="宋体" w:eastAsia="宋体"/>
          <w:bCs/>
          <w:color w:val="auto"/>
          <w:sz w:val="24"/>
          <w:highlight w:val="none"/>
        </w:rPr>
      </w:pPr>
      <w:r>
        <w:rPr>
          <w:rFonts w:ascii="宋体" w:hAnsi="宋体" w:eastAsia="宋体"/>
          <w:bCs/>
          <w:color w:val="auto"/>
          <w:sz w:val="24"/>
          <w:highlight w:val="none"/>
        </w:rPr>
        <w:br w:type="page"/>
      </w:r>
    </w:p>
    <w:p w14:paraId="4E44E95B">
      <w:pPr>
        <w:spacing w:line="360" w:lineRule="auto"/>
        <w:jc w:val="center"/>
        <w:outlineLvl w:val="0"/>
        <w:rPr>
          <w:rFonts w:hint="eastAsia" w:ascii="宋体" w:hAnsi="宋体" w:eastAsia="宋体"/>
          <w:b/>
          <w:bCs/>
          <w:color w:val="auto"/>
          <w:sz w:val="28"/>
          <w:highlight w:val="none"/>
        </w:rPr>
      </w:pPr>
      <w:bookmarkStart w:id="85" w:name="_Toc18131"/>
      <w:bookmarkStart w:id="86" w:name="_Toc6435"/>
      <w:r>
        <w:rPr>
          <w:rFonts w:hint="eastAsia" w:asciiTheme="minorEastAsia" w:hAnsiTheme="minorEastAsia" w:eastAsiaTheme="minorEastAsia"/>
          <w:b/>
          <w:color w:val="auto"/>
          <w:sz w:val="28"/>
          <w:highlight w:val="none"/>
        </w:rPr>
        <w:t>第七章</w:t>
      </w:r>
      <w:r>
        <w:rPr>
          <w:rFonts w:hint="eastAsia" w:ascii="宋体" w:hAnsi="宋体" w:eastAsia="宋体"/>
          <w:b/>
          <w:bCs/>
          <w:color w:val="auto"/>
          <w:sz w:val="28"/>
          <w:highlight w:val="none"/>
        </w:rPr>
        <w:t xml:space="preserve">  政府采购</w:t>
      </w:r>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85"/>
      <w:bookmarkEnd w:id="86"/>
    </w:p>
    <w:p w14:paraId="7A40B900">
      <w:pPr>
        <w:spacing w:line="360" w:lineRule="auto"/>
        <w:jc w:val="center"/>
        <w:outlineLvl w:val="1"/>
        <w:rPr>
          <w:rFonts w:hint="eastAsia" w:ascii="仿宋" w:hAnsi="仿宋" w:eastAsia="仿宋" w:cs="仿宋"/>
          <w:b/>
          <w:bCs/>
          <w:color w:val="auto"/>
          <w:sz w:val="32"/>
          <w:szCs w:val="44"/>
          <w:highlight w:val="none"/>
        </w:rPr>
      </w:pPr>
      <w:bookmarkStart w:id="87" w:name="_Toc27489"/>
      <w:bookmarkStart w:id="88" w:name="_Toc27159"/>
      <w:r>
        <w:rPr>
          <w:rFonts w:hint="eastAsia" w:ascii="仿宋" w:hAnsi="仿宋" w:eastAsia="仿宋" w:cs="仿宋"/>
          <w:b/>
          <w:bCs/>
          <w:color w:val="auto"/>
          <w:sz w:val="32"/>
          <w:szCs w:val="44"/>
          <w:highlight w:val="none"/>
        </w:rPr>
        <w:t>询问函范本</w:t>
      </w:r>
      <w:bookmarkEnd w:id="87"/>
      <w:bookmarkEnd w:id="88"/>
    </w:p>
    <w:p w14:paraId="6CE43A10">
      <w:pPr>
        <w:adjustRightInd w:val="0"/>
        <w:snapToGrid w:val="0"/>
        <w:spacing w:line="360" w:lineRule="auto"/>
        <w:ind w:firstLine="480" w:firstLineChars="200"/>
        <w:jc w:val="center"/>
        <w:rPr>
          <w:rFonts w:hint="eastAsia"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（如为对采购文件或采购程序的询问或疑问，请按询问函范本或电子交易系统中网上询问格式附件进行提交）</w:t>
      </w:r>
    </w:p>
    <w:p w14:paraId="2AF82789">
      <w:pPr>
        <w:adjustRightInd w:val="0"/>
        <w:snapToGrid w:val="0"/>
        <w:spacing w:line="360" w:lineRule="auto"/>
        <w:rPr>
          <w:rFonts w:hint="eastAsia" w:cs="仿宋" w:asciiTheme="minorEastAsia" w:hAnsiTheme="minorEastAsia" w:eastAsiaTheme="minorEastAsia"/>
          <w:b/>
          <w:bCs/>
          <w:color w:val="auto"/>
          <w:sz w:val="24"/>
          <w:szCs w:val="24"/>
          <w:highlight w:val="none"/>
          <w:u w:val="single"/>
        </w:rPr>
      </w:pPr>
      <w:r>
        <w:rPr>
          <w:rFonts w:hint="eastAsia" w:cs="仿宋" w:asciiTheme="minorEastAsia" w:hAnsiTheme="minorEastAsia" w:eastAsiaTheme="minorEastAsia"/>
          <w:b/>
          <w:bCs/>
          <w:color w:val="auto"/>
          <w:sz w:val="24"/>
          <w:szCs w:val="24"/>
          <w:highlight w:val="none"/>
        </w:rPr>
        <w:t>致：采购人</w:t>
      </w:r>
    </w:p>
    <w:p w14:paraId="7828A08D">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rPr>
        <w:t xml:space="preserve">           </w:t>
      </w:r>
      <w:r>
        <w:rPr>
          <w:rFonts w:hint="eastAsia" w:cs="仿宋" w:asciiTheme="minorEastAsia" w:hAnsiTheme="minorEastAsia" w:eastAsiaTheme="minorEastAsia"/>
          <w:color w:val="auto"/>
          <w:sz w:val="24"/>
          <w:szCs w:val="24"/>
          <w:highlight w:val="none"/>
        </w:rPr>
        <w:t>（</w:t>
      </w:r>
      <w:r>
        <w:rPr>
          <w:rFonts w:hint="eastAsia" w:cs="仿宋" w:asciiTheme="minorEastAsia" w:hAnsiTheme="minorEastAsia" w:eastAsiaTheme="minorEastAsia"/>
          <w:i/>
          <w:iCs/>
          <w:color w:val="auto"/>
          <w:sz w:val="24"/>
          <w:szCs w:val="24"/>
          <w:highlight w:val="none"/>
        </w:rPr>
        <w:t>项目名称、编号</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23123B7C">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bookmarkStart w:id="89" w:name="_Toc13899"/>
      <w:r>
        <w:rPr>
          <w:rFonts w:hint="eastAsia" w:cs="仿宋" w:asciiTheme="minorEastAsia" w:hAnsiTheme="minorEastAsia" w:eastAsiaTheme="minorEastAsia"/>
          <w:color w:val="auto"/>
          <w:sz w:val="24"/>
          <w:szCs w:val="24"/>
          <w:highlight w:val="none"/>
        </w:rPr>
        <w:t>一、(事项一)</w:t>
      </w:r>
      <w:bookmarkEnd w:id="89"/>
    </w:p>
    <w:p w14:paraId="1819F101">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75CF52F2">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71317426">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2BFB1D19">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bookmarkStart w:id="90" w:name="_Toc3352"/>
      <w:r>
        <w:rPr>
          <w:rFonts w:hint="eastAsia" w:cs="仿宋" w:asciiTheme="minorEastAsia" w:hAnsiTheme="minorEastAsia" w:eastAsiaTheme="minorEastAsia"/>
          <w:color w:val="auto"/>
          <w:sz w:val="24"/>
          <w:szCs w:val="24"/>
          <w:highlight w:val="none"/>
        </w:rPr>
        <w:t>二、(事项二)</w:t>
      </w:r>
      <w:bookmarkEnd w:id="90"/>
    </w:p>
    <w:p w14:paraId="0B8BB9EC">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4D5B281D">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4C1AC0F0">
      <w:pPr>
        <w:spacing w:line="360" w:lineRule="auto"/>
        <w:ind w:firstLine="4228" w:firstLineChars="1762"/>
        <w:rPr>
          <w:rFonts w:hint="eastAsia"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167B9DFB">
      <w:pPr>
        <w:spacing w:line="360" w:lineRule="auto"/>
        <w:ind w:firstLine="4228" w:firstLineChars="1762"/>
        <w:rPr>
          <w:rFonts w:hint="eastAsia"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5BE75B5B">
      <w:pPr>
        <w:tabs>
          <w:tab w:val="left" w:pos="630"/>
        </w:tabs>
        <w:spacing w:line="360" w:lineRule="auto"/>
        <w:ind w:firstLine="4228" w:firstLineChars="1762"/>
        <w:rPr>
          <w:rFonts w:hint="eastAsia"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71388629">
      <w:pPr>
        <w:rPr>
          <w:rFonts w:hint="eastAsia"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0199CB6E">
      <w:pPr>
        <w:jc w:val="center"/>
        <w:outlineLvl w:val="1"/>
        <w:rPr>
          <w:rFonts w:hint="eastAsia" w:ascii="仿宋" w:hAnsi="仿宋" w:eastAsia="仿宋" w:cs="仿宋"/>
          <w:b/>
          <w:bCs/>
          <w:color w:val="auto"/>
          <w:sz w:val="32"/>
          <w:szCs w:val="44"/>
          <w:highlight w:val="none"/>
        </w:rPr>
      </w:pPr>
      <w:bookmarkStart w:id="91" w:name="_Toc1575"/>
      <w:bookmarkStart w:id="92" w:name="_Toc3245"/>
      <w:r>
        <w:rPr>
          <w:rFonts w:hint="eastAsia" w:ascii="仿宋" w:hAnsi="仿宋" w:eastAsia="仿宋" w:cs="仿宋"/>
          <w:b/>
          <w:bCs/>
          <w:color w:val="auto"/>
          <w:sz w:val="32"/>
          <w:szCs w:val="44"/>
          <w:highlight w:val="none"/>
        </w:rPr>
        <w:t>质疑函范本</w:t>
      </w:r>
      <w:bookmarkEnd w:id="91"/>
      <w:bookmarkEnd w:id="92"/>
    </w:p>
    <w:p w14:paraId="5906BD0D">
      <w:pPr>
        <w:adjustRightInd w:val="0"/>
        <w:snapToGrid w:val="0"/>
        <w:spacing w:before="317" w:beforeLines="100" w:line="360" w:lineRule="auto"/>
        <w:rPr>
          <w:rFonts w:hint="eastAsia" w:cs="仿宋" w:asciiTheme="minorEastAsia" w:hAnsiTheme="minorEastAsia" w:eastAsiaTheme="minorEastAsia"/>
          <w:b/>
          <w:bCs/>
          <w:color w:val="auto"/>
          <w:sz w:val="24"/>
          <w:szCs w:val="24"/>
          <w:highlight w:val="none"/>
        </w:rPr>
      </w:pPr>
      <w:bookmarkStart w:id="93" w:name="_Toc21381"/>
      <w:r>
        <w:rPr>
          <w:rFonts w:hint="eastAsia" w:cs="仿宋" w:asciiTheme="minorEastAsia" w:hAnsiTheme="minorEastAsia" w:eastAsiaTheme="minorEastAsia"/>
          <w:b/>
          <w:bCs/>
          <w:color w:val="auto"/>
          <w:sz w:val="24"/>
          <w:szCs w:val="24"/>
          <w:highlight w:val="none"/>
        </w:rPr>
        <w:t>一、质疑供应商基本信息</w:t>
      </w:r>
      <w:bookmarkEnd w:id="93"/>
    </w:p>
    <w:p w14:paraId="68047752">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0D9EA64E">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1E5CB7F5">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24B15109">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0E96A2A3">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r>
        <w:rPr>
          <w:rFonts w:cs="仿宋" w:asciiTheme="minorEastAsia" w:hAnsiTheme="minorEastAsia" w:eastAsiaTheme="minorEastAsia"/>
          <w:color w:val="auto"/>
          <w:sz w:val="24"/>
          <w:szCs w:val="24"/>
          <w:highlight w:val="none"/>
        </w:rPr>
        <w:t xml:space="preserve"> </w:t>
      </w:r>
    </w:p>
    <w:p w14:paraId="562081D1">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4D320F33">
      <w:pPr>
        <w:adjustRightInd w:val="0"/>
        <w:snapToGrid w:val="0"/>
        <w:spacing w:line="360" w:lineRule="auto"/>
        <w:rPr>
          <w:rFonts w:hint="eastAsia" w:cs="仿宋" w:asciiTheme="minorEastAsia" w:hAnsiTheme="minorEastAsia" w:eastAsiaTheme="minorEastAsia"/>
          <w:b/>
          <w:bCs/>
          <w:color w:val="auto"/>
          <w:sz w:val="24"/>
          <w:szCs w:val="24"/>
          <w:highlight w:val="none"/>
        </w:rPr>
      </w:pPr>
      <w:bookmarkStart w:id="94" w:name="_Toc28415"/>
      <w:r>
        <w:rPr>
          <w:rFonts w:hint="eastAsia" w:cs="仿宋" w:asciiTheme="minorEastAsia" w:hAnsiTheme="minorEastAsia" w:eastAsiaTheme="minorEastAsia"/>
          <w:b/>
          <w:bCs/>
          <w:color w:val="auto"/>
          <w:sz w:val="24"/>
          <w:szCs w:val="24"/>
          <w:highlight w:val="none"/>
        </w:rPr>
        <w:t>二、质疑项目基本情况</w:t>
      </w:r>
      <w:bookmarkEnd w:id="94"/>
    </w:p>
    <w:p w14:paraId="2860C142">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502647AD">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15DBDEA2">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2D0895B0">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50ED8362">
      <w:pPr>
        <w:adjustRightInd w:val="0"/>
        <w:snapToGrid w:val="0"/>
        <w:spacing w:line="360" w:lineRule="auto"/>
        <w:rPr>
          <w:rFonts w:hint="eastAsia" w:cs="仿宋" w:asciiTheme="minorEastAsia" w:hAnsiTheme="minorEastAsia" w:eastAsiaTheme="minorEastAsia"/>
          <w:b/>
          <w:bCs/>
          <w:color w:val="auto"/>
          <w:sz w:val="24"/>
          <w:szCs w:val="24"/>
          <w:highlight w:val="none"/>
        </w:rPr>
      </w:pPr>
      <w:bookmarkStart w:id="95" w:name="_Toc19014"/>
      <w:r>
        <w:rPr>
          <w:rFonts w:hint="eastAsia" w:cs="仿宋" w:asciiTheme="minorEastAsia" w:hAnsiTheme="minorEastAsia" w:eastAsiaTheme="minorEastAsia"/>
          <w:b/>
          <w:bCs/>
          <w:color w:val="auto"/>
          <w:sz w:val="24"/>
          <w:szCs w:val="24"/>
          <w:highlight w:val="none"/>
        </w:rPr>
        <w:t>三、质疑事项具体内容</w:t>
      </w:r>
      <w:bookmarkEnd w:id="95"/>
    </w:p>
    <w:p w14:paraId="7A46C700">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68D20E32">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00C02678">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0E2259F0">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2B034B40">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7785DD7F">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562F2234">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44CD7DF7">
      <w:pPr>
        <w:adjustRightInd w:val="0"/>
        <w:snapToGrid w:val="0"/>
        <w:spacing w:line="360" w:lineRule="auto"/>
        <w:rPr>
          <w:rFonts w:hint="eastAsia" w:cs="仿宋" w:asciiTheme="minorEastAsia" w:hAnsiTheme="minorEastAsia" w:eastAsiaTheme="minorEastAsia"/>
          <w:b/>
          <w:bCs/>
          <w:color w:val="auto"/>
          <w:sz w:val="24"/>
          <w:szCs w:val="24"/>
          <w:highlight w:val="none"/>
        </w:rPr>
      </w:pPr>
      <w:bookmarkStart w:id="96" w:name="_Toc17919"/>
      <w:r>
        <w:rPr>
          <w:rFonts w:hint="eastAsia" w:cs="仿宋" w:asciiTheme="minorEastAsia" w:hAnsiTheme="minorEastAsia" w:eastAsiaTheme="minorEastAsia"/>
          <w:b/>
          <w:bCs/>
          <w:color w:val="auto"/>
          <w:sz w:val="24"/>
          <w:szCs w:val="24"/>
          <w:highlight w:val="none"/>
        </w:rPr>
        <w:t>四、与质疑事项相关的质疑请求</w:t>
      </w:r>
      <w:bookmarkEnd w:id="96"/>
    </w:p>
    <w:p w14:paraId="18CD4FCB">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75373188">
      <w:pPr>
        <w:spacing w:line="360" w:lineRule="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066F4DAB">
      <w:pPr>
        <w:spacing w:line="360" w:lineRule="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4D174E90">
      <w:pPr>
        <w:widowControl/>
        <w:jc w:val="left"/>
        <w:rPr>
          <w:rFonts w:hint="eastAsia"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1CC46BFA">
      <w:pPr>
        <w:outlineLvl w:val="0"/>
        <w:rPr>
          <w:rFonts w:hint="eastAsia" w:asciiTheme="minorEastAsia" w:hAnsiTheme="minorEastAsia" w:eastAsiaTheme="minorEastAsia"/>
          <w:b/>
          <w:color w:val="auto"/>
          <w:sz w:val="28"/>
          <w:szCs w:val="32"/>
          <w:highlight w:val="none"/>
        </w:rPr>
      </w:pPr>
      <w:bookmarkStart w:id="97" w:name="_Toc9754"/>
      <w:bookmarkStart w:id="98" w:name="_Toc26836"/>
      <w:r>
        <w:rPr>
          <w:rFonts w:hint="eastAsia" w:asciiTheme="minorEastAsia" w:hAnsiTheme="minorEastAsia" w:eastAsiaTheme="minorEastAsia"/>
          <w:b/>
          <w:color w:val="auto"/>
          <w:sz w:val="28"/>
          <w:szCs w:val="32"/>
          <w:highlight w:val="none"/>
        </w:rPr>
        <w:t>质疑函制作说明：</w:t>
      </w:r>
      <w:bookmarkEnd w:id="97"/>
      <w:bookmarkEnd w:id="98"/>
    </w:p>
    <w:p w14:paraId="72184C8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1FEB506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658EA3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33684A6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42446CC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186B405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64BC0F47">
      <w:pPr>
        <w:spacing w:line="360" w:lineRule="auto"/>
        <w:ind w:firstLine="435"/>
        <w:rPr>
          <w:rFonts w:hint="eastAsia" w:asciiTheme="minorEastAsia" w:hAnsiTheme="minorEastAsia" w:eastAsiaTheme="minorEastAsia"/>
          <w:color w:val="auto"/>
          <w:sz w:val="24"/>
          <w:highlight w:val="none"/>
        </w:rPr>
        <w:sectPr>
          <w:headerReference r:id="rId7" w:type="default"/>
          <w:footerReference r:id="rId8" w:type="default"/>
          <w:pgSz w:w="11905" w:h="16838"/>
          <w:pgMar w:top="1440" w:right="1417" w:bottom="1440" w:left="1417" w:header="850" w:footer="992" w:gutter="0"/>
          <w:cols w:space="0" w:num="1"/>
          <w:docGrid w:type="lines" w:linePitch="317" w:charSpace="0"/>
        </w:sectPr>
      </w:pPr>
    </w:p>
    <w:p w14:paraId="2C37F840">
      <w:pPr>
        <w:keepNext/>
        <w:keepLines/>
        <w:spacing w:before="200" w:after="200" w:line="600" w:lineRule="exact"/>
        <w:outlineLvl w:val="0"/>
        <w:rPr>
          <w:rFonts w:hint="eastAsia" w:ascii="黑体" w:hAnsi="黑体" w:eastAsia="黑体" w:cs="Times New Roman"/>
          <w:b/>
          <w:bCs/>
          <w:color w:val="auto"/>
          <w:kern w:val="44"/>
          <w:sz w:val="28"/>
          <w:szCs w:val="28"/>
          <w:highlight w:val="none"/>
        </w:rPr>
      </w:pPr>
      <w:r>
        <w:rPr>
          <w:rFonts w:hint="eastAsia" w:ascii="黑体" w:hAnsi="黑体" w:eastAsia="黑体" w:cs="Times New Roman"/>
          <w:b/>
          <w:bCs/>
          <w:color w:val="auto"/>
          <w:kern w:val="44"/>
          <w:sz w:val="36"/>
          <w:szCs w:val="28"/>
          <w:highlight w:val="none"/>
        </w:rPr>
        <w:t>附件1 关于联合惩戒失信行为加强信用查询管理的通知</w:t>
      </w:r>
    </w:p>
    <w:p w14:paraId="47AAB7EE">
      <w:pPr>
        <w:adjustRightInd w:val="0"/>
        <w:snapToGrid w:val="0"/>
        <w:spacing w:line="560" w:lineRule="exact"/>
        <w:ind w:firstLine="562" w:firstLineChars="200"/>
        <w:rPr>
          <w:rFonts w:hint="eastAsia"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一、失信行为联合惩戒的范围和查询渠道</w:t>
      </w:r>
    </w:p>
    <w:p w14:paraId="29F24F11">
      <w:pPr>
        <w:adjustRightInd w:val="0"/>
        <w:snapToGrid w:val="0"/>
        <w:spacing w:line="560" w:lineRule="exact"/>
        <w:ind w:firstLine="560" w:firstLineChars="200"/>
        <w:rPr>
          <w:rFonts w:hint="eastAsia"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在我市公共资源交易活动中对存在下列失信行为的投标人、法定代表人及其项目经理（建造师）实施联合惩戒，禁止参与我市公共资源交易活动。</w:t>
      </w:r>
    </w:p>
    <w:p w14:paraId="3A8F773F">
      <w:pPr>
        <w:adjustRightInd w:val="0"/>
        <w:snapToGrid w:val="0"/>
        <w:spacing w:line="560" w:lineRule="exact"/>
        <w:ind w:firstLine="562" w:firstLineChars="200"/>
        <w:rPr>
          <w:rFonts w:hint="eastAsia"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（一）工程建设项目</w:t>
      </w:r>
    </w:p>
    <w:p w14:paraId="17D0C5C7">
      <w:pPr>
        <w:adjustRightInd w:val="0"/>
        <w:snapToGrid w:val="0"/>
        <w:spacing w:line="560" w:lineRule="exact"/>
        <w:ind w:firstLine="560" w:firstLineChars="200"/>
        <w:rPr>
          <w:rFonts w:hint="eastAsia"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1、“信用中国”网站（www.creditchina.gov.cn）查询</w:t>
      </w:r>
      <w:bookmarkStart w:id="99" w:name="OLE_LINK103"/>
      <w:bookmarkStart w:id="100" w:name="OLE_LINK93"/>
      <w:bookmarkStart w:id="101" w:name="OLE_LINK92"/>
      <w:bookmarkStart w:id="102" w:name="OLE_LINK91"/>
      <w:r>
        <w:rPr>
          <w:rFonts w:hint="eastAsia" w:ascii="仿宋_GB2312" w:hAnsi="宋体" w:eastAsia="仿宋_GB2312" w:cs="Times New Roman"/>
          <w:color w:val="auto"/>
          <w:sz w:val="28"/>
          <w:szCs w:val="28"/>
          <w:highlight w:val="none"/>
        </w:rPr>
        <w:t>投标人、法定代表人及其项目经理(建造师)</w:t>
      </w:r>
      <w:bookmarkEnd w:id="99"/>
      <w:bookmarkEnd w:id="100"/>
      <w:bookmarkEnd w:id="101"/>
      <w:bookmarkEnd w:id="102"/>
      <w:r>
        <w:rPr>
          <w:rFonts w:hint="eastAsia" w:ascii="仿宋_GB2312" w:hAnsi="宋体" w:eastAsia="仿宋_GB2312" w:cs="Times New Roman"/>
          <w:color w:val="auto"/>
          <w:sz w:val="28"/>
          <w:szCs w:val="28"/>
          <w:highlight w:val="none"/>
        </w:rPr>
        <w:t>以下失信行为：</w:t>
      </w:r>
    </w:p>
    <w:p w14:paraId="61E8F6DF">
      <w:pPr>
        <w:adjustRightInd w:val="0"/>
        <w:snapToGrid w:val="0"/>
        <w:spacing w:line="560" w:lineRule="exact"/>
        <w:ind w:firstLine="560" w:firstLineChars="200"/>
        <w:rPr>
          <w:rFonts w:hint="eastAsia" w:ascii="仿宋_GB2312" w:hAnsi="宋体" w:eastAsia="仿宋_GB2312" w:cs="Times New Roman"/>
          <w:color w:val="auto"/>
          <w:sz w:val="28"/>
          <w:szCs w:val="28"/>
          <w:highlight w:val="none"/>
        </w:rPr>
      </w:pPr>
      <w:bookmarkStart w:id="103" w:name="OLE_LINK87"/>
      <w:bookmarkStart w:id="104" w:name="OLE_LINK94"/>
      <w:bookmarkStart w:id="105" w:name="OLE_LINK86"/>
      <w:bookmarkStart w:id="106" w:name="OLE_LINK119"/>
      <w:r>
        <w:rPr>
          <w:rFonts w:hint="eastAsia" w:ascii="仿宋_GB2312" w:hAnsi="宋体" w:eastAsia="仿宋_GB2312" w:cs="Times New Roman"/>
          <w:color w:val="auto"/>
          <w:sz w:val="28"/>
          <w:szCs w:val="28"/>
          <w:highlight w:val="none"/>
        </w:rPr>
        <w:t>①被列入“失信被执行人”的;</w:t>
      </w:r>
    </w:p>
    <w:p w14:paraId="1AD8D418">
      <w:pPr>
        <w:adjustRightInd w:val="0"/>
        <w:snapToGrid w:val="0"/>
        <w:spacing w:line="560" w:lineRule="exact"/>
        <w:ind w:firstLine="560" w:firstLineChars="200"/>
        <w:rPr>
          <w:rFonts w:hint="eastAsia"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②被列入</w:t>
      </w:r>
      <w:bookmarkStart w:id="107" w:name="OLE_LINK115"/>
      <w:bookmarkStart w:id="108" w:name="OLE_LINK117"/>
      <w:bookmarkStart w:id="109" w:name="OLE_LINK116"/>
      <w:bookmarkStart w:id="110" w:name="OLE_LINK118"/>
      <w:r>
        <w:rPr>
          <w:rFonts w:hint="eastAsia" w:ascii="仿宋_GB2312" w:hAnsi="宋体" w:eastAsia="仿宋_GB2312" w:cs="Times New Roman"/>
          <w:color w:val="auto"/>
          <w:sz w:val="28"/>
          <w:szCs w:val="28"/>
          <w:highlight w:val="none"/>
        </w:rPr>
        <w:t>“重大税收违法失信主体”</w:t>
      </w:r>
      <w:bookmarkEnd w:id="107"/>
      <w:bookmarkEnd w:id="108"/>
      <w:bookmarkEnd w:id="109"/>
      <w:bookmarkEnd w:id="110"/>
      <w:r>
        <w:rPr>
          <w:rFonts w:hint="eastAsia" w:ascii="仿宋_GB2312" w:hAnsi="宋体" w:eastAsia="仿宋_GB2312" w:cs="Times New Roman"/>
          <w:color w:val="auto"/>
          <w:sz w:val="28"/>
          <w:szCs w:val="28"/>
          <w:highlight w:val="none"/>
        </w:rPr>
        <w:t>的；</w:t>
      </w:r>
    </w:p>
    <w:p w14:paraId="41EB0BEA">
      <w:pPr>
        <w:adjustRightInd w:val="0"/>
        <w:snapToGrid w:val="0"/>
        <w:spacing w:line="560" w:lineRule="exact"/>
        <w:ind w:firstLine="560" w:firstLineChars="200"/>
        <w:rPr>
          <w:rFonts w:hint="eastAsia"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③被列入“拖欠</w:t>
      </w:r>
      <w:bookmarkStart w:id="111" w:name="OLE_LINK85"/>
      <w:bookmarkStart w:id="112" w:name="OLE_LINK84"/>
      <w:r>
        <w:rPr>
          <w:rFonts w:hint="eastAsia" w:ascii="仿宋_GB2312" w:hAnsi="宋体" w:eastAsia="仿宋_GB2312" w:cs="Times New Roman"/>
          <w:color w:val="auto"/>
          <w:sz w:val="28"/>
          <w:szCs w:val="28"/>
          <w:highlight w:val="none"/>
        </w:rPr>
        <w:t>农民工工资失信联合惩戒对象</w:t>
      </w:r>
      <w:bookmarkEnd w:id="111"/>
      <w:bookmarkEnd w:id="112"/>
      <w:r>
        <w:rPr>
          <w:rFonts w:hint="eastAsia" w:ascii="仿宋_GB2312" w:hAnsi="宋体" w:eastAsia="仿宋_GB2312" w:cs="Times New Roman"/>
          <w:color w:val="auto"/>
          <w:sz w:val="28"/>
          <w:szCs w:val="28"/>
          <w:highlight w:val="none"/>
        </w:rPr>
        <w:t>名单”的；</w:t>
      </w:r>
    </w:p>
    <w:p w14:paraId="417FADDB">
      <w:pPr>
        <w:adjustRightInd w:val="0"/>
        <w:snapToGrid w:val="0"/>
        <w:spacing w:line="560" w:lineRule="exact"/>
        <w:ind w:firstLine="560" w:firstLineChars="200"/>
        <w:rPr>
          <w:rFonts w:hint="eastAsia"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④被列入 “严重失信主体名单”的；</w:t>
      </w:r>
    </w:p>
    <w:p w14:paraId="1E44E67D">
      <w:pPr>
        <w:adjustRightInd w:val="0"/>
        <w:snapToGrid w:val="0"/>
        <w:spacing w:line="560" w:lineRule="exact"/>
        <w:ind w:firstLine="560" w:firstLineChars="200"/>
        <w:rPr>
          <w:rFonts w:hint="eastAsia"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⑤在“信用中国”网站上披露的仍在公示期的严重失信行为(具体行为类别及判定依据见附件2)的。</w:t>
      </w:r>
    </w:p>
    <w:bookmarkEnd w:id="103"/>
    <w:bookmarkEnd w:id="104"/>
    <w:bookmarkEnd w:id="105"/>
    <w:bookmarkEnd w:id="106"/>
    <w:p w14:paraId="1C5DB25A">
      <w:pPr>
        <w:adjustRightInd w:val="0"/>
        <w:snapToGrid w:val="0"/>
        <w:spacing w:line="560" w:lineRule="exact"/>
        <w:ind w:firstLine="560" w:firstLineChars="200"/>
        <w:rPr>
          <w:rFonts w:hint="eastAsia"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2、</w:t>
      </w:r>
      <w:bookmarkStart w:id="113" w:name="OLE_LINK130"/>
      <w:r>
        <w:rPr>
          <w:rFonts w:hint="eastAsia" w:ascii="仿宋_GB2312" w:hAnsi="宋体" w:eastAsia="仿宋_GB2312" w:cs="Times New Roman"/>
          <w:color w:val="auto"/>
          <w:sz w:val="28"/>
          <w:szCs w:val="28"/>
          <w:highlight w:val="none"/>
        </w:rPr>
        <w:t>国家企业信用信息公示系统网站</w:t>
      </w:r>
      <w:bookmarkEnd w:id="113"/>
      <w:r>
        <w:rPr>
          <w:rFonts w:hint="eastAsia" w:ascii="仿宋_GB2312" w:hAnsi="宋体" w:eastAsia="仿宋_GB2312" w:cs="Times New Roman"/>
          <w:color w:val="auto"/>
          <w:sz w:val="28"/>
          <w:szCs w:val="28"/>
          <w:highlight w:val="none"/>
        </w:rPr>
        <w:t>（</w:t>
      </w:r>
      <w:r>
        <w:rPr>
          <w:color w:val="auto"/>
          <w:highlight w:val="none"/>
        </w:rPr>
        <w:fldChar w:fldCharType="begin"/>
      </w:r>
      <w:r>
        <w:rPr>
          <w:color w:val="auto"/>
          <w:highlight w:val="none"/>
        </w:rPr>
        <w:instrText xml:space="preserve"> HYPERLINK "http://www.gsxt.gov.cn）查询" </w:instrText>
      </w:r>
      <w:r>
        <w:rPr>
          <w:color w:val="auto"/>
          <w:highlight w:val="none"/>
        </w:rPr>
        <w:fldChar w:fldCharType="separate"/>
      </w:r>
      <w:bookmarkStart w:id="114" w:name="OLE_LINK90"/>
      <w:bookmarkStart w:id="115" w:name="OLE_LINK89"/>
      <w:r>
        <w:rPr>
          <w:rStyle w:val="33"/>
          <w:rFonts w:hint="eastAsia" w:ascii="仿宋_GB2312" w:hAnsi="宋体" w:eastAsia="仿宋_GB2312" w:cs="Times New Roman"/>
          <w:color w:val="auto"/>
          <w:sz w:val="28"/>
          <w:szCs w:val="28"/>
          <w:highlight w:val="none"/>
        </w:rPr>
        <w:t>www.gsxt.gov.cn</w:t>
      </w:r>
      <w:bookmarkEnd w:id="114"/>
      <w:bookmarkEnd w:id="115"/>
      <w:r>
        <w:rPr>
          <w:rStyle w:val="33"/>
          <w:rFonts w:hint="eastAsia" w:ascii="仿宋_GB2312" w:hAnsi="宋体" w:eastAsia="仿宋_GB2312" w:cs="Times New Roman"/>
          <w:color w:val="auto"/>
          <w:sz w:val="28"/>
          <w:szCs w:val="28"/>
          <w:highlight w:val="none"/>
        </w:rPr>
        <w:t>）</w:t>
      </w:r>
      <w:r>
        <w:rPr>
          <w:rStyle w:val="33"/>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查询投标人以下失信行为：</w:t>
      </w:r>
    </w:p>
    <w:p w14:paraId="4F7CB4BC">
      <w:pPr>
        <w:adjustRightInd w:val="0"/>
        <w:snapToGrid w:val="0"/>
        <w:spacing w:line="560" w:lineRule="exact"/>
        <w:ind w:firstLine="560" w:firstLineChars="200"/>
        <w:rPr>
          <w:rFonts w:hint="eastAsia" w:ascii="仿宋_GB2312" w:hAnsi="宋体" w:eastAsia="仿宋_GB2312" w:cs="Times New Roman"/>
          <w:color w:val="auto"/>
          <w:sz w:val="28"/>
          <w:szCs w:val="28"/>
          <w:highlight w:val="none"/>
        </w:rPr>
      </w:pPr>
      <w:bookmarkStart w:id="116" w:name="OLE_LINK121"/>
      <w:bookmarkStart w:id="117" w:name="OLE_LINK122"/>
      <w:bookmarkStart w:id="118" w:name="OLE_LINK120"/>
      <w:r>
        <w:rPr>
          <w:rFonts w:hint="eastAsia" w:ascii="仿宋_GB2312" w:hAnsi="宋体" w:eastAsia="仿宋_GB2312" w:cs="Times New Roman"/>
          <w:color w:val="auto"/>
          <w:sz w:val="28"/>
          <w:szCs w:val="28"/>
          <w:highlight w:val="none"/>
        </w:rPr>
        <w:t>①</w:t>
      </w:r>
      <w:bookmarkStart w:id="119" w:name="OLE_LINK114"/>
      <w:bookmarkStart w:id="120" w:name="OLE_LINK113"/>
      <w:r>
        <w:rPr>
          <w:rFonts w:hint="eastAsia" w:ascii="仿宋_GB2312" w:hAnsi="宋体" w:eastAsia="仿宋_GB2312" w:cs="Times New Roman"/>
          <w:color w:val="auto"/>
          <w:sz w:val="28"/>
          <w:szCs w:val="28"/>
          <w:highlight w:val="none"/>
        </w:rPr>
        <w:t>被列入“经营异常名录”或者“严重违法失信名单”的</w:t>
      </w:r>
      <w:bookmarkEnd w:id="119"/>
      <w:bookmarkEnd w:id="120"/>
      <w:r>
        <w:rPr>
          <w:rFonts w:hint="eastAsia" w:ascii="仿宋_GB2312" w:hAnsi="宋体" w:eastAsia="仿宋_GB2312" w:cs="Times New Roman"/>
          <w:color w:val="auto"/>
          <w:sz w:val="28"/>
          <w:szCs w:val="28"/>
          <w:highlight w:val="none"/>
        </w:rPr>
        <w:t>。</w:t>
      </w:r>
      <w:bookmarkEnd w:id="116"/>
      <w:bookmarkEnd w:id="117"/>
      <w:bookmarkEnd w:id="118"/>
    </w:p>
    <w:p w14:paraId="6E171830">
      <w:pPr>
        <w:adjustRightInd w:val="0"/>
        <w:snapToGrid w:val="0"/>
        <w:spacing w:line="560" w:lineRule="exact"/>
        <w:ind w:firstLine="560" w:firstLineChars="200"/>
        <w:rPr>
          <w:rFonts w:hint="eastAsia"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3、由</w:t>
      </w:r>
      <w:r>
        <w:rPr>
          <w:rFonts w:hint="eastAsia" w:ascii="仿宋_GB2312" w:hAnsi="宋体" w:eastAsia="仿宋_GB2312" w:cs="Times New Roman"/>
          <w:color w:val="auto"/>
          <w:kern w:val="0"/>
          <w:sz w:val="28"/>
          <w:szCs w:val="28"/>
          <w:highlight w:val="none"/>
        </w:rPr>
        <w:t>投标人、法定代表人及其项目经理(建造师)</w:t>
      </w:r>
      <w:r>
        <w:rPr>
          <w:rFonts w:hint="eastAsia" w:ascii="仿宋_GB2312" w:hAnsi="宋体" w:eastAsia="仿宋_GB2312" w:cs="Times New Roman"/>
          <w:color w:val="auto"/>
          <w:sz w:val="28"/>
          <w:szCs w:val="28"/>
          <w:highlight w:val="none"/>
        </w:rPr>
        <w:t>进行承诺，不进行现场网上信用查询的失信行为：</w:t>
      </w:r>
    </w:p>
    <w:p w14:paraId="314A9BD0">
      <w:pPr>
        <w:adjustRightInd w:val="0"/>
        <w:snapToGrid w:val="0"/>
        <w:spacing w:line="560" w:lineRule="exact"/>
        <w:ind w:firstLine="560" w:firstLineChars="200"/>
        <w:rPr>
          <w:rFonts w:hint="eastAsia" w:ascii="仿宋_GB2312" w:hAnsi="宋体" w:eastAsia="仿宋_GB2312" w:cs="楷体"/>
          <w:color w:val="auto"/>
          <w:sz w:val="28"/>
          <w:szCs w:val="28"/>
          <w:highlight w:val="none"/>
        </w:rPr>
      </w:pPr>
      <w:bookmarkStart w:id="121" w:name="OLE_LINK123"/>
      <w:bookmarkStart w:id="122" w:name="OLE_LINK124"/>
      <w:r>
        <w:rPr>
          <w:rFonts w:hint="eastAsia" w:ascii="仿宋_GB2312" w:hAnsi="宋体" w:eastAsia="仿宋_GB2312" w:cs="Times New Roman"/>
          <w:color w:val="auto"/>
          <w:sz w:val="28"/>
          <w:szCs w:val="28"/>
          <w:highlight w:val="none"/>
        </w:rPr>
        <w:t>①</w:t>
      </w:r>
      <w:r>
        <w:rPr>
          <w:rFonts w:hint="eastAsia" w:ascii="仿宋_GB2312" w:hAnsi="宋体" w:eastAsia="仿宋_GB2312" w:cs="楷体"/>
          <w:color w:val="auto"/>
          <w:sz w:val="28"/>
          <w:szCs w:val="28"/>
          <w:highlight w:val="none"/>
        </w:rPr>
        <w:t>前三年有行贿犯罪行为的单位和个人；</w:t>
      </w:r>
    </w:p>
    <w:p w14:paraId="2352B414">
      <w:pPr>
        <w:adjustRightInd w:val="0"/>
        <w:snapToGrid w:val="0"/>
        <w:spacing w:line="560" w:lineRule="exact"/>
        <w:ind w:firstLine="560" w:firstLineChars="200"/>
        <w:rPr>
          <w:rFonts w:hint="eastAsia"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②被滁州市县两级公管部门取消在一定期限内的投标资格且在取消期限内的；</w:t>
      </w:r>
    </w:p>
    <w:p w14:paraId="447A4863">
      <w:pPr>
        <w:adjustRightInd w:val="0"/>
        <w:snapToGrid w:val="0"/>
        <w:spacing w:line="560" w:lineRule="exact"/>
        <w:ind w:firstLine="560" w:firstLineChars="200"/>
        <w:rPr>
          <w:rFonts w:hint="eastAsia"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③被滁州市县两级各行业主管部门取消在一定期限内的投标资格且在取消期限内的；</w:t>
      </w:r>
    </w:p>
    <w:p w14:paraId="073CA14B">
      <w:pPr>
        <w:adjustRightInd w:val="0"/>
        <w:snapToGrid w:val="0"/>
        <w:spacing w:line="560" w:lineRule="exact"/>
        <w:ind w:firstLine="560" w:firstLineChars="200"/>
        <w:rPr>
          <w:rFonts w:hint="eastAsia"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④因拖欠农民工工资被</w:t>
      </w:r>
      <w:bookmarkStart w:id="123" w:name="OLE_LINK108"/>
      <w:bookmarkStart w:id="124" w:name="OLE_LINK107"/>
      <w:r>
        <w:rPr>
          <w:rFonts w:hint="eastAsia" w:ascii="仿宋_GB2312" w:hAnsi="宋体" w:eastAsia="仿宋_GB2312" w:cs="Times New Roman"/>
          <w:color w:val="auto"/>
          <w:sz w:val="28"/>
          <w:szCs w:val="28"/>
          <w:highlight w:val="none"/>
        </w:rPr>
        <w:t>县级及以上有关行政主管部门限制投标资格且在限制期限内的</w:t>
      </w:r>
      <w:bookmarkEnd w:id="123"/>
      <w:bookmarkEnd w:id="124"/>
      <w:r>
        <w:rPr>
          <w:rFonts w:hint="eastAsia" w:ascii="仿宋_GB2312" w:hAnsi="宋体" w:eastAsia="仿宋_GB2312" w:cs="Times New Roman"/>
          <w:color w:val="auto"/>
          <w:sz w:val="28"/>
          <w:szCs w:val="28"/>
          <w:highlight w:val="none"/>
        </w:rPr>
        <w:t>；</w:t>
      </w:r>
    </w:p>
    <w:p w14:paraId="42D14A7F">
      <w:pPr>
        <w:adjustRightInd w:val="0"/>
        <w:snapToGrid w:val="0"/>
        <w:spacing w:line="560" w:lineRule="exact"/>
        <w:ind w:firstLine="560" w:firstLineChars="200"/>
        <w:rPr>
          <w:rFonts w:hint="eastAsia"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bookmarkEnd w:id="121"/>
    <w:bookmarkEnd w:id="122"/>
    <w:p w14:paraId="3519D4F2">
      <w:pPr>
        <w:adjustRightInd w:val="0"/>
        <w:snapToGrid w:val="0"/>
        <w:spacing w:line="560" w:lineRule="exact"/>
        <w:ind w:firstLine="562" w:firstLineChars="200"/>
        <w:rPr>
          <w:rFonts w:hint="eastAsia"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（二）政府采购项目</w:t>
      </w:r>
    </w:p>
    <w:p w14:paraId="2B95F615">
      <w:pPr>
        <w:adjustRightInd w:val="0"/>
        <w:snapToGrid w:val="0"/>
        <w:spacing w:line="560" w:lineRule="exact"/>
        <w:ind w:firstLine="560" w:firstLineChars="200"/>
        <w:rPr>
          <w:rFonts w:hint="eastAsia"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1、“信用中国”网站</w:t>
      </w:r>
      <w:r>
        <w:rPr>
          <w:rFonts w:hint="eastAsia" w:ascii="仿宋" w:hAnsi="仿宋" w:eastAsia="仿宋" w:cs="Times New Roman"/>
          <w:color w:val="auto"/>
          <w:sz w:val="28"/>
          <w:szCs w:val="28"/>
          <w:highlight w:val="none"/>
        </w:rPr>
        <w:t>（</w:t>
      </w:r>
      <w:r>
        <w:rPr>
          <w:rStyle w:val="33"/>
          <w:rFonts w:hint="eastAsia" w:ascii="仿宋" w:hAnsi="仿宋" w:eastAsia="仿宋"/>
          <w:color w:val="auto"/>
          <w:sz w:val="28"/>
          <w:szCs w:val="28"/>
          <w:highlight w:val="none"/>
        </w:rPr>
        <w:t>www.creditchina.gov.cn</w:t>
      </w:r>
      <w:r>
        <w:rPr>
          <w:rFonts w:hint="eastAsia" w:ascii="仿宋" w:hAnsi="仿宋" w:eastAsia="仿宋" w:cs="Times New Roman"/>
          <w:color w:val="auto"/>
          <w:sz w:val="28"/>
          <w:szCs w:val="28"/>
          <w:highlight w:val="none"/>
        </w:rPr>
        <w:t>）</w:t>
      </w:r>
      <w:r>
        <w:rPr>
          <w:rFonts w:hint="eastAsia" w:ascii="仿宋_GB2312" w:hAnsi="宋体" w:eastAsia="仿宋_GB2312" w:cs="Times New Roman"/>
          <w:color w:val="auto"/>
          <w:sz w:val="28"/>
          <w:szCs w:val="28"/>
          <w:highlight w:val="none"/>
        </w:rPr>
        <w:t>查询供应商、法定代表人及其项目负责人以下失信行为：</w:t>
      </w:r>
    </w:p>
    <w:p w14:paraId="12F4339F">
      <w:pPr>
        <w:adjustRightInd w:val="0"/>
        <w:snapToGrid w:val="0"/>
        <w:spacing w:line="560" w:lineRule="exact"/>
        <w:ind w:firstLine="560" w:firstLineChars="200"/>
        <w:rPr>
          <w:rFonts w:hint="eastAsia"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①被列入“失信被执行人”的;</w:t>
      </w:r>
    </w:p>
    <w:p w14:paraId="21701596">
      <w:pPr>
        <w:adjustRightInd w:val="0"/>
        <w:snapToGrid w:val="0"/>
        <w:spacing w:line="560" w:lineRule="exact"/>
        <w:ind w:firstLine="560" w:firstLineChars="200"/>
        <w:rPr>
          <w:rFonts w:hint="eastAsia"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②被列入“重大税收违法失信主体”的；</w:t>
      </w:r>
    </w:p>
    <w:p w14:paraId="248F52AF">
      <w:pPr>
        <w:adjustRightInd w:val="0"/>
        <w:snapToGrid w:val="0"/>
        <w:spacing w:line="560" w:lineRule="exact"/>
        <w:ind w:firstLine="560" w:firstLineChars="200"/>
        <w:rPr>
          <w:rFonts w:hint="eastAsia"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③被列入 “严重失信主体名单”的；</w:t>
      </w:r>
    </w:p>
    <w:p w14:paraId="474B6846">
      <w:pPr>
        <w:adjustRightInd w:val="0"/>
        <w:snapToGrid w:val="0"/>
        <w:spacing w:line="560" w:lineRule="exact"/>
        <w:ind w:firstLine="560" w:firstLineChars="200"/>
        <w:rPr>
          <w:rFonts w:hint="eastAsia"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④在“信用中国”网站上披露的仍在公示期的严重失信行为(具体行为类别及判定依据见附件2)的。</w:t>
      </w:r>
    </w:p>
    <w:p w14:paraId="35213B4E">
      <w:pPr>
        <w:adjustRightInd w:val="0"/>
        <w:snapToGrid w:val="0"/>
        <w:spacing w:line="560" w:lineRule="exact"/>
        <w:ind w:firstLine="560" w:firstLineChars="200"/>
        <w:rPr>
          <w:rFonts w:hint="eastAsia"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2、国家企业信用信息公示系统网站</w:t>
      </w:r>
      <w:r>
        <w:rPr>
          <w:rFonts w:hint="eastAsia" w:ascii="仿宋" w:hAnsi="仿宋" w:eastAsia="仿宋" w:cs="Times New Roman"/>
          <w:color w:val="auto"/>
          <w:sz w:val="28"/>
          <w:szCs w:val="28"/>
          <w:highlight w:val="none"/>
        </w:rPr>
        <w:t>（</w:t>
      </w:r>
      <w:r>
        <w:rPr>
          <w:color w:val="auto"/>
          <w:highlight w:val="none"/>
        </w:rPr>
        <w:fldChar w:fldCharType="begin"/>
      </w:r>
      <w:r>
        <w:rPr>
          <w:color w:val="auto"/>
          <w:highlight w:val="none"/>
        </w:rPr>
        <w:instrText xml:space="preserve"> HYPERLINK "http://www.gsxt.gov.cn）查询" </w:instrText>
      </w:r>
      <w:r>
        <w:rPr>
          <w:color w:val="auto"/>
          <w:highlight w:val="none"/>
        </w:rPr>
        <w:fldChar w:fldCharType="separate"/>
      </w:r>
      <w:r>
        <w:rPr>
          <w:rFonts w:hint="eastAsia" w:ascii="仿宋" w:hAnsi="仿宋" w:eastAsia="仿宋"/>
          <w:color w:val="auto"/>
          <w:sz w:val="28"/>
          <w:szCs w:val="28"/>
          <w:highlight w:val="none"/>
        </w:rPr>
        <w:t>www.gsxt.gov.cn）</w:t>
      </w:r>
      <w:r>
        <w:rPr>
          <w:rFonts w:hint="eastAsia" w:ascii="仿宋" w:hAnsi="仿宋" w:eastAsia="仿宋"/>
          <w:color w:val="auto"/>
          <w:sz w:val="28"/>
          <w:szCs w:val="28"/>
          <w:highlight w:val="none"/>
        </w:rPr>
        <w:fldChar w:fldCharType="end"/>
      </w:r>
      <w:r>
        <w:rPr>
          <w:rFonts w:hint="eastAsia" w:ascii="仿宋_GB2312" w:hAnsi="宋体" w:eastAsia="仿宋_GB2312" w:cs="Times New Roman"/>
          <w:color w:val="auto"/>
          <w:sz w:val="28"/>
          <w:szCs w:val="28"/>
          <w:highlight w:val="none"/>
        </w:rPr>
        <w:t>查询供应商以下失信行为：</w:t>
      </w:r>
    </w:p>
    <w:p w14:paraId="1DF6ED63">
      <w:pPr>
        <w:adjustRightInd w:val="0"/>
        <w:snapToGrid w:val="0"/>
        <w:spacing w:line="560" w:lineRule="exact"/>
        <w:ind w:firstLine="560" w:firstLineChars="200"/>
        <w:rPr>
          <w:rFonts w:hint="eastAsia"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①</w:t>
      </w:r>
      <w:bookmarkStart w:id="125" w:name="OLE_LINK100"/>
      <w:bookmarkStart w:id="126" w:name="OLE_LINK101"/>
      <w:bookmarkStart w:id="127" w:name="OLE_LINK102"/>
      <w:r>
        <w:rPr>
          <w:rFonts w:hint="eastAsia" w:ascii="仿宋_GB2312" w:hAnsi="宋体" w:eastAsia="仿宋_GB2312" w:cs="Times New Roman"/>
          <w:color w:val="auto"/>
          <w:sz w:val="28"/>
          <w:szCs w:val="28"/>
          <w:highlight w:val="none"/>
        </w:rPr>
        <w:t>被列入“经营异常名录”或者“严重违法失信名单”的</w:t>
      </w:r>
      <w:bookmarkEnd w:id="125"/>
      <w:bookmarkEnd w:id="126"/>
      <w:bookmarkEnd w:id="127"/>
      <w:r>
        <w:rPr>
          <w:rFonts w:hint="eastAsia" w:ascii="仿宋_GB2312" w:hAnsi="宋体" w:eastAsia="仿宋_GB2312" w:cs="Times New Roman"/>
          <w:color w:val="auto"/>
          <w:sz w:val="28"/>
          <w:szCs w:val="28"/>
          <w:highlight w:val="none"/>
        </w:rPr>
        <w:t>。</w:t>
      </w:r>
    </w:p>
    <w:p w14:paraId="52937EFC">
      <w:pPr>
        <w:adjustRightInd w:val="0"/>
        <w:snapToGrid w:val="0"/>
        <w:spacing w:line="560" w:lineRule="exact"/>
        <w:ind w:firstLine="560" w:firstLineChars="200"/>
        <w:rPr>
          <w:rFonts w:hint="eastAsia"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3、中国政府采购网站</w:t>
      </w:r>
      <w:r>
        <w:rPr>
          <w:rFonts w:hint="eastAsia" w:ascii="仿宋" w:hAnsi="仿宋" w:eastAsia="仿宋" w:cs="Times New Roman"/>
          <w:color w:val="auto"/>
          <w:sz w:val="28"/>
          <w:szCs w:val="28"/>
          <w:highlight w:val="none"/>
        </w:rPr>
        <w:t>（</w:t>
      </w:r>
      <w:bookmarkStart w:id="128" w:name="OLE_LINK96"/>
      <w:bookmarkStart w:id="129" w:name="OLE_LINK95"/>
      <w:r>
        <w:rPr>
          <w:rFonts w:ascii="仿宋" w:hAnsi="仿宋" w:eastAsia="仿宋" w:cs="Times New Roman"/>
          <w:color w:val="auto"/>
          <w:sz w:val="28"/>
          <w:szCs w:val="28"/>
          <w:highlight w:val="none"/>
        </w:rPr>
        <w:fldChar w:fldCharType="begin"/>
      </w:r>
      <w:r>
        <w:rPr>
          <w:rFonts w:ascii="仿宋" w:hAnsi="仿宋" w:eastAsia="仿宋" w:cs="Times New Roman"/>
          <w:color w:val="auto"/>
          <w:sz w:val="28"/>
          <w:szCs w:val="28"/>
          <w:highlight w:val="none"/>
        </w:rPr>
        <w:instrText xml:space="preserve"> HYPERLINK "http://www.ccgp.gov.cn" </w:instrText>
      </w:r>
      <w:r>
        <w:rPr>
          <w:rFonts w:ascii="仿宋" w:hAnsi="仿宋" w:eastAsia="仿宋" w:cs="Times New Roman"/>
          <w:color w:val="auto"/>
          <w:sz w:val="28"/>
          <w:szCs w:val="28"/>
          <w:highlight w:val="none"/>
        </w:rPr>
        <w:fldChar w:fldCharType="separate"/>
      </w:r>
      <w:r>
        <w:rPr>
          <w:rFonts w:hint="eastAsia" w:ascii="仿宋" w:hAnsi="仿宋" w:eastAsia="仿宋"/>
          <w:color w:val="auto"/>
          <w:sz w:val="28"/>
          <w:szCs w:val="28"/>
          <w:highlight w:val="none"/>
        </w:rPr>
        <w:t>www.ccgp.gov.cn</w:t>
      </w:r>
      <w:r>
        <w:rPr>
          <w:rFonts w:ascii="仿宋" w:hAnsi="仿宋" w:eastAsia="仿宋" w:cs="Times New Roman"/>
          <w:color w:val="auto"/>
          <w:sz w:val="28"/>
          <w:szCs w:val="28"/>
          <w:highlight w:val="none"/>
        </w:rPr>
        <w:fldChar w:fldCharType="end"/>
      </w:r>
      <w:bookmarkEnd w:id="128"/>
      <w:bookmarkEnd w:id="129"/>
      <w:r>
        <w:rPr>
          <w:rFonts w:hint="eastAsia" w:ascii="仿宋" w:hAnsi="仿宋" w:eastAsia="仿宋" w:cs="Times New Roman"/>
          <w:color w:val="auto"/>
          <w:sz w:val="28"/>
          <w:szCs w:val="28"/>
          <w:highlight w:val="none"/>
        </w:rPr>
        <w:t>）</w:t>
      </w:r>
      <w:r>
        <w:rPr>
          <w:rFonts w:hint="eastAsia" w:ascii="仿宋_GB2312" w:hAnsi="宋体" w:eastAsia="仿宋_GB2312" w:cs="Times New Roman"/>
          <w:color w:val="auto"/>
          <w:sz w:val="28"/>
          <w:szCs w:val="28"/>
          <w:highlight w:val="none"/>
        </w:rPr>
        <w:t>查询以下失信行为：</w:t>
      </w:r>
    </w:p>
    <w:p w14:paraId="4008A8F8">
      <w:pPr>
        <w:adjustRightInd w:val="0"/>
        <w:snapToGrid w:val="0"/>
        <w:spacing w:line="560" w:lineRule="exact"/>
        <w:ind w:firstLine="560" w:firstLineChars="200"/>
        <w:rPr>
          <w:rFonts w:hint="eastAsia" w:ascii="仿宋_GB2312" w:hAnsi="宋体" w:eastAsia="仿宋_GB2312" w:cs="楷体"/>
          <w:color w:val="auto"/>
          <w:sz w:val="28"/>
          <w:szCs w:val="28"/>
          <w:highlight w:val="none"/>
        </w:rPr>
      </w:pPr>
      <w:r>
        <w:rPr>
          <w:rFonts w:hint="eastAsia" w:ascii="仿宋_GB2312" w:hAnsi="宋体" w:eastAsia="仿宋_GB2312" w:cs="Times New Roman"/>
          <w:color w:val="auto"/>
          <w:sz w:val="28"/>
          <w:szCs w:val="28"/>
          <w:highlight w:val="none"/>
        </w:rPr>
        <w:t>①</w:t>
      </w:r>
      <w:bookmarkStart w:id="130" w:name="OLE_LINK104"/>
      <w:bookmarkStart w:id="131" w:name="OLE_LINK105"/>
      <w:bookmarkStart w:id="132" w:name="OLE_LINK106"/>
      <w:r>
        <w:rPr>
          <w:rFonts w:hint="eastAsia" w:ascii="仿宋_GB2312" w:hAnsi="宋体" w:eastAsia="仿宋_GB2312" w:cs="Times New Roman"/>
          <w:color w:val="auto"/>
          <w:sz w:val="28"/>
          <w:szCs w:val="28"/>
          <w:highlight w:val="none"/>
        </w:rPr>
        <w:t>被列入“政府采购严重违法失信行为信息记录”的</w:t>
      </w:r>
      <w:bookmarkEnd w:id="130"/>
      <w:bookmarkEnd w:id="131"/>
      <w:bookmarkEnd w:id="132"/>
      <w:r>
        <w:rPr>
          <w:rFonts w:hint="eastAsia" w:ascii="仿宋_GB2312" w:hAnsi="宋体" w:eastAsia="仿宋_GB2312" w:cs="楷体"/>
          <w:color w:val="auto"/>
          <w:sz w:val="28"/>
          <w:szCs w:val="28"/>
          <w:highlight w:val="none"/>
        </w:rPr>
        <w:t>。</w:t>
      </w:r>
    </w:p>
    <w:p w14:paraId="38361C27">
      <w:pPr>
        <w:adjustRightInd w:val="0"/>
        <w:snapToGrid w:val="0"/>
        <w:spacing w:line="560" w:lineRule="exact"/>
        <w:ind w:firstLine="560" w:firstLineChars="200"/>
        <w:rPr>
          <w:rFonts w:hint="eastAsia"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4、由竞争主体进行承诺，不进行现场网上信用查询的失信行为：</w:t>
      </w:r>
    </w:p>
    <w:p w14:paraId="71CC095B">
      <w:pPr>
        <w:adjustRightInd w:val="0"/>
        <w:snapToGrid w:val="0"/>
        <w:spacing w:line="560" w:lineRule="exact"/>
        <w:ind w:firstLine="560" w:firstLineChars="200"/>
        <w:rPr>
          <w:rFonts w:hint="eastAsia"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①</w:t>
      </w:r>
      <w:r>
        <w:rPr>
          <w:rFonts w:hint="eastAsia" w:ascii="仿宋_GB2312" w:hAnsi="宋体" w:eastAsia="仿宋_GB2312" w:cs="楷体"/>
          <w:color w:val="auto"/>
          <w:sz w:val="28"/>
          <w:szCs w:val="28"/>
          <w:highlight w:val="none"/>
        </w:rPr>
        <w:t>前三年有行贿犯罪行为的单位和个人</w:t>
      </w:r>
      <w:r>
        <w:rPr>
          <w:rFonts w:hint="eastAsia" w:ascii="仿宋_GB2312" w:hAnsi="宋体" w:eastAsia="仿宋_GB2312" w:cs="Times New Roman"/>
          <w:color w:val="auto"/>
          <w:sz w:val="28"/>
          <w:szCs w:val="28"/>
          <w:highlight w:val="none"/>
        </w:rPr>
        <w:t>。</w:t>
      </w:r>
    </w:p>
    <w:p w14:paraId="3D5CA77A">
      <w:pPr>
        <w:adjustRightInd w:val="0"/>
        <w:snapToGrid w:val="0"/>
        <w:spacing w:line="560" w:lineRule="exact"/>
        <w:ind w:firstLine="562" w:firstLineChars="200"/>
        <w:rPr>
          <w:rFonts w:hint="eastAsia"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二、在开评标活动中的查询程序</w:t>
      </w:r>
    </w:p>
    <w:p w14:paraId="77C54477">
      <w:pPr>
        <w:adjustRightInd w:val="0"/>
        <w:snapToGrid w:val="0"/>
        <w:spacing w:line="560" w:lineRule="exact"/>
        <w:ind w:firstLine="560" w:firstLineChars="200"/>
        <w:rPr>
          <w:rFonts w:hint="eastAsia"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082B53AE">
      <w:pPr>
        <w:adjustRightInd w:val="0"/>
        <w:snapToGrid w:val="0"/>
        <w:spacing w:line="560" w:lineRule="exact"/>
        <w:ind w:firstLine="560" w:firstLineChars="200"/>
        <w:rPr>
          <w:rFonts w:hint="eastAsia"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2668A69E">
      <w:pPr>
        <w:adjustRightInd w:val="0"/>
        <w:snapToGrid w:val="0"/>
        <w:spacing w:line="560" w:lineRule="exact"/>
        <w:ind w:firstLine="560" w:firstLineChars="200"/>
        <w:rPr>
          <w:rFonts w:hint="eastAsia"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3、项目单位及其委托的代理机构应当做好信用查询结果截图和记录留存。</w:t>
      </w:r>
    </w:p>
    <w:p w14:paraId="64717CC8">
      <w:pPr>
        <w:adjustRightInd w:val="0"/>
        <w:snapToGrid w:val="0"/>
        <w:spacing w:line="560" w:lineRule="exact"/>
        <w:ind w:firstLine="562" w:firstLineChars="200"/>
        <w:rPr>
          <w:rFonts w:hint="eastAsia"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三、相关要求</w:t>
      </w:r>
    </w:p>
    <w:p w14:paraId="4B432AE0">
      <w:pPr>
        <w:adjustRightInd w:val="0"/>
        <w:snapToGrid w:val="0"/>
        <w:spacing w:line="560" w:lineRule="exact"/>
        <w:ind w:firstLine="560" w:firstLineChars="200"/>
        <w:rPr>
          <w:rFonts w:hint="eastAsia"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1、参与公共资源交易活动的竞争主体根据上述范围查询的内容进行自查并承诺，出具《诚信投标承诺书》（诚信投标承诺书包括但不限于上述自查并承诺内容）并注明承诺日期（投标截止时间前5日内）。</w:t>
      </w:r>
    </w:p>
    <w:p w14:paraId="32095984">
      <w:pPr>
        <w:adjustRightInd w:val="0"/>
        <w:snapToGrid w:val="0"/>
        <w:spacing w:line="560" w:lineRule="exact"/>
        <w:ind w:firstLine="560" w:firstLineChars="200"/>
        <w:rPr>
          <w:rFonts w:hint="eastAsia"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17682911">
      <w:pPr>
        <w:wordWrap w:val="0"/>
        <w:adjustRightInd w:val="0"/>
        <w:snapToGrid w:val="0"/>
        <w:spacing w:line="560" w:lineRule="exact"/>
        <w:ind w:firstLine="560" w:firstLineChars="200"/>
        <w:rPr>
          <w:rFonts w:ascii="Times New Roman" w:hAnsi="Times New Roman" w:eastAsia="宋体" w:cs="Times New Roman"/>
          <w:color w:val="auto"/>
          <w:szCs w:val="24"/>
          <w:highlight w:val="none"/>
        </w:rPr>
      </w:pPr>
      <w:r>
        <w:rPr>
          <w:rFonts w:hint="eastAsia" w:ascii="仿宋_GB2312" w:hAnsi="宋体" w:eastAsia="仿宋_GB2312" w:cs="Times New Roman"/>
          <w:color w:val="auto"/>
          <w:sz w:val="28"/>
          <w:szCs w:val="28"/>
          <w:highlight w:val="none"/>
        </w:rPr>
        <w:t xml:space="preserve">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w:t>
      </w:r>
      <w:r>
        <w:rPr>
          <w:color w:val="auto"/>
          <w:highlight w:val="none"/>
        </w:rPr>
        <w:fldChar w:fldCharType="begin"/>
      </w:r>
      <w:r>
        <w:rPr>
          <w:color w:val="auto"/>
          <w:highlight w:val="none"/>
        </w:rPr>
        <w:instrText xml:space="preserve"> HYPERLINK "https://credit.ah.gov.cn/xinyong-fuwu/xvbahv/index.html" </w:instrText>
      </w:r>
      <w:r>
        <w:rPr>
          <w:color w:val="auto"/>
          <w:highlight w:val="none"/>
        </w:rPr>
        <w:fldChar w:fldCharType="separate"/>
      </w:r>
      <w:r>
        <w:rPr>
          <w:rFonts w:hint="eastAsia" w:ascii="仿宋_GB2312" w:hAnsi="宋体" w:eastAsia="仿宋_GB2312" w:cs="Times New Roman"/>
          <w:color w:val="auto"/>
          <w:sz w:val="28"/>
          <w:szCs w:val="28"/>
          <w:highlight w:val="none"/>
        </w:rPr>
        <w:t>https://credit.ah.gov.cn/xinyong-fuwu/xvbahv/index.html</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3A5B151E">
      <w:pPr>
        <w:adjustRightInd w:val="0"/>
        <w:snapToGrid w:val="0"/>
        <w:spacing w:line="560" w:lineRule="exact"/>
        <w:ind w:firstLine="562" w:firstLineChars="200"/>
        <w:rPr>
          <w:rFonts w:hint="eastAsia"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2、“信用中国”查询的严重失信行为判定依据为各行业主管部门下发的联合惩戒文件中规定的行为（按附件2执行）。</w:t>
      </w:r>
    </w:p>
    <w:p w14:paraId="2DA2BEAC">
      <w:pPr>
        <w:wordWrap w:val="0"/>
        <w:adjustRightInd w:val="0"/>
        <w:snapToGrid w:val="0"/>
        <w:spacing w:line="560" w:lineRule="exact"/>
        <w:ind w:firstLine="560" w:firstLineChars="200"/>
        <w:rPr>
          <w:rFonts w:hint="eastAsia"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3、资格预审的项目以递交资格预审申请文件截止时间查询为准；资格后审的项目以递交投标文件截止时间查询为准。</w:t>
      </w:r>
    </w:p>
    <w:p w14:paraId="030E881E">
      <w:pPr>
        <w:wordWrap w:val="0"/>
        <w:adjustRightInd w:val="0"/>
        <w:snapToGrid w:val="0"/>
        <w:spacing w:line="560" w:lineRule="exact"/>
        <w:ind w:firstLine="560" w:firstLineChars="200"/>
        <w:rPr>
          <w:rFonts w:hint="eastAsia" w:ascii="仿宋_GB2312" w:hAnsi="宋体" w:eastAsia="仿宋_GB2312" w:cs="Times New Roman"/>
          <w:color w:val="auto"/>
          <w:sz w:val="28"/>
          <w:szCs w:val="28"/>
          <w:highlight w:val="none"/>
        </w:rPr>
      </w:pPr>
    </w:p>
    <w:p w14:paraId="21AE9A5A">
      <w:pPr>
        <w:ind w:right="-92" w:rightChars="-44"/>
        <w:rPr>
          <w:rFonts w:hint="eastAsia" w:ascii="宋体" w:hAnsi="宋体" w:eastAsia="宋体" w:cs="宋体"/>
          <w:bCs/>
          <w:color w:val="auto"/>
          <w:szCs w:val="21"/>
          <w:highlight w:val="none"/>
        </w:rPr>
      </w:pPr>
    </w:p>
    <w:p w14:paraId="0E856F63">
      <w:pPr>
        <w:ind w:right="-92" w:rightChars="-44"/>
        <w:rPr>
          <w:rFonts w:hint="eastAsia" w:ascii="宋体" w:hAnsi="宋体" w:eastAsia="宋体" w:cs="宋体"/>
          <w:bCs/>
          <w:color w:val="auto"/>
          <w:sz w:val="32"/>
          <w:szCs w:val="32"/>
          <w:highlight w:val="none"/>
        </w:rPr>
      </w:pPr>
    </w:p>
    <w:p w14:paraId="78ADE4DE">
      <w:pPr>
        <w:ind w:right="-92" w:rightChars="-44"/>
        <w:rPr>
          <w:rFonts w:hint="eastAsia" w:ascii="宋体" w:hAnsi="宋体" w:eastAsia="宋体" w:cs="宋体"/>
          <w:bCs/>
          <w:color w:val="auto"/>
          <w:sz w:val="32"/>
          <w:szCs w:val="32"/>
          <w:highlight w:val="none"/>
        </w:rPr>
      </w:pPr>
    </w:p>
    <w:p w14:paraId="1C76BF93">
      <w:pPr>
        <w:ind w:right="-92" w:rightChars="-44"/>
        <w:rPr>
          <w:rFonts w:hint="eastAsia" w:ascii="宋体" w:hAnsi="宋体" w:eastAsia="宋体" w:cs="宋体"/>
          <w:bCs/>
          <w:color w:val="auto"/>
          <w:sz w:val="32"/>
          <w:szCs w:val="32"/>
          <w:highlight w:val="none"/>
        </w:rPr>
      </w:pPr>
    </w:p>
    <w:p w14:paraId="20A7A99F">
      <w:pPr>
        <w:ind w:right="-92" w:rightChars="-44"/>
        <w:rPr>
          <w:rFonts w:hint="eastAsia" w:ascii="宋体" w:hAnsi="宋体" w:eastAsia="宋体" w:cs="宋体"/>
          <w:bCs/>
          <w:color w:val="auto"/>
          <w:sz w:val="32"/>
          <w:szCs w:val="32"/>
          <w:highlight w:val="none"/>
        </w:rPr>
      </w:pPr>
    </w:p>
    <w:p w14:paraId="3ED00CAE">
      <w:pPr>
        <w:ind w:right="-92" w:rightChars="-44"/>
        <w:rPr>
          <w:rFonts w:hint="eastAsia" w:ascii="宋体" w:hAnsi="宋体" w:eastAsia="宋体" w:cs="宋体"/>
          <w:bCs/>
          <w:color w:val="auto"/>
          <w:sz w:val="32"/>
          <w:szCs w:val="32"/>
          <w:highlight w:val="none"/>
        </w:rPr>
      </w:pPr>
    </w:p>
    <w:p w14:paraId="2C848AF2">
      <w:pPr>
        <w:ind w:right="-92" w:rightChars="-44"/>
        <w:rPr>
          <w:rFonts w:hint="eastAsia" w:ascii="宋体" w:hAnsi="宋体" w:eastAsia="宋体" w:cs="宋体"/>
          <w:bCs/>
          <w:color w:val="auto"/>
          <w:sz w:val="32"/>
          <w:szCs w:val="32"/>
          <w:highlight w:val="none"/>
        </w:rPr>
      </w:pPr>
    </w:p>
    <w:p w14:paraId="7054BF99">
      <w:pPr>
        <w:ind w:right="-92" w:rightChars="-44"/>
        <w:rPr>
          <w:rFonts w:hint="eastAsia" w:ascii="宋体" w:hAnsi="宋体" w:eastAsia="宋体" w:cs="宋体"/>
          <w:bCs/>
          <w:color w:val="auto"/>
          <w:sz w:val="32"/>
          <w:szCs w:val="32"/>
          <w:highlight w:val="none"/>
        </w:rPr>
      </w:pPr>
    </w:p>
    <w:p w14:paraId="6F09DCC4">
      <w:pPr>
        <w:ind w:right="-92" w:rightChars="-44"/>
        <w:rPr>
          <w:rFonts w:hint="eastAsia" w:ascii="宋体" w:hAnsi="宋体" w:eastAsia="宋体" w:cs="宋体"/>
          <w:bCs/>
          <w:color w:val="auto"/>
          <w:sz w:val="32"/>
          <w:szCs w:val="32"/>
          <w:highlight w:val="none"/>
        </w:rPr>
      </w:pPr>
    </w:p>
    <w:p w14:paraId="6B02B1CA">
      <w:pPr>
        <w:ind w:right="-92" w:rightChars="-44"/>
        <w:rPr>
          <w:rFonts w:hint="eastAsia" w:ascii="宋体" w:hAnsi="宋体" w:eastAsia="宋体" w:cs="宋体"/>
          <w:bCs/>
          <w:color w:val="auto"/>
          <w:sz w:val="32"/>
          <w:szCs w:val="32"/>
          <w:highlight w:val="none"/>
        </w:rPr>
      </w:pPr>
    </w:p>
    <w:p w14:paraId="584E7535">
      <w:pPr>
        <w:ind w:right="-92" w:rightChars="-44"/>
        <w:rPr>
          <w:rFonts w:hint="eastAsia" w:ascii="宋体" w:hAnsi="宋体" w:eastAsia="宋体" w:cs="宋体"/>
          <w:bCs/>
          <w:color w:val="auto"/>
          <w:sz w:val="32"/>
          <w:szCs w:val="32"/>
          <w:highlight w:val="none"/>
        </w:rPr>
      </w:pPr>
    </w:p>
    <w:p w14:paraId="3BBA0693">
      <w:pPr>
        <w:ind w:right="-92" w:rightChars="-44"/>
        <w:rPr>
          <w:rFonts w:hint="eastAsia" w:ascii="宋体" w:hAnsi="宋体" w:eastAsia="宋体" w:cs="宋体"/>
          <w:bCs/>
          <w:color w:val="auto"/>
          <w:sz w:val="32"/>
          <w:szCs w:val="32"/>
          <w:highlight w:val="none"/>
        </w:rPr>
      </w:pPr>
    </w:p>
    <w:p w14:paraId="00C10959">
      <w:pPr>
        <w:keepNext/>
        <w:keepLines/>
        <w:spacing w:before="200" w:after="200" w:line="600" w:lineRule="exact"/>
        <w:outlineLvl w:val="0"/>
        <w:rPr>
          <w:rFonts w:hint="eastAsia" w:ascii="黑体" w:hAnsi="黑体" w:eastAsia="黑体" w:cs="Times New Roman"/>
          <w:b/>
          <w:bCs/>
          <w:color w:val="auto"/>
          <w:kern w:val="44"/>
          <w:sz w:val="36"/>
          <w:szCs w:val="28"/>
          <w:highlight w:val="none"/>
        </w:rPr>
      </w:pPr>
      <w:bookmarkStart w:id="133" w:name="_Toc95223549"/>
      <w:bookmarkStart w:id="134" w:name="OLE_LINK31"/>
      <w:bookmarkStart w:id="135" w:name="OLE_LINK41"/>
      <w:bookmarkStart w:id="136" w:name="OLE_LINK32"/>
      <w:r>
        <w:rPr>
          <w:rFonts w:hint="eastAsia" w:ascii="黑体" w:hAnsi="黑体" w:eastAsia="黑体" w:cs="Times New Roman"/>
          <w:b/>
          <w:bCs/>
          <w:color w:val="auto"/>
          <w:kern w:val="44"/>
          <w:sz w:val="36"/>
          <w:szCs w:val="28"/>
          <w:highlight w:val="none"/>
        </w:rPr>
        <w:t xml:space="preserve">附件2 </w:t>
      </w:r>
      <w:bookmarkStart w:id="137" w:name="OLE_LINK74"/>
      <w:bookmarkStart w:id="138" w:name="OLE_LINK75"/>
      <w:r>
        <w:rPr>
          <w:rFonts w:hint="eastAsia" w:ascii="黑体" w:hAnsi="黑体" w:eastAsia="黑体" w:cs="Times New Roman"/>
          <w:b/>
          <w:bCs/>
          <w:color w:val="auto"/>
          <w:kern w:val="44"/>
          <w:sz w:val="36"/>
          <w:szCs w:val="28"/>
          <w:highlight w:val="none"/>
        </w:rPr>
        <w:t>“信用中国”查询的严重失信行为</w:t>
      </w:r>
      <w:bookmarkStart w:id="139" w:name="OLE_LINK76"/>
      <w:bookmarkStart w:id="140" w:name="OLE_LINK38"/>
      <w:bookmarkStart w:id="141" w:name="OLE_LINK39"/>
      <w:bookmarkStart w:id="142" w:name="OLE_LINK40"/>
      <w:r>
        <w:rPr>
          <w:rFonts w:hint="eastAsia" w:ascii="黑体" w:hAnsi="黑体" w:eastAsia="黑体" w:cs="Times New Roman"/>
          <w:b/>
          <w:bCs/>
          <w:color w:val="auto"/>
          <w:kern w:val="44"/>
          <w:sz w:val="36"/>
          <w:szCs w:val="28"/>
          <w:highlight w:val="none"/>
        </w:rPr>
        <w:t>类别及判定依据</w:t>
      </w:r>
      <w:bookmarkEnd w:id="133"/>
      <w:bookmarkEnd w:id="137"/>
      <w:bookmarkEnd w:id="138"/>
      <w:bookmarkEnd w:id="139"/>
      <w:bookmarkEnd w:id="140"/>
      <w:bookmarkEnd w:id="141"/>
      <w:bookmarkEnd w:id="142"/>
    </w:p>
    <w:bookmarkEnd w:id="134"/>
    <w:bookmarkEnd w:id="135"/>
    <w:bookmarkEnd w:id="136"/>
    <w:p w14:paraId="290D8223">
      <w:pPr>
        <w:adjustRightInd w:val="0"/>
        <w:snapToGrid w:val="0"/>
        <w:spacing w:line="560" w:lineRule="exact"/>
        <w:ind w:firstLine="645"/>
        <w:jc w:val="left"/>
        <w:rPr>
          <w:rFonts w:hint="eastAsia" w:ascii="仿宋_GB2312" w:hAnsi="宋体" w:eastAsia="仿宋_GB2312" w:cs="Times New Roman"/>
          <w:color w:val="auto"/>
          <w:sz w:val="28"/>
          <w:szCs w:val="28"/>
          <w:highlight w:val="none"/>
        </w:rPr>
      </w:pPr>
      <w:r>
        <w:rPr>
          <w:rFonts w:hint="eastAsia" w:ascii="仿宋_GB2312" w:hAnsi="宋体" w:eastAsia="仿宋_GB2312" w:cs="Times New Roman"/>
          <w:color w:val="auto"/>
          <w:sz w:val="32"/>
          <w:szCs w:val="32"/>
          <w:highlight w:val="none"/>
        </w:rPr>
        <w:t>“</w:t>
      </w:r>
      <w:r>
        <w:rPr>
          <w:rFonts w:hint="eastAsia" w:ascii="仿宋_GB2312" w:hAnsi="宋体" w:eastAsia="仿宋_GB2312" w:cs="Times New Roman"/>
          <w:color w:val="auto"/>
          <w:sz w:val="28"/>
          <w:szCs w:val="28"/>
          <w:highlight w:val="none"/>
        </w:rPr>
        <w:t>信用中国”查询的严重失信行为判定依据为各行业主管部门下发的联合惩戒文件中规定的行为。下面将部分类别的严重失信行为列举如下：</w:t>
      </w:r>
    </w:p>
    <w:p w14:paraId="39F5BF9D">
      <w:pPr>
        <w:adjustRightInd w:val="0"/>
        <w:snapToGrid w:val="0"/>
        <w:spacing w:line="560" w:lineRule="exact"/>
        <w:ind w:firstLine="645"/>
        <w:jc w:val="left"/>
        <w:rPr>
          <w:rFonts w:hint="eastAsia"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一、安全生产领域严重失信行为：</w:t>
      </w:r>
    </w:p>
    <w:p w14:paraId="5C5BF782">
      <w:pPr>
        <w:adjustRightInd w:val="0"/>
        <w:snapToGrid w:val="0"/>
        <w:spacing w:line="560" w:lineRule="exact"/>
        <w:ind w:firstLine="645"/>
        <w:jc w:val="left"/>
        <w:rPr>
          <w:rFonts w:hint="eastAsia"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（一）下列发生生产安全事故的生产经营单位及其有关人员应当列入严重失信主体名单：</w:t>
      </w:r>
    </w:p>
    <w:p w14:paraId="3A1C08AC">
      <w:pPr>
        <w:adjustRightInd w:val="0"/>
        <w:snapToGrid w:val="0"/>
        <w:spacing w:line="560" w:lineRule="exact"/>
        <w:ind w:firstLine="645"/>
        <w:jc w:val="left"/>
        <w:rPr>
          <w:rFonts w:hint="eastAsia"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1、发生特别重大、重大生产安全事故的生产经营单位及其主要负责人，以及经调查认定对该事故发生负有责任，应当列入名单的其他单位和人员；</w:t>
      </w:r>
    </w:p>
    <w:p w14:paraId="6718B05F">
      <w:pPr>
        <w:adjustRightInd w:val="0"/>
        <w:snapToGrid w:val="0"/>
        <w:spacing w:line="560" w:lineRule="exact"/>
        <w:ind w:firstLine="645"/>
        <w:jc w:val="left"/>
        <w:rPr>
          <w:rFonts w:hint="eastAsia"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2、12个月内累计发生2起以上较大生产安全事故的生产经营单位及其主要负责人；</w:t>
      </w:r>
    </w:p>
    <w:p w14:paraId="69B6F177">
      <w:pPr>
        <w:adjustRightInd w:val="0"/>
        <w:snapToGrid w:val="0"/>
        <w:spacing w:line="560" w:lineRule="exact"/>
        <w:ind w:firstLine="645"/>
        <w:jc w:val="left"/>
        <w:rPr>
          <w:rFonts w:hint="eastAsia"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3、发生生产安全事故，情节特别严重、影响特别恶劣，依照《中华人民共和国安全生产法》第一百一十四条的规定被处以罚款数额2倍以上5倍以下罚款的生产经营单位及其主要负责人；</w:t>
      </w:r>
    </w:p>
    <w:p w14:paraId="229AD179">
      <w:pPr>
        <w:adjustRightInd w:val="0"/>
        <w:snapToGrid w:val="0"/>
        <w:spacing w:line="560" w:lineRule="exact"/>
        <w:ind w:firstLine="645"/>
        <w:jc w:val="left"/>
        <w:rPr>
          <w:rFonts w:hint="eastAsia"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4、瞒报、谎报生产安全事故的生产经营单位及其有关责任人员；</w:t>
      </w:r>
    </w:p>
    <w:p w14:paraId="3882638A">
      <w:pPr>
        <w:adjustRightInd w:val="0"/>
        <w:snapToGrid w:val="0"/>
        <w:spacing w:line="560" w:lineRule="exact"/>
        <w:ind w:firstLine="645"/>
        <w:jc w:val="left"/>
        <w:rPr>
          <w:rFonts w:hint="eastAsia"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5、发生生产安全事故后，不立即组织抢救或者在事故调查处理期间擅离职守或者逃匿的生产经营单位主要负责人。</w:t>
      </w:r>
    </w:p>
    <w:p w14:paraId="7AF93F8B">
      <w:pPr>
        <w:adjustRightInd w:val="0"/>
        <w:snapToGrid w:val="0"/>
        <w:spacing w:line="560" w:lineRule="exact"/>
        <w:ind w:firstLine="645"/>
        <w:jc w:val="left"/>
        <w:rPr>
          <w:rFonts w:hint="eastAsia"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（二）下列未发生生产安全事故，但因安全生产违法行为，受到行政处罚的生产经营单位或者机构及其有关人员，应当列入严重失信主体名单：</w:t>
      </w:r>
    </w:p>
    <w:p w14:paraId="43FCA76B">
      <w:pPr>
        <w:adjustRightInd w:val="0"/>
        <w:snapToGrid w:val="0"/>
        <w:spacing w:line="560" w:lineRule="exact"/>
        <w:ind w:firstLine="645"/>
        <w:jc w:val="left"/>
        <w:rPr>
          <w:rFonts w:hint="eastAsia"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1、未依法取得安全生产相关许可或者许可被暂扣、吊销期间从事相关生产经营活动的生产经营单位及其主要负责人；</w:t>
      </w:r>
    </w:p>
    <w:p w14:paraId="0FCD95C5">
      <w:pPr>
        <w:adjustRightInd w:val="0"/>
        <w:snapToGrid w:val="0"/>
        <w:spacing w:line="560" w:lineRule="exact"/>
        <w:ind w:firstLine="645"/>
        <w:jc w:val="left"/>
        <w:rPr>
          <w:rFonts w:hint="eastAsia"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2、承担安全评价、认证、检测、检验职责的机构及其直接责任人员租借资质、挂靠、出具虚假报告或者证书的；</w:t>
      </w:r>
    </w:p>
    <w:p w14:paraId="535FA5C3">
      <w:pPr>
        <w:adjustRightInd w:val="0"/>
        <w:snapToGrid w:val="0"/>
        <w:spacing w:line="560" w:lineRule="exact"/>
        <w:ind w:firstLine="645"/>
        <w:jc w:val="left"/>
        <w:rPr>
          <w:rFonts w:hint="eastAsia"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3、在应急管理部门作出行政处罚后，有执行能力拒不执行或者逃避执行的生产经营单位及其主要负责人；</w:t>
      </w:r>
    </w:p>
    <w:p w14:paraId="1B131E85">
      <w:pPr>
        <w:adjustRightInd w:val="0"/>
        <w:snapToGrid w:val="0"/>
        <w:spacing w:line="560" w:lineRule="exact"/>
        <w:ind w:firstLine="645"/>
        <w:jc w:val="left"/>
        <w:rPr>
          <w:rFonts w:hint="eastAsia"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4、其他违反安全生产法律法规受到行政处罚，且性质恶劣、情节严重的。</w:t>
      </w:r>
    </w:p>
    <w:p w14:paraId="096C2B15">
      <w:pPr>
        <w:adjustRightInd w:val="0"/>
        <w:snapToGrid w:val="0"/>
        <w:spacing w:line="560" w:lineRule="exact"/>
        <w:ind w:firstLine="645"/>
        <w:jc w:val="left"/>
        <w:rPr>
          <w:rFonts w:ascii="仿宋_GB2312" w:hAnsi="Calibri"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依据：《安全生产严重失信主体名单管理办法》</w:t>
      </w:r>
      <w:r>
        <w:rPr>
          <w:rFonts w:hint="eastAsia" w:ascii="仿宋_GB2312" w:hAnsi="Calibri" w:eastAsia="仿宋_GB2312" w:cs="Times New Roman"/>
          <w:b/>
          <w:color w:val="auto"/>
          <w:sz w:val="28"/>
          <w:szCs w:val="28"/>
          <w:highlight w:val="none"/>
        </w:rPr>
        <w:t>（2023年8月8日应急管理部令第11号）</w:t>
      </w:r>
    </w:p>
    <w:p w14:paraId="564535F8">
      <w:pPr>
        <w:adjustRightInd w:val="0"/>
        <w:snapToGrid w:val="0"/>
        <w:spacing w:line="560" w:lineRule="exact"/>
        <w:ind w:firstLine="645"/>
        <w:jc w:val="left"/>
        <w:rPr>
          <w:rFonts w:hint="eastAsia" w:ascii="仿宋_GB2312" w:hAnsi="宋体" w:eastAsia="仿宋_GB2312" w:cs="Times New Roman"/>
          <w:b/>
          <w:color w:val="auto"/>
          <w:sz w:val="28"/>
          <w:szCs w:val="28"/>
          <w:highlight w:val="none"/>
        </w:rPr>
      </w:pPr>
    </w:p>
    <w:p w14:paraId="47D69378">
      <w:pPr>
        <w:adjustRightInd w:val="0"/>
        <w:snapToGrid w:val="0"/>
        <w:spacing w:line="560" w:lineRule="exact"/>
        <w:ind w:firstLine="645"/>
        <w:jc w:val="left"/>
        <w:rPr>
          <w:rFonts w:hint="eastAsia"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二、环境保护领域严重失信行为：</w:t>
      </w:r>
    </w:p>
    <w:p w14:paraId="733EA37A">
      <w:pPr>
        <w:adjustRightInd w:val="0"/>
        <w:snapToGrid w:val="0"/>
        <w:spacing w:line="560" w:lineRule="exact"/>
        <w:ind w:firstLine="645"/>
        <w:jc w:val="left"/>
        <w:rPr>
          <w:rFonts w:hint="eastAsia"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（一）因为环境违法构成</w:t>
      </w:r>
      <w:r>
        <w:rPr>
          <w:color w:val="auto"/>
          <w:highlight w:val="none"/>
        </w:rPr>
        <w:fldChar w:fldCharType="begin"/>
      </w:r>
      <w:r>
        <w:rPr>
          <w:color w:val="auto"/>
          <w:highlight w:val="none"/>
        </w:rPr>
        <w:instrText xml:space="preserve"> HYPERLINK "https://baike.sogou.com/m/fullLemma?lid=10403954&amp;g_ut=3" \t "https://baike.sogou.com/m/_blank" </w:instrText>
      </w:r>
      <w:r>
        <w:rPr>
          <w:color w:val="auto"/>
          <w:highlight w:val="none"/>
        </w:rPr>
        <w:fldChar w:fldCharType="separate"/>
      </w:r>
      <w:r>
        <w:rPr>
          <w:rFonts w:hint="eastAsia" w:ascii="仿宋_GB2312" w:hAnsi="宋体" w:eastAsia="仿宋_GB2312" w:cs="Times New Roman"/>
          <w:color w:val="auto"/>
          <w:sz w:val="28"/>
          <w:szCs w:val="28"/>
          <w:highlight w:val="none"/>
        </w:rPr>
        <w:t>环境犯罪</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的；</w:t>
      </w:r>
    </w:p>
    <w:p w14:paraId="7B8025B8">
      <w:pPr>
        <w:adjustRightInd w:val="0"/>
        <w:snapToGrid w:val="0"/>
        <w:spacing w:line="560" w:lineRule="exact"/>
        <w:ind w:firstLine="645"/>
        <w:jc w:val="left"/>
        <w:rPr>
          <w:rFonts w:hint="eastAsia"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（二）</w:t>
      </w:r>
      <w:r>
        <w:rPr>
          <w:color w:val="auto"/>
          <w:highlight w:val="none"/>
        </w:rPr>
        <w:fldChar w:fldCharType="begin"/>
      </w:r>
      <w:r>
        <w:rPr>
          <w:color w:val="auto"/>
          <w:highlight w:val="none"/>
        </w:rPr>
        <w:instrText xml:space="preserve"> HYPERLINK "https://baike.sogou.com/m/fullLemma?lid=76033123&amp;g_ut=3" \t "https://baike.sogou.com/m/_blank" </w:instrText>
      </w:r>
      <w:r>
        <w:rPr>
          <w:color w:val="auto"/>
          <w:highlight w:val="none"/>
        </w:rPr>
        <w:fldChar w:fldCharType="separate"/>
      </w:r>
      <w:r>
        <w:rPr>
          <w:rFonts w:hint="eastAsia" w:ascii="仿宋_GB2312" w:hAnsi="宋体" w:eastAsia="仿宋_GB2312" w:cs="Times New Roman"/>
          <w:color w:val="auto"/>
          <w:sz w:val="28"/>
          <w:szCs w:val="28"/>
          <w:highlight w:val="none"/>
        </w:rPr>
        <w:t>建设项目环境影响评价</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文件未按规定通过审批，擅自开工建设的；</w:t>
      </w:r>
    </w:p>
    <w:p w14:paraId="00464218">
      <w:pPr>
        <w:adjustRightInd w:val="0"/>
        <w:snapToGrid w:val="0"/>
        <w:spacing w:line="560" w:lineRule="exact"/>
        <w:ind w:firstLine="645"/>
        <w:jc w:val="left"/>
        <w:rPr>
          <w:rFonts w:hint="eastAsia"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（三）建设项目环保设施未建成、环保措施未落实、未通过</w:t>
      </w:r>
      <w:r>
        <w:rPr>
          <w:color w:val="auto"/>
          <w:highlight w:val="none"/>
        </w:rPr>
        <w:fldChar w:fldCharType="begin"/>
      </w:r>
      <w:r>
        <w:rPr>
          <w:color w:val="auto"/>
          <w:highlight w:val="none"/>
        </w:rPr>
        <w:instrText xml:space="preserve"> HYPERLINK "https://baike.sogou.com/m/fullLemma?lid=6470550&amp;g_ut=3" \t "https://baike.sogou.com/m/_blank" </w:instrText>
      </w:r>
      <w:r>
        <w:rPr>
          <w:color w:val="auto"/>
          <w:highlight w:val="none"/>
        </w:rPr>
        <w:fldChar w:fldCharType="separate"/>
      </w:r>
      <w:r>
        <w:rPr>
          <w:rFonts w:hint="eastAsia" w:ascii="仿宋_GB2312" w:hAnsi="宋体" w:eastAsia="仿宋_GB2312" w:cs="Times New Roman"/>
          <w:color w:val="auto"/>
          <w:sz w:val="28"/>
          <w:szCs w:val="28"/>
          <w:highlight w:val="none"/>
        </w:rPr>
        <w:t>竣工环保验收</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或者验收不合格，主体工程正式投入生产或者使用的；</w:t>
      </w:r>
    </w:p>
    <w:p w14:paraId="7365A82D">
      <w:pPr>
        <w:adjustRightInd w:val="0"/>
        <w:snapToGrid w:val="0"/>
        <w:spacing w:line="560" w:lineRule="exact"/>
        <w:ind w:firstLine="645"/>
        <w:jc w:val="left"/>
        <w:rPr>
          <w:rFonts w:hint="eastAsia"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（四）建设项目性质、规模、地点、采用的生产工艺或者防治污染、防止生态破坏的措施发生重大变动，未重新报批环境影响评价文件，擅自投入生产或者使用的；</w:t>
      </w:r>
    </w:p>
    <w:p w14:paraId="62B9F8DB">
      <w:pPr>
        <w:adjustRightInd w:val="0"/>
        <w:snapToGrid w:val="0"/>
        <w:spacing w:line="560" w:lineRule="exact"/>
        <w:ind w:firstLine="645"/>
        <w:jc w:val="left"/>
        <w:rPr>
          <w:rFonts w:hint="eastAsia"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（五）主要污染物排放总量超过控制指标的；</w:t>
      </w:r>
    </w:p>
    <w:p w14:paraId="475D7729">
      <w:pPr>
        <w:adjustRightInd w:val="0"/>
        <w:snapToGrid w:val="0"/>
        <w:spacing w:line="560" w:lineRule="exact"/>
        <w:ind w:firstLine="645"/>
        <w:jc w:val="left"/>
        <w:rPr>
          <w:rFonts w:hint="eastAsia"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（六）私设暗管或者利用</w:t>
      </w:r>
      <w:r>
        <w:rPr>
          <w:color w:val="auto"/>
          <w:highlight w:val="none"/>
        </w:rPr>
        <w:fldChar w:fldCharType="begin"/>
      </w:r>
      <w:r>
        <w:rPr>
          <w:color w:val="auto"/>
          <w:highlight w:val="none"/>
        </w:rPr>
        <w:instrText xml:space="preserve"> HYPERLINK "https://baike.sogou.com/m/fullLemma?lid=41657319&amp;g_ut=3" \t "https://baike.sogou.com/m/_blank" </w:instrText>
      </w:r>
      <w:r>
        <w:rPr>
          <w:color w:val="auto"/>
          <w:highlight w:val="none"/>
        </w:rPr>
        <w:fldChar w:fldCharType="separate"/>
      </w:r>
      <w:r>
        <w:rPr>
          <w:rFonts w:hint="eastAsia" w:ascii="仿宋_GB2312" w:hAnsi="宋体" w:eastAsia="仿宋_GB2312" w:cs="Times New Roman"/>
          <w:color w:val="auto"/>
          <w:sz w:val="28"/>
          <w:szCs w:val="28"/>
          <w:highlight w:val="none"/>
        </w:rPr>
        <w:t>渗井</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、渗坑、裂隙、溶洞等排放、倾倒、处置水污染物，或者通过私设旁路排放</w:t>
      </w:r>
      <w:r>
        <w:rPr>
          <w:color w:val="auto"/>
          <w:highlight w:val="none"/>
        </w:rPr>
        <w:fldChar w:fldCharType="begin"/>
      </w:r>
      <w:r>
        <w:rPr>
          <w:color w:val="auto"/>
          <w:highlight w:val="none"/>
        </w:rPr>
        <w:instrText xml:space="preserve"> HYPERLINK "https://baike.sogou.com/m/fullLemma?lid=7758328&amp;g_ut=3" \t "https://baike.sogou.com/m/_blank" </w:instrText>
      </w:r>
      <w:r>
        <w:rPr>
          <w:color w:val="auto"/>
          <w:highlight w:val="none"/>
        </w:rPr>
        <w:fldChar w:fldCharType="separate"/>
      </w:r>
      <w:r>
        <w:rPr>
          <w:rFonts w:hint="eastAsia" w:ascii="仿宋_GB2312" w:hAnsi="宋体" w:eastAsia="仿宋_GB2312" w:cs="Times New Roman"/>
          <w:color w:val="auto"/>
          <w:sz w:val="28"/>
          <w:szCs w:val="28"/>
          <w:highlight w:val="none"/>
        </w:rPr>
        <w:t>大气污染物</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的；</w:t>
      </w:r>
    </w:p>
    <w:p w14:paraId="7E0DB6CB">
      <w:pPr>
        <w:adjustRightInd w:val="0"/>
        <w:snapToGrid w:val="0"/>
        <w:spacing w:line="560" w:lineRule="exact"/>
        <w:ind w:firstLine="645"/>
        <w:jc w:val="left"/>
        <w:rPr>
          <w:rFonts w:hint="eastAsia"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（七）非法排放、倾倒、处置危险废物，或者向无</w:t>
      </w:r>
      <w:r>
        <w:rPr>
          <w:color w:val="auto"/>
          <w:highlight w:val="none"/>
        </w:rPr>
        <w:fldChar w:fldCharType="begin"/>
      </w:r>
      <w:r>
        <w:rPr>
          <w:color w:val="auto"/>
          <w:highlight w:val="none"/>
        </w:rPr>
        <w:instrText xml:space="preserve"> HYPERLINK "https://baike.sogou.com/m/fullLemma?lid=5923292&amp;g_ut=3" \t "https://baike.sogou.com/m/_blank" </w:instrText>
      </w:r>
      <w:r>
        <w:rPr>
          <w:color w:val="auto"/>
          <w:highlight w:val="none"/>
        </w:rPr>
        <w:fldChar w:fldCharType="separate"/>
      </w:r>
      <w:r>
        <w:rPr>
          <w:rFonts w:hint="eastAsia" w:ascii="仿宋_GB2312" w:hAnsi="宋体" w:eastAsia="仿宋_GB2312" w:cs="Times New Roman"/>
          <w:color w:val="auto"/>
          <w:sz w:val="28"/>
          <w:szCs w:val="28"/>
          <w:highlight w:val="none"/>
        </w:rPr>
        <w:t>经营许可证</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或者超出经营许可范围的单位或个人提供或者委托其收集、贮存、利用、处置危险废物的；</w:t>
      </w:r>
    </w:p>
    <w:p w14:paraId="6DB9F69D">
      <w:pPr>
        <w:adjustRightInd w:val="0"/>
        <w:snapToGrid w:val="0"/>
        <w:spacing w:line="560" w:lineRule="exact"/>
        <w:ind w:firstLine="645"/>
        <w:jc w:val="left"/>
        <w:rPr>
          <w:rFonts w:hint="eastAsia"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（八）</w:t>
      </w:r>
      <w:r>
        <w:rPr>
          <w:color w:val="auto"/>
          <w:highlight w:val="none"/>
        </w:rPr>
        <w:fldChar w:fldCharType="begin"/>
      </w:r>
      <w:r>
        <w:rPr>
          <w:color w:val="auto"/>
          <w:highlight w:val="none"/>
        </w:rPr>
        <w:instrText xml:space="preserve"> HYPERLINK "https://baike.sogou.com/m/fullLemma?lid=167759803&amp;g_ut=3" \t "https://baike.sogou.com/m/_blank" </w:instrText>
      </w:r>
      <w:r>
        <w:rPr>
          <w:color w:val="auto"/>
          <w:highlight w:val="none"/>
        </w:rPr>
        <w:fldChar w:fldCharType="separate"/>
      </w:r>
      <w:r>
        <w:rPr>
          <w:rFonts w:hint="eastAsia" w:ascii="仿宋_GB2312" w:hAnsi="宋体" w:eastAsia="仿宋_GB2312" w:cs="Times New Roman"/>
          <w:color w:val="auto"/>
          <w:sz w:val="28"/>
          <w:szCs w:val="28"/>
          <w:highlight w:val="none"/>
        </w:rPr>
        <w:t>环境违法行为</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造成集中式生活饮用水水源取水中断的；</w:t>
      </w:r>
    </w:p>
    <w:p w14:paraId="3328A91E">
      <w:pPr>
        <w:adjustRightInd w:val="0"/>
        <w:snapToGrid w:val="0"/>
        <w:spacing w:line="560" w:lineRule="exact"/>
        <w:ind w:firstLine="645"/>
        <w:jc w:val="left"/>
        <w:rPr>
          <w:rFonts w:hint="eastAsia"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（九）环境违法行为对生活饮用水水源保护区、自然保护区、</w:t>
      </w:r>
      <w:r>
        <w:rPr>
          <w:color w:val="auto"/>
          <w:highlight w:val="none"/>
        </w:rPr>
        <w:fldChar w:fldCharType="begin"/>
      </w:r>
      <w:r>
        <w:rPr>
          <w:color w:val="auto"/>
          <w:highlight w:val="none"/>
        </w:rPr>
        <w:instrText xml:space="preserve"> HYPERLINK "https://baike.sogou.com/m/fullLemma?lid=155199213&amp;g_ut=3" \t "https://baike.sogou.com/m/_blank" </w:instrText>
      </w:r>
      <w:r>
        <w:rPr>
          <w:color w:val="auto"/>
          <w:highlight w:val="none"/>
        </w:rPr>
        <w:fldChar w:fldCharType="separate"/>
      </w:r>
      <w:r>
        <w:rPr>
          <w:rFonts w:hint="eastAsia" w:ascii="仿宋_GB2312" w:hAnsi="宋体" w:eastAsia="仿宋_GB2312" w:cs="Times New Roman"/>
          <w:color w:val="auto"/>
          <w:sz w:val="28"/>
          <w:szCs w:val="28"/>
          <w:highlight w:val="none"/>
        </w:rPr>
        <w:t>国家重点生态功能区</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、风景名胜区、居住功能区、</w:t>
      </w:r>
      <w:r>
        <w:rPr>
          <w:color w:val="auto"/>
          <w:highlight w:val="none"/>
        </w:rPr>
        <w:fldChar w:fldCharType="begin"/>
      </w:r>
      <w:r>
        <w:rPr>
          <w:color w:val="auto"/>
          <w:highlight w:val="none"/>
        </w:rPr>
        <w:instrText xml:space="preserve"> HYPERLINK "https://baike.sogou.com/m/fullLemma?lid=7757164&amp;g_ut=3" \t "https://baike.sogou.com/m/_blank" </w:instrText>
      </w:r>
      <w:r>
        <w:rPr>
          <w:color w:val="auto"/>
          <w:highlight w:val="none"/>
        </w:rPr>
        <w:fldChar w:fldCharType="separate"/>
      </w:r>
      <w:r>
        <w:rPr>
          <w:rFonts w:hint="eastAsia" w:ascii="仿宋_GB2312" w:hAnsi="宋体" w:eastAsia="仿宋_GB2312" w:cs="Times New Roman"/>
          <w:color w:val="auto"/>
          <w:sz w:val="28"/>
          <w:szCs w:val="28"/>
          <w:highlight w:val="none"/>
        </w:rPr>
        <w:t>基本农田保护区</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等环境敏感区造成重大不利影响的；</w:t>
      </w:r>
    </w:p>
    <w:p w14:paraId="45AEBA23">
      <w:pPr>
        <w:adjustRightInd w:val="0"/>
        <w:snapToGrid w:val="0"/>
        <w:spacing w:line="560" w:lineRule="exact"/>
        <w:ind w:firstLine="645"/>
        <w:jc w:val="left"/>
        <w:rPr>
          <w:rFonts w:hint="eastAsia"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（十）违法从事自然资源开发、交通基础设施建设，以及其他开发建设活动，造成严重生态破坏的；</w:t>
      </w:r>
    </w:p>
    <w:p w14:paraId="10B00670">
      <w:pPr>
        <w:adjustRightInd w:val="0"/>
        <w:snapToGrid w:val="0"/>
        <w:spacing w:line="560" w:lineRule="exact"/>
        <w:ind w:firstLine="645"/>
        <w:jc w:val="left"/>
        <w:rPr>
          <w:rFonts w:hint="eastAsia"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（十一）发生较大及以上突发环境事件的；</w:t>
      </w:r>
    </w:p>
    <w:p w14:paraId="075766CB">
      <w:pPr>
        <w:adjustRightInd w:val="0"/>
        <w:snapToGrid w:val="0"/>
        <w:spacing w:line="560" w:lineRule="exact"/>
        <w:ind w:firstLine="645"/>
        <w:jc w:val="left"/>
        <w:rPr>
          <w:rFonts w:hint="eastAsia"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（十二）被环保部门挂牌督办，整改逾期未完成的；</w:t>
      </w:r>
    </w:p>
    <w:p w14:paraId="5B4F67E8">
      <w:pPr>
        <w:adjustRightInd w:val="0"/>
        <w:snapToGrid w:val="0"/>
        <w:spacing w:line="560" w:lineRule="exact"/>
        <w:ind w:firstLine="645"/>
        <w:jc w:val="left"/>
        <w:rPr>
          <w:rFonts w:hint="eastAsia"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（十三）以暴力、威胁等方式拒绝、阻挠环保部门工作人员现场检查的；</w:t>
      </w:r>
    </w:p>
    <w:p w14:paraId="03D41DC5">
      <w:pPr>
        <w:adjustRightInd w:val="0"/>
        <w:snapToGrid w:val="0"/>
        <w:spacing w:line="560" w:lineRule="exact"/>
        <w:ind w:firstLine="645"/>
        <w:jc w:val="left"/>
        <w:rPr>
          <w:rFonts w:hint="eastAsia"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（十四）违反重污染天气应急预案有关规定，对重污染天气响应不力的。</w:t>
      </w:r>
    </w:p>
    <w:p w14:paraId="72A221AF">
      <w:pPr>
        <w:adjustRightInd w:val="0"/>
        <w:snapToGrid w:val="0"/>
        <w:spacing w:line="560" w:lineRule="exact"/>
        <w:ind w:firstLine="645"/>
        <w:jc w:val="left"/>
        <w:rPr>
          <w:rFonts w:hint="eastAsia"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依据：《</w:t>
      </w:r>
      <w:bookmarkStart w:id="143" w:name="OLE_LINK10"/>
      <w:bookmarkStart w:id="144" w:name="OLE_LINK8"/>
      <w:bookmarkStart w:id="145" w:name="OLE_LINK9"/>
      <w:r>
        <w:rPr>
          <w:rFonts w:hint="eastAsia" w:ascii="仿宋_GB2312" w:hAnsi="宋体" w:eastAsia="仿宋_GB2312" w:cs="Times New Roman"/>
          <w:b/>
          <w:color w:val="auto"/>
          <w:sz w:val="28"/>
          <w:szCs w:val="28"/>
          <w:highlight w:val="none"/>
        </w:rPr>
        <w:t>关于对环境保护领域失信生产经营单位及其有关人员开展联合惩戒的合作备忘录</w:t>
      </w:r>
      <w:bookmarkEnd w:id="143"/>
      <w:bookmarkEnd w:id="144"/>
      <w:bookmarkEnd w:id="145"/>
      <w:r>
        <w:rPr>
          <w:rFonts w:hint="eastAsia" w:ascii="仿宋_GB2312" w:hAnsi="宋体" w:eastAsia="仿宋_GB2312" w:cs="Times New Roman"/>
          <w:b/>
          <w:color w:val="auto"/>
          <w:sz w:val="28"/>
          <w:szCs w:val="28"/>
          <w:highlight w:val="none"/>
        </w:rPr>
        <w:t>》、《</w:t>
      </w:r>
      <w:bookmarkStart w:id="146" w:name="OLE_LINK12"/>
      <w:bookmarkStart w:id="147" w:name="OLE_LINK11"/>
      <w:r>
        <w:rPr>
          <w:rFonts w:hint="eastAsia" w:ascii="仿宋_GB2312" w:hAnsi="宋体" w:eastAsia="仿宋_GB2312" w:cs="Times New Roman"/>
          <w:b/>
          <w:color w:val="auto"/>
          <w:sz w:val="28"/>
          <w:szCs w:val="28"/>
          <w:highlight w:val="none"/>
        </w:rPr>
        <w:t>企业环境信用评价办法（试行）</w:t>
      </w:r>
      <w:bookmarkEnd w:id="146"/>
      <w:bookmarkEnd w:id="147"/>
      <w:r>
        <w:rPr>
          <w:rFonts w:hint="eastAsia" w:ascii="仿宋_GB2312" w:hAnsi="宋体" w:eastAsia="仿宋_GB2312" w:cs="Times New Roman"/>
          <w:b/>
          <w:color w:val="auto"/>
          <w:sz w:val="28"/>
          <w:szCs w:val="28"/>
          <w:highlight w:val="none"/>
        </w:rPr>
        <w:t>》（环发〔2013〕150号）</w:t>
      </w:r>
    </w:p>
    <w:p w14:paraId="3508ABA9">
      <w:pPr>
        <w:adjustRightInd w:val="0"/>
        <w:snapToGrid w:val="0"/>
        <w:spacing w:line="560" w:lineRule="exact"/>
        <w:ind w:firstLine="645"/>
        <w:jc w:val="left"/>
        <w:rPr>
          <w:rFonts w:hint="eastAsia" w:ascii="仿宋_GB2312" w:hAnsi="宋体" w:eastAsia="仿宋_GB2312" w:cs="Times New Roman"/>
          <w:b/>
          <w:color w:val="auto"/>
          <w:sz w:val="28"/>
          <w:szCs w:val="28"/>
          <w:highlight w:val="none"/>
        </w:rPr>
      </w:pPr>
    </w:p>
    <w:p w14:paraId="5F1E3C04">
      <w:pPr>
        <w:adjustRightInd w:val="0"/>
        <w:snapToGrid w:val="0"/>
        <w:spacing w:line="560" w:lineRule="exact"/>
        <w:ind w:firstLine="645"/>
        <w:jc w:val="left"/>
        <w:rPr>
          <w:rFonts w:hint="eastAsia"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三、</w:t>
      </w:r>
      <w:r>
        <w:rPr>
          <w:rFonts w:hint="eastAsia" w:ascii="仿宋_GB2312" w:hAnsi="宋体" w:eastAsia="仿宋_GB2312" w:cs="Times New Roman"/>
          <w:b/>
          <w:bCs/>
          <w:color w:val="auto"/>
          <w:sz w:val="28"/>
          <w:szCs w:val="28"/>
          <w:highlight w:val="none"/>
        </w:rPr>
        <w:t>公共资源交易领域严重失信行为</w:t>
      </w:r>
    </w:p>
    <w:p w14:paraId="7D7D0214">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（一）违反法律规定，必须进行招标的项目而不招标的，将必须进行招标的项目化整为零或者以其他任何方式规避招标的； </w:t>
      </w:r>
    </w:p>
    <w:p w14:paraId="0D96841B">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（二）招标代理机构违反法律规定，泄露应当保密的与招标投标活动有关的情况和资料的，或者与招标人、投标人串通损害 国家利益、社会公共利益或者他人合法权益的；</w:t>
      </w:r>
    </w:p>
    <w:p w14:paraId="2781B3FF">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（三）招标人以不合理的条件限制或者排斥潜在投标人的，对潜在投标人实行歧视待遇的，强制要求投标人组成联合体共同 投标的，或者限制投标人之间竞争的；</w:t>
      </w:r>
    </w:p>
    <w:p w14:paraId="173F89B6">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（四）依法必须进行招标的项目的招标人向他人透露已获取招标文件的潜在投标人的名称、数量或者可能影响公平竞争的有 关招标投标的其他情况的，或者泄露标底的；</w:t>
      </w:r>
    </w:p>
    <w:p w14:paraId="753A4DB0">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（五）投标人相互串通投标或者与招标人串通投标的，投标人以向招标人或者评标委员会成员行贿的手段谋取中标的； </w:t>
      </w:r>
    </w:p>
    <w:p w14:paraId="0F0773E8">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（六）投标人以他人名义投标或者以其他方式弄虚作假，骗取中标的；</w:t>
      </w:r>
    </w:p>
    <w:p w14:paraId="13610759">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（七）依法必须进行招标的项目，招标人违反法律规定，与投标人就投标价格、投标方案等实质性内容进行谈判的；</w:t>
      </w:r>
    </w:p>
    <w:p w14:paraId="25D53121">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0D3C05EE">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（九）招标人在评标委员会依法推荐的中标候选人以外确定中标人的，依法必须进行招标的项目在所有投标被评标委员会否 决后自行确定中标人的； </w:t>
      </w:r>
    </w:p>
    <w:p w14:paraId="20C59F6F">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（十）中标人将中标项目转让给他人的，将中标项目肢解后分别转让给他人的，违反法律规定将中标项目的部分主体、关键 性工作分包给他人的，或者分包人再次分包的； </w:t>
      </w:r>
    </w:p>
    <w:p w14:paraId="2710D80E">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（十一）招标人与中标人不按照招标文件和中标人的投标文件订立合同的，或者招标人、中标人订立背离合同实质性内容的 协议的； </w:t>
      </w:r>
    </w:p>
    <w:p w14:paraId="50C7006A">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（十二）中标人不按照与招标人订立的合同履行义务，情节严重的； </w:t>
      </w:r>
    </w:p>
    <w:p w14:paraId="4409F734">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16DE847A">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1478A175">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 （十五）采购人对应当实行集中采购的政府采购项目，不委托集中采购机构实行集中采购的； </w:t>
      </w:r>
    </w:p>
    <w:p w14:paraId="12BD24A1">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（十六）采购人、采购代理机构违反法律规定隐匿、销毁应当保存的采购文件或者伪造、变造采购文件的； </w:t>
      </w:r>
    </w:p>
    <w:p w14:paraId="13F118B0">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0EA03F88">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（十八）疫苗生产企业向县级疾病预防控制机构以外的单位或者个人销售第二类疫苗的； </w:t>
      </w:r>
    </w:p>
    <w:p w14:paraId="70B51C89">
      <w:pPr>
        <w:adjustRightInd w:val="0"/>
        <w:snapToGrid w:val="0"/>
        <w:spacing w:line="560" w:lineRule="exact"/>
        <w:ind w:left="141" w:leftChars="67" w:firstLine="420" w:firstLineChars="150"/>
        <w:jc w:val="left"/>
        <w:rPr>
          <w:rFonts w:hint="eastAsia" w:ascii="仿宋_GB2312" w:hAnsi="宋体"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（十九）存在其他违反公共资源交易法律法规行为的。</w:t>
      </w:r>
    </w:p>
    <w:p w14:paraId="3D507293">
      <w:pPr>
        <w:adjustRightInd w:val="0"/>
        <w:snapToGrid w:val="0"/>
        <w:spacing w:line="560" w:lineRule="exact"/>
        <w:ind w:firstLine="894" w:firstLineChars="318"/>
        <w:jc w:val="left"/>
        <w:rPr>
          <w:rFonts w:hint="eastAsia"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依据：《关于对公共资源交易领域严重失信主体开展联合惩戒的备忘录》（发改法规〔2018〕457号）</w:t>
      </w:r>
    </w:p>
    <w:p w14:paraId="6F3F28EC">
      <w:pPr>
        <w:adjustRightInd w:val="0"/>
        <w:snapToGrid w:val="0"/>
        <w:spacing w:line="560" w:lineRule="exact"/>
        <w:ind w:firstLine="645"/>
        <w:jc w:val="left"/>
        <w:rPr>
          <w:rFonts w:hint="eastAsia" w:ascii="仿宋_GB2312" w:hAnsi="宋体" w:eastAsia="仿宋_GB2312" w:cs="Times New Roman"/>
          <w:color w:val="auto"/>
          <w:sz w:val="28"/>
          <w:szCs w:val="28"/>
          <w:highlight w:val="none"/>
        </w:rPr>
      </w:pPr>
    </w:p>
    <w:p w14:paraId="19FF0761">
      <w:pPr>
        <w:adjustRightInd w:val="0"/>
        <w:snapToGrid w:val="0"/>
        <w:spacing w:line="560" w:lineRule="exact"/>
        <w:ind w:firstLine="645"/>
        <w:jc w:val="left"/>
        <w:rPr>
          <w:rFonts w:hint="eastAsia" w:ascii="仿宋_GB2312" w:hAnsi="宋体" w:eastAsia="仿宋_GB2312" w:cs="Times New Roman"/>
          <w:b/>
          <w:bCs/>
          <w:color w:val="auto"/>
          <w:sz w:val="28"/>
          <w:szCs w:val="28"/>
          <w:highlight w:val="none"/>
        </w:rPr>
      </w:pPr>
      <w:r>
        <w:rPr>
          <w:rFonts w:hint="eastAsia" w:ascii="仿宋_GB2312" w:hAnsi="宋体" w:eastAsia="仿宋_GB2312" w:cs="Times New Roman"/>
          <w:b/>
          <w:color w:val="auto"/>
          <w:sz w:val="28"/>
          <w:szCs w:val="28"/>
          <w:highlight w:val="none"/>
        </w:rPr>
        <w:t>四、</w:t>
      </w:r>
      <w:r>
        <w:rPr>
          <w:rFonts w:hint="eastAsia" w:ascii="仿宋_GB2312" w:hAnsi="宋体" w:eastAsia="仿宋_GB2312" w:cs="Times New Roman"/>
          <w:b/>
          <w:bCs/>
          <w:color w:val="auto"/>
          <w:sz w:val="28"/>
          <w:szCs w:val="28"/>
          <w:highlight w:val="none"/>
        </w:rPr>
        <w:t>社会保险领域严重失信行为</w:t>
      </w:r>
    </w:p>
    <w:p w14:paraId="3CAE2CCE">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（一）用人单位未按相关规定参加社会保险且拒不整改的； </w:t>
      </w:r>
    </w:p>
    <w:p w14:paraId="6A36D603">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（二）用人单位未如实申报社会保险缴费基数且拒不整改的； </w:t>
      </w:r>
    </w:p>
    <w:p w14:paraId="0DC2EB58">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（三）应缴纳社会保险费却拒不缴纳的； </w:t>
      </w:r>
    </w:p>
    <w:p w14:paraId="67A0DC89">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（四）隐匿、转移、侵占、挪用社会保险费款、基金或者违规投资运营的；</w:t>
      </w:r>
    </w:p>
    <w:p w14:paraId="446BD90F">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（五）以欺诈、伪造证明材料或者其他手段参加、申报社会保险和骗取社会保险基金支出或社会保险待遇的； </w:t>
      </w:r>
    </w:p>
    <w:p w14:paraId="0562AF3F">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（六）非法获取、出售或变相交易社会保险个人权益数据的； </w:t>
      </w:r>
    </w:p>
    <w:p w14:paraId="5A20C473">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（七）社会保险服务机构违反服务协议或相关规定的； </w:t>
      </w:r>
    </w:p>
    <w:p w14:paraId="7E394B7A">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（八）拒绝协助社会保险行政部门、经办机构对事故和问题进 行调查核实的；拒绝接受或协助税务部门对社会保险实施监督检查， 不如实提供与社会保险相关各项资料的； </w:t>
      </w:r>
    </w:p>
    <w:p w14:paraId="2059AB43">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（九）其他违反法律法规规定的。</w:t>
      </w:r>
    </w:p>
    <w:p w14:paraId="2CAE86C5">
      <w:pPr>
        <w:adjustRightInd w:val="0"/>
        <w:snapToGrid w:val="0"/>
        <w:spacing w:line="560" w:lineRule="exact"/>
        <w:ind w:firstLine="551" w:firstLineChars="196"/>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b/>
          <w:color w:val="auto"/>
          <w:sz w:val="28"/>
          <w:szCs w:val="28"/>
          <w:highlight w:val="none"/>
        </w:rPr>
        <w:t>依据：《</w:t>
      </w:r>
      <w:bookmarkStart w:id="148" w:name="OLE_LINK15"/>
      <w:bookmarkStart w:id="149" w:name="OLE_LINK16"/>
      <w:r>
        <w:rPr>
          <w:rFonts w:hint="eastAsia" w:ascii="仿宋_GB2312" w:hAnsi="Calibri" w:eastAsia="仿宋_GB2312" w:cs="Times New Roman"/>
          <w:b/>
          <w:color w:val="auto"/>
          <w:sz w:val="28"/>
          <w:szCs w:val="28"/>
          <w:highlight w:val="none"/>
        </w:rPr>
        <w:t>关于对社会保险领域严重失信企业及其有关人员实施联合惩戒的合作备忘录</w:t>
      </w:r>
      <w:bookmarkEnd w:id="148"/>
      <w:bookmarkEnd w:id="149"/>
      <w:r>
        <w:rPr>
          <w:rFonts w:hint="eastAsia" w:ascii="仿宋_GB2312" w:hAnsi="Calibri" w:eastAsia="仿宋_GB2312" w:cs="Times New Roman"/>
          <w:b/>
          <w:color w:val="auto"/>
          <w:sz w:val="28"/>
          <w:szCs w:val="28"/>
          <w:highlight w:val="none"/>
        </w:rPr>
        <w:t>》（发改财金〔2018〕1704号）</w:t>
      </w:r>
    </w:p>
    <w:p w14:paraId="68BDAC33">
      <w:pPr>
        <w:adjustRightInd w:val="0"/>
        <w:snapToGrid w:val="0"/>
        <w:spacing w:line="560" w:lineRule="exact"/>
        <w:jc w:val="left"/>
        <w:rPr>
          <w:rFonts w:hint="eastAsia"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 xml:space="preserve">     </w:t>
      </w:r>
    </w:p>
    <w:p w14:paraId="51A9808C">
      <w:pPr>
        <w:adjustRightInd w:val="0"/>
        <w:snapToGrid w:val="0"/>
        <w:spacing w:line="560" w:lineRule="exact"/>
        <w:ind w:firstLine="562" w:firstLineChars="200"/>
        <w:jc w:val="left"/>
        <w:rPr>
          <w:rFonts w:hint="eastAsia" w:ascii="仿宋_GB2312" w:hAnsi="宋体" w:eastAsia="仿宋_GB2312" w:cs="Times New Roman"/>
          <w:b/>
          <w:bCs/>
          <w:color w:val="auto"/>
          <w:sz w:val="28"/>
          <w:szCs w:val="28"/>
          <w:highlight w:val="none"/>
        </w:rPr>
      </w:pPr>
      <w:r>
        <w:rPr>
          <w:rFonts w:hint="eastAsia" w:ascii="仿宋_GB2312" w:hAnsi="宋体" w:eastAsia="仿宋_GB2312" w:cs="Times New Roman"/>
          <w:b/>
          <w:color w:val="auto"/>
          <w:sz w:val="28"/>
          <w:szCs w:val="28"/>
          <w:highlight w:val="none"/>
        </w:rPr>
        <w:t>五、建筑市场领域</w:t>
      </w:r>
      <w:r>
        <w:rPr>
          <w:rFonts w:hint="eastAsia" w:ascii="仿宋_GB2312" w:hAnsi="宋体" w:eastAsia="仿宋_GB2312" w:cs="Times New Roman"/>
          <w:b/>
          <w:bCs/>
          <w:color w:val="auto"/>
          <w:sz w:val="28"/>
          <w:szCs w:val="28"/>
          <w:highlight w:val="none"/>
        </w:rPr>
        <w:t>严重失信行为</w:t>
      </w:r>
    </w:p>
    <w:p w14:paraId="4AF68880">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（一）利用虚假材料、以欺骗手段取得企业资质的；</w:t>
      </w:r>
    </w:p>
    <w:p w14:paraId="1FE8C227">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（二）发生转包、出借资质，受到行政处罚的；</w:t>
      </w:r>
    </w:p>
    <w:p w14:paraId="131494D1">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（三）发生重大及以上工程质量安全事故，或1年内累计发生2次及以上较大工程质量安全事故，或发生性质恶劣、危害性严重、社会影响大的较大工程质量安全事故，受到行政处罚的；</w:t>
      </w:r>
    </w:p>
    <w:p w14:paraId="419777B0">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（四）经法院判决或仲裁机构裁决，认定为拖欠工程款,且拒不履行生效法律文书确定的义务的。</w:t>
      </w:r>
    </w:p>
    <w:p w14:paraId="42C696CA">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各级住房城乡建设主管部门应当参照建筑市场主体“黑名单”，对被人力资源社会保障行政部门列入拖欠农民工工资“黑名单”的建筑市场各方主体加强监管。</w:t>
      </w:r>
    </w:p>
    <w:p w14:paraId="07C75CA6">
      <w:pPr>
        <w:ind w:firstLine="562" w:firstLineChars="200"/>
        <w:jc w:val="left"/>
        <w:rPr>
          <w:rFonts w:hint="eastAsia" w:ascii="宋体" w:hAnsi="宋体" w:eastAsia="宋体" w:cs="Times New Roman"/>
          <w:color w:val="auto"/>
          <w:sz w:val="28"/>
          <w:szCs w:val="28"/>
          <w:highlight w:val="none"/>
        </w:rPr>
      </w:pPr>
      <w:r>
        <w:rPr>
          <w:rFonts w:hint="eastAsia" w:ascii="仿宋_GB2312" w:hAnsi="Calibri" w:eastAsia="仿宋_GB2312" w:cs="Times New Roman"/>
          <w:b/>
          <w:color w:val="auto"/>
          <w:sz w:val="28"/>
          <w:szCs w:val="28"/>
          <w:highlight w:val="none"/>
        </w:rPr>
        <w:t>依据：《</w:t>
      </w:r>
      <w:bookmarkStart w:id="150" w:name="OLE_LINK18"/>
      <w:bookmarkStart w:id="151" w:name="OLE_LINK17"/>
      <w:r>
        <w:rPr>
          <w:rFonts w:hint="eastAsia" w:ascii="仿宋_GB2312" w:hAnsi="Calibri" w:eastAsia="仿宋_GB2312" w:cs="Times New Roman"/>
          <w:b/>
          <w:color w:val="auto"/>
          <w:sz w:val="28"/>
          <w:szCs w:val="28"/>
          <w:highlight w:val="none"/>
        </w:rPr>
        <w:t>建筑市场信用管理暂行办法</w:t>
      </w:r>
      <w:bookmarkEnd w:id="150"/>
      <w:bookmarkEnd w:id="151"/>
      <w:r>
        <w:rPr>
          <w:rFonts w:hint="eastAsia" w:ascii="仿宋_GB2312" w:hAnsi="Calibri" w:eastAsia="仿宋_GB2312" w:cs="Times New Roman"/>
          <w:b/>
          <w:color w:val="auto"/>
          <w:sz w:val="28"/>
          <w:szCs w:val="28"/>
          <w:highlight w:val="none"/>
        </w:rPr>
        <w:t>》（建市〔2017〕241号）</w:t>
      </w:r>
    </w:p>
    <w:p w14:paraId="29226D5B">
      <w:pPr>
        <w:adjustRightInd w:val="0"/>
        <w:snapToGrid w:val="0"/>
        <w:spacing w:line="560" w:lineRule="exact"/>
        <w:rPr>
          <w:rFonts w:hint="eastAsia" w:ascii="仿宋_GB2312" w:hAnsi="宋体" w:eastAsia="仿宋_GB2312" w:cs="Times New Roman"/>
          <w:b/>
          <w:color w:val="auto"/>
          <w:sz w:val="28"/>
          <w:szCs w:val="28"/>
          <w:highlight w:val="none"/>
        </w:rPr>
      </w:pPr>
    </w:p>
    <w:p w14:paraId="557F5F33">
      <w:pPr>
        <w:adjustRightInd w:val="0"/>
        <w:snapToGrid w:val="0"/>
        <w:spacing w:line="560" w:lineRule="exact"/>
        <w:ind w:firstLine="562" w:firstLineChars="200"/>
        <w:rPr>
          <w:rFonts w:hint="eastAsia"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六、</w:t>
      </w:r>
      <w:bookmarkStart w:id="152" w:name="OLE_LINK20"/>
      <w:bookmarkStart w:id="153" w:name="OLE_LINK19"/>
      <w:r>
        <w:rPr>
          <w:rFonts w:hint="eastAsia" w:ascii="仿宋_GB2312" w:hAnsi="宋体" w:eastAsia="仿宋_GB2312" w:cs="Times New Roman"/>
          <w:b/>
          <w:color w:val="auto"/>
          <w:sz w:val="28"/>
          <w:szCs w:val="28"/>
          <w:highlight w:val="none"/>
        </w:rPr>
        <w:t>政府采购严重失信行为</w:t>
      </w:r>
      <w:bookmarkEnd w:id="152"/>
      <w:bookmarkEnd w:id="153"/>
    </w:p>
    <w:p w14:paraId="593D8D4E">
      <w:pPr>
        <w:adjustRightInd w:val="0"/>
        <w:snapToGrid w:val="0"/>
        <w:spacing w:line="560" w:lineRule="exact"/>
        <w:ind w:firstLine="615"/>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供应商、采购代理机构在三年内受到财政部门作出下列情形之一的行政处罚，列入政府采购严重违法失信行为记录名单。</w:t>
      </w:r>
      <w:r>
        <w:rPr>
          <w:rFonts w:hint="eastAsia" w:ascii="仿宋_GB2312" w:hAnsi="Calibri" w:eastAsia="仿宋_GB2312" w:cs="Times New Roman"/>
          <w:color w:val="auto"/>
          <w:sz w:val="28"/>
          <w:szCs w:val="28"/>
          <w:highlight w:val="none"/>
        </w:rPr>
        <w:br w:type="textWrapping"/>
      </w:r>
      <w:r>
        <w:rPr>
          <w:rFonts w:hint="eastAsia" w:ascii="仿宋_GB2312" w:hAnsi="Calibri" w:eastAsia="仿宋_GB2312" w:cs="Times New Roman"/>
          <w:color w:val="auto"/>
          <w:sz w:val="28"/>
          <w:szCs w:val="28"/>
          <w:highlight w:val="none"/>
        </w:rPr>
        <w:t>　　（一）三万元以上罚款；</w:t>
      </w:r>
      <w:r>
        <w:rPr>
          <w:rFonts w:hint="eastAsia" w:ascii="仿宋_GB2312" w:hAnsi="Calibri" w:eastAsia="仿宋_GB2312" w:cs="Times New Roman"/>
          <w:color w:val="auto"/>
          <w:sz w:val="28"/>
          <w:szCs w:val="28"/>
          <w:highlight w:val="none"/>
        </w:rPr>
        <w:br w:type="textWrapping"/>
      </w:r>
      <w:r>
        <w:rPr>
          <w:rFonts w:hint="eastAsia" w:ascii="仿宋_GB2312" w:hAnsi="Calibri" w:eastAsia="仿宋_GB2312" w:cs="Times New Roman"/>
          <w:color w:val="auto"/>
          <w:sz w:val="28"/>
          <w:szCs w:val="28"/>
          <w:highlight w:val="none"/>
        </w:rPr>
        <w:t>　　（二）在一至三年内禁止参加政府采购活动（处罚期限届满的除外）；</w:t>
      </w:r>
      <w:r>
        <w:rPr>
          <w:rFonts w:hint="eastAsia" w:ascii="仿宋_GB2312" w:hAnsi="Calibri" w:eastAsia="仿宋_GB2312" w:cs="Times New Roman"/>
          <w:color w:val="auto"/>
          <w:sz w:val="28"/>
          <w:szCs w:val="28"/>
          <w:highlight w:val="none"/>
        </w:rPr>
        <w:br w:type="textWrapping"/>
      </w:r>
      <w:r>
        <w:rPr>
          <w:rFonts w:hint="eastAsia" w:ascii="仿宋_GB2312" w:hAnsi="Calibri" w:eastAsia="仿宋_GB2312" w:cs="Times New Roman"/>
          <w:color w:val="auto"/>
          <w:sz w:val="28"/>
          <w:szCs w:val="28"/>
          <w:highlight w:val="none"/>
        </w:rPr>
        <w:t>　　（三）在一至三年内禁止代理政府采购业务（处罚期限届满的除外）；</w:t>
      </w:r>
      <w:r>
        <w:rPr>
          <w:rFonts w:hint="eastAsia" w:ascii="仿宋_GB2312" w:hAnsi="Calibri" w:eastAsia="仿宋_GB2312" w:cs="Times New Roman"/>
          <w:color w:val="auto"/>
          <w:sz w:val="28"/>
          <w:szCs w:val="28"/>
          <w:highlight w:val="none"/>
        </w:rPr>
        <w:br w:type="textWrapping"/>
      </w:r>
      <w:r>
        <w:rPr>
          <w:rFonts w:hint="eastAsia" w:ascii="仿宋_GB2312" w:hAnsi="宋体" w:eastAsia="仿宋_GB2312" w:cs="Times New Roman"/>
          <w:color w:val="auto"/>
          <w:sz w:val="28"/>
          <w:szCs w:val="28"/>
          <w:highlight w:val="none"/>
        </w:rPr>
        <w:t xml:space="preserve">　 </w:t>
      </w:r>
      <w:r>
        <w:rPr>
          <w:rFonts w:hint="eastAsia" w:ascii="仿宋_GB2312" w:hAnsi="Calibri" w:eastAsia="仿宋_GB2312" w:cs="Times New Roman"/>
          <w:color w:val="auto"/>
          <w:sz w:val="28"/>
          <w:szCs w:val="28"/>
          <w:highlight w:val="none"/>
        </w:rPr>
        <w:t>（四）撤销政府采购代理机构资格（仅针对《政府采购法》第78条修改前作出的处罚决定）。</w:t>
      </w:r>
    </w:p>
    <w:p w14:paraId="37281A92">
      <w:pPr>
        <w:adjustRightInd w:val="0"/>
        <w:snapToGrid w:val="0"/>
        <w:spacing w:line="560" w:lineRule="exact"/>
        <w:ind w:firstLine="562" w:firstLineChars="200"/>
        <w:jc w:val="left"/>
        <w:rPr>
          <w:rFonts w:ascii="仿宋_GB2312" w:hAnsi="Calibri" w:eastAsia="仿宋_GB2312" w:cs="Times New Roman"/>
          <w:b/>
          <w:color w:val="auto"/>
          <w:sz w:val="28"/>
          <w:szCs w:val="28"/>
          <w:highlight w:val="none"/>
        </w:rPr>
      </w:pPr>
      <w:r>
        <w:rPr>
          <w:rFonts w:hint="eastAsia" w:ascii="仿宋_GB2312" w:hAnsi="Calibri" w:eastAsia="仿宋_GB2312" w:cs="Times New Roman"/>
          <w:b/>
          <w:color w:val="auto"/>
          <w:sz w:val="28"/>
          <w:szCs w:val="28"/>
          <w:highlight w:val="none"/>
        </w:rPr>
        <w:t>依据：《关于报送政府采购严重违法失信行为信息记录的通知》</w:t>
      </w:r>
      <w:r>
        <w:rPr>
          <w:rFonts w:ascii="Calibri" w:hAnsi="Calibri" w:eastAsia="宋体" w:cs="Times New Roman"/>
          <w:b/>
          <w:color w:val="auto"/>
          <w:sz w:val="28"/>
          <w:szCs w:val="28"/>
          <w:highlight w:val="none"/>
        </w:rPr>
        <w:t>（</w:t>
      </w:r>
      <w:r>
        <w:rPr>
          <w:rFonts w:hint="eastAsia" w:ascii="Calibri" w:hAnsi="Calibri" w:eastAsia="宋体" w:cs="Times New Roman"/>
          <w:b/>
          <w:color w:val="auto"/>
          <w:sz w:val="28"/>
          <w:szCs w:val="28"/>
          <w:highlight w:val="none"/>
        </w:rPr>
        <w:t>财办库〔</w:t>
      </w:r>
      <w:r>
        <w:rPr>
          <w:rFonts w:ascii="Calibri" w:hAnsi="Calibri" w:eastAsia="宋体" w:cs="Times New Roman"/>
          <w:b/>
          <w:color w:val="auto"/>
          <w:sz w:val="28"/>
          <w:szCs w:val="28"/>
          <w:highlight w:val="none"/>
        </w:rPr>
        <w:t>201</w:t>
      </w:r>
      <w:r>
        <w:rPr>
          <w:rFonts w:hint="eastAsia" w:ascii="Calibri" w:hAnsi="Calibri" w:eastAsia="宋体" w:cs="Times New Roman"/>
          <w:b/>
          <w:color w:val="auto"/>
          <w:sz w:val="28"/>
          <w:szCs w:val="28"/>
          <w:highlight w:val="none"/>
        </w:rPr>
        <w:t>4〕526</w:t>
      </w:r>
      <w:r>
        <w:rPr>
          <w:rFonts w:ascii="Calibri" w:hAnsi="Calibri" w:eastAsia="宋体" w:cs="Times New Roman"/>
          <w:b/>
          <w:color w:val="auto"/>
          <w:sz w:val="28"/>
          <w:szCs w:val="28"/>
          <w:highlight w:val="none"/>
        </w:rPr>
        <w:t>号）</w:t>
      </w:r>
    </w:p>
    <w:p w14:paraId="0BEE5C1F">
      <w:pPr>
        <w:adjustRightInd w:val="0"/>
        <w:snapToGrid w:val="0"/>
        <w:spacing w:line="560" w:lineRule="exact"/>
        <w:rPr>
          <w:rFonts w:hint="eastAsia" w:ascii="仿宋_GB2312" w:hAnsi="宋体" w:eastAsia="仿宋_GB2312" w:cs="Times New Roman"/>
          <w:b/>
          <w:color w:val="auto"/>
          <w:sz w:val="28"/>
          <w:szCs w:val="28"/>
          <w:highlight w:val="none"/>
        </w:rPr>
      </w:pPr>
    </w:p>
    <w:p w14:paraId="4ED497B5">
      <w:pPr>
        <w:spacing w:line="440" w:lineRule="exact"/>
        <w:ind w:right="-92" w:rightChars="-44" w:firstLine="615"/>
        <w:rPr>
          <w:rFonts w:hint="eastAsia" w:ascii="宋体" w:hAnsi="宋体" w:eastAsia="宋体" w:cs="宋体"/>
          <w:bCs/>
          <w:color w:val="auto"/>
          <w:sz w:val="24"/>
          <w:highlight w:val="none"/>
        </w:rPr>
      </w:pPr>
      <w:r>
        <w:rPr>
          <w:rFonts w:hint="eastAsia" w:ascii="仿宋_GB2312" w:hAnsi="宋体" w:eastAsia="仿宋_GB2312" w:cs="Times New Roman"/>
          <w:b/>
          <w:color w:val="auto"/>
          <w:sz w:val="28"/>
          <w:szCs w:val="28"/>
          <w:highlight w:val="none"/>
        </w:rPr>
        <w:t>未列出的其他类别严重失信行为，由招标人（代理机构）根据各类别行业主管部门下发的联合惩戒文件进行判断。</w:t>
      </w:r>
    </w:p>
    <w:p w14:paraId="28F96025">
      <w:pPr>
        <w:spacing w:line="360" w:lineRule="auto"/>
        <w:ind w:firstLine="435"/>
        <w:rPr>
          <w:rFonts w:hint="eastAsia" w:asciiTheme="minorEastAsia" w:hAnsiTheme="minorEastAsia" w:eastAsiaTheme="minorEastAsia"/>
          <w:color w:val="auto"/>
          <w:sz w:val="24"/>
          <w:highlight w:val="none"/>
        </w:rPr>
      </w:pPr>
    </w:p>
    <w:sectPr>
      <w:pgSz w:w="11905" w:h="16838"/>
      <w:pgMar w:top="1440" w:right="1417" w:bottom="1440" w:left="1417" w:header="850" w:footer="992" w:gutter="0"/>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roman"/>
    <w:pitch w:val="default"/>
    <w:sig w:usb0="00000000" w:usb1="00000000" w:usb2="00000008" w:usb3="00000000" w:csb0="000001FF" w:csb1="00000000"/>
  </w:font>
  <w:font w:name="@仿宋">
    <w:panose1 w:val="02010609060101010101"/>
    <w:charset w:val="86"/>
    <w:family w:val="auto"/>
    <w:pitch w:val="default"/>
    <w:sig w:usb0="800002BF" w:usb1="38CF7CFA" w:usb2="00000016" w:usb3="00000000" w:csb0="00040001" w:csb1="00000000"/>
  </w:font>
  <w:font w:name="@微软简标宋">
    <w:altName w:val="@宋体"/>
    <w:panose1 w:val="00000000000000000000"/>
    <w:charset w:val="86"/>
    <w:family w:val="roman"/>
    <w:pitch w:val="default"/>
    <w:sig w:usb0="00000000" w:usb1="0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楷体">
    <w:altName w:val="宋体"/>
    <w:panose1 w:val="02010600040101010101"/>
    <w:charset w:val="86"/>
    <w:family w:val="auto"/>
    <w:pitch w:val="default"/>
    <w:sig w:usb0="00000000" w:usb1="00000000" w:usb2="00000000" w:usb3="00000000" w:csb0="0004009F" w:csb1="DFD70000"/>
  </w:font>
  <w:font w:name="楷体_GB2312">
    <w:altName w:val="楷体"/>
    <w:panose1 w:val="00000000000000000000"/>
    <w:charset w:val="00"/>
    <w:family w:val="roman"/>
    <w:pitch w:val="default"/>
    <w:sig w:usb0="00000000" w:usb1="00000000" w:usb2="00000008" w:usb3="00000000" w:csb0="000001FF" w:csb1="00000000"/>
  </w:font>
  <w:font w:name="楷体">
    <w:panose1 w:val="02010609060101010101"/>
    <w:charset w:val="86"/>
    <w:family w:val="modern"/>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8" w:usb3="00000000" w:csb0="0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B3C87">
    <w:pPr>
      <w:pStyle w:val="15"/>
      <w:jc w:val="center"/>
      <w:rPr>
        <w:rFonts w:hint="eastAsia"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12001">
    <w:pPr>
      <w:pStyle w:val="15"/>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AAA044">
                          <w:pPr>
                            <w:pStyle w:val="15"/>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5AAA044">
                    <w:pPr>
                      <w:pStyle w:val="15"/>
                      <w:rPr>
                        <w:rFonts w:hint="eastAsia"/>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37FE3">
    <w:pPr>
      <w:pStyle w:val="15"/>
      <w:jc w:val="center"/>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952500">
                          <w:pPr>
                            <w:pStyle w:val="15"/>
                            <w:rPr>
                              <w:rFonts w:hint="eastAsia"/>
                            </w:rPr>
                          </w:pPr>
                          <w:r>
                            <w:fldChar w:fldCharType="begin"/>
                          </w:r>
                          <w:r>
                            <w:instrText xml:space="preserve"> PAGE  \* MERGEFORMAT </w:instrText>
                          </w:r>
                          <w:r>
                            <w:fldChar w:fldCharType="separate"/>
                          </w:r>
                          <w:r>
                            <w:t>85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03952500">
                    <w:pPr>
                      <w:pStyle w:val="15"/>
                      <w:rPr>
                        <w:rFonts w:hint="eastAsia"/>
                      </w:rPr>
                    </w:pPr>
                    <w:r>
                      <w:fldChar w:fldCharType="begin"/>
                    </w:r>
                    <w:r>
                      <w:instrText xml:space="preserve"> PAGE  \* MERGEFORMAT </w:instrText>
                    </w:r>
                    <w:r>
                      <w:fldChar w:fldCharType="separate"/>
                    </w:r>
                    <w:r>
                      <w:t>85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DC6C9">
    <w:pPr>
      <w:pStyle w:val="16"/>
      <w:jc w:val="left"/>
      <w:rPr>
        <w:rFonts w:hint="eastAsia" w:asciiTheme="minorEastAsia" w:hAnsiTheme="minorEastAsia" w:eastAsiaTheme="minorEastAsia"/>
      </w:rPr>
    </w:pPr>
    <w:r>
      <w:rPr>
        <w:rFonts w:hint="eastAsia" w:asciiTheme="minorEastAsia" w:hAnsiTheme="minorEastAsia" w:eastAsiaTheme="minorEastAsia"/>
      </w:rPr>
      <w:t>安徽省政府采购项目公开招标文件示范文本（货物类）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023CA">
    <w:pPr>
      <w:pStyle w:val="16"/>
      <w:jc w:val="left"/>
      <w:rPr>
        <w:rFonts w:hint="eastAsia"/>
      </w:rPr>
    </w:pPr>
    <w:r>
      <w:rPr>
        <w:rFonts w:hint="eastAsia" w:asciiTheme="minorEastAsia" w:hAnsiTheme="minorEastAsia" w:eastAsiaTheme="minorEastAsia"/>
      </w:rPr>
      <w:t>安徽省政府采购项目公开招标文件示范文本（货物类）</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5F213">
    <w:pPr>
      <w:pStyle w:val="16"/>
      <w:jc w:val="left"/>
      <w:rPr>
        <w:rFonts w:hint="eastAsia"/>
      </w:rPr>
    </w:pPr>
    <w:r>
      <w:rPr>
        <w:rFonts w:hint="eastAsia" w:asciiTheme="minorEastAsia" w:hAnsiTheme="minorEastAsia" w:eastAsiaTheme="minorEastAsia"/>
      </w:rPr>
      <w:t>安徽省政府采购项目公开招标文件示范文本（货物类）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FFEFC674"/>
    <w:multiLevelType w:val="singleLevel"/>
    <w:tmpl w:val="FFEFC674"/>
    <w:lvl w:ilvl="0" w:tentative="0">
      <w:start w:val="1"/>
      <w:numFmt w:val="decimal"/>
      <w:suff w:val="nothing"/>
      <w:lvlText w:val="（%1）"/>
      <w:lvlJc w:val="left"/>
    </w:lvl>
  </w:abstractNum>
  <w:abstractNum w:abstractNumId="6">
    <w:nsid w:val="38FAE15C"/>
    <w:multiLevelType w:val="singleLevel"/>
    <w:tmpl w:val="38FAE15C"/>
    <w:lvl w:ilvl="0" w:tentative="0">
      <w:start w:val="1"/>
      <w:numFmt w:val="decimal"/>
      <w:lvlText w:val="%1."/>
      <w:lvlJc w:val="left"/>
      <w:pPr>
        <w:tabs>
          <w:tab w:val="left" w:pos="312"/>
        </w:tabs>
      </w:pPr>
    </w:lvl>
  </w:abstractNum>
  <w:abstractNum w:abstractNumId="7">
    <w:nsid w:val="6C2373D8"/>
    <w:multiLevelType w:val="singleLevel"/>
    <w:tmpl w:val="6C2373D8"/>
    <w:lvl w:ilvl="0" w:tentative="0">
      <w:start w:val="2"/>
      <w:numFmt w:val="chineseCounting"/>
      <w:suff w:val="nothing"/>
      <w:lvlText w:val="%1、"/>
      <w:lvlJc w:val="left"/>
      <w:rPr>
        <w:rFonts w:hint="eastAsia"/>
      </w:rPr>
    </w:lvl>
  </w:abstractNum>
  <w:abstractNum w:abstractNumId="8">
    <w:nsid w:val="7A0F6431"/>
    <w:multiLevelType w:val="singleLevel"/>
    <w:tmpl w:val="7A0F6431"/>
    <w:lvl w:ilvl="0" w:tentative="0">
      <w:start w:val="1"/>
      <w:numFmt w:val="decimal"/>
      <w:suff w:val="space"/>
      <w:lvlText w:val="%1."/>
      <w:lvlJc w:val="left"/>
    </w:lvl>
  </w:abstractNum>
  <w:num w:numId="1">
    <w:abstractNumId w:val="7"/>
  </w:num>
  <w:num w:numId="2">
    <w:abstractNumId w:val="6"/>
  </w:num>
  <w:num w:numId="3">
    <w:abstractNumId w:val="8"/>
  </w:num>
  <w:num w:numId="4">
    <w:abstractNumId w:val="1"/>
  </w:num>
  <w:num w:numId="5">
    <w:abstractNumId w:val="5"/>
  </w:num>
  <w:num w:numId="6">
    <w:abstractNumId w:val="3"/>
  </w:num>
  <w:num w:numId="7">
    <w:abstractNumId w:val="2"/>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lYjQzMDhiYzA3NWZlODA5OTkxMDRiNDU3ZjExNjEifQ=="/>
  </w:docVars>
  <w:rsids>
    <w:rsidRoot w:val="00172A27"/>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2A27"/>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CF"/>
    <w:rsid w:val="002168C4"/>
    <w:rsid w:val="002178B1"/>
    <w:rsid w:val="00223CF4"/>
    <w:rsid w:val="00224C4A"/>
    <w:rsid w:val="002338E2"/>
    <w:rsid w:val="0023407E"/>
    <w:rsid w:val="00240B40"/>
    <w:rsid w:val="002440D8"/>
    <w:rsid w:val="00244182"/>
    <w:rsid w:val="00245F65"/>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87B96"/>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71315"/>
    <w:rsid w:val="00582075"/>
    <w:rsid w:val="00584A63"/>
    <w:rsid w:val="00585EB3"/>
    <w:rsid w:val="00591688"/>
    <w:rsid w:val="00592509"/>
    <w:rsid w:val="00594986"/>
    <w:rsid w:val="00597B15"/>
    <w:rsid w:val="005A044C"/>
    <w:rsid w:val="005B5C95"/>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27A9"/>
    <w:rsid w:val="007A5A58"/>
    <w:rsid w:val="007A6740"/>
    <w:rsid w:val="007B1C56"/>
    <w:rsid w:val="007B4996"/>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269D"/>
    <w:rsid w:val="008F402F"/>
    <w:rsid w:val="008F55FA"/>
    <w:rsid w:val="008F76E8"/>
    <w:rsid w:val="008F7CD0"/>
    <w:rsid w:val="00902902"/>
    <w:rsid w:val="00902A4B"/>
    <w:rsid w:val="009078A1"/>
    <w:rsid w:val="00911E9C"/>
    <w:rsid w:val="00915083"/>
    <w:rsid w:val="00917405"/>
    <w:rsid w:val="00920035"/>
    <w:rsid w:val="00920F7C"/>
    <w:rsid w:val="00934CAE"/>
    <w:rsid w:val="009423C5"/>
    <w:rsid w:val="0094257D"/>
    <w:rsid w:val="00942F60"/>
    <w:rsid w:val="0095211B"/>
    <w:rsid w:val="0095467C"/>
    <w:rsid w:val="00954A61"/>
    <w:rsid w:val="00955C6F"/>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3321"/>
    <w:rsid w:val="00A757C3"/>
    <w:rsid w:val="00A75E5B"/>
    <w:rsid w:val="00A7684A"/>
    <w:rsid w:val="00A82AED"/>
    <w:rsid w:val="00A83B69"/>
    <w:rsid w:val="00A86533"/>
    <w:rsid w:val="00A91176"/>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67A3"/>
    <w:rsid w:val="00AE76E6"/>
    <w:rsid w:val="00B00ACC"/>
    <w:rsid w:val="00B039E3"/>
    <w:rsid w:val="00B043C1"/>
    <w:rsid w:val="00B22838"/>
    <w:rsid w:val="00B27D52"/>
    <w:rsid w:val="00B32BC1"/>
    <w:rsid w:val="00B33E95"/>
    <w:rsid w:val="00B34EE1"/>
    <w:rsid w:val="00B35B5E"/>
    <w:rsid w:val="00B3720B"/>
    <w:rsid w:val="00B40EE3"/>
    <w:rsid w:val="00B4535A"/>
    <w:rsid w:val="00B4579E"/>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2F67"/>
    <w:rsid w:val="00C35561"/>
    <w:rsid w:val="00C4202A"/>
    <w:rsid w:val="00C4211F"/>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522"/>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F1B"/>
    <w:rsid w:val="00D30FC0"/>
    <w:rsid w:val="00D34F0D"/>
    <w:rsid w:val="00D3516E"/>
    <w:rsid w:val="00D4064C"/>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E09AB"/>
    <w:rsid w:val="00DE4A3F"/>
    <w:rsid w:val="00DE4E53"/>
    <w:rsid w:val="00DE7AE9"/>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4E10"/>
    <w:rsid w:val="00E954BD"/>
    <w:rsid w:val="00E96743"/>
    <w:rsid w:val="00E96A42"/>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6E2F6B"/>
    <w:rsid w:val="017B1BF9"/>
    <w:rsid w:val="01E93A1B"/>
    <w:rsid w:val="0214602E"/>
    <w:rsid w:val="02B81FC4"/>
    <w:rsid w:val="03486B27"/>
    <w:rsid w:val="040A094E"/>
    <w:rsid w:val="054022C8"/>
    <w:rsid w:val="056F201D"/>
    <w:rsid w:val="05B664D4"/>
    <w:rsid w:val="064B485A"/>
    <w:rsid w:val="0674573B"/>
    <w:rsid w:val="068C65C4"/>
    <w:rsid w:val="07076C01"/>
    <w:rsid w:val="071C12AC"/>
    <w:rsid w:val="07A934B3"/>
    <w:rsid w:val="07EB6287"/>
    <w:rsid w:val="0806421B"/>
    <w:rsid w:val="090F70A8"/>
    <w:rsid w:val="091268D2"/>
    <w:rsid w:val="0980799C"/>
    <w:rsid w:val="098350DA"/>
    <w:rsid w:val="09944B8E"/>
    <w:rsid w:val="0A6A18DB"/>
    <w:rsid w:val="0A975B48"/>
    <w:rsid w:val="0AEF3828"/>
    <w:rsid w:val="0B406381"/>
    <w:rsid w:val="0BB452AA"/>
    <w:rsid w:val="0BBB665B"/>
    <w:rsid w:val="0D196DD0"/>
    <w:rsid w:val="0E9E4764"/>
    <w:rsid w:val="0EEA6FC1"/>
    <w:rsid w:val="0F790928"/>
    <w:rsid w:val="10CD72BB"/>
    <w:rsid w:val="111131C7"/>
    <w:rsid w:val="12197477"/>
    <w:rsid w:val="130E56B2"/>
    <w:rsid w:val="131B5CD3"/>
    <w:rsid w:val="132E1FB6"/>
    <w:rsid w:val="13776448"/>
    <w:rsid w:val="13B50586"/>
    <w:rsid w:val="1466407E"/>
    <w:rsid w:val="146B333A"/>
    <w:rsid w:val="14834E28"/>
    <w:rsid w:val="148E7D65"/>
    <w:rsid w:val="15086BE0"/>
    <w:rsid w:val="150F3CBC"/>
    <w:rsid w:val="15231BF9"/>
    <w:rsid w:val="15C4546D"/>
    <w:rsid w:val="15E37F2A"/>
    <w:rsid w:val="17C4240D"/>
    <w:rsid w:val="184B770B"/>
    <w:rsid w:val="1A064976"/>
    <w:rsid w:val="1A3B68AA"/>
    <w:rsid w:val="1A3E1C1E"/>
    <w:rsid w:val="1B6F4F40"/>
    <w:rsid w:val="1C141836"/>
    <w:rsid w:val="1C444950"/>
    <w:rsid w:val="1C76537D"/>
    <w:rsid w:val="1D971D9B"/>
    <w:rsid w:val="1E6B6A14"/>
    <w:rsid w:val="1EF0593D"/>
    <w:rsid w:val="1EFE5BCD"/>
    <w:rsid w:val="20550D9A"/>
    <w:rsid w:val="218E2416"/>
    <w:rsid w:val="226915FE"/>
    <w:rsid w:val="229273EC"/>
    <w:rsid w:val="22B31589"/>
    <w:rsid w:val="23BC656D"/>
    <w:rsid w:val="241804A5"/>
    <w:rsid w:val="248B3682"/>
    <w:rsid w:val="24B97929"/>
    <w:rsid w:val="24D632D7"/>
    <w:rsid w:val="26D7660D"/>
    <w:rsid w:val="27D65DBA"/>
    <w:rsid w:val="285F40CA"/>
    <w:rsid w:val="289E1AF0"/>
    <w:rsid w:val="28C01ECB"/>
    <w:rsid w:val="29BF71E3"/>
    <w:rsid w:val="29D6387F"/>
    <w:rsid w:val="2A127B63"/>
    <w:rsid w:val="2A451A6C"/>
    <w:rsid w:val="2AAA4765"/>
    <w:rsid w:val="2AAB46D1"/>
    <w:rsid w:val="2AC21606"/>
    <w:rsid w:val="2AD63D42"/>
    <w:rsid w:val="2B7E7608"/>
    <w:rsid w:val="2B7F04E9"/>
    <w:rsid w:val="2B8B554A"/>
    <w:rsid w:val="2D496D68"/>
    <w:rsid w:val="2DB10FCB"/>
    <w:rsid w:val="2E47045D"/>
    <w:rsid w:val="2E7A48DE"/>
    <w:rsid w:val="2EBA5177"/>
    <w:rsid w:val="2EDC3ED8"/>
    <w:rsid w:val="2F104B00"/>
    <w:rsid w:val="2F6351B4"/>
    <w:rsid w:val="2FC86126"/>
    <w:rsid w:val="2FCF199E"/>
    <w:rsid w:val="30483E83"/>
    <w:rsid w:val="30BF3991"/>
    <w:rsid w:val="3111619A"/>
    <w:rsid w:val="319775DB"/>
    <w:rsid w:val="31B139DC"/>
    <w:rsid w:val="32497AF3"/>
    <w:rsid w:val="326A6587"/>
    <w:rsid w:val="32F3657D"/>
    <w:rsid w:val="336254B1"/>
    <w:rsid w:val="33FF1696"/>
    <w:rsid w:val="343C0775"/>
    <w:rsid w:val="356C50EC"/>
    <w:rsid w:val="35726A65"/>
    <w:rsid w:val="36137E45"/>
    <w:rsid w:val="36376E0A"/>
    <w:rsid w:val="3700166C"/>
    <w:rsid w:val="379A1012"/>
    <w:rsid w:val="382344CB"/>
    <w:rsid w:val="38694EE9"/>
    <w:rsid w:val="39153946"/>
    <w:rsid w:val="392B4CC2"/>
    <w:rsid w:val="39AF2343"/>
    <w:rsid w:val="3A6818FA"/>
    <w:rsid w:val="3A8521B0"/>
    <w:rsid w:val="3B365CC9"/>
    <w:rsid w:val="3B9A7B88"/>
    <w:rsid w:val="3C1A4BDD"/>
    <w:rsid w:val="3C636521"/>
    <w:rsid w:val="3C8762F8"/>
    <w:rsid w:val="3D2C7AC8"/>
    <w:rsid w:val="3D855D12"/>
    <w:rsid w:val="3D8B42FF"/>
    <w:rsid w:val="3DE86C4C"/>
    <w:rsid w:val="3DF36A6E"/>
    <w:rsid w:val="3EBA1EE9"/>
    <w:rsid w:val="3F514DCA"/>
    <w:rsid w:val="3F792F1E"/>
    <w:rsid w:val="400F4A0C"/>
    <w:rsid w:val="40824826"/>
    <w:rsid w:val="409164A0"/>
    <w:rsid w:val="40E63923"/>
    <w:rsid w:val="42D60111"/>
    <w:rsid w:val="43A91E5B"/>
    <w:rsid w:val="43F16E48"/>
    <w:rsid w:val="443E7EC2"/>
    <w:rsid w:val="449E0D39"/>
    <w:rsid w:val="45E32B26"/>
    <w:rsid w:val="463A3650"/>
    <w:rsid w:val="46461627"/>
    <w:rsid w:val="46826C09"/>
    <w:rsid w:val="469F0116"/>
    <w:rsid w:val="475259B7"/>
    <w:rsid w:val="488302AE"/>
    <w:rsid w:val="48831CF9"/>
    <w:rsid w:val="49024C9C"/>
    <w:rsid w:val="49B1408D"/>
    <w:rsid w:val="4A7D4FD2"/>
    <w:rsid w:val="4A913C9A"/>
    <w:rsid w:val="4B1F70AC"/>
    <w:rsid w:val="4B240F94"/>
    <w:rsid w:val="4B4D1B4F"/>
    <w:rsid w:val="4C0832E5"/>
    <w:rsid w:val="4C3C565C"/>
    <w:rsid w:val="4CCC79C7"/>
    <w:rsid w:val="4D7555C7"/>
    <w:rsid w:val="4DCF13D9"/>
    <w:rsid w:val="4EAE6DA0"/>
    <w:rsid w:val="4FE617D9"/>
    <w:rsid w:val="5016514B"/>
    <w:rsid w:val="50BD4DF3"/>
    <w:rsid w:val="50FC1A26"/>
    <w:rsid w:val="513149E8"/>
    <w:rsid w:val="51723664"/>
    <w:rsid w:val="51CB1C78"/>
    <w:rsid w:val="51FD6A51"/>
    <w:rsid w:val="521C0FAF"/>
    <w:rsid w:val="526B680A"/>
    <w:rsid w:val="52836F71"/>
    <w:rsid w:val="52D26B02"/>
    <w:rsid w:val="532A2605"/>
    <w:rsid w:val="53AB6CD4"/>
    <w:rsid w:val="53B55382"/>
    <w:rsid w:val="541A5D30"/>
    <w:rsid w:val="54A33024"/>
    <w:rsid w:val="55245DBE"/>
    <w:rsid w:val="55A156D3"/>
    <w:rsid w:val="55C1559C"/>
    <w:rsid w:val="55F068CD"/>
    <w:rsid w:val="566C3136"/>
    <w:rsid w:val="568D04F2"/>
    <w:rsid w:val="56B54C65"/>
    <w:rsid w:val="585A4825"/>
    <w:rsid w:val="59F6086E"/>
    <w:rsid w:val="5A0E58C7"/>
    <w:rsid w:val="5A526582"/>
    <w:rsid w:val="5A5F5C77"/>
    <w:rsid w:val="5A711A0D"/>
    <w:rsid w:val="5B1613E4"/>
    <w:rsid w:val="5B5725A1"/>
    <w:rsid w:val="5B78003B"/>
    <w:rsid w:val="5BC11A60"/>
    <w:rsid w:val="5C7A4D54"/>
    <w:rsid w:val="5CD23B73"/>
    <w:rsid w:val="5D810AA5"/>
    <w:rsid w:val="5EC6209F"/>
    <w:rsid w:val="5F127819"/>
    <w:rsid w:val="60350ED3"/>
    <w:rsid w:val="60B72AEE"/>
    <w:rsid w:val="61025188"/>
    <w:rsid w:val="61057D5F"/>
    <w:rsid w:val="6126068F"/>
    <w:rsid w:val="614D4977"/>
    <w:rsid w:val="62FD1A73"/>
    <w:rsid w:val="63C60FC0"/>
    <w:rsid w:val="63C725FE"/>
    <w:rsid w:val="63FA4BC6"/>
    <w:rsid w:val="64537E39"/>
    <w:rsid w:val="64B7454D"/>
    <w:rsid w:val="64BA3D7A"/>
    <w:rsid w:val="64F179BC"/>
    <w:rsid w:val="65114A86"/>
    <w:rsid w:val="65287095"/>
    <w:rsid w:val="65A44CF6"/>
    <w:rsid w:val="662326FA"/>
    <w:rsid w:val="665704D3"/>
    <w:rsid w:val="67C065A4"/>
    <w:rsid w:val="67D359C9"/>
    <w:rsid w:val="68042537"/>
    <w:rsid w:val="68FE36DD"/>
    <w:rsid w:val="694E60FC"/>
    <w:rsid w:val="69C53529"/>
    <w:rsid w:val="69DD7064"/>
    <w:rsid w:val="69DF2981"/>
    <w:rsid w:val="69E95A08"/>
    <w:rsid w:val="6A256904"/>
    <w:rsid w:val="6B656832"/>
    <w:rsid w:val="6C675CE6"/>
    <w:rsid w:val="6D105F6A"/>
    <w:rsid w:val="6D4F4321"/>
    <w:rsid w:val="6D7101EF"/>
    <w:rsid w:val="6DF41B82"/>
    <w:rsid w:val="6DFF7360"/>
    <w:rsid w:val="6E561E49"/>
    <w:rsid w:val="6E7A5F73"/>
    <w:rsid w:val="6E873A42"/>
    <w:rsid w:val="6EB87F35"/>
    <w:rsid w:val="6EE90F9D"/>
    <w:rsid w:val="6FD74228"/>
    <w:rsid w:val="7021106F"/>
    <w:rsid w:val="71633091"/>
    <w:rsid w:val="71F25309"/>
    <w:rsid w:val="73081CA5"/>
    <w:rsid w:val="73104006"/>
    <w:rsid w:val="74201F7D"/>
    <w:rsid w:val="7487762D"/>
    <w:rsid w:val="74C33AA4"/>
    <w:rsid w:val="75210D7A"/>
    <w:rsid w:val="75385498"/>
    <w:rsid w:val="75F37776"/>
    <w:rsid w:val="762E7D9A"/>
    <w:rsid w:val="764F5935"/>
    <w:rsid w:val="76BC207F"/>
    <w:rsid w:val="76EB4904"/>
    <w:rsid w:val="76F23CED"/>
    <w:rsid w:val="77645DCD"/>
    <w:rsid w:val="777378F5"/>
    <w:rsid w:val="777A2D3C"/>
    <w:rsid w:val="78112CFA"/>
    <w:rsid w:val="78474930"/>
    <w:rsid w:val="79074B81"/>
    <w:rsid w:val="794F0939"/>
    <w:rsid w:val="79AF0FCA"/>
    <w:rsid w:val="7A8C48BA"/>
    <w:rsid w:val="7AF9279C"/>
    <w:rsid w:val="7CC51958"/>
    <w:rsid w:val="7CD53DF9"/>
    <w:rsid w:val="7D097C86"/>
    <w:rsid w:val="7E2936C3"/>
    <w:rsid w:val="7E6411B9"/>
    <w:rsid w:val="7EBE19AF"/>
    <w:rsid w:val="7ECE6164"/>
    <w:rsid w:val="7F1D519F"/>
    <w:rsid w:val="7F590A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56"/>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link w:val="58"/>
    <w:autoRedefine/>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63"/>
    <w:autoRedefine/>
    <w:qFormat/>
    <w:uiPriority w:val="0"/>
    <w:pPr>
      <w:keepNext/>
      <w:keepLines/>
      <w:spacing w:before="280" w:after="290" w:line="376" w:lineRule="auto"/>
      <w:outlineLvl w:val="3"/>
    </w:pPr>
    <w:rPr>
      <w:b/>
      <w:bCs/>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7">
    <w:name w:val="annotation text"/>
    <w:basedOn w:val="1"/>
    <w:link w:val="55"/>
    <w:autoRedefine/>
    <w:qFormat/>
    <w:uiPriority w:val="0"/>
    <w:pPr>
      <w:jc w:val="left"/>
    </w:pPr>
    <w:rPr>
      <w:rFonts w:ascii="Arial" w:hAnsi="Arial" w:eastAsia="黑体" w:cs="Arial"/>
    </w:rPr>
  </w:style>
  <w:style w:type="paragraph" w:styleId="8">
    <w:name w:val="Body Text"/>
    <w:basedOn w:val="1"/>
    <w:autoRedefine/>
    <w:qFormat/>
    <w:uiPriority w:val="0"/>
    <w:pPr>
      <w:spacing w:after="120"/>
    </w:pPr>
    <w:rPr>
      <w:rFonts w:ascii="@微软简标宋" w:hAnsi="@微软简标宋" w:eastAsia="@微软简标宋" w:cs="@微软简标宋"/>
      <w:szCs w:val="24"/>
      <w:lang w:val="zh-CN"/>
    </w:rPr>
  </w:style>
  <w:style w:type="paragraph" w:styleId="9">
    <w:name w:val="Body Text Indent"/>
    <w:basedOn w:val="1"/>
    <w:autoRedefine/>
    <w:qFormat/>
    <w:uiPriority w:val="0"/>
    <w:pPr>
      <w:spacing w:after="120"/>
      <w:ind w:left="420" w:leftChars="200"/>
    </w:pPr>
  </w:style>
  <w:style w:type="paragraph" w:styleId="10">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1">
    <w:name w:val="Plain Text"/>
    <w:basedOn w:val="1"/>
    <w:link w:val="45"/>
    <w:autoRedefine/>
    <w:qFormat/>
    <w:uiPriority w:val="99"/>
    <w:rPr>
      <w:rFonts w:ascii="宋体" w:hAnsi="Courier New" w:eastAsiaTheme="minorEastAsia" w:cstheme="minorBidi"/>
      <w:szCs w:val="22"/>
    </w:rPr>
  </w:style>
  <w:style w:type="paragraph" w:styleId="12">
    <w:name w:val="Date"/>
    <w:basedOn w:val="1"/>
    <w:next w:val="1"/>
    <w:link w:val="52"/>
    <w:autoRedefine/>
    <w:qFormat/>
    <w:uiPriority w:val="0"/>
    <w:rPr>
      <w:rFonts w:ascii="Arial" w:hAnsi="Arial" w:eastAsia="宋体" w:cs="Arial"/>
      <w:b/>
      <w:sz w:val="28"/>
    </w:rPr>
  </w:style>
  <w:style w:type="paragraph" w:styleId="13">
    <w:name w:val="Body Text Indent 2"/>
    <w:basedOn w:val="1"/>
    <w:qFormat/>
    <w:uiPriority w:val="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14">
    <w:name w:val="Balloon Text"/>
    <w:basedOn w:val="1"/>
    <w:link w:val="39"/>
    <w:autoRedefine/>
    <w:semiHidden/>
    <w:unhideWhenUsed/>
    <w:qFormat/>
    <w:uiPriority w:val="99"/>
    <w:rPr>
      <w:sz w:val="18"/>
      <w:szCs w:val="18"/>
    </w:rPr>
  </w:style>
  <w:style w:type="paragraph" w:styleId="15">
    <w:name w:val="footer"/>
    <w:basedOn w:val="1"/>
    <w:link w:val="44"/>
    <w:autoRedefine/>
    <w:unhideWhenUsed/>
    <w:qFormat/>
    <w:uiPriority w:val="99"/>
    <w:pPr>
      <w:tabs>
        <w:tab w:val="center" w:pos="4153"/>
        <w:tab w:val="right" w:pos="8306"/>
      </w:tabs>
      <w:snapToGrid w:val="0"/>
      <w:jc w:val="left"/>
    </w:pPr>
    <w:rPr>
      <w:sz w:val="18"/>
      <w:szCs w:val="18"/>
    </w:rPr>
  </w:style>
  <w:style w:type="paragraph" w:styleId="16">
    <w:name w:val="header"/>
    <w:basedOn w:val="1"/>
    <w:link w:val="4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8">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9">
    <w:name w:val="Normal (Web)"/>
    <w:basedOn w:val="1"/>
    <w:autoRedefine/>
    <w:qFormat/>
    <w:uiPriority w:val="0"/>
    <w:pPr>
      <w:spacing w:before="100" w:beforeAutospacing="1" w:after="100" w:afterAutospacing="1"/>
      <w:jc w:val="left"/>
    </w:pPr>
    <w:rPr>
      <w:rFonts w:cs="Times New Roman"/>
      <w:kern w:val="0"/>
      <w:sz w:val="24"/>
    </w:rPr>
  </w:style>
  <w:style w:type="paragraph" w:styleId="20">
    <w:name w:val="index 1"/>
    <w:basedOn w:val="1"/>
    <w:next w:val="1"/>
    <w:autoRedefine/>
    <w:qFormat/>
    <w:uiPriority w:val="0"/>
    <w:pPr>
      <w:jc w:val="center"/>
    </w:pPr>
    <w:rPr>
      <w:rFonts w:ascii="Arial" w:hAnsi="Arial" w:eastAsia="Arial" w:cs="Arial"/>
      <w:b/>
      <w:bCs/>
      <w:sz w:val="28"/>
    </w:rPr>
  </w:style>
  <w:style w:type="paragraph" w:styleId="21">
    <w:name w:val="annotation subject"/>
    <w:basedOn w:val="7"/>
    <w:next w:val="7"/>
    <w:link w:val="66"/>
    <w:autoRedefine/>
    <w:semiHidden/>
    <w:unhideWhenUsed/>
    <w:qFormat/>
    <w:uiPriority w:val="99"/>
    <w:rPr>
      <w:rFonts w:ascii="@仿宋_GB2312" w:hAnsi="@仿宋_GB2312" w:eastAsia="@仿宋_GB2312" w:cs="@仿宋_GB2312"/>
      <w:b/>
      <w:bCs/>
    </w:rPr>
  </w:style>
  <w:style w:type="paragraph" w:styleId="22">
    <w:name w:val="Body Text First Indent"/>
    <w:basedOn w:val="8"/>
    <w:autoRedefine/>
    <w:unhideWhenUsed/>
    <w:qFormat/>
    <w:uiPriority w:val="99"/>
    <w:pPr>
      <w:ind w:firstLine="420" w:firstLineChars="100"/>
    </w:pPr>
  </w:style>
  <w:style w:type="table" w:styleId="24">
    <w:name w:val="Table Grid"/>
    <w:basedOn w:val="23"/>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autoRedefine/>
    <w:qFormat/>
    <w:uiPriority w:val="0"/>
    <w:rPr>
      <w:b/>
      <w:bCs/>
    </w:rPr>
  </w:style>
  <w:style w:type="character" w:styleId="27">
    <w:name w:val="FollowedHyperlink"/>
    <w:basedOn w:val="25"/>
    <w:semiHidden/>
    <w:unhideWhenUsed/>
    <w:qFormat/>
    <w:uiPriority w:val="99"/>
    <w:rPr>
      <w:color w:val="800080"/>
      <w:u w:val="none"/>
    </w:rPr>
  </w:style>
  <w:style w:type="character" w:styleId="28">
    <w:name w:val="Emphasis"/>
    <w:basedOn w:val="25"/>
    <w:qFormat/>
    <w:uiPriority w:val="0"/>
    <w:rPr>
      <w:b/>
      <w:bCs/>
    </w:rPr>
  </w:style>
  <w:style w:type="character" w:styleId="29">
    <w:name w:val="HTML Definition"/>
    <w:basedOn w:val="25"/>
    <w:semiHidden/>
    <w:unhideWhenUsed/>
    <w:qFormat/>
    <w:uiPriority w:val="99"/>
    <w:rPr>
      <w:color w:val="BBBBBB"/>
    </w:rPr>
  </w:style>
  <w:style w:type="character" w:styleId="30">
    <w:name w:val="HTML Typewriter"/>
    <w:basedOn w:val="25"/>
    <w:semiHidden/>
    <w:unhideWhenUsed/>
    <w:qFormat/>
    <w:uiPriority w:val="99"/>
    <w:rPr>
      <w:rFonts w:hint="default" w:ascii="monospace" w:hAnsi="monospace" w:eastAsia="monospace" w:cs="monospace"/>
      <w:sz w:val="20"/>
    </w:rPr>
  </w:style>
  <w:style w:type="character" w:styleId="31">
    <w:name w:val="HTML Acronym"/>
    <w:basedOn w:val="25"/>
    <w:semiHidden/>
    <w:unhideWhenUsed/>
    <w:qFormat/>
    <w:uiPriority w:val="99"/>
  </w:style>
  <w:style w:type="character" w:styleId="32">
    <w:name w:val="HTML Variable"/>
    <w:basedOn w:val="25"/>
    <w:semiHidden/>
    <w:unhideWhenUsed/>
    <w:qFormat/>
    <w:uiPriority w:val="99"/>
  </w:style>
  <w:style w:type="character" w:styleId="33">
    <w:name w:val="Hyperlink"/>
    <w:basedOn w:val="25"/>
    <w:autoRedefine/>
    <w:unhideWhenUsed/>
    <w:qFormat/>
    <w:uiPriority w:val="99"/>
    <w:rPr>
      <w:color w:val="0000FF" w:themeColor="hyperlink"/>
      <w:u w:val="single"/>
      <w14:textFill>
        <w14:solidFill>
          <w14:schemeClr w14:val="hlink"/>
        </w14:solidFill>
      </w14:textFill>
    </w:rPr>
  </w:style>
  <w:style w:type="character" w:styleId="34">
    <w:name w:val="HTML Code"/>
    <w:basedOn w:val="25"/>
    <w:semiHidden/>
    <w:unhideWhenUsed/>
    <w:qFormat/>
    <w:uiPriority w:val="99"/>
    <w:rPr>
      <w:rFonts w:hint="default" w:ascii="monospace" w:hAnsi="monospace" w:eastAsia="monospace" w:cs="monospace"/>
      <w:sz w:val="20"/>
    </w:rPr>
  </w:style>
  <w:style w:type="character" w:styleId="35">
    <w:name w:val="annotation reference"/>
    <w:basedOn w:val="25"/>
    <w:autoRedefine/>
    <w:semiHidden/>
    <w:unhideWhenUsed/>
    <w:qFormat/>
    <w:uiPriority w:val="99"/>
    <w:rPr>
      <w:sz w:val="21"/>
      <w:szCs w:val="21"/>
    </w:rPr>
  </w:style>
  <w:style w:type="character" w:styleId="36">
    <w:name w:val="HTML Cite"/>
    <w:basedOn w:val="25"/>
    <w:semiHidden/>
    <w:unhideWhenUsed/>
    <w:qFormat/>
    <w:uiPriority w:val="99"/>
  </w:style>
  <w:style w:type="character" w:styleId="37">
    <w:name w:val="HTML Keyboard"/>
    <w:basedOn w:val="25"/>
    <w:semiHidden/>
    <w:unhideWhenUsed/>
    <w:qFormat/>
    <w:uiPriority w:val="99"/>
    <w:rPr>
      <w:rFonts w:ascii="monospace" w:hAnsi="monospace" w:eastAsia="monospace" w:cs="monospace"/>
      <w:sz w:val="20"/>
    </w:rPr>
  </w:style>
  <w:style w:type="character" w:styleId="38">
    <w:name w:val="HTML Sample"/>
    <w:basedOn w:val="25"/>
    <w:semiHidden/>
    <w:unhideWhenUsed/>
    <w:qFormat/>
    <w:uiPriority w:val="99"/>
    <w:rPr>
      <w:rFonts w:hint="default" w:ascii="monospace" w:hAnsi="monospace" w:eastAsia="monospace" w:cs="monospace"/>
    </w:rPr>
  </w:style>
  <w:style w:type="character" w:customStyle="1" w:styleId="39">
    <w:name w:val="批注框文本 字符"/>
    <w:basedOn w:val="25"/>
    <w:link w:val="14"/>
    <w:autoRedefine/>
    <w:semiHidden/>
    <w:qFormat/>
    <w:uiPriority w:val="99"/>
    <w:rPr>
      <w:rFonts w:ascii="@仿宋_GB2312" w:hAnsi="@仿宋_GB2312" w:eastAsia="@仿宋_GB2312" w:cs="@仿宋_GB2312"/>
      <w:sz w:val="18"/>
      <w:szCs w:val="18"/>
    </w:rPr>
  </w:style>
  <w:style w:type="paragraph" w:customStyle="1" w:styleId="40">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41">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42">
    <w:name w:val="D&amp;L"/>
    <w:basedOn w:val="16"/>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3">
    <w:name w:val="页眉 字符"/>
    <w:basedOn w:val="25"/>
    <w:link w:val="16"/>
    <w:autoRedefine/>
    <w:qFormat/>
    <w:uiPriority w:val="99"/>
    <w:rPr>
      <w:rFonts w:ascii="@仿宋_GB2312" w:hAnsi="@仿宋_GB2312" w:eastAsia="@仿宋_GB2312" w:cs="@仿宋_GB2312"/>
      <w:sz w:val="18"/>
      <w:szCs w:val="18"/>
    </w:rPr>
  </w:style>
  <w:style w:type="character" w:customStyle="1" w:styleId="44">
    <w:name w:val="页脚 字符"/>
    <w:basedOn w:val="25"/>
    <w:link w:val="15"/>
    <w:autoRedefine/>
    <w:qFormat/>
    <w:uiPriority w:val="99"/>
    <w:rPr>
      <w:rFonts w:ascii="@仿宋_GB2312" w:hAnsi="@仿宋_GB2312" w:eastAsia="@仿宋_GB2312" w:cs="@仿宋_GB2312"/>
      <w:sz w:val="18"/>
      <w:szCs w:val="18"/>
    </w:rPr>
  </w:style>
  <w:style w:type="character" w:customStyle="1" w:styleId="45">
    <w:name w:val="纯文本 字符"/>
    <w:link w:val="11"/>
    <w:autoRedefine/>
    <w:qFormat/>
    <w:uiPriority w:val="0"/>
    <w:rPr>
      <w:rFonts w:ascii="宋体" w:hAnsi="Courier New"/>
    </w:rPr>
  </w:style>
  <w:style w:type="character" w:customStyle="1" w:styleId="46">
    <w:name w:val="纯文本 字符1"/>
    <w:basedOn w:val="25"/>
    <w:autoRedefine/>
    <w:semiHidden/>
    <w:qFormat/>
    <w:uiPriority w:val="99"/>
    <w:rPr>
      <w:rFonts w:hAnsi="Courier New" w:cs="Courier New" w:asciiTheme="minorEastAsia"/>
      <w:szCs w:val="20"/>
    </w:rPr>
  </w:style>
  <w:style w:type="character" w:customStyle="1" w:styleId="47">
    <w:name w:val="未处理的提及1"/>
    <w:basedOn w:val="25"/>
    <w:autoRedefine/>
    <w:semiHidden/>
    <w:unhideWhenUsed/>
    <w:qFormat/>
    <w:uiPriority w:val="99"/>
    <w:rPr>
      <w:color w:val="605E5C"/>
      <w:shd w:val="clear" w:color="auto" w:fill="E1DFDD"/>
    </w:rPr>
  </w:style>
  <w:style w:type="paragraph" w:styleId="48">
    <w:name w:val="List Paragraph"/>
    <w:basedOn w:val="1"/>
    <w:autoRedefine/>
    <w:qFormat/>
    <w:uiPriority w:val="34"/>
    <w:pPr>
      <w:ind w:firstLine="420" w:firstLineChars="200"/>
    </w:pPr>
  </w:style>
  <w:style w:type="paragraph" w:customStyle="1" w:styleId="49">
    <w:name w:val="Char Char Char Char Char Char Char1 Char"/>
    <w:basedOn w:val="1"/>
    <w:autoRedefine/>
    <w:qFormat/>
    <w:uiPriority w:val="0"/>
    <w:rPr>
      <w:rFonts w:ascii="Arial" w:hAnsi="Arial" w:eastAsia="宋体" w:cs="Arial"/>
      <w:sz w:val="24"/>
    </w:rPr>
  </w:style>
  <w:style w:type="table" w:customStyle="1" w:styleId="50">
    <w:name w:val="网格表 1 浅色1"/>
    <w:basedOn w:val="23"/>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1">
    <w:name w:val="日期 字符"/>
    <w:basedOn w:val="25"/>
    <w:autoRedefine/>
    <w:semiHidden/>
    <w:qFormat/>
    <w:uiPriority w:val="99"/>
    <w:rPr>
      <w:rFonts w:ascii="@仿宋_GB2312" w:hAnsi="@仿宋_GB2312" w:eastAsia="@仿宋_GB2312" w:cs="@仿宋_GB2312"/>
      <w:szCs w:val="20"/>
    </w:rPr>
  </w:style>
  <w:style w:type="character" w:customStyle="1" w:styleId="52">
    <w:name w:val="日期 字符1"/>
    <w:link w:val="12"/>
    <w:autoRedefine/>
    <w:qFormat/>
    <w:uiPriority w:val="0"/>
    <w:rPr>
      <w:rFonts w:ascii="Arial" w:hAnsi="Arial" w:eastAsia="宋体" w:cs="Arial"/>
      <w:b/>
      <w:sz w:val="28"/>
      <w:szCs w:val="20"/>
    </w:rPr>
  </w:style>
  <w:style w:type="character" w:customStyle="1" w:styleId="53">
    <w:name w:val="纯文本 Char1"/>
    <w:autoRedefine/>
    <w:qFormat/>
    <w:locked/>
    <w:uiPriority w:val="99"/>
    <w:rPr>
      <w:rFonts w:ascii="Arial" w:hAnsi="Arial" w:eastAsia="Arial"/>
      <w:kern w:val="2"/>
      <w:sz w:val="21"/>
      <w:lang w:val="en-US" w:eastAsia="zh-CN" w:bidi="ar-SA"/>
    </w:rPr>
  </w:style>
  <w:style w:type="character" w:customStyle="1" w:styleId="54">
    <w:name w:val="批注文字 Char"/>
    <w:basedOn w:val="25"/>
    <w:autoRedefine/>
    <w:semiHidden/>
    <w:qFormat/>
    <w:uiPriority w:val="99"/>
    <w:rPr>
      <w:rFonts w:ascii="@仿宋_GB2312" w:hAnsi="@仿宋_GB2312" w:eastAsia="@仿宋_GB2312" w:cs="@仿宋_GB2312"/>
      <w:szCs w:val="20"/>
    </w:rPr>
  </w:style>
  <w:style w:type="character" w:customStyle="1" w:styleId="55">
    <w:name w:val="批注文字 字符"/>
    <w:link w:val="7"/>
    <w:autoRedefine/>
    <w:qFormat/>
    <w:uiPriority w:val="0"/>
    <w:rPr>
      <w:rFonts w:ascii="Arial" w:hAnsi="Arial" w:eastAsia="黑体" w:cs="Arial"/>
      <w:szCs w:val="20"/>
    </w:rPr>
  </w:style>
  <w:style w:type="character" w:customStyle="1" w:styleId="56">
    <w:name w:val="标题 1 字符"/>
    <w:basedOn w:val="25"/>
    <w:link w:val="2"/>
    <w:autoRedefine/>
    <w:qFormat/>
    <w:uiPriority w:val="9"/>
    <w:rPr>
      <w:rFonts w:ascii="@仿宋_GB2312" w:hAnsi="@仿宋_GB2312" w:eastAsia="@仿宋_GB2312" w:cs="@仿宋_GB2312"/>
      <w:b/>
      <w:bCs/>
      <w:kern w:val="44"/>
      <w:sz w:val="44"/>
      <w:szCs w:val="44"/>
    </w:rPr>
  </w:style>
  <w:style w:type="paragraph" w:customStyle="1" w:styleId="57">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58">
    <w:name w:val="标题 3 字符"/>
    <w:basedOn w:val="25"/>
    <w:link w:val="4"/>
    <w:autoRedefine/>
    <w:semiHidden/>
    <w:qFormat/>
    <w:uiPriority w:val="9"/>
    <w:rPr>
      <w:rFonts w:ascii="@仿宋_GB2312" w:hAnsi="@仿宋_GB2312" w:eastAsia="@仿宋_GB2312" w:cs="@仿宋_GB2312"/>
      <w:b/>
      <w:bCs/>
      <w:sz w:val="32"/>
      <w:szCs w:val="32"/>
    </w:rPr>
  </w:style>
  <w:style w:type="character" w:customStyle="1" w:styleId="59">
    <w:name w:val="fontstyle01"/>
    <w:basedOn w:val="25"/>
    <w:autoRedefine/>
    <w:qFormat/>
    <w:uiPriority w:val="0"/>
    <w:rPr>
      <w:rFonts w:hint="eastAsia" w:ascii="宋体" w:hAnsi="宋体" w:eastAsia="宋体"/>
      <w:color w:val="000000"/>
      <w:sz w:val="22"/>
      <w:szCs w:val="22"/>
    </w:rPr>
  </w:style>
  <w:style w:type="character" w:customStyle="1" w:styleId="60">
    <w:name w:val="fontstyle21"/>
    <w:basedOn w:val="25"/>
    <w:autoRedefine/>
    <w:qFormat/>
    <w:uiPriority w:val="0"/>
    <w:rPr>
      <w:rFonts w:hint="default" w:ascii="TimesNewRomanPSMT" w:hAnsi="TimesNewRomanPSMT"/>
      <w:color w:val="000000"/>
      <w:sz w:val="22"/>
      <w:szCs w:val="22"/>
    </w:rPr>
  </w:style>
  <w:style w:type="character" w:customStyle="1" w:styleId="61">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62">
    <w:name w:val="标题 4 字符"/>
    <w:basedOn w:val="25"/>
    <w:autoRedefine/>
    <w:semiHidden/>
    <w:qFormat/>
    <w:uiPriority w:val="9"/>
    <w:rPr>
      <w:rFonts w:asciiTheme="majorHAnsi" w:hAnsiTheme="majorHAnsi" w:eastAsiaTheme="majorEastAsia" w:cstheme="majorBidi"/>
      <w:b/>
      <w:bCs/>
      <w:sz w:val="28"/>
      <w:szCs w:val="28"/>
    </w:rPr>
  </w:style>
  <w:style w:type="character" w:customStyle="1" w:styleId="63">
    <w:name w:val="标题 4 字符1"/>
    <w:link w:val="5"/>
    <w:autoRedefine/>
    <w:qFormat/>
    <w:uiPriority w:val="0"/>
    <w:rPr>
      <w:rFonts w:ascii="@仿宋_GB2312" w:hAnsi="@仿宋_GB2312" w:eastAsia="@仿宋_GB2312" w:cs="@仿宋_GB2312"/>
      <w:b/>
      <w:bCs/>
      <w:sz w:val="28"/>
      <w:szCs w:val="28"/>
    </w:rPr>
  </w:style>
  <w:style w:type="character" w:customStyle="1" w:styleId="64">
    <w:name w:val="标题 4 Char"/>
    <w:autoRedefine/>
    <w:qFormat/>
    <w:uiPriority w:val="0"/>
    <w:rPr>
      <w:rFonts w:ascii="Arial" w:hAnsi="Arial" w:eastAsia="Arial"/>
      <w:b/>
      <w:bCs/>
      <w:kern w:val="2"/>
      <w:sz w:val="28"/>
      <w:szCs w:val="28"/>
      <w:lang w:val="en-US" w:eastAsia="zh-CN" w:bidi="ar-SA"/>
    </w:rPr>
  </w:style>
  <w:style w:type="table" w:customStyle="1" w:styleId="65">
    <w:name w:val="网格型1"/>
    <w:basedOn w:val="23"/>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6">
    <w:name w:val="批注主题 字符"/>
    <w:basedOn w:val="55"/>
    <w:link w:val="21"/>
    <w:autoRedefine/>
    <w:semiHidden/>
    <w:qFormat/>
    <w:uiPriority w:val="99"/>
    <w:rPr>
      <w:rFonts w:ascii="@仿宋_GB2312" w:hAnsi="@仿宋_GB2312" w:eastAsia="@仿宋_GB2312" w:cs="@仿宋_GB2312"/>
      <w:b/>
      <w:bCs/>
      <w:szCs w:val="20"/>
    </w:rPr>
  </w:style>
  <w:style w:type="table" w:customStyle="1" w:styleId="67">
    <w:name w:val="Table Normal"/>
    <w:autoRedefine/>
    <w:semiHidden/>
    <w:unhideWhenUsed/>
    <w:qFormat/>
    <w:uiPriority w:val="0"/>
    <w:tblPr>
      <w:tblCellMar>
        <w:top w:w="0" w:type="dxa"/>
        <w:left w:w="0" w:type="dxa"/>
        <w:bottom w:w="0" w:type="dxa"/>
        <w:right w:w="0" w:type="dxa"/>
      </w:tblCellMar>
    </w:tblPr>
  </w:style>
  <w:style w:type="paragraph" w:customStyle="1" w:styleId="68">
    <w:name w:val="Table Text"/>
    <w:basedOn w:val="1"/>
    <w:autoRedefine/>
    <w:semiHidden/>
    <w:qFormat/>
    <w:uiPriority w:val="0"/>
    <w:rPr>
      <w:rFonts w:ascii="Arial" w:hAnsi="Arial" w:eastAsia="Arial" w:cs="Arial"/>
      <w:szCs w:val="21"/>
      <w:lang w:eastAsia="en-US"/>
    </w:rPr>
  </w:style>
  <w:style w:type="paragraph" w:customStyle="1" w:styleId="69">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70">
    <w:name w:val="列出段落1"/>
    <w:basedOn w:val="1"/>
    <w:autoRedefine/>
    <w:qFormat/>
    <w:uiPriority w:val="0"/>
    <w:pPr>
      <w:ind w:firstLine="420" w:firstLineChars="200"/>
    </w:pPr>
    <w:rPr>
      <w:szCs w:val="21"/>
    </w:rPr>
  </w:style>
  <w:style w:type="character" w:customStyle="1" w:styleId="71">
    <w:name w:val="first-child"/>
    <w:basedOn w:val="25"/>
    <w:qFormat/>
    <w:uiPriority w:val="0"/>
  </w:style>
  <w:style w:type="character" w:customStyle="1" w:styleId="72">
    <w:name w:val="layui-this"/>
    <w:basedOn w:val="25"/>
    <w:qFormat/>
    <w:uiPriority w:val="0"/>
    <w:rPr>
      <w:bdr w:val="single" w:color="EEEEEE" w:sz="6" w:space="0"/>
      <w:shd w:val="clear" w:color="auto" w:fill="FFFFFF"/>
    </w:rPr>
  </w:style>
  <w:style w:type="character" w:customStyle="1" w:styleId="73">
    <w:name w:val="hover"/>
    <w:basedOn w:val="25"/>
    <w:qFormat/>
    <w:uiPriority w:val="0"/>
  </w:style>
  <w:style w:type="character" w:customStyle="1" w:styleId="74">
    <w:name w:val="hover1"/>
    <w:basedOn w:val="25"/>
    <w:qFormat/>
    <w:uiPriority w:val="0"/>
    <w:rPr>
      <w:color w:val="2590EB"/>
    </w:rPr>
  </w:style>
  <w:style w:type="character" w:customStyle="1" w:styleId="75">
    <w:name w:val="hover2"/>
    <w:basedOn w:val="25"/>
    <w:qFormat/>
    <w:uiPriority w:val="0"/>
    <w:rPr>
      <w:color w:val="2590EB"/>
    </w:rPr>
  </w:style>
  <w:style w:type="character" w:customStyle="1" w:styleId="76">
    <w:name w:val="hover3"/>
    <w:basedOn w:val="25"/>
    <w:qFormat/>
    <w:uiPriority w:val="0"/>
    <w:rPr>
      <w:color w:val="2590EB"/>
      <w:shd w:val="clear" w:color="auto" w:fill="E9F4FD"/>
    </w:rPr>
  </w:style>
  <w:style w:type="character" w:customStyle="1" w:styleId="77">
    <w:name w:val="mini-outputtext1"/>
    <w:basedOn w:val="25"/>
    <w:qFormat/>
    <w:uiPriority w:val="0"/>
  </w:style>
  <w:style w:type="character" w:customStyle="1" w:styleId="78">
    <w:name w:val="hover4"/>
    <w:basedOn w:val="25"/>
    <w:qFormat/>
    <w:uiPriority w:val="0"/>
  </w:style>
  <w:style w:type="paragraph" w:customStyle="1" w:styleId="79">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character" w:customStyle="1" w:styleId="80">
    <w:name w:val="font11"/>
    <w:basedOn w:val="25"/>
    <w:qFormat/>
    <w:uiPriority w:val="0"/>
    <w:rPr>
      <w:rFonts w:hint="eastAsia" w:ascii="宋体" w:hAnsi="宋体" w:eastAsia="宋体" w:cs="宋体"/>
      <w:color w:val="000000"/>
      <w:sz w:val="22"/>
      <w:szCs w:val="22"/>
      <w:u w:val="none"/>
    </w:rPr>
  </w:style>
  <w:style w:type="character" w:customStyle="1" w:styleId="81">
    <w:name w:val="font71"/>
    <w:basedOn w:val="25"/>
    <w:qFormat/>
    <w:uiPriority w:val="0"/>
    <w:rPr>
      <w:rFonts w:hint="eastAsia" w:ascii="宋体" w:hAnsi="宋体" w:eastAsia="宋体" w:cs="宋体"/>
      <w:color w:val="FF0000"/>
      <w:sz w:val="22"/>
      <w:szCs w:val="22"/>
      <w:u w:val="none"/>
    </w:rPr>
  </w:style>
  <w:style w:type="character" w:customStyle="1" w:styleId="82">
    <w:name w:val="font01"/>
    <w:basedOn w:val="25"/>
    <w:qFormat/>
    <w:uiPriority w:val="0"/>
    <w:rPr>
      <w:rFonts w:hint="eastAsia" w:ascii="宋体" w:hAnsi="宋体" w:eastAsia="宋体" w:cs="宋体"/>
      <w:color w:val="000000"/>
      <w:sz w:val="22"/>
      <w:szCs w:val="22"/>
      <w:u w:val="none"/>
    </w:rPr>
  </w:style>
  <w:style w:type="character" w:customStyle="1" w:styleId="83">
    <w:name w:val="font81"/>
    <w:basedOn w:val="25"/>
    <w:qFormat/>
    <w:uiPriority w:val="0"/>
    <w:rPr>
      <w:rFonts w:hint="default" w:ascii="Times New Roman" w:hAnsi="Times New Roman" w:cs="Times New Roman"/>
      <w:color w:val="000000"/>
      <w:sz w:val="22"/>
      <w:szCs w:val="22"/>
      <w:u w:val="none"/>
    </w:rPr>
  </w:style>
  <w:style w:type="character" w:customStyle="1" w:styleId="84">
    <w:name w:val="font41"/>
    <w:basedOn w:val="25"/>
    <w:qFormat/>
    <w:uiPriority w:val="0"/>
    <w:rPr>
      <w:rFonts w:hint="eastAsia" w:ascii="宋体" w:hAnsi="宋体" w:eastAsia="宋体" w:cs="宋体"/>
      <w:color w:val="000000"/>
      <w:sz w:val="22"/>
      <w:szCs w:val="22"/>
      <w:u w:val="none"/>
    </w:rPr>
  </w:style>
  <w:style w:type="character" w:customStyle="1" w:styleId="85">
    <w:name w:val="font21"/>
    <w:basedOn w:val="25"/>
    <w:qFormat/>
    <w:uiPriority w:val="0"/>
    <w:rPr>
      <w:rFonts w:hint="eastAsia" w:ascii="宋体" w:hAnsi="宋体" w:eastAsia="宋体" w:cs="宋体"/>
      <w:color w:val="000000"/>
      <w:sz w:val="22"/>
      <w:szCs w:val="22"/>
      <w:u w:val="none"/>
    </w:rPr>
  </w:style>
  <w:style w:type="character" w:customStyle="1" w:styleId="86">
    <w:name w:val="font51"/>
    <w:basedOn w:val="25"/>
    <w:qFormat/>
    <w:uiPriority w:val="0"/>
    <w:rPr>
      <w:rFonts w:hint="eastAsia" w:ascii="宋体" w:hAnsi="宋体" w:eastAsia="宋体" w:cs="宋体"/>
      <w:strike/>
      <w:color w:val="FF0000"/>
      <w:sz w:val="20"/>
      <w:szCs w:val="20"/>
    </w:rPr>
  </w:style>
  <w:style w:type="character" w:customStyle="1" w:styleId="87">
    <w:name w:val="font31"/>
    <w:basedOn w:val="2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9AC3C6-84CB-4D2E-AFC0-C8AD46F7C0B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114</Pages>
  <Words>2447</Words>
  <Characters>2822</Characters>
  <Lines>5522</Lines>
  <Paragraphs>5161</Paragraphs>
  <TotalTime>1</TotalTime>
  <ScaleCrop>false</ScaleCrop>
  <LinksUpToDate>false</LinksUpToDate>
  <CharactersWithSpaces>2899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代理</cp:lastModifiedBy>
  <cp:lastPrinted>2019-12-07T15:18:00Z</cp:lastPrinted>
  <dcterms:modified xsi:type="dcterms:W3CDTF">2026-07-22T09:14:53Z</dcterms:modified>
  <cp:revision>390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3E18A213F81D4C8FA7EA948DC95382F5_13</vt:lpwstr>
  </property>
  <property fmtid="{D5CDD505-2E9C-101B-9397-08002B2CF9AE}" pid="4" name="KSOTemplateDocerSaveRecord">
    <vt:lpwstr>eyJoZGlkIjoiOTc5MDNjMmIyODczM2YwMGZkZTNjYWY1NjIxZTY5YjciLCJ1c2VySWQiOiI1MDM3MjkwOTMifQ==</vt:lpwstr>
  </property>
</Properties>
</file>