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7AD5EE9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bCs/>
          <w:color w:val="auto"/>
          <w:sz w:val="20"/>
          <w:szCs w:val="20"/>
          <w:highlight w:val="none"/>
        </w:rPr>
      </w:pPr>
      <w:r>
        <w:rPr>
          <w:rFonts w:hint="eastAsia" w:ascii="宋体" w:hAnsi="宋体" w:cs="宋体"/>
          <w:b/>
          <w:bCs/>
          <w:color w:val="auto"/>
          <w:w w:val="85"/>
          <w:sz w:val="44"/>
          <w:szCs w:val="44"/>
          <w:highlight w:val="none"/>
          <w:lang w:eastAsia="zh-CN"/>
        </w:rPr>
        <w:t>扬子大道768号园区高低压配电项目跟踪审计服务</w:t>
      </w:r>
    </w:p>
    <w:p w14:paraId="0CDC5DC4">
      <w:pPr>
        <w:rPr>
          <w:rFonts w:hint="eastAsia" w:ascii="宋体"/>
          <w:bCs/>
          <w:color w:val="auto"/>
          <w:szCs w:val="21"/>
          <w:highlight w:val="none"/>
        </w:rPr>
      </w:pPr>
    </w:p>
    <w:p w14:paraId="6564C603">
      <w:pPr>
        <w:spacing w:line="360" w:lineRule="auto"/>
        <w:jc w:val="center"/>
        <w:rPr>
          <w:rFonts w:hint="eastAsia" w:ascii="宋体" w:hAnsi="宋体" w:cs="宋体"/>
          <w:b/>
          <w:color w:val="auto"/>
          <w:sz w:val="96"/>
          <w:szCs w:val="96"/>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34"/>
        <w:rPr>
          <w:rFonts w:hint="eastAsia"/>
          <w:color w:val="auto"/>
          <w:highlight w:val="none"/>
        </w:rPr>
      </w:pPr>
    </w:p>
    <w:p w14:paraId="0B7E0817">
      <w:pPr>
        <w:rPr>
          <w:rFonts w:hint="eastAsia"/>
          <w:color w:val="auto"/>
          <w:highlight w:val="none"/>
        </w:rPr>
      </w:pPr>
    </w:p>
    <w:p w14:paraId="31447BF3">
      <w:pPr>
        <w:rPr>
          <w:rFonts w:hint="eastAsia" w:ascii="宋体"/>
          <w:color w:val="auto"/>
          <w:sz w:val="28"/>
          <w:szCs w:val="28"/>
          <w:highlight w:val="none"/>
        </w:rPr>
      </w:pPr>
    </w:p>
    <w:p w14:paraId="4A9B6B37">
      <w:pPr>
        <w:pStyle w:val="19"/>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 xml:space="preserve">  标  </w:t>
      </w:r>
      <w:r>
        <w:rPr>
          <w:rFonts w:hint="eastAsia" w:ascii="宋体"/>
          <w:b/>
          <w:color w:val="auto"/>
          <w:sz w:val="32"/>
          <w:szCs w:val="32"/>
          <w:highlight w:val="none"/>
        </w:rPr>
        <w:t xml:space="preserve"> 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hAnsi="Times New Roman" w:eastAsia="宋体" w:cs="Times New Roman"/>
          <w:b/>
          <w:color w:val="auto"/>
          <w:sz w:val="32"/>
          <w:szCs w:val="32"/>
          <w:highlight w:val="none"/>
          <w:u w:val="single"/>
          <w:lang w:eastAsia="zh-CN"/>
        </w:rPr>
        <w:t>中国扬子集团有限公司</w:t>
      </w:r>
      <w:r>
        <w:rPr>
          <w:rFonts w:hint="eastAsia" w:ascii="宋体" w:hAnsi="Times New Roman" w:eastAsia="宋体" w:cs="Times New Roman"/>
          <w:b/>
          <w:color w:val="auto"/>
          <w:sz w:val="32"/>
          <w:szCs w:val="32"/>
          <w:highlight w:val="none"/>
          <w:u w:val="single"/>
          <w:lang w:val="en-US" w:eastAsia="zh-CN"/>
        </w:rPr>
        <w:t xml:space="preserve">   </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11</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581F4B1A">
      <w:pPr>
        <w:pStyle w:val="24"/>
        <w:tabs>
          <w:tab w:val="right" w:leader="dot" w:pos="8296"/>
        </w:tabs>
        <w:spacing w:before="156" w:beforeLines="50" w:after="156" w:afterLines="50" w:line="500" w:lineRule="exact"/>
        <w:rPr>
          <w:rFonts w:ascii="宋体" w:hAnsi="宋体"/>
          <w:b/>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TOC \o "1-3" \h \z \u </w:instrText>
      </w:r>
      <w:r>
        <w:rPr>
          <w:rFonts w:hint="eastAsia" w:ascii="宋体" w:hAnsi="宋体" w:cs="宋体"/>
          <w:color w:val="auto"/>
          <w:sz w:val="24"/>
          <w:highlight w:val="none"/>
        </w:rPr>
        <w:fldChar w:fldCharType="separate"/>
      </w:r>
      <w:r>
        <w:rPr>
          <w:rFonts w:ascii="宋体" w:hAnsi="宋体"/>
          <w:color w:val="auto"/>
          <w:sz w:val="24"/>
          <w:highlight w:val="none"/>
        </w:rPr>
        <w:fldChar w:fldCharType="begin"/>
      </w:r>
      <w:r>
        <w:rPr>
          <w:rStyle w:val="46"/>
          <w:rFonts w:ascii="宋体" w:hAnsi="宋体"/>
          <w:color w:val="auto"/>
          <w:sz w:val="24"/>
          <w:highlight w:val="none"/>
        </w:rPr>
        <w:instrText xml:space="preserve"> </w:instrText>
      </w:r>
      <w:r>
        <w:rPr>
          <w:rFonts w:ascii="宋体" w:hAnsi="宋体"/>
          <w:color w:val="auto"/>
          <w:sz w:val="24"/>
          <w:highlight w:val="none"/>
        </w:rPr>
        <w:instrText xml:space="preserve">HYPERLINK \l "_Toc58430304"</w:instrText>
      </w:r>
      <w:r>
        <w:rPr>
          <w:rStyle w:val="46"/>
          <w:rFonts w:ascii="宋体" w:hAnsi="宋体"/>
          <w:color w:val="auto"/>
          <w:sz w:val="24"/>
          <w:highlight w:val="none"/>
        </w:rPr>
        <w:instrText xml:space="preserve"> </w:instrText>
      </w:r>
      <w:r>
        <w:rPr>
          <w:rFonts w:ascii="宋体" w:hAnsi="宋体"/>
          <w:color w:val="auto"/>
          <w:sz w:val="24"/>
          <w:highlight w:val="none"/>
        </w:rPr>
        <w:fldChar w:fldCharType="separate"/>
      </w:r>
      <w:r>
        <w:rPr>
          <w:rStyle w:val="46"/>
          <w:rFonts w:hint="eastAsia" w:ascii="宋体" w:hAnsi="宋体"/>
          <w:b/>
          <w:color w:val="auto"/>
          <w:sz w:val="24"/>
          <w:highlight w:val="none"/>
        </w:rPr>
        <w:t>第一章</w:t>
      </w:r>
      <w:r>
        <w:rPr>
          <w:rStyle w:val="46"/>
          <w:rFonts w:ascii="宋体" w:hAnsi="宋体"/>
          <w:b/>
          <w:color w:val="auto"/>
          <w:sz w:val="24"/>
          <w:highlight w:val="none"/>
        </w:rPr>
        <w:t xml:space="preserve"> </w:t>
      </w:r>
      <w:r>
        <w:rPr>
          <w:rStyle w:val="46"/>
          <w:rFonts w:hint="eastAsia" w:ascii="宋体" w:hAnsi="宋体"/>
          <w:b/>
          <w:color w:val="auto"/>
          <w:sz w:val="24"/>
          <w:highlight w:val="none"/>
          <w:lang w:val="en-US" w:eastAsia="zh-CN"/>
        </w:rPr>
        <w:t>招标公告</w:t>
      </w:r>
      <w:r>
        <w:rPr>
          <w:rFonts w:ascii="宋体" w:hAnsi="宋体"/>
          <w:b/>
          <w:color w:val="auto"/>
          <w:sz w:val="24"/>
          <w:highlight w:val="none"/>
        </w:rPr>
        <w:tab/>
      </w:r>
      <w:r>
        <w:rPr>
          <w:rFonts w:hint="eastAsia" w:ascii="宋体" w:hAnsi="宋体"/>
          <w:b/>
          <w:color w:val="auto"/>
          <w:sz w:val="24"/>
          <w:highlight w:val="none"/>
          <w:lang w:val="en-US" w:eastAsia="zh-CN"/>
        </w:rPr>
        <w:t>1</w:t>
      </w:r>
      <w:r>
        <w:rPr>
          <w:rFonts w:ascii="宋体" w:hAnsi="宋体"/>
          <w:b/>
          <w:color w:val="auto"/>
          <w:sz w:val="24"/>
          <w:highlight w:val="none"/>
        </w:rPr>
        <w:fldChar w:fldCharType="end"/>
      </w:r>
    </w:p>
    <w:p w14:paraId="4978DF48">
      <w:pPr>
        <w:pStyle w:val="24"/>
        <w:tabs>
          <w:tab w:val="right" w:leader="dot" w:pos="8296"/>
        </w:tabs>
        <w:spacing w:before="156" w:beforeLines="50" w:after="156" w:afterLines="50" w:line="500" w:lineRule="exact"/>
        <w:rPr>
          <w:rFonts w:hint="eastAsia" w:ascii="宋体" w:hAnsi="宋体" w:eastAsia="宋体"/>
          <w:b/>
          <w:color w:val="auto"/>
          <w:sz w:val="24"/>
          <w:highlight w:val="none"/>
          <w:lang w:eastAsia="zh-CN"/>
        </w:rPr>
      </w:pPr>
      <w:r>
        <w:rPr>
          <w:rFonts w:ascii="宋体" w:hAnsi="宋体"/>
          <w:b/>
          <w:color w:val="auto"/>
          <w:sz w:val="24"/>
          <w:highlight w:val="none"/>
        </w:rPr>
        <w:fldChar w:fldCharType="begin"/>
      </w:r>
      <w:r>
        <w:rPr>
          <w:rStyle w:val="46"/>
          <w:rFonts w:ascii="宋体" w:hAnsi="宋体"/>
          <w:b/>
          <w:color w:val="auto"/>
          <w:sz w:val="24"/>
          <w:highlight w:val="none"/>
        </w:rPr>
        <w:instrText xml:space="preserve"> </w:instrText>
      </w:r>
      <w:r>
        <w:rPr>
          <w:rFonts w:ascii="宋体" w:hAnsi="宋体"/>
          <w:b/>
          <w:color w:val="auto"/>
          <w:sz w:val="24"/>
          <w:highlight w:val="none"/>
        </w:rPr>
        <w:instrText xml:space="preserve">HYPERLINK \l "_Toc58430313"</w:instrText>
      </w:r>
      <w:r>
        <w:rPr>
          <w:rStyle w:val="46"/>
          <w:rFonts w:ascii="宋体" w:hAnsi="宋体"/>
          <w:b/>
          <w:color w:val="auto"/>
          <w:sz w:val="24"/>
          <w:highlight w:val="none"/>
        </w:rPr>
        <w:instrText xml:space="preserve"> </w:instrText>
      </w:r>
      <w:r>
        <w:rPr>
          <w:rFonts w:ascii="宋体" w:hAnsi="宋体"/>
          <w:b/>
          <w:color w:val="auto"/>
          <w:sz w:val="24"/>
          <w:highlight w:val="none"/>
        </w:rPr>
        <w:fldChar w:fldCharType="separate"/>
      </w:r>
      <w:r>
        <w:rPr>
          <w:rStyle w:val="46"/>
          <w:rFonts w:hint="eastAsia" w:ascii="宋体" w:hAnsi="宋体"/>
          <w:b/>
          <w:color w:val="auto"/>
          <w:sz w:val="24"/>
          <w:highlight w:val="none"/>
        </w:rPr>
        <w:t>第二章</w:t>
      </w:r>
      <w:r>
        <w:rPr>
          <w:rStyle w:val="46"/>
          <w:rFonts w:ascii="宋体" w:hAnsi="宋体"/>
          <w:b/>
          <w:color w:val="auto"/>
          <w:sz w:val="24"/>
          <w:highlight w:val="none"/>
        </w:rPr>
        <w:t xml:space="preserve"> </w:t>
      </w:r>
      <w:r>
        <w:rPr>
          <w:rStyle w:val="46"/>
          <w:rFonts w:hint="eastAsia" w:ascii="宋体" w:hAnsi="宋体"/>
          <w:b/>
          <w:color w:val="auto"/>
          <w:sz w:val="24"/>
          <w:highlight w:val="none"/>
        </w:rPr>
        <w:t>投标人须知</w:t>
      </w:r>
      <w:r>
        <w:rPr>
          <w:rFonts w:ascii="宋体" w:hAnsi="宋体"/>
          <w:b/>
          <w:color w:val="auto"/>
          <w:sz w:val="24"/>
          <w:highlight w:val="none"/>
        </w:rPr>
        <w:tab/>
      </w:r>
      <w:r>
        <w:rPr>
          <w:rFonts w:ascii="宋体" w:hAnsi="宋体"/>
          <w:b/>
          <w:color w:val="auto"/>
          <w:sz w:val="24"/>
          <w:highlight w:val="none"/>
        </w:rPr>
        <w:fldChar w:fldCharType="end"/>
      </w:r>
      <w:r>
        <w:rPr>
          <w:rFonts w:hint="eastAsia" w:ascii="宋体" w:hAnsi="宋体"/>
          <w:b/>
          <w:color w:val="auto"/>
          <w:sz w:val="24"/>
          <w:highlight w:val="none"/>
          <w:lang w:val="en-US" w:eastAsia="zh-CN"/>
        </w:rPr>
        <w:t>5</w:t>
      </w:r>
    </w:p>
    <w:p w14:paraId="6AB8532C">
      <w:pPr>
        <w:pStyle w:val="24"/>
        <w:tabs>
          <w:tab w:val="right" w:leader="dot" w:pos="8296"/>
        </w:tabs>
        <w:spacing w:before="156" w:beforeLines="50" w:after="156" w:afterLines="50" w:line="500" w:lineRule="exact"/>
        <w:rPr>
          <w:rFonts w:hint="default" w:ascii="宋体" w:hAnsi="宋体" w:eastAsia="宋体"/>
          <w:b/>
          <w:color w:val="auto"/>
          <w:sz w:val="24"/>
          <w:highlight w:val="none"/>
          <w:lang w:val="en-US" w:eastAsia="zh-CN"/>
        </w:rPr>
      </w:pPr>
      <w:r>
        <w:rPr>
          <w:rFonts w:ascii="宋体" w:hAnsi="宋体"/>
          <w:b/>
          <w:color w:val="auto"/>
          <w:sz w:val="24"/>
          <w:highlight w:val="none"/>
        </w:rPr>
        <w:fldChar w:fldCharType="begin"/>
      </w:r>
      <w:r>
        <w:rPr>
          <w:rStyle w:val="46"/>
          <w:rFonts w:ascii="宋体" w:hAnsi="宋体"/>
          <w:b/>
          <w:color w:val="auto"/>
          <w:sz w:val="24"/>
          <w:highlight w:val="none"/>
        </w:rPr>
        <w:instrText xml:space="preserve"> </w:instrText>
      </w:r>
      <w:r>
        <w:rPr>
          <w:rFonts w:ascii="宋体" w:hAnsi="宋体"/>
          <w:b/>
          <w:color w:val="auto"/>
          <w:sz w:val="24"/>
          <w:highlight w:val="none"/>
        </w:rPr>
        <w:instrText xml:space="preserve">HYPERLINK \l "_Toc58430316"</w:instrText>
      </w:r>
      <w:r>
        <w:rPr>
          <w:rStyle w:val="46"/>
          <w:rFonts w:ascii="宋体" w:hAnsi="宋体"/>
          <w:b/>
          <w:color w:val="auto"/>
          <w:sz w:val="24"/>
          <w:highlight w:val="none"/>
        </w:rPr>
        <w:instrText xml:space="preserve"> </w:instrText>
      </w:r>
      <w:r>
        <w:rPr>
          <w:rFonts w:ascii="宋体" w:hAnsi="宋体"/>
          <w:b/>
          <w:color w:val="auto"/>
          <w:sz w:val="24"/>
          <w:highlight w:val="none"/>
        </w:rPr>
        <w:fldChar w:fldCharType="separate"/>
      </w:r>
      <w:r>
        <w:rPr>
          <w:rStyle w:val="46"/>
          <w:rFonts w:hint="eastAsia" w:ascii="宋体" w:hAnsi="宋体"/>
          <w:b/>
          <w:color w:val="auto"/>
          <w:sz w:val="24"/>
          <w:highlight w:val="none"/>
        </w:rPr>
        <w:t>第三章</w:t>
      </w:r>
      <w:r>
        <w:rPr>
          <w:rStyle w:val="46"/>
          <w:rFonts w:ascii="宋体" w:hAnsi="宋体"/>
          <w:b/>
          <w:color w:val="auto"/>
          <w:sz w:val="24"/>
          <w:highlight w:val="none"/>
        </w:rPr>
        <w:t xml:space="preserve"> </w:t>
      </w:r>
      <w:r>
        <w:rPr>
          <w:rStyle w:val="46"/>
          <w:rFonts w:hint="eastAsia" w:ascii="宋体" w:hAnsi="宋体"/>
          <w:b/>
          <w:color w:val="auto"/>
          <w:sz w:val="24"/>
          <w:highlight w:val="none"/>
        </w:rPr>
        <w:t>评标办法</w:t>
      </w:r>
      <w:r>
        <w:rPr>
          <w:rFonts w:ascii="宋体" w:hAnsi="宋体"/>
          <w:b/>
          <w:color w:val="auto"/>
          <w:sz w:val="24"/>
          <w:highlight w:val="none"/>
        </w:rPr>
        <w:tab/>
      </w:r>
      <w:r>
        <w:rPr>
          <w:rFonts w:ascii="宋体" w:hAnsi="宋体"/>
          <w:b/>
          <w:color w:val="auto"/>
          <w:sz w:val="24"/>
          <w:highlight w:val="none"/>
        </w:rPr>
        <w:fldChar w:fldCharType="end"/>
      </w:r>
      <w:r>
        <w:rPr>
          <w:rFonts w:hint="eastAsia" w:ascii="宋体" w:hAnsi="宋体"/>
          <w:b/>
          <w:color w:val="auto"/>
          <w:sz w:val="24"/>
          <w:highlight w:val="none"/>
          <w:lang w:val="en-US" w:eastAsia="zh-CN"/>
        </w:rPr>
        <w:t>19</w:t>
      </w:r>
    </w:p>
    <w:p w14:paraId="16E13669">
      <w:pPr>
        <w:pStyle w:val="24"/>
        <w:tabs>
          <w:tab w:val="right" w:leader="dot" w:pos="8296"/>
        </w:tabs>
        <w:spacing w:before="156" w:beforeLines="50" w:after="156" w:afterLines="50" w:line="50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第四章 合同格式</w:t>
      </w:r>
      <w:r>
        <w:rPr>
          <w:rFonts w:ascii="宋体" w:hAnsi="宋体"/>
          <w:b/>
          <w:color w:val="auto"/>
          <w:sz w:val="24"/>
          <w:highlight w:val="none"/>
        </w:rPr>
        <w:tab/>
      </w:r>
      <w:r>
        <w:rPr>
          <w:rFonts w:hint="eastAsia" w:ascii="宋体" w:hAnsi="宋体"/>
          <w:b/>
          <w:color w:val="auto"/>
          <w:sz w:val="24"/>
          <w:highlight w:val="none"/>
          <w:lang w:val="en-US" w:eastAsia="zh-CN"/>
        </w:rPr>
        <w:t>28</w:t>
      </w:r>
    </w:p>
    <w:p w14:paraId="6850A267">
      <w:pPr>
        <w:pStyle w:val="24"/>
        <w:tabs>
          <w:tab w:val="right" w:leader="dot" w:pos="8296"/>
        </w:tabs>
        <w:spacing w:before="156" w:beforeLines="50" w:after="156" w:afterLines="50" w:line="500" w:lineRule="exact"/>
        <w:rPr>
          <w:rFonts w:hint="default" w:ascii="宋体" w:hAnsi="宋体" w:eastAsia="宋体"/>
          <w:b/>
          <w:color w:val="auto"/>
          <w:sz w:val="24"/>
          <w:highlight w:val="none"/>
          <w:lang w:val="en-US" w:eastAsia="zh-CN"/>
        </w:rPr>
      </w:pPr>
      <w:r>
        <w:rPr>
          <w:rFonts w:ascii="宋体" w:hAnsi="宋体"/>
          <w:b/>
          <w:color w:val="auto"/>
          <w:sz w:val="24"/>
          <w:highlight w:val="none"/>
        </w:rPr>
        <w:fldChar w:fldCharType="begin"/>
      </w:r>
      <w:r>
        <w:rPr>
          <w:rStyle w:val="46"/>
          <w:rFonts w:ascii="宋体" w:hAnsi="宋体"/>
          <w:b/>
          <w:color w:val="auto"/>
          <w:sz w:val="24"/>
          <w:highlight w:val="none"/>
        </w:rPr>
        <w:instrText xml:space="preserve"> </w:instrText>
      </w:r>
      <w:r>
        <w:rPr>
          <w:rFonts w:ascii="宋体" w:hAnsi="宋体"/>
          <w:b/>
          <w:color w:val="auto"/>
          <w:sz w:val="24"/>
          <w:highlight w:val="none"/>
        </w:rPr>
        <w:instrText xml:space="preserve">HYPERLINK \l "_Toc58430332"</w:instrText>
      </w:r>
      <w:r>
        <w:rPr>
          <w:rStyle w:val="46"/>
          <w:rFonts w:ascii="宋体" w:hAnsi="宋体"/>
          <w:b/>
          <w:color w:val="auto"/>
          <w:sz w:val="24"/>
          <w:highlight w:val="none"/>
        </w:rPr>
        <w:instrText xml:space="preserve"> </w:instrText>
      </w:r>
      <w:r>
        <w:rPr>
          <w:rFonts w:ascii="宋体" w:hAnsi="宋体"/>
          <w:b/>
          <w:color w:val="auto"/>
          <w:sz w:val="24"/>
          <w:highlight w:val="none"/>
        </w:rPr>
        <w:fldChar w:fldCharType="separate"/>
      </w:r>
      <w:r>
        <w:rPr>
          <w:rStyle w:val="46"/>
          <w:rFonts w:hint="eastAsia" w:ascii="宋体" w:hAnsi="宋体"/>
          <w:b/>
          <w:color w:val="auto"/>
          <w:sz w:val="24"/>
          <w:highlight w:val="none"/>
        </w:rPr>
        <w:t>第</w:t>
      </w:r>
      <w:r>
        <w:rPr>
          <w:rStyle w:val="46"/>
          <w:rFonts w:hint="eastAsia" w:ascii="宋体" w:hAnsi="宋体"/>
          <w:b/>
          <w:color w:val="auto"/>
          <w:sz w:val="24"/>
          <w:highlight w:val="none"/>
          <w:lang w:val="en-US" w:eastAsia="zh-CN"/>
        </w:rPr>
        <w:t>五</w:t>
      </w:r>
      <w:r>
        <w:rPr>
          <w:rStyle w:val="46"/>
          <w:rFonts w:hint="eastAsia" w:ascii="宋体" w:hAnsi="宋体"/>
          <w:b/>
          <w:color w:val="auto"/>
          <w:sz w:val="24"/>
          <w:highlight w:val="none"/>
        </w:rPr>
        <w:t>章</w:t>
      </w:r>
      <w:r>
        <w:rPr>
          <w:rStyle w:val="46"/>
          <w:rFonts w:ascii="宋体" w:hAnsi="宋体"/>
          <w:b/>
          <w:color w:val="auto"/>
          <w:sz w:val="24"/>
          <w:highlight w:val="none"/>
        </w:rPr>
        <w:t xml:space="preserve"> </w:t>
      </w:r>
      <w:r>
        <w:rPr>
          <w:rStyle w:val="46"/>
          <w:rFonts w:hint="eastAsia" w:ascii="宋体" w:hAnsi="宋体"/>
          <w:b/>
          <w:color w:val="auto"/>
          <w:sz w:val="24"/>
          <w:highlight w:val="none"/>
        </w:rPr>
        <w:t>投标文件格式</w:t>
      </w:r>
      <w:r>
        <w:rPr>
          <w:rFonts w:ascii="宋体" w:hAnsi="宋体"/>
          <w:b/>
          <w:color w:val="auto"/>
          <w:sz w:val="24"/>
          <w:highlight w:val="none"/>
        </w:rPr>
        <w:tab/>
      </w:r>
      <w:r>
        <w:rPr>
          <w:rFonts w:ascii="宋体" w:hAnsi="宋体"/>
          <w:b/>
          <w:color w:val="auto"/>
          <w:sz w:val="24"/>
          <w:highlight w:val="none"/>
        </w:rPr>
        <w:fldChar w:fldCharType="end"/>
      </w:r>
      <w:r>
        <w:rPr>
          <w:rFonts w:hint="eastAsia" w:ascii="宋体" w:hAnsi="宋体"/>
          <w:b/>
          <w:color w:val="auto"/>
          <w:sz w:val="24"/>
          <w:highlight w:val="none"/>
          <w:lang w:val="en-US" w:eastAsia="zh-CN"/>
        </w:rPr>
        <w:t>34</w:t>
      </w:r>
    </w:p>
    <w:p w14:paraId="364B1684">
      <w:pPr>
        <w:pStyle w:val="24"/>
        <w:tabs>
          <w:tab w:val="right" w:leader="dot" w:pos="8296"/>
        </w:tabs>
        <w:adjustRightInd w:val="0"/>
        <w:snapToGrid w:val="0"/>
        <w:spacing w:before="156" w:beforeLines="50" w:after="156" w:afterLines="50" w:line="500" w:lineRule="exact"/>
        <w:ind w:left="120" w:hanging="120" w:hangingChars="50"/>
        <w:jc w:val="center"/>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cs="宋体"/>
          <w:color w:val="auto"/>
          <w:sz w:val="24"/>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58430304"/>
      <w:r>
        <w:rPr>
          <w:rFonts w:hint="eastAsia" w:ascii="宋体"/>
          <w:b/>
          <w:color w:val="auto"/>
          <w:sz w:val="32"/>
          <w:szCs w:val="32"/>
          <w:highlight w:val="none"/>
        </w:rPr>
        <w:t xml:space="preserve">第一章  </w:t>
      </w:r>
      <w:bookmarkEnd w:id="1"/>
      <w:r>
        <w:rPr>
          <w:rFonts w:hint="eastAsia" w:ascii="宋体"/>
          <w:b/>
          <w:color w:val="auto"/>
          <w:sz w:val="32"/>
          <w:szCs w:val="32"/>
          <w:highlight w:val="none"/>
          <w:lang w:val="en-US" w:eastAsia="zh-CN"/>
        </w:rPr>
        <w:t>招标公告</w:t>
      </w:r>
    </w:p>
    <w:p w14:paraId="45ED2E4C">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bookmarkStart w:id="2" w:name="_Toc58430313"/>
      <w:r>
        <w:rPr>
          <w:rFonts w:hint="eastAsia" w:ascii="仿宋" w:hAnsi="仿宋" w:eastAsia="仿宋" w:cs="仿宋"/>
          <w:color w:val="auto"/>
          <w:sz w:val="28"/>
          <w:szCs w:val="28"/>
          <w:highlight w:val="none"/>
        </w:rPr>
        <w:t>项目概况</w:t>
      </w:r>
    </w:p>
    <w:p w14:paraId="25017AAD">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扬子大道768号园区高低压配电项目跟踪审计服务</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各潜在投标人</w:t>
      </w:r>
      <w:r>
        <w:rPr>
          <w:rFonts w:hint="eastAsia" w:ascii="仿宋" w:hAnsi="仿宋" w:eastAsia="仿宋" w:cs="仿宋"/>
          <w:color w:val="auto"/>
          <w:sz w:val="28"/>
          <w:szCs w:val="28"/>
          <w:highlight w:val="none"/>
        </w:rPr>
        <w:t>应在</w:t>
      </w:r>
      <w:r>
        <w:rPr>
          <w:rFonts w:hint="eastAsia" w:ascii="仿宋" w:hAnsi="仿宋" w:eastAsia="仿宋" w:cs="仿宋"/>
          <w:color w:val="auto"/>
          <w:sz w:val="28"/>
          <w:szCs w:val="28"/>
          <w:highlight w:val="none"/>
          <w:u w:val="single"/>
          <w:lang w:val="en-US" w:eastAsia="zh-CN"/>
        </w:rPr>
        <w:t>滁州市城投工程咨询管理有限公司网站（https://www.czctgczx.com/）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11</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10</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02EEB9A9">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12BE7A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 xml:space="preserve">扬子大道768号园区高低压配电项目跟踪审计服务 </w:t>
      </w:r>
    </w:p>
    <w:p w14:paraId="4ADFF288">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本项目建安费约1000万元，</w:t>
      </w:r>
      <w:r>
        <w:rPr>
          <w:rFonts w:hint="eastAsia" w:ascii="仿宋" w:hAnsi="仿宋" w:eastAsia="仿宋" w:cs="仿宋"/>
          <w:color w:val="auto"/>
          <w:sz w:val="28"/>
          <w:szCs w:val="28"/>
          <w:highlight w:val="none"/>
          <w:shd w:val="clear" w:color="auto" w:fill="auto"/>
          <w:lang w:val="en-US" w:eastAsia="zh-CN"/>
        </w:rPr>
        <w:t>服务费约6.5万元</w:t>
      </w:r>
    </w:p>
    <w:p w14:paraId="45F5CEE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基本费率为最高限价2.5‰（投标报价只报此项费率）；审核成果固定费率为4%（审核成果费率为不可竞争费率，固定不变，未响应的按无效标处理）</w:t>
      </w:r>
    </w:p>
    <w:p w14:paraId="364BA87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采购需求：扬子大道768号园区高低压配电项目跟踪审计服务</w:t>
      </w:r>
    </w:p>
    <w:p w14:paraId="7428063B">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w:t>
      </w:r>
      <w:r>
        <w:rPr>
          <w:rFonts w:hint="eastAsia" w:ascii="仿宋" w:hAnsi="仿宋" w:eastAsia="仿宋" w:cs="Times New Roman"/>
          <w:color w:val="auto"/>
          <w:sz w:val="28"/>
          <w:szCs w:val="28"/>
          <w:highlight w:val="none"/>
          <w:lang w:eastAsia="zh-CN"/>
        </w:rPr>
        <w:t>从合同签订之日起至整个项目竣工验收合格、竣工结算审计，移交全部审计资料至招标人，直至质保期满。</w:t>
      </w:r>
    </w:p>
    <w:p w14:paraId="022551FF">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p>
    <w:p w14:paraId="4CBFF0CC">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3" w:name="_Toc28359080"/>
      <w:bookmarkStart w:id="4" w:name="_Toc35393791"/>
      <w:bookmarkStart w:id="5" w:name="_Toc35393622"/>
      <w:bookmarkStart w:id="6" w:name="_Toc28359003"/>
      <w:r>
        <w:rPr>
          <w:rFonts w:hint="eastAsia" w:ascii="黑体" w:hAnsi="黑体" w:eastAsia="黑体" w:cs="黑体"/>
          <w:color w:val="auto"/>
          <w:sz w:val="28"/>
          <w:szCs w:val="28"/>
          <w:highlight w:val="none"/>
        </w:rPr>
        <w:t>二、申请人的资格要求</w:t>
      </w:r>
      <w:bookmarkEnd w:id="3"/>
      <w:bookmarkEnd w:id="4"/>
      <w:bookmarkEnd w:id="5"/>
      <w:bookmarkEnd w:id="6"/>
    </w:p>
    <w:p w14:paraId="3AA719F6">
      <w:pPr>
        <w:keepNext w:val="0"/>
        <w:keepLines w:val="0"/>
        <w:pageBreakBefore w:val="0"/>
        <w:widowControl w:val="0"/>
        <w:kinsoku/>
        <w:wordWrap/>
        <w:overflowPunct/>
        <w:topLinePunct w:val="0"/>
        <w:autoSpaceDE/>
        <w:autoSpaceDN/>
        <w:bidi w:val="0"/>
        <w:adjustRightInd/>
        <w:snapToGrid/>
        <w:spacing w:line="240" w:lineRule="auto"/>
        <w:ind w:right="-313" w:rightChars="-149" w:firstLine="560" w:firstLineChars="200"/>
        <w:textAlignment w:val="auto"/>
        <w:rPr>
          <w:rFonts w:hint="eastAsia" w:ascii="仿宋" w:hAnsi="仿宋" w:eastAsia="仿宋"/>
          <w:color w:val="auto"/>
          <w:sz w:val="28"/>
          <w:szCs w:val="28"/>
          <w:highlight w:val="none"/>
          <w:lang w:val="en-US" w:eastAsia="zh-CN"/>
        </w:rPr>
      </w:pPr>
      <w:bookmarkStart w:id="7" w:name="_Toc35393792"/>
      <w:bookmarkStart w:id="8" w:name="_Toc35393623"/>
      <w:bookmarkStart w:id="9" w:name="_Toc28359081"/>
      <w:bookmarkStart w:id="10" w:name="_Toc28359004"/>
      <w:r>
        <w:rPr>
          <w:rFonts w:hint="eastAsia" w:ascii="仿宋" w:hAnsi="仿宋" w:eastAsia="仿宋"/>
          <w:color w:val="auto"/>
          <w:sz w:val="28"/>
          <w:szCs w:val="28"/>
          <w:highlight w:val="none"/>
          <w:lang w:val="en-US" w:eastAsia="zh-CN"/>
        </w:rPr>
        <w:t>1.企业要求：具有独立承担民事责任能力并有相应服务能力的企业；</w:t>
      </w:r>
    </w:p>
    <w:p w14:paraId="67A16787">
      <w:pPr>
        <w:pStyle w:val="28"/>
        <w:keepNext w:val="0"/>
        <w:keepLines w:val="0"/>
        <w:pageBreakBefore w:val="0"/>
        <w:widowControl w:val="0"/>
        <w:kinsoku/>
        <w:wordWrap/>
        <w:overflowPunct/>
        <w:topLinePunct w:val="0"/>
        <w:autoSpaceDE/>
        <w:autoSpaceDN/>
        <w:bidi w:val="0"/>
        <w:adjustRightInd/>
        <w:snapToGrid/>
        <w:spacing w:after="0" w:line="240" w:lineRule="auto"/>
        <w:ind w:right="-199" w:rightChars="-95" w:firstLine="56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2.项目负责人要求：具有中华人民共和国住房和城乡建设部颁发且在本单位注册的造价工程师【土木建筑工程专业】注册证书；</w:t>
      </w:r>
    </w:p>
    <w:p w14:paraId="38E91381">
      <w:pPr>
        <w:pStyle w:val="28"/>
        <w:keepNext w:val="0"/>
        <w:keepLines w:val="0"/>
        <w:pageBreakBefore w:val="0"/>
        <w:widowControl w:val="0"/>
        <w:kinsoku/>
        <w:wordWrap/>
        <w:overflowPunct/>
        <w:topLinePunct w:val="0"/>
        <w:autoSpaceDE/>
        <w:autoSpaceDN/>
        <w:bidi w:val="0"/>
        <w:adjustRightInd/>
        <w:snapToGrid/>
        <w:spacing w:after="0" w:line="240" w:lineRule="auto"/>
        <w:ind w:right="-199" w:rightChars="-95" w:firstLine="56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3.项目组人员配置要求：项目组成员（不含项目负责人）不少于2人，均需具有造价员或二级（或）以上造价师证书（其中土木建筑工程专业不少于1人，安装工程专业不少于1人）。</w:t>
      </w:r>
    </w:p>
    <w:p w14:paraId="3C49B49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7"/>
      <w:bookmarkEnd w:id="8"/>
      <w:bookmarkEnd w:id="9"/>
      <w:bookmarkEnd w:id="10"/>
    </w:p>
    <w:p w14:paraId="5944036F">
      <w:pPr>
        <w:ind w:firstLine="540"/>
        <w:rPr>
          <w:rFonts w:hint="eastAsia" w:ascii="仿宋" w:hAnsi="仿宋" w:eastAsia="仿宋" w:cs="宋体"/>
          <w:iCs/>
          <w:color w:val="auto"/>
          <w:sz w:val="28"/>
          <w:szCs w:val="28"/>
          <w:highlight w:val="none"/>
          <w:u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rPr>
        <w:t>202</w:t>
      </w:r>
      <w:r>
        <w:rPr>
          <w:rFonts w:hint="eastAsia" w:ascii="仿宋" w:hAnsi="仿宋" w:eastAsia="仿宋" w:cs="宋体"/>
          <w:color w:val="auto"/>
          <w:sz w:val="28"/>
          <w:szCs w:val="28"/>
          <w:highlight w:val="none"/>
          <w:u w:val="none"/>
          <w:lang w:val="en-US" w:eastAsia="zh-CN"/>
        </w:rPr>
        <w:t>6</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11</w:t>
      </w:r>
      <w:r>
        <w:rPr>
          <w:rFonts w:hint="eastAsia" w:ascii="仿宋" w:hAnsi="仿宋" w:eastAsia="仿宋" w:cs="宋体"/>
          <w:color w:val="auto"/>
          <w:sz w:val="28"/>
          <w:szCs w:val="28"/>
          <w:highlight w:val="none"/>
          <w:u w:val="none"/>
        </w:rPr>
        <w:t>月</w:t>
      </w:r>
      <w:r>
        <w:rPr>
          <w:rFonts w:hint="eastAsia" w:ascii="仿宋" w:hAnsi="仿宋" w:eastAsia="仿宋" w:cs="宋体"/>
          <w:color w:val="auto"/>
          <w:sz w:val="28"/>
          <w:szCs w:val="28"/>
          <w:highlight w:val="none"/>
          <w:u w:val="none"/>
          <w:lang w:val="en-US" w:eastAsia="zh-CN"/>
        </w:rPr>
        <w:t>2</w:t>
      </w:r>
      <w:r>
        <w:rPr>
          <w:rFonts w:hint="eastAsia" w:ascii="仿宋" w:hAnsi="仿宋" w:eastAsia="仿宋" w:cs="宋体"/>
          <w:color w:val="auto"/>
          <w:sz w:val="28"/>
          <w:szCs w:val="28"/>
          <w:highlight w:val="none"/>
          <w:u w:val="none"/>
        </w:rPr>
        <w:t>日至 202</w:t>
      </w:r>
      <w:r>
        <w:rPr>
          <w:rFonts w:hint="eastAsia" w:ascii="仿宋" w:hAnsi="仿宋" w:eastAsia="仿宋" w:cs="宋体"/>
          <w:color w:val="auto"/>
          <w:sz w:val="28"/>
          <w:szCs w:val="28"/>
          <w:highlight w:val="none"/>
          <w:u w:val="none"/>
          <w:lang w:val="en-US" w:eastAsia="zh-CN"/>
        </w:rPr>
        <w:t>6</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11月10</w:t>
      </w:r>
      <w:r>
        <w:rPr>
          <w:rFonts w:hint="eastAsia" w:ascii="仿宋" w:hAnsi="仿宋" w:eastAsia="仿宋" w:cs="宋体"/>
          <w:color w:val="auto"/>
          <w:sz w:val="28"/>
          <w:szCs w:val="28"/>
          <w:highlight w:val="none"/>
          <w:u w:val="none"/>
        </w:rPr>
        <w:t>日</w:t>
      </w:r>
    </w:p>
    <w:p w14:paraId="0997B67D">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EDDFFB2">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43121A92">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1" w:name="_Toc28359082"/>
      <w:bookmarkStart w:id="12" w:name="_Toc28359005"/>
      <w:bookmarkStart w:id="13" w:name="_Toc35393624"/>
      <w:bookmarkStart w:id="14" w:name="_Toc35393793"/>
      <w:r>
        <w:rPr>
          <w:rFonts w:hint="eastAsia" w:ascii="黑体" w:hAnsi="黑体" w:eastAsia="黑体" w:cs="黑体"/>
          <w:color w:val="auto"/>
          <w:sz w:val="28"/>
          <w:szCs w:val="28"/>
          <w:highlight w:val="none"/>
        </w:rPr>
        <w:t>四、提交投标文件</w:t>
      </w:r>
      <w:bookmarkEnd w:id="11"/>
      <w:bookmarkEnd w:id="12"/>
      <w:r>
        <w:rPr>
          <w:rFonts w:hint="eastAsia" w:ascii="黑体" w:hAnsi="黑体" w:eastAsia="黑体" w:cs="黑体"/>
          <w:color w:val="auto"/>
          <w:sz w:val="28"/>
          <w:szCs w:val="28"/>
          <w:highlight w:val="none"/>
        </w:rPr>
        <w:t>截止时间、开标时间和地点</w:t>
      </w:r>
      <w:bookmarkEnd w:id="13"/>
      <w:bookmarkEnd w:id="14"/>
    </w:p>
    <w:p w14:paraId="3B2694F0">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bCs/>
          <w:color w:val="auto"/>
          <w:sz w:val="28"/>
          <w:szCs w:val="28"/>
          <w:highlight w:val="none"/>
          <w:u w:val="none"/>
        </w:rPr>
        <w:t>202</w:t>
      </w:r>
      <w:r>
        <w:rPr>
          <w:rFonts w:hint="eastAsia" w:ascii="仿宋" w:hAnsi="仿宋" w:eastAsia="仿宋"/>
          <w:bCs/>
          <w:color w:val="auto"/>
          <w:sz w:val="28"/>
          <w:szCs w:val="28"/>
          <w:highlight w:val="none"/>
          <w:u w:val="none"/>
          <w:lang w:val="en-US" w:eastAsia="zh-CN"/>
        </w:rPr>
        <w:t>6</w:t>
      </w:r>
      <w:r>
        <w:rPr>
          <w:rFonts w:hint="eastAsia" w:ascii="仿宋" w:hAnsi="仿宋" w:eastAsia="仿宋"/>
          <w:bCs/>
          <w:color w:val="auto"/>
          <w:sz w:val="28"/>
          <w:szCs w:val="28"/>
          <w:highlight w:val="none"/>
          <w:u w:val="none"/>
        </w:rPr>
        <w:t>年</w:t>
      </w:r>
      <w:r>
        <w:rPr>
          <w:rFonts w:hint="eastAsia" w:ascii="仿宋" w:hAnsi="仿宋" w:eastAsia="仿宋"/>
          <w:bCs/>
          <w:color w:val="auto"/>
          <w:sz w:val="28"/>
          <w:szCs w:val="28"/>
          <w:highlight w:val="none"/>
          <w:u w:val="none"/>
          <w:lang w:val="en-US" w:eastAsia="zh-CN"/>
        </w:rPr>
        <w:t>11</w:t>
      </w:r>
      <w:r>
        <w:rPr>
          <w:rFonts w:hint="eastAsia" w:ascii="仿宋" w:hAnsi="仿宋" w:eastAsia="仿宋"/>
          <w:bCs/>
          <w:color w:val="auto"/>
          <w:sz w:val="28"/>
          <w:szCs w:val="28"/>
          <w:highlight w:val="none"/>
          <w:u w:val="none"/>
        </w:rPr>
        <w:t>月</w:t>
      </w:r>
      <w:r>
        <w:rPr>
          <w:rFonts w:hint="eastAsia" w:ascii="仿宋" w:hAnsi="仿宋" w:eastAsia="仿宋"/>
          <w:bCs/>
          <w:color w:val="auto"/>
          <w:sz w:val="28"/>
          <w:szCs w:val="28"/>
          <w:highlight w:val="none"/>
          <w:u w:val="none"/>
          <w:lang w:val="en-US" w:eastAsia="zh-CN"/>
        </w:rPr>
        <w:t>10</w:t>
      </w:r>
      <w:r>
        <w:rPr>
          <w:rFonts w:hint="eastAsia" w:ascii="仿宋" w:hAnsi="仿宋" w:eastAsia="仿宋"/>
          <w:bCs/>
          <w:color w:val="auto"/>
          <w:sz w:val="28"/>
          <w:szCs w:val="28"/>
          <w:highlight w:val="none"/>
          <w:u w:val="none"/>
        </w:rPr>
        <w:t>日</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72EE8B4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25B4CBF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1424E71A">
      <w:pPr>
        <w:pStyle w:val="127"/>
        <w:rPr>
          <w:color w:val="auto"/>
          <w:highlight w:val="none"/>
        </w:rPr>
      </w:pPr>
      <w:bookmarkStart w:id="15" w:name="_Toc35393626"/>
      <w:bookmarkStart w:id="16" w:name="_Toc35393795"/>
      <w:r>
        <w:rPr>
          <w:color w:val="auto"/>
          <w:highlight w:val="none"/>
        </w:rPr>
        <w:t>窗体顶端</w:t>
      </w:r>
    </w:p>
    <w:p w14:paraId="5F4E68C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DAC3816">
      <w:pPr>
        <w:pStyle w:val="128"/>
        <w:rPr>
          <w:color w:val="auto"/>
          <w:highlight w:val="none"/>
        </w:rPr>
      </w:pPr>
      <w:r>
        <w:rPr>
          <w:color w:val="auto"/>
          <w:highlight w:val="none"/>
        </w:rPr>
        <w:t>窗体底端</w:t>
      </w:r>
    </w:p>
    <w:bookmarkEnd w:id="15"/>
    <w:bookmarkEnd w:id="16"/>
    <w:p w14:paraId="054AED3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5C37F2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rPr>
        <w:t>投标人从滁州市城投工程咨询管理有限公司（https://www.czctgczx.com/）下载。投标人自行承担因未按要求获取招标文件导致无法上传电子投标文件的风险。</w:t>
      </w:r>
    </w:p>
    <w:p w14:paraId="2CDB365A">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C43038B">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或者网站首页在线客服。</w:t>
      </w:r>
    </w:p>
    <w:p w14:paraId="1EF29862">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7862F86D">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0D1CC19">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4.本项目采用不见面开标，投标人登录滁州市城投工程咨询有限公司不见面开标系统参与网上开标（网址：http://js.etrading.cn/EpointBidOpening/bidopeninghallaction/hall/login）。</w:t>
      </w:r>
    </w:p>
    <w:p w14:paraId="22D42C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25CCB2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712DCAF3">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https://www.etrading.cn/BREpointSSO/login/oauth2login?regioncode=DQ_ChuZhou</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交易系统递交电子投标文件。</w:t>
      </w:r>
    </w:p>
    <w:p w14:paraId="7570B95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投标软件制作工具下载：</w:t>
      </w:r>
    </w:p>
    <w:p w14:paraId="6B421E99">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3D3E748B">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7307E47C">
      <w:pPr>
        <w:pStyle w:val="3"/>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1.招标人信息</w:t>
      </w:r>
    </w:p>
    <w:p w14:paraId="604ADC35">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中国扬子集团有限公司</w:t>
      </w:r>
    </w:p>
    <w:p w14:paraId="4191A14B">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滁州市南谯区中都大道与醉翁路交叉口西南角城投大厦4楼</w:t>
      </w:r>
    </w:p>
    <w:p w14:paraId="22A045A5">
      <w:pPr>
        <w:ind w:firstLine="560" w:firstLineChars="200"/>
        <w:jc w:val="left"/>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rPr>
        <w:t>0550-3166090</w:t>
      </w:r>
    </w:p>
    <w:p w14:paraId="46F6CDF9">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2.代理机构信息</w:t>
      </w:r>
    </w:p>
    <w:p w14:paraId="6503ED29">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6AB9D21A">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335066CF">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rPr>
        <w:t>0550-3519590、18005501210</w:t>
      </w:r>
    </w:p>
    <w:p w14:paraId="787AA301">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3.项目联系方式</w:t>
      </w:r>
    </w:p>
    <w:p w14:paraId="70DF41EB">
      <w:pPr>
        <w:pStyle w:val="16"/>
        <w:ind w:left="-199" w:leftChars="-95" w:firstLine="840" w:firstLineChars="300"/>
        <w:jc w:val="left"/>
        <w:rPr>
          <w:rFonts w:hint="eastAsia" w:ascii="仿宋" w:hAnsi="仿宋" w:eastAsia="仿宋" w:cs="仿宋"/>
          <w:color w:val="auto"/>
          <w:sz w:val="28"/>
          <w:szCs w:val="28"/>
          <w:highlight w:val="none"/>
          <w:u w:val="single" w:color="auto"/>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single" w:color="auto"/>
          <w:lang w:val="en-US" w:eastAsia="zh-CN"/>
        </w:rPr>
        <w:t>叶来明、</w:t>
      </w:r>
      <w:r>
        <w:rPr>
          <w:rFonts w:hint="eastAsia" w:ascii="仿宋" w:hAnsi="仿宋" w:eastAsia="仿宋" w:cs="仿宋"/>
          <w:color w:val="auto"/>
          <w:sz w:val="28"/>
          <w:szCs w:val="28"/>
          <w:highlight w:val="none"/>
          <w:u w:val="single" w:color="auto"/>
        </w:rPr>
        <w:t>杨韦</w:t>
      </w:r>
    </w:p>
    <w:p w14:paraId="42608EA6">
      <w:pPr>
        <w:ind w:left="-199" w:leftChars="-95" w:firstLine="840" w:firstLineChars="300"/>
        <w:jc w:val="left"/>
        <w:rPr>
          <w:rFonts w:ascii="仿宋" w:hAnsi="仿宋" w:eastAsia="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rPr>
        <w:t>0550-3166090</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0550-3519590 </w:t>
      </w:r>
    </w:p>
    <w:p w14:paraId="29FC2FC7">
      <w:pPr>
        <w:spacing w:before="156" w:beforeLines="50" w:after="156" w:afterLines="50"/>
        <w:ind w:firstLine="643" w:firstLineChars="200"/>
        <w:jc w:val="center"/>
        <w:outlineLvl w:val="0"/>
        <w:rPr>
          <w:rFonts w:hint="eastAsia" w:ascii="宋体"/>
          <w:b/>
          <w:color w:val="auto"/>
          <w:sz w:val="32"/>
          <w:szCs w:val="32"/>
          <w:highlight w:val="none"/>
        </w:rPr>
      </w:pPr>
      <w:r>
        <w:rPr>
          <w:rFonts w:hint="eastAsia" w:ascii="宋体"/>
          <w:b/>
          <w:color w:val="auto"/>
          <w:sz w:val="32"/>
          <w:szCs w:val="32"/>
          <w:highlight w:val="none"/>
        </w:rPr>
        <w:br w:type="page"/>
      </w:r>
      <w:r>
        <w:rPr>
          <w:rFonts w:hint="eastAsia" w:ascii="宋体"/>
          <w:b/>
          <w:color w:val="auto"/>
          <w:sz w:val="32"/>
          <w:szCs w:val="32"/>
          <w:highlight w:val="none"/>
        </w:rPr>
        <w:t>第二章 投标人须知</w:t>
      </w:r>
      <w:bookmarkEnd w:id="2"/>
    </w:p>
    <w:p w14:paraId="355FA043">
      <w:pPr>
        <w:snapToGrid w:val="0"/>
        <w:spacing w:line="500" w:lineRule="exact"/>
        <w:jc w:val="center"/>
        <w:outlineLvl w:val="1"/>
        <w:rPr>
          <w:rFonts w:hint="eastAsia" w:ascii="宋体"/>
          <w:b/>
          <w:color w:val="auto"/>
          <w:sz w:val="28"/>
          <w:szCs w:val="28"/>
          <w:highlight w:val="none"/>
        </w:rPr>
      </w:pPr>
      <w:bookmarkStart w:id="17" w:name="_Toc58430314"/>
      <w:bookmarkStart w:id="18" w:name="_Toc449028865"/>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17"/>
      <w:bookmarkEnd w:id="18"/>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6"/>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扬子大道768号园区高低压配电项目跟踪审计服务</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29327E8C">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从合同签订之日起至整个项目竣工验收合格、竣工结算审计，移交全部审计资料至招标人，直至质保期满。</w:t>
            </w:r>
          </w:p>
          <w:p w14:paraId="476CACF3">
            <w:pPr>
              <w:pStyle w:val="19"/>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Times New Roman" w:cs="Times New Roman"/>
                <w:b/>
                <w:bCs/>
                <w:color w:val="auto"/>
                <w:kern w:val="2"/>
                <w:sz w:val="21"/>
                <w:szCs w:val="20"/>
                <w:highlight w:val="none"/>
                <w:u w:val="none" w:color="000000"/>
                <w:lang w:val="en-US" w:eastAsia="zh-CN" w:bidi="ar-SA"/>
              </w:rPr>
              <w:t>注：系</w:t>
            </w:r>
            <w:r>
              <w:rPr>
                <w:rFonts w:hint="eastAsia" w:ascii="宋体" w:hAnsi="Times New Roman" w:eastAsia="宋体" w:cs="Times New Roman"/>
                <w:b/>
                <w:bCs/>
                <w:color w:val="auto"/>
                <w:kern w:val="2"/>
                <w:sz w:val="21"/>
                <w:szCs w:val="20"/>
                <w:highlight w:val="none"/>
                <w:u w:val="none" w:color="000000"/>
                <w:lang w:val="en-US" w:eastAsia="zh-CN" w:bidi="ar-SA"/>
              </w:rPr>
              <w:t>统生成投标文件时</w:t>
            </w:r>
            <w:r>
              <w:rPr>
                <w:rFonts w:hint="eastAsia" w:ascii="宋体" w:hAnsi="Times New Roman" w:cs="Times New Roman"/>
                <w:b/>
                <w:bCs/>
                <w:color w:val="auto"/>
                <w:kern w:val="2"/>
                <w:sz w:val="21"/>
                <w:szCs w:val="20"/>
                <w:highlight w:val="none"/>
                <w:u w:val="none" w:color="000000"/>
                <w:lang w:val="en-US" w:eastAsia="zh-CN" w:bidi="ar-SA"/>
              </w:rPr>
              <w:t>工期可填35日历天</w:t>
            </w:r>
            <w:r>
              <w:rPr>
                <w:rFonts w:hint="eastAsia" w:ascii="宋体" w:hAnsi="Times New Roman" w:eastAsia="宋体" w:cs="Times New Roman"/>
                <w:b/>
                <w:bCs/>
                <w:color w:val="auto"/>
                <w:kern w:val="2"/>
                <w:sz w:val="21"/>
                <w:szCs w:val="20"/>
                <w:highlight w:val="none"/>
                <w:u w:val="none" w:color="000000"/>
                <w:lang w:val="en-US" w:eastAsia="zh-CN" w:bidi="ar-SA"/>
              </w:rPr>
              <w:t>。此</w:t>
            </w:r>
            <w:r>
              <w:rPr>
                <w:rFonts w:hint="eastAsia" w:ascii="宋体" w:hAnsi="Times New Roman" w:cs="Times New Roman"/>
                <w:b/>
                <w:bCs/>
                <w:color w:val="auto"/>
                <w:kern w:val="2"/>
                <w:sz w:val="21"/>
                <w:szCs w:val="20"/>
                <w:highlight w:val="none"/>
                <w:u w:val="none" w:color="000000"/>
                <w:lang w:val="en-US" w:eastAsia="zh-CN" w:bidi="ar-SA"/>
              </w:rPr>
              <w:t>数字</w:t>
            </w:r>
            <w:r>
              <w:rPr>
                <w:rFonts w:hint="eastAsia" w:ascii="宋体" w:hAnsi="Times New Roman" w:eastAsia="宋体" w:cs="Times New Roman"/>
                <w:b/>
                <w:bCs/>
                <w:color w:val="auto"/>
                <w:kern w:val="2"/>
                <w:sz w:val="21"/>
                <w:szCs w:val="20"/>
                <w:highlight w:val="none"/>
                <w:u w:val="none" w:color="000000"/>
                <w:lang w:val="en-US" w:eastAsia="zh-CN" w:bidi="ar-SA"/>
              </w:rPr>
              <w:t>仅作为</w:t>
            </w:r>
            <w:r>
              <w:rPr>
                <w:rFonts w:hint="eastAsia" w:ascii="宋体" w:hAnsi="Times New Roman" w:cs="Times New Roman"/>
                <w:b/>
                <w:bCs/>
                <w:color w:val="auto"/>
                <w:kern w:val="2"/>
                <w:sz w:val="21"/>
                <w:szCs w:val="20"/>
                <w:highlight w:val="none"/>
                <w:u w:val="none" w:color="000000"/>
                <w:lang w:val="en-US" w:eastAsia="zh-CN" w:bidi="ar-SA"/>
              </w:rPr>
              <w:t>投标文件</w:t>
            </w:r>
            <w:r>
              <w:rPr>
                <w:rFonts w:hint="eastAsia" w:ascii="宋体" w:hAnsi="Times New Roman" w:eastAsia="宋体" w:cs="Times New Roman"/>
                <w:b/>
                <w:bCs/>
                <w:color w:val="auto"/>
                <w:kern w:val="2"/>
                <w:sz w:val="21"/>
                <w:szCs w:val="20"/>
                <w:highlight w:val="none"/>
                <w:u w:val="none" w:color="000000"/>
                <w:lang w:val="en-US" w:eastAsia="zh-CN" w:bidi="ar-SA"/>
              </w:rPr>
              <w:t>生成时用，不作为评审依据。</w:t>
            </w:r>
            <w:r>
              <w:rPr>
                <w:rFonts w:hint="eastAsia" w:ascii="宋体" w:hAnsi="Times New Roman" w:cs="Times New Roman"/>
                <w:b/>
                <w:bCs/>
                <w:color w:val="auto"/>
                <w:kern w:val="2"/>
                <w:sz w:val="21"/>
                <w:szCs w:val="20"/>
                <w:highlight w:val="none"/>
                <w:u w:val="none" w:color="000000"/>
                <w:lang w:val="en-US" w:eastAsia="zh-CN" w:bidi="ar-SA"/>
              </w:rPr>
              <w:t>服务期具体以投标文件内容为准</w:t>
            </w:r>
            <w:r>
              <w:rPr>
                <w:rFonts w:hint="eastAsia" w:ascii="宋体" w:hAnsi="Times New Roman" w:eastAsia="宋体" w:cs="Times New Roman"/>
                <w:b/>
                <w:bCs/>
                <w:color w:val="auto"/>
                <w:kern w:val="2"/>
                <w:sz w:val="21"/>
                <w:szCs w:val="20"/>
                <w:highlight w:val="none"/>
                <w:u w:val="none" w:color="000000"/>
                <w:lang w:val="en-US" w:eastAsia="zh-CN" w:bidi="ar-SA"/>
              </w:rPr>
              <w:t>。</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824" w:type="dxa"/>
            <w:noWrap w:val="0"/>
            <w:vAlign w:val="center"/>
          </w:tcPr>
          <w:p w14:paraId="49BFE41F">
            <w:pPr>
              <w:pStyle w:val="16"/>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滁州市琅琊区扬子大道768号</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6"/>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叶来明</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电话：0550-3166090</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联系人：杨韦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电话0550-3519590、18005501210</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6"/>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6"/>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本项目建安费约</w:t>
            </w:r>
            <w:r>
              <w:rPr>
                <w:rFonts w:hint="eastAsia" w:hAnsi="宋体" w:cs="宋体"/>
                <w:color w:val="auto"/>
                <w:sz w:val="21"/>
                <w:szCs w:val="21"/>
                <w:highlight w:val="none"/>
                <w:lang w:val="en-US" w:eastAsia="zh-CN"/>
              </w:rPr>
              <w:t>1000</w:t>
            </w:r>
            <w:r>
              <w:rPr>
                <w:rFonts w:hint="default" w:ascii="宋体" w:hAnsi="宋体" w:eastAsia="宋体" w:cs="宋体"/>
                <w:color w:val="auto"/>
                <w:sz w:val="21"/>
                <w:szCs w:val="21"/>
                <w:highlight w:val="none"/>
                <w:lang w:val="en-US" w:eastAsia="zh-CN"/>
              </w:rPr>
              <w:t>万元，服务费约</w:t>
            </w:r>
            <w:r>
              <w:rPr>
                <w:rFonts w:hint="eastAsia" w:hAnsi="宋体" w:cs="宋体"/>
                <w:color w:val="auto"/>
                <w:sz w:val="21"/>
                <w:szCs w:val="21"/>
                <w:highlight w:val="none"/>
                <w:lang w:val="en-US" w:eastAsia="zh-CN"/>
              </w:rPr>
              <w:t>6.5</w:t>
            </w:r>
            <w:r>
              <w:rPr>
                <w:rFonts w:hint="default" w:ascii="宋体" w:hAnsi="宋体" w:eastAsia="宋体" w:cs="宋体"/>
                <w:color w:val="auto"/>
                <w:sz w:val="21"/>
                <w:szCs w:val="21"/>
                <w:highlight w:val="none"/>
                <w:lang w:val="en-US" w:eastAsia="zh-CN"/>
              </w:rPr>
              <w:t>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6"/>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15B126C3">
            <w:pPr>
              <w:pStyle w:val="16"/>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1.本项目最高限价（费率）：基本费率为最高限价</w:t>
            </w:r>
            <w:r>
              <w:rPr>
                <w:rFonts w:hint="eastAsia"/>
                <w:color w:val="auto"/>
                <w:highlight w:val="none"/>
                <w:lang w:val="en-US" w:eastAsia="zh-CN"/>
              </w:rPr>
              <w:t>2.5</w:t>
            </w:r>
            <w:r>
              <w:rPr>
                <w:rFonts w:hint="default"/>
                <w:color w:val="auto"/>
                <w:highlight w:val="none"/>
                <w:lang w:val="en-US"/>
              </w:rPr>
              <w:t>‰（投标报价只报此项费率）；审核成果固定费率为</w:t>
            </w:r>
            <w:r>
              <w:rPr>
                <w:rFonts w:hint="eastAsia"/>
                <w:color w:val="auto"/>
                <w:highlight w:val="none"/>
                <w:lang w:val="en-US" w:eastAsia="zh-CN"/>
              </w:rPr>
              <w:t>4</w:t>
            </w:r>
            <w:r>
              <w:rPr>
                <w:rFonts w:hint="default"/>
                <w:color w:val="auto"/>
                <w:highlight w:val="none"/>
                <w:lang w:val="en-US"/>
              </w:rPr>
              <w:t>%（审核成果费率为不可竞争费率，固定不变，未响应的按无效标处理）。</w:t>
            </w:r>
          </w:p>
          <w:p w14:paraId="67AC57F8">
            <w:pPr>
              <w:pStyle w:val="16"/>
              <w:keepNext w:val="0"/>
              <w:keepLines w:val="0"/>
              <w:pageBreakBefore w:val="0"/>
              <w:kinsoku/>
              <w:overflowPunct/>
              <w:topLinePunct w:val="0"/>
              <w:autoSpaceDE/>
              <w:autoSpaceDN/>
              <w:bidi w:val="0"/>
              <w:adjustRightInd/>
              <w:spacing w:line="500" w:lineRule="exact"/>
              <w:textAlignment w:val="auto"/>
              <w:rPr>
                <w:rFonts w:hint="default"/>
                <w:b/>
                <w:bCs/>
                <w:color w:val="auto"/>
                <w:highlight w:val="none"/>
                <w:lang w:val="en-US"/>
              </w:rPr>
            </w:pPr>
            <w:r>
              <w:rPr>
                <w:rFonts w:hint="default"/>
                <w:b/>
                <w:bCs/>
                <w:color w:val="auto"/>
                <w:highlight w:val="none"/>
                <w:lang w:val="en-US"/>
              </w:rPr>
              <w:t>注：投标报价费率要求精确到小数点后第二位，如填报多位小数的，按小数点后第三位四舍五入修正投标报价费率。投标单位所报费率不得高于招标人发布的最高限价（费率），否则按无效标处理。</w:t>
            </w:r>
          </w:p>
          <w:p w14:paraId="435C02BD">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eastAsia"/>
                <w:color w:val="auto"/>
                <w:highlight w:val="none"/>
                <w:lang w:val="en-US" w:eastAsia="zh-CN"/>
              </w:rPr>
              <w:t>2.</w:t>
            </w:r>
            <w:r>
              <w:rPr>
                <w:rFonts w:hint="default"/>
                <w:color w:val="auto"/>
                <w:highlight w:val="none"/>
                <w:lang w:val="en-US"/>
              </w:rPr>
              <w:t>本项目基本费用以项目审定工程造价为计费基础，审核成果费用以项目审减额为计费基础，跟踪审计费用计算方式为：基本费用（项目审定工程造价×中标基本费率）+审核成果费用（项目审减额×审核成果固定费率</w:t>
            </w:r>
            <w:r>
              <w:rPr>
                <w:rFonts w:hint="eastAsia"/>
                <w:color w:val="auto"/>
                <w:highlight w:val="none"/>
                <w:lang w:val="en-US" w:eastAsia="zh-CN"/>
              </w:rPr>
              <w:t>4</w:t>
            </w:r>
            <w:r>
              <w:rPr>
                <w:rFonts w:hint="default"/>
                <w:color w:val="auto"/>
                <w:highlight w:val="none"/>
                <w:lang w:val="en-US"/>
              </w:rPr>
              <w:t>%）。中标费率不予调整，无论任何原因导致的工期延长，委托人均不再增加服务费用，招标人不再另行支付其他任何费用。</w:t>
            </w:r>
          </w:p>
          <w:p w14:paraId="708B41A5">
            <w:pPr>
              <w:pStyle w:val="34"/>
              <w:keepNext w:val="0"/>
              <w:keepLines w:val="0"/>
              <w:pageBreakBefore w:val="0"/>
              <w:numPr>
                <w:ilvl w:val="0"/>
                <w:numId w:val="0"/>
              </w:numPr>
              <w:kinsoku/>
              <w:overflowPunct/>
              <w:autoSpaceDE/>
              <w:autoSpaceDN/>
              <w:bidi w:val="0"/>
              <w:spacing w:line="520" w:lineRule="exact"/>
              <w:ind w:leftChars="0"/>
              <w:textAlignment w:val="auto"/>
              <w:rPr>
                <w:rFonts w:hint="default"/>
                <w:color w:val="auto"/>
                <w:highlight w:val="none"/>
                <w:lang w:val="en-US"/>
              </w:rPr>
            </w:pPr>
            <w:r>
              <w:rPr>
                <w:rFonts w:hint="eastAsia" w:ascii="宋体" w:hAnsi="Times New Roman" w:eastAsia="宋体" w:cs="Times New Roman"/>
                <w:b/>
                <w:bCs/>
                <w:color w:val="auto"/>
                <w:kern w:val="2"/>
                <w:sz w:val="21"/>
                <w:szCs w:val="20"/>
                <w:highlight w:val="none"/>
                <w:u w:val="none" w:color="000000"/>
                <w:lang w:val="en-US" w:eastAsia="zh-CN" w:bidi="ar-SA"/>
              </w:rPr>
              <w:t>3.系统生成投标文件时系统无‰，投标人可直接填写所报投标费率即可，如报1.3‰，直接填1.3即可。此报价仅作为生成</w:t>
            </w:r>
            <w:r>
              <w:rPr>
                <w:rFonts w:hint="eastAsia" w:ascii="宋体" w:cs="Times New Roman"/>
                <w:b/>
                <w:bCs/>
                <w:color w:val="auto"/>
                <w:kern w:val="2"/>
                <w:sz w:val="21"/>
                <w:szCs w:val="20"/>
                <w:highlight w:val="none"/>
                <w:u w:val="none" w:color="000000"/>
                <w:lang w:val="en-US" w:eastAsia="zh-CN" w:bidi="ar-SA"/>
              </w:rPr>
              <w:t>使用</w:t>
            </w:r>
            <w:r>
              <w:rPr>
                <w:rFonts w:hint="eastAsia" w:ascii="宋体" w:hAnsi="Times New Roman" w:eastAsia="宋体" w:cs="Times New Roman"/>
                <w:b/>
                <w:bCs/>
                <w:color w:val="auto"/>
                <w:kern w:val="2"/>
                <w:sz w:val="21"/>
                <w:szCs w:val="20"/>
                <w:highlight w:val="none"/>
                <w:u w:val="none" w:color="000000"/>
                <w:lang w:val="en-US" w:eastAsia="zh-CN" w:bidi="ar-SA"/>
              </w:rPr>
              <w:t>，不作为评审依据。投标报价以投标文件投标函中填报为准。</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4E8BC13F">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 xml:space="preserve">1.成立项目跟踪审计组，编制跟踪审计实施方案，确定投资控制目标、重点环节及应对措施； </w:t>
            </w:r>
          </w:p>
          <w:p w14:paraId="4B9B61BF">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.对承包方上报的请款期已完成合格工程量的计量、计价进行审核，并提供按工程形象进度付款的意见、建议；</w:t>
            </w:r>
          </w:p>
          <w:p w14:paraId="32E52910">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.及时核定分阶段完工的项目分部、分项工程价款结算，项目竣工后，及时提交完整的竣工结算审核报告；</w:t>
            </w:r>
          </w:p>
          <w:p w14:paraId="68D43F01">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.协助</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及时审核设计变更、经济签证等发生的费用，超过一定限额的，提请</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履行报批程序；</w:t>
            </w:r>
          </w:p>
          <w:p w14:paraId="4A30D58C">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.项目承、发包方发生工程价款结算争议时，为</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提供咨询意见；</w:t>
            </w:r>
          </w:p>
          <w:p w14:paraId="4B42979E">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6</w:t>
            </w:r>
            <w:r>
              <w:rPr>
                <w:rFonts w:hint="default" w:ascii="宋体" w:hAnsi="宋体" w:eastAsia="宋体" w:cs="宋体"/>
                <w:color w:val="auto"/>
                <w:sz w:val="21"/>
                <w:szCs w:val="21"/>
                <w:highlight w:val="none"/>
                <w:lang w:val="en-US" w:eastAsia="zh-CN"/>
              </w:rPr>
              <w:t xml:space="preserve">.参与项目建设管理的有关会议，对项目投资控制的有关事项发表独立审计意见； </w:t>
            </w:r>
          </w:p>
          <w:p w14:paraId="0DDF50C1">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.参与项目询价的一系列相关工作，并为</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提供咨询意见；</w:t>
            </w:r>
          </w:p>
          <w:p w14:paraId="56F4F5F2">
            <w:pPr>
              <w:pStyle w:val="16"/>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.其他与项目投资控制相关的工作。</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6"/>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公开</w:t>
            </w:r>
            <w:r>
              <w:rPr>
                <w:rFonts w:hint="eastAsia" w:ascii="宋体" w:hAnsi="宋体" w:eastAsia="宋体" w:cs="宋体"/>
                <w:color w:val="auto"/>
                <w:sz w:val="21"/>
                <w:szCs w:val="21"/>
                <w:highlight w:val="none"/>
                <w:lang w:val="en-US" w:eastAsia="zh-CN"/>
              </w:rPr>
              <w:t>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1500</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时</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滁州市城投工程咨询管理有限公司网站（https://www.czctgczx.com/）</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https://www.etrading.cn/BREpointSSO/login/oauth2login?regioncode=DQ_ChuZhou</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w:t>
            </w:r>
            <w:r>
              <w:rPr>
                <w:rFonts w:hint="eastAsia" w:ascii="宋体" w:hAnsi="宋体" w:cs="宋体"/>
                <w:color w:val="auto"/>
                <w:sz w:val="21"/>
                <w:szCs w:val="21"/>
                <w:highlight w:val="none"/>
                <w:lang w:val="en-US" w:eastAsia="zh-CN"/>
              </w:rPr>
              <w:t>位公</w:t>
            </w:r>
            <w:r>
              <w:rPr>
                <w:rFonts w:hint="eastAsia" w:ascii="宋体" w:hAnsi="宋体" w:eastAsia="宋体" w:cs="宋体"/>
                <w:color w:val="auto"/>
                <w:sz w:val="21"/>
                <w:szCs w:val="21"/>
                <w:highlight w:val="none"/>
                <w:lang w:val="en-US" w:eastAsia="zh-CN"/>
              </w:rPr>
              <w:t>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 xml:space="preserve">9 </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分钟内（以电子交易系统解密倒计时为准），解密时间为</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w:t>
            </w:r>
            <w:r>
              <w:rPr>
                <w:rFonts w:hint="eastAsia" w:ascii="宋体" w:hAnsi="宋体" w:cs="宋体"/>
                <w:color w:val="auto"/>
                <w:spacing w:val="-4"/>
                <w:kern w:val="0"/>
                <w:szCs w:val="21"/>
                <w:highlight w:val="none"/>
              </w:rPr>
              <w:t>至</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r>
              <w:rPr>
                <w:rFonts w:hint="eastAsia" w:ascii="宋体" w:hAnsi="宋体" w:cs="宋体"/>
                <w:color w:val="auto"/>
                <w:spacing w:val="-4"/>
                <w:kern w:val="0"/>
                <w:szCs w:val="21"/>
                <w:highlight w:val="none"/>
              </w:rPr>
              <w:t>。</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lang w:val="en-US" w:eastAsia="zh-CN"/>
              </w:rPr>
              <w:t>进行</w:t>
            </w:r>
            <w:r>
              <w:rPr>
                <w:rFonts w:hint="eastAsia" w:ascii="宋体" w:hAnsi="宋体" w:cs="宋体"/>
                <w:color w:val="auto"/>
                <w:sz w:val="21"/>
                <w:szCs w:val="21"/>
                <w:highlight w:val="none"/>
                <w:lang w:val="en-US" w:eastAsia="zh-CN"/>
              </w:rPr>
              <w:t>综合</w:t>
            </w:r>
            <w:r>
              <w:rPr>
                <w:rFonts w:hint="eastAsia" w:ascii="宋体" w:hAnsi="宋体" w:eastAsia="宋体" w:cs="宋体"/>
                <w:color w:val="auto"/>
                <w:sz w:val="21"/>
                <w:szCs w:val="21"/>
                <w:highlight w:val="none"/>
                <w:lang w:val="en-US" w:eastAsia="zh-CN"/>
              </w:rPr>
              <w:t>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5283D63">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w:t>
            </w:r>
            <w:r>
              <w:rPr>
                <w:rFonts w:hint="eastAsia" w:ascii="宋体" w:hAnsi="宋体" w:eastAsia="宋体" w:cs="宋体"/>
                <w:color w:val="auto"/>
                <w:sz w:val="21"/>
                <w:szCs w:val="21"/>
                <w:highlight w:val="none"/>
                <w:lang w:val="en-US" w:eastAsia="zh-CN"/>
              </w:rPr>
              <w:t>由招标人组建</w:t>
            </w:r>
            <w:r>
              <w:rPr>
                <w:rFonts w:hint="eastAsia" w:ascii="宋体" w:hAnsi="宋体" w:eastAsia="宋体" w:cs="宋体"/>
                <w:color w:val="auto"/>
                <w:sz w:val="21"/>
                <w:szCs w:val="21"/>
                <w:highlight w:val="none"/>
              </w:rPr>
              <w:t>。</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53" w:hRule="atLeast"/>
          <w:jc w:val="center"/>
        </w:trPr>
        <w:tc>
          <w:tcPr>
            <w:tcW w:w="1020" w:type="dxa"/>
            <w:noWrap w:val="0"/>
            <w:vAlign w:val="center"/>
          </w:tcPr>
          <w:p w14:paraId="39C113BE">
            <w:pPr>
              <w:pStyle w:val="16"/>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6"/>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时</w:t>
            </w:r>
            <w:r>
              <w:rPr>
                <w:rFonts w:hint="eastAsia" w:ascii="宋体" w:hAnsi="宋体" w:cs="宋体"/>
                <w:b/>
                <w:bCs/>
                <w:color w:val="auto"/>
                <w:sz w:val="21"/>
                <w:szCs w:val="21"/>
                <w:highlight w:val="none"/>
                <w:lang w:val="en-US" w:eastAsia="zh-CN"/>
              </w:rPr>
              <w:t>前</w:t>
            </w:r>
            <w:r>
              <w:rPr>
                <w:rFonts w:hint="eastAsia" w:ascii="宋体" w:hAnsi="宋体" w:eastAsia="宋体" w:cs="宋体"/>
                <w:b/>
                <w:bCs/>
                <w:color w:val="auto"/>
                <w:sz w:val="21"/>
                <w:szCs w:val="21"/>
                <w:highlight w:val="none"/>
                <w:lang w:val="en-US" w:eastAsia="zh-CN"/>
              </w:rPr>
              <w:t>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6"/>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75E80B87">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工程竣</w:t>
            </w:r>
            <w:r>
              <w:rPr>
                <w:rFonts w:hint="eastAsia" w:ascii="宋体" w:hAnsi="宋体" w:eastAsia="宋体" w:cs="宋体"/>
                <w:color w:val="auto"/>
                <w:sz w:val="21"/>
                <w:szCs w:val="21"/>
                <w:highlight w:val="none"/>
                <w:lang w:val="en-US" w:eastAsia="zh-CN"/>
              </w:rPr>
              <w:t>工验收合格后</w:t>
            </w:r>
            <w:r>
              <w:rPr>
                <w:rFonts w:hint="eastAsia" w:ascii="宋体" w:hAnsi="宋体" w:cs="宋体"/>
                <w:color w:val="auto"/>
                <w:sz w:val="21"/>
                <w:szCs w:val="21"/>
                <w:highlight w:val="none"/>
                <w:lang w:val="en-US" w:eastAsia="zh-CN"/>
              </w:rPr>
              <w:t>付至基本费用（即已完合格工程量价款</w:t>
            </w:r>
            <w:r>
              <w:rPr>
                <w:rFonts w:hint="eastAsia" w:ascii="宋体" w:hAnsi="宋体" w:cs="宋体"/>
                <w:color w:val="auto"/>
                <w:sz w:val="21"/>
                <w:szCs w:val="21"/>
                <w:highlight w:val="none"/>
                <w:lang w:val="en-US" w:eastAsia="zh-CN"/>
              </w:rPr>
              <w:t>*中标基本费率）的80%，中标人向招标人提交完整的工程结算审核报告和相关结算资料，经复核后一次性付清本项目剩余跟踪审计服务费（即基本费用（项目审定工程造价*中标基本费率）+审核成果费用（项目审减额*审核成果固定费率4%）－已支付跟踪审计基本费）。</w:t>
            </w:r>
          </w:p>
        </w:tc>
      </w:tr>
      <w:tr w14:paraId="616707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292441FC">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bookmarkStart w:id="19" w:name="_Toc449028866"/>
            <w:bookmarkStart w:id="20" w:name="_Toc58430315"/>
            <w:r>
              <w:rPr>
                <w:rFonts w:hint="eastAsia" w:ascii="宋体" w:hAnsi="宋体" w:cs="宋体"/>
                <w:color w:val="auto"/>
                <w:sz w:val="21"/>
                <w:szCs w:val="21"/>
                <w:highlight w:val="none"/>
                <w:lang w:val="en-US" w:eastAsia="zh-CN"/>
              </w:rPr>
              <w:t>其他要求</w:t>
            </w:r>
          </w:p>
        </w:tc>
        <w:tc>
          <w:tcPr>
            <w:tcW w:w="7829" w:type="dxa"/>
            <w:gridSpan w:val="2"/>
            <w:noWrap w:val="0"/>
            <w:vAlign w:val="center"/>
          </w:tcPr>
          <w:p w14:paraId="5AEE7550">
            <w:pPr>
              <w:keepNext w:val="0"/>
              <w:keepLines w:val="0"/>
              <w:pageBreakBefore w:val="0"/>
              <w:numPr>
                <w:ilvl w:val="0"/>
                <w:numId w:val="0"/>
              </w:numPr>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项目组成员非特殊原因一律不得更换，确需更换的必须经招标人认可，更换人员的条件必须高于或等同于原先人员的资历。同时项目负责人变更处</w:t>
            </w:r>
            <w:r>
              <w:rPr>
                <w:rFonts w:hint="eastAsia" w:ascii="宋体" w:hAnsi="宋体" w:cs="宋体"/>
                <w:color w:val="auto"/>
                <w:sz w:val="21"/>
                <w:szCs w:val="21"/>
                <w:highlight w:val="none"/>
                <w:lang w:val="en-US" w:eastAsia="zh-CN"/>
              </w:rPr>
              <w:t>3000</w:t>
            </w:r>
            <w:r>
              <w:rPr>
                <w:rFonts w:hint="eastAsia" w:ascii="宋体" w:hAnsi="宋体" w:eastAsia="宋体" w:cs="宋体"/>
                <w:color w:val="auto"/>
                <w:sz w:val="21"/>
                <w:szCs w:val="21"/>
                <w:highlight w:val="none"/>
                <w:lang w:val="en-US" w:eastAsia="zh-CN"/>
              </w:rPr>
              <w:t>元/次违约金，项目组其他人员变更处</w:t>
            </w:r>
            <w:r>
              <w:rPr>
                <w:rFonts w:hint="eastAsia" w:ascii="宋体" w:hAnsi="宋体" w:cs="宋体"/>
                <w:color w:val="auto"/>
                <w:sz w:val="21"/>
                <w:szCs w:val="21"/>
                <w:highlight w:val="none"/>
                <w:lang w:val="en-US" w:eastAsia="zh-CN"/>
              </w:rPr>
              <w:t>1000</w:t>
            </w:r>
            <w:r>
              <w:rPr>
                <w:rFonts w:hint="eastAsia" w:ascii="宋体" w:hAnsi="宋体" w:eastAsia="宋体" w:cs="宋体"/>
                <w:color w:val="auto"/>
                <w:sz w:val="21"/>
                <w:szCs w:val="21"/>
                <w:highlight w:val="none"/>
                <w:lang w:val="en-US" w:eastAsia="zh-CN"/>
              </w:rPr>
              <w:t>元/人·次违约金。</w:t>
            </w:r>
          </w:p>
          <w:p w14:paraId="6C3FF887">
            <w:pPr>
              <w:keepNext w:val="0"/>
              <w:keepLines w:val="0"/>
              <w:pageBreakBefore w:val="0"/>
              <w:numPr>
                <w:ilvl w:val="0"/>
                <w:numId w:val="0"/>
              </w:numPr>
              <w:kinsoku/>
              <w:overflowPunct/>
              <w:topLinePunct w:val="0"/>
              <w:autoSpaceDE/>
              <w:autoSpaceDN/>
              <w:bidi w:val="0"/>
              <w:adjustRightInd/>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项目负责人每周在岗不得少于3天，每天不少于8小时；其他人员每周在岗不得少于6天，每天不少于8小时；中标人中标后将严格遵守招标文件约定的考勤要求，未按规定在岗履责的，项目负责人处1000元/人·天违约金，项目组其他人员处500元/人·天违约金。项目组成员（含项目负责人）离岗必须向招标人履行请假手续，若招标人和相关部门日常检查和随机抽查中发现不在岗的，又未履行请假手续的，处3000元/人·次违约金。</w:t>
            </w:r>
          </w:p>
          <w:p w14:paraId="35CFFEF3">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3.为本项目服务而配置的办公设备、场所及驻点期间产生的所有费用等均由中标人自行承担。</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r>
        <w:rPr>
          <w:rFonts w:hint="eastAsia" w:ascii="宋体" w:hAnsi="宋体" w:cs="宋体"/>
          <w:b/>
          <w:color w:val="auto"/>
          <w:sz w:val="28"/>
          <w:szCs w:val="28"/>
          <w:highlight w:val="none"/>
        </w:rPr>
        <w:t>二、投标人须知</w:t>
      </w:r>
      <w:bookmarkEnd w:id="19"/>
      <w:bookmarkEnd w:id="20"/>
    </w:p>
    <w:p w14:paraId="71C5E524">
      <w:pPr>
        <w:spacing w:line="440" w:lineRule="exact"/>
        <w:jc w:val="center"/>
        <w:rPr>
          <w:rFonts w:hint="eastAsia" w:ascii="宋体" w:hAnsi="宋体" w:cs="宋体"/>
          <w:color w:val="auto"/>
          <w:sz w:val="28"/>
          <w:szCs w:val="28"/>
          <w:highlight w:val="none"/>
        </w:rPr>
      </w:pPr>
      <w:bookmarkStart w:id="21"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1"/>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固定费率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综合评估法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2" w:name="_Toc247592876"/>
      <w:bookmarkStart w:id="23" w:name="_Toc247527563"/>
      <w:bookmarkStart w:id="24" w:name="_Toc152045539"/>
      <w:bookmarkStart w:id="25" w:name="_Toc152042315"/>
      <w:bookmarkStart w:id="26" w:name="_Toc296602429"/>
      <w:bookmarkStart w:id="27" w:name="_Toc144974507"/>
      <w:bookmarkStart w:id="28" w:name="_Toc247513962"/>
      <w:r>
        <w:rPr>
          <w:rFonts w:hint="eastAsia" w:ascii="宋体" w:hAnsi="宋体" w:cs="宋体"/>
          <w:b/>
          <w:color w:val="auto"/>
          <w:szCs w:val="21"/>
          <w:highlight w:val="none"/>
        </w:rPr>
        <w:t xml:space="preserve"> 踏勘现场</w:t>
      </w:r>
      <w:bookmarkEnd w:id="22"/>
      <w:bookmarkEnd w:id="23"/>
      <w:bookmarkEnd w:id="24"/>
      <w:bookmarkEnd w:id="25"/>
      <w:bookmarkEnd w:id="26"/>
      <w:bookmarkEnd w:id="27"/>
      <w:bookmarkEnd w:id="28"/>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29" w:name="_Toc247592877"/>
      <w:bookmarkStart w:id="30" w:name="_Toc247513963"/>
      <w:bookmarkStart w:id="31" w:name="_Toc296602430"/>
      <w:bookmarkStart w:id="32" w:name="_Toc247527564"/>
      <w:bookmarkStart w:id="33" w:name="_Toc144974508"/>
      <w:bookmarkStart w:id="34" w:name="_Toc152042316"/>
      <w:bookmarkStart w:id="35" w:name="_Toc152045540"/>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29"/>
      <w:bookmarkEnd w:id="30"/>
      <w:bookmarkEnd w:id="31"/>
      <w:bookmarkEnd w:id="32"/>
      <w:bookmarkEnd w:id="33"/>
      <w:bookmarkEnd w:id="34"/>
      <w:bookmarkEnd w:id="35"/>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szCs w:val="21"/>
          <w:highlight w:val="none"/>
          <w:lang w:val="en-US" w:eastAsia="zh-CN"/>
        </w:rPr>
        <w:t>相关要求</w:t>
      </w:r>
      <w:r>
        <w:rPr>
          <w:rFonts w:hint="eastAsia" w:ascii="宋体" w:hAnsi="宋体" w:cs="宋体"/>
          <w:color w:val="auto"/>
          <w:szCs w:val="21"/>
          <w:highlight w:val="none"/>
        </w:rPr>
        <w:t>。</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13.5投标人被视为充分熟悉本招标项目所在地的与履行合同有关的各种情况，包括但不限于：</w:t>
      </w:r>
    </w:p>
    <w:p w14:paraId="3DCA839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（1）国家对本次投标货物和服务的生产、安装调试、验收、维修等有关法律、法规及行业管理标准；</w:t>
      </w:r>
    </w:p>
    <w:p w14:paraId="35AE652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（2）安徽省及滁州市等有关管理部门的相关规定；</w:t>
      </w:r>
    </w:p>
    <w:p w14:paraId="544402F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的相关场地情况、基础建设、电力供应情况及相关设计标准。</w:t>
      </w:r>
    </w:p>
    <w:p w14:paraId="4F80E72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36" w:name="_Toc449028868"/>
      <w:r>
        <w:rPr>
          <w:rFonts w:hint="eastAsia" w:ascii="宋体" w:hAnsi="宋体" w:cs="宋体"/>
          <w:b/>
          <w:color w:val="auto"/>
          <w:sz w:val="28"/>
          <w:szCs w:val="28"/>
          <w:highlight w:val="none"/>
        </w:rPr>
        <w:t>（二）</w:t>
      </w:r>
      <w:bookmarkEnd w:id="36"/>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投标人可以通过</w:t>
      </w:r>
      <w:r>
        <w:rPr>
          <w:rFonts w:hint="eastAsia" w:ascii="宋体" w:hAnsi="宋体" w:cs="宋体"/>
          <w:color w:val="auto"/>
          <w:szCs w:val="21"/>
          <w:highlight w:val="none"/>
          <w:lang w:val="en-US" w:eastAsia="zh-CN"/>
        </w:rPr>
        <w:t>电子邮箱</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将以更正公告形式在滁州市城投工程咨询管理有限公司网站（https://www.czctgczx.com/）予以公布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在滁州市城投工程咨询管理有限公司网站（https://www.czctgczx.com/）予以公布。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37" w:name="_Toc449028869"/>
      <w:r>
        <w:rPr>
          <w:rFonts w:hint="eastAsia" w:ascii="宋体" w:hAnsi="宋体" w:cs="宋体"/>
          <w:b/>
          <w:color w:val="auto"/>
          <w:sz w:val="28"/>
          <w:szCs w:val="28"/>
          <w:highlight w:val="none"/>
        </w:rPr>
        <w:t>（三）投标文件的编制</w:t>
      </w:r>
      <w:bookmarkEnd w:id="37"/>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w:t>
      </w:r>
      <w:r>
        <w:rPr>
          <w:rFonts w:hint="eastAsia" w:ascii="宋体" w:hAnsi="宋体" w:cs="宋体"/>
          <w:color w:val="auto"/>
          <w:szCs w:val="21"/>
          <w:highlight w:val="none"/>
          <w:lang w:eastAsia="zh-CN"/>
        </w:rPr>
        <w:t>”“</w:t>
      </w:r>
      <w:r>
        <w:rPr>
          <w:rFonts w:hint="eastAsia" w:ascii="宋体" w:hAnsi="宋体" w:cs="宋体"/>
          <w:color w:val="auto"/>
          <w:szCs w:val="21"/>
          <w:highlight w:val="none"/>
        </w:rPr>
        <w:t>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w:t>
      </w:r>
      <w:r>
        <w:rPr>
          <w:rFonts w:hint="eastAsia" w:ascii="宋体" w:hAnsi="宋体" w:cs="宋体"/>
          <w:color w:val="auto"/>
          <w:szCs w:val="21"/>
          <w:highlight w:val="none"/>
          <w:lang w:eastAsia="zh-CN"/>
        </w:rPr>
        <w:t>赠送</w:t>
      </w:r>
      <w:r>
        <w:rPr>
          <w:rFonts w:hint="eastAsia" w:ascii="宋体" w:hAnsi="宋体" w:cs="宋体"/>
          <w:color w:val="auto"/>
          <w:szCs w:val="21"/>
          <w:highlight w:val="none"/>
        </w:rPr>
        <w:t>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38" w:name="_Toc449028870"/>
      <w:r>
        <w:rPr>
          <w:rFonts w:hint="eastAsia" w:ascii="宋体" w:hAnsi="宋体" w:eastAsia="宋体" w:cs="宋体"/>
          <w:b/>
          <w:color w:val="auto"/>
          <w:sz w:val="28"/>
          <w:szCs w:val="28"/>
          <w:highlight w:val="none"/>
        </w:rPr>
        <w:t>（四）投标文件的递交</w:t>
      </w:r>
      <w:bookmarkEnd w:id="38"/>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39"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1投标人中标后须递交与网上电子投标文件完全一致的纸质版投标文件，并按要求加盖单位公章；份数：正本1份，副本1份；中标人领取中标通知书时，一并递交给代理机构。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lang w:eastAsia="zh-CN"/>
        </w:rPr>
        <w:t>26.</w:t>
      </w:r>
      <w:r>
        <w:rPr>
          <w:rFonts w:hint="eastAsia" w:ascii="宋体" w:hAnsi="宋体" w:cs="宋体"/>
          <w:b/>
          <w:color w:val="auto"/>
          <w:szCs w:val="21"/>
          <w:highlight w:val="none"/>
        </w:rPr>
        <w:t>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39"/>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w:t>
      </w:r>
      <w:r>
        <w:rPr>
          <w:rFonts w:hint="eastAsia" w:ascii="宋体" w:hAnsi="宋体" w:cs="宋体"/>
          <w:color w:val="auto"/>
          <w:szCs w:val="21"/>
          <w:highlight w:val="none"/>
          <w:lang w:eastAsia="zh-CN"/>
        </w:rPr>
        <w:t>，在</w:t>
      </w:r>
      <w:r>
        <w:rPr>
          <w:rFonts w:hint="eastAsia" w:ascii="宋体" w:hAnsi="宋体" w:cs="宋体"/>
          <w:color w:val="auto"/>
          <w:szCs w:val="21"/>
          <w:highlight w:val="none"/>
        </w:rPr>
        <w:t>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0"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w:t>
      </w:r>
      <w:r>
        <w:rPr>
          <w:rFonts w:hint="eastAsia" w:ascii="宋体"/>
          <w:color w:val="auto"/>
          <w:szCs w:val="21"/>
          <w:highlight w:val="none"/>
          <w:lang w:eastAsia="zh-CN"/>
        </w:rPr>
        <w:t>，</w:t>
      </w:r>
      <w:r>
        <w:rPr>
          <w:rFonts w:hint="eastAsia" w:ascii="宋体"/>
          <w:color w:val="auto"/>
          <w:szCs w:val="21"/>
          <w:highlight w:val="none"/>
        </w:rPr>
        <w:t>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滁州市城投工程咨询管理有限公司网站（https://www.czctgczx.com/）</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滁州市城投工程咨询管理有限公司网站（https://www.czctgczx.com/）</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.2.1招标人或代理机构应在中标人确定之日起2个工作日内，在滁州市城投工程咨询管理有限公司网站（https://www.czctgczx.com/）公告中标结果并同时向中标人发出中标通知书。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（1）</w:t>
      </w:r>
      <w:r>
        <w:rPr>
          <w:rFonts w:hint="eastAsia" w:ascii="宋体"/>
          <w:color w:val="auto"/>
          <w:kern w:val="10"/>
          <w:szCs w:val="21"/>
          <w:highlight w:val="none"/>
        </w:rPr>
        <w:t xml:space="preserve">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（2）</w:t>
      </w:r>
      <w:r>
        <w:rPr>
          <w:rFonts w:hint="eastAsia" w:ascii="宋体"/>
          <w:color w:val="auto"/>
          <w:kern w:val="10"/>
          <w:szCs w:val="21"/>
          <w:highlight w:val="none"/>
        </w:rPr>
        <w:t>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（3）</w:t>
      </w:r>
      <w:r>
        <w:rPr>
          <w:rFonts w:hint="eastAsia" w:ascii="宋体"/>
          <w:color w:val="auto"/>
          <w:kern w:val="10"/>
          <w:szCs w:val="21"/>
          <w:highlight w:val="none"/>
        </w:rPr>
        <w:t>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（4）</w:t>
      </w:r>
      <w:r>
        <w:rPr>
          <w:rFonts w:hint="eastAsia" w:ascii="宋体"/>
          <w:color w:val="auto"/>
          <w:kern w:val="10"/>
          <w:szCs w:val="21"/>
          <w:highlight w:val="none"/>
        </w:rPr>
        <w:t>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0"/>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1" w:name="_Toc217446068"/>
      <w:r>
        <w:rPr>
          <w:rFonts w:hint="eastAsia" w:ascii="宋体" w:hAnsi="宋体" w:cs="宋体"/>
          <w:b/>
          <w:color w:val="auto"/>
          <w:szCs w:val="21"/>
          <w:highlight w:val="none"/>
        </w:rPr>
        <w:t>履约保证金</w:t>
      </w:r>
      <w:bookmarkEnd w:id="41"/>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2" w:name="_Toc449028874"/>
      <w:r>
        <w:rPr>
          <w:rFonts w:hint="eastAsia" w:ascii="宋体" w:hAnsi="宋体" w:eastAsia="宋体" w:cs="宋体"/>
          <w:b/>
          <w:color w:val="auto"/>
          <w:sz w:val="28"/>
          <w:szCs w:val="28"/>
          <w:highlight w:val="none"/>
        </w:rPr>
        <w:t>（七）纪律和监督</w:t>
      </w:r>
      <w:bookmarkEnd w:id="42"/>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招标人不得泄露</w:t>
      </w:r>
      <w:r>
        <w:rPr>
          <w:rFonts w:hint="eastAsia" w:ascii="宋体" w:hAnsi="宋体" w:cs="宋体"/>
          <w:color w:val="auto"/>
          <w:kern w:val="10"/>
          <w:szCs w:val="21"/>
          <w:highlight w:val="none"/>
        </w:rPr>
        <w:t xml:space="preserve">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w:t>
      </w:r>
      <w:r>
        <w:rPr>
          <w:rFonts w:hint="eastAsia" w:ascii="宋体" w:hAnsi="宋体" w:cs="宋体"/>
          <w:color w:val="auto"/>
          <w:kern w:val="10"/>
          <w:szCs w:val="21"/>
          <w:highlight w:val="none"/>
          <w:lang w:eastAsia="zh-CN"/>
        </w:rPr>
        <w:t>透露</w:t>
      </w:r>
      <w:r>
        <w:rPr>
          <w:rFonts w:hint="eastAsia" w:ascii="宋体" w:hAnsi="宋体" w:cs="宋体"/>
          <w:color w:val="auto"/>
          <w:kern w:val="10"/>
          <w:szCs w:val="21"/>
          <w:highlight w:val="none"/>
        </w:rPr>
        <w:t>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w:t>
      </w:r>
      <w:r>
        <w:rPr>
          <w:rFonts w:hint="eastAsia" w:ascii="宋体" w:hAnsi="宋体" w:cs="宋体"/>
          <w:color w:val="auto"/>
          <w:kern w:val="10"/>
          <w:szCs w:val="21"/>
          <w:highlight w:val="none"/>
          <w:lang w:eastAsia="zh-CN"/>
        </w:rPr>
        <w:t>透露</w:t>
      </w:r>
      <w:r>
        <w:rPr>
          <w:rFonts w:hint="eastAsia" w:ascii="宋体" w:hAnsi="宋体" w:cs="宋体"/>
          <w:color w:val="auto"/>
          <w:kern w:val="10"/>
          <w:szCs w:val="21"/>
          <w:highlight w:val="none"/>
        </w:rPr>
        <w:t>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3" w:name="_Toc449028875"/>
      <w:r>
        <w:rPr>
          <w:rFonts w:hint="eastAsia" w:ascii="宋体" w:hAnsi="宋体" w:eastAsia="宋体" w:cs="宋体"/>
          <w:b/>
          <w:color w:val="auto"/>
          <w:sz w:val="28"/>
          <w:szCs w:val="28"/>
          <w:highlight w:val="none"/>
        </w:rPr>
        <w:t>（八）</w:t>
      </w:r>
      <w:bookmarkEnd w:id="43"/>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bookmarkStart w:id="44" w:name="_Toc58430316"/>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w:t>
      </w:r>
      <w:r>
        <w:rPr>
          <w:rFonts w:hint="eastAsia" w:ascii="宋体" w:cs="Times New Roman"/>
          <w:color w:val="auto"/>
          <w:kern w:val="10"/>
          <w:szCs w:val="21"/>
          <w:highlight w:val="none"/>
          <w:lang w:eastAsia="zh-CN"/>
        </w:rPr>
        <w:t>法律法规</w:t>
      </w:r>
      <w:r>
        <w:rPr>
          <w:rFonts w:hint="eastAsia" w:ascii="宋体" w:hAnsi="Times New Roman" w:eastAsia="宋体" w:cs="Times New Roman"/>
          <w:color w:val="auto"/>
          <w:kern w:val="10"/>
          <w:szCs w:val="21"/>
          <w:highlight w:val="none"/>
        </w:rPr>
        <w:t>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r>
        <w:rPr>
          <w:rFonts w:hint="eastAsia" w:ascii="宋体"/>
          <w:b/>
          <w:color w:val="auto"/>
          <w:sz w:val="32"/>
          <w:szCs w:val="32"/>
          <w:highlight w:val="none"/>
        </w:rPr>
        <w:t>第三章 评标办法</w:t>
      </w:r>
      <w:bookmarkEnd w:id="44"/>
    </w:p>
    <w:p w14:paraId="77B91577">
      <w:pPr>
        <w:spacing w:before="156" w:beforeLines="50" w:after="156" w:afterLines="50" w:line="440" w:lineRule="exact"/>
        <w:jc w:val="center"/>
        <w:outlineLvl w:val="1"/>
        <w:rPr>
          <w:rFonts w:hint="eastAsia" w:ascii="宋体"/>
          <w:b/>
          <w:color w:val="auto"/>
          <w:sz w:val="28"/>
          <w:szCs w:val="28"/>
          <w:highlight w:val="none"/>
        </w:rPr>
      </w:pPr>
      <w:bookmarkStart w:id="45" w:name="_Toc58430317"/>
      <w:bookmarkStart w:id="46" w:name="_Toc449028877"/>
      <w:bookmarkStart w:id="47" w:name="_Toc362983801"/>
      <w:bookmarkStart w:id="48" w:name="_Toc267320058"/>
      <w:bookmarkStart w:id="49" w:name="_Toc363135205"/>
      <w:r>
        <w:rPr>
          <w:rFonts w:hint="eastAsia" w:ascii="宋体"/>
          <w:b/>
          <w:color w:val="auto"/>
          <w:sz w:val="28"/>
          <w:szCs w:val="28"/>
          <w:highlight w:val="none"/>
        </w:rPr>
        <w:t>一、总则</w:t>
      </w:r>
      <w:bookmarkEnd w:id="45"/>
      <w:bookmarkEnd w:id="46"/>
      <w:bookmarkEnd w:id="47"/>
    </w:p>
    <w:p w14:paraId="5C81A7C8">
      <w:pPr>
        <w:spacing w:line="440" w:lineRule="exact"/>
        <w:ind w:firstLine="316" w:firstLineChars="150"/>
        <w:jc w:val="left"/>
        <w:rPr>
          <w:rFonts w:hint="default" w:ascii="宋体" w:eastAsia="宋体"/>
          <w:b/>
          <w:color w:val="auto"/>
          <w:szCs w:val="21"/>
          <w:highlight w:val="none"/>
          <w:lang w:val="en-US" w:eastAsia="zh-CN"/>
        </w:rPr>
      </w:pPr>
      <w:bookmarkStart w:id="50" w:name="_Toc449028878"/>
      <w:bookmarkStart w:id="51" w:name="_Toc362983802"/>
      <w:bookmarkStart w:id="52" w:name="_Toc58430318"/>
      <w:r>
        <w:rPr>
          <w:rFonts w:hint="eastAsia" w:ascii="宋体"/>
          <w:b/>
          <w:color w:val="auto"/>
          <w:szCs w:val="21"/>
          <w:highlight w:val="none"/>
        </w:rPr>
        <w:t xml:space="preserve"> 1. 本次评标采用</w:t>
      </w:r>
      <w:r>
        <w:rPr>
          <w:rFonts w:hint="eastAsia" w:ascii="宋体"/>
          <w:b/>
          <w:color w:val="auto"/>
          <w:szCs w:val="21"/>
          <w:highlight w:val="none"/>
          <w:lang w:val="en-US" w:eastAsia="zh-CN"/>
        </w:rPr>
        <w:t>综合评估法</w:t>
      </w:r>
    </w:p>
    <w:p w14:paraId="20954849">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1.1本次评标采用</w:t>
      </w:r>
      <w:r>
        <w:rPr>
          <w:rFonts w:hint="eastAsia" w:ascii="宋体" w:cs="Times New Roman"/>
          <w:color w:val="auto"/>
          <w:szCs w:val="21"/>
          <w:highlight w:val="none"/>
          <w:lang w:val="en-US" w:eastAsia="zh-CN"/>
        </w:rPr>
        <w:t>综合评估法</w:t>
      </w:r>
      <w:r>
        <w:rPr>
          <w:rFonts w:hint="eastAsia" w:ascii="宋体" w:hAnsi="Times New Roman" w:eastAsia="宋体" w:cs="Times New Roman"/>
          <w:color w:val="auto"/>
          <w:szCs w:val="21"/>
          <w:highlight w:val="none"/>
        </w:rPr>
        <w:t>。评标委员会对满足招标文件实质性要求的投标文件，按照本章规定的评分标准计算得分，并按总得分由高到低顺序推荐3名中标候</w:t>
      </w:r>
      <w:r>
        <w:rPr>
          <w:rFonts w:hint="eastAsia" w:ascii="宋体" w:cs="Times New Roman"/>
          <w:color w:val="auto"/>
          <w:szCs w:val="21"/>
          <w:highlight w:val="none"/>
          <w:lang w:eastAsia="zh-CN"/>
        </w:rPr>
        <w:t>选人</w:t>
      </w:r>
      <w:r>
        <w:rPr>
          <w:rFonts w:hint="eastAsia" w:ascii="宋体" w:hAnsi="Times New Roman" w:eastAsia="宋体" w:cs="Times New Roman"/>
          <w:color w:val="auto"/>
          <w:szCs w:val="21"/>
          <w:highlight w:val="none"/>
        </w:rPr>
        <w:t>，并标明排序，但投标报价低于其成本的除外。总得分相等，以投标报价低的优先，投标报价仍相等，由评标委员会或招标人随机抽取确定排名。</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lang w:eastAsia="zh-CN"/>
        </w:rPr>
        <w:t>2.</w:t>
      </w:r>
      <w:r>
        <w:rPr>
          <w:rFonts w:hint="eastAsia" w:ascii="宋体"/>
          <w:b/>
          <w:color w:val="auto"/>
          <w:szCs w:val="21"/>
          <w:highlight w:val="none"/>
        </w:rPr>
        <w:t>评标程序</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r>
        <w:rPr>
          <w:rFonts w:hint="eastAsia" w:ascii="宋体"/>
          <w:b/>
          <w:color w:val="auto"/>
          <w:sz w:val="28"/>
          <w:szCs w:val="28"/>
          <w:highlight w:val="none"/>
        </w:rPr>
        <w:t>二、投标文件初审</w:t>
      </w:r>
      <w:bookmarkEnd w:id="50"/>
      <w:bookmarkEnd w:id="51"/>
      <w:bookmarkEnd w:id="52"/>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3368"/>
        <w:gridCol w:w="4492"/>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734"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4492"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3368"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4492"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16220CB4">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3368"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具有独立承担民事责任能力和相应服务能力</w:t>
            </w:r>
          </w:p>
        </w:tc>
        <w:tc>
          <w:tcPr>
            <w:tcW w:w="4492"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有效的营业执照</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5F4128C5">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3368"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）诚信投标承诺书</w:t>
            </w:r>
          </w:p>
        </w:tc>
        <w:tc>
          <w:tcPr>
            <w:tcW w:w="4492"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r w14:paraId="106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2953642F">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3DCDEED2">
            <w:pPr>
              <w:spacing w:line="440" w:lineRule="exact"/>
              <w:rPr>
                <w:rFonts w:hint="eastAsia" w:ascii="宋体" w:hAnsi="宋体" w:cs="宋体"/>
                <w:color w:val="auto"/>
                <w:szCs w:val="21"/>
                <w:highlight w:val="none"/>
              </w:rPr>
            </w:pPr>
          </w:p>
        </w:tc>
        <w:tc>
          <w:tcPr>
            <w:tcW w:w="3368" w:type="dxa"/>
            <w:noWrap w:val="0"/>
            <w:vAlign w:val="top"/>
          </w:tcPr>
          <w:p w14:paraId="32B6E8FD">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4）项目负责人有效身份证及注册证书</w:t>
            </w:r>
          </w:p>
        </w:tc>
        <w:tc>
          <w:tcPr>
            <w:tcW w:w="4492" w:type="dxa"/>
            <w:noWrap w:val="0"/>
            <w:vAlign w:val="center"/>
          </w:tcPr>
          <w:p w14:paraId="5A4E4FEF">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5BD1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3F876C91">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2232A0F6">
            <w:pPr>
              <w:spacing w:line="440" w:lineRule="exact"/>
              <w:rPr>
                <w:rFonts w:hint="eastAsia" w:ascii="宋体" w:hAnsi="宋体" w:cs="宋体"/>
                <w:color w:val="auto"/>
                <w:szCs w:val="21"/>
                <w:highlight w:val="none"/>
              </w:rPr>
            </w:pPr>
          </w:p>
        </w:tc>
        <w:tc>
          <w:tcPr>
            <w:tcW w:w="3368" w:type="dxa"/>
            <w:noWrap w:val="0"/>
            <w:vAlign w:val="top"/>
          </w:tcPr>
          <w:p w14:paraId="4EC3D66A">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5）项目组人员的有效身份证及对应证书</w:t>
            </w:r>
          </w:p>
        </w:tc>
        <w:tc>
          <w:tcPr>
            <w:tcW w:w="4492" w:type="dxa"/>
            <w:noWrap w:val="0"/>
            <w:vAlign w:val="center"/>
          </w:tcPr>
          <w:p w14:paraId="01855B98">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bl>
    <w:p w14:paraId="4BC832D8">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53" w:name="_Toc362983803"/>
      <w:bookmarkStart w:id="54" w:name="_Toc449028879"/>
      <w:bookmarkStart w:id="55" w:name="_Toc58430319"/>
      <w:r>
        <w:rPr>
          <w:rFonts w:hint="eastAsia" w:ascii="宋体" w:hAnsi="Times New Roman" w:eastAsia="宋体" w:cs="Times New Roman"/>
          <w:b/>
          <w:color w:val="auto"/>
          <w:sz w:val="28"/>
          <w:szCs w:val="28"/>
          <w:highlight w:val="none"/>
        </w:rPr>
        <w:t>三、投标文件的澄清和补正</w:t>
      </w:r>
      <w:bookmarkEnd w:id="53"/>
      <w:bookmarkEnd w:id="54"/>
      <w:bookmarkEnd w:id="55"/>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56" w:name="_Toc58430320"/>
      <w:bookmarkStart w:id="57" w:name="_Toc449028880"/>
    </w:p>
    <w:p w14:paraId="4E078817">
      <w:pPr>
        <w:jc w:val="center"/>
        <w:outlineLvl w:val="1"/>
        <w:rPr>
          <w:rFonts w:hint="eastAsia" w:ascii="宋体" w:hAnsi="Times New Roman" w:eastAsia="宋体" w:cs="Times New Roman"/>
          <w:b/>
          <w:color w:val="auto"/>
          <w:sz w:val="28"/>
          <w:szCs w:val="28"/>
          <w:highlight w:val="none"/>
        </w:rPr>
      </w:pPr>
      <w:r>
        <w:rPr>
          <w:rFonts w:hint="eastAsia" w:ascii="宋体" w:hAnsi="Times New Roman" w:eastAsia="宋体" w:cs="Times New Roman"/>
          <w:b/>
          <w:color w:val="auto"/>
          <w:sz w:val="28"/>
          <w:szCs w:val="28"/>
          <w:highlight w:val="none"/>
        </w:rPr>
        <w:t>四、比较与评价</w:t>
      </w:r>
      <w:bookmarkEnd w:id="56"/>
      <w:bookmarkEnd w:id="57"/>
    </w:p>
    <w:p w14:paraId="7F5C09E7">
      <w:pPr>
        <w:spacing w:line="440" w:lineRule="exact"/>
        <w:ind w:firstLine="525" w:firstLineChars="250"/>
        <w:rPr>
          <w:rFonts w:hint="eastAsia" w:ascii="宋体" w:hAnsi="Times New Roman" w:eastAsia="宋体" w:cs="Times New Roman"/>
          <w:color w:val="auto"/>
          <w:szCs w:val="21"/>
          <w:highlight w:val="none"/>
        </w:rPr>
      </w:pPr>
      <w:bookmarkStart w:id="58" w:name="_Toc58430321"/>
      <w:bookmarkStart w:id="59" w:name="_Toc362983805"/>
      <w:bookmarkStart w:id="60" w:name="_Toc449028881"/>
      <w:r>
        <w:rPr>
          <w:rFonts w:hint="eastAsia" w:ascii="宋体" w:hAnsi="Times New Roman" w:eastAsia="宋体" w:cs="Times New Roman"/>
          <w:color w:val="auto"/>
          <w:szCs w:val="21"/>
          <w:highlight w:val="none"/>
        </w:rPr>
        <w:t>6.详细评审即按</w:t>
      </w:r>
      <w:r>
        <w:rPr>
          <w:rFonts w:hint="eastAsia" w:ascii="宋体" w:hAnsi="Times New Roman" w:eastAsia="宋体" w:cs="Times New Roman"/>
          <w:color w:val="auto"/>
          <w:szCs w:val="21"/>
          <w:highlight w:val="none"/>
          <w:lang w:val="en-US" w:eastAsia="zh-CN"/>
        </w:rPr>
        <w:t>招标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中规定的评标方法和标准，评标委员会将对通过</w:t>
      </w:r>
      <w:r>
        <w:rPr>
          <w:rFonts w:hint="eastAsia" w:ascii="宋体" w:hAnsi="Times New Roman" w:eastAsia="宋体" w:cs="Times New Roman"/>
          <w:color w:val="auto"/>
          <w:szCs w:val="21"/>
          <w:highlight w:val="none"/>
          <w:lang w:val="en-US" w:eastAsia="zh-CN"/>
        </w:rPr>
        <w:t>符合性审查</w:t>
      </w:r>
      <w:r>
        <w:rPr>
          <w:rFonts w:hint="eastAsia" w:ascii="宋体" w:hAnsi="Times New Roman" w:eastAsia="宋体" w:cs="Times New Roman"/>
          <w:color w:val="auto"/>
          <w:szCs w:val="21"/>
          <w:highlight w:val="none"/>
        </w:rPr>
        <w:t>的</w:t>
      </w:r>
      <w:r>
        <w:rPr>
          <w:rFonts w:hint="eastAsia" w:ascii="宋体" w:hAnsi="Times New Roman" w:eastAsia="宋体" w:cs="Times New Roman"/>
          <w:color w:val="auto"/>
          <w:szCs w:val="21"/>
          <w:highlight w:val="none"/>
          <w:lang w:val="en-US" w:eastAsia="zh-CN"/>
        </w:rPr>
        <w:t>投标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，进行商务报价评审，综合比较与评价。</w:t>
      </w:r>
    </w:p>
    <w:p w14:paraId="4252B921">
      <w:pPr>
        <w:spacing w:line="440" w:lineRule="exact"/>
        <w:ind w:firstLine="525" w:firstLineChars="250"/>
        <w:rPr>
          <w:rFonts w:hint="default" w:ascii="宋体" w:cs="Times New Roman"/>
          <w:color w:val="auto"/>
          <w:szCs w:val="21"/>
          <w:highlight w:val="none"/>
          <w:lang w:val="en-US" w:eastAsia="zh-CN"/>
        </w:rPr>
      </w:pPr>
      <w:r>
        <w:rPr>
          <w:rFonts w:hint="eastAsia" w:ascii="宋体" w:cs="Times New Roman"/>
          <w:color w:val="auto"/>
          <w:szCs w:val="21"/>
          <w:highlight w:val="none"/>
          <w:lang w:val="en-US" w:eastAsia="zh-CN"/>
        </w:rPr>
        <w:t>6.1资信评分（5分）</w:t>
      </w:r>
    </w:p>
    <w:tbl>
      <w:tblPr>
        <w:tblStyle w:val="35"/>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245D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4CB5DC35">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230" w:type="dxa"/>
            <w:vAlign w:val="center"/>
          </w:tcPr>
          <w:p w14:paraId="699C1D3D">
            <w:pPr>
              <w:spacing w:line="440" w:lineRule="exact"/>
              <w:rPr>
                <w:rFonts w:ascii="宋体" w:hAnsi="宋体" w:cs="宋体"/>
                <w:b/>
                <w:bCs/>
                <w:color w:val="auto"/>
                <w:szCs w:val="21"/>
                <w:highlight w:val="none"/>
              </w:rPr>
            </w:pPr>
            <w:r>
              <w:rPr>
                <w:rFonts w:hint="eastAsia" w:ascii="宋体" w:hAnsi="宋体" w:cs="宋体"/>
                <w:b/>
                <w:bCs/>
                <w:color w:val="auto"/>
                <w:szCs w:val="21"/>
                <w:highlight w:val="none"/>
              </w:rPr>
              <w:t>评分因素</w:t>
            </w:r>
          </w:p>
        </w:tc>
        <w:tc>
          <w:tcPr>
            <w:tcW w:w="699" w:type="dxa"/>
            <w:vAlign w:val="center"/>
          </w:tcPr>
          <w:p w14:paraId="09E80F22">
            <w:pPr>
              <w:spacing w:line="440" w:lineRule="exact"/>
              <w:rPr>
                <w:rFonts w:ascii="宋体" w:hAnsi="宋体" w:cs="宋体"/>
                <w:b/>
                <w:bCs/>
                <w:color w:val="auto"/>
                <w:szCs w:val="21"/>
                <w:highlight w:val="none"/>
              </w:rPr>
            </w:pPr>
            <w:r>
              <w:rPr>
                <w:rFonts w:hint="eastAsia" w:ascii="宋体" w:hAnsi="宋体" w:cs="宋体"/>
                <w:b/>
                <w:bCs/>
                <w:color w:val="auto"/>
                <w:szCs w:val="21"/>
                <w:highlight w:val="none"/>
              </w:rPr>
              <w:t>分值</w:t>
            </w:r>
          </w:p>
        </w:tc>
        <w:tc>
          <w:tcPr>
            <w:tcW w:w="7409" w:type="dxa"/>
            <w:vAlign w:val="center"/>
          </w:tcPr>
          <w:p w14:paraId="4C6017B7">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评审细则</w:t>
            </w:r>
          </w:p>
        </w:tc>
      </w:tr>
      <w:tr w14:paraId="3E97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45" w:type="dxa"/>
            <w:vAlign w:val="center"/>
          </w:tcPr>
          <w:p w14:paraId="049C4D6B">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p>
        </w:tc>
        <w:tc>
          <w:tcPr>
            <w:tcW w:w="1230" w:type="dxa"/>
            <w:vAlign w:val="center"/>
          </w:tcPr>
          <w:p w14:paraId="3AFF47E2">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项目负责人</w:t>
            </w:r>
            <w:r>
              <w:rPr>
                <w:rFonts w:hint="eastAsia" w:ascii="宋体" w:hAnsi="宋体" w:eastAsia="宋体" w:cs="宋体"/>
                <w:b w:val="0"/>
                <w:bCs w:val="0"/>
                <w:color w:val="auto"/>
                <w:sz w:val="21"/>
                <w:szCs w:val="21"/>
                <w:highlight w:val="none"/>
                <w:lang w:val="zh-CN"/>
              </w:rPr>
              <w:t>业绩</w:t>
            </w:r>
          </w:p>
        </w:tc>
        <w:tc>
          <w:tcPr>
            <w:tcW w:w="699" w:type="dxa"/>
            <w:vAlign w:val="center"/>
          </w:tcPr>
          <w:p w14:paraId="3D611914">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2分</w:t>
            </w:r>
          </w:p>
        </w:tc>
        <w:tc>
          <w:tcPr>
            <w:tcW w:w="7409" w:type="dxa"/>
            <w:vAlign w:val="center"/>
          </w:tcPr>
          <w:p w14:paraId="1D5E7071">
            <w:pPr>
              <w:keepNext w:val="0"/>
              <w:keepLines w:val="0"/>
              <w:pageBreakBefore w:val="0"/>
              <w:widowControl w:val="0"/>
              <w:kinsoku/>
              <w:wordWrap/>
              <w:overflowPunct/>
              <w:topLinePunct w:val="0"/>
              <w:bidi w:val="0"/>
              <w:adjustRightInd w:val="0"/>
              <w:snapToGrid/>
              <w:spacing w:line="44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w:t>
            </w:r>
            <w:r>
              <w:rPr>
                <w:rFonts w:hint="eastAsia" w:ascii="宋体" w:hAnsi="宋体" w:cs="宋体"/>
                <w:b w:val="0"/>
                <w:bCs w:val="0"/>
                <w:color w:val="auto"/>
                <w:sz w:val="21"/>
                <w:szCs w:val="21"/>
                <w:highlight w:val="none"/>
                <w:lang w:val="en-US" w:eastAsia="zh-CN"/>
              </w:rPr>
              <w:t>拟派项目负责人</w:t>
            </w:r>
            <w:r>
              <w:rPr>
                <w:rFonts w:hint="eastAsia" w:ascii="宋体" w:hAnsi="宋体" w:eastAsia="宋体" w:cs="宋体"/>
                <w:b w:val="0"/>
                <w:bCs w:val="0"/>
                <w:color w:val="auto"/>
                <w:sz w:val="21"/>
                <w:szCs w:val="21"/>
                <w:highlight w:val="none"/>
                <w:lang w:val="en-US" w:eastAsia="zh-CN"/>
              </w:rPr>
              <w:t>自</w:t>
            </w:r>
            <w:r>
              <w:rPr>
                <w:rFonts w:hint="eastAsia" w:ascii="宋体" w:hAnsi="宋体" w:cs="宋体"/>
                <w:b w:val="0"/>
                <w:bCs w:val="0"/>
                <w:color w:val="auto"/>
                <w:sz w:val="21"/>
                <w:szCs w:val="21"/>
                <w:highlight w:val="none"/>
                <w:lang w:val="en-US" w:eastAsia="zh-CN"/>
              </w:rPr>
              <w:t>2023</w:t>
            </w:r>
            <w:r>
              <w:rPr>
                <w:rFonts w:hint="eastAsia" w:ascii="宋体" w:hAnsi="宋体" w:eastAsia="宋体" w:cs="宋体"/>
                <w:b w:val="0"/>
                <w:bCs w:val="0"/>
                <w:color w:val="auto"/>
                <w:sz w:val="21"/>
                <w:szCs w:val="21"/>
                <w:highlight w:val="none"/>
                <w:lang w:val="en-US" w:eastAsia="zh-CN"/>
              </w:rPr>
              <w:t>年1月1日至投标截止日完成过</w:t>
            </w:r>
            <w:r>
              <w:rPr>
                <w:rFonts w:hint="eastAsia" w:ascii="宋体" w:hAnsi="宋体" w:cs="宋体"/>
                <w:b w:val="0"/>
                <w:bCs w:val="0"/>
                <w:color w:val="auto"/>
                <w:sz w:val="21"/>
                <w:szCs w:val="21"/>
                <w:highlight w:val="none"/>
                <w:lang w:val="en-US" w:eastAsia="zh-CN"/>
              </w:rPr>
              <w:t>电力工程跟踪审计服务业绩</w:t>
            </w:r>
            <w:r>
              <w:rPr>
                <w:rFonts w:hint="eastAsia" w:ascii="宋体" w:hAnsi="宋体" w:eastAsia="宋体" w:cs="宋体"/>
                <w:b w:val="0"/>
                <w:bCs w:val="0"/>
                <w:color w:val="auto"/>
                <w:sz w:val="21"/>
                <w:szCs w:val="21"/>
                <w:highlight w:val="none"/>
                <w:lang w:val="en-US" w:eastAsia="zh-CN"/>
              </w:rPr>
              <w:t>的得</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分，本项满分</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分。</w:t>
            </w:r>
          </w:p>
          <w:p w14:paraId="2A669EF5">
            <w:pPr>
              <w:pStyle w:val="109"/>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440" w:lineRule="exact"/>
              <w:ind w:left="0" w:leftChars="0" w:firstLine="0" w:firstLineChars="0"/>
              <w:jc w:val="left"/>
              <w:textAlignment w:val="auto"/>
              <w:rPr>
                <w:color w:val="auto"/>
                <w:highlight w:val="none"/>
              </w:rPr>
            </w:pPr>
            <w:r>
              <w:rPr>
                <w:rFonts w:hint="eastAsia" w:ascii="宋体" w:hAnsi="宋体" w:eastAsia="宋体" w:cs="宋体"/>
                <w:b/>
                <w:bCs/>
                <w:color w:val="auto"/>
                <w:sz w:val="21"/>
                <w:szCs w:val="21"/>
                <w:highlight w:val="none"/>
              </w:rPr>
              <w:t>注：须同时提供</w:t>
            </w:r>
            <w:r>
              <w:rPr>
                <w:rFonts w:hint="eastAsia" w:ascii="宋体" w:hAnsi="宋体" w:eastAsia="宋体" w:cs="宋体"/>
                <w:b/>
                <w:bCs/>
                <w:color w:val="auto"/>
                <w:sz w:val="21"/>
                <w:szCs w:val="21"/>
                <w:highlight w:val="none"/>
                <w:lang w:val="en-US" w:eastAsia="zh-CN"/>
              </w:rPr>
              <w:t>下列材料</w:t>
            </w:r>
            <w:r>
              <w:rPr>
                <w:rFonts w:hint="eastAsia" w:ascii="宋体" w:hAnsi="宋体" w:cs="宋体"/>
                <w:b/>
                <w:bCs/>
                <w:color w:val="auto"/>
                <w:sz w:val="21"/>
                <w:szCs w:val="21"/>
                <w:highlight w:val="none"/>
                <w:lang w:val="en-US" w:eastAsia="zh-CN"/>
              </w:rPr>
              <w:t>扫描件</w:t>
            </w:r>
            <w:r>
              <w:rPr>
                <w:rFonts w:hint="eastAsia" w:ascii="宋体" w:hAnsi="宋体" w:eastAsia="宋体" w:cs="宋体"/>
                <w:b/>
                <w:bCs/>
                <w:color w:val="auto"/>
                <w:sz w:val="21"/>
                <w:szCs w:val="21"/>
                <w:highlight w:val="none"/>
              </w:rPr>
              <w:t>①中标通知书（</w:t>
            </w:r>
            <w:r>
              <w:rPr>
                <w:rFonts w:hint="eastAsia" w:ascii="宋体" w:hAnsi="宋体" w:eastAsia="宋体" w:cs="宋体"/>
                <w:b/>
                <w:bCs/>
                <w:color w:val="auto"/>
                <w:kern w:val="0"/>
                <w:sz w:val="21"/>
                <w:szCs w:val="21"/>
                <w:highlight w:val="none"/>
              </w:rPr>
              <w:t>无中标通知书的项目，提供通知书</w:t>
            </w:r>
            <w:r>
              <w:rPr>
                <w:rFonts w:hint="eastAsia" w:ascii="宋体" w:hAnsi="宋体" w:eastAsia="宋体" w:cs="宋体"/>
                <w:b/>
                <w:bCs/>
                <w:color w:val="auto"/>
                <w:kern w:val="0"/>
                <w:sz w:val="21"/>
                <w:szCs w:val="21"/>
                <w:highlight w:val="none"/>
                <w:lang w:val="en-US" w:eastAsia="zh-CN"/>
              </w:rPr>
              <w:t>或委托书</w:t>
            </w:r>
            <w:r>
              <w:rPr>
                <w:rFonts w:hint="eastAsia" w:ascii="宋体" w:hAnsi="宋体" w:eastAsia="宋体" w:cs="宋体"/>
                <w:b/>
                <w:bCs/>
                <w:color w:val="auto"/>
                <w:kern w:val="0"/>
                <w:sz w:val="21"/>
                <w:szCs w:val="21"/>
                <w:highlight w:val="none"/>
              </w:rPr>
              <w:t>或委托单位的证明材料并加盖委托单位公章</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②咨询</w:t>
            </w:r>
            <w:r>
              <w:rPr>
                <w:rFonts w:hint="eastAsia" w:ascii="宋体" w:hAnsi="宋体" w:eastAsia="宋体" w:cs="宋体"/>
                <w:b/>
                <w:bCs/>
                <w:color w:val="auto"/>
                <w:sz w:val="21"/>
                <w:szCs w:val="21"/>
                <w:highlight w:val="none"/>
                <w:lang w:val="en-US" w:eastAsia="zh-CN"/>
              </w:rPr>
              <w:t>服务</w:t>
            </w:r>
            <w:r>
              <w:rPr>
                <w:rFonts w:hint="eastAsia" w:ascii="宋体" w:hAnsi="宋体" w:eastAsia="宋体" w:cs="宋体"/>
                <w:b/>
                <w:bCs/>
                <w:color w:val="auto"/>
                <w:sz w:val="21"/>
                <w:szCs w:val="21"/>
                <w:highlight w:val="none"/>
              </w:rPr>
              <w:t>合同</w:t>
            </w:r>
            <w:r>
              <w:rPr>
                <w:rFonts w:hint="eastAsia" w:hAnsi="宋体" w:cs="宋体"/>
                <w:b/>
                <w:bCs/>
                <w:color w:val="auto"/>
                <w:sz w:val="21"/>
                <w:szCs w:val="21"/>
                <w:highlight w:val="none"/>
                <w:lang w:eastAsia="zh-CN"/>
              </w:rPr>
              <w:t>（</w:t>
            </w:r>
            <w:r>
              <w:rPr>
                <w:rFonts w:hint="eastAsia" w:ascii="宋体" w:hAnsi="宋体" w:eastAsia="宋体" w:cs="宋体"/>
                <w:b/>
                <w:bCs/>
                <w:color w:val="auto"/>
                <w:kern w:val="0"/>
                <w:sz w:val="21"/>
                <w:szCs w:val="21"/>
                <w:highlight w:val="none"/>
                <w:lang w:val="en-US" w:eastAsia="zh-CN"/>
              </w:rPr>
              <w:t>若咨询服务合同为</w:t>
            </w:r>
            <w:r>
              <w:rPr>
                <w:rFonts w:hint="eastAsia" w:ascii="宋体" w:hAnsi="宋体" w:eastAsia="宋体" w:cs="宋体"/>
                <w:b/>
                <w:bCs/>
                <w:color w:val="auto"/>
                <w:kern w:val="0"/>
                <w:sz w:val="21"/>
                <w:szCs w:val="21"/>
                <w:highlight w:val="none"/>
                <w:lang w:eastAsia="zh-CN"/>
              </w:rPr>
              <w:t>框架合同，应同时提供</w:t>
            </w:r>
            <w:r>
              <w:rPr>
                <w:rFonts w:hint="eastAsia" w:ascii="宋体" w:hAnsi="宋体" w:eastAsia="宋体" w:cs="宋体"/>
                <w:b/>
                <w:bCs/>
                <w:color w:val="auto"/>
                <w:kern w:val="0"/>
                <w:sz w:val="21"/>
                <w:szCs w:val="21"/>
                <w:highlight w:val="none"/>
                <w:lang w:val="en-US" w:eastAsia="zh-CN"/>
              </w:rPr>
              <w:t>委托单位</w:t>
            </w:r>
            <w:r>
              <w:rPr>
                <w:rFonts w:hint="eastAsia" w:ascii="宋体" w:hAnsi="宋体" w:eastAsia="宋体" w:cs="宋体"/>
                <w:b/>
                <w:bCs/>
                <w:color w:val="auto"/>
                <w:kern w:val="0"/>
                <w:sz w:val="21"/>
                <w:szCs w:val="21"/>
                <w:highlight w:val="none"/>
                <w:lang w:eastAsia="zh-CN"/>
              </w:rPr>
              <w:t>出具的任务分配证明）</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③咨询成果报告（文件），咨询成果报告（文件）是指</w:t>
            </w:r>
            <w:r>
              <w:rPr>
                <w:rFonts w:hint="eastAsia" w:ascii="宋体" w:hAnsi="宋体" w:eastAsia="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rPr>
              <w:t>作为</w:t>
            </w:r>
            <w:r>
              <w:rPr>
                <w:rFonts w:hint="eastAsia" w:ascii="宋体" w:hAnsi="宋体" w:cs="宋体"/>
                <w:b/>
                <w:bCs/>
                <w:color w:val="auto"/>
                <w:sz w:val="21"/>
                <w:szCs w:val="21"/>
                <w:highlight w:val="none"/>
                <w:lang w:val="en-US" w:eastAsia="zh-CN"/>
              </w:rPr>
              <w:t>跟踪审计</w:t>
            </w:r>
            <w:r>
              <w:rPr>
                <w:rFonts w:hint="eastAsia" w:ascii="宋体" w:hAnsi="宋体" w:eastAsia="宋体" w:cs="宋体"/>
                <w:b/>
                <w:bCs/>
                <w:color w:val="auto"/>
                <w:sz w:val="21"/>
                <w:szCs w:val="21"/>
                <w:highlight w:val="none"/>
              </w:rPr>
              <w:t>单位出具的经建设单位认可的</w:t>
            </w:r>
            <w:r>
              <w:rPr>
                <w:rFonts w:hint="eastAsia" w:ascii="宋体" w:hAnsi="宋体" w:eastAsia="宋体" w:cs="宋体"/>
                <w:b/>
                <w:bCs/>
                <w:color w:val="auto"/>
                <w:sz w:val="21"/>
                <w:szCs w:val="21"/>
                <w:highlight w:val="none"/>
                <w:lang w:val="en-US" w:eastAsia="zh-CN"/>
              </w:rPr>
              <w:t>成果文件</w:t>
            </w:r>
            <w:r>
              <w:rPr>
                <w:rFonts w:hint="eastAsia" w:ascii="宋体" w:hAnsi="宋体" w:eastAsia="宋体" w:cs="宋体"/>
                <w:b/>
                <w:bCs/>
                <w:color w:val="auto"/>
                <w:sz w:val="21"/>
                <w:szCs w:val="21"/>
                <w:highlight w:val="none"/>
              </w:rPr>
              <w:t>主要页面</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时间以成果报告（文件）出具时间为准，金额以咨询成果报告（文件）中载明的金额为准。若上述证明材料不能明确反映项目类型等内容的，应另行提供委托单位出具并加盖其公章的证明材料。</w:t>
            </w:r>
          </w:p>
        </w:tc>
      </w:tr>
      <w:tr w14:paraId="7081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0D087390">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p>
        </w:tc>
        <w:tc>
          <w:tcPr>
            <w:tcW w:w="1230" w:type="dxa"/>
            <w:vAlign w:val="center"/>
          </w:tcPr>
          <w:p w14:paraId="7A0EA759">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企业荣誉</w:t>
            </w:r>
          </w:p>
        </w:tc>
        <w:tc>
          <w:tcPr>
            <w:tcW w:w="699" w:type="dxa"/>
            <w:vAlign w:val="center"/>
          </w:tcPr>
          <w:p w14:paraId="72798570">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3分</w:t>
            </w:r>
          </w:p>
        </w:tc>
        <w:tc>
          <w:tcPr>
            <w:tcW w:w="7409" w:type="dxa"/>
            <w:vAlign w:val="center"/>
          </w:tcPr>
          <w:p w14:paraId="753F553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Chars="0"/>
              <w:jc w:val="left"/>
              <w:textAlignment w:val="auto"/>
              <w:rPr>
                <w:rFonts w:hint="eastAsia" w:ascii="Times New Roman"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投标人自</w:t>
            </w:r>
            <w:r>
              <w:rPr>
                <w:rFonts w:hint="eastAsia" w:hAnsi="宋体" w:cs="宋体"/>
                <w:b w:val="0"/>
                <w:bCs w:val="0"/>
                <w:color w:val="auto"/>
                <w:sz w:val="21"/>
                <w:szCs w:val="21"/>
                <w:highlight w:val="none"/>
                <w:lang w:val="en-US" w:eastAsia="zh-CN"/>
              </w:rPr>
              <w:t>2023</w:t>
            </w:r>
            <w:r>
              <w:rPr>
                <w:rFonts w:hint="eastAsia" w:ascii="宋体" w:hAnsi="宋体" w:eastAsia="宋体" w:cs="宋体"/>
                <w:b w:val="0"/>
                <w:bCs w:val="0"/>
                <w:color w:val="auto"/>
                <w:sz w:val="21"/>
                <w:szCs w:val="21"/>
                <w:highlight w:val="none"/>
                <w:lang w:val="en-US" w:eastAsia="zh-CN"/>
              </w:rPr>
              <w:t>年1月1日至投标截止日</w:t>
            </w:r>
            <w:r>
              <w:rPr>
                <w:rFonts w:hint="eastAsia" w:hAnsi="宋体" w:cs="宋体"/>
                <w:b w:val="0"/>
                <w:bCs w:val="0"/>
                <w:color w:val="auto"/>
                <w:sz w:val="21"/>
                <w:szCs w:val="21"/>
                <w:highlight w:val="none"/>
                <w:lang w:val="en-US" w:eastAsia="zh-CN"/>
              </w:rPr>
              <w:t>，具有市级及以上造价主管部门（或协会）颁发的企业荣誉证书的得3分，本项满分3分。</w:t>
            </w:r>
            <w:r>
              <w:rPr>
                <w:rFonts w:hint="eastAsia" w:hAnsi="宋体" w:cs="宋体"/>
                <w:b/>
                <w:bCs/>
                <w:color w:val="auto"/>
                <w:sz w:val="21"/>
                <w:szCs w:val="21"/>
                <w:highlight w:val="none"/>
                <w:lang w:val="en-US" w:eastAsia="zh-CN"/>
              </w:rPr>
              <w:br w:type="textWrapping"/>
            </w:r>
            <w:r>
              <w:rPr>
                <w:rFonts w:hint="eastAsia" w:ascii="Times New Roman" w:hAnsi="宋体" w:eastAsia="宋体" w:cs="宋体"/>
                <w:b/>
                <w:bCs/>
                <w:color w:val="auto"/>
                <w:sz w:val="21"/>
                <w:szCs w:val="21"/>
                <w:highlight w:val="none"/>
                <w:lang w:val="en-US" w:eastAsia="zh-CN"/>
              </w:rPr>
              <w:t>注：1.提供荣誉证书（时间以证书颁发时间为准）或网站公示截图（以网站公示时间为准）</w:t>
            </w:r>
            <w:r>
              <w:rPr>
                <w:rFonts w:hint="eastAsia" w:hAnsi="宋体" w:cs="宋体"/>
                <w:b/>
                <w:bCs/>
                <w:color w:val="auto"/>
                <w:sz w:val="21"/>
                <w:szCs w:val="21"/>
                <w:highlight w:val="none"/>
                <w:lang w:val="en-US" w:eastAsia="zh-CN"/>
              </w:rPr>
              <w:t>或红头文件</w:t>
            </w:r>
            <w:r>
              <w:rPr>
                <w:rFonts w:hint="eastAsia" w:ascii="Times New Roman" w:hAnsi="宋体" w:eastAsia="宋体" w:cs="宋体"/>
                <w:b/>
                <w:bCs/>
                <w:color w:val="auto"/>
                <w:sz w:val="21"/>
                <w:szCs w:val="21"/>
                <w:highlight w:val="none"/>
                <w:lang w:val="en-US" w:eastAsia="zh-CN"/>
              </w:rPr>
              <w:t>。</w:t>
            </w:r>
          </w:p>
          <w:p w14:paraId="655CB29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Chars="0"/>
              <w:jc w:val="left"/>
              <w:textAlignment w:val="auto"/>
              <w:rPr>
                <w:rFonts w:hint="eastAsia" w:ascii="Times New Roman" w:hAnsi="宋体" w:eastAsia="宋体" w:cs="宋体"/>
                <w:b/>
                <w:bCs/>
                <w:color w:val="auto"/>
                <w:sz w:val="21"/>
                <w:szCs w:val="21"/>
                <w:highlight w:val="none"/>
                <w:lang w:val="en-US" w:eastAsia="zh-CN"/>
              </w:rPr>
            </w:pPr>
            <w:r>
              <w:rPr>
                <w:rFonts w:hint="eastAsia" w:ascii="Times New Roman" w:hAnsi="宋体" w:eastAsia="宋体" w:cs="宋体"/>
                <w:b/>
                <w:bCs/>
                <w:color w:val="auto"/>
                <w:sz w:val="21"/>
                <w:szCs w:val="21"/>
                <w:highlight w:val="none"/>
                <w:lang w:val="en-US" w:eastAsia="zh-CN"/>
              </w:rPr>
              <w:t>2.如为造价相关协会（或学会）颁发的，还应符合下列要求</w:t>
            </w:r>
            <w:r>
              <w:rPr>
                <w:rFonts w:hint="eastAsia" w:hAnsi="宋体" w:cs="宋体"/>
                <w:b/>
                <w:bCs/>
                <w:color w:val="auto"/>
                <w:sz w:val="21"/>
                <w:szCs w:val="21"/>
                <w:highlight w:val="none"/>
                <w:lang w:val="en-US" w:eastAsia="zh-CN"/>
              </w:rPr>
              <w:t>：</w:t>
            </w:r>
          </w:p>
          <w:p w14:paraId="50672CB2">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Chars="0"/>
              <w:jc w:val="left"/>
              <w:textAlignment w:val="auto"/>
              <w:rPr>
                <w:rFonts w:hint="eastAsia" w:ascii="Times New Roman" w:hAnsi="宋体" w:eastAsia="宋体" w:cs="宋体"/>
                <w:b/>
                <w:bCs/>
                <w:color w:val="auto"/>
                <w:sz w:val="21"/>
                <w:szCs w:val="21"/>
                <w:highlight w:val="none"/>
                <w:lang w:val="en-US" w:eastAsia="zh-CN"/>
              </w:rPr>
            </w:pPr>
            <w:r>
              <w:rPr>
                <w:rFonts w:hint="eastAsia" w:ascii="Times New Roman" w:hAnsi="宋体" w:eastAsia="宋体" w:cs="宋体"/>
                <w:b/>
                <w:bCs/>
                <w:color w:val="auto"/>
                <w:sz w:val="21"/>
                <w:szCs w:val="21"/>
                <w:highlight w:val="none"/>
                <w:lang w:val="en-US" w:eastAsia="zh-CN"/>
              </w:rPr>
              <w:t xml:space="preserve">2.1“国内依法登记注册”以中国社会组织政务服务平台中“全国社会组织信用信息公示平台（试运行）”查询结果为准。针对国内依法登记注册的行业协会（或学会）颁发的奖项、荣誉，投标文件中须另行提供该协会在中国社会组织政务服务平台中“全国社会组织信用信息公示平台（试运行）”查询结果截图。 </w:t>
            </w:r>
          </w:p>
          <w:p w14:paraId="2EAE5A9C">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0" w:firstLineChars="0"/>
              <w:jc w:val="left"/>
              <w:textAlignment w:val="auto"/>
              <w:rPr>
                <w:color w:val="auto"/>
                <w:highlight w:val="none"/>
              </w:rPr>
            </w:pPr>
            <w:r>
              <w:rPr>
                <w:rFonts w:hint="eastAsia" w:ascii="Times New Roman" w:hAnsi="宋体" w:eastAsia="宋体" w:cs="宋体"/>
                <w:b/>
                <w:bCs/>
                <w:color w:val="auto"/>
                <w:sz w:val="21"/>
                <w:szCs w:val="21"/>
                <w:highlight w:val="none"/>
                <w:lang w:val="en-US" w:eastAsia="zh-CN"/>
              </w:rPr>
              <w:t>2.2民政部公布的“离岸社团</w:t>
            </w:r>
            <w:r>
              <w:rPr>
                <w:rFonts w:hint="eastAsia" w:hAnsi="宋体" w:cs="宋体"/>
                <w:b/>
                <w:bCs/>
                <w:color w:val="auto"/>
                <w:sz w:val="21"/>
                <w:szCs w:val="21"/>
                <w:highlight w:val="none"/>
                <w:lang w:val="en-US" w:eastAsia="zh-CN"/>
              </w:rPr>
              <w:t>”“</w:t>
            </w:r>
            <w:r>
              <w:rPr>
                <w:rFonts w:hint="eastAsia" w:ascii="Times New Roman" w:hAnsi="宋体" w:eastAsia="宋体" w:cs="宋体"/>
                <w:b/>
                <w:bCs/>
                <w:color w:val="auto"/>
                <w:sz w:val="21"/>
                <w:szCs w:val="21"/>
                <w:highlight w:val="none"/>
                <w:lang w:val="en-US" w:eastAsia="zh-CN"/>
              </w:rPr>
              <w:t xml:space="preserve">山寨社团”或中国社会组织政务服务平台中“全国社会组织信用信息公示平台（试运行）”公示的“涉嫌非法社会组织”颁发的荣誉、奖励均无效。 </w:t>
            </w:r>
          </w:p>
        </w:tc>
      </w:tr>
      <w:tr w14:paraId="0A56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vAlign w:val="center"/>
          </w:tcPr>
          <w:p w14:paraId="1D67E810">
            <w:pPr>
              <w:spacing w:line="440" w:lineRule="exac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注：各评委得分的平均值为供应商资信标得分，分值保留两位小数点。</w:t>
            </w:r>
          </w:p>
        </w:tc>
      </w:tr>
    </w:tbl>
    <w:p w14:paraId="788F2229">
      <w:pPr>
        <w:spacing w:line="440" w:lineRule="exact"/>
        <w:ind w:firstLine="525" w:firstLineChars="250"/>
        <w:rPr>
          <w:rFonts w:hint="default" w:ascii="宋体" w:cs="Times New Roman"/>
          <w:color w:val="auto"/>
          <w:szCs w:val="21"/>
          <w:highlight w:val="none"/>
          <w:lang w:val="en-US" w:eastAsia="zh-CN"/>
        </w:rPr>
      </w:pPr>
      <w:r>
        <w:rPr>
          <w:rFonts w:hint="eastAsia" w:ascii="宋体" w:cs="Times New Roman"/>
          <w:color w:val="auto"/>
          <w:szCs w:val="21"/>
          <w:highlight w:val="none"/>
          <w:lang w:val="en-US" w:eastAsia="zh-CN"/>
        </w:rPr>
        <w:t>6.2技术标评分（75分）</w:t>
      </w:r>
    </w:p>
    <w:tbl>
      <w:tblPr>
        <w:tblStyle w:val="35"/>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4EAB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480226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230" w:type="dxa"/>
            <w:vAlign w:val="center"/>
          </w:tcPr>
          <w:p w14:paraId="3448E44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w:t>
            </w:r>
          </w:p>
        </w:tc>
        <w:tc>
          <w:tcPr>
            <w:tcW w:w="699" w:type="dxa"/>
            <w:vAlign w:val="center"/>
          </w:tcPr>
          <w:p w14:paraId="405BDD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7409" w:type="dxa"/>
            <w:vAlign w:val="center"/>
          </w:tcPr>
          <w:p w14:paraId="5A11F5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6C85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0AD0F0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230" w:type="dxa"/>
            <w:vAlign w:val="center"/>
          </w:tcPr>
          <w:p w14:paraId="0B1CFD9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施工阶段全过程跟踪审计方案</w:t>
            </w:r>
          </w:p>
        </w:tc>
        <w:tc>
          <w:tcPr>
            <w:tcW w:w="699" w:type="dxa"/>
            <w:vAlign w:val="center"/>
          </w:tcPr>
          <w:p w14:paraId="2A0052E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7409" w:type="dxa"/>
            <w:vAlign w:val="center"/>
          </w:tcPr>
          <w:p w14:paraId="0918750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（1）对本</w:t>
            </w:r>
            <w:r>
              <w:rPr>
                <w:rFonts w:hint="eastAsia" w:ascii="宋体" w:hAnsi="宋体" w:cs="宋体"/>
                <w:color w:val="auto"/>
                <w:sz w:val="21"/>
                <w:szCs w:val="21"/>
                <w:highlight w:val="none"/>
                <w:lang w:eastAsia="zh-CN"/>
              </w:rPr>
              <w:t>项目</w:t>
            </w:r>
            <w:r>
              <w:rPr>
                <w:rFonts w:hint="eastAsia" w:ascii="宋体" w:hAnsi="宋体" w:eastAsia="宋体" w:cs="宋体"/>
                <w:color w:val="auto"/>
                <w:sz w:val="21"/>
                <w:szCs w:val="21"/>
                <w:highlight w:val="none"/>
              </w:rPr>
              <w:t>施工阶段的跟审服务方案考虑的内容覆盖本项目实施需求、表述清晰明确，能够满足采购需求和项目履约需要的，得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2D02A07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（2）对本项目的施工阶段的跟审服务方案考虑的内容相对完整，对本项目的所需服务内容考虑了相应措施，能满足采购需求和项目履约需要的，得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3B8E6F5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（3）提供了对本项目的实施措施，但对项目所采用的措</w:t>
            </w:r>
            <w:r>
              <w:rPr>
                <w:rFonts w:hint="eastAsia" w:ascii="宋体" w:hAnsi="宋体" w:cs="宋体"/>
                <w:color w:val="auto"/>
                <w:sz w:val="21"/>
                <w:szCs w:val="21"/>
                <w:highlight w:val="none"/>
                <w:lang w:eastAsia="zh-CN"/>
              </w:rPr>
              <w:t>施在</w:t>
            </w:r>
            <w:r>
              <w:rPr>
                <w:rFonts w:hint="eastAsia" w:ascii="宋体" w:hAnsi="宋体" w:eastAsia="宋体" w:cs="宋体"/>
                <w:color w:val="auto"/>
                <w:sz w:val="21"/>
                <w:szCs w:val="21"/>
                <w:highlight w:val="none"/>
              </w:rPr>
              <w:t>实际过程中运用率低，服务内容缺项漏项的，得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3082B21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0683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41F8CB2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230" w:type="dxa"/>
            <w:vAlign w:val="center"/>
          </w:tcPr>
          <w:p w14:paraId="2853723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人员分工及责任的划分</w:t>
            </w:r>
          </w:p>
        </w:tc>
        <w:tc>
          <w:tcPr>
            <w:tcW w:w="699" w:type="dxa"/>
            <w:vAlign w:val="center"/>
          </w:tcPr>
          <w:p w14:paraId="5F98E6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7409" w:type="dxa"/>
            <w:vAlign w:val="center"/>
          </w:tcPr>
          <w:p w14:paraId="288EBAA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1）对本项目的人员分工和责任划分考虑的内容全面合理，针对实际情况安排了相应的跟审人员，得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35210CC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（2）对本项目的人员分工和责任划分的清晰，对本项目的所需服务内容考虑了人员的相互配合，能满足采购需求和项目履约需要的，得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10E0987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（3）提供了对人员分工和责任划分，但人员的分工和责任重复或缺少，且存在与本项目服务无关的内容，得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2DA9CA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6FC8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058AF4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230" w:type="dxa"/>
            <w:vAlign w:val="center"/>
          </w:tcPr>
          <w:p w14:paraId="2CC3FD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项目情况理解程度</w:t>
            </w:r>
          </w:p>
        </w:tc>
        <w:tc>
          <w:tcPr>
            <w:tcW w:w="699" w:type="dxa"/>
            <w:vAlign w:val="center"/>
          </w:tcPr>
          <w:p w14:paraId="743D244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center"/>
          </w:tcPr>
          <w:p w14:paraId="0B968DC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（1）对本项目实施项目情况分析的内容详细、思路清晰，能够满足采购需求和项目履约需要的，得5分；</w:t>
            </w:r>
          </w:p>
          <w:p w14:paraId="12DC22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（2）对现状分析的内容简短思路单一，能够完成本项目采购需求和项目履约需要的，得4分；</w:t>
            </w:r>
          </w:p>
          <w:p w14:paraId="0ED0ABA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（3）现状分析的内容有缺项，现状存在内容未体现，对项目实施的现状分析的模糊，得3分；</w:t>
            </w:r>
          </w:p>
          <w:p w14:paraId="366D4E5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0053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3E80E8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230" w:type="dxa"/>
            <w:vAlign w:val="center"/>
          </w:tcPr>
          <w:p w14:paraId="5E67A4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合同管理措施</w:t>
            </w:r>
          </w:p>
        </w:tc>
        <w:tc>
          <w:tcPr>
            <w:tcW w:w="699" w:type="dxa"/>
            <w:vAlign w:val="center"/>
          </w:tcPr>
          <w:p w14:paraId="36A9C3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7409" w:type="dxa"/>
            <w:vAlign w:val="center"/>
          </w:tcPr>
          <w:p w14:paraId="67F56D8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（1）能结合本项目对各类建设合同进行有效管理，能采取措施有效防范各类合同风险，得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38BE3B4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（2）结合本项目能实现对各类建设合同进行管理</w:t>
            </w:r>
            <w:r>
              <w:rPr>
                <w:rFonts w:hint="eastAsia" w:ascii="宋体" w:hAnsi="宋体" w:cs="宋体"/>
                <w:color w:val="auto"/>
                <w:sz w:val="21"/>
                <w:szCs w:val="21"/>
                <w:highlight w:val="none"/>
                <w:lang w:eastAsia="zh-CN"/>
              </w:rPr>
              <w:t>，具</w:t>
            </w:r>
            <w:r>
              <w:rPr>
                <w:rFonts w:hint="eastAsia" w:ascii="宋体" w:hAnsi="宋体" w:eastAsia="宋体" w:cs="宋体"/>
                <w:color w:val="auto"/>
                <w:sz w:val="21"/>
                <w:szCs w:val="21"/>
                <w:highlight w:val="none"/>
              </w:rPr>
              <w:t>有基本防范合同风险的技术措施，得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0EF2557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（3）合同管理有待完善，措施有待完善的，得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53D76ED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68EE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0A701ED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230" w:type="dxa"/>
            <w:vAlign w:val="center"/>
          </w:tcPr>
          <w:p w14:paraId="13E5DDA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档案整理制度</w:t>
            </w:r>
          </w:p>
        </w:tc>
        <w:tc>
          <w:tcPr>
            <w:tcW w:w="699" w:type="dxa"/>
            <w:vAlign w:val="center"/>
          </w:tcPr>
          <w:p w14:paraId="5C9669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center"/>
          </w:tcPr>
          <w:p w14:paraId="10DA115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（1）对本项目的档案整理提供清晰的方案，能确保在项目竣工验收后及时</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提交项目相应的工程造价相关材料，得5分；</w:t>
            </w:r>
          </w:p>
          <w:p w14:paraId="24ABB27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（2）对项目的档案整理提供了思路及方案，且能在规定的时间内提交工程造价项目材料，但方案需完善的，得4分；</w:t>
            </w:r>
          </w:p>
          <w:p w14:paraId="5AEF9F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（3）提供了对本项目的相应制度，但思维混乱不利于实施，且存在与本项目服务无关的内容，得3分；</w:t>
            </w:r>
          </w:p>
          <w:p w14:paraId="7F100DC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1E7B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2C79F3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230" w:type="dxa"/>
            <w:vAlign w:val="center"/>
          </w:tcPr>
          <w:p w14:paraId="0D91E8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廉政风险预控方案及措施</w:t>
            </w:r>
          </w:p>
        </w:tc>
        <w:tc>
          <w:tcPr>
            <w:tcW w:w="699" w:type="dxa"/>
            <w:vAlign w:val="center"/>
          </w:tcPr>
          <w:p w14:paraId="0B901E9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7409" w:type="dxa"/>
            <w:vAlign w:val="center"/>
          </w:tcPr>
          <w:p w14:paraId="24148FD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（1）措施方案中针对廉政风险预控方案及措施有详细的措施，并提供了相关的管理章程及处罚措施，得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177AE9A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（2）方案中含有廉政风险预控方案及措施，但并未明确的表述出相关的管理章程和处理措施，得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6C605E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（3）提供了相应的方案及措施，但没有有力管理措施，但方案中内容存在与本项目服务无关的内容，得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50E2CA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298B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382B31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230" w:type="dxa"/>
            <w:vAlign w:val="center"/>
          </w:tcPr>
          <w:p w14:paraId="7EC1589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重点和难点分析</w:t>
            </w:r>
            <w:r>
              <w:rPr>
                <w:rFonts w:hint="eastAsia" w:ascii="宋体" w:hAnsi="宋体" w:cs="宋体"/>
                <w:color w:val="auto"/>
                <w:sz w:val="21"/>
                <w:szCs w:val="21"/>
                <w:highlight w:val="none"/>
                <w:lang w:val="en-US" w:eastAsia="zh-CN"/>
              </w:rPr>
              <w:t>及合理化建议</w:t>
            </w:r>
          </w:p>
        </w:tc>
        <w:tc>
          <w:tcPr>
            <w:tcW w:w="699" w:type="dxa"/>
            <w:vAlign w:val="center"/>
          </w:tcPr>
          <w:p w14:paraId="22C559E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center"/>
          </w:tcPr>
          <w:p w14:paraId="5D6ADF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（1）根据本项目的服务范围，详细</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描述了本项目存在的重点、难点，并通过提出相应的措施避免或者解决所述的重点、难点的，得5分；</w:t>
            </w:r>
          </w:p>
          <w:p w14:paraId="25D52C2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（2）根据项目的服务范围，提出了项目存在的重点、难点，但所提出的重点、难点解决措施在实施过程中还有待改进的，得4分；</w:t>
            </w:r>
          </w:p>
          <w:p w14:paraId="051031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（3）提供了对本项目的相应制度，存在缺项漏项且存在与本项目服务无关的内容，得3分；</w:t>
            </w:r>
          </w:p>
          <w:p w14:paraId="0B54C0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73BE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7B9E6F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230" w:type="dxa"/>
            <w:vAlign w:val="center"/>
          </w:tcPr>
          <w:p w14:paraId="79FAA3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公司内控制度、质量控制体系及配合委托方管理措施</w:t>
            </w:r>
          </w:p>
        </w:tc>
        <w:tc>
          <w:tcPr>
            <w:tcW w:w="699" w:type="dxa"/>
            <w:vAlign w:val="center"/>
          </w:tcPr>
          <w:p w14:paraId="475669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center"/>
          </w:tcPr>
          <w:p w14:paraId="005810D7">
            <w:pPr>
              <w:pStyle w:val="152"/>
              <w:keepNext w:val="0"/>
              <w:keepLines w:val="0"/>
              <w:pageBreakBefore w:val="0"/>
              <w:widowControl w:val="0"/>
              <w:kinsoku/>
              <w:wordWrap/>
              <w:overflowPunct/>
              <w:topLinePunct w:val="0"/>
              <w:autoSpaceDE/>
              <w:autoSpaceDN/>
              <w:bidi w:val="0"/>
              <w:adjustRightInd/>
              <w:snapToGrid/>
              <w:spacing w:line="500" w:lineRule="exact"/>
              <w:ind w:left="113" w:right="177"/>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根据各投标人针对本项目制定的公司内控制度、质量控制体系及配合委托方管理措施进行评审：</w:t>
            </w:r>
          </w:p>
          <w:p w14:paraId="13CCE414">
            <w:pPr>
              <w:pStyle w:val="152"/>
              <w:keepNext w:val="0"/>
              <w:keepLines w:val="0"/>
              <w:pageBreakBefore w:val="0"/>
              <w:widowControl w:val="0"/>
              <w:kinsoku/>
              <w:wordWrap/>
              <w:overflowPunct/>
              <w:topLinePunct w:val="0"/>
              <w:autoSpaceDE/>
              <w:autoSpaceDN/>
              <w:bidi w:val="0"/>
              <w:adjustRightInd/>
              <w:snapToGrid/>
              <w:spacing w:line="500" w:lineRule="exact"/>
              <w:ind w:right="102"/>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（1）所制定的措施有效，内容详细、完整，并结合自身经验，给出完善、细致的合理化建议的，得5分；</w:t>
            </w:r>
          </w:p>
          <w:p w14:paraId="74D8D2F3">
            <w:pPr>
              <w:pStyle w:val="152"/>
              <w:keepNext w:val="0"/>
              <w:keepLines w:val="0"/>
              <w:pageBreakBefore w:val="0"/>
              <w:widowControl w:val="0"/>
              <w:kinsoku/>
              <w:wordWrap/>
              <w:overflowPunct/>
              <w:topLinePunct w:val="0"/>
              <w:autoSpaceDE/>
              <w:autoSpaceDN/>
              <w:bidi w:val="0"/>
              <w:adjustRightInd/>
              <w:snapToGrid/>
              <w:spacing w:line="500" w:lineRule="exact"/>
              <w:ind w:right="41"/>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（2）所制定的措施能充分结合项目实际情况，计划合理，并结合自身经验，给出相应合理化建议的，得4分；</w:t>
            </w:r>
          </w:p>
          <w:p w14:paraId="79FC05E4">
            <w:pPr>
              <w:pStyle w:val="152"/>
              <w:keepNext w:val="0"/>
              <w:keepLines w:val="0"/>
              <w:pageBreakBefore w:val="0"/>
              <w:widowControl w:val="0"/>
              <w:kinsoku/>
              <w:wordWrap/>
              <w:overflowPunct/>
              <w:topLinePunct w:val="0"/>
              <w:autoSpaceDE/>
              <w:autoSpaceDN/>
              <w:bidi w:val="0"/>
              <w:adjustRightInd/>
              <w:snapToGrid/>
              <w:spacing w:line="500" w:lineRule="exact"/>
              <w:ind w:right="102"/>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（3）所制定的措施理解与认识不到位或内容有缺失，仍需进一步完善的，得 </w:t>
            </w:r>
            <w:r>
              <w:rPr>
                <w:rFonts w:hint="eastAsia"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分；</w:t>
            </w:r>
          </w:p>
          <w:p w14:paraId="13FECC0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（4）方案不能满足项目实施要求或未提供的不得分。</w:t>
            </w:r>
          </w:p>
        </w:tc>
      </w:tr>
      <w:tr w14:paraId="42C1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780D54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230" w:type="dxa"/>
            <w:vAlign w:val="center"/>
          </w:tcPr>
          <w:p w14:paraId="2EEDD5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审计过程中异常情况分析及预防措施</w:t>
            </w:r>
          </w:p>
        </w:tc>
        <w:tc>
          <w:tcPr>
            <w:tcW w:w="699" w:type="dxa"/>
            <w:vAlign w:val="center"/>
          </w:tcPr>
          <w:p w14:paraId="3D36942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7409" w:type="dxa"/>
            <w:vAlign w:val="center"/>
          </w:tcPr>
          <w:p w14:paraId="05BDF15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根据各投标人提供的针对本项目实际情况制定的审计过程中异常或不合格情况分析及预防措施进行评审：</w:t>
            </w:r>
          </w:p>
          <w:p w14:paraId="091C46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（1）所制定的异常情况分析及预防措施能充分结合项目实际情况计划周密，措施有效，内容详细、完整，能够完全满足采购人对服务 水平和规范管理的要求，并结合自身经验，给出完善、细致的合理化 建议的，得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1188939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（2）所制定的异常情况分析及预 防措施能充分结合项目实际情况，计划合理，能满足采购人对服务水平和规范管理的要求，并结合自身经验，给出相应合理化建议的 ，得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7083F40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（3）对本项目的异常情况分析及 预防措施理解与认识不到位或内容有缺失，仍需进一步完善的，得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6E4E311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145C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11B1F5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230" w:type="dxa"/>
            <w:vAlign w:val="center"/>
          </w:tcPr>
          <w:p w14:paraId="13AAEE4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服务承诺</w:t>
            </w:r>
          </w:p>
        </w:tc>
        <w:tc>
          <w:tcPr>
            <w:tcW w:w="699" w:type="dxa"/>
            <w:vAlign w:val="center"/>
          </w:tcPr>
          <w:p w14:paraId="04CDD3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center"/>
          </w:tcPr>
          <w:p w14:paraId="75E94AE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投标人根据本项目需求</w:t>
            </w:r>
            <w:r>
              <w:rPr>
                <w:rFonts w:hint="eastAsia" w:ascii="宋体" w:hAnsi="宋体" w:cs="宋体"/>
                <w:color w:val="auto"/>
                <w:sz w:val="21"/>
                <w:szCs w:val="21"/>
                <w:highlight w:val="none"/>
                <w:lang w:eastAsia="zh-CN"/>
              </w:rPr>
              <w:t>，有</w:t>
            </w:r>
            <w:r>
              <w:rPr>
                <w:rFonts w:hint="eastAsia" w:ascii="宋体" w:hAnsi="宋体" w:eastAsia="宋体" w:cs="宋体"/>
                <w:color w:val="auto"/>
                <w:sz w:val="21"/>
                <w:szCs w:val="21"/>
                <w:highlight w:val="none"/>
              </w:rPr>
              <w:t>针对性的提出服务承诺及方案，由投标</w:t>
            </w:r>
            <w:r>
              <w:rPr>
                <w:rFonts w:hint="eastAsia" w:ascii="宋体" w:hAnsi="宋体" w:cs="宋体"/>
                <w:color w:val="auto"/>
                <w:sz w:val="21"/>
                <w:szCs w:val="21"/>
                <w:highlight w:val="none"/>
                <w:lang w:eastAsia="zh-CN"/>
              </w:rPr>
              <w:t>小组</w:t>
            </w:r>
            <w:r>
              <w:rPr>
                <w:rFonts w:hint="eastAsia" w:ascii="宋体" w:hAnsi="宋体" w:eastAsia="宋体" w:cs="宋体"/>
                <w:color w:val="auto"/>
                <w:sz w:val="21"/>
                <w:szCs w:val="21"/>
                <w:highlight w:val="none"/>
              </w:rPr>
              <w:t>按下述评分标准进行评审：</w:t>
            </w:r>
          </w:p>
          <w:p w14:paraId="0FB7870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（1）服务承诺详尽细致，有针对本项目提出的内容的得5分；</w:t>
            </w:r>
          </w:p>
          <w:p w14:paraId="737253E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（2）服务承诺内容满足本项目服务内容的得4分；</w:t>
            </w:r>
          </w:p>
          <w:p w14:paraId="182B32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（3）服务承诺内容有缺失，仍需进一步完善的，得3 分；</w:t>
            </w:r>
          </w:p>
          <w:p w14:paraId="0EBF765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（4）方案不能满足项目实施要求或未提供的不得分。</w:t>
            </w:r>
          </w:p>
        </w:tc>
      </w:tr>
      <w:tr w14:paraId="26A9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vAlign w:val="center"/>
          </w:tcPr>
          <w:p w14:paraId="70B25C3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pacing w:val="-2"/>
                <w:sz w:val="21"/>
                <w:szCs w:val="21"/>
                <w:highlight w:val="none"/>
              </w:rPr>
            </w:pPr>
            <w:r>
              <w:rPr>
                <w:rFonts w:hint="eastAsia" w:ascii="宋体" w:hAnsi="宋体" w:eastAsia="宋体" w:cs="宋体"/>
                <w:b/>
                <w:color w:val="auto"/>
                <w:sz w:val="21"/>
                <w:szCs w:val="21"/>
                <w:highlight w:val="none"/>
              </w:rPr>
              <w:t>注：各评委得分的平均值为供应商技术标得分，分值保留两位小数点。</w:t>
            </w:r>
          </w:p>
        </w:tc>
      </w:tr>
    </w:tbl>
    <w:p w14:paraId="7E27354E">
      <w:pPr>
        <w:spacing w:line="440" w:lineRule="exact"/>
        <w:ind w:firstLine="525" w:firstLineChars="250"/>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商务</w:t>
      </w:r>
      <w:r>
        <w:rPr>
          <w:rFonts w:hint="eastAsia" w:ascii="宋体" w:hAnsi="Times New Roman" w:eastAsia="宋体" w:cs="Times New Roman"/>
          <w:color w:val="auto"/>
          <w:szCs w:val="21"/>
          <w:highlight w:val="none"/>
          <w:lang w:val="en-US" w:eastAsia="zh-CN"/>
        </w:rPr>
        <w:t>报价</w:t>
      </w:r>
      <w:r>
        <w:rPr>
          <w:rFonts w:hint="eastAsia" w:ascii="宋体" w:cs="Times New Roman"/>
          <w:color w:val="auto"/>
          <w:szCs w:val="21"/>
          <w:highlight w:val="none"/>
          <w:lang w:val="en-US" w:eastAsia="zh-CN"/>
        </w:rPr>
        <w:t>评分细则</w:t>
      </w:r>
    </w:p>
    <w:tbl>
      <w:tblPr>
        <w:tblStyle w:val="35"/>
        <w:tblW w:w="10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140"/>
        <w:gridCol w:w="8355"/>
      </w:tblGrid>
      <w:tr w14:paraId="254E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47" w:type="dxa"/>
            <w:noWrap w:val="0"/>
            <w:vAlign w:val="center"/>
          </w:tcPr>
          <w:p w14:paraId="27D944D4">
            <w:pPr>
              <w:widowControl/>
              <w:adjustRightInd w:val="0"/>
              <w:snapToGrid w:val="0"/>
              <w:spacing w:line="560" w:lineRule="exact"/>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序号</w:t>
            </w:r>
          </w:p>
        </w:tc>
        <w:tc>
          <w:tcPr>
            <w:tcW w:w="1140" w:type="dxa"/>
            <w:noWrap w:val="0"/>
            <w:vAlign w:val="center"/>
          </w:tcPr>
          <w:p w14:paraId="5A3B6012">
            <w:pPr>
              <w:spacing w:line="560" w:lineRule="exact"/>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分值</w:t>
            </w:r>
          </w:p>
        </w:tc>
        <w:tc>
          <w:tcPr>
            <w:tcW w:w="8355" w:type="dxa"/>
            <w:noWrap w:val="0"/>
            <w:vAlign w:val="center"/>
          </w:tcPr>
          <w:p w14:paraId="5CEDEFF7">
            <w:pPr>
              <w:spacing w:line="560" w:lineRule="exact"/>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评分标准</w:t>
            </w:r>
          </w:p>
        </w:tc>
      </w:tr>
      <w:tr w14:paraId="24C0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noWrap w:val="0"/>
            <w:vAlign w:val="center"/>
          </w:tcPr>
          <w:p w14:paraId="20F4ECB4">
            <w:pPr>
              <w:widowControl/>
              <w:adjustRightInd w:val="0"/>
              <w:snapToGrid w:val="0"/>
              <w:spacing w:line="560" w:lineRule="exact"/>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140" w:type="dxa"/>
            <w:noWrap w:val="0"/>
            <w:vAlign w:val="center"/>
          </w:tcPr>
          <w:p w14:paraId="70D5D5F2">
            <w:pPr>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投标报价（费率）</w:t>
            </w:r>
            <w:r>
              <w:rPr>
                <w:rFonts w:hint="eastAsia" w:ascii="宋体" w:hAnsi="宋体" w:cs="宋体"/>
                <w:color w:val="auto"/>
                <w:szCs w:val="21"/>
                <w:highlight w:val="none"/>
                <w:u w:val="single"/>
                <w:lang w:val="en-US" w:eastAsia="zh-CN"/>
              </w:rPr>
              <w:t>20</w:t>
            </w:r>
            <w:r>
              <w:rPr>
                <w:rFonts w:hint="eastAsia" w:ascii="宋体" w:hAnsi="宋体" w:cs="宋体"/>
                <w:color w:val="auto"/>
                <w:szCs w:val="21"/>
                <w:highlight w:val="none"/>
              </w:rPr>
              <w:t>分</w:t>
            </w:r>
          </w:p>
        </w:tc>
        <w:tc>
          <w:tcPr>
            <w:tcW w:w="8355" w:type="dxa"/>
            <w:noWrap w:val="0"/>
            <w:vAlign w:val="center"/>
          </w:tcPr>
          <w:p w14:paraId="00727DB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评分按下列步骤计算：</w:t>
            </w:r>
          </w:p>
          <w:p w14:paraId="0CA9284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第一步：评标基准价。</w:t>
            </w:r>
          </w:p>
          <w:p w14:paraId="3DF13A8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①评标基准价为计算范围内有效投标人报价的算术平均值。</w:t>
            </w:r>
          </w:p>
          <w:p w14:paraId="07FCCCD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第二步：计算报价偏差率。</w:t>
            </w:r>
          </w:p>
          <w:p w14:paraId="00956C1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①偏差率=|（投标报价-评标基准价）/评标基准价|×100%</w:t>
            </w:r>
          </w:p>
          <w:p w14:paraId="0371481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第三步：计算报价得分</w:t>
            </w:r>
          </w:p>
          <w:p w14:paraId="5F2EE75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①投标报价等于评标基准价的得满分。</w:t>
            </w:r>
          </w:p>
          <w:p w14:paraId="5AF8149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②投标报价高于评标基准价的，投标报价得分=报价满分值-偏差率×100×1</w:t>
            </w:r>
          </w:p>
          <w:p w14:paraId="5A96616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③投标报价低于评标基准价的，投标报价得分=报价满分值-偏差率×100×0.5</w:t>
            </w:r>
          </w:p>
          <w:p w14:paraId="1A716D9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注：</w:t>
            </w:r>
          </w:p>
          <w:p w14:paraId="5ABE28D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1.</w:t>
            </w:r>
            <w:r>
              <w:rPr>
                <w:rFonts w:hint="eastAsia" w:ascii="宋体" w:hAnsi="宋体" w:cs="宋体"/>
                <w:b/>
                <w:bCs/>
                <w:color w:val="auto"/>
                <w:szCs w:val="21"/>
                <w:highlight w:val="none"/>
              </w:rPr>
              <w:t>计算过程中，评标基准价、偏差率、报价得分均保留两位小数，小数点后第三位四舍五入。</w:t>
            </w:r>
          </w:p>
          <w:p w14:paraId="0634B13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color w:val="auto"/>
                <w:highlight w:val="none"/>
              </w:rPr>
            </w:pPr>
            <w:r>
              <w:rPr>
                <w:rFonts w:hint="eastAsia" w:ascii="宋体" w:hAnsi="宋体" w:cs="宋体"/>
                <w:b/>
                <w:bCs/>
                <w:color w:val="auto"/>
                <w:szCs w:val="21"/>
                <w:highlight w:val="none"/>
                <w:lang w:eastAsia="zh-CN"/>
              </w:rPr>
              <w:t>2.</w:t>
            </w:r>
            <w:r>
              <w:rPr>
                <w:rFonts w:hint="eastAsia" w:ascii="宋体" w:hAnsi="宋体" w:cs="宋体"/>
                <w:b/>
                <w:bCs/>
                <w:color w:val="auto"/>
                <w:szCs w:val="21"/>
                <w:highlight w:val="none"/>
              </w:rPr>
              <w:t>本项分值由评标委员会负责组织计算。</w:t>
            </w:r>
          </w:p>
        </w:tc>
      </w:tr>
    </w:tbl>
    <w:p w14:paraId="4BBD8F99">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1"/>
        <w:rPr>
          <w:rFonts w:hint="eastAsia" w:ascii="宋体" w:hAnsi="Times New Roman" w:eastAsia="宋体" w:cs="Times New Roman"/>
          <w:color w:val="auto"/>
          <w:szCs w:val="21"/>
          <w:highlight w:val="none"/>
        </w:rPr>
      </w:pPr>
      <w:r>
        <w:rPr>
          <w:rFonts w:hint="eastAsia" w:ascii="宋体" w:eastAsia="宋体" w:cs="Times New Roman"/>
          <w:color w:val="auto"/>
          <w:szCs w:val="21"/>
          <w:highlight w:val="none"/>
          <w:lang w:val="en-US" w:eastAsia="zh-CN"/>
        </w:rPr>
        <w:t xml:space="preserve">     </w:t>
      </w: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rPr>
        <w:t>评标委员会对满足招标文件实质性要求的投标文件，按照本章规定的评分标准计算得分，并按</w:t>
      </w:r>
      <w:r>
        <w:rPr>
          <w:rFonts w:hint="eastAsia" w:ascii="宋体" w:eastAsia="宋体" w:cs="Times New Roman"/>
          <w:color w:val="auto"/>
          <w:szCs w:val="21"/>
          <w:highlight w:val="none"/>
          <w:lang w:val="en-US" w:eastAsia="zh-CN"/>
        </w:rPr>
        <w:t>总</w:t>
      </w:r>
      <w:r>
        <w:rPr>
          <w:rFonts w:hint="eastAsia" w:ascii="宋体" w:hAnsi="Times New Roman" w:eastAsia="宋体" w:cs="Times New Roman"/>
          <w:color w:val="auto"/>
          <w:szCs w:val="21"/>
          <w:highlight w:val="none"/>
        </w:rPr>
        <w:t>得分由高到低顺序推荐3名中标候</w:t>
      </w:r>
      <w:r>
        <w:rPr>
          <w:rFonts w:hint="eastAsia" w:ascii="宋体" w:cs="Times New Roman"/>
          <w:color w:val="auto"/>
          <w:szCs w:val="21"/>
          <w:highlight w:val="none"/>
          <w:lang w:eastAsia="zh-CN"/>
        </w:rPr>
        <w:t>选人</w:t>
      </w:r>
      <w:r>
        <w:rPr>
          <w:rFonts w:hint="eastAsia" w:ascii="宋体" w:hAnsi="Times New Roman" w:eastAsia="宋体" w:cs="Times New Roman"/>
          <w:color w:val="auto"/>
          <w:szCs w:val="21"/>
          <w:highlight w:val="none"/>
        </w:rPr>
        <w:t>，并标明排序，但投标报价低于其成本的除外。总得分相等，以投标报价低的优先，投标报价仍相等，由评标委员会或招标人随机抽取确定排名。</w:t>
      </w:r>
    </w:p>
    <w:p w14:paraId="3800892F">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1"/>
        <w:rPr>
          <w:rFonts w:hint="eastAsia" w:ascii="宋体" w:hAnsi="Times New Roman" w:eastAsia="宋体" w:cs="Times New Roman"/>
          <w:b/>
          <w:color w:val="auto"/>
          <w:sz w:val="28"/>
          <w:szCs w:val="28"/>
          <w:highlight w:val="none"/>
        </w:rPr>
      </w:pPr>
      <w:r>
        <w:rPr>
          <w:rFonts w:hint="eastAsia" w:ascii="宋体" w:hAnsi="Times New Roman" w:eastAsia="宋体" w:cs="Times New Roman"/>
          <w:b/>
          <w:color w:val="auto"/>
          <w:sz w:val="28"/>
          <w:szCs w:val="28"/>
          <w:highlight w:val="none"/>
        </w:rPr>
        <w:t>五、推荐中标候选人</w:t>
      </w:r>
      <w:bookmarkEnd w:id="58"/>
      <w:bookmarkEnd w:id="59"/>
      <w:bookmarkEnd w:id="60"/>
    </w:p>
    <w:bookmarkEnd w:id="48"/>
    <w:p w14:paraId="2F62E0B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7.评标委员会按总得分由高到低顺序推荐3名中标候</w:t>
      </w:r>
      <w:r>
        <w:rPr>
          <w:rFonts w:hint="eastAsia" w:ascii="宋体" w:cs="Times New Roman"/>
          <w:color w:val="auto"/>
          <w:szCs w:val="21"/>
          <w:highlight w:val="none"/>
          <w:lang w:eastAsia="zh-CN"/>
        </w:rPr>
        <w:t>选人</w:t>
      </w:r>
      <w:r>
        <w:rPr>
          <w:rFonts w:hint="eastAsia" w:ascii="宋体" w:hAnsi="Times New Roman" w:eastAsia="宋体" w:cs="Times New Roman"/>
          <w:color w:val="auto"/>
          <w:szCs w:val="21"/>
          <w:highlight w:val="none"/>
          <w:lang w:eastAsia="zh-CN"/>
        </w:rPr>
        <w:t>。</w:t>
      </w:r>
    </w:p>
    <w:p w14:paraId="32CAA6FF">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7.1如出现总得分相等，以投标报价低的优先，投标报价仍相等，由评标委员会或招标人随机抽取确定排名。</w:t>
      </w:r>
    </w:p>
    <w:p w14:paraId="05DCF2AC">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61"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其投标文件拒收</w:t>
      </w:r>
      <w:r>
        <w:rPr>
          <w:rFonts w:hint="eastAsia" w:ascii="宋体" w:hAnsi="宋体" w:cs="宋体"/>
          <w:color w:val="auto"/>
          <w:szCs w:val="21"/>
          <w:highlight w:val="none"/>
          <w:lang w:eastAsia="zh-CN"/>
        </w:rPr>
        <w:t>：</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所有投标人应在规定时间</w:t>
      </w:r>
      <w:r>
        <w:rPr>
          <w:rFonts w:hint="eastAsia" w:ascii="宋体" w:hAnsi="宋体" w:cs="宋体"/>
          <w:color w:val="auto"/>
          <w:szCs w:val="21"/>
          <w:highlight w:val="none"/>
          <w:lang w:val="en-US" w:eastAsia="zh-CN"/>
        </w:rPr>
        <w:t>内</w:t>
      </w:r>
      <w:r>
        <w:rPr>
          <w:rFonts w:hint="eastAsia" w:ascii="宋体" w:hAnsi="宋体" w:eastAsia="宋体" w:cs="宋体"/>
          <w:color w:val="auto"/>
          <w:szCs w:val="21"/>
          <w:highlight w:val="none"/>
          <w:lang w:val="en-US" w:eastAsia="zh-CN"/>
        </w:rPr>
        <w:t>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cs="宋体"/>
          <w:color w:val="auto"/>
          <w:szCs w:val="21"/>
          <w:highlight w:val="none"/>
        </w:rPr>
        <w:t>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 xml:space="preserve">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(6)不按评标委员会要求澄清、说明或补正的，或者评标委员会根据招标文件的规定对招标文件的计算错误进行修正后，投标人不接受修正的投标报价的。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(7)其它情形，经评标委员会委提出按无效投标处理的；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)其它情形，经评标委员会委提出按无效投标处理的；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1"/>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49"/>
      <w:bookmarkEnd w:id="61"/>
      <w:bookmarkStart w:id="62" w:name="_Toc449028945"/>
      <w:bookmarkStart w:id="63" w:name="_Toc58430329"/>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r>
        <w:rPr>
          <w:rFonts w:hint="eastAsia" w:ascii="宋体"/>
          <w:b/>
          <w:color w:val="auto"/>
          <w:sz w:val="32"/>
          <w:szCs w:val="32"/>
          <w:highlight w:val="none"/>
          <w:lang w:val="en-US" w:eastAsia="zh-CN"/>
        </w:rPr>
        <w:t xml:space="preserve">第四章  </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合同格式（参考）</w:t>
      </w:r>
    </w:p>
    <w:p w14:paraId="16BA1E64">
      <w:pPr>
        <w:widowControl/>
        <w:spacing w:line="400" w:lineRule="exact"/>
        <w:jc w:val="both"/>
        <w:textAlignment w:val="baseline"/>
        <w:outlineLvl w:val="1"/>
        <w:rPr>
          <w:rFonts w:hint="eastAsia" w:ascii="宋体"/>
          <w:b/>
          <w:color w:val="auto"/>
          <w:sz w:val="30"/>
          <w:szCs w:val="30"/>
          <w:highlight w:val="none"/>
        </w:rPr>
      </w:pPr>
    </w:p>
    <w:p w14:paraId="19439049">
      <w:pPr>
        <w:keepNext w:val="0"/>
        <w:keepLines w:val="0"/>
        <w:pageBreakBefore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u w:val="single"/>
          <w:lang w:val="en-US" w:eastAsia="zh-CN"/>
        </w:rPr>
      </w:pPr>
      <w:bookmarkStart w:id="64" w:name="_Toc331685784"/>
      <w:r>
        <w:rPr>
          <w:rFonts w:hint="eastAsia" w:ascii="宋体" w:hAnsi="宋体" w:eastAsia="宋体" w:cs="宋体"/>
          <w:color w:val="auto"/>
          <w:kern w:val="0"/>
          <w:sz w:val="21"/>
          <w:szCs w:val="21"/>
          <w:highlight w:val="none"/>
        </w:rPr>
        <w:t>委托方（甲方）：</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4146C2C1">
      <w:pPr>
        <w:keepNext w:val="0"/>
        <w:keepLines w:val="0"/>
        <w:pageBreakBefore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受托方（乙方）：</w:t>
      </w:r>
      <w:r>
        <w:rPr>
          <w:rFonts w:hint="eastAsia" w:ascii="宋体" w:hAnsi="宋体" w:eastAsia="宋体" w:cs="宋体"/>
          <w:color w:val="auto"/>
          <w:kern w:val="0"/>
          <w:sz w:val="21"/>
          <w:szCs w:val="21"/>
          <w:highlight w:val="none"/>
          <w:u w:val="single"/>
          <w:lang w:val="en-US" w:eastAsia="zh-CN"/>
        </w:rPr>
        <w:t xml:space="preserve">                         </w:t>
      </w:r>
    </w:p>
    <w:p w14:paraId="48FD5BF2">
      <w:pPr>
        <w:keepNext w:val="0"/>
        <w:keepLines w:val="0"/>
        <w:pageBreakBefore w:val="0"/>
        <w:widowControl/>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为保证扬子大道768号园区高低压配电项目</w:t>
      </w:r>
      <w:r>
        <w:rPr>
          <w:rFonts w:hint="eastAsia" w:ascii="宋体" w:hAnsi="宋体" w:cs="宋体"/>
          <w:color w:val="auto"/>
          <w:kern w:val="0"/>
          <w:sz w:val="21"/>
          <w:szCs w:val="21"/>
          <w:highlight w:val="none"/>
          <w:lang w:eastAsia="zh-CN"/>
        </w:rPr>
        <w:t>施工</w:t>
      </w:r>
      <w:r>
        <w:rPr>
          <w:rFonts w:hint="eastAsia" w:ascii="宋体" w:hAnsi="宋体" w:eastAsia="宋体" w:cs="宋体"/>
          <w:color w:val="auto"/>
          <w:kern w:val="0"/>
          <w:sz w:val="21"/>
          <w:szCs w:val="21"/>
          <w:highlight w:val="none"/>
        </w:rPr>
        <w:t>跟踪审计工作质量和效率，依据《中华人民共和国审计法》、《中华人民共和国</w:t>
      </w:r>
      <w:r>
        <w:rPr>
          <w:rFonts w:hint="eastAsia" w:ascii="宋体" w:hAnsi="宋体" w:eastAsia="宋体" w:cs="宋体"/>
          <w:color w:val="auto"/>
          <w:kern w:val="0"/>
          <w:sz w:val="21"/>
          <w:szCs w:val="21"/>
          <w:highlight w:val="none"/>
          <w:lang w:val="en-US" w:eastAsia="zh-CN"/>
        </w:rPr>
        <w:t>民法典</w:t>
      </w:r>
      <w:r>
        <w:rPr>
          <w:rFonts w:hint="eastAsia" w:ascii="宋体" w:hAnsi="宋体" w:eastAsia="宋体" w:cs="宋体"/>
          <w:color w:val="auto"/>
          <w:kern w:val="0"/>
          <w:sz w:val="21"/>
          <w:szCs w:val="21"/>
          <w:highlight w:val="none"/>
        </w:rPr>
        <w:t>》等有关法律法规，甲、乙双方经协商一致，自愿签订本协议。</w:t>
      </w:r>
    </w:p>
    <w:p w14:paraId="6CE25634">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一、跟踪审计项目</w:t>
      </w:r>
    </w:p>
    <w:p w14:paraId="67660F16">
      <w:pPr>
        <w:keepNext w:val="0"/>
        <w:keepLines w:val="0"/>
        <w:pageBreakBefore w:val="0"/>
        <w:kinsoku/>
        <w:wordWrap/>
        <w:overflowPunct/>
        <w:topLinePunct w:val="0"/>
        <w:autoSpaceDE/>
        <w:autoSpaceDN/>
        <w:bidi w:val="0"/>
        <w:snapToGrid w:val="0"/>
        <w:spacing w:line="500" w:lineRule="exact"/>
        <w:ind w:firstLine="57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1.项目名称：</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429F1DC2">
      <w:pPr>
        <w:keepNext w:val="0"/>
        <w:keepLines w:val="0"/>
        <w:pageBreakBefore w:val="0"/>
        <w:kinsoku/>
        <w:wordWrap/>
        <w:overflowPunct/>
        <w:topLinePunct w:val="0"/>
        <w:autoSpaceDE/>
        <w:autoSpaceDN/>
        <w:bidi w:val="0"/>
        <w:snapToGrid w:val="0"/>
        <w:spacing w:line="500" w:lineRule="exact"/>
        <w:ind w:firstLine="57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2.项目投资额：</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p>
    <w:p w14:paraId="00A7EB91">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二、项目跟踪审计内容</w:t>
      </w:r>
    </w:p>
    <w:p w14:paraId="1B6D6B3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1.成立项目跟踪审计组，编制跟踪审计实施方案，确定投资控制目标、重点环节及应对措施； </w:t>
      </w:r>
    </w:p>
    <w:p w14:paraId="782CDB31">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.对承包方上报的请款期已完成合格工程量的计量、计价进行审核，并提供按工程形象进度付款的意见、建议</w:t>
      </w:r>
      <w:r>
        <w:rPr>
          <w:rFonts w:hint="eastAsia" w:ascii="宋体" w:hAnsi="宋体" w:cs="宋体"/>
          <w:color w:val="auto"/>
          <w:sz w:val="21"/>
          <w:szCs w:val="21"/>
          <w:highlight w:val="none"/>
          <w:lang w:eastAsia="zh-CN"/>
        </w:rPr>
        <w:t>；</w:t>
      </w:r>
    </w:p>
    <w:p w14:paraId="1692D799">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.及时核定分阶段完工的项目分部、分项工程价款结算，项目竣工后，及时提交完整的竣工结算审核报告；</w:t>
      </w:r>
    </w:p>
    <w:p w14:paraId="323F7AEC">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.协助甲方及时审核设计变更、经济签证等发生的费用，超过一定限额的，提请甲方履行报批程序；</w:t>
      </w:r>
    </w:p>
    <w:p w14:paraId="5563DB72">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.项目承、发包方发生工程价款结算争议时，为甲方提供咨询意见；</w:t>
      </w:r>
    </w:p>
    <w:p w14:paraId="7D55AA2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.参与项目建设管理的有关会议，对项目投资控制的有关事项发表独立审计意见； </w:t>
      </w:r>
    </w:p>
    <w:p w14:paraId="01623EDD">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7.参与项目询价的一系列相关工作，并为甲方提供咨询意见；</w:t>
      </w:r>
    </w:p>
    <w:p w14:paraId="2390292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.其他与项目投资控制相关的工作。</w:t>
      </w:r>
    </w:p>
    <w:p w14:paraId="287708AF">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三、项目跟踪审计制度及相关要求</w:t>
      </w:r>
    </w:p>
    <w:p w14:paraId="5E081FA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1.滁州市政府投资项目审计“八不准制度”；</w:t>
      </w:r>
    </w:p>
    <w:p w14:paraId="66D6670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2.滁州市政府投资项目竣工结算审计结果备案制度；</w:t>
      </w:r>
    </w:p>
    <w:p w14:paraId="03BC0D1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3.滁州市建设项目施工阶段全过程造价控制管理暂行办法；</w:t>
      </w:r>
    </w:p>
    <w:p w14:paraId="4C598A98">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4.实行定期、分段报告制度。乙方应及时提交项目前期资料审核结果、竣工结算审核报告；</w:t>
      </w:r>
    </w:p>
    <w:p w14:paraId="3820106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5.加强对项目变更事项的合理性、经济性审核。对涉及工程造价的重大事项（如工程造价10万元以上的变更事项和设备、材料询价采购等）须及时书面报告甲方；</w:t>
      </w:r>
    </w:p>
    <w:p w14:paraId="1DB7C0AD">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6.协助甲方完成项目投资控制的各项工作，接受甲方的项目现场管理。</w:t>
      </w:r>
    </w:p>
    <w:p w14:paraId="6DB82069">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四、项目跟踪审计组及人员配备要求</w:t>
      </w:r>
    </w:p>
    <w:p w14:paraId="2814058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1.乙方须成立项目跟踪审计组，配备相应数量具有相关专业执业资质的审计人员（</w:t>
      </w:r>
      <w:r>
        <w:rPr>
          <w:rFonts w:hint="eastAsia" w:ascii="宋体" w:hAnsi="宋体" w:eastAsia="宋体" w:cs="宋体"/>
          <w:color w:val="auto"/>
          <w:sz w:val="21"/>
          <w:szCs w:val="21"/>
          <w:highlight w:val="none"/>
          <w:lang w:val="en-US" w:eastAsia="zh-CN"/>
        </w:rPr>
        <w:t>满足招标文件要求</w:t>
      </w:r>
      <w:r>
        <w:rPr>
          <w:rFonts w:hint="eastAsia" w:ascii="宋体" w:hAnsi="宋体" w:eastAsia="宋体" w:cs="宋体"/>
          <w:color w:val="auto"/>
          <w:sz w:val="21"/>
          <w:szCs w:val="21"/>
          <w:highlight w:val="none"/>
        </w:rPr>
        <w:t>）。本项目审计组负责人为</w:t>
      </w:r>
      <w:r>
        <w:rPr>
          <w:rFonts w:hint="eastAsia" w:ascii="宋体" w:hAnsi="宋体" w:eastAsia="宋体" w:cs="宋体"/>
          <w:color w:val="auto"/>
          <w:sz w:val="21"/>
          <w:szCs w:val="21"/>
          <w:highlight w:val="none"/>
          <w:u w:val="single"/>
        </w:rPr>
        <w:t>姓名、</w:t>
      </w:r>
      <w:r>
        <w:rPr>
          <w:rFonts w:hint="eastAsia" w:ascii="宋体" w:hAnsi="宋体" w:eastAsia="宋体" w:cs="宋体"/>
          <w:color w:val="auto"/>
          <w:sz w:val="21"/>
          <w:szCs w:val="21"/>
          <w:highlight w:val="none"/>
          <w:u w:val="single"/>
          <w:lang w:val="en-US" w:eastAsia="zh-CN"/>
        </w:rPr>
        <w:t>一级注册造价工</w:t>
      </w:r>
      <w:r>
        <w:rPr>
          <w:rFonts w:hint="eastAsia" w:ascii="宋体" w:hAnsi="宋体" w:cs="宋体"/>
          <w:color w:val="auto"/>
          <w:sz w:val="21"/>
          <w:szCs w:val="21"/>
          <w:highlight w:val="none"/>
          <w:u w:val="single"/>
          <w:lang w:val="en-US" w:eastAsia="zh-CN"/>
        </w:rPr>
        <w:t>程师</w:t>
      </w:r>
      <w:r>
        <w:rPr>
          <w:rFonts w:hint="eastAsia" w:ascii="宋体" w:hAnsi="宋体" w:eastAsia="宋体" w:cs="宋体"/>
          <w:color w:val="auto"/>
          <w:sz w:val="21"/>
          <w:szCs w:val="21"/>
          <w:highlight w:val="none"/>
          <w:u w:val="single"/>
        </w:rPr>
        <w:t>证书号、联系电话</w:t>
      </w:r>
      <w:r>
        <w:rPr>
          <w:rFonts w:hint="eastAsia" w:ascii="宋体" w:hAnsi="宋体" w:eastAsia="宋体" w:cs="宋体"/>
          <w:color w:val="auto"/>
          <w:sz w:val="21"/>
          <w:szCs w:val="21"/>
          <w:highlight w:val="none"/>
        </w:rPr>
        <w:t>，成员为</w:t>
      </w:r>
      <w:r>
        <w:rPr>
          <w:rFonts w:hint="eastAsia" w:ascii="宋体" w:hAnsi="宋体" w:eastAsia="宋体" w:cs="宋体"/>
          <w:color w:val="auto"/>
          <w:sz w:val="21"/>
          <w:szCs w:val="21"/>
          <w:highlight w:val="none"/>
          <w:u w:val="single"/>
        </w:rPr>
        <w:t>姓名、</w:t>
      </w:r>
      <w:r>
        <w:rPr>
          <w:rFonts w:hint="eastAsia" w:ascii="宋体" w:hAnsi="宋体" w:eastAsia="宋体" w:cs="宋体"/>
          <w:color w:val="auto"/>
          <w:sz w:val="21"/>
          <w:szCs w:val="21"/>
          <w:highlight w:val="none"/>
          <w:u w:val="single"/>
          <w:lang w:val="en-US" w:eastAsia="zh-CN"/>
        </w:rPr>
        <w:t>一级注册造价</w:t>
      </w:r>
      <w:r>
        <w:rPr>
          <w:rFonts w:hint="eastAsia" w:ascii="宋体" w:hAnsi="宋体" w:cs="宋体"/>
          <w:color w:val="auto"/>
          <w:sz w:val="21"/>
          <w:szCs w:val="21"/>
          <w:highlight w:val="none"/>
          <w:u w:val="single"/>
          <w:lang w:val="en-US" w:eastAsia="zh-CN"/>
        </w:rPr>
        <w:t>工程</w:t>
      </w:r>
      <w:r>
        <w:rPr>
          <w:rFonts w:hint="eastAsia" w:ascii="宋体" w:hAnsi="宋体" w:eastAsia="宋体" w:cs="宋体"/>
          <w:color w:val="auto"/>
          <w:sz w:val="21"/>
          <w:szCs w:val="21"/>
          <w:highlight w:val="none"/>
          <w:u w:val="single"/>
          <w:lang w:val="en-US" w:eastAsia="zh-CN"/>
        </w:rPr>
        <w:t>师或二级注册造价工程师或</w:t>
      </w:r>
      <w:r>
        <w:rPr>
          <w:rFonts w:hint="eastAsia" w:ascii="宋体" w:hAnsi="宋体" w:eastAsia="宋体" w:cs="宋体"/>
          <w:color w:val="auto"/>
          <w:sz w:val="21"/>
          <w:szCs w:val="21"/>
          <w:highlight w:val="none"/>
          <w:u w:val="single"/>
        </w:rPr>
        <w:t>造价员证书号、联系电话</w:t>
      </w:r>
      <w:r>
        <w:rPr>
          <w:rFonts w:hint="eastAsia" w:ascii="宋体" w:hAnsi="宋体" w:eastAsia="宋体" w:cs="宋体"/>
          <w:color w:val="auto"/>
          <w:sz w:val="21"/>
          <w:szCs w:val="21"/>
          <w:highlight w:val="none"/>
        </w:rPr>
        <w:t>；</w:t>
      </w:r>
    </w:p>
    <w:p w14:paraId="32786C8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2.项目审计人员须服从甲方的工作安排，未经甲方许可，乙方不得随意更换、调整审计组人员。</w:t>
      </w:r>
    </w:p>
    <w:p w14:paraId="19ADFBB4">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注：1）</w:t>
      </w:r>
      <w:r>
        <w:rPr>
          <w:rFonts w:hint="eastAsia" w:ascii="宋体" w:hAnsi="宋体" w:eastAsia="宋体" w:cs="宋体"/>
          <w:color w:val="auto"/>
          <w:highlight w:val="none"/>
        </w:rPr>
        <w:t>项目组成员非特殊原因一律不得更换，确需更换的必须经</w:t>
      </w:r>
      <w:r>
        <w:rPr>
          <w:rFonts w:hint="eastAsia" w:ascii="宋体" w:hAnsi="宋体" w:eastAsia="宋体" w:cs="宋体"/>
          <w:color w:val="auto"/>
          <w:highlight w:val="none"/>
          <w:lang w:val="en-US" w:eastAsia="zh-CN"/>
        </w:rPr>
        <w:t>招标人</w:t>
      </w:r>
      <w:r>
        <w:rPr>
          <w:rFonts w:hint="eastAsia" w:ascii="宋体" w:hAnsi="宋体" w:eastAsia="宋体" w:cs="宋体"/>
          <w:color w:val="auto"/>
          <w:highlight w:val="none"/>
        </w:rPr>
        <w:t>认可，更换人员的条件必须高于或等同于原先人员的资历。</w:t>
      </w:r>
      <w:r>
        <w:rPr>
          <w:rFonts w:hint="eastAsia" w:ascii="宋体" w:hAnsi="宋体" w:eastAsia="宋体" w:cs="宋体"/>
          <w:color w:val="auto"/>
          <w:highlight w:val="none"/>
          <w:lang w:val="en-US" w:eastAsia="zh-CN"/>
        </w:rPr>
        <w:t>同时</w:t>
      </w:r>
      <w:r>
        <w:rPr>
          <w:rFonts w:hint="eastAsia" w:ascii="宋体" w:hAnsi="宋体" w:eastAsia="宋体" w:cs="宋体"/>
          <w:color w:val="auto"/>
          <w:highlight w:val="none"/>
        </w:rPr>
        <w:t>项目负责人变更</w:t>
      </w:r>
      <w:r>
        <w:rPr>
          <w:rFonts w:hint="eastAsia" w:ascii="宋体" w:hAnsi="宋体" w:eastAsia="宋体" w:cs="宋体"/>
          <w:color w:val="auto"/>
          <w:highlight w:val="none"/>
          <w:lang w:val="en-US" w:eastAsia="zh-CN"/>
        </w:rPr>
        <w:t>处3000</w:t>
      </w:r>
      <w:r>
        <w:rPr>
          <w:rFonts w:hint="eastAsia" w:ascii="宋体" w:hAnsi="宋体" w:eastAsia="宋体" w:cs="宋体"/>
          <w:color w:val="auto"/>
          <w:highlight w:val="none"/>
        </w:rPr>
        <w:t>元</w:t>
      </w:r>
      <w:r>
        <w:rPr>
          <w:rFonts w:hint="eastAsia" w:ascii="宋体" w:hAnsi="宋体" w:eastAsia="宋体" w:cs="宋体"/>
          <w:color w:val="auto"/>
          <w:highlight w:val="none"/>
          <w:lang w:val="en-US" w:eastAsia="zh-CN"/>
        </w:rPr>
        <w:t>/次违约金</w:t>
      </w:r>
      <w:r>
        <w:rPr>
          <w:rFonts w:hint="eastAsia" w:ascii="宋体" w:hAnsi="宋体" w:eastAsia="宋体" w:cs="宋体"/>
          <w:color w:val="auto"/>
          <w:highlight w:val="none"/>
        </w:rPr>
        <w:t>，项目组其他人员变更处</w:t>
      </w:r>
      <w:r>
        <w:rPr>
          <w:rFonts w:hint="eastAsia" w:ascii="宋体" w:hAnsi="宋体" w:eastAsia="宋体" w:cs="宋体"/>
          <w:color w:val="auto"/>
          <w:highlight w:val="none"/>
          <w:lang w:val="en-US" w:eastAsia="zh-CN"/>
        </w:rPr>
        <w:t>1000</w:t>
      </w:r>
      <w:r>
        <w:rPr>
          <w:rFonts w:hint="eastAsia" w:ascii="宋体" w:hAnsi="宋体" w:eastAsia="宋体" w:cs="宋体"/>
          <w:color w:val="auto"/>
          <w:highlight w:val="none"/>
        </w:rPr>
        <w:t>元</w:t>
      </w:r>
      <w:r>
        <w:rPr>
          <w:rFonts w:hint="eastAsia" w:ascii="宋体" w:hAnsi="宋体" w:eastAsia="宋体" w:cs="宋体"/>
          <w:color w:val="auto"/>
          <w:highlight w:val="none"/>
          <w:lang w:val="en-US" w:eastAsia="zh-CN"/>
        </w:rPr>
        <w:t>/人·次违约金</w:t>
      </w:r>
      <w:r>
        <w:rPr>
          <w:rFonts w:hint="eastAsia" w:ascii="宋体" w:hAnsi="宋体" w:eastAsia="宋体" w:cs="宋体"/>
          <w:color w:val="auto"/>
          <w:highlight w:val="none"/>
        </w:rPr>
        <w:t>。</w:t>
      </w:r>
    </w:p>
    <w:p w14:paraId="27321377">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2）</w:t>
      </w:r>
      <w:r>
        <w:rPr>
          <w:rFonts w:hint="eastAsia" w:ascii="宋体" w:hAnsi="宋体" w:eastAsia="宋体" w:cs="宋体"/>
          <w:color w:val="auto"/>
          <w:highlight w:val="none"/>
        </w:rPr>
        <w:t>项目负责人每</w:t>
      </w:r>
      <w:r>
        <w:rPr>
          <w:rFonts w:hint="eastAsia" w:ascii="宋体" w:hAnsi="宋体" w:eastAsia="宋体" w:cs="宋体"/>
          <w:color w:val="auto"/>
          <w:highlight w:val="none"/>
          <w:lang w:val="en-US" w:eastAsia="zh-CN"/>
        </w:rPr>
        <w:t>周</w:t>
      </w:r>
      <w:r>
        <w:rPr>
          <w:rFonts w:hint="eastAsia" w:ascii="宋体" w:hAnsi="宋体" w:eastAsia="宋体" w:cs="宋体"/>
          <w:color w:val="auto"/>
          <w:highlight w:val="none"/>
        </w:rPr>
        <w:t>在岗不得少于</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天，每天不少于8小时；其他人员每</w:t>
      </w:r>
      <w:r>
        <w:rPr>
          <w:rFonts w:hint="eastAsia" w:ascii="宋体" w:hAnsi="宋体" w:eastAsia="宋体" w:cs="宋体"/>
          <w:color w:val="auto"/>
          <w:highlight w:val="none"/>
          <w:lang w:val="en-US" w:eastAsia="zh-CN"/>
        </w:rPr>
        <w:t>周</w:t>
      </w:r>
      <w:r>
        <w:rPr>
          <w:rFonts w:hint="eastAsia" w:ascii="宋体" w:hAnsi="宋体" w:eastAsia="宋体" w:cs="宋体"/>
          <w:color w:val="auto"/>
          <w:highlight w:val="none"/>
        </w:rPr>
        <w:t>在岗不得少于</w:t>
      </w:r>
      <w:r>
        <w:rPr>
          <w:rFonts w:hint="eastAsia" w:ascii="宋体" w:hAnsi="宋体" w:eastAsia="宋体" w:cs="宋体"/>
          <w:color w:val="auto"/>
          <w:highlight w:val="none"/>
          <w:lang w:val="en-US" w:eastAsia="zh-CN"/>
        </w:rPr>
        <w:t>6天</w:t>
      </w:r>
      <w:r>
        <w:rPr>
          <w:rFonts w:hint="eastAsia" w:ascii="宋体" w:hAnsi="宋体" w:eastAsia="宋体" w:cs="宋体"/>
          <w:color w:val="auto"/>
          <w:highlight w:val="none"/>
        </w:rPr>
        <w:t>，每天不少于8小时；中标人中标后将严格</w:t>
      </w:r>
      <w:r>
        <w:rPr>
          <w:rFonts w:hint="eastAsia" w:ascii="宋体" w:hAnsi="宋体" w:eastAsia="宋体" w:cs="宋体"/>
          <w:color w:val="auto"/>
          <w:highlight w:val="none"/>
          <w:lang w:val="en-US" w:eastAsia="zh-CN"/>
        </w:rPr>
        <w:t>遵</w:t>
      </w:r>
      <w:r>
        <w:rPr>
          <w:rFonts w:hint="eastAsia" w:ascii="宋体" w:hAnsi="宋体" w:eastAsia="宋体" w:cs="宋体"/>
          <w:color w:val="auto"/>
          <w:highlight w:val="none"/>
        </w:rPr>
        <w:t>守</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lang w:eastAsia="zh-CN"/>
        </w:rPr>
        <w:t>文件</w:t>
      </w:r>
      <w:r>
        <w:rPr>
          <w:rFonts w:hint="eastAsia" w:ascii="宋体" w:hAnsi="宋体" w:eastAsia="宋体" w:cs="宋体"/>
          <w:color w:val="auto"/>
          <w:highlight w:val="none"/>
        </w:rPr>
        <w:t>约定的考勤要求，未按规定在岗履责的，</w:t>
      </w:r>
      <w:r>
        <w:rPr>
          <w:rFonts w:hint="eastAsia" w:ascii="宋体" w:hAnsi="宋体" w:eastAsia="宋体" w:cs="宋体"/>
          <w:color w:val="auto"/>
          <w:highlight w:val="none"/>
          <w:lang w:val="en-US" w:eastAsia="zh-CN"/>
        </w:rPr>
        <w:t>项目负责人</w:t>
      </w:r>
      <w:r>
        <w:rPr>
          <w:rFonts w:hint="eastAsia" w:ascii="宋体" w:hAnsi="宋体" w:eastAsia="宋体" w:cs="宋体"/>
          <w:color w:val="auto"/>
          <w:highlight w:val="none"/>
        </w:rPr>
        <w:t>处</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000元/人·天违约金</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项目组其他人员处500元</w:t>
      </w:r>
      <w:r>
        <w:rPr>
          <w:rFonts w:hint="eastAsia" w:ascii="宋体" w:hAnsi="宋体" w:eastAsia="宋体" w:cs="宋体"/>
          <w:color w:val="auto"/>
          <w:highlight w:val="none"/>
        </w:rPr>
        <w:t>/人·天违约金</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项目组成员（含项目负责人）</w:t>
      </w:r>
      <w:r>
        <w:rPr>
          <w:rFonts w:hint="eastAsia" w:ascii="宋体" w:hAnsi="宋体" w:eastAsia="宋体" w:cs="宋体"/>
          <w:color w:val="auto"/>
          <w:highlight w:val="none"/>
        </w:rPr>
        <w:t>离岗必须向</w:t>
      </w:r>
      <w:r>
        <w:rPr>
          <w:rFonts w:hint="eastAsia" w:ascii="宋体" w:hAnsi="宋体" w:eastAsia="宋体" w:cs="宋体"/>
          <w:color w:val="auto"/>
          <w:highlight w:val="none"/>
          <w:lang w:eastAsia="zh-CN"/>
        </w:rPr>
        <w:t>招标人</w:t>
      </w:r>
      <w:r>
        <w:rPr>
          <w:rFonts w:hint="eastAsia" w:ascii="宋体" w:hAnsi="宋体" w:eastAsia="宋体" w:cs="宋体"/>
          <w:color w:val="auto"/>
          <w:highlight w:val="none"/>
        </w:rPr>
        <w:t>履行请假手续，若</w:t>
      </w:r>
      <w:r>
        <w:rPr>
          <w:rFonts w:hint="eastAsia" w:ascii="宋体" w:hAnsi="宋体" w:eastAsia="宋体" w:cs="宋体"/>
          <w:color w:val="auto"/>
          <w:highlight w:val="none"/>
          <w:lang w:eastAsia="zh-CN"/>
        </w:rPr>
        <w:t>招标人</w:t>
      </w:r>
      <w:r>
        <w:rPr>
          <w:rFonts w:hint="eastAsia" w:ascii="宋体" w:hAnsi="宋体" w:eastAsia="宋体" w:cs="宋体"/>
          <w:color w:val="auto"/>
          <w:highlight w:val="none"/>
        </w:rPr>
        <w:t>和相关部</w:t>
      </w:r>
      <w:r>
        <w:rPr>
          <w:rFonts w:hint="eastAsia" w:ascii="宋体" w:hAnsi="宋体" w:cs="宋体"/>
          <w:color w:val="auto"/>
          <w:highlight w:val="none"/>
          <w:lang w:eastAsia="zh-CN"/>
        </w:rPr>
        <w:t>门在</w:t>
      </w:r>
      <w:r>
        <w:rPr>
          <w:rFonts w:hint="eastAsia" w:ascii="宋体" w:hAnsi="宋体" w:eastAsia="宋体" w:cs="宋体"/>
          <w:color w:val="auto"/>
          <w:highlight w:val="none"/>
        </w:rPr>
        <w:t>日常检查和随机抽查中发现不在岗的，又未履行请假手续的，处</w:t>
      </w:r>
      <w:r>
        <w:rPr>
          <w:rFonts w:hint="eastAsia" w:ascii="宋体" w:hAnsi="宋体" w:eastAsia="宋体" w:cs="宋体"/>
          <w:color w:val="auto"/>
          <w:highlight w:val="none"/>
          <w:lang w:val="en-US" w:eastAsia="zh-CN"/>
        </w:rPr>
        <w:t>3000</w:t>
      </w:r>
      <w:r>
        <w:rPr>
          <w:rFonts w:hint="eastAsia" w:ascii="宋体" w:hAnsi="宋体" w:eastAsia="宋体" w:cs="宋体"/>
          <w:color w:val="auto"/>
          <w:highlight w:val="none"/>
        </w:rPr>
        <w:t>元/人·次违约金。</w:t>
      </w:r>
    </w:p>
    <w:p w14:paraId="63025F9F">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3.投标文件中配备人员与现场服务人员须保持一致，如变更，须经招标人认可，同时按要求缴纳违约金。服务期内，针对服务人员存在下列情形之一的，招标人有权单方解除合同，同时履约保证金不予退还。</w:t>
      </w:r>
    </w:p>
    <w:p w14:paraId="7980F3AF">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3.1人员配备不满足要求，须在接到招标人通知后15日内完成整改。未在规定时间内完成整改的；</w:t>
      </w:r>
    </w:p>
    <w:p w14:paraId="25972F2B">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3.2任意人员三次考勤不合格的。</w:t>
      </w:r>
    </w:p>
    <w:p w14:paraId="16D87F5A">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五、项目跟踪审计质量要求</w:t>
      </w:r>
    </w:p>
    <w:p w14:paraId="1DE7A9B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1.甲方对乙方出具的项目竣工结算审核报告进行复审或抽查，审查结果误差按以下办法处理：（1）审查结果误差率在2%以内（含），可按照委托协议约定收取审计服务费用；（2）审查结果误差在</w:t>
      </w:r>
      <w:r>
        <w:rPr>
          <w:rFonts w:hint="eastAsia" w:ascii="宋体" w:hAnsi="宋体" w:cs="宋体"/>
          <w:color w:val="auto"/>
          <w:sz w:val="21"/>
          <w:szCs w:val="21"/>
          <w:highlight w:val="none"/>
          <w:lang w:eastAsia="zh-CN"/>
        </w:rPr>
        <w:t>2%—3%</w:t>
      </w:r>
      <w:r>
        <w:rPr>
          <w:rFonts w:hint="eastAsia" w:ascii="宋体" w:hAnsi="宋体" w:eastAsia="宋体" w:cs="宋体"/>
          <w:color w:val="auto"/>
          <w:sz w:val="21"/>
          <w:szCs w:val="21"/>
          <w:highlight w:val="none"/>
        </w:rPr>
        <w:t>（含）之间，审计服务费用扣除15%；（3）审查结果误差在</w:t>
      </w:r>
      <w:r>
        <w:rPr>
          <w:rFonts w:hint="eastAsia" w:ascii="宋体" w:hAnsi="宋体" w:cs="宋体"/>
          <w:color w:val="auto"/>
          <w:sz w:val="21"/>
          <w:szCs w:val="21"/>
          <w:highlight w:val="none"/>
          <w:lang w:eastAsia="zh-CN"/>
        </w:rPr>
        <w:t>3%—4%</w:t>
      </w:r>
      <w:r>
        <w:rPr>
          <w:rFonts w:hint="eastAsia" w:ascii="宋体" w:hAnsi="宋体" w:eastAsia="宋体" w:cs="宋体"/>
          <w:color w:val="auto"/>
          <w:sz w:val="21"/>
          <w:szCs w:val="21"/>
          <w:highlight w:val="none"/>
        </w:rPr>
        <w:t>（含）之间，审计服务费用扣除30%；（4）审查结果误差超过4%, 全额扣除审计服务费用；</w:t>
      </w:r>
    </w:p>
    <w:p w14:paraId="2EFBE72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2.若乙方出现无证人员执业、挂靠执业、执业人员不到岗等违反国家、省、市相关工程造价管理文件规定，被建设行政主管部门记两次不良行为记录或列入黑名单的，甲方将终止委托审计业务；</w:t>
      </w:r>
    </w:p>
    <w:p w14:paraId="1FC71A4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3.若乙方出现因违背行业准则和规范的行为被司法、纪检、检察、公安、建设行政主管部门等查处的，甲方将终止委托审计业务。</w:t>
      </w:r>
    </w:p>
    <w:p w14:paraId="0890500C">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六、项目跟踪审计服务费用标准及结算方式</w:t>
      </w:r>
    </w:p>
    <w:p w14:paraId="62D94FB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1.项目跟踪审计服务费用标准</w:t>
      </w:r>
    </w:p>
    <w:p w14:paraId="1E50899C">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本项目基本费率为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‰，审核成果费率为：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w:t>
      </w:r>
    </w:p>
    <w:p w14:paraId="79048723">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r>
        <w:rPr>
          <w:rFonts w:hint="eastAsia" w:ascii="宋体" w:hAnsi="宋体" w:eastAsia="宋体" w:cs="宋体"/>
          <w:color w:val="auto"/>
          <w:sz w:val="21"/>
          <w:szCs w:val="21"/>
          <w:highlight w:val="none"/>
          <w:lang w:val="en-US" w:eastAsia="zh-CN"/>
        </w:rPr>
        <w:t>本项目基本费用以项目审定工程造价为计费基础，审核成果费用以项目审减额为计费基础，跟踪审计费用计算方式为：基本费用（项目审定工程造价×中标基本费率）+审核成果费用（项目审减额×审核成果固定费率4.0%）。中标费率不予调整，无论任何原因导致的工期延长，委托</w:t>
      </w:r>
      <w:r>
        <w:rPr>
          <w:rFonts w:hint="eastAsia" w:ascii="宋体" w:hAnsi="宋体" w:cs="宋体"/>
          <w:color w:val="auto"/>
          <w:sz w:val="21"/>
          <w:szCs w:val="21"/>
          <w:highlight w:val="none"/>
          <w:lang w:val="en-US" w:eastAsia="zh-CN"/>
        </w:rPr>
        <w:t>方</w:t>
      </w:r>
      <w:r>
        <w:rPr>
          <w:rFonts w:hint="eastAsia" w:ascii="宋体" w:hAnsi="宋体" w:eastAsia="宋体" w:cs="宋体"/>
          <w:color w:val="auto"/>
          <w:sz w:val="21"/>
          <w:szCs w:val="21"/>
          <w:highlight w:val="none"/>
          <w:lang w:val="en-US" w:eastAsia="zh-CN"/>
        </w:rPr>
        <w:t>均不再增加服务费用，</w:t>
      </w:r>
      <w:r>
        <w:rPr>
          <w:rFonts w:hint="eastAsia" w:ascii="宋体" w:hAnsi="宋体" w:cs="宋体"/>
          <w:color w:val="auto"/>
          <w:sz w:val="21"/>
          <w:szCs w:val="21"/>
          <w:highlight w:val="none"/>
          <w:lang w:val="en-US" w:eastAsia="zh-CN"/>
        </w:rPr>
        <w:t>委托方</w:t>
      </w:r>
      <w:r>
        <w:rPr>
          <w:rFonts w:hint="eastAsia" w:ascii="宋体" w:hAnsi="宋体" w:eastAsia="宋体" w:cs="宋体"/>
          <w:color w:val="auto"/>
          <w:sz w:val="21"/>
          <w:szCs w:val="21"/>
          <w:highlight w:val="none"/>
          <w:lang w:val="en-US" w:eastAsia="zh-CN"/>
        </w:rPr>
        <w:t>不再另行支付其他任何费用</w:t>
      </w:r>
      <w:r>
        <w:rPr>
          <w:rFonts w:hint="eastAsia" w:ascii="宋体" w:hAnsi="宋体" w:eastAsia="宋体" w:cs="宋体"/>
          <w:color w:val="auto"/>
          <w:sz w:val="21"/>
          <w:szCs w:val="21"/>
          <w:highlight w:val="none"/>
        </w:rPr>
        <w:t>。</w:t>
      </w:r>
    </w:p>
    <w:p w14:paraId="1CF34877">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2.项目跟踪审计费用结算方式</w:t>
      </w:r>
    </w:p>
    <w:p w14:paraId="5FBCF0DC">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（1）工程竣工验收合格后付至基本费用（即</w:t>
      </w:r>
      <w:r>
        <w:rPr>
          <w:rFonts w:hint="eastAsia" w:ascii="宋体" w:hAnsi="宋体" w:cs="宋体"/>
          <w:color w:val="auto"/>
          <w:sz w:val="21"/>
          <w:szCs w:val="21"/>
          <w:highlight w:val="none"/>
          <w:lang w:val="en-US" w:eastAsia="zh-CN"/>
        </w:rPr>
        <w:t>已完合格工程量价款</w:t>
      </w:r>
      <w:r>
        <w:rPr>
          <w:rFonts w:hint="eastAsia" w:ascii="宋体" w:hAnsi="宋体" w:cs="宋体"/>
          <w:color w:val="auto"/>
          <w:sz w:val="21"/>
          <w:szCs w:val="21"/>
          <w:highlight w:val="none"/>
          <w:lang w:val="en-US" w:eastAsia="zh-CN"/>
        </w:rPr>
        <w:t>*中标基本费率）的80%，中标人向招标人提交完整的工程结算审核报告和相关结算资料，经复核后一次性付清本项目剩余跟踪审计服务费（即基本费用（项目审定工程造价*中标基本费率）+审核成果费用（项目审减额*审核成果固定费率4%）－已支付跟踪审计基本费）。</w:t>
      </w:r>
    </w:p>
    <w:p w14:paraId="5A966EF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（2）乙方未按要求完成跟踪审计工作并移交相关资料，甲方有权拒付审计服务费用，并按照《政府投资项目跟踪审计协审机构跟踪审计工作考核办法》的有关规定追究项目协审机构相关责任。</w:t>
      </w:r>
    </w:p>
    <w:p w14:paraId="66C4FDE5">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七、项目跟踪审计工作考核奖惩</w:t>
      </w:r>
    </w:p>
    <w:p w14:paraId="7115D8F2">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1.及时提出整改和加强管理的合理化建议得到采纳，对节约政府投资产生明显效果的，给予0.5万元-3万元的奖励；</w:t>
      </w:r>
    </w:p>
    <w:p w14:paraId="5F569C2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2.发现案件线索并经</w:t>
      </w:r>
      <w:r>
        <w:rPr>
          <w:rFonts w:hint="eastAsia" w:ascii="宋体" w:hAnsi="宋体" w:cs="宋体"/>
          <w:color w:val="auto"/>
          <w:sz w:val="21"/>
          <w:szCs w:val="21"/>
          <w:highlight w:val="none"/>
          <w:lang w:eastAsia="zh-CN"/>
        </w:rPr>
        <w:t>纪检监察机关</w:t>
      </w:r>
      <w:r>
        <w:rPr>
          <w:rFonts w:hint="eastAsia" w:ascii="宋体" w:hAnsi="宋体" w:eastAsia="宋体" w:cs="宋体"/>
          <w:color w:val="auto"/>
          <w:sz w:val="21"/>
          <w:szCs w:val="21"/>
          <w:highlight w:val="none"/>
        </w:rPr>
        <w:t>等立案查实的，根据案值大小和性质情节，给予1万元－10万元的奖励；</w:t>
      </w:r>
    </w:p>
    <w:p w14:paraId="674E7CE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3.经核实，乙方有下列情形之一的，甲方可对乙方警告、扣减审计服务费用、终止审计委托协议等：</w:t>
      </w:r>
    </w:p>
    <w:p w14:paraId="5B53C1BC">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（1）工程结算审核报告存在重大失误或质量低劣；</w:t>
      </w:r>
    </w:p>
    <w:p w14:paraId="1E42CF71">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（2）因自身工作错误或过失造成重大损失；</w:t>
      </w:r>
    </w:p>
    <w:p w14:paraId="751D1A3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（3）未经允许私自向施工单位透露审核情况或信息；</w:t>
      </w:r>
    </w:p>
    <w:p w14:paraId="1D5B9F0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（4）向相关单位或个人索要财物等谋取不正当利益；</w:t>
      </w:r>
    </w:p>
    <w:p w14:paraId="6831558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（5）单独或与其他各方串通舞弊、弄虚作假虚增；</w:t>
      </w:r>
    </w:p>
    <w:p w14:paraId="26F6EAB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（6）其他违反法律法规和政策的行为。</w:t>
      </w:r>
    </w:p>
    <w:p w14:paraId="3A319EF4">
      <w:pPr>
        <w:keepNext w:val="0"/>
        <w:keepLines w:val="0"/>
        <w:pageBreakBefore w:val="0"/>
        <w:kinsoku/>
        <w:wordWrap/>
        <w:overflowPunct/>
        <w:topLinePunct w:val="0"/>
        <w:autoSpaceDE/>
        <w:autoSpaceDN/>
        <w:bidi w:val="0"/>
        <w:snapToGrid w:val="0"/>
        <w:spacing w:line="500" w:lineRule="exact"/>
        <w:ind w:firstLine="48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4"/>
          <w:szCs w:val="24"/>
          <w:highlight w:val="none"/>
        </w:rPr>
        <w:t>八、甲乙双方的权利和义务</w:t>
      </w:r>
      <w:r>
        <w:rPr>
          <w:rFonts w:hint="eastAsia" w:ascii="宋体" w:hAnsi="宋体" w:eastAsia="宋体" w:cs="宋体"/>
          <w:color w:val="auto"/>
          <w:sz w:val="21"/>
          <w:szCs w:val="21"/>
          <w:highlight w:val="none"/>
        </w:rPr>
        <w:t xml:space="preserve"> </w:t>
      </w:r>
    </w:p>
    <w:p w14:paraId="7FB6F84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1.甲方权利和义务 </w:t>
      </w:r>
    </w:p>
    <w:p w14:paraId="239959E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（1）甲方有权对乙方的跟踪审计项目实施监督，对乙方审计工作程序、质量和效率等进行检查考核；</w:t>
      </w:r>
    </w:p>
    <w:p w14:paraId="5890273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（2）项目跟踪审计过程中，甲方如发现乙方所派审计人员不符合要求或不能胜任岗位工作职责的，甲方有权要求乙方及时调换，或视情况给予相应的处理、处罚；</w:t>
      </w:r>
    </w:p>
    <w:p w14:paraId="162F9FE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（3）甲方保证乙方审计服务费用的按时到位。</w:t>
      </w:r>
    </w:p>
    <w:p w14:paraId="5840093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2.乙方权利和义务</w:t>
      </w:r>
    </w:p>
    <w:p w14:paraId="57AE014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（1）乙方在完成审计任务后，有权及时取得审计服务费用；</w:t>
      </w:r>
    </w:p>
    <w:p w14:paraId="4724507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（2）乙方须依照甲方工作要求及行业准则、规范，按时、保质、保量完成所承担的审计任务；</w:t>
      </w:r>
    </w:p>
    <w:p w14:paraId="2B063F51">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（3）乙方必须对审计人员进行廉政教育，如发现有违反廉洁自律规定的行为，应立即更换人员，并对其严肃处理。同时，甲方可根据性质及情节，扣减相应审计服务费用。</w:t>
      </w:r>
    </w:p>
    <w:p w14:paraId="2EEF4232">
      <w:pPr>
        <w:keepNext w:val="0"/>
        <w:keepLines w:val="0"/>
        <w:pageBreakBefore w:val="0"/>
        <w:kinsoku/>
        <w:wordWrap/>
        <w:overflowPunct/>
        <w:topLinePunct w:val="0"/>
        <w:autoSpaceDE/>
        <w:autoSpaceDN/>
        <w:bidi w:val="0"/>
        <w:snapToGrid w:val="0"/>
        <w:spacing w:line="500" w:lineRule="exact"/>
        <w:ind w:firstLine="482" w:firstLineChars="20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九、其他要求</w:t>
      </w:r>
    </w:p>
    <w:p w14:paraId="306385F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在项目实施过程中，跟踪审计单位已指定的跟踪审计组成人员原则上不得变更；遇特殊情况，确需变更的，必须提交书面变更材料</w:t>
      </w:r>
      <w:r>
        <w:rPr>
          <w:rFonts w:hint="eastAsia" w:ascii="宋体" w:hAnsi="宋体" w:cs="宋体"/>
          <w:color w:val="auto"/>
          <w:sz w:val="21"/>
          <w:szCs w:val="21"/>
          <w:highlight w:val="none"/>
          <w:lang w:val="en-US" w:eastAsia="zh-CN"/>
        </w:rPr>
        <w:t>报经</w:t>
      </w:r>
      <w:r>
        <w:rPr>
          <w:rFonts w:hint="default" w:ascii="宋体" w:hAnsi="宋体" w:eastAsia="宋体" w:cs="宋体"/>
          <w:color w:val="auto"/>
          <w:sz w:val="21"/>
          <w:szCs w:val="21"/>
          <w:highlight w:val="none"/>
          <w:lang w:val="en-US" w:eastAsia="zh-CN"/>
        </w:rPr>
        <w:t>招标人及有关部门批准同意，但同时按下列标准进行违约处罚：</w:t>
      </w:r>
    </w:p>
    <w:p w14:paraId="5D2A4C8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若变更项目负责人的，直接处罚跟踪审计单位</w:t>
      </w:r>
      <w:r>
        <w:rPr>
          <w:rFonts w:hint="eastAsia" w:ascii="宋体" w:hAnsi="宋体" w:cs="宋体"/>
          <w:color w:val="auto"/>
          <w:sz w:val="21"/>
          <w:szCs w:val="21"/>
          <w:highlight w:val="none"/>
          <w:lang w:val="en-US" w:eastAsia="zh-CN"/>
        </w:rPr>
        <w:t>0.3</w:t>
      </w:r>
      <w:r>
        <w:rPr>
          <w:rFonts w:hint="default" w:ascii="宋体" w:hAnsi="宋体" w:eastAsia="宋体" w:cs="宋体"/>
          <w:color w:val="auto"/>
          <w:sz w:val="21"/>
          <w:szCs w:val="21"/>
          <w:highlight w:val="none"/>
          <w:lang w:val="en-US" w:eastAsia="zh-CN"/>
        </w:rPr>
        <w:t>万元/次的违约金。</w:t>
      </w:r>
    </w:p>
    <w:p w14:paraId="0657EFCB">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若变更</w:t>
      </w:r>
      <w:r>
        <w:rPr>
          <w:rFonts w:hint="eastAsia" w:ascii="宋体" w:hAnsi="宋体" w:cs="宋体"/>
          <w:color w:val="auto"/>
          <w:sz w:val="21"/>
          <w:szCs w:val="21"/>
          <w:highlight w:val="none"/>
          <w:lang w:val="en-US" w:eastAsia="zh-CN"/>
        </w:rPr>
        <w:t>技术负责人及其他成员</w:t>
      </w:r>
      <w:r>
        <w:rPr>
          <w:rFonts w:hint="default" w:ascii="宋体" w:hAnsi="宋体" w:eastAsia="宋体" w:cs="宋体"/>
          <w:color w:val="auto"/>
          <w:sz w:val="21"/>
          <w:szCs w:val="21"/>
          <w:highlight w:val="none"/>
          <w:lang w:val="en-US" w:eastAsia="zh-CN"/>
        </w:rPr>
        <w:t>的，直接处罚跟踪审计单位</w:t>
      </w:r>
      <w:r>
        <w:rPr>
          <w:rFonts w:hint="eastAsia" w:ascii="宋体" w:hAnsi="宋体" w:cs="宋体"/>
          <w:color w:val="auto"/>
          <w:sz w:val="21"/>
          <w:szCs w:val="21"/>
          <w:highlight w:val="none"/>
          <w:lang w:val="en-US" w:eastAsia="zh-CN"/>
        </w:rPr>
        <w:t>0.1</w:t>
      </w:r>
      <w:r>
        <w:rPr>
          <w:rFonts w:hint="default" w:ascii="宋体" w:hAnsi="宋体" w:eastAsia="宋体" w:cs="宋体"/>
          <w:color w:val="auto"/>
          <w:sz w:val="21"/>
          <w:szCs w:val="21"/>
          <w:highlight w:val="none"/>
          <w:lang w:val="en-US" w:eastAsia="zh-CN"/>
        </w:rPr>
        <w:t>万元/人•次的违约金。</w:t>
      </w:r>
    </w:p>
    <w:p w14:paraId="344EDF1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若跟踪审计单位出现下列情形之一的，则</w:t>
      </w:r>
      <w:r>
        <w:rPr>
          <w:rFonts w:hint="eastAsia" w:ascii="宋体" w:hAnsi="宋体" w:cs="宋体"/>
          <w:color w:val="auto"/>
          <w:sz w:val="21"/>
          <w:szCs w:val="21"/>
          <w:highlight w:val="none"/>
          <w:lang w:val="en-US" w:eastAsia="zh-CN"/>
        </w:rPr>
        <w:t>甲方</w:t>
      </w:r>
      <w:r>
        <w:rPr>
          <w:rFonts w:hint="default" w:ascii="宋体" w:hAnsi="宋体" w:eastAsia="宋体" w:cs="宋体"/>
          <w:color w:val="auto"/>
          <w:sz w:val="21"/>
          <w:szCs w:val="21"/>
          <w:highlight w:val="none"/>
          <w:lang w:val="en-US" w:eastAsia="zh-CN"/>
        </w:rPr>
        <w:t>可</w:t>
      </w:r>
      <w:bookmarkStart w:id="71" w:name="_GoBack"/>
      <w:r>
        <w:rPr>
          <w:rFonts w:hint="eastAsia" w:ascii="宋体" w:hAnsi="宋体" w:cs="宋体"/>
          <w:color w:val="auto"/>
          <w:sz w:val="21"/>
          <w:szCs w:val="21"/>
          <w:highlight w:val="none"/>
          <w:lang w:val="en-US" w:eastAsia="zh-CN"/>
        </w:rPr>
        <w:t>终止合同</w:t>
      </w:r>
      <w:bookmarkEnd w:id="71"/>
      <w:r>
        <w:rPr>
          <w:rFonts w:hint="default" w:ascii="宋体" w:hAnsi="宋体" w:eastAsia="宋体" w:cs="宋体"/>
          <w:color w:val="auto"/>
          <w:sz w:val="21"/>
          <w:szCs w:val="21"/>
          <w:highlight w:val="none"/>
          <w:lang w:val="en-US" w:eastAsia="zh-CN"/>
        </w:rPr>
        <w:t>，同时将该跟踪审计单位上报至行业主管部门和同 级相关部门，列入黑名单，并按规定进行处罚：</w:t>
      </w:r>
    </w:p>
    <w:p w14:paraId="2FBA6E8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跟踪审计单位未经招标人批准随意变更跟踪审计组成人员的；</w:t>
      </w:r>
    </w:p>
    <w:p w14:paraId="6A119082">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跟踪审计单位随意停止本项目跟踪审计工作的；</w:t>
      </w:r>
    </w:p>
    <w:p w14:paraId="3E8E3FBC">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跟踪审计单位及人员存在违规违法行为的，并给招标人造成经济损失的。</w:t>
      </w:r>
    </w:p>
    <w:p w14:paraId="560C416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招标文件中要求的人员为最低配置，根据项目情况招标人有权对人数或专业技术人员配备进行调整。</w:t>
      </w:r>
    </w:p>
    <w:p w14:paraId="6D74748B">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跟踪审计单位必须有良好的社会信誉，须具备保证审计服务质量的审计管理体系。</w:t>
      </w:r>
    </w:p>
    <w:p w14:paraId="4F2C386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在建设过程中，跟踪审计单位必须按</w:t>
      </w:r>
      <w:r>
        <w:rPr>
          <w:rFonts w:hint="eastAsia" w:ascii="宋体" w:hAnsi="宋体" w:cs="宋体"/>
          <w:color w:val="auto"/>
          <w:sz w:val="21"/>
          <w:szCs w:val="21"/>
          <w:highlight w:val="none"/>
          <w:lang w:val="en-US" w:eastAsia="zh-CN"/>
        </w:rPr>
        <w:t>相应</w:t>
      </w:r>
      <w:r>
        <w:rPr>
          <w:rFonts w:hint="default" w:ascii="宋体" w:hAnsi="宋体" w:eastAsia="宋体" w:cs="宋体"/>
          <w:color w:val="auto"/>
          <w:sz w:val="21"/>
          <w:szCs w:val="21"/>
          <w:highlight w:val="none"/>
          <w:lang w:val="en-US" w:eastAsia="zh-CN"/>
        </w:rPr>
        <w:t>承诺配备人员并及时到位。配备的专业人员未经招标人同意，不得擅自更换或者减少。</w:t>
      </w:r>
    </w:p>
    <w:p w14:paraId="6719818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default" w:ascii="宋体" w:hAnsi="宋体" w:eastAsia="宋体" w:cs="宋体"/>
          <w:color w:val="auto"/>
          <w:sz w:val="21"/>
          <w:szCs w:val="21"/>
          <w:highlight w:val="none"/>
          <w:lang w:val="en-US" w:eastAsia="zh-CN"/>
        </w:rPr>
        <w:t>要求审计人员常驻现场，按照招标人要求的时间驻场，及时对招标人要求审计的内容进行跟踪审计，并根据工程需要加班服务，招标人在施工现场提供办公场所，办公设备由中标人自备。</w:t>
      </w:r>
    </w:p>
    <w:p w14:paraId="63E1446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跟踪审计单位在项目审计中，凡因工作需要</w:t>
      </w:r>
      <w:r>
        <w:rPr>
          <w:rFonts w:hint="eastAsia" w:ascii="宋体" w:hAnsi="宋体" w:cs="宋体"/>
          <w:color w:val="auto"/>
          <w:sz w:val="21"/>
          <w:szCs w:val="21"/>
          <w:highlight w:val="none"/>
          <w:lang w:val="en-US" w:eastAsia="zh-CN"/>
        </w:rPr>
        <w:t>查看</w:t>
      </w:r>
      <w:r>
        <w:rPr>
          <w:rFonts w:hint="default" w:ascii="宋体" w:hAnsi="宋体" w:eastAsia="宋体" w:cs="宋体"/>
          <w:color w:val="auto"/>
          <w:sz w:val="21"/>
          <w:szCs w:val="21"/>
          <w:highlight w:val="none"/>
          <w:lang w:val="en-US" w:eastAsia="zh-CN"/>
        </w:rPr>
        <w:t>施工现场和对账，须经招标人同意。遇较大争议问题需与施工等单位商谈，必须向招标人报告，在招标人的主持下协调会商，不得私自与被审计单位商定。</w:t>
      </w:r>
    </w:p>
    <w:p w14:paraId="25B71C6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按资料签收单从招标人项目联系人</w:t>
      </w:r>
      <w:r>
        <w:rPr>
          <w:rFonts w:hint="eastAsia" w:ascii="宋体" w:hAnsi="宋体" w:cs="宋体"/>
          <w:color w:val="auto"/>
          <w:sz w:val="21"/>
          <w:szCs w:val="21"/>
          <w:highlight w:val="none"/>
          <w:lang w:val="en-US" w:eastAsia="zh-CN"/>
        </w:rPr>
        <w:t>接收</w:t>
      </w:r>
      <w:r>
        <w:rPr>
          <w:rFonts w:hint="default" w:ascii="宋体" w:hAnsi="宋体" w:eastAsia="宋体" w:cs="宋体"/>
          <w:color w:val="auto"/>
          <w:sz w:val="21"/>
          <w:szCs w:val="21"/>
          <w:highlight w:val="none"/>
          <w:lang w:val="en-US" w:eastAsia="zh-CN"/>
        </w:rPr>
        <w:t>工程审计资料</w:t>
      </w:r>
      <w:r>
        <w:rPr>
          <w:rFonts w:hint="eastAsia" w:ascii="宋体" w:hAnsi="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不得私自接受设计、监理、施工单位任何形式的补充资料，需要补充审计资料时，须通过招标人项目联系人获取。</w:t>
      </w:r>
    </w:p>
    <w:p w14:paraId="42A56D6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r>
        <w:rPr>
          <w:rFonts w:hint="default" w:ascii="宋体" w:hAnsi="宋体" w:eastAsia="宋体" w:cs="宋体"/>
          <w:color w:val="auto"/>
          <w:sz w:val="21"/>
          <w:szCs w:val="21"/>
          <w:highlight w:val="none"/>
          <w:lang w:val="en-US" w:eastAsia="zh-CN"/>
        </w:rPr>
        <w:t>跟踪审计单位参审人员与被审计事项相关的单位和个人有利害关系的，该人员应当主动回避；跟踪审计单位主要负责人与被审计单位及与被审计事项相关的单位和个人有利害关系的，跟踪审计单位应当主动回避；跟踪审计单位参与同包项目其他如设计、招标代理、结算编制等的任一环节业务的，应当主动回避。否则一经发现即终止与跟踪审计单位的委托业务，产生后果的追究相应责任。</w:t>
      </w:r>
    </w:p>
    <w:p w14:paraId="2C81DAC9">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b/>
          <w:bCs/>
          <w:color w:val="auto"/>
          <w:sz w:val="24"/>
          <w:szCs w:val="24"/>
          <w:highlight w:val="none"/>
        </w:rPr>
      </w:pPr>
      <w:r>
        <w:rPr>
          <w:rFonts w:hint="eastAsia" w:ascii="宋体" w:hAnsi="宋体" w:cs="宋体"/>
          <w:color w:val="auto"/>
          <w:sz w:val="21"/>
          <w:szCs w:val="21"/>
          <w:highlight w:val="none"/>
          <w:lang w:val="en-US" w:eastAsia="zh-CN"/>
        </w:rPr>
        <w:t>10.</w:t>
      </w:r>
      <w:r>
        <w:rPr>
          <w:rFonts w:hint="default" w:ascii="宋体" w:hAnsi="宋体" w:eastAsia="宋体" w:cs="宋体"/>
          <w:color w:val="auto"/>
          <w:sz w:val="21"/>
          <w:szCs w:val="21"/>
          <w:highlight w:val="none"/>
          <w:lang w:val="en-US" w:eastAsia="zh-CN"/>
        </w:rPr>
        <w:t>跟踪审计单位须审计项目资料只能由经指定的评审人员阅读，不能对其他人员泄漏。审计中涉及的项目所有资料不能在招标人未认可的场合进行交流。跟踪审计单位应当在出具审核报告的同时，将审计实施过程中所形成的全部纸质原件和电子资料，按招标人档案管理要求及时立卷归档，移交招标人。不得将其用于与所审计事项无关的目的，不得对外公开、公布。</w:t>
      </w:r>
    </w:p>
    <w:p w14:paraId="18BB5CAD">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、附则</w:t>
      </w:r>
    </w:p>
    <w:p w14:paraId="1328174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1.本协议一式</w:t>
      </w:r>
      <w:r>
        <w:rPr>
          <w:rFonts w:hint="eastAsia" w:ascii="宋体" w:hAnsi="宋体" w:eastAsia="宋体" w:cs="宋体"/>
          <w:color w:val="auto"/>
          <w:sz w:val="21"/>
          <w:szCs w:val="21"/>
          <w:highlight w:val="none"/>
          <w:lang w:val="en-US" w:eastAsia="zh-CN"/>
        </w:rPr>
        <w:t>伍</w:t>
      </w:r>
      <w:r>
        <w:rPr>
          <w:rFonts w:hint="eastAsia" w:ascii="宋体" w:hAnsi="宋体" w:eastAsia="宋体" w:cs="宋体"/>
          <w:color w:val="auto"/>
          <w:sz w:val="21"/>
          <w:szCs w:val="21"/>
          <w:highlight w:val="none"/>
        </w:rPr>
        <w:t>份，具有同等法律效力，甲方、乙方各执</w:t>
      </w:r>
      <w:r>
        <w:rPr>
          <w:rFonts w:hint="eastAsia" w:ascii="宋体" w:hAnsi="宋体" w:eastAsia="宋体" w:cs="宋体"/>
          <w:color w:val="auto"/>
          <w:sz w:val="21"/>
          <w:szCs w:val="21"/>
          <w:highlight w:val="none"/>
          <w:lang w:eastAsia="zh-CN"/>
        </w:rPr>
        <w:t>贰</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市公管局一份</w:t>
      </w:r>
      <w:r>
        <w:rPr>
          <w:rFonts w:hint="eastAsia" w:ascii="宋体" w:hAnsi="宋体" w:eastAsia="宋体" w:cs="宋体"/>
          <w:color w:val="auto"/>
          <w:sz w:val="21"/>
          <w:szCs w:val="21"/>
          <w:highlight w:val="none"/>
        </w:rPr>
        <w:t>。</w:t>
      </w:r>
    </w:p>
    <w:p w14:paraId="4F0E7B2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2.本协议未尽事宜，由甲乙双方协商解决。协商不成，可向滁州市南谯区人民法院提起诉讼。</w:t>
      </w:r>
    </w:p>
    <w:p w14:paraId="378D7BD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3.本合同自双方签章后生效。</w:t>
      </w:r>
    </w:p>
    <w:p w14:paraId="3E684E14">
      <w:pPr>
        <w:keepNext w:val="0"/>
        <w:keepLines w:val="0"/>
        <w:pageBreakBefore w:val="0"/>
        <w:kinsoku/>
        <w:wordWrap/>
        <w:overflowPunct/>
        <w:topLinePunct w:val="0"/>
        <w:autoSpaceDE/>
        <w:autoSpaceDN/>
        <w:bidi w:val="0"/>
        <w:spacing w:line="500" w:lineRule="exact"/>
        <w:ind w:firstLine="1680" w:firstLineChars="800"/>
        <w:jc w:val="left"/>
        <w:textAlignment w:val="auto"/>
        <w:rPr>
          <w:rFonts w:hint="eastAsia" w:ascii="宋体" w:hAnsi="宋体" w:eastAsia="宋体" w:cs="宋体"/>
          <w:color w:val="auto"/>
          <w:sz w:val="21"/>
          <w:szCs w:val="21"/>
          <w:highlight w:val="none"/>
        </w:rPr>
      </w:pPr>
    </w:p>
    <w:p w14:paraId="44B6E4D4">
      <w:pPr>
        <w:keepNext w:val="0"/>
        <w:keepLines w:val="0"/>
        <w:pageBreakBefore w:val="0"/>
        <w:kinsoku/>
        <w:wordWrap/>
        <w:overflowPunct/>
        <w:topLinePunct w:val="0"/>
        <w:autoSpaceDE/>
        <w:autoSpaceDN/>
        <w:bidi w:val="0"/>
        <w:spacing w:line="500" w:lineRule="exact"/>
        <w:ind w:firstLine="1680" w:firstLineChars="8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甲方（签章）                   乙方（签章）</w:t>
      </w:r>
    </w:p>
    <w:p w14:paraId="5E6B3A2D">
      <w:pPr>
        <w:pStyle w:val="29"/>
        <w:keepNext w:val="0"/>
        <w:keepLines w:val="0"/>
        <w:pageBreakBefore w:val="0"/>
        <w:kinsoku/>
        <w:wordWrap/>
        <w:overflowPunct/>
        <w:topLinePunct w:val="0"/>
        <w:autoSpaceDE/>
        <w:autoSpaceDN/>
        <w:bidi w:val="0"/>
        <w:snapToGrid w:val="0"/>
        <w:spacing w:before="0" w:beforeLines="0" w:beforeAutospacing="0" w:after="0" w:afterLines="0" w:afterAutospacing="0" w:line="500" w:lineRule="exact"/>
        <w:ind w:firstLine="1365" w:firstLineChars="650"/>
        <w:jc w:val="left"/>
        <w:textAlignment w:val="auto"/>
        <w:rPr>
          <w:color w:val="auto"/>
          <w:highlight w:val="none"/>
        </w:rPr>
      </w:pPr>
      <w:r>
        <w:rPr>
          <w:rFonts w:hint="eastAsia" w:ascii="宋体" w:hAnsi="宋体" w:eastAsia="宋体" w:cs="宋体"/>
          <w:color w:val="auto"/>
          <w:sz w:val="21"/>
          <w:szCs w:val="21"/>
          <w:highlight w:val="none"/>
        </w:rPr>
        <w:t>年    月    日                 年   月   日</w:t>
      </w:r>
      <w:r>
        <w:rPr>
          <w:rFonts w:hint="eastAsia" w:ascii="仿宋_GB2312" w:hAnsi="仿宋" w:eastAsia="仿宋_GB2312" w:cs="Times New Roman"/>
          <w:color w:val="auto"/>
          <w:kern w:val="2"/>
          <w:sz w:val="28"/>
          <w:szCs w:val="28"/>
          <w:highlight w:val="none"/>
        </w:rPr>
        <w:t xml:space="preserve"> </w:t>
      </w:r>
    </w:p>
    <w:p w14:paraId="15FAB832">
      <w:pPr>
        <w:rPr>
          <w:rFonts w:hint="eastAsia" w:ascii="宋体" w:hAnsi="宋体"/>
          <w:b/>
          <w:color w:val="auto"/>
          <w:szCs w:val="21"/>
          <w:highlight w:val="none"/>
        </w:rPr>
      </w:pPr>
    </w:p>
    <w:bookmarkEnd w:id="64"/>
    <w:p w14:paraId="5542FB6B">
      <w:pPr>
        <w:rPr>
          <w:rFonts w:hint="eastAsia" w:ascii="宋体"/>
          <w:b/>
          <w:color w:val="auto"/>
          <w:sz w:val="32"/>
          <w:szCs w:val="32"/>
          <w:highlight w:val="none"/>
        </w:rPr>
      </w:pPr>
    </w:p>
    <w:p w14:paraId="6A31B2FE">
      <w:pPr>
        <w:rPr>
          <w:rFonts w:hint="eastAsia" w:ascii="宋体"/>
          <w:b/>
          <w:color w:val="auto"/>
          <w:sz w:val="32"/>
          <w:szCs w:val="32"/>
          <w:highlight w:val="none"/>
        </w:rPr>
      </w:pPr>
      <w:r>
        <w:rPr>
          <w:rFonts w:hint="eastAsia" w:ascii="宋体"/>
          <w:b/>
          <w:color w:val="auto"/>
          <w:sz w:val="32"/>
          <w:szCs w:val="32"/>
          <w:highlight w:val="none"/>
        </w:rPr>
        <w:br w:type="page"/>
      </w:r>
    </w:p>
    <w:p w14:paraId="6E698501">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65" w:name="_Toc350698753"/>
      <w:bookmarkStart w:id="66" w:name="_Toc449028949"/>
      <w:r>
        <w:rPr>
          <w:rFonts w:hint="eastAsia" w:ascii="宋体"/>
          <w:b/>
          <w:color w:val="auto"/>
          <w:sz w:val="44"/>
          <w:szCs w:val="44"/>
          <w:highlight w:val="none"/>
          <w:lang w:val="en-US" w:eastAsia="zh-CN"/>
        </w:rPr>
        <w:t>资信证明</w:t>
      </w:r>
      <w:r>
        <w:rPr>
          <w:rFonts w:hint="eastAsia" w:ascii="宋体"/>
          <w:b/>
          <w:color w:val="auto"/>
          <w:sz w:val="44"/>
          <w:szCs w:val="44"/>
          <w:highlight w:val="none"/>
        </w:rPr>
        <w:t>文件</w:t>
      </w:r>
      <w:bookmarkEnd w:id="65"/>
      <w:bookmarkEnd w:id="66"/>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rPr>
          <w:rFonts w:hint="eastAsia" w:ascii="宋体"/>
          <w:color w:val="auto"/>
          <w:sz w:val="28"/>
          <w:szCs w:val="28"/>
          <w:highlight w:val="none"/>
        </w:rPr>
      </w:pP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261FB3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有效的营业执照</w:t>
      </w:r>
      <w:r>
        <w:rPr>
          <w:rFonts w:hint="eastAsia" w:ascii="宋体"/>
          <w:color w:val="auto"/>
          <w:szCs w:val="21"/>
          <w:highlight w:val="none"/>
        </w:rPr>
        <w:t>；</w:t>
      </w:r>
    </w:p>
    <w:p w14:paraId="4EB04C27">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3）项目负责人有效身份证及证书；</w:t>
      </w:r>
    </w:p>
    <w:p w14:paraId="63323ABE">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4）项目组人员配备表、人员有效身份证及对应证书；</w:t>
      </w:r>
    </w:p>
    <w:p w14:paraId="72E58AC2">
      <w:pPr>
        <w:spacing w:line="500" w:lineRule="exact"/>
        <w:ind w:firstLine="420" w:firstLineChars="200"/>
        <w:jc w:val="left"/>
        <w:rPr>
          <w:rFonts w:hint="eastAsia" w:ascii="宋体"/>
          <w:color w:val="auto"/>
          <w:szCs w:val="21"/>
          <w:highlight w:val="none"/>
        </w:rPr>
      </w:pPr>
      <w:r>
        <w:rPr>
          <w:rFonts w:hint="eastAsia" w:ascii="宋体" w:hAnsi="宋体" w:cs="宋体-18030"/>
          <w:color w:val="auto"/>
          <w:szCs w:val="21"/>
          <w:highlight w:val="none"/>
        </w:rPr>
        <w:t>（</w:t>
      </w:r>
      <w:r>
        <w:rPr>
          <w:rFonts w:hint="eastAsia" w:ascii="宋体" w:hAnsi="宋体" w:cs="宋体-18030"/>
          <w:color w:val="auto"/>
          <w:szCs w:val="21"/>
          <w:highlight w:val="none"/>
          <w:lang w:val="en-US" w:eastAsia="zh-CN"/>
        </w:rPr>
        <w:t>5</w:t>
      </w:r>
      <w:r>
        <w:rPr>
          <w:rFonts w:hint="eastAsia" w:ascii="宋体" w:hAnsi="宋体" w:cs="宋体-18030"/>
          <w:color w:val="auto"/>
          <w:szCs w:val="21"/>
          <w:highlight w:val="none"/>
        </w:rPr>
        <w:t>）</w:t>
      </w:r>
      <w:r>
        <w:rPr>
          <w:rFonts w:hint="eastAsia" w:ascii="宋体"/>
          <w:color w:val="auto"/>
          <w:szCs w:val="21"/>
          <w:highlight w:val="none"/>
        </w:rPr>
        <w:t>诚信投标承诺书（格式见附件）；</w:t>
      </w:r>
    </w:p>
    <w:p w14:paraId="4B9F1141">
      <w:pPr>
        <w:spacing w:line="440" w:lineRule="exact"/>
        <w:ind w:left="420"/>
        <w:rPr>
          <w:rFonts w:hint="default" w:ascii="宋体" w:eastAsia="宋体"/>
          <w:color w:val="auto"/>
          <w:szCs w:val="21"/>
          <w:highlight w:val="none"/>
          <w:lang w:val="en-US" w:eastAsia="zh-CN"/>
        </w:rPr>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6）资信评分及</w:t>
      </w:r>
      <w:r>
        <w:rPr>
          <w:rFonts w:hint="eastAsia" w:ascii="宋体"/>
          <w:color w:val="auto"/>
          <w:szCs w:val="21"/>
          <w:highlight w:val="none"/>
          <w:lang w:val="en-US" w:eastAsia="zh-CN"/>
        </w:rPr>
        <w:t>投标人认为需提供的证明材料。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szCs w:val="24"/>
          <w:highlight w:val="none"/>
        </w:rPr>
      </w:pPr>
      <w:r>
        <w:rPr>
          <w:rFonts w:hint="eastAsia" w:ascii="宋体"/>
          <w:color w:val="auto"/>
          <w:sz w:val="24"/>
          <w:highlight w:val="none"/>
        </w:rPr>
        <w:t xml:space="preserve">                                     投标人：            </w:t>
      </w:r>
      <w:r>
        <w:rPr>
          <w:rFonts w:hint="eastAsia" w:ascii="宋体"/>
          <w:color w:val="auto"/>
          <w:sz w:val="24"/>
          <w:szCs w:val="24"/>
          <w:highlight w:val="none"/>
        </w:rPr>
        <w:t xml:space="preserve"> （盖单位章）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4"/>
          <w:szCs w:val="24"/>
          <w:highlight w:val="none"/>
        </w:rPr>
        <w:t xml:space="preserve">    （</w:t>
      </w:r>
      <w:r>
        <w:rPr>
          <w:rFonts w:hint="eastAsia" w:ascii="宋体"/>
          <w:color w:val="auto"/>
          <w:sz w:val="24"/>
          <w:szCs w:val="24"/>
          <w:highlight w:val="none"/>
          <w:lang w:val="en-US" w:eastAsia="zh-CN"/>
        </w:rPr>
        <w:t>签字或盖章</w:t>
      </w:r>
      <w:r>
        <w:rPr>
          <w:rFonts w:hint="eastAsia" w:ascii="宋体"/>
          <w:color w:val="auto"/>
          <w:sz w:val="24"/>
          <w:szCs w:val="24"/>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5D81EF35">
      <w:pPr>
        <w:spacing w:line="360" w:lineRule="exact"/>
        <w:ind w:firstLine="443" w:firstLineChars="147"/>
        <w:rPr>
          <w:rFonts w:hint="eastAsia" w:ascii="宋体"/>
          <w:b/>
          <w:color w:val="auto"/>
          <w:sz w:val="30"/>
          <w:szCs w:val="30"/>
          <w:highlight w:val="none"/>
        </w:rPr>
      </w:pPr>
      <w:r>
        <w:rPr>
          <w:rFonts w:hint="eastAsia" w:ascii="宋体"/>
          <w:b/>
          <w:color w:val="auto"/>
          <w:sz w:val="30"/>
          <w:szCs w:val="30"/>
          <w:highlight w:val="none"/>
        </w:rPr>
        <w:t>附件2</w:t>
      </w:r>
    </w:p>
    <w:p w14:paraId="66A28F69">
      <w:pPr>
        <w:spacing w:line="360" w:lineRule="auto"/>
        <w:jc w:val="center"/>
        <w:rPr>
          <w:rFonts w:hint="eastAsia"/>
          <w:b/>
          <w:color w:val="auto"/>
          <w:sz w:val="28"/>
          <w:szCs w:val="28"/>
          <w:highlight w:val="none"/>
        </w:rPr>
      </w:pPr>
      <w:bookmarkStart w:id="67" w:name="_Toc440443268"/>
      <w:bookmarkStart w:id="68"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3250ACD7">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w:t>
      </w:r>
      <w:r>
        <w:rPr>
          <w:rFonts w:hint="eastAsia" w:ascii="宋体" w:hAnsi="宋体"/>
          <w:color w:val="auto"/>
          <w:szCs w:val="21"/>
          <w:highlight w:val="none"/>
          <w:lang w:eastAsia="zh-CN"/>
        </w:rPr>
        <w:t>，具</w:t>
      </w:r>
      <w:r>
        <w:rPr>
          <w:rFonts w:hint="eastAsia" w:ascii="宋体" w:hAnsi="宋体"/>
          <w:color w:val="auto"/>
          <w:szCs w:val="21"/>
          <w:highlight w:val="none"/>
        </w:rPr>
        <w:t>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3591544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3988BD8D">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77B46FB9">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r>
        <w:rPr>
          <w:rFonts w:hint="eastAsia" w:ascii="宋体" w:hAnsi="宋体"/>
          <w:color w:val="auto"/>
          <w:szCs w:val="21"/>
          <w:highlight w:val="none"/>
          <w:lang w:eastAsia="zh-CN"/>
        </w:rPr>
        <w:t>。</w:t>
      </w:r>
    </w:p>
    <w:p w14:paraId="20CDDA7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投标单位（盖单位章）：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2ED60687">
      <w:pPr>
        <w:rPr>
          <w:rFonts w:hint="eastAsia" w:eastAsia="黑体"/>
          <w:color w:val="auto"/>
          <w:sz w:val="20"/>
          <w:highlight w:val="none"/>
        </w:rPr>
      </w:pPr>
    </w:p>
    <w:p w14:paraId="54CD9750">
      <w:pPr>
        <w:jc w:val="center"/>
        <w:rPr>
          <w:rFonts w:hint="eastAsia" w:ascii="宋体"/>
          <w:b/>
          <w:color w:val="auto"/>
          <w:sz w:val="44"/>
          <w:szCs w:val="44"/>
          <w:highlight w:val="none"/>
          <w:lang w:val="en-US" w:eastAsia="zh-CN"/>
        </w:rPr>
      </w:pPr>
    </w:p>
    <w:p w14:paraId="62EDE90B">
      <w:pPr>
        <w:jc w:val="center"/>
        <w:rPr>
          <w:rFonts w:hint="eastAsia" w:ascii="宋体"/>
          <w:b/>
          <w:color w:val="auto"/>
          <w:sz w:val="44"/>
          <w:szCs w:val="44"/>
          <w:highlight w:val="none"/>
          <w:lang w:val="en-US" w:eastAsia="zh-CN"/>
        </w:rPr>
      </w:pPr>
    </w:p>
    <w:p w14:paraId="3D616ADD">
      <w:pPr>
        <w:jc w:val="center"/>
        <w:rPr>
          <w:rFonts w:hint="eastAsia" w:ascii="宋体"/>
          <w:b/>
          <w:color w:val="auto"/>
          <w:sz w:val="44"/>
          <w:szCs w:val="44"/>
          <w:highlight w:val="none"/>
          <w:lang w:val="en-US" w:eastAsia="zh-CN"/>
        </w:rPr>
      </w:pPr>
    </w:p>
    <w:p w14:paraId="7024A87C">
      <w:pPr>
        <w:jc w:val="center"/>
        <w:rPr>
          <w:rFonts w:hint="eastAsia" w:ascii="宋体"/>
          <w:b/>
          <w:color w:val="auto"/>
          <w:sz w:val="44"/>
          <w:szCs w:val="44"/>
          <w:highlight w:val="none"/>
        </w:rPr>
      </w:pPr>
      <w:r>
        <w:rPr>
          <w:rFonts w:hint="eastAsia" w:ascii="宋体"/>
          <w:b/>
          <w:color w:val="auto"/>
          <w:sz w:val="44"/>
          <w:szCs w:val="44"/>
          <w:highlight w:val="none"/>
          <w:lang w:val="en-US" w:eastAsia="zh-CN"/>
        </w:rPr>
        <w:t>技术标</w:t>
      </w:r>
      <w:r>
        <w:rPr>
          <w:rFonts w:hint="eastAsia" w:ascii="宋体"/>
          <w:b/>
          <w:color w:val="auto"/>
          <w:sz w:val="44"/>
          <w:szCs w:val="44"/>
          <w:highlight w:val="none"/>
        </w:rPr>
        <w:t>文件</w:t>
      </w:r>
    </w:p>
    <w:p w14:paraId="02982458">
      <w:pPr>
        <w:jc w:val="center"/>
        <w:rPr>
          <w:rFonts w:hint="eastAsia" w:eastAsia="黑体"/>
          <w:color w:val="auto"/>
          <w:sz w:val="44"/>
          <w:szCs w:val="44"/>
          <w:highlight w:val="none"/>
        </w:rPr>
      </w:pPr>
    </w:p>
    <w:p w14:paraId="2519BF06">
      <w:pPr>
        <w:jc w:val="center"/>
        <w:rPr>
          <w:rFonts w:hint="eastAsia" w:eastAsia="黑体"/>
          <w:color w:val="auto"/>
          <w:sz w:val="44"/>
          <w:szCs w:val="44"/>
          <w:highlight w:val="none"/>
        </w:rPr>
      </w:pPr>
    </w:p>
    <w:p w14:paraId="187337D8">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u w:val="single"/>
          <w:lang w:val="en-US" w:eastAsia="zh-CN"/>
        </w:rPr>
        <w:t xml:space="preserve">    </w:t>
      </w: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74D1A49">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2BB56C8E">
      <w:pPr>
        <w:rPr>
          <w:rFonts w:hint="eastAsia" w:ascii="宋体"/>
          <w:color w:val="auto"/>
          <w:sz w:val="28"/>
          <w:szCs w:val="28"/>
          <w:highlight w:val="none"/>
        </w:rPr>
      </w:pPr>
    </w:p>
    <w:p w14:paraId="34516A5B">
      <w:pPr>
        <w:rPr>
          <w:rFonts w:hint="eastAsia" w:ascii="宋体"/>
          <w:color w:val="auto"/>
          <w:sz w:val="28"/>
          <w:szCs w:val="28"/>
          <w:highlight w:val="none"/>
        </w:rPr>
      </w:pPr>
    </w:p>
    <w:p w14:paraId="14713276">
      <w:pPr>
        <w:rPr>
          <w:rFonts w:hint="eastAsia" w:ascii="宋体"/>
          <w:color w:val="auto"/>
          <w:sz w:val="28"/>
          <w:szCs w:val="28"/>
          <w:highlight w:val="none"/>
        </w:rPr>
      </w:pPr>
    </w:p>
    <w:p w14:paraId="351F8B3B">
      <w:pPr>
        <w:rPr>
          <w:rFonts w:hint="eastAsia" w:ascii="宋体"/>
          <w:color w:val="auto"/>
          <w:sz w:val="28"/>
          <w:szCs w:val="28"/>
          <w:highlight w:val="none"/>
        </w:rPr>
      </w:pPr>
    </w:p>
    <w:p w14:paraId="453C82B2">
      <w:pPr>
        <w:rPr>
          <w:rFonts w:hint="eastAsia" w:ascii="宋体"/>
          <w:color w:val="auto"/>
          <w:sz w:val="28"/>
          <w:szCs w:val="28"/>
          <w:highlight w:val="none"/>
        </w:rPr>
      </w:pPr>
    </w:p>
    <w:p w14:paraId="2945E859">
      <w:pPr>
        <w:rPr>
          <w:rFonts w:hint="eastAsia" w:ascii="宋体"/>
          <w:color w:val="auto"/>
          <w:sz w:val="28"/>
          <w:szCs w:val="28"/>
          <w:highlight w:val="none"/>
        </w:rPr>
      </w:pPr>
    </w:p>
    <w:p w14:paraId="3CD1E5E8">
      <w:pPr>
        <w:rPr>
          <w:rFonts w:hint="eastAsia" w:ascii="宋体"/>
          <w:color w:val="auto"/>
          <w:sz w:val="28"/>
          <w:szCs w:val="28"/>
          <w:highlight w:val="none"/>
        </w:rPr>
      </w:pPr>
    </w:p>
    <w:p w14:paraId="07886940">
      <w:pPr>
        <w:rPr>
          <w:rFonts w:hint="eastAsia" w:ascii="宋体"/>
          <w:color w:val="auto"/>
          <w:sz w:val="28"/>
          <w:szCs w:val="28"/>
          <w:highlight w:val="none"/>
        </w:rPr>
      </w:pPr>
    </w:p>
    <w:p w14:paraId="2AEBB317">
      <w:pPr>
        <w:rPr>
          <w:rFonts w:hint="eastAsia" w:ascii="宋体"/>
          <w:color w:val="auto"/>
          <w:sz w:val="28"/>
          <w:szCs w:val="28"/>
          <w:highlight w:val="none"/>
        </w:rPr>
      </w:pPr>
    </w:p>
    <w:p w14:paraId="1886006D">
      <w:pPr>
        <w:rPr>
          <w:rFonts w:hint="eastAsia" w:ascii="宋体"/>
          <w:color w:val="auto"/>
          <w:sz w:val="28"/>
          <w:szCs w:val="28"/>
          <w:highlight w:val="none"/>
        </w:rPr>
      </w:pPr>
    </w:p>
    <w:p w14:paraId="2E6A180F">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558BCB9F">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55C5ADA7">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08309B1">
      <w:pPr>
        <w:jc w:val="center"/>
        <w:rPr>
          <w:rFonts w:hint="eastAsia"/>
          <w:b/>
          <w:color w:val="auto"/>
          <w:sz w:val="36"/>
          <w:szCs w:val="36"/>
          <w:highlight w:val="none"/>
        </w:rPr>
      </w:pPr>
    </w:p>
    <w:p w14:paraId="4DAA5AA5">
      <w:pPr>
        <w:jc w:val="center"/>
        <w:rPr>
          <w:rFonts w:hint="eastAsia"/>
          <w:b/>
          <w:color w:val="auto"/>
          <w:sz w:val="44"/>
          <w:szCs w:val="44"/>
          <w:highlight w:val="none"/>
        </w:rPr>
      </w:pPr>
      <w:r>
        <w:rPr>
          <w:rFonts w:hint="eastAsia"/>
          <w:b/>
          <w:color w:val="auto"/>
          <w:sz w:val="36"/>
          <w:szCs w:val="36"/>
          <w:highlight w:val="none"/>
        </w:rPr>
        <w:t>目   录</w:t>
      </w:r>
    </w:p>
    <w:p w14:paraId="6F637698">
      <w:pPr>
        <w:spacing w:line="500" w:lineRule="exact"/>
        <w:jc w:val="left"/>
        <w:rPr>
          <w:rFonts w:hint="eastAsia" w:ascii="宋体"/>
          <w:color w:val="auto"/>
          <w:szCs w:val="21"/>
          <w:highlight w:val="none"/>
        </w:rPr>
      </w:pPr>
    </w:p>
    <w:p w14:paraId="20B7276C">
      <w:pPr>
        <w:spacing w:line="500" w:lineRule="exact"/>
        <w:ind w:firstLine="420" w:firstLineChars="200"/>
        <w:jc w:val="left"/>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1）服务承诺书</w:t>
      </w:r>
      <w:r>
        <w:rPr>
          <w:rFonts w:hint="eastAsia" w:ascii="宋体" w:hAnsi="Times New Roman" w:eastAsia="宋体" w:cs="Times New Roman"/>
          <w:color w:val="auto"/>
          <w:szCs w:val="21"/>
          <w:highlight w:val="none"/>
          <w:lang w:eastAsia="zh-CN"/>
        </w:rPr>
        <w:t>（格式见附件）；</w:t>
      </w:r>
    </w:p>
    <w:p w14:paraId="08F0D5ED">
      <w:pPr>
        <w:spacing w:line="500" w:lineRule="exact"/>
        <w:ind w:firstLine="420" w:firstLineChars="200"/>
        <w:jc w:val="left"/>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技术标评分及投标人认为需提供的证明材料。</w:t>
      </w:r>
    </w:p>
    <w:p w14:paraId="67C85517">
      <w:pPr>
        <w:rPr>
          <w:rFonts w:hint="eastAsia" w:ascii="宋体"/>
          <w:b/>
          <w:color w:val="auto"/>
          <w:sz w:val="44"/>
          <w:szCs w:val="44"/>
          <w:highlight w:val="none"/>
          <w:lang w:val="en-US" w:eastAsia="zh-CN"/>
        </w:rPr>
      </w:pPr>
    </w:p>
    <w:p w14:paraId="039EADB3">
      <w:pPr>
        <w:spacing w:line="360" w:lineRule="exact"/>
        <w:rPr>
          <w:rFonts w:hint="eastAsia" w:ascii="宋体"/>
          <w:b/>
          <w:color w:val="auto"/>
          <w:sz w:val="30"/>
          <w:szCs w:val="30"/>
          <w:highlight w:val="none"/>
        </w:rPr>
      </w:pPr>
    </w:p>
    <w:bookmarkEnd w:id="67"/>
    <w:bookmarkEnd w:id="68"/>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1</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u w:val="single"/>
          <w:lang w:eastAsia="zh-CN"/>
        </w:rPr>
        <w:t>（</w:t>
      </w:r>
      <w:r>
        <w:rPr>
          <w:rFonts w:hint="eastAsia" w:ascii="宋体" w:hAnsi="宋体"/>
          <w:color w:val="auto"/>
          <w:sz w:val="24"/>
          <w:szCs w:val="21"/>
          <w:highlight w:val="none"/>
          <w:lang w:val="en-US" w:eastAsia="zh-CN"/>
        </w:rPr>
        <w:t>签字或盖章）</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32E80C44">
      <w:pPr>
        <w:rPr>
          <w:rFonts w:hint="eastAsia" w:eastAsia="黑体"/>
          <w:color w:val="auto"/>
          <w:sz w:val="20"/>
          <w:highlight w:val="none"/>
        </w:rPr>
      </w:pPr>
      <w:r>
        <w:rPr>
          <w:rFonts w:hint="eastAsia" w:ascii="宋体" w:hAnsi="宋体"/>
          <w:b/>
          <w:color w:val="auto"/>
          <w:sz w:val="30"/>
          <w:szCs w:val="30"/>
          <w:highlight w:val="none"/>
        </w:rPr>
        <w:br w:type="page"/>
      </w:r>
    </w:p>
    <w:p w14:paraId="304B7138">
      <w:pPr>
        <w:jc w:val="center"/>
        <w:rPr>
          <w:rFonts w:hint="eastAsia" w:ascii="宋体"/>
          <w:b/>
          <w:color w:val="auto"/>
          <w:sz w:val="44"/>
          <w:szCs w:val="44"/>
          <w:highlight w:val="none"/>
          <w:lang w:val="en-US" w:eastAsia="zh-CN"/>
        </w:rPr>
      </w:pPr>
    </w:p>
    <w:p w14:paraId="75B862CA">
      <w:pPr>
        <w:jc w:val="center"/>
        <w:rPr>
          <w:rFonts w:hint="eastAsia" w:ascii="宋体"/>
          <w:b/>
          <w:color w:val="auto"/>
          <w:sz w:val="44"/>
          <w:szCs w:val="44"/>
          <w:highlight w:val="none"/>
          <w:lang w:val="en-US" w:eastAsia="zh-CN"/>
        </w:rPr>
      </w:pPr>
    </w:p>
    <w:p w14:paraId="5D4F9D6C">
      <w:pPr>
        <w:jc w:val="center"/>
        <w:rPr>
          <w:rFonts w:hint="eastAsia" w:ascii="宋体"/>
          <w:b/>
          <w:color w:val="auto"/>
          <w:sz w:val="44"/>
          <w:szCs w:val="44"/>
          <w:highlight w:val="none"/>
          <w:lang w:val="en-US" w:eastAsia="zh-CN"/>
        </w:rPr>
      </w:pPr>
    </w:p>
    <w:p w14:paraId="4A6EFD63">
      <w:pPr>
        <w:jc w:val="center"/>
        <w:rPr>
          <w:rFonts w:hint="eastAsia" w:ascii="宋体"/>
          <w:b/>
          <w:color w:val="auto"/>
          <w:sz w:val="44"/>
          <w:szCs w:val="44"/>
          <w:highlight w:val="none"/>
          <w:lang w:val="en-US" w:eastAsia="zh-CN"/>
        </w:rPr>
      </w:pPr>
    </w:p>
    <w:p w14:paraId="785DD69D">
      <w:pPr>
        <w:jc w:val="center"/>
        <w:rPr>
          <w:rFonts w:hint="eastAsia" w:ascii="宋体"/>
          <w:b/>
          <w:color w:val="auto"/>
          <w:sz w:val="44"/>
          <w:szCs w:val="44"/>
          <w:highlight w:val="none"/>
        </w:rPr>
      </w:pPr>
      <w:r>
        <w:rPr>
          <w:rFonts w:hint="eastAsia" w:ascii="宋体"/>
          <w:b/>
          <w:color w:val="auto"/>
          <w:sz w:val="44"/>
          <w:szCs w:val="44"/>
          <w:highlight w:val="none"/>
          <w:lang w:val="en-US" w:eastAsia="zh-CN"/>
        </w:rPr>
        <w:t>商务标</w:t>
      </w:r>
      <w:r>
        <w:rPr>
          <w:rFonts w:hint="eastAsia" w:ascii="宋体"/>
          <w:b/>
          <w:color w:val="auto"/>
          <w:sz w:val="44"/>
          <w:szCs w:val="44"/>
          <w:highlight w:val="none"/>
        </w:rPr>
        <w:t>文件</w:t>
      </w:r>
    </w:p>
    <w:p w14:paraId="639524AC">
      <w:pPr>
        <w:jc w:val="center"/>
        <w:rPr>
          <w:rFonts w:hint="eastAsia" w:eastAsia="黑体"/>
          <w:color w:val="auto"/>
          <w:sz w:val="44"/>
          <w:szCs w:val="44"/>
          <w:highlight w:val="none"/>
        </w:rPr>
      </w:pPr>
    </w:p>
    <w:p w14:paraId="6075D52D">
      <w:pPr>
        <w:jc w:val="center"/>
        <w:rPr>
          <w:rFonts w:hint="eastAsia" w:eastAsia="黑体"/>
          <w:color w:val="auto"/>
          <w:sz w:val="44"/>
          <w:szCs w:val="44"/>
          <w:highlight w:val="none"/>
        </w:rPr>
      </w:pPr>
    </w:p>
    <w:p w14:paraId="2937DB3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A6A8186">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36598A67">
      <w:pPr>
        <w:rPr>
          <w:rFonts w:hint="eastAsia" w:ascii="宋体"/>
          <w:color w:val="auto"/>
          <w:sz w:val="28"/>
          <w:szCs w:val="28"/>
          <w:highlight w:val="none"/>
        </w:rPr>
      </w:pPr>
    </w:p>
    <w:p w14:paraId="2288722B">
      <w:pPr>
        <w:rPr>
          <w:rFonts w:hint="eastAsia" w:ascii="宋体"/>
          <w:color w:val="auto"/>
          <w:sz w:val="28"/>
          <w:szCs w:val="28"/>
          <w:highlight w:val="none"/>
        </w:rPr>
      </w:pPr>
    </w:p>
    <w:p w14:paraId="76EC36F1">
      <w:pPr>
        <w:rPr>
          <w:rFonts w:hint="eastAsia" w:ascii="宋体"/>
          <w:color w:val="auto"/>
          <w:sz w:val="28"/>
          <w:szCs w:val="28"/>
          <w:highlight w:val="none"/>
        </w:rPr>
      </w:pPr>
    </w:p>
    <w:p w14:paraId="796C2EC6">
      <w:pPr>
        <w:rPr>
          <w:rFonts w:hint="eastAsia" w:ascii="宋体"/>
          <w:color w:val="auto"/>
          <w:sz w:val="28"/>
          <w:szCs w:val="28"/>
          <w:highlight w:val="none"/>
        </w:rPr>
      </w:pPr>
    </w:p>
    <w:p w14:paraId="4CDAF893">
      <w:pPr>
        <w:rPr>
          <w:rFonts w:hint="eastAsia" w:ascii="宋体"/>
          <w:color w:val="auto"/>
          <w:sz w:val="28"/>
          <w:szCs w:val="28"/>
          <w:highlight w:val="none"/>
        </w:rPr>
      </w:pPr>
    </w:p>
    <w:p w14:paraId="420B8867">
      <w:pPr>
        <w:rPr>
          <w:rFonts w:hint="eastAsia" w:ascii="宋体"/>
          <w:color w:val="auto"/>
          <w:sz w:val="28"/>
          <w:szCs w:val="28"/>
          <w:highlight w:val="none"/>
        </w:rPr>
      </w:pPr>
    </w:p>
    <w:p w14:paraId="6AA3F05B">
      <w:pPr>
        <w:rPr>
          <w:rFonts w:hint="eastAsia" w:ascii="宋体"/>
          <w:color w:val="auto"/>
          <w:sz w:val="28"/>
          <w:szCs w:val="28"/>
          <w:highlight w:val="none"/>
        </w:rPr>
      </w:pPr>
    </w:p>
    <w:p w14:paraId="44DEE76B">
      <w:pPr>
        <w:rPr>
          <w:rFonts w:hint="eastAsia" w:ascii="宋体"/>
          <w:color w:val="auto"/>
          <w:sz w:val="28"/>
          <w:szCs w:val="28"/>
          <w:highlight w:val="none"/>
        </w:rPr>
      </w:pPr>
    </w:p>
    <w:p w14:paraId="3DA94805">
      <w:pPr>
        <w:rPr>
          <w:rFonts w:hint="eastAsia" w:ascii="宋体"/>
          <w:color w:val="auto"/>
          <w:sz w:val="28"/>
          <w:szCs w:val="28"/>
          <w:highlight w:val="none"/>
        </w:rPr>
      </w:pPr>
    </w:p>
    <w:p w14:paraId="1D641FC0">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56D7794D">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5E051238">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1D7D13F1">
      <w:pPr>
        <w:rPr>
          <w:rFonts w:hint="eastAsia" w:ascii="宋体"/>
          <w:b/>
          <w:color w:val="auto"/>
          <w:sz w:val="36"/>
          <w:szCs w:val="36"/>
          <w:highlight w:val="none"/>
        </w:rPr>
      </w:pPr>
      <w:r>
        <w:rPr>
          <w:rFonts w:hint="eastAsia" w:ascii="宋体"/>
          <w:b/>
          <w:color w:val="auto"/>
          <w:sz w:val="36"/>
          <w:szCs w:val="36"/>
          <w:highlight w:val="none"/>
        </w:rPr>
        <w:br w:type="page"/>
      </w:r>
    </w:p>
    <w:p w14:paraId="3FB9383F">
      <w:pPr>
        <w:jc w:val="center"/>
        <w:rPr>
          <w:rFonts w:hint="eastAsia"/>
          <w:b/>
          <w:color w:val="auto"/>
          <w:sz w:val="44"/>
          <w:szCs w:val="44"/>
          <w:highlight w:val="none"/>
        </w:rPr>
      </w:pPr>
      <w:r>
        <w:rPr>
          <w:rFonts w:hint="eastAsia"/>
          <w:b/>
          <w:color w:val="auto"/>
          <w:sz w:val="36"/>
          <w:szCs w:val="36"/>
          <w:highlight w:val="none"/>
        </w:rPr>
        <w:t>目   录</w:t>
      </w:r>
    </w:p>
    <w:p w14:paraId="6DB9E0BC">
      <w:pPr>
        <w:spacing w:line="500" w:lineRule="exact"/>
        <w:jc w:val="left"/>
        <w:rPr>
          <w:rFonts w:hint="eastAsia" w:ascii="宋体" w:cs="Times New Roman"/>
          <w:color w:val="auto"/>
          <w:szCs w:val="21"/>
          <w:highlight w:val="none"/>
          <w:lang w:val="en-US" w:eastAsia="zh-CN"/>
        </w:rPr>
      </w:pPr>
    </w:p>
    <w:p w14:paraId="6A3B7D79">
      <w:pPr>
        <w:spacing w:line="440" w:lineRule="exact"/>
        <w:ind w:left="42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）开标一览表（格式见附件）；</w:t>
      </w:r>
    </w:p>
    <w:p w14:paraId="1596A378">
      <w:pPr>
        <w:spacing w:line="440" w:lineRule="exact"/>
        <w:ind w:left="42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rPr>
        <w:t>）投标函（格式见附件）；</w:t>
      </w:r>
    </w:p>
    <w:p w14:paraId="68873298">
      <w:pPr>
        <w:spacing w:line="440" w:lineRule="exact"/>
        <w:ind w:left="42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3）投标人认为需提供的证明材料。</w:t>
      </w:r>
    </w:p>
    <w:p w14:paraId="3D1D3354">
      <w:pPr>
        <w:rPr>
          <w:rFonts w:hint="eastAsia" w:ascii="宋体" w:hAnsi="宋体"/>
          <w:b/>
          <w:color w:val="auto"/>
          <w:sz w:val="30"/>
          <w:szCs w:val="30"/>
          <w:highlight w:val="none"/>
        </w:rPr>
      </w:pPr>
    </w:p>
    <w:p w14:paraId="776DB19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1</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7"/>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93A923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基本费率为：</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；审核成果费率为4.0%</w:t>
            </w:r>
          </w:p>
          <w:p w14:paraId="5BA702FC">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color w:val="auto"/>
                <w:sz w:val="24"/>
                <w:highlight w:val="none"/>
                <w:lang w:val="en-US"/>
              </w:rPr>
            </w:pPr>
            <w:r>
              <w:rPr>
                <w:rFonts w:hint="eastAsia" w:ascii="宋体" w:hAnsi="宋体" w:eastAsia="宋体" w:cs="宋体"/>
                <w:color w:val="auto"/>
                <w:sz w:val="24"/>
                <w:szCs w:val="24"/>
                <w:highlight w:val="none"/>
                <w:lang w:val="en-US" w:eastAsia="zh-CN"/>
              </w:rPr>
              <w:t>合同履行期限：响应招标文件要求</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cs="Arial"/>
          <w:b/>
          <w:bCs/>
          <w:color w:val="auto"/>
          <w:sz w:val="30"/>
          <w:szCs w:val="30"/>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2</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rPr>
        <w:t>姓名和职务</w:t>
      </w:r>
      <w:r>
        <w:rPr>
          <w:rFonts w:hint="eastAsia" w:ascii="宋体" w:hAnsi="宋体" w:cs="宋体"/>
          <w:color w:val="auto"/>
          <w:sz w:val="24"/>
          <w:highlight w:val="none"/>
          <w:lang w:eastAsia="zh-CN"/>
        </w:rPr>
        <w:t>）</w:t>
      </w:r>
      <w:r>
        <w:rPr>
          <w:rFonts w:hint="eastAsia" w:ascii="宋体" w:hAnsi="宋体" w:cs="宋体"/>
          <w:color w:val="auto"/>
          <w:sz w:val="24"/>
          <w:highlight w:val="none"/>
        </w:rPr>
        <w:t>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eastAsia="宋体" w:cs="宋体"/>
          <w:color w:val="auto"/>
          <w:spacing w:val="-1"/>
          <w:sz w:val="24"/>
          <w:szCs w:val="24"/>
          <w:highlight w:val="none"/>
        </w:rPr>
        <w:t>据此我方愿以</w:t>
      </w:r>
      <w:r>
        <w:rPr>
          <w:rFonts w:hint="eastAsia" w:ascii="宋体" w:hAnsi="宋体" w:eastAsia="宋体" w:cs="宋体"/>
          <w:color w:val="auto"/>
          <w:spacing w:val="-1"/>
          <w:sz w:val="24"/>
          <w:szCs w:val="24"/>
          <w:highlight w:val="none"/>
          <w:lang w:val="en-US" w:eastAsia="zh-CN"/>
        </w:rPr>
        <w:t>基本费</w:t>
      </w:r>
      <w:r>
        <w:rPr>
          <w:rFonts w:hint="eastAsia" w:ascii="宋体" w:hAnsi="宋体" w:eastAsia="宋体" w:cs="宋体"/>
          <w:color w:val="auto"/>
          <w:spacing w:val="-1"/>
          <w:sz w:val="24"/>
          <w:szCs w:val="24"/>
          <w:highlight w:val="none"/>
        </w:rPr>
        <w:t>率：</w:t>
      </w:r>
      <w:r>
        <w:rPr>
          <w:rFonts w:hint="eastAsia" w:ascii="宋体" w:hAnsi="宋体" w:eastAsia="宋体" w:cs="宋体"/>
          <w:color w:val="auto"/>
          <w:spacing w:val="-1"/>
          <w:sz w:val="24"/>
          <w:szCs w:val="24"/>
          <w:highlight w:val="none"/>
          <w:u w:val="single"/>
        </w:rPr>
        <w:t>大写</w:t>
      </w:r>
      <w:r>
        <w:rPr>
          <w:rFonts w:hint="eastAsia" w:ascii="宋体" w:hAnsi="宋体" w:eastAsia="宋体" w:cs="宋体"/>
          <w:color w:val="auto"/>
          <w:spacing w:val="-1"/>
          <w:sz w:val="24"/>
          <w:szCs w:val="24"/>
          <w:highlight w:val="none"/>
          <w:u w:val="single"/>
          <w:lang w:val="en-US" w:eastAsia="zh-CN"/>
        </w:rPr>
        <w:t>千</w:t>
      </w:r>
      <w:r>
        <w:rPr>
          <w:rFonts w:hint="eastAsia" w:ascii="宋体" w:hAnsi="宋体" w:eastAsia="宋体" w:cs="宋体"/>
          <w:color w:val="auto"/>
          <w:spacing w:val="-1"/>
          <w:sz w:val="24"/>
          <w:szCs w:val="24"/>
          <w:highlight w:val="none"/>
          <w:u w:val="single"/>
        </w:rPr>
        <w:t>分之</w:t>
      </w:r>
      <w:r>
        <w:rPr>
          <w:rFonts w:hint="eastAsia" w:ascii="宋体" w:hAnsi="宋体" w:eastAsia="宋体" w:cs="宋体"/>
          <w:color w:val="auto"/>
          <w:spacing w:val="56"/>
          <w:sz w:val="24"/>
          <w:szCs w:val="24"/>
          <w:highlight w:val="none"/>
          <w:u w:val="single"/>
        </w:rPr>
        <w:t xml:space="preserve">   小写  </w:t>
      </w:r>
      <w:r>
        <w:rPr>
          <w:rFonts w:hint="eastAsia" w:ascii="宋体" w:hAnsi="宋体" w:eastAsia="宋体" w:cs="宋体"/>
          <w:color w:val="auto"/>
          <w:sz w:val="24"/>
          <w:szCs w:val="24"/>
          <w:highlight w:val="none"/>
          <w:u w:val="single"/>
        </w:rPr>
        <w:t>‰（小数点后保留2位）</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审核成果费率为4.0%</w:t>
      </w:r>
      <w:r>
        <w:rPr>
          <w:rFonts w:hint="eastAsia" w:ascii="宋体" w:hAnsi="宋体" w:eastAsia="宋体" w:cs="宋体"/>
          <w:color w:val="auto"/>
          <w:sz w:val="24"/>
          <w:szCs w:val="24"/>
          <w:highlight w:val="none"/>
        </w:rPr>
        <w:t>为报价费率，作为本工程项目</w:t>
      </w:r>
      <w:r>
        <w:rPr>
          <w:rFonts w:hint="eastAsia" w:ascii="宋体" w:hAnsi="宋体" w:eastAsia="宋体" w:cs="宋体"/>
          <w:color w:val="auto"/>
          <w:sz w:val="24"/>
          <w:szCs w:val="24"/>
          <w:highlight w:val="none"/>
          <w:lang w:val="en-US" w:eastAsia="zh-CN"/>
        </w:rPr>
        <w:t>跟踪审计</w:t>
      </w:r>
      <w:r>
        <w:rPr>
          <w:rFonts w:hint="eastAsia" w:ascii="宋体" w:hAnsi="宋体" w:eastAsia="宋体" w:cs="宋体"/>
          <w:color w:val="auto"/>
          <w:sz w:val="24"/>
          <w:szCs w:val="24"/>
          <w:highlight w:val="none"/>
        </w:rPr>
        <w:t>工作所需的全部费用</w:t>
      </w:r>
      <w:r>
        <w:rPr>
          <w:rFonts w:hint="eastAsia" w:ascii="宋体" w:hAnsi="宋体" w:eastAsia="宋体" w:cs="宋体"/>
          <w:color w:val="auto"/>
          <w:sz w:val="24"/>
          <w:szCs w:val="24"/>
          <w:highlight w:val="none"/>
          <w:u w:val="single"/>
          <w:lang w:val="en-US" w:eastAsia="zh-CN"/>
        </w:rPr>
        <w:t>，项目负责人为            。</w:t>
      </w:r>
      <w:r>
        <w:rPr>
          <w:rFonts w:hint="eastAsia" w:ascii="宋体" w:hAnsi="宋体" w:eastAsia="宋体" w:cs="宋体"/>
          <w:color w:val="auto"/>
          <w:sz w:val="24"/>
          <w:szCs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lang w:eastAsia="zh-CN"/>
        </w:rPr>
        <w:t>5.</w:t>
      </w:r>
      <w:r>
        <w:rPr>
          <w:rFonts w:hint="eastAsia" w:ascii="宋体"/>
          <w:color w:val="auto"/>
          <w:sz w:val="24"/>
          <w:highlight w:val="none"/>
        </w:rPr>
        <w:t>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lang w:eastAsia="zh-CN"/>
        </w:rPr>
        <w:t>6.</w:t>
      </w:r>
      <w:r>
        <w:rPr>
          <w:rFonts w:hint="eastAsia" w:ascii="宋体"/>
          <w:color w:val="auto"/>
          <w:sz w:val="24"/>
          <w:highlight w:val="none"/>
        </w:rPr>
        <w:t>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07124A4B">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4B1AD082">
      <w:pPr>
        <w:spacing w:line="440" w:lineRule="exact"/>
        <w:jc w:val="right"/>
        <w:rPr>
          <w:rFonts w:hint="eastAsia" w:ascii="宋体"/>
          <w:color w:val="auto"/>
          <w:sz w:val="24"/>
          <w:highlight w:val="none"/>
        </w:rPr>
      </w:pP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62"/>
    <w:bookmarkEnd w:id="63"/>
    <w:p w14:paraId="59C5F8C7">
      <w:pPr>
        <w:spacing w:line="440" w:lineRule="exact"/>
        <w:jc w:val="center"/>
        <w:outlineLvl w:val="0"/>
        <w:rPr>
          <w:rFonts w:hint="eastAsia" w:ascii="宋体"/>
          <w:b/>
          <w:color w:val="auto"/>
          <w:sz w:val="32"/>
          <w:szCs w:val="32"/>
          <w:highlight w:val="none"/>
        </w:rPr>
      </w:pPr>
      <w:bookmarkStart w:id="69" w:name="_Toc58430333"/>
      <w:bookmarkStart w:id="70" w:name="_Toc449028957"/>
      <w:r>
        <w:rPr>
          <w:rFonts w:hint="eastAsia" w:ascii="宋体"/>
          <w:b/>
          <w:color w:val="auto"/>
          <w:sz w:val="32"/>
          <w:szCs w:val="32"/>
          <w:highlight w:val="none"/>
          <w:lang w:val="en-US" w:eastAsia="zh-CN"/>
        </w:rPr>
        <w:t>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69"/>
      <w:bookmarkEnd w:id="70"/>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eastAsia="zh-CN"/>
              </w:rPr>
              <w:t>扬子大道768号园区高低压配电项目跟踪审计服务</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招标单位：中国扬子集团有限公司</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叶来明</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0550-3166090</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11</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ascii="宋体" w:cs="宋体"/>
                <w:color w:val="auto"/>
                <w:sz w:val="28"/>
                <w:szCs w:val="28"/>
                <w:highlight w:val="none"/>
              </w:rPr>
            </w:pPr>
            <w:r>
              <w:rPr>
                <w:rFonts w:hint="eastAsia" w:ascii="宋体" w:cs="宋体"/>
                <w:color w:val="auto"/>
                <w:sz w:val="28"/>
                <w:szCs w:val="28"/>
                <w:highlight w:val="none"/>
              </w:rPr>
              <w:t>经办人：杨韦</w:t>
            </w:r>
          </w:p>
          <w:p w14:paraId="033529C4">
            <w:pPr>
              <w:spacing w:line="520" w:lineRule="exact"/>
              <w:ind w:firstLine="560" w:firstLineChars="200"/>
              <w:rPr>
                <w:rFonts w:ascii="宋体" w:cs="宋体"/>
                <w:color w:val="auto"/>
                <w:sz w:val="28"/>
                <w:szCs w:val="28"/>
                <w:highlight w:val="none"/>
              </w:rPr>
            </w:pPr>
            <w:r>
              <w:rPr>
                <w:rFonts w:hint="eastAsia" w:ascii="宋体" w:cs="宋体"/>
                <w:color w:val="auto"/>
                <w:sz w:val="28"/>
                <w:szCs w:val="28"/>
                <w:highlight w:val="none"/>
              </w:rPr>
              <w:t>电  话：0550-3519590、18005501210</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11</w:t>
            </w:r>
            <w:r>
              <w:rPr>
                <w:rFonts w:hint="eastAsia" w:ascii="宋体" w:cs="宋体"/>
                <w:color w:val="auto"/>
                <w:sz w:val="28"/>
                <w:szCs w:val="28"/>
                <w:highlight w:val="none"/>
              </w:rPr>
              <w:t>月</w:t>
            </w:r>
          </w:p>
        </w:tc>
      </w:tr>
      <w:bookmarkEnd w:id="0"/>
    </w:tbl>
    <w:p w14:paraId="122B3745">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7FFAEFF" w:usb1="F9DFFFFF" w:usb2="0000007F" w:usb3="00000000" w:csb0="203F01FF" w:csb1="DFFF0000"/>
  </w:font>
  <w:font w:name="Times">
    <w:altName w:val="Times New Roman"/>
    <w:panose1 w:val="02020603050405020304"/>
    <w:charset w:val="00"/>
    <w:family w:val="roman"/>
    <w:pitch w:val="default"/>
    <w:sig w:usb0="00000000" w:usb1="00000000" w:usb2="00000009" w:usb3="00000000" w:csb0="000001FF" w:csb1="00000000"/>
  </w:font>
  <w:font w:name="宋体-18030">
    <w:altName w:val="宋体"/>
    <w:panose1 w:val="02010609060101010101"/>
    <w:charset w:val="86"/>
    <w:family w:val="modern"/>
    <w:pitch w:val="default"/>
    <w:sig w:usb0="00000000" w:usb1="00000000" w:usb2="000A005E"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1"/>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1"/>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1"/>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1"/>
      <w:framePr w:wrap="around" w:vAnchor="text" w:hAnchor="margin" w:xAlign="center" w:y="1"/>
      <w:tabs>
        <w:tab w:val="clear" w:pos="4153"/>
        <w:tab w:val="clear" w:pos="8306"/>
      </w:tabs>
      <w:rPr>
        <w:rStyle w:val="39"/>
        <w:rFonts w:hint="eastAsia"/>
      </w:rPr>
    </w:pPr>
  </w:p>
  <w:p w14:paraId="7F1FF381">
    <w:pPr>
      <w:pStyle w:val="21"/>
      <w:tabs>
        <w:tab w:val="clear" w:pos="4153"/>
        <w:tab w:val="clear" w:pos="8306"/>
      </w:tabs>
      <w:rPr>
        <w:rFonts w:hint="eastAsia"/>
        <w:szCs w:val="21"/>
      </w:rPr>
    </w:pPr>
  </w:p>
  <w:p w14:paraId="56EDCA8C">
    <w:pPr>
      <w:pStyle w:val="21"/>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1"/>
      <w:tabs>
        <w:tab w:val="clear" w:pos="4153"/>
        <w:tab w:val="clear" w:pos="8306"/>
      </w:tabs>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1"/>
      <w:rPr>
        <w:rStyle w:val="39"/>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1"/>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1"/>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1"/>
      <w:tabs>
        <w:tab w:val="clear" w:pos="4153"/>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1"/>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1"/>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1"/>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1"/>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1"/>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46F"/>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23584C"/>
    <w:rsid w:val="01317BAC"/>
    <w:rsid w:val="0156352C"/>
    <w:rsid w:val="0160078A"/>
    <w:rsid w:val="016025FC"/>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10A6D"/>
    <w:rsid w:val="029F0F02"/>
    <w:rsid w:val="02AB3F80"/>
    <w:rsid w:val="02CD5A6F"/>
    <w:rsid w:val="02D50DC8"/>
    <w:rsid w:val="02F92D08"/>
    <w:rsid w:val="02FF011F"/>
    <w:rsid w:val="0306625F"/>
    <w:rsid w:val="0314369E"/>
    <w:rsid w:val="032B6C3A"/>
    <w:rsid w:val="033A0C2B"/>
    <w:rsid w:val="03433F84"/>
    <w:rsid w:val="034D095E"/>
    <w:rsid w:val="034D4E02"/>
    <w:rsid w:val="03636F78"/>
    <w:rsid w:val="038E49F0"/>
    <w:rsid w:val="038F7198"/>
    <w:rsid w:val="03905CE5"/>
    <w:rsid w:val="03925EFB"/>
    <w:rsid w:val="03960557"/>
    <w:rsid w:val="039753F3"/>
    <w:rsid w:val="03AC7D7B"/>
    <w:rsid w:val="03B41164"/>
    <w:rsid w:val="03B659B7"/>
    <w:rsid w:val="03B65DA4"/>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13E65"/>
    <w:rsid w:val="05777F14"/>
    <w:rsid w:val="057F7413"/>
    <w:rsid w:val="059302F0"/>
    <w:rsid w:val="05B55DC4"/>
    <w:rsid w:val="05C56ED2"/>
    <w:rsid w:val="05EB7E30"/>
    <w:rsid w:val="0600615C"/>
    <w:rsid w:val="0619721E"/>
    <w:rsid w:val="06223840"/>
    <w:rsid w:val="06235109"/>
    <w:rsid w:val="062459A5"/>
    <w:rsid w:val="062478E7"/>
    <w:rsid w:val="06304C93"/>
    <w:rsid w:val="064510DB"/>
    <w:rsid w:val="06581AF4"/>
    <w:rsid w:val="06620B3A"/>
    <w:rsid w:val="066E7569"/>
    <w:rsid w:val="06954AF6"/>
    <w:rsid w:val="069717B9"/>
    <w:rsid w:val="06D0451E"/>
    <w:rsid w:val="06DA6FC6"/>
    <w:rsid w:val="06EB6E0C"/>
    <w:rsid w:val="06F10417"/>
    <w:rsid w:val="06F34B4B"/>
    <w:rsid w:val="06FF299A"/>
    <w:rsid w:val="070A729C"/>
    <w:rsid w:val="07342561"/>
    <w:rsid w:val="073C599D"/>
    <w:rsid w:val="073E5575"/>
    <w:rsid w:val="074128B0"/>
    <w:rsid w:val="074A10F8"/>
    <w:rsid w:val="074D3623"/>
    <w:rsid w:val="0761194E"/>
    <w:rsid w:val="076432D3"/>
    <w:rsid w:val="0781151E"/>
    <w:rsid w:val="07B54D24"/>
    <w:rsid w:val="07B63215"/>
    <w:rsid w:val="07B77A9C"/>
    <w:rsid w:val="07BC624E"/>
    <w:rsid w:val="07D63618"/>
    <w:rsid w:val="07DC7A5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B5322E"/>
    <w:rsid w:val="08D00FFA"/>
    <w:rsid w:val="08EF5F46"/>
    <w:rsid w:val="08FF26FB"/>
    <w:rsid w:val="090441B5"/>
    <w:rsid w:val="09086D86"/>
    <w:rsid w:val="090F12E9"/>
    <w:rsid w:val="09367BAA"/>
    <w:rsid w:val="09381D73"/>
    <w:rsid w:val="09473B2C"/>
    <w:rsid w:val="096A3477"/>
    <w:rsid w:val="097C361B"/>
    <w:rsid w:val="09866978"/>
    <w:rsid w:val="09AB5942"/>
    <w:rsid w:val="09B064D1"/>
    <w:rsid w:val="09BF2ED7"/>
    <w:rsid w:val="09BF7674"/>
    <w:rsid w:val="09F45FD8"/>
    <w:rsid w:val="09F806A3"/>
    <w:rsid w:val="0A0B50CF"/>
    <w:rsid w:val="0A0D1190"/>
    <w:rsid w:val="0A2456C5"/>
    <w:rsid w:val="0A2543E3"/>
    <w:rsid w:val="0A474057"/>
    <w:rsid w:val="0A53598C"/>
    <w:rsid w:val="0A641E3D"/>
    <w:rsid w:val="0AA34B1B"/>
    <w:rsid w:val="0AAD7CD9"/>
    <w:rsid w:val="0AB6328D"/>
    <w:rsid w:val="0ABD15CE"/>
    <w:rsid w:val="0ABF263A"/>
    <w:rsid w:val="0AD12B8F"/>
    <w:rsid w:val="0AF618DB"/>
    <w:rsid w:val="0B0A6314"/>
    <w:rsid w:val="0B183F48"/>
    <w:rsid w:val="0B330D82"/>
    <w:rsid w:val="0B335CF7"/>
    <w:rsid w:val="0B5C5BE2"/>
    <w:rsid w:val="0B6B051B"/>
    <w:rsid w:val="0B6E6353"/>
    <w:rsid w:val="0B7B2E88"/>
    <w:rsid w:val="0B8415DD"/>
    <w:rsid w:val="0B842ECF"/>
    <w:rsid w:val="0BA53A0C"/>
    <w:rsid w:val="0BA8462C"/>
    <w:rsid w:val="0BD10EF4"/>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AF61E6"/>
    <w:rsid w:val="0CB14648"/>
    <w:rsid w:val="0CB21A52"/>
    <w:rsid w:val="0CB63A18"/>
    <w:rsid w:val="0CBD3A66"/>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9E132B"/>
    <w:rsid w:val="0DDB1F25"/>
    <w:rsid w:val="0DE34346"/>
    <w:rsid w:val="0DF465A6"/>
    <w:rsid w:val="0DFC545B"/>
    <w:rsid w:val="0E004116"/>
    <w:rsid w:val="0E077E36"/>
    <w:rsid w:val="0E0E22E1"/>
    <w:rsid w:val="0E110D22"/>
    <w:rsid w:val="0E193424"/>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C621C4"/>
    <w:rsid w:val="0FCA1B11"/>
    <w:rsid w:val="0FE825FD"/>
    <w:rsid w:val="0FF61E2B"/>
    <w:rsid w:val="10260FB8"/>
    <w:rsid w:val="10280789"/>
    <w:rsid w:val="104D6442"/>
    <w:rsid w:val="106043C7"/>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E38BD"/>
    <w:rsid w:val="114E06C3"/>
    <w:rsid w:val="11531836"/>
    <w:rsid w:val="115A1FCB"/>
    <w:rsid w:val="11633A20"/>
    <w:rsid w:val="11700B96"/>
    <w:rsid w:val="117A7D9D"/>
    <w:rsid w:val="117B6FDE"/>
    <w:rsid w:val="117D1895"/>
    <w:rsid w:val="1189681F"/>
    <w:rsid w:val="118D065E"/>
    <w:rsid w:val="119111DD"/>
    <w:rsid w:val="119D0D92"/>
    <w:rsid w:val="11B01C7F"/>
    <w:rsid w:val="11B20C52"/>
    <w:rsid w:val="11C049F1"/>
    <w:rsid w:val="11C72224"/>
    <w:rsid w:val="11C97D4A"/>
    <w:rsid w:val="11D16BFE"/>
    <w:rsid w:val="11E20E0C"/>
    <w:rsid w:val="11EB5F12"/>
    <w:rsid w:val="11F63B39"/>
    <w:rsid w:val="11F811A4"/>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30D010A"/>
    <w:rsid w:val="130E5DFE"/>
    <w:rsid w:val="1318492B"/>
    <w:rsid w:val="13195D86"/>
    <w:rsid w:val="133415D2"/>
    <w:rsid w:val="13390EFF"/>
    <w:rsid w:val="134659BB"/>
    <w:rsid w:val="13534D6F"/>
    <w:rsid w:val="135D699C"/>
    <w:rsid w:val="1362355A"/>
    <w:rsid w:val="136B46BF"/>
    <w:rsid w:val="13860D94"/>
    <w:rsid w:val="13863BCF"/>
    <w:rsid w:val="138A779A"/>
    <w:rsid w:val="138D2BCA"/>
    <w:rsid w:val="139879D4"/>
    <w:rsid w:val="13A12FBB"/>
    <w:rsid w:val="13C44C6D"/>
    <w:rsid w:val="13E9022F"/>
    <w:rsid w:val="13EB044B"/>
    <w:rsid w:val="13F53078"/>
    <w:rsid w:val="13FD017F"/>
    <w:rsid w:val="1400703C"/>
    <w:rsid w:val="14024E31"/>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435B9A"/>
    <w:rsid w:val="17481711"/>
    <w:rsid w:val="17530278"/>
    <w:rsid w:val="1770488D"/>
    <w:rsid w:val="177251DB"/>
    <w:rsid w:val="179F403B"/>
    <w:rsid w:val="17B46DA6"/>
    <w:rsid w:val="17DE6503"/>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07C10"/>
    <w:rsid w:val="18D95C4B"/>
    <w:rsid w:val="18E33521"/>
    <w:rsid w:val="18EB67F8"/>
    <w:rsid w:val="18ED6A14"/>
    <w:rsid w:val="18FA4C8D"/>
    <w:rsid w:val="18FF7748"/>
    <w:rsid w:val="19133920"/>
    <w:rsid w:val="19204775"/>
    <w:rsid w:val="19296091"/>
    <w:rsid w:val="193C34F7"/>
    <w:rsid w:val="19526877"/>
    <w:rsid w:val="196C36C2"/>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7208D9"/>
    <w:rsid w:val="1A764FB0"/>
    <w:rsid w:val="1A767F97"/>
    <w:rsid w:val="1A8C60A2"/>
    <w:rsid w:val="1A932C82"/>
    <w:rsid w:val="1A9D1D74"/>
    <w:rsid w:val="1A9F789A"/>
    <w:rsid w:val="1AA37850"/>
    <w:rsid w:val="1AA650CC"/>
    <w:rsid w:val="1AA864FA"/>
    <w:rsid w:val="1AB97B24"/>
    <w:rsid w:val="1AC90DBB"/>
    <w:rsid w:val="1AD930B1"/>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BFD529F"/>
    <w:rsid w:val="1C044843"/>
    <w:rsid w:val="1C165429"/>
    <w:rsid w:val="1C4C7B54"/>
    <w:rsid w:val="1C6D30D8"/>
    <w:rsid w:val="1C7911F1"/>
    <w:rsid w:val="1C7B60E4"/>
    <w:rsid w:val="1CCB47C0"/>
    <w:rsid w:val="1CE27F12"/>
    <w:rsid w:val="1CF3330B"/>
    <w:rsid w:val="1D0B3F40"/>
    <w:rsid w:val="1D0C2883"/>
    <w:rsid w:val="1D1F4CC2"/>
    <w:rsid w:val="1D3B1144"/>
    <w:rsid w:val="1D3E4079"/>
    <w:rsid w:val="1D44297A"/>
    <w:rsid w:val="1D4E4561"/>
    <w:rsid w:val="1D703128"/>
    <w:rsid w:val="1D7C5FBA"/>
    <w:rsid w:val="1D81336E"/>
    <w:rsid w:val="1D8B67FB"/>
    <w:rsid w:val="1D9F19C4"/>
    <w:rsid w:val="1DA575B0"/>
    <w:rsid w:val="1DAF24EA"/>
    <w:rsid w:val="1DB375C5"/>
    <w:rsid w:val="1DB46449"/>
    <w:rsid w:val="1DBC69B5"/>
    <w:rsid w:val="1DC332DD"/>
    <w:rsid w:val="1DDB0E18"/>
    <w:rsid w:val="1DE80C95"/>
    <w:rsid w:val="1DEF6D8A"/>
    <w:rsid w:val="1E061E25"/>
    <w:rsid w:val="1E062897"/>
    <w:rsid w:val="1E226345"/>
    <w:rsid w:val="1E37428D"/>
    <w:rsid w:val="1E384EE7"/>
    <w:rsid w:val="1E3A6C06"/>
    <w:rsid w:val="1E424E8A"/>
    <w:rsid w:val="1E6C5E06"/>
    <w:rsid w:val="1E736290"/>
    <w:rsid w:val="1E8C6387"/>
    <w:rsid w:val="1E8F5E77"/>
    <w:rsid w:val="1E9A6CF6"/>
    <w:rsid w:val="1EAA4A5F"/>
    <w:rsid w:val="1EB06519"/>
    <w:rsid w:val="1EB458DE"/>
    <w:rsid w:val="1EC00497"/>
    <w:rsid w:val="1EDA5344"/>
    <w:rsid w:val="1EE613D0"/>
    <w:rsid w:val="1EE93A18"/>
    <w:rsid w:val="1EF1268E"/>
    <w:rsid w:val="1EF21855"/>
    <w:rsid w:val="1EF501D6"/>
    <w:rsid w:val="1EF80AEE"/>
    <w:rsid w:val="1F1830CB"/>
    <w:rsid w:val="1F1D4CEA"/>
    <w:rsid w:val="1F3431EF"/>
    <w:rsid w:val="1F412ACD"/>
    <w:rsid w:val="1F703EFB"/>
    <w:rsid w:val="1F717B90"/>
    <w:rsid w:val="1F896D6A"/>
    <w:rsid w:val="1FA51C58"/>
    <w:rsid w:val="1FA7649E"/>
    <w:rsid w:val="1FBE7B22"/>
    <w:rsid w:val="1FCD4EA9"/>
    <w:rsid w:val="1FF02C39"/>
    <w:rsid w:val="20061562"/>
    <w:rsid w:val="200A7EAB"/>
    <w:rsid w:val="2017317A"/>
    <w:rsid w:val="201D0468"/>
    <w:rsid w:val="202857A9"/>
    <w:rsid w:val="202D76F6"/>
    <w:rsid w:val="203D7B26"/>
    <w:rsid w:val="20A749AE"/>
    <w:rsid w:val="20B10327"/>
    <w:rsid w:val="20B15A28"/>
    <w:rsid w:val="20C655D1"/>
    <w:rsid w:val="20C77B4A"/>
    <w:rsid w:val="20C92795"/>
    <w:rsid w:val="20D65FDF"/>
    <w:rsid w:val="20DB0CE4"/>
    <w:rsid w:val="20E961FA"/>
    <w:rsid w:val="20EE6F43"/>
    <w:rsid w:val="211A14D6"/>
    <w:rsid w:val="211F34E2"/>
    <w:rsid w:val="2132735C"/>
    <w:rsid w:val="21494219"/>
    <w:rsid w:val="21564CC5"/>
    <w:rsid w:val="21725E20"/>
    <w:rsid w:val="217F21D3"/>
    <w:rsid w:val="21894835"/>
    <w:rsid w:val="219F6403"/>
    <w:rsid w:val="21A148C9"/>
    <w:rsid w:val="21A84B20"/>
    <w:rsid w:val="21A97250"/>
    <w:rsid w:val="21C347B6"/>
    <w:rsid w:val="21D06ED2"/>
    <w:rsid w:val="21D547D9"/>
    <w:rsid w:val="21E36C06"/>
    <w:rsid w:val="21E77123"/>
    <w:rsid w:val="21F841CB"/>
    <w:rsid w:val="21FE26A3"/>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CC769A"/>
    <w:rsid w:val="22DF73CD"/>
    <w:rsid w:val="22F10EAE"/>
    <w:rsid w:val="2305495A"/>
    <w:rsid w:val="230D3F37"/>
    <w:rsid w:val="231128EB"/>
    <w:rsid w:val="23130BB1"/>
    <w:rsid w:val="23151041"/>
    <w:rsid w:val="23307C29"/>
    <w:rsid w:val="233415C5"/>
    <w:rsid w:val="234C07DB"/>
    <w:rsid w:val="23566F63"/>
    <w:rsid w:val="2362143C"/>
    <w:rsid w:val="23645B24"/>
    <w:rsid w:val="23887A65"/>
    <w:rsid w:val="238E2BA1"/>
    <w:rsid w:val="239A6033"/>
    <w:rsid w:val="23A418A2"/>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A773D3"/>
    <w:rsid w:val="24B65FDB"/>
    <w:rsid w:val="24DB6D9D"/>
    <w:rsid w:val="24F904EE"/>
    <w:rsid w:val="25237319"/>
    <w:rsid w:val="25276E09"/>
    <w:rsid w:val="253311F6"/>
    <w:rsid w:val="253B3193"/>
    <w:rsid w:val="25552E9E"/>
    <w:rsid w:val="255866F6"/>
    <w:rsid w:val="25654FC9"/>
    <w:rsid w:val="25851E17"/>
    <w:rsid w:val="2586379D"/>
    <w:rsid w:val="25A91F14"/>
    <w:rsid w:val="25C97EC1"/>
    <w:rsid w:val="25DF1492"/>
    <w:rsid w:val="25EB1207"/>
    <w:rsid w:val="25F723E2"/>
    <w:rsid w:val="26377520"/>
    <w:rsid w:val="263C274B"/>
    <w:rsid w:val="264B7744"/>
    <w:rsid w:val="2651082C"/>
    <w:rsid w:val="267E7EE2"/>
    <w:rsid w:val="26A804CA"/>
    <w:rsid w:val="26C66AA9"/>
    <w:rsid w:val="26CD578F"/>
    <w:rsid w:val="26CF59AB"/>
    <w:rsid w:val="26DB434F"/>
    <w:rsid w:val="26DD1E76"/>
    <w:rsid w:val="26F64CE5"/>
    <w:rsid w:val="26F87EF2"/>
    <w:rsid w:val="271138CD"/>
    <w:rsid w:val="271703C5"/>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EB05C2"/>
    <w:rsid w:val="27F84A8D"/>
    <w:rsid w:val="27FC3AE4"/>
    <w:rsid w:val="2800288E"/>
    <w:rsid w:val="28065AFB"/>
    <w:rsid w:val="280C4E96"/>
    <w:rsid w:val="281B7D88"/>
    <w:rsid w:val="282E4FCE"/>
    <w:rsid w:val="28342B35"/>
    <w:rsid w:val="2834568E"/>
    <w:rsid w:val="283F0442"/>
    <w:rsid w:val="28497097"/>
    <w:rsid w:val="284E32AF"/>
    <w:rsid w:val="285A5748"/>
    <w:rsid w:val="286D1F27"/>
    <w:rsid w:val="287E1436"/>
    <w:rsid w:val="28924EE2"/>
    <w:rsid w:val="28975940"/>
    <w:rsid w:val="28A2738B"/>
    <w:rsid w:val="28A86838"/>
    <w:rsid w:val="28C4031B"/>
    <w:rsid w:val="28CB6760"/>
    <w:rsid w:val="28DA7C9C"/>
    <w:rsid w:val="28EC71CA"/>
    <w:rsid w:val="290B259E"/>
    <w:rsid w:val="291D0C4F"/>
    <w:rsid w:val="2924258A"/>
    <w:rsid w:val="29274E04"/>
    <w:rsid w:val="293F46A3"/>
    <w:rsid w:val="296D1EE4"/>
    <w:rsid w:val="298B44EB"/>
    <w:rsid w:val="29944EB8"/>
    <w:rsid w:val="299C4433"/>
    <w:rsid w:val="29DB4666"/>
    <w:rsid w:val="29E4351B"/>
    <w:rsid w:val="29E736D3"/>
    <w:rsid w:val="29EC0622"/>
    <w:rsid w:val="29FB1FE8"/>
    <w:rsid w:val="29FD5050"/>
    <w:rsid w:val="29FE68AE"/>
    <w:rsid w:val="2A031B89"/>
    <w:rsid w:val="2A070C32"/>
    <w:rsid w:val="2A0B0AA8"/>
    <w:rsid w:val="2A1C2CB5"/>
    <w:rsid w:val="2A1F6D8E"/>
    <w:rsid w:val="2A32072A"/>
    <w:rsid w:val="2A3C5105"/>
    <w:rsid w:val="2A444271"/>
    <w:rsid w:val="2A491993"/>
    <w:rsid w:val="2A567D20"/>
    <w:rsid w:val="2A6F4131"/>
    <w:rsid w:val="2A782154"/>
    <w:rsid w:val="2A821832"/>
    <w:rsid w:val="2A8C2357"/>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C5E0D"/>
    <w:rsid w:val="2B4E474F"/>
    <w:rsid w:val="2B553EE9"/>
    <w:rsid w:val="2B674404"/>
    <w:rsid w:val="2B6E1B3C"/>
    <w:rsid w:val="2B801021"/>
    <w:rsid w:val="2B91322F"/>
    <w:rsid w:val="2B9A7696"/>
    <w:rsid w:val="2B9C153F"/>
    <w:rsid w:val="2BA56CDA"/>
    <w:rsid w:val="2BB255CF"/>
    <w:rsid w:val="2BBE3714"/>
    <w:rsid w:val="2BD24D2D"/>
    <w:rsid w:val="2BD27F42"/>
    <w:rsid w:val="2BDE71AB"/>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C81053"/>
    <w:rsid w:val="2CD326FB"/>
    <w:rsid w:val="2CD33D72"/>
    <w:rsid w:val="2CDD2170"/>
    <w:rsid w:val="2CEA7FC6"/>
    <w:rsid w:val="2CEF46B1"/>
    <w:rsid w:val="2CF220D0"/>
    <w:rsid w:val="2CF241A1"/>
    <w:rsid w:val="2D032370"/>
    <w:rsid w:val="2D056154"/>
    <w:rsid w:val="2D094BEA"/>
    <w:rsid w:val="2D246966"/>
    <w:rsid w:val="2D2A52C6"/>
    <w:rsid w:val="2D4D7629"/>
    <w:rsid w:val="2D880661"/>
    <w:rsid w:val="2D8F1DD6"/>
    <w:rsid w:val="2D915A33"/>
    <w:rsid w:val="2D954534"/>
    <w:rsid w:val="2D9800A5"/>
    <w:rsid w:val="2DC3712A"/>
    <w:rsid w:val="2DE171DF"/>
    <w:rsid w:val="2DEF1551"/>
    <w:rsid w:val="2E0200C9"/>
    <w:rsid w:val="2E3507E9"/>
    <w:rsid w:val="2E3C6ABB"/>
    <w:rsid w:val="2E4345B4"/>
    <w:rsid w:val="2E5A3DAC"/>
    <w:rsid w:val="2E5D53FD"/>
    <w:rsid w:val="2E61599C"/>
    <w:rsid w:val="2E6332CF"/>
    <w:rsid w:val="2E6E7857"/>
    <w:rsid w:val="2E7D7A9A"/>
    <w:rsid w:val="2EA63495"/>
    <w:rsid w:val="2EBA0298"/>
    <w:rsid w:val="2EBF09B3"/>
    <w:rsid w:val="2ED22F7C"/>
    <w:rsid w:val="2ED73784"/>
    <w:rsid w:val="2EDF3673"/>
    <w:rsid w:val="2EE213C2"/>
    <w:rsid w:val="2EFC30B5"/>
    <w:rsid w:val="2F0361F1"/>
    <w:rsid w:val="2F0529C7"/>
    <w:rsid w:val="2F3E36CD"/>
    <w:rsid w:val="2F486989"/>
    <w:rsid w:val="2F4C403D"/>
    <w:rsid w:val="2F653004"/>
    <w:rsid w:val="2F684953"/>
    <w:rsid w:val="2F8135BA"/>
    <w:rsid w:val="2F8D622E"/>
    <w:rsid w:val="2F9037FD"/>
    <w:rsid w:val="2F917CA1"/>
    <w:rsid w:val="2F982E42"/>
    <w:rsid w:val="2FCB7EDC"/>
    <w:rsid w:val="2FD951A4"/>
    <w:rsid w:val="2FDB7940"/>
    <w:rsid w:val="2FE60F0B"/>
    <w:rsid w:val="2FFE3400"/>
    <w:rsid w:val="301B0290"/>
    <w:rsid w:val="303C4D07"/>
    <w:rsid w:val="306461F7"/>
    <w:rsid w:val="30647164"/>
    <w:rsid w:val="306C3ED5"/>
    <w:rsid w:val="306C6C6A"/>
    <w:rsid w:val="306D3F93"/>
    <w:rsid w:val="30711C4D"/>
    <w:rsid w:val="30801AC4"/>
    <w:rsid w:val="308A649E"/>
    <w:rsid w:val="308E5A68"/>
    <w:rsid w:val="30A2226B"/>
    <w:rsid w:val="30BB2AFC"/>
    <w:rsid w:val="30C22649"/>
    <w:rsid w:val="30DC08E6"/>
    <w:rsid w:val="30E81B43"/>
    <w:rsid w:val="30E97669"/>
    <w:rsid w:val="312E022B"/>
    <w:rsid w:val="314221E6"/>
    <w:rsid w:val="314A45AB"/>
    <w:rsid w:val="314D7BF8"/>
    <w:rsid w:val="31534D0D"/>
    <w:rsid w:val="317118EE"/>
    <w:rsid w:val="318555E4"/>
    <w:rsid w:val="318A3760"/>
    <w:rsid w:val="31C64FD5"/>
    <w:rsid w:val="31C84C92"/>
    <w:rsid w:val="31D163B5"/>
    <w:rsid w:val="31D976DD"/>
    <w:rsid w:val="31DE4220"/>
    <w:rsid w:val="3201528F"/>
    <w:rsid w:val="320E382B"/>
    <w:rsid w:val="322F3FB8"/>
    <w:rsid w:val="32391589"/>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8673F1"/>
    <w:rsid w:val="339935C8"/>
    <w:rsid w:val="339F39D0"/>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6D0033"/>
    <w:rsid w:val="3474193F"/>
    <w:rsid w:val="347A4AA6"/>
    <w:rsid w:val="347C3D10"/>
    <w:rsid w:val="34BA5036"/>
    <w:rsid w:val="34BC5AFA"/>
    <w:rsid w:val="34C91AA1"/>
    <w:rsid w:val="34D337DA"/>
    <w:rsid w:val="34D6600F"/>
    <w:rsid w:val="34EE34A0"/>
    <w:rsid w:val="34F36D08"/>
    <w:rsid w:val="34FA7F15"/>
    <w:rsid w:val="34FB24F0"/>
    <w:rsid w:val="352930DB"/>
    <w:rsid w:val="353B59DD"/>
    <w:rsid w:val="35534E88"/>
    <w:rsid w:val="355A32BB"/>
    <w:rsid w:val="35633752"/>
    <w:rsid w:val="3569521C"/>
    <w:rsid w:val="35823489"/>
    <w:rsid w:val="35897E8C"/>
    <w:rsid w:val="35953A4C"/>
    <w:rsid w:val="35A66D4C"/>
    <w:rsid w:val="35B53FBD"/>
    <w:rsid w:val="35B5404A"/>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C3270A"/>
    <w:rsid w:val="3701395E"/>
    <w:rsid w:val="371448CE"/>
    <w:rsid w:val="371D2877"/>
    <w:rsid w:val="372A0A3B"/>
    <w:rsid w:val="372A4537"/>
    <w:rsid w:val="373C4996"/>
    <w:rsid w:val="374A1E98"/>
    <w:rsid w:val="37533C0B"/>
    <w:rsid w:val="375F68D7"/>
    <w:rsid w:val="37794D4F"/>
    <w:rsid w:val="37A02925"/>
    <w:rsid w:val="37B3277F"/>
    <w:rsid w:val="37B34CA4"/>
    <w:rsid w:val="37BD7469"/>
    <w:rsid w:val="37D9327F"/>
    <w:rsid w:val="37E93A81"/>
    <w:rsid w:val="37F75EE1"/>
    <w:rsid w:val="38172D0E"/>
    <w:rsid w:val="38317A04"/>
    <w:rsid w:val="38430BE0"/>
    <w:rsid w:val="384B5B0E"/>
    <w:rsid w:val="38591578"/>
    <w:rsid w:val="385B0E4C"/>
    <w:rsid w:val="385C66C2"/>
    <w:rsid w:val="38645F08"/>
    <w:rsid w:val="38697E97"/>
    <w:rsid w:val="387168C2"/>
    <w:rsid w:val="3888121E"/>
    <w:rsid w:val="388E270B"/>
    <w:rsid w:val="389B1BDF"/>
    <w:rsid w:val="38A1659F"/>
    <w:rsid w:val="38AF2F46"/>
    <w:rsid w:val="38B16CBE"/>
    <w:rsid w:val="38C95821"/>
    <w:rsid w:val="38F02478"/>
    <w:rsid w:val="390239BE"/>
    <w:rsid w:val="39180C1C"/>
    <w:rsid w:val="392A1B36"/>
    <w:rsid w:val="392A34F7"/>
    <w:rsid w:val="392A4E38"/>
    <w:rsid w:val="393A6E69"/>
    <w:rsid w:val="39675500"/>
    <w:rsid w:val="396B1563"/>
    <w:rsid w:val="39754190"/>
    <w:rsid w:val="399B0348"/>
    <w:rsid w:val="39BF57BB"/>
    <w:rsid w:val="39CD2DB0"/>
    <w:rsid w:val="39D92970"/>
    <w:rsid w:val="39DB0D6F"/>
    <w:rsid w:val="39FE7012"/>
    <w:rsid w:val="3A0D5454"/>
    <w:rsid w:val="3A1172F4"/>
    <w:rsid w:val="3A23599A"/>
    <w:rsid w:val="3A255086"/>
    <w:rsid w:val="3A2E4C8D"/>
    <w:rsid w:val="3A35147E"/>
    <w:rsid w:val="3A377636"/>
    <w:rsid w:val="3A446EBF"/>
    <w:rsid w:val="3A4B4EF0"/>
    <w:rsid w:val="3A514258"/>
    <w:rsid w:val="3A6802CC"/>
    <w:rsid w:val="3A684F47"/>
    <w:rsid w:val="3A6A4A9F"/>
    <w:rsid w:val="3A7D77A0"/>
    <w:rsid w:val="3A810023"/>
    <w:rsid w:val="3A860F49"/>
    <w:rsid w:val="3A9D05C4"/>
    <w:rsid w:val="3AA1177A"/>
    <w:rsid w:val="3ABC194A"/>
    <w:rsid w:val="3AD2116E"/>
    <w:rsid w:val="3AF37A62"/>
    <w:rsid w:val="3AF61300"/>
    <w:rsid w:val="3AFB6916"/>
    <w:rsid w:val="3AFD73E8"/>
    <w:rsid w:val="3B381919"/>
    <w:rsid w:val="3B615DAA"/>
    <w:rsid w:val="3B944458"/>
    <w:rsid w:val="3B954675"/>
    <w:rsid w:val="3B9823B7"/>
    <w:rsid w:val="3B985F13"/>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A1704A"/>
    <w:rsid w:val="3CC86CCC"/>
    <w:rsid w:val="3CD4741F"/>
    <w:rsid w:val="3CFB3A43"/>
    <w:rsid w:val="3CFB661F"/>
    <w:rsid w:val="3D0B626C"/>
    <w:rsid w:val="3D0F4D1C"/>
    <w:rsid w:val="3D167A38"/>
    <w:rsid w:val="3D3B3B1C"/>
    <w:rsid w:val="3D487A50"/>
    <w:rsid w:val="3D5139EC"/>
    <w:rsid w:val="3D687B67"/>
    <w:rsid w:val="3D7A6218"/>
    <w:rsid w:val="3D7C3859"/>
    <w:rsid w:val="3D8552FA"/>
    <w:rsid w:val="3D8C367A"/>
    <w:rsid w:val="3DA908AC"/>
    <w:rsid w:val="3DB039E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C582F"/>
    <w:rsid w:val="3EC80F65"/>
    <w:rsid w:val="3ED35D96"/>
    <w:rsid w:val="3EE0310F"/>
    <w:rsid w:val="3F192FDE"/>
    <w:rsid w:val="3F21764F"/>
    <w:rsid w:val="3F270382"/>
    <w:rsid w:val="3F4D34B9"/>
    <w:rsid w:val="3F5C61BC"/>
    <w:rsid w:val="3F7E18C4"/>
    <w:rsid w:val="3F821E5A"/>
    <w:rsid w:val="3F826617"/>
    <w:rsid w:val="3F882148"/>
    <w:rsid w:val="3FAD5B09"/>
    <w:rsid w:val="3FAF5707"/>
    <w:rsid w:val="3FD61700"/>
    <w:rsid w:val="3FD85683"/>
    <w:rsid w:val="3FF130F6"/>
    <w:rsid w:val="3FF878C8"/>
    <w:rsid w:val="3FFA5B87"/>
    <w:rsid w:val="3FFF6096"/>
    <w:rsid w:val="40044B90"/>
    <w:rsid w:val="40153FD6"/>
    <w:rsid w:val="402042D4"/>
    <w:rsid w:val="40273D0A"/>
    <w:rsid w:val="40310071"/>
    <w:rsid w:val="40353948"/>
    <w:rsid w:val="4045485F"/>
    <w:rsid w:val="405640FA"/>
    <w:rsid w:val="4081166C"/>
    <w:rsid w:val="40975D69"/>
    <w:rsid w:val="40A01D3A"/>
    <w:rsid w:val="40C652D1"/>
    <w:rsid w:val="40C92CD2"/>
    <w:rsid w:val="40EE1315"/>
    <w:rsid w:val="410B7187"/>
    <w:rsid w:val="411249BA"/>
    <w:rsid w:val="41166258"/>
    <w:rsid w:val="414172BF"/>
    <w:rsid w:val="416A190F"/>
    <w:rsid w:val="416E7E42"/>
    <w:rsid w:val="416F3BBA"/>
    <w:rsid w:val="418770B8"/>
    <w:rsid w:val="41B6712E"/>
    <w:rsid w:val="41BA6A45"/>
    <w:rsid w:val="41C85859"/>
    <w:rsid w:val="41CA339C"/>
    <w:rsid w:val="41D103D1"/>
    <w:rsid w:val="41D758D6"/>
    <w:rsid w:val="41DF2F7B"/>
    <w:rsid w:val="41F63994"/>
    <w:rsid w:val="42277327"/>
    <w:rsid w:val="422F448D"/>
    <w:rsid w:val="42312C1E"/>
    <w:rsid w:val="42366258"/>
    <w:rsid w:val="424514EC"/>
    <w:rsid w:val="424B0183"/>
    <w:rsid w:val="424C228D"/>
    <w:rsid w:val="424E40FE"/>
    <w:rsid w:val="427E4A81"/>
    <w:rsid w:val="428C524B"/>
    <w:rsid w:val="42927D62"/>
    <w:rsid w:val="429B3874"/>
    <w:rsid w:val="429F5DD9"/>
    <w:rsid w:val="42AD499A"/>
    <w:rsid w:val="42B61086"/>
    <w:rsid w:val="42C26869"/>
    <w:rsid w:val="42DD6902"/>
    <w:rsid w:val="42E3216A"/>
    <w:rsid w:val="42ED02B3"/>
    <w:rsid w:val="42FE6FA4"/>
    <w:rsid w:val="43040332"/>
    <w:rsid w:val="430F518E"/>
    <w:rsid w:val="43152860"/>
    <w:rsid w:val="43162488"/>
    <w:rsid w:val="431762B8"/>
    <w:rsid w:val="431A4176"/>
    <w:rsid w:val="431B17D2"/>
    <w:rsid w:val="434370AD"/>
    <w:rsid w:val="434A043B"/>
    <w:rsid w:val="43560B8E"/>
    <w:rsid w:val="43607C5E"/>
    <w:rsid w:val="436F7EA2"/>
    <w:rsid w:val="43772A58"/>
    <w:rsid w:val="438761B4"/>
    <w:rsid w:val="4389474A"/>
    <w:rsid w:val="438F3327"/>
    <w:rsid w:val="43923B90"/>
    <w:rsid w:val="43A4707C"/>
    <w:rsid w:val="43D67B4D"/>
    <w:rsid w:val="43DF0926"/>
    <w:rsid w:val="43F15324"/>
    <w:rsid w:val="440B706C"/>
    <w:rsid w:val="44110F59"/>
    <w:rsid w:val="441A605F"/>
    <w:rsid w:val="441D70DF"/>
    <w:rsid w:val="441E176A"/>
    <w:rsid w:val="441F5424"/>
    <w:rsid w:val="44292D63"/>
    <w:rsid w:val="443B0E5E"/>
    <w:rsid w:val="44426C0E"/>
    <w:rsid w:val="4445330B"/>
    <w:rsid w:val="44484B78"/>
    <w:rsid w:val="44550816"/>
    <w:rsid w:val="445826E4"/>
    <w:rsid w:val="44592AFA"/>
    <w:rsid w:val="445C06B9"/>
    <w:rsid w:val="445F3A72"/>
    <w:rsid w:val="446077EA"/>
    <w:rsid w:val="44665E49"/>
    <w:rsid w:val="446C618F"/>
    <w:rsid w:val="448E3562"/>
    <w:rsid w:val="448F024A"/>
    <w:rsid w:val="44B26298"/>
    <w:rsid w:val="44BE2E8F"/>
    <w:rsid w:val="44C86593"/>
    <w:rsid w:val="44D02189"/>
    <w:rsid w:val="44D73F50"/>
    <w:rsid w:val="44FC1D24"/>
    <w:rsid w:val="44FE1514"/>
    <w:rsid w:val="451008C2"/>
    <w:rsid w:val="451277B0"/>
    <w:rsid w:val="451A5BEB"/>
    <w:rsid w:val="45246F22"/>
    <w:rsid w:val="452470E5"/>
    <w:rsid w:val="45280308"/>
    <w:rsid w:val="45435142"/>
    <w:rsid w:val="45464C32"/>
    <w:rsid w:val="45492AC0"/>
    <w:rsid w:val="4550785F"/>
    <w:rsid w:val="45513D03"/>
    <w:rsid w:val="45675331"/>
    <w:rsid w:val="45801494"/>
    <w:rsid w:val="458021A9"/>
    <w:rsid w:val="45834749"/>
    <w:rsid w:val="458D7ACD"/>
    <w:rsid w:val="45AB63C3"/>
    <w:rsid w:val="45CD7101"/>
    <w:rsid w:val="45D73ADC"/>
    <w:rsid w:val="45D93CF8"/>
    <w:rsid w:val="45D97854"/>
    <w:rsid w:val="45DB537A"/>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5E2A"/>
    <w:rsid w:val="469F2601"/>
    <w:rsid w:val="46A82FBF"/>
    <w:rsid w:val="46AB40C3"/>
    <w:rsid w:val="46BA58D8"/>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6609F"/>
    <w:rsid w:val="47B9547A"/>
    <w:rsid w:val="47C14A44"/>
    <w:rsid w:val="47D67F88"/>
    <w:rsid w:val="47E04ECA"/>
    <w:rsid w:val="47F20CC9"/>
    <w:rsid w:val="4803505C"/>
    <w:rsid w:val="480831B5"/>
    <w:rsid w:val="480D66CD"/>
    <w:rsid w:val="480F105A"/>
    <w:rsid w:val="48194880"/>
    <w:rsid w:val="481A5421"/>
    <w:rsid w:val="482849BA"/>
    <w:rsid w:val="48286871"/>
    <w:rsid w:val="483D056E"/>
    <w:rsid w:val="483F2BC9"/>
    <w:rsid w:val="485A1120"/>
    <w:rsid w:val="48A7549C"/>
    <w:rsid w:val="48B545A9"/>
    <w:rsid w:val="48BA15B1"/>
    <w:rsid w:val="48D273AC"/>
    <w:rsid w:val="48D76D49"/>
    <w:rsid w:val="48E97759"/>
    <w:rsid w:val="491F1E48"/>
    <w:rsid w:val="492139EC"/>
    <w:rsid w:val="492B3567"/>
    <w:rsid w:val="49337978"/>
    <w:rsid w:val="493E4BFE"/>
    <w:rsid w:val="494E0559"/>
    <w:rsid w:val="495D26EB"/>
    <w:rsid w:val="49600707"/>
    <w:rsid w:val="49656EDC"/>
    <w:rsid w:val="49793828"/>
    <w:rsid w:val="4987138C"/>
    <w:rsid w:val="49883A6B"/>
    <w:rsid w:val="49B91793"/>
    <w:rsid w:val="49C37596"/>
    <w:rsid w:val="49CD147E"/>
    <w:rsid w:val="49CF169A"/>
    <w:rsid w:val="49D348F2"/>
    <w:rsid w:val="49D7054F"/>
    <w:rsid w:val="49E204D8"/>
    <w:rsid w:val="49FA66B9"/>
    <w:rsid w:val="4A0D3F70"/>
    <w:rsid w:val="4A103FF4"/>
    <w:rsid w:val="4A1277D9"/>
    <w:rsid w:val="4A2F2139"/>
    <w:rsid w:val="4A4B70A4"/>
    <w:rsid w:val="4A5D0A54"/>
    <w:rsid w:val="4A666565"/>
    <w:rsid w:val="4A7B66E4"/>
    <w:rsid w:val="4A7D5113"/>
    <w:rsid w:val="4A7F4FCB"/>
    <w:rsid w:val="4A812A30"/>
    <w:rsid w:val="4A89523C"/>
    <w:rsid w:val="4AAA6714"/>
    <w:rsid w:val="4AB019AF"/>
    <w:rsid w:val="4AB60164"/>
    <w:rsid w:val="4AC54E91"/>
    <w:rsid w:val="4AD5154D"/>
    <w:rsid w:val="4AEA3364"/>
    <w:rsid w:val="4AF73617"/>
    <w:rsid w:val="4B101F6A"/>
    <w:rsid w:val="4B257098"/>
    <w:rsid w:val="4B593BC4"/>
    <w:rsid w:val="4B6A463C"/>
    <w:rsid w:val="4B902FB1"/>
    <w:rsid w:val="4B9E0E3F"/>
    <w:rsid w:val="4BB63B5B"/>
    <w:rsid w:val="4BB9615E"/>
    <w:rsid w:val="4BCC283D"/>
    <w:rsid w:val="4BD35E6D"/>
    <w:rsid w:val="4BDC1E4C"/>
    <w:rsid w:val="4BE1231B"/>
    <w:rsid w:val="4BFF5353"/>
    <w:rsid w:val="4C177328"/>
    <w:rsid w:val="4C1F6EFC"/>
    <w:rsid w:val="4C2F265F"/>
    <w:rsid w:val="4C5B5DF1"/>
    <w:rsid w:val="4C6D6DCE"/>
    <w:rsid w:val="4C752052"/>
    <w:rsid w:val="4C7D3694"/>
    <w:rsid w:val="4C8C73CE"/>
    <w:rsid w:val="4C9F27AB"/>
    <w:rsid w:val="4CA87F80"/>
    <w:rsid w:val="4CBD2C33"/>
    <w:rsid w:val="4CBD4A44"/>
    <w:rsid w:val="4CD40D75"/>
    <w:rsid w:val="4CDE3815"/>
    <w:rsid w:val="4CED2983"/>
    <w:rsid w:val="4CF71C95"/>
    <w:rsid w:val="4D0D2958"/>
    <w:rsid w:val="4D145493"/>
    <w:rsid w:val="4D16313C"/>
    <w:rsid w:val="4D2D4855"/>
    <w:rsid w:val="4D393332"/>
    <w:rsid w:val="4D3B01A7"/>
    <w:rsid w:val="4D4746C5"/>
    <w:rsid w:val="4D4B7289"/>
    <w:rsid w:val="4D4D1254"/>
    <w:rsid w:val="4D5A74CD"/>
    <w:rsid w:val="4D6759FB"/>
    <w:rsid w:val="4D6E3517"/>
    <w:rsid w:val="4DB14B03"/>
    <w:rsid w:val="4DB639B0"/>
    <w:rsid w:val="4DB7491F"/>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8A4011"/>
    <w:rsid w:val="4F926200"/>
    <w:rsid w:val="4F9A0295"/>
    <w:rsid w:val="4FA1745C"/>
    <w:rsid w:val="4FBA4253"/>
    <w:rsid w:val="4FC55461"/>
    <w:rsid w:val="4FCE7CFE"/>
    <w:rsid w:val="4FDC12AC"/>
    <w:rsid w:val="4FE20FB2"/>
    <w:rsid w:val="4FED4628"/>
    <w:rsid w:val="50055E16"/>
    <w:rsid w:val="501C4F0D"/>
    <w:rsid w:val="502B7CA9"/>
    <w:rsid w:val="503046E2"/>
    <w:rsid w:val="5038679F"/>
    <w:rsid w:val="50414974"/>
    <w:rsid w:val="50463D38"/>
    <w:rsid w:val="5047222E"/>
    <w:rsid w:val="505A4AE2"/>
    <w:rsid w:val="50670571"/>
    <w:rsid w:val="50970476"/>
    <w:rsid w:val="50B95E75"/>
    <w:rsid w:val="50C54952"/>
    <w:rsid w:val="50CA6916"/>
    <w:rsid w:val="50CD6207"/>
    <w:rsid w:val="51015649"/>
    <w:rsid w:val="51034416"/>
    <w:rsid w:val="510A745C"/>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130F14"/>
    <w:rsid w:val="531C6A38"/>
    <w:rsid w:val="53400330"/>
    <w:rsid w:val="534972AB"/>
    <w:rsid w:val="5373169B"/>
    <w:rsid w:val="53747D16"/>
    <w:rsid w:val="5378497F"/>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6472A"/>
    <w:rsid w:val="54644545"/>
    <w:rsid w:val="54667951"/>
    <w:rsid w:val="548C1FAB"/>
    <w:rsid w:val="549E4143"/>
    <w:rsid w:val="54B5148C"/>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B24181"/>
    <w:rsid w:val="55B96238"/>
    <w:rsid w:val="560501F2"/>
    <w:rsid w:val="561548D9"/>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B631B"/>
    <w:rsid w:val="575C02E5"/>
    <w:rsid w:val="57631674"/>
    <w:rsid w:val="577473DD"/>
    <w:rsid w:val="57911484"/>
    <w:rsid w:val="57B40121"/>
    <w:rsid w:val="57BE00CF"/>
    <w:rsid w:val="57C33EC0"/>
    <w:rsid w:val="57CF104F"/>
    <w:rsid w:val="57CF47C9"/>
    <w:rsid w:val="57D939CD"/>
    <w:rsid w:val="57FB0D98"/>
    <w:rsid w:val="57FF0946"/>
    <w:rsid w:val="58075B26"/>
    <w:rsid w:val="580A355F"/>
    <w:rsid w:val="58127ED2"/>
    <w:rsid w:val="58172F6B"/>
    <w:rsid w:val="58281E5B"/>
    <w:rsid w:val="582A5523"/>
    <w:rsid w:val="582C247D"/>
    <w:rsid w:val="583D29A8"/>
    <w:rsid w:val="58406187"/>
    <w:rsid w:val="584E614D"/>
    <w:rsid w:val="58537A63"/>
    <w:rsid w:val="58643CC2"/>
    <w:rsid w:val="588075E9"/>
    <w:rsid w:val="588C2AEC"/>
    <w:rsid w:val="58975A79"/>
    <w:rsid w:val="58A81A34"/>
    <w:rsid w:val="58CA7BFC"/>
    <w:rsid w:val="58CF5213"/>
    <w:rsid w:val="58E83887"/>
    <w:rsid w:val="58F90DE0"/>
    <w:rsid w:val="59044790"/>
    <w:rsid w:val="59106321"/>
    <w:rsid w:val="59140C82"/>
    <w:rsid w:val="59202A8D"/>
    <w:rsid w:val="59254E33"/>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A011459"/>
    <w:rsid w:val="5A013CE4"/>
    <w:rsid w:val="5A0141A4"/>
    <w:rsid w:val="5A053904"/>
    <w:rsid w:val="5A196B54"/>
    <w:rsid w:val="5A1E47AC"/>
    <w:rsid w:val="5A232D86"/>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A6DEA"/>
    <w:rsid w:val="5B7E6A7C"/>
    <w:rsid w:val="5B9A6FA0"/>
    <w:rsid w:val="5BA20303"/>
    <w:rsid w:val="5BB26726"/>
    <w:rsid w:val="5BB701E0"/>
    <w:rsid w:val="5BB926FC"/>
    <w:rsid w:val="5BF54320"/>
    <w:rsid w:val="5C1633F6"/>
    <w:rsid w:val="5C246971"/>
    <w:rsid w:val="5C4867F4"/>
    <w:rsid w:val="5C49715E"/>
    <w:rsid w:val="5C6737F1"/>
    <w:rsid w:val="5C8F5ED1"/>
    <w:rsid w:val="5C9C18B0"/>
    <w:rsid w:val="5C9E7970"/>
    <w:rsid w:val="5CBD1826"/>
    <w:rsid w:val="5CC37F37"/>
    <w:rsid w:val="5CE2303B"/>
    <w:rsid w:val="5CE943C9"/>
    <w:rsid w:val="5CF96FBB"/>
    <w:rsid w:val="5CFD1C22"/>
    <w:rsid w:val="5D044DFB"/>
    <w:rsid w:val="5D0E2082"/>
    <w:rsid w:val="5D2A3C5C"/>
    <w:rsid w:val="5D2E4206"/>
    <w:rsid w:val="5D3B5F6E"/>
    <w:rsid w:val="5D42012A"/>
    <w:rsid w:val="5D4D6706"/>
    <w:rsid w:val="5D55380D"/>
    <w:rsid w:val="5D6F2B20"/>
    <w:rsid w:val="5D8B5480"/>
    <w:rsid w:val="5DA21809"/>
    <w:rsid w:val="5DAB5B22"/>
    <w:rsid w:val="5DC0337C"/>
    <w:rsid w:val="5DC32E6C"/>
    <w:rsid w:val="5DD0374A"/>
    <w:rsid w:val="5DD064FA"/>
    <w:rsid w:val="5DDA30BD"/>
    <w:rsid w:val="5DDC7EB6"/>
    <w:rsid w:val="5DE33611"/>
    <w:rsid w:val="5DE50E0B"/>
    <w:rsid w:val="5DEA03F9"/>
    <w:rsid w:val="5DEB5F1F"/>
    <w:rsid w:val="5DEB608F"/>
    <w:rsid w:val="5E0266B8"/>
    <w:rsid w:val="5E211941"/>
    <w:rsid w:val="5E2719AF"/>
    <w:rsid w:val="5E2C7B5F"/>
    <w:rsid w:val="5E324CBD"/>
    <w:rsid w:val="5E37388C"/>
    <w:rsid w:val="5E386485"/>
    <w:rsid w:val="5E49652D"/>
    <w:rsid w:val="5E55621E"/>
    <w:rsid w:val="5E556A51"/>
    <w:rsid w:val="5E6C7060"/>
    <w:rsid w:val="5EA7453C"/>
    <w:rsid w:val="5EAE0F71"/>
    <w:rsid w:val="5ED27BE1"/>
    <w:rsid w:val="5ED35BB4"/>
    <w:rsid w:val="5ED75612"/>
    <w:rsid w:val="5EE2145A"/>
    <w:rsid w:val="5F1E2A19"/>
    <w:rsid w:val="5F1F1B33"/>
    <w:rsid w:val="5F2136D8"/>
    <w:rsid w:val="5F2D0AE0"/>
    <w:rsid w:val="5F432EF8"/>
    <w:rsid w:val="5F47659C"/>
    <w:rsid w:val="5F4D7ADC"/>
    <w:rsid w:val="5F526256"/>
    <w:rsid w:val="5F555D46"/>
    <w:rsid w:val="5F5B16CF"/>
    <w:rsid w:val="5F7E529D"/>
    <w:rsid w:val="5FB40CBE"/>
    <w:rsid w:val="5FC2239B"/>
    <w:rsid w:val="5FCA04E2"/>
    <w:rsid w:val="5FDF1F8A"/>
    <w:rsid w:val="5FE356A8"/>
    <w:rsid w:val="5FF40024"/>
    <w:rsid w:val="601A760D"/>
    <w:rsid w:val="602676E1"/>
    <w:rsid w:val="602E4F74"/>
    <w:rsid w:val="603418A5"/>
    <w:rsid w:val="60366D51"/>
    <w:rsid w:val="604D4C6F"/>
    <w:rsid w:val="606002D2"/>
    <w:rsid w:val="60936B26"/>
    <w:rsid w:val="60A457EB"/>
    <w:rsid w:val="60A74497"/>
    <w:rsid w:val="60B61030"/>
    <w:rsid w:val="60BE1C9B"/>
    <w:rsid w:val="60C356C4"/>
    <w:rsid w:val="60E92BEA"/>
    <w:rsid w:val="60FF41BB"/>
    <w:rsid w:val="61020C7F"/>
    <w:rsid w:val="611759A9"/>
    <w:rsid w:val="612B3202"/>
    <w:rsid w:val="612C0D28"/>
    <w:rsid w:val="61406582"/>
    <w:rsid w:val="61543299"/>
    <w:rsid w:val="61592960"/>
    <w:rsid w:val="615A5A4D"/>
    <w:rsid w:val="6166248C"/>
    <w:rsid w:val="61706E67"/>
    <w:rsid w:val="61AC41D6"/>
    <w:rsid w:val="61D70DF9"/>
    <w:rsid w:val="61D77A00"/>
    <w:rsid w:val="61EE148D"/>
    <w:rsid w:val="621B3277"/>
    <w:rsid w:val="6228211F"/>
    <w:rsid w:val="6229771A"/>
    <w:rsid w:val="622C555D"/>
    <w:rsid w:val="623B7475"/>
    <w:rsid w:val="624D53FA"/>
    <w:rsid w:val="625E7607"/>
    <w:rsid w:val="626478C2"/>
    <w:rsid w:val="626529F4"/>
    <w:rsid w:val="626C4988"/>
    <w:rsid w:val="62854B94"/>
    <w:rsid w:val="62C610B8"/>
    <w:rsid w:val="62E224E8"/>
    <w:rsid w:val="62F13FD7"/>
    <w:rsid w:val="62FE497B"/>
    <w:rsid w:val="62FF03D9"/>
    <w:rsid w:val="62FF64C2"/>
    <w:rsid w:val="630E4B89"/>
    <w:rsid w:val="633345F0"/>
    <w:rsid w:val="63352116"/>
    <w:rsid w:val="63377DE5"/>
    <w:rsid w:val="633B5253"/>
    <w:rsid w:val="633C769A"/>
    <w:rsid w:val="633F11E7"/>
    <w:rsid w:val="63452A53"/>
    <w:rsid w:val="63485127"/>
    <w:rsid w:val="635B58F5"/>
    <w:rsid w:val="636C7B02"/>
    <w:rsid w:val="637531A0"/>
    <w:rsid w:val="63927568"/>
    <w:rsid w:val="63966FB4"/>
    <w:rsid w:val="63973036"/>
    <w:rsid w:val="639B6291"/>
    <w:rsid w:val="639C2D33"/>
    <w:rsid w:val="63A105E6"/>
    <w:rsid w:val="63AD6150"/>
    <w:rsid w:val="63C416EC"/>
    <w:rsid w:val="63C96D02"/>
    <w:rsid w:val="63D36046"/>
    <w:rsid w:val="63D6255C"/>
    <w:rsid w:val="63E61F5F"/>
    <w:rsid w:val="63F00811"/>
    <w:rsid w:val="63F657AA"/>
    <w:rsid w:val="64065861"/>
    <w:rsid w:val="64144421"/>
    <w:rsid w:val="643A7DF2"/>
    <w:rsid w:val="644D7933"/>
    <w:rsid w:val="645152C2"/>
    <w:rsid w:val="64607667"/>
    <w:rsid w:val="64800394"/>
    <w:rsid w:val="648814BB"/>
    <w:rsid w:val="64975171"/>
    <w:rsid w:val="64A15589"/>
    <w:rsid w:val="64AA0614"/>
    <w:rsid w:val="64AB4ABB"/>
    <w:rsid w:val="64BE5FF1"/>
    <w:rsid w:val="64C549E2"/>
    <w:rsid w:val="64D4770D"/>
    <w:rsid w:val="64E831B8"/>
    <w:rsid w:val="64EA2425"/>
    <w:rsid w:val="64F1206D"/>
    <w:rsid w:val="65031DA0"/>
    <w:rsid w:val="65220A06"/>
    <w:rsid w:val="65384140"/>
    <w:rsid w:val="653A1C66"/>
    <w:rsid w:val="65426D6C"/>
    <w:rsid w:val="65540C76"/>
    <w:rsid w:val="656E7B61"/>
    <w:rsid w:val="657753A5"/>
    <w:rsid w:val="657A5833"/>
    <w:rsid w:val="65812DF0"/>
    <w:rsid w:val="65841133"/>
    <w:rsid w:val="65842EE1"/>
    <w:rsid w:val="658630FD"/>
    <w:rsid w:val="659B022A"/>
    <w:rsid w:val="659E46B8"/>
    <w:rsid w:val="65A767B0"/>
    <w:rsid w:val="65AE3104"/>
    <w:rsid w:val="65B838A4"/>
    <w:rsid w:val="65C94D98"/>
    <w:rsid w:val="65CB4FB4"/>
    <w:rsid w:val="65D96BC2"/>
    <w:rsid w:val="65E6594A"/>
    <w:rsid w:val="6602534E"/>
    <w:rsid w:val="66065FEC"/>
    <w:rsid w:val="660A5F17"/>
    <w:rsid w:val="662047A4"/>
    <w:rsid w:val="66332DC3"/>
    <w:rsid w:val="66373CE0"/>
    <w:rsid w:val="6639006E"/>
    <w:rsid w:val="663C7C5F"/>
    <w:rsid w:val="663F7785"/>
    <w:rsid w:val="664804B3"/>
    <w:rsid w:val="665E7BD6"/>
    <w:rsid w:val="66632EA0"/>
    <w:rsid w:val="66633E9A"/>
    <w:rsid w:val="66651C8A"/>
    <w:rsid w:val="66656C51"/>
    <w:rsid w:val="66664CDC"/>
    <w:rsid w:val="668D3AA7"/>
    <w:rsid w:val="668D6304"/>
    <w:rsid w:val="669C6028"/>
    <w:rsid w:val="669F0689"/>
    <w:rsid w:val="66A87A0F"/>
    <w:rsid w:val="66B20509"/>
    <w:rsid w:val="66C50541"/>
    <w:rsid w:val="66C509D5"/>
    <w:rsid w:val="66DA2CB3"/>
    <w:rsid w:val="66F40793"/>
    <w:rsid w:val="6717038D"/>
    <w:rsid w:val="671706D3"/>
    <w:rsid w:val="67286A44"/>
    <w:rsid w:val="672F48CC"/>
    <w:rsid w:val="6730396A"/>
    <w:rsid w:val="67346B89"/>
    <w:rsid w:val="6739419F"/>
    <w:rsid w:val="6751773B"/>
    <w:rsid w:val="6760797E"/>
    <w:rsid w:val="67801EB9"/>
    <w:rsid w:val="67A71109"/>
    <w:rsid w:val="67C76B2D"/>
    <w:rsid w:val="67CE0D8B"/>
    <w:rsid w:val="67EE2A60"/>
    <w:rsid w:val="68036CFD"/>
    <w:rsid w:val="681A38D9"/>
    <w:rsid w:val="68324E76"/>
    <w:rsid w:val="6839795B"/>
    <w:rsid w:val="683E5252"/>
    <w:rsid w:val="68456C28"/>
    <w:rsid w:val="684C67E9"/>
    <w:rsid w:val="685118DE"/>
    <w:rsid w:val="685E101E"/>
    <w:rsid w:val="68702AEA"/>
    <w:rsid w:val="688233FF"/>
    <w:rsid w:val="68883E6D"/>
    <w:rsid w:val="68AD6BF3"/>
    <w:rsid w:val="68B7537B"/>
    <w:rsid w:val="68C83A2C"/>
    <w:rsid w:val="68D56A00"/>
    <w:rsid w:val="68DA1F54"/>
    <w:rsid w:val="68EB078F"/>
    <w:rsid w:val="691D1B71"/>
    <w:rsid w:val="69280C5E"/>
    <w:rsid w:val="692E7D33"/>
    <w:rsid w:val="693115D2"/>
    <w:rsid w:val="693A3226"/>
    <w:rsid w:val="693E4935"/>
    <w:rsid w:val="694D54E1"/>
    <w:rsid w:val="699944EC"/>
    <w:rsid w:val="69995724"/>
    <w:rsid w:val="69B31FE7"/>
    <w:rsid w:val="69B47EE5"/>
    <w:rsid w:val="69C4686C"/>
    <w:rsid w:val="69CE0ADD"/>
    <w:rsid w:val="6A176F2F"/>
    <w:rsid w:val="6A23687A"/>
    <w:rsid w:val="6A240036"/>
    <w:rsid w:val="6A372756"/>
    <w:rsid w:val="6A3B19C7"/>
    <w:rsid w:val="6A4B20C8"/>
    <w:rsid w:val="6A4B5F33"/>
    <w:rsid w:val="6A577BBA"/>
    <w:rsid w:val="6A590439"/>
    <w:rsid w:val="6A597D4C"/>
    <w:rsid w:val="6A680FC7"/>
    <w:rsid w:val="6A880A74"/>
    <w:rsid w:val="6A942216"/>
    <w:rsid w:val="6A9B0075"/>
    <w:rsid w:val="6AB57FE0"/>
    <w:rsid w:val="6AC51D73"/>
    <w:rsid w:val="6AC82C33"/>
    <w:rsid w:val="6AD67F71"/>
    <w:rsid w:val="6AE213F9"/>
    <w:rsid w:val="6AE85CC0"/>
    <w:rsid w:val="6AF7771D"/>
    <w:rsid w:val="6B036F9E"/>
    <w:rsid w:val="6B105217"/>
    <w:rsid w:val="6B2F7A95"/>
    <w:rsid w:val="6B311795"/>
    <w:rsid w:val="6B4D0219"/>
    <w:rsid w:val="6BA17867"/>
    <w:rsid w:val="6BA8544F"/>
    <w:rsid w:val="6BB141CE"/>
    <w:rsid w:val="6BBA58AE"/>
    <w:rsid w:val="6BBE4C73"/>
    <w:rsid w:val="6BD45513"/>
    <w:rsid w:val="6BEC17E0"/>
    <w:rsid w:val="6BEF0C80"/>
    <w:rsid w:val="6BF41DBA"/>
    <w:rsid w:val="6C102618"/>
    <w:rsid w:val="6C1F3963"/>
    <w:rsid w:val="6C1F5711"/>
    <w:rsid w:val="6C276CBC"/>
    <w:rsid w:val="6C2A0D97"/>
    <w:rsid w:val="6C3664AD"/>
    <w:rsid w:val="6C3D203B"/>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85E21"/>
    <w:rsid w:val="6D737889"/>
    <w:rsid w:val="6D787B59"/>
    <w:rsid w:val="6D7F4662"/>
    <w:rsid w:val="6D832E39"/>
    <w:rsid w:val="6D8A7542"/>
    <w:rsid w:val="6D916E4E"/>
    <w:rsid w:val="6DA94419"/>
    <w:rsid w:val="6DB3108B"/>
    <w:rsid w:val="6DBD5004"/>
    <w:rsid w:val="6DC63E68"/>
    <w:rsid w:val="6DCF4F15"/>
    <w:rsid w:val="6DD447A6"/>
    <w:rsid w:val="6DEF4626"/>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153111"/>
    <w:rsid w:val="6F1D2199"/>
    <w:rsid w:val="6F2474E3"/>
    <w:rsid w:val="6F3B3D99"/>
    <w:rsid w:val="6F415A91"/>
    <w:rsid w:val="6F5479EB"/>
    <w:rsid w:val="6F5558BD"/>
    <w:rsid w:val="6F5C177F"/>
    <w:rsid w:val="6F5E47A3"/>
    <w:rsid w:val="6F622446"/>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476FEF"/>
    <w:rsid w:val="704C1556"/>
    <w:rsid w:val="705D5373"/>
    <w:rsid w:val="706109EE"/>
    <w:rsid w:val="707A385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F6001"/>
    <w:rsid w:val="72473CB6"/>
    <w:rsid w:val="72686E3D"/>
    <w:rsid w:val="727A26CE"/>
    <w:rsid w:val="729379EC"/>
    <w:rsid w:val="72964253"/>
    <w:rsid w:val="72983176"/>
    <w:rsid w:val="72AB51FE"/>
    <w:rsid w:val="72BE2D27"/>
    <w:rsid w:val="72D92A8F"/>
    <w:rsid w:val="72DA2EC0"/>
    <w:rsid w:val="72F739A7"/>
    <w:rsid w:val="73016068"/>
    <w:rsid w:val="7306762B"/>
    <w:rsid w:val="73504D4A"/>
    <w:rsid w:val="735E7467"/>
    <w:rsid w:val="7363682B"/>
    <w:rsid w:val="73816CB2"/>
    <w:rsid w:val="73893830"/>
    <w:rsid w:val="73A125FD"/>
    <w:rsid w:val="73B05D63"/>
    <w:rsid w:val="73B07597"/>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5C7FEE"/>
    <w:rsid w:val="748527D2"/>
    <w:rsid w:val="74921493"/>
    <w:rsid w:val="74A509B1"/>
    <w:rsid w:val="74B01B4A"/>
    <w:rsid w:val="74CA3328"/>
    <w:rsid w:val="74DF4B7F"/>
    <w:rsid w:val="74DF4EF4"/>
    <w:rsid w:val="74F62CED"/>
    <w:rsid w:val="74F83595"/>
    <w:rsid w:val="74FF4332"/>
    <w:rsid w:val="75120509"/>
    <w:rsid w:val="75133BF1"/>
    <w:rsid w:val="7518727D"/>
    <w:rsid w:val="752173ED"/>
    <w:rsid w:val="7524023C"/>
    <w:rsid w:val="75355FA6"/>
    <w:rsid w:val="75370EA5"/>
    <w:rsid w:val="7538094B"/>
    <w:rsid w:val="754730F9"/>
    <w:rsid w:val="7548286D"/>
    <w:rsid w:val="754937FF"/>
    <w:rsid w:val="75502B1F"/>
    <w:rsid w:val="75544BB9"/>
    <w:rsid w:val="75752A67"/>
    <w:rsid w:val="75D35377"/>
    <w:rsid w:val="75F93477"/>
    <w:rsid w:val="76063D02"/>
    <w:rsid w:val="760B3E0F"/>
    <w:rsid w:val="7631116A"/>
    <w:rsid w:val="76312C11"/>
    <w:rsid w:val="76345B3A"/>
    <w:rsid w:val="764346F2"/>
    <w:rsid w:val="76454D95"/>
    <w:rsid w:val="76697F5B"/>
    <w:rsid w:val="767317AC"/>
    <w:rsid w:val="76790114"/>
    <w:rsid w:val="7686064F"/>
    <w:rsid w:val="769474D0"/>
    <w:rsid w:val="769E4F43"/>
    <w:rsid w:val="76A95033"/>
    <w:rsid w:val="76B858B5"/>
    <w:rsid w:val="76BF021D"/>
    <w:rsid w:val="76DF0673"/>
    <w:rsid w:val="76E063E5"/>
    <w:rsid w:val="77176354"/>
    <w:rsid w:val="773310E1"/>
    <w:rsid w:val="773D3F97"/>
    <w:rsid w:val="774910E8"/>
    <w:rsid w:val="774950AA"/>
    <w:rsid w:val="774A0F8C"/>
    <w:rsid w:val="774A385E"/>
    <w:rsid w:val="77951A25"/>
    <w:rsid w:val="77960CE5"/>
    <w:rsid w:val="77996CC0"/>
    <w:rsid w:val="77AF0127"/>
    <w:rsid w:val="77B04009"/>
    <w:rsid w:val="77CB650B"/>
    <w:rsid w:val="77CC2A1C"/>
    <w:rsid w:val="77CE4490"/>
    <w:rsid w:val="77E67A2B"/>
    <w:rsid w:val="7803238B"/>
    <w:rsid w:val="78042DEB"/>
    <w:rsid w:val="78236589"/>
    <w:rsid w:val="78261305"/>
    <w:rsid w:val="784974F5"/>
    <w:rsid w:val="784B19A6"/>
    <w:rsid w:val="78540E39"/>
    <w:rsid w:val="78681083"/>
    <w:rsid w:val="786F17CF"/>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BA79F3"/>
    <w:rsid w:val="79BB215E"/>
    <w:rsid w:val="79CE4C1B"/>
    <w:rsid w:val="79D87646"/>
    <w:rsid w:val="79E82BC7"/>
    <w:rsid w:val="7A1067EC"/>
    <w:rsid w:val="7A192CE7"/>
    <w:rsid w:val="7A2D36EF"/>
    <w:rsid w:val="7A2E2EA3"/>
    <w:rsid w:val="7A3007C8"/>
    <w:rsid w:val="7A3231AD"/>
    <w:rsid w:val="7A4A77F3"/>
    <w:rsid w:val="7A5A72EE"/>
    <w:rsid w:val="7A844288"/>
    <w:rsid w:val="7AA02113"/>
    <w:rsid w:val="7AA82540"/>
    <w:rsid w:val="7AB931D5"/>
    <w:rsid w:val="7AC758F2"/>
    <w:rsid w:val="7ADC02AF"/>
    <w:rsid w:val="7AE56AF0"/>
    <w:rsid w:val="7B002DC3"/>
    <w:rsid w:val="7B080E99"/>
    <w:rsid w:val="7B0C23FF"/>
    <w:rsid w:val="7B110428"/>
    <w:rsid w:val="7B113011"/>
    <w:rsid w:val="7B205002"/>
    <w:rsid w:val="7B220D7A"/>
    <w:rsid w:val="7B2F5349"/>
    <w:rsid w:val="7B5666FB"/>
    <w:rsid w:val="7B5C232E"/>
    <w:rsid w:val="7B5E12BB"/>
    <w:rsid w:val="7B637C47"/>
    <w:rsid w:val="7B643141"/>
    <w:rsid w:val="7B780AEF"/>
    <w:rsid w:val="7BA43E85"/>
    <w:rsid w:val="7BAB6FC2"/>
    <w:rsid w:val="7BBF4208"/>
    <w:rsid w:val="7BC0312E"/>
    <w:rsid w:val="7BC62E25"/>
    <w:rsid w:val="7BD02203"/>
    <w:rsid w:val="7BD22006"/>
    <w:rsid w:val="7BE269EA"/>
    <w:rsid w:val="7BE349AD"/>
    <w:rsid w:val="7BEC6B07"/>
    <w:rsid w:val="7BFC0690"/>
    <w:rsid w:val="7BFE17E7"/>
    <w:rsid w:val="7C013085"/>
    <w:rsid w:val="7C0E2B1C"/>
    <w:rsid w:val="7C0E57A2"/>
    <w:rsid w:val="7C151079"/>
    <w:rsid w:val="7C2253BC"/>
    <w:rsid w:val="7C2E374F"/>
    <w:rsid w:val="7C4756C9"/>
    <w:rsid w:val="7C582C3F"/>
    <w:rsid w:val="7C593EE8"/>
    <w:rsid w:val="7C753C13"/>
    <w:rsid w:val="7C7A6994"/>
    <w:rsid w:val="7C7A71C3"/>
    <w:rsid w:val="7C855A65"/>
    <w:rsid w:val="7C9932BE"/>
    <w:rsid w:val="7C9B286D"/>
    <w:rsid w:val="7C9B7FF0"/>
    <w:rsid w:val="7C9C44FE"/>
    <w:rsid w:val="7CB2612E"/>
    <w:rsid w:val="7CB53251"/>
    <w:rsid w:val="7CB62D19"/>
    <w:rsid w:val="7CD93821"/>
    <w:rsid w:val="7CD95805"/>
    <w:rsid w:val="7D13314E"/>
    <w:rsid w:val="7D230DDA"/>
    <w:rsid w:val="7D365DD8"/>
    <w:rsid w:val="7D3A23FC"/>
    <w:rsid w:val="7D4C0330"/>
    <w:rsid w:val="7D625FC7"/>
    <w:rsid w:val="7D650CA3"/>
    <w:rsid w:val="7D6A0419"/>
    <w:rsid w:val="7D6B7727"/>
    <w:rsid w:val="7D7A5D33"/>
    <w:rsid w:val="7DA0242A"/>
    <w:rsid w:val="7DB12889"/>
    <w:rsid w:val="7DB52379"/>
    <w:rsid w:val="7DBC3708"/>
    <w:rsid w:val="7DD018F6"/>
    <w:rsid w:val="7DD4016C"/>
    <w:rsid w:val="7DEE5D3D"/>
    <w:rsid w:val="7E167D92"/>
    <w:rsid w:val="7E1A50EB"/>
    <w:rsid w:val="7E1D2CB4"/>
    <w:rsid w:val="7E222BD7"/>
    <w:rsid w:val="7E2412AD"/>
    <w:rsid w:val="7E24305B"/>
    <w:rsid w:val="7E290672"/>
    <w:rsid w:val="7E4266E2"/>
    <w:rsid w:val="7E576F8D"/>
    <w:rsid w:val="7E6C2A49"/>
    <w:rsid w:val="7E6D4A02"/>
    <w:rsid w:val="7E722A66"/>
    <w:rsid w:val="7E794FBB"/>
    <w:rsid w:val="7E806AA4"/>
    <w:rsid w:val="7E8F4979"/>
    <w:rsid w:val="7E9C305C"/>
    <w:rsid w:val="7EA06B86"/>
    <w:rsid w:val="7EA26042"/>
    <w:rsid w:val="7EAA17B2"/>
    <w:rsid w:val="7EAF6879"/>
    <w:rsid w:val="7EB45D48"/>
    <w:rsid w:val="7EC17031"/>
    <w:rsid w:val="7ED71E7C"/>
    <w:rsid w:val="7EDE2253"/>
    <w:rsid w:val="7EEA7E01"/>
    <w:rsid w:val="7F0417A2"/>
    <w:rsid w:val="7F360FA8"/>
    <w:rsid w:val="7F3D43D5"/>
    <w:rsid w:val="7F427C3D"/>
    <w:rsid w:val="7F517E80"/>
    <w:rsid w:val="7F7211CD"/>
    <w:rsid w:val="7F8B3961"/>
    <w:rsid w:val="7F8F3102"/>
    <w:rsid w:val="7F912972"/>
    <w:rsid w:val="7F9C0E05"/>
    <w:rsid w:val="7F9F140C"/>
    <w:rsid w:val="7FA76140"/>
    <w:rsid w:val="7FA77AA0"/>
    <w:rsid w:val="7FAE0E2E"/>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autoRedefine/>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6">
    <w:name w:val="heading 5"/>
    <w:basedOn w:val="1"/>
    <w:next w:val="1"/>
    <w:link w:val="56"/>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9">
    <w:name w:val="toc 7"/>
    <w:basedOn w:val="1"/>
    <w:next w:val="1"/>
    <w:autoRedefine/>
    <w:qFormat/>
    <w:uiPriority w:val="39"/>
    <w:pPr>
      <w:ind w:left="1260"/>
      <w:jc w:val="left"/>
    </w:pPr>
    <w:rPr>
      <w:sz w:val="18"/>
      <w:szCs w:val="18"/>
    </w:rPr>
  </w:style>
  <w:style w:type="paragraph" w:styleId="10">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autoRedefine/>
    <w:qFormat/>
    <w:uiPriority w:val="0"/>
    <w:pPr>
      <w:adjustRightInd w:val="0"/>
      <w:spacing w:line="360" w:lineRule="atLeast"/>
      <w:ind w:firstLine="482"/>
      <w:textAlignment w:val="baseline"/>
    </w:pPr>
    <w:rPr>
      <w:kern w:val="0"/>
      <w:sz w:val="24"/>
      <w:szCs w:val="20"/>
    </w:rPr>
  </w:style>
  <w:style w:type="paragraph" w:styleId="12">
    <w:name w:val="annotation text"/>
    <w:basedOn w:val="1"/>
    <w:link w:val="59"/>
    <w:autoRedefine/>
    <w:qFormat/>
    <w:uiPriority w:val="0"/>
    <w:pPr>
      <w:jc w:val="left"/>
    </w:pPr>
  </w:style>
  <w:style w:type="paragraph" w:styleId="13">
    <w:name w:val="Body Text"/>
    <w:basedOn w:val="1"/>
    <w:next w:val="1"/>
    <w:autoRedefine/>
    <w:semiHidden/>
    <w:qFormat/>
    <w:uiPriority w:val="0"/>
    <w:pPr>
      <w:spacing w:after="120"/>
    </w:pPr>
  </w:style>
  <w:style w:type="paragraph" w:styleId="14">
    <w:name w:val="Body Text Indent"/>
    <w:basedOn w:val="1"/>
    <w:link w:val="52"/>
    <w:autoRedefine/>
    <w:qFormat/>
    <w:uiPriority w:val="0"/>
    <w:pPr>
      <w:spacing w:after="120"/>
      <w:ind w:left="200" w:leftChars="200"/>
    </w:pPr>
  </w:style>
  <w:style w:type="paragraph" w:styleId="15">
    <w:name w:val="toc 3"/>
    <w:basedOn w:val="1"/>
    <w:next w:val="1"/>
    <w:autoRedefine/>
    <w:qFormat/>
    <w:uiPriority w:val="39"/>
    <w:pPr>
      <w:tabs>
        <w:tab w:val="right" w:leader="dot" w:pos="9288"/>
      </w:tabs>
      <w:ind w:left="400" w:leftChars="400"/>
    </w:pPr>
    <w:rPr>
      <w:rFonts w:ascii="宋体"/>
    </w:rPr>
  </w:style>
  <w:style w:type="paragraph" w:styleId="16">
    <w:name w:val="Plain Text"/>
    <w:basedOn w:val="1"/>
    <w:next w:val="1"/>
    <w:link w:val="60"/>
    <w:autoRedefine/>
    <w:qFormat/>
    <w:uiPriority w:val="99"/>
    <w:rPr>
      <w:rFonts w:ascii="宋体"/>
      <w:color w:val="000000"/>
      <w:szCs w:val="20"/>
      <w:u w:val="none" w:color="000000"/>
    </w:rPr>
  </w:style>
  <w:style w:type="paragraph" w:styleId="17">
    <w:name w:val="Date"/>
    <w:basedOn w:val="1"/>
    <w:next w:val="1"/>
    <w:link w:val="61"/>
    <w:autoRedefine/>
    <w:qFormat/>
    <w:uiPriority w:val="0"/>
    <w:rPr>
      <w:rFonts w:ascii="Arial" w:hAnsi="Arial" w:eastAsia="仿宋_GB2312"/>
      <w:color w:val="000000"/>
      <w:sz w:val="32"/>
      <w:szCs w:val="20"/>
      <w:u w:val="none" w:color="000000"/>
    </w:rPr>
  </w:style>
  <w:style w:type="paragraph" w:styleId="18">
    <w:name w:val="Body Text Indent 2"/>
    <w:basedOn w:val="1"/>
    <w:link w:val="62"/>
    <w:autoRedefine/>
    <w:qFormat/>
    <w:uiPriority w:val="0"/>
    <w:pPr>
      <w:spacing w:after="120" w:line="480" w:lineRule="auto"/>
      <w:ind w:left="420" w:leftChars="200"/>
    </w:pPr>
  </w:style>
  <w:style w:type="paragraph" w:styleId="19">
    <w:name w:val="endnote text"/>
    <w:basedOn w:val="1"/>
    <w:autoRedefine/>
    <w:qFormat/>
    <w:uiPriority w:val="99"/>
    <w:pPr>
      <w:snapToGrid w:val="0"/>
    </w:pPr>
    <w:rPr>
      <w:rFonts w:ascii="仿宋" w:hAnsi="仿宋"/>
    </w:rPr>
  </w:style>
  <w:style w:type="paragraph" w:styleId="20">
    <w:name w:val="Balloon Text"/>
    <w:basedOn w:val="1"/>
    <w:link w:val="63"/>
    <w:autoRedefine/>
    <w:qFormat/>
    <w:uiPriority w:val="0"/>
    <w:rPr>
      <w:sz w:val="18"/>
      <w:szCs w:val="18"/>
    </w:rPr>
  </w:style>
  <w:style w:type="paragraph" w:styleId="21">
    <w:name w:val="footer"/>
    <w:basedOn w:val="1"/>
    <w:link w:val="64"/>
    <w:autoRedefine/>
    <w:qFormat/>
    <w:uiPriority w:val="0"/>
    <w:pPr>
      <w:tabs>
        <w:tab w:val="center" w:pos="4153"/>
        <w:tab w:val="right" w:pos="8306"/>
      </w:tabs>
      <w:snapToGrid w:val="0"/>
      <w:jc w:val="left"/>
    </w:pPr>
    <w:rPr>
      <w:sz w:val="18"/>
      <w:szCs w:val="18"/>
    </w:rPr>
  </w:style>
  <w:style w:type="paragraph" w:styleId="22">
    <w:name w:val="envelope return"/>
    <w:basedOn w:val="1"/>
    <w:autoRedefine/>
    <w:qFormat/>
    <w:uiPriority w:val="0"/>
    <w:pPr>
      <w:snapToGrid w:val="0"/>
    </w:pPr>
    <w:rPr>
      <w:rFonts w:ascii="Arial" w:hAnsi="Arial"/>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6"/>
    <w:autoRedefine/>
    <w:qFormat/>
    <w:uiPriority w:val="0"/>
    <w:rPr>
      <w:b/>
      <w:bCs/>
    </w:rPr>
  </w:style>
  <w:style w:type="paragraph" w:styleId="34">
    <w:name w:val="Body Text First Indent 2"/>
    <w:basedOn w:val="14"/>
    <w:link w:val="53"/>
    <w:autoRedefine/>
    <w:qFormat/>
    <w:uiPriority w:val="0"/>
    <w:pPr>
      <w:ind w:left="420" w:firstLine="420" w:firstLineChars="200"/>
    </w:p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autoRedefine/>
    <w:qFormat/>
    <w:uiPriority w:val="0"/>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4"/>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2"/>
    <w:autoRedefine/>
    <w:qFormat/>
    <w:uiPriority w:val="0"/>
    <w:rPr>
      <w:b/>
      <w:bCs/>
      <w:kern w:val="44"/>
      <w:sz w:val="44"/>
      <w:szCs w:val="44"/>
    </w:rPr>
  </w:style>
  <w:style w:type="character" w:customStyle="1" w:styleId="55">
    <w:name w:val="标题 4 字符"/>
    <w:link w:val="5"/>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6"/>
    <w:autoRedefine/>
    <w:semiHidden/>
    <w:qFormat/>
    <w:uiPriority w:val="0"/>
    <w:rPr>
      <w:b/>
      <w:bCs/>
      <w:kern w:val="2"/>
      <w:sz w:val="28"/>
      <w:szCs w:val="28"/>
    </w:rPr>
  </w:style>
  <w:style w:type="character" w:customStyle="1" w:styleId="57">
    <w:name w:val="标题 6 字符"/>
    <w:link w:val="7"/>
    <w:autoRedefine/>
    <w:semiHidden/>
    <w:qFormat/>
    <w:uiPriority w:val="0"/>
    <w:rPr>
      <w:rFonts w:ascii="Cambria" w:hAnsi="Cambria" w:eastAsia="宋体" w:cs="Times New Roman"/>
      <w:b/>
      <w:bCs/>
      <w:kern w:val="2"/>
      <w:sz w:val="24"/>
      <w:szCs w:val="24"/>
    </w:rPr>
  </w:style>
  <w:style w:type="character" w:customStyle="1" w:styleId="58">
    <w:name w:val="标题 7 字符"/>
    <w:link w:val="8"/>
    <w:autoRedefine/>
    <w:semiHidden/>
    <w:qFormat/>
    <w:uiPriority w:val="0"/>
    <w:rPr>
      <w:b/>
      <w:bCs/>
      <w:kern w:val="2"/>
      <w:sz w:val="24"/>
      <w:szCs w:val="24"/>
    </w:rPr>
  </w:style>
  <w:style w:type="character" w:customStyle="1" w:styleId="59">
    <w:name w:val="批注文字 字符"/>
    <w:link w:val="12"/>
    <w:autoRedefine/>
    <w:qFormat/>
    <w:uiPriority w:val="0"/>
    <w:rPr>
      <w:kern w:val="2"/>
      <w:sz w:val="21"/>
      <w:szCs w:val="24"/>
    </w:rPr>
  </w:style>
  <w:style w:type="character" w:customStyle="1" w:styleId="60">
    <w:name w:val="纯文本 字符"/>
    <w:link w:val="16"/>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7"/>
    <w:autoRedefine/>
    <w:qFormat/>
    <w:uiPriority w:val="0"/>
    <w:rPr>
      <w:rFonts w:ascii="Arial" w:hAnsi="Arial" w:eastAsia="仿宋_GB2312"/>
      <w:color w:val="000000"/>
      <w:kern w:val="2"/>
      <w:sz w:val="32"/>
      <w:u w:val="none" w:color="000000"/>
    </w:rPr>
  </w:style>
  <w:style w:type="character" w:customStyle="1" w:styleId="62">
    <w:name w:val="正文文本缩进 2 字符"/>
    <w:link w:val="18"/>
    <w:autoRedefine/>
    <w:qFormat/>
    <w:uiPriority w:val="0"/>
    <w:rPr>
      <w:kern w:val="2"/>
      <w:sz w:val="21"/>
      <w:szCs w:val="24"/>
    </w:rPr>
  </w:style>
  <w:style w:type="character" w:customStyle="1" w:styleId="63">
    <w:name w:val="批注框文本 字符"/>
    <w:link w:val="20"/>
    <w:autoRedefine/>
    <w:qFormat/>
    <w:uiPriority w:val="0"/>
    <w:rPr>
      <w:kern w:val="2"/>
      <w:sz w:val="18"/>
      <w:szCs w:val="18"/>
    </w:rPr>
  </w:style>
  <w:style w:type="character" w:customStyle="1" w:styleId="64">
    <w:name w:val="页脚 字符"/>
    <w:link w:val="21"/>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2">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11003</Words>
  <Characters>12358</Characters>
  <Lines>358</Lines>
  <Paragraphs>100</Paragraphs>
  <TotalTime>8</TotalTime>
  <ScaleCrop>false</ScaleCrop>
  <LinksUpToDate>false</LinksUpToDate>
  <CharactersWithSpaces>12760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韦韦</cp:lastModifiedBy>
  <cp:lastPrinted>2026-07-30T10:06:00Z</cp:lastPrinted>
  <dcterms:modified xsi:type="dcterms:W3CDTF">2026-11-02T02:35:55Z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9DE97A078242434B8B3280E52CDBE9A2_13</vt:lpwstr>
  </property>
  <property fmtid="{D5CDD505-2E9C-101B-9397-08002B2CF9AE}" pid="4" name="KSOTemplateDocerSaveRecord">
    <vt:lpwstr>eyJoZGlkIjoiZmQ5MGI3YTdkMjVkZTZjM2ZjZTQ5YjMxYTJjZjRlOWEiLCJ1c2VySWQiOiIzNjE4MjQ5In0=</vt:lpwstr>
  </property>
</Properties>
</file>