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A5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b/>
          <w:i w:val="0"/>
          <w:strike w:val="0"/>
          <w:spacing w:val="0"/>
          <w:sz w:val="36"/>
          <w:highlight w:val="none"/>
          <w:u w:val="none"/>
          <w:shd w:val="clear" w:color="auto" w:fill="FFFF0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  <w:highlight w:val="none"/>
          <w:lang w:val="en-US" w:eastAsia="zh-CN"/>
        </w:rPr>
        <w:t>中新苏滁高新区超级电容智能制造基地二期项目</w:t>
      </w:r>
    </w:p>
    <w:p w14:paraId="089AE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  <w:highlight w:val="none"/>
          <w:lang w:val="en-US" w:eastAsia="zh-CN"/>
        </w:rPr>
        <w:t>工程量清单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  <w:highlight w:val="none"/>
          <w:lang w:eastAsia="zh-CN"/>
        </w:rPr>
        <w:t>编制说明</w:t>
      </w:r>
    </w:p>
    <w:p w14:paraId="0A587F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  <w:t>工程概况</w:t>
      </w:r>
    </w:p>
    <w:p w14:paraId="47488D6B"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strike w:val="0"/>
          <w:spacing w:val="0"/>
          <w:sz w:val="28"/>
          <w:highlight w:val="none"/>
          <w:u w:val="none"/>
          <w:shd w:val="clear" w:color="auto" w:fill="auto"/>
        </w:rPr>
        <w:t>中新苏滁高新区超级电容智能制造基地二期项目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位于安徽省滁州市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滨河北路与滁州大道交叉口东北侧。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招标范围包括不限于厂房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三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电芯库、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auto"/>
          <w:lang w:val="en-US" w:eastAsia="zh-CN"/>
        </w:rPr>
        <w:t>厂区道路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等主体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，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项目总建筑面积约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3.23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万㎡，包括但不限于土方工程、地基与基础工程、建筑结构及装饰工程、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钢结构工程、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安装工程、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厂区道路、绿化等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。</w:t>
      </w:r>
    </w:p>
    <w:p w14:paraId="176E95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shd w:val="clear" w:color="auto" w:fill="FFFFFF"/>
        </w:rPr>
        <w:t>编制范围</w:t>
      </w:r>
    </w:p>
    <w:p w14:paraId="5C6B8F82"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编制范围包含上海建旗建筑工程设计有限公司设计的</w:t>
      </w:r>
      <w:r>
        <w:rPr>
          <w:rFonts w:hint="eastAsia" w:ascii="仿宋" w:hAnsi="仿宋" w:eastAsia="仿宋" w:cs="仿宋"/>
          <w:i w:val="0"/>
          <w:strike w:val="0"/>
          <w:spacing w:val="0"/>
          <w:sz w:val="28"/>
          <w:highlight w:val="none"/>
          <w:u w:val="none"/>
          <w:shd w:val="clear" w:color="auto" w:fill="auto"/>
        </w:rPr>
        <w:t>中新苏滁高新区超级电容智能制造基地二期项目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施工图纸，主要为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厂房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三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电芯库、厂区道路、绿化</w:t>
      </w:r>
      <w:r>
        <w:rPr>
          <w:rFonts w:hint="default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等主体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工程，详见清单及招标文件约定的所有内容。</w:t>
      </w:r>
    </w:p>
    <w:p w14:paraId="319413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shd w:val="clear" w:color="auto" w:fill="FFFFFF"/>
        </w:rPr>
        <w:t>编制依据</w:t>
      </w:r>
    </w:p>
    <w:p w14:paraId="4C277967">
      <w:pPr>
        <w:pStyle w:val="1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val="en-US" w:eastAsia="zh-CN"/>
        </w:rPr>
        <w:t>1、建设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</w:rPr>
        <w:t>单位提供的工程设计资料；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val="en-US" w:eastAsia="zh-CN"/>
        </w:rPr>
        <w:t>上海建旗建筑工程设计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eastAsia="zh-CN"/>
        </w:rPr>
        <w:t>有限公司设计的</w:t>
      </w:r>
      <w:r>
        <w:rPr>
          <w:rFonts w:hint="eastAsia" w:ascii="仿宋" w:hAnsi="仿宋" w:eastAsia="仿宋" w:cs="仿宋"/>
          <w:i w:val="0"/>
          <w:strike w:val="0"/>
          <w:spacing w:val="0"/>
          <w:sz w:val="28"/>
          <w:highlight w:val="none"/>
          <w:u w:val="none"/>
          <w:shd w:val="clear" w:color="auto" w:fill="auto"/>
        </w:rPr>
        <w:t>中新苏滁高新区超级电容智能制造基地二期项目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</w:rPr>
        <w:t>施工图纸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val="en-US" w:eastAsia="zh-CN"/>
        </w:rPr>
        <w:t>20260826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val="en-US" w:eastAsia="zh-CN"/>
        </w:rPr>
        <w:t>版本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eastAsia="zh-CN"/>
        </w:rPr>
        <w:t>），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</w:rPr>
        <w:t>国家现行相关规范；</w:t>
      </w:r>
    </w:p>
    <w:p w14:paraId="4B12D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</w:rPr>
        <w:t>2018版《安徽省建设工程工程量清单计价办法》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val="en-US" w:eastAsia="zh-CN"/>
        </w:rPr>
        <w:t>2018版安徽省建设工程计价依据动态调整第二期；</w:t>
      </w:r>
    </w:p>
    <w:p w14:paraId="0085A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strike w:val="0"/>
          <w:spacing w:val="0"/>
          <w:sz w:val="28"/>
          <w:highlight w:val="none"/>
          <w:u w:val="none"/>
          <w:shd w:val="clear" w:color="auto" w:fill="auto"/>
        </w:rPr>
        <w:t>中新苏滁高新区超级电容智能制造基地二期项目</w:t>
      </w:r>
      <w:r>
        <w:rPr>
          <w:rFonts w:hint="eastAsia" w:ascii="仿宋" w:hAnsi="仿宋" w:eastAsia="仿宋" w:cs="仿宋"/>
          <w:sz w:val="28"/>
          <w:szCs w:val="28"/>
          <w:highlight w:val="none"/>
          <w:shd w:val="clear" w:color="auto" w:fill="FFFFFF"/>
        </w:rPr>
        <w:t>的招标文件；</w:t>
      </w:r>
    </w:p>
    <w:p w14:paraId="41553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4、本工程定额工期478日历天，招标工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期240日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历天，压缩工期超过定额工期的20%，计入赶工措施费，各投标人自行考虑赶工措施，综合报价；</w:t>
      </w:r>
    </w:p>
    <w:p w14:paraId="46D8F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5、本工程按招标文件要求计入智慧工地建设费，智慧工地等级为基本级。</w:t>
      </w:r>
    </w:p>
    <w:p w14:paraId="3D5A48A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lang w:val="en-US" w:eastAsia="zh-CN"/>
        </w:rPr>
        <w:t>有关说明</w:t>
      </w:r>
    </w:p>
    <w:p w14:paraId="75CA66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  <w:t>（一）土建工程</w:t>
      </w:r>
    </w:p>
    <w:p w14:paraId="717181C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屋面光伏基础不计入本次招标范围；</w:t>
      </w:r>
    </w:p>
    <w:p w14:paraId="796BC7B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厂房三仅计入卫生间装饰装修,其余装饰装修不计入本次招标范围；</w:t>
      </w:r>
    </w:p>
    <w:p w14:paraId="0CB75C6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厂房三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挡水围堰及换热机房地沟基础，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不计入本次招标范围；</w:t>
      </w:r>
    </w:p>
    <w:p w14:paraId="23C21C9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厂房三内墙面钢丝网，不计入本次招标范围；</w:t>
      </w:r>
    </w:p>
    <w:p w14:paraId="088714A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土方外运(包括：建筑垃圾，淤泥，树根树穴等杂质土)、回填土方外购均按5km考虑，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取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弃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土场地各潜在投标人自行考虑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各潜在投标人自行勘察现场，自主报价，中标后运距、运费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渣土费、土源费、弃土消纳费、均包含在相应综合单价中，均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不予调整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6B7403F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土方开挖及回填的消耗量按清单计算说明保持一致(均以消耗量计算)，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人工清底结算时按实计量结算；</w:t>
      </w:r>
    </w:p>
    <w:p w14:paraId="41095C2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strike w:val="0"/>
          <w:color w:val="auto"/>
          <w:sz w:val="28"/>
          <w:highlight w:val="none"/>
          <w:u w:val="none"/>
          <w:lang w:val="en-US" w:eastAsia="zh-CN"/>
        </w:rPr>
        <w:t>桩基工程试桩不作工程桩考虑，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投标人自行考虑相关报价，中标后单价不予调整；</w:t>
      </w:r>
    </w:p>
    <w:p w14:paraId="0603E01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钢结构按专业钢结构厂家加工制作考虑，主材价格包括原材料、制作加工、运输、检验检测、装卸等费用，图纸深化及相关费用由投标人自行考虑报价，结算时不予调整;</w:t>
      </w:r>
    </w:p>
    <w:p w14:paraId="278764A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砌块墙体顶部、侧边及底部与钢筋混凝土结构墙、柱、梁、板交接处墙缝做法，包含在砌块墙综合单价内，不单独列项，投标人自行考虑报价，结算时不予调整;</w:t>
      </w:r>
    </w:p>
    <w:p w14:paraId="028B577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28"/>
          <w:highlight w:val="none"/>
          <w:lang w:val="en-US" w:eastAsia="zh-CN"/>
        </w:rPr>
        <w:t>铝合金玻璃窗单价包含后期的深化和加固费用等一切费用，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投标人自行考虑报价，结算时不予调整；</w:t>
      </w:r>
    </w:p>
    <w:p w14:paraId="0109BC1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高大模板包括支撑硬化、高支模设计，制定并通过专项方案论证，按照方案施工，安全监测等所有费用，投标人自行考虑报价，结算时不予调整；</w:t>
      </w:r>
    </w:p>
    <w:p w14:paraId="4F8FC6E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大型机械进出场及安拆，在各单体工程中单独列项，投标人报价时需结合自身拟定的施工组织设计，施工方案，机械设备配置，现场搭设方案，施工工期计划自行合理报价，因投标人自身施工组织方案等不同产生的造价增减，均包含在投标综合单价内，中标后不予调整。</w:t>
      </w:r>
    </w:p>
    <w:p w14:paraId="13C039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  <w:t xml:space="preserve"> （二）安装工程</w:t>
      </w:r>
    </w:p>
    <w:p w14:paraId="2AC950C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安装所有工程量按图计算，最终以实际量为准；</w:t>
      </w:r>
    </w:p>
    <w:p w14:paraId="7D5407E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所用材料、设备必须满足国标规范要求和满足后期使用功能；消防产品必须满足国家强制认证和必须的标志、标识；</w:t>
      </w:r>
    </w:p>
    <w:p w14:paraId="5D728F4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施工工艺、施工技术涉及的材料、设备含在综合单价内；</w:t>
      </w:r>
    </w:p>
    <w:p w14:paraId="5BC3AEC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各厂房单体消防强电及机房照明按照图示计取；</w:t>
      </w:r>
    </w:p>
    <w:p w14:paraId="6BCF130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消防工程：各单体按照图示计取，包含但不限于火灾自动报警  系统、消防电源监控系统、电气火灾监控系统、应急照明监控系统、气体灭火控制系统、防火门监控系统、消火栓系统、喷淋系统、吸气式感烟火灾报警系统、气体泄漏报警系统、空气采样烟雾探测报警系统等；报警及控制系统接入消防控制室主机按原有处理，本次不作新增；单体至消控室控制线本次计入；</w:t>
      </w:r>
    </w:p>
    <w:p w14:paraId="1AA7142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厂房三屋顶消防水箱系统由动力站移至此，不锈钢消防水箱、消火栓及喷淋泵组、气压罐、阀门、管道附件、管道等均做利旧，包含保护性拆除、搬运、吊运、安装、保温、调试、原管道封堵等相关工作，需确保消防水箱系统完善，投标人自行考虑相关报价，中标后不予调整；</w:t>
      </w:r>
    </w:p>
    <w:p w14:paraId="0AD59D2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给水工程：室内距外墙皮工程量计入各单体，外墙以外工程量计入室外安装工程，包含但不限于管道、阀门件、卫生洁具等；</w:t>
      </w:r>
    </w:p>
    <w:p w14:paraId="3BAA50B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排水工程：由室内引出的排水管算到第一个污水井处；</w:t>
      </w:r>
    </w:p>
    <w:p w14:paraId="618C907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暖通统：按图计算，图纸设计不明确的，按照实际发生为准；</w:t>
      </w:r>
    </w:p>
    <w:p w14:paraId="10BDAA0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光伏系统不计入；</w:t>
      </w:r>
    </w:p>
    <w:p w14:paraId="1D26893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厂房三变电所及进线不在此次范围；变电所出线至动力箱按图纸计入；</w:t>
      </w:r>
    </w:p>
    <w:p w14:paraId="133E307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电芯库抗震支架按项计价计入电芯库安装分部分项清单中，投标人自行考虑报价，结算时不予调整，厂房三抗震支架不计入本次招标范围；</w:t>
      </w:r>
    </w:p>
    <w:p w14:paraId="3A82398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室外给排水工程：按照图示计取；</w:t>
      </w:r>
    </w:p>
    <w:p w14:paraId="04C0DA9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室外照明：按照图示计取；</w:t>
      </w:r>
    </w:p>
    <w:p w14:paraId="4D0FB53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室外火灾报警、智能化不在本次范围；</w:t>
      </w:r>
    </w:p>
    <w:p w14:paraId="572E706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shd w:val="clear" w:color="auto" w:fill="auto"/>
          <w:lang w:val="en-US" w:eastAsia="zh-CN"/>
        </w:rPr>
        <w:t>室外不考虑现状道路、绿化等破除恢复做法。</w:t>
      </w:r>
    </w:p>
    <w:p w14:paraId="4C1D6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7BFF2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33CEE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09F3D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jc w:val="right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安徽求是工程建设咨询有限公司</w:t>
      </w:r>
    </w:p>
    <w:p w14:paraId="545F0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righ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2026年8月25日</w:t>
      </w:r>
    </w:p>
    <w:p w14:paraId="31981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sz w:val="30"/>
          <w:szCs w:val="30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247" w:right="1701" w:bottom="1247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金山简魏碑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F2A17">
    <w:pPr>
      <w:pStyle w:val="13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265B7"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14BFA2"/>
    <w:multiLevelType w:val="singleLevel"/>
    <w:tmpl w:val="FD14BFA2"/>
    <w:lvl w:ilvl="0" w:tentative="0">
      <w:start w:val="1"/>
      <w:numFmt w:val="decimal"/>
      <w:suff w:val="nothing"/>
      <w:lvlText w:val="%1、"/>
      <w:lvlJc w:val="left"/>
      <w:rPr>
        <w:rFonts w:hint="default" w:ascii="仿宋" w:hAnsi="仿宋" w:eastAsia="仿宋" w:cs="金山简魏碑"/>
        <w:w w:val="100"/>
        <w:kern w:val="2"/>
        <w:sz w:val="28"/>
        <w:szCs w:val="28"/>
        <w:lang w:val="en-US" w:eastAsia="zh-CN" w:bidi="ar-SA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decimal"/>
      <w:suff w:val="nothing"/>
      <w:lvlText w:val="%1、"/>
      <w:lvlJc w:val="left"/>
      <w:pPr>
        <w:ind w:left="420"/>
      </w:pPr>
      <w:rPr>
        <w:rFonts w:hint="default" w:ascii="仿宋" w:hAnsi="仿宋" w:eastAsia="仿宋" w:cs="金山简魏碑"/>
        <w:w w:val="100"/>
        <w:kern w:val="2"/>
        <w:sz w:val="28"/>
        <w:szCs w:val="28"/>
        <w:lang w:val="en-US" w:eastAsia="zh-CN" w:bidi="ar-SA"/>
      </w:rPr>
    </w:lvl>
  </w:abstractNum>
  <w:abstractNum w:abstractNumId="2">
    <w:nsid w:val="34A6EE61"/>
    <w:multiLevelType w:val="singleLevel"/>
    <w:tmpl w:val="34A6EE6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2B0680"/>
    <w:rsid w:val="00AD37F1"/>
    <w:rsid w:val="00C84172"/>
    <w:rsid w:val="02BC1B8A"/>
    <w:rsid w:val="03157416"/>
    <w:rsid w:val="03912F41"/>
    <w:rsid w:val="040D783E"/>
    <w:rsid w:val="04CD23D4"/>
    <w:rsid w:val="04F24F4B"/>
    <w:rsid w:val="04FA6B05"/>
    <w:rsid w:val="05467E68"/>
    <w:rsid w:val="05B60A3D"/>
    <w:rsid w:val="062A142B"/>
    <w:rsid w:val="063171D2"/>
    <w:rsid w:val="07B1754E"/>
    <w:rsid w:val="07EF5196"/>
    <w:rsid w:val="07FB6BDB"/>
    <w:rsid w:val="085D1644"/>
    <w:rsid w:val="08B1198F"/>
    <w:rsid w:val="08D35DAA"/>
    <w:rsid w:val="09023F99"/>
    <w:rsid w:val="09524F20"/>
    <w:rsid w:val="0A5658E6"/>
    <w:rsid w:val="0B6B40B0"/>
    <w:rsid w:val="0DAE5F61"/>
    <w:rsid w:val="0DEF714B"/>
    <w:rsid w:val="0E673B89"/>
    <w:rsid w:val="107B2FAF"/>
    <w:rsid w:val="10F20D97"/>
    <w:rsid w:val="115F467E"/>
    <w:rsid w:val="11661155"/>
    <w:rsid w:val="11C444E1"/>
    <w:rsid w:val="1311271D"/>
    <w:rsid w:val="132D4308"/>
    <w:rsid w:val="15995A22"/>
    <w:rsid w:val="17615E71"/>
    <w:rsid w:val="182B52BA"/>
    <w:rsid w:val="18E436BB"/>
    <w:rsid w:val="1ABB2303"/>
    <w:rsid w:val="1B570174"/>
    <w:rsid w:val="1CF87735"/>
    <w:rsid w:val="1D3A1AFC"/>
    <w:rsid w:val="21671938"/>
    <w:rsid w:val="22883309"/>
    <w:rsid w:val="22B93500"/>
    <w:rsid w:val="23897339"/>
    <w:rsid w:val="273D46C2"/>
    <w:rsid w:val="296F013F"/>
    <w:rsid w:val="297E1D27"/>
    <w:rsid w:val="299B5BEB"/>
    <w:rsid w:val="2A063491"/>
    <w:rsid w:val="2AC57CE5"/>
    <w:rsid w:val="2AD92954"/>
    <w:rsid w:val="2BF449F5"/>
    <w:rsid w:val="2C1F4CDE"/>
    <w:rsid w:val="2C2A71DF"/>
    <w:rsid w:val="2C7B34BD"/>
    <w:rsid w:val="2CC66F08"/>
    <w:rsid w:val="2D3E73E6"/>
    <w:rsid w:val="2DE9470A"/>
    <w:rsid w:val="2E1819E5"/>
    <w:rsid w:val="2E954DE4"/>
    <w:rsid w:val="2E9C43C4"/>
    <w:rsid w:val="2F436F36"/>
    <w:rsid w:val="2F603644"/>
    <w:rsid w:val="2F725125"/>
    <w:rsid w:val="2FAF6379"/>
    <w:rsid w:val="2FC44AB7"/>
    <w:rsid w:val="30093CDB"/>
    <w:rsid w:val="32916E6C"/>
    <w:rsid w:val="331E20AC"/>
    <w:rsid w:val="334F027D"/>
    <w:rsid w:val="335A65FC"/>
    <w:rsid w:val="336E3E55"/>
    <w:rsid w:val="3445105A"/>
    <w:rsid w:val="355F614C"/>
    <w:rsid w:val="35B35F4F"/>
    <w:rsid w:val="35F621A2"/>
    <w:rsid w:val="361B02C4"/>
    <w:rsid w:val="361C25F1"/>
    <w:rsid w:val="36DA1F2E"/>
    <w:rsid w:val="3AB41065"/>
    <w:rsid w:val="3B2813AF"/>
    <w:rsid w:val="3C4745C9"/>
    <w:rsid w:val="3D0E0CB1"/>
    <w:rsid w:val="3E2E7003"/>
    <w:rsid w:val="41244BF4"/>
    <w:rsid w:val="43A04484"/>
    <w:rsid w:val="44450C02"/>
    <w:rsid w:val="447D214A"/>
    <w:rsid w:val="449927EC"/>
    <w:rsid w:val="454B3FF6"/>
    <w:rsid w:val="45611A6C"/>
    <w:rsid w:val="46BC33FE"/>
    <w:rsid w:val="499A379E"/>
    <w:rsid w:val="49C425C9"/>
    <w:rsid w:val="4A431740"/>
    <w:rsid w:val="4AC60446"/>
    <w:rsid w:val="4B6D2F19"/>
    <w:rsid w:val="4BE60F1D"/>
    <w:rsid w:val="4C433C79"/>
    <w:rsid w:val="4C940979"/>
    <w:rsid w:val="4CC76658"/>
    <w:rsid w:val="4D9F1383"/>
    <w:rsid w:val="4E1A0709"/>
    <w:rsid w:val="4E5E123E"/>
    <w:rsid w:val="4EA467B4"/>
    <w:rsid w:val="4EBC4146"/>
    <w:rsid w:val="4F5346D7"/>
    <w:rsid w:val="4FDE3916"/>
    <w:rsid w:val="5031134C"/>
    <w:rsid w:val="50461F8A"/>
    <w:rsid w:val="50522FC8"/>
    <w:rsid w:val="510C4F82"/>
    <w:rsid w:val="521C3321"/>
    <w:rsid w:val="54AF39D0"/>
    <w:rsid w:val="55CF47D0"/>
    <w:rsid w:val="563E3201"/>
    <w:rsid w:val="56700608"/>
    <w:rsid w:val="57A35F14"/>
    <w:rsid w:val="57E51A08"/>
    <w:rsid w:val="581035A9"/>
    <w:rsid w:val="588B70D4"/>
    <w:rsid w:val="597E5E5D"/>
    <w:rsid w:val="5B372BFB"/>
    <w:rsid w:val="5BBA55DA"/>
    <w:rsid w:val="5BBC2F84"/>
    <w:rsid w:val="5C961BA3"/>
    <w:rsid w:val="5D340FE7"/>
    <w:rsid w:val="5D7E2D63"/>
    <w:rsid w:val="5EA507C4"/>
    <w:rsid w:val="5F2931A3"/>
    <w:rsid w:val="60AF67A8"/>
    <w:rsid w:val="63185A08"/>
    <w:rsid w:val="632E0D88"/>
    <w:rsid w:val="65491EA9"/>
    <w:rsid w:val="662D29AA"/>
    <w:rsid w:val="663C37BC"/>
    <w:rsid w:val="6733421B"/>
    <w:rsid w:val="68871F1A"/>
    <w:rsid w:val="69337D87"/>
    <w:rsid w:val="6AF97ECD"/>
    <w:rsid w:val="6B07083C"/>
    <w:rsid w:val="6C67065D"/>
    <w:rsid w:val="6E433979"/>
    <w:rsid w:val="6E7E515D"/>
    <w:rsid w:val="71614A1E"/>
    <w:rsid w:val="71B250A2"/>
    <w:rsid w:val="72747DC5"/>
    <w:rsid w:val="730D6C0C"/>
    <w:rsid w:val="73305196"/>
    <w:rsid w:val="73CD1EF7"/>
    <w:rsid w:val="751B470E"/>
    <w:rsid w:val="775F555C"/>
    <w:rsid w:val="78126A72"/>
    <w:rsid w:val="79ED6E4F"/>
    <w:rsid w:val="7A6E2D8F"/>
    <w:rsid w:val="7AD62ECF"/>
    <w:rsid w:val="7B025298"/>
    <w:rsid w:val="7B2175BE"/>
    <w:rsid w:val="7B8A691F"/>
    <w:rsid w:val="7BA270B0"/>
    <w:rsid w:val="7BD227A0"/>
    <w:rsid w:val="7C8D2B6B"/>
    <w:rsid w:val="7E5F4093"/>
    <w:rsid w:val="7EB77A2B"/>
    <w:rsid w:val="7F1B7FBA"/>
    <w:rsid w:val="7F6702C8"/>
    <w:rsid w:val="7FD869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25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link w:val="35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link w:val="41"/>
    <w:unhideWhenUsed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link w:val="32"/>
    <w:unhideWhenUsed/>
    <w:qFormat/>
    <w:uiPriority w:val="0"/>
    <w:pPr>
      <w:keepNext/>
      <w:keepLines/>
      <w:spacing w:before="280" w:beforeAutospacing="0" w:after="29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21">
    <w:name w:val="Default Paragraph Font"/>
    <w:qFormat/>
    <w:uiPriority w:val="0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link w:val="33"/>
    <w:qFormat/>
    <w:uiPriority w:val="0"/>
    <w:pPr>
      <w:spacing w:after="120" w:afterAutospacing="0"/>
    </w:pPr>
  </w:style>
  <w:style w:type="paragraph" w:styleId="8">
    <w:name w:val="Body Text Indent"/>
    <w:basedOn w:val="1"/>
    <w:link w:val="27"/>
    <w:unhideWhenUsed/>
    <w:qFormat/>
    <w:uiPriority w:val="99"/>
    <w:pPr>
      <w:spacing w:after="120" w:afterAutospacing="0"/>
      <w:ind w:left="420" w:leftChars="200"/>
    </w:pPr>
  </w:style>
  <w:style w:type="paragraph" w:styleId="9">
    <w:name w:val="Plain Text"/>
    <w:basedOn w:val="1"/>
    <w:link w:val="34"/>
    <w:qFormat/>
    <w:uiPriority w:val="0"/>
    <w:rPr>
      <w:rFonts w:ascii="宋体" w:hAnsi="Courier New" w:cs="金山简魏碑"/>
      <w:szCs w:val="21"/>
    </w:rPr>
  </w:style>
  <w:style w:type="paragraph" w:styleId="10">
    <w:name w:val="Date"/>
    <w:basedOn w:val="1"/>
    <w:link w:val="40"/>
    <w:qFormat/>
    <w:uiPriority w:val="0"/>
    <w:pPr>
      <w:ind w:left="2500" w:leftChars="2500"/>
    </w:pPr>
  </w:style>
  <w:style w:type="paragraph" w:styleId="11">
    <w:name w:val="Body Text Indent 2"/>
    <w:basedOn w:val="1"/>
    <w:link w:val="28"/>
    <w:qFormat/>
    <w:uiPriority w:val="0"/>
    <w:pPr>
      <w:spacing w:after="120" w:afterAutospacing="0" w:line="480" w:lineRule="auto"/>
      <w:ind w:left="420" w:leftChars="200"/>
    </w:p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5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Body Text Indent 3"/>
    <w:basedOn w:val="1"/>
    <w:link w:val="30"/>
    <w:qFormat/>
    <w:uiPriority w:val="0"/>
    <w:pPr>
      <w:spacing w:after="120" w:afterAutospacing="0"/>
      <w:ind w:left="420" w:leftChars="200"/>
    </w:pPr>
    <w:rPr>
      <w:sz w:val="16"/>
    </w:rPr>
  </w:style>
  <w:style w:type="paragraph" w:styleId="17">
    <w:name w:val="Body Text 2"/>
    <w:basedOn w:val="1"/>
    <w:link w:val="26"/>
    <w:qFormat/>
    <w:uiPriority w:val="0"/>
    <w:pPr>
      <w:spacing w:after="120" w:afterAutospacing="0" w:line="480" w:lineRule="auto"/>
    </w:pPr>
  </w:style>
  <w:style w:type="paragraph" w:styleId="1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qFormat/>
    <w:uiPriority w:val="0"/>
    <w:rPr>
      <w:b/>
      <w:bCs/>
    </w:rPr>
  </w:style>
  <w:style w:type="character" w:styleId="23">
    <w:name w:val="FollowedHyperlink"/>
    <w:basedOn w:val="21"/>
    <w:qFormat/>
    <w:uiPriority w:val="0"/>
    <w:rPr>
      <w:color w:val="800080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customStyle="1" w:styleId="25">
    <w:name w:val="标题 1 Char"/>
    <w:basedOn w:val="21"/>
    <w:link w:val="2"/>
    <w:qFormat/>
    <w:uiPriority w:val="0"/>
    <w:rPr>
      <w:b/>
      <w:bCs/>
    </w:rPr>
  </w:style>
  <w:style w:type="character" w:customStyle="1" w:styleId="26">
    <w:name w:val="正文文本 2 Char"/>
    <w:basedOn w:val="21"/>
    <w:link w:val="17"/>
    <w:qFormat/>
    <w:uiPriority w:val="0"/>
    <w:rPr>
      <w:rFonts w:ascii="黑体" w:hAnsi="宋体" w:eastAsia="黑体" w:cs="黑体"/>
      <w:b/>
      <w:bCs/>
    </w:rPr>
  </w:style>
  <w:style w:type="character" w:customStyle="1" w:styleId="27">
    <w:name w:val="正文文本缩进 Char"/>
    <w:basedOn w:val="21"/>
    <w:link w:val="8"/>
    <w:qFormat/>
    <w:uiPriority w:val="0"/>
    <w:rPr>
      <w:rFonts w:ascii="仿宋_GB2312" w:eastAsia="仿宋_GB2312" w:cs="仿宋_GB2312"/>
    </w:rPr>
  </w:style>
  <w:style w:type="character" w:customStyle="1" w:styleId="28">
    <w:name w:val="正文文本缩进 2 Char"/>
    <w:basedOn w:val="21"/>
    <w:link w:val="11"/>
    <w:qFormat/>
    <w:uiPriority w:val="0"/>
    <w:rPr>
      <w:rFonts w:hint="default" w:ascii="Times New Roman" w:hAnsi="Times New Roman" w:cs="Times New Roman"/>
    </w:rPr>
  </w:style>
  <w:style w:type="character" w:customStyle="1" w:styleId="29">
    <w:name w:val="批注框文本 Char"/>
    <w:basedOn w:val="21"/>
    <w:link w:val="12"/>
    <w:qFormat/>
    <w:uiPriority w:val="0"/>
  </w:style>
  <w:style w:type="character" w:customStyle="1" w:styleId="30">
    <w:name w:val="正文文本缩进 3 Char"/>
    <w:basedOn w:val="21"/>
    <w:link w:val="16"/>
    <w:qFormat/>
    <w:uiPriority w:val="0"/>
    <w:rPr>
      <w:rFonts w:hint="default" w:ascii="Times New Roman" w:hAnsi="Times New Roman" w:cs="Times New Roman"/>
      <w:shd w:val="clear" w:color="auto" w:fill="FFFFFF"/>
    </w:rPr>
  </w:style>
  <w:style w:type="character" w:customStyle="1" w:styleId="31">
    <w:name w:val="页眉 Char"/>
    <w:basedOn w:val="21"/>
    <w:link w:val="15"/>
    <w:qFormat/>
    <w:uiPriority w:val="0"/>
    <w:rPr>
      <w:rFonts w:hint="default" w:ascii="Times New Roman" w:hAnsi="Times New Roman" w:cs="Times New Roman"/>
    </w:rPr>
  </w:style>
  <w:style w:type="character" w:customStyle="1" w:styleId="32">
    <w:name w:val="标题 4 Char"/>
    <w:basedOn w:val="21"/>
    <w:link w:val="5"/>
    <w:qFormat/>
    <w:uiPriority w:val="0"/>
    <w:rPr>
      <w:rFonts w:hint="eastAsia" w:ascii="等线 Light" w:hAnsi="等线 Light" w:eastAsia="等线 Light" w:cs="等线 Light"/>
      <w:b/>
      <w:bCs/>
    </w:rPr>
  </w:style>
  <w:style w:type="character" w:customStyle="1" w:styleId="33">
    <w:name w:val="正文文本 Char"/>
    <w:basedOn w:val="21"/>
    <w:link w:val="7"/>
    <w:qFormat/>
    <w:uiPriority w:val="0"/>
    <w:rPr>
      <w:rFonts w:hint="default" w:ascii="仿宋_GB2312" w:eastAsia="仿宋_GB2312" w:cs="仿宋_GB2312"/>
    </w:rPr>
  </w:style>
  <w:style w:type="character" w:customStyle="1" w:styleId="34">
    <w:name w:val="纯文本 Char"/>
    <w:basedOn w:val="21"/>
    <w:link w:val="9"/>
    <w:qFormat/>
    <w:uiPriority w:val="0"/>
    <w:rPr>
      <w:rFonts w:hint="eastAsia" w:ascii="宋体" w:hAnsi="宋体" w:eastAsia="宋体" w:cs="宋体"/>
    </w:rPr>
  </w:style>
  <w:style w:type="character" w:customStyle="1" w:styleId="35">
    <w:name w:val="标题 2 Char"/>
    <w:basedOn w:val="21"/>
    <w:link w:val="3"/>
    <w:qFormat/>
    <w:uiPriority w:val="0"/>
    <w:rPr>
      <w:rFonts w:ascii="等线 Light" w:hAnsi="等线 Light" w:eastAsia="等线 Light" w:cs="等线 Light"/>
      <w:b/>
      <w:bCs/>
    </w:rPr>
  </w:style>
  <w:style w:type="paragraph" w:customStyle="1" w:styleId="36">
    <w:name w:val="179"/>
    <w:basedOn w:val="1"/>
    <w:qFormat/>
    <w:uiPriority w:val="34"/>
    <w:pPr>
      <w:ind w:firstLine="420" w:firstLineChars="200"/>
    </w:pPr>
  </w:style>
  <w:style w:type="character" w:customStyle="1" w:styleId="37">
    <w:name w:val="页脚 Char"/>
    <w:basedOn w:val="21"/>
    <w:link w:val="13"/>
    <w:qFormat/>
    <w:uiPriority w:val="0"/>
    <w:rPr>
      <w:rFonts w:hint="default" w:ascii="Times New Roman" w:hAnsi="Times New Roman" w:cs="Times New Roman"/>
    </w:rPr>
  </w:style>
  <w:style w:type="character" w:customStyle="1" w:styleId="38">
    <w:name w:val="要点2"/>
    <w:basedOn w:val="21"/>
    <w:qFormat/>
    <w:uiPriority w:val="0"/>
    <w:rPr>
      <w:b/>
      <w:bCs/>
      <w:color w:val="111111"/>
    </w:rPr>
  </w:style>
  <w:style w:type="paragraph" w:customStyle="1" w:styleId="39">
    <w:name w:val="Char1 Char Char Char Char Char Char Char Char Char Char Char Char1 Char Char Char Char Char1 Char Char Char Char Char Char Char Char Char1 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</w:style>
  <w:style w:type="character" w:customStyle="1" w:styleId="40">
    <w:name w:val="日期 Char"/>
    <w:basedOn w:val="21"/>
    <w:link w:val="10"/>
    <w:qFormat/>
    <w:uiPriority w:val="0"/>
  </w:style>
  <w:style w:type="character" w:customStyle="1" w:styleId="41">
    <w:name w:val="标题 3 Char"/>
    <w:basedOn w:val="21"/>
    <w:link w:val="4"/>
    <w:qFormat/>
    <w:uiPriority w:val="0"/>
    <w:rPr>
      <w:b/>
      <w:bCs/>
    </w:rPr>
  </w:style>
  <w:style w:type="paragraph" w:customStyle="1" w:styleId="42">
    <w:name w:val=" Char1 Char Char Char Char Char Char Char Char Char Char Char Char1 Char Char Char Char Char1 Char Char Char Char Char Char Char Char Char1 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1882</Words>
  <Characters>1911</Characters>
  <TotalTime>3</TotalTime>
  <ScaleCrop>false</ScaleCrop>
  <LinksUpToDate>false</LinksUpToDate>
  <CharactersWithSpaces>1924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2026-08-21T09:06:00Z</dcterms:created>
  <dc:creator>lenovo</dc:creator>
  <cp:lastModifiedBy>凉丶生</cp:lastModifiedBy>
  <dcterms:modified xsi:type="dcterms:W3CDTF">2026-08-28T02:27:22Z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eyJoZGlkIjoiOThkNzQ1MjQ5ZTRhNjZhOWFkNmJiODA4MjVjYWU3OTgiLCJ1c2VySWQiOiIzNzQyNjExODcifQ==</vt:lpwstr>
  </property>
  <property fmtid="{D5CDD505-2E9C-101B-9397-08002B2CF9AE}" pid="3" name="KSOProductBuildVer">
    <vt:lpwstr>2052-12.1.0.28505</vt:lpwstr>
  </property>
  <property fmtid="{D5CDD505-2E9C-101B-9397-08002B2CF9AE}" pid="4" name="ICV">
    <vt:lpwstr>3FC22BCEB10145F49BB9CAA8B49FC59F_12</vt:lpwstr>
  </property>
</Properties>
</file>