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52DFF">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p>
    <w:p w14:paraId="76746B19">
      <w:pPr>
        <w:tabs>
          <w:tab w:val="left" w:pos="315"/>
          <w:tab w:val="left" w:pos="8820"/>
        </w:tabs>
        <w:spacing w:before="312" w:beforeLines="100" w:after="156" w:afterLines="50" w:line="500" w:lineRule="exact"/>
        <w:ind w:right="267" w:rightChars="127"/>
        <w:jc w:val="both"/>
        <w:rPr>
          <w:rFonts w:ascii="宋体" w:hAnsi="宋体" w:eastAsia="宋体" w:cs="宋体"/>
          <w:b/>
          <w:bCs/>
          <w:color w:val="auto"/>
          <w:sz w:val="52"/>
          <w:szCs w:val="52"/>
          <w:highlight w:val="none"/>
        </w:rPr>
      </w:pPr>
    </w:p>
    <w:p w14:paraId="106BBFA3">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bookmarkStart w:id="0" w:name="_Hlk9544796"/>
      <w:r>
        <w:rPr>
          <w:rFonts w:hint="eastAsia" w:ascii="宋体" w:hAnsi="宋体" w:eastAsia="宋体" w:cs="宋体"/>
          <w:b/>
          <w:bCs/>
          <w:color w:val="auto"/>
          <w:sz w:val="52"/>
          <w:szCs w:val="52"/>
          <w:highlight w:val="none"/>
        </w:rPr>
        <w:t>安徽省政府采购项目</w:t>
      </w:r>
    </w:p>
    <w:p w14:paraId="51C6E4C5">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公开招标</w:t>
      </w:r>
      <w:bookmarkStart w:id="258" w:name="_GoBack"/>
      <w:bookmarkEnd w:id="258"/>
      <w:r>
        <w:rPr>
          <w:rFonts w:hint="eastAsia" w:ascii="宋体" w:hAnsi="宋体" w:eastAsia="宋体" w:cs="宋体"/>
          <w:b/>
          <w:bCs/>
          <w:color w:val="auto"/>
          <w:sz w:val="52"/>
          <w:szCs w:val="52"/>
          <w:highlight w:val="none"/>
        </w:rPr>
        <w:t>文件示范文本</w:t>
      </w:r>
      <w:bookmarkEnd w:id="0"/>
      <w:r>
        <w:rPr>
          <w:rFonts w:hint="eastAsia" w:ascii="宋体" w:hAnsi="宋体" w:eastAsia="宋体" w:cs="宋体"/>
          <w:b/>
          <w:bCs/>
          <w:color w:val="auto"/>
          <w:sz w:val="52"/>
          <w:szCs w:val="52"/>
          <w:highlight w:val="none"/>
        </w:rPr>
        <w:t>（服务类）</w:t>
      </w:r>
    </w:p>
    <w:p w14:paraId="3F09FECE">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（202</w:t>
      </w:r>
      <w:r>
        <w:rPr>
          <w:rFonts w:hint="eastAsia" w:ascii="宋体" w:hAnsi="宋体" w:eastAsia="宋体" w:cs="宋体"/>
          <w:b/>
          <w:bCs/>
          <w:color w:val="auto"/>
          <w:sz w:val="52"/>
          <w:szCs w:val="52"/>
          <w:highlight w:val="none"/>
          <w:lang w:val="en-US" w:eastAsia="zh-CN"/>
        </w:rPr>
        <w:t>6</w:t>
      </w:r>
      <w:r>
        <w:rPr>
          <w:rFonts w:hint="eastAsia" w:ascii="宋体" w:hAnsi="宋体" w:eastAsia="宋体" w:cs="宋体"/>
          <w:b/>
          <w:bCs/>
          <w:color w:val="auto"/>
          <w:sz w:val="52"/>
          <w:szCs w:val="52"/>
          <w:highlight w:val="none"/>
        </w:rPr>
        <w:t>年版）</w:t>
      </w:r>
    </w:p>
    <w:p w14:paraId="3F756A28">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2B9C38BF">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13DDF822">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51C375A1">
      <w:pPr>
        <w:rPr>
          <w:rFonts w:ascii="宋体" w:hAnsi="宋体" w:eastAsia="宋体" w:cs="宋体"/>
          <w:color w:val="auto"/>
          <w:highlight w:val="none"/>
        </w:rPr>
      </w:pPr>
    </w:p>
    <w:p w14:paraId="519F06DB">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3EFDBD06">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single"/>
          <w:lang w:eastAsia="zh-CN"/>
        </w:rPr>
      </w:pPr>
      <w:r>
        <w:rPr>
          <w:rFonts w:hint="eastAsia" w:ascii="宋体" w:hAnsi="宋体" w:eastAsia="宋体" w:cs="宋体"/>
          <w:b/>
          <w:color w:val="auto"/>
          <w:spacing w:val="20"/>
          <w:kern w:val="0"/>
          <w:sz w:val="32"/>
          <w:szCs w:val="32"/>
          <w:highlight w:val="none"/>
        </w:rPr>
        <w:t>项目名称：</w:t>
      </w:r>
      <w:r>
        <w:rPr>
          <w:rFonts w:hint="eastAsia" w:ascii="宋体" w:hAnsi="宋体" w:eastAsia="宋体" w:cs="宋体"/>
          <w:b/>
          <w:color w:val="auto"/>
          <w:spacing w:val="20"/>
          <w:kern w:val="0"/>
          <w:sz w:val="32"/>
          <w:szCs w:val="32"/>
          <w:highlight w:val="none"/>
          <w:u w:val="single"/>
          <w:lang w:val="en-US" w:eastAsia="zh-CN"/>
        </w:rPr>
        <w:t>2026年滁州市高速公路技术状况定期检查项目</w:t>
      </w:r>
    </w:p>
    <w:p w14:paraId="378B8871">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项目编号：</w:t>
      </w:r>
      <w:r>
        <w:rPr>
          <w:rFonts w:hint="eastAsia" w:ascii="宋体" w:hAnsi="宋体" w:eastAsia="宋体" w:cs="宋体"/>
          <w:b/>
          <w:color w:val="auto"/>
          <w:spacing w:val="20"/>
          <w:kern w:val="0"/>
          <w:sz w:val="32"/>
          <w:szCs w:val="32"/>
          <w:highlight w:val="none"/>
          <w:u w:val="single"/>
          <w:lang w:eastAsia="zh-CN"/>
        </w:rPr>
        <w:t>czsjcg202608-054</w:t>
      </w:r>
    </w:p>
    <w:p w14:paraId="13E9AC45">
      <w:pPr>
        <w:tabs>
          <w:tab w:val="left" w:pos="2410"/>
        </w:tabs>
        <w:autoSpaceDE w:val="0"/>
        <w:autoSpaceDN w:val="0"/>
        <w:adjustRightInd w:val="0"/>
        <w:snapToGrid w:val="0"/>
        <w:spacing w:line="360" w:lineRule="auto"/>
        <w:ind w:firstLine="723" w:firstLineChars="200"/>
        <w:rPr>
          <w:rFonts w:ascii="宋体" w:hAnsi="宋体" w:eastAsia="宋体" w:cs="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rPr>
        <w:t>采 购 人：</w:t>
      </w:r>
      <w:r>
        <w:rPr>
          <w:rFonts w:hint="eastAsia" w:ascii="宋体" w:hAnsi="宋体" w:eastAsia="宋体" w:cs="宋体"/>
          <w:b/>
          <w:color w:val="auto"/>
          <w:spacing w:val="20"/>
          <w:kern w:val="0"/>
          <w:sz w:val="32"/>
          <w:szCs w:val="32"/>
          <w:highlight w:val="none"/>
          <w:u w:val="single"/>
          <w:lang w:eastAsia="zh-CN"/>
        </w:rPr>
        <w:t>滁州市公路管理服务中心</w:t>
      </w:r>
    </w:p>
    <w:p w14:paraId="2C9F7EA3">
      <w:pPr>
        <w:tabs>
          <w:tab w:val="left" w:pos="2410"/>
        </w:tabs>
        <w:autoSpaceDE w:val="0"/>
        <w:autoSpaceDN w:val="0"/>
        <w:adjustRightInd w:val="0"/>
        <w:snapToGrid w:val="0"/>
        <w:spacing w:line="360" w:lineRule="auto"/>
        <w:ind w:firstLine="723" w:firstLineChars="200"/>
        <w:rPr>
          <w:rFonts w:ascii="宋体" w:hAnsi="宋体" w:eastAsia="宋体" w:cs="宋体"/>
          <w:b/>
          <w:color w:val="auto"/>
          <w:spacing w:val="20"/>
          <w:kern w:val="0"/>
          <w:sz w:val="32"/>
          <w:szCs w:val="32"/>
          <w:highlight w:val="none"/>
          <w:u w:val="single"/>
        </w:rPr>
      </w:pPr>
      <w:r>
        <w:rPr>
          <w:rFonts w:hint="eastAsia" w:ascii="宋体" w:hAnsi="宋体" w:eastAsia="宋体" w:cs="宋体"/>
          <w:b/>
          <w:color w:val="auto"/>
          <w:spacing w:val="20"/>
          <w:kern w:val="0"/>
          <w:sz w:val="32"/>
          <w:szCs w:val="32"/>
          <w:highlight w:val="none"/>
        </w:rPr>
        <w:t>采购代理机构：</w:t>
      </w:r>
      <w:r>
        <w:rPr>
          <w:rFonts w:hint="eastAsia" w:ascii="宋体" w:hAnsi="宋体" w:eastAsia="宋体"/>
          <w:b/>
          <w:color w:val="auto"/>
          <w:spacing w:val="0"/>
          <w:kern w:val="0"/>
          <w:sz w:val="32"/>
          <w:szCs w:val="32"/>
          <w:highlight w:val="none"/>
          <w:u w:val="single"/>
          <w:lang w:val="en-US" w:eastAsia="zh-CN"/>
        </w:rPr>
        <w:t>滁州市城投工程咨询管理有限公司</w:t>
      </w:r>
    </w:p>
    <w:p w14:paraId="13079409">
      <w:pPr>
        <w:pStyle w:val="10"/>
        <w:rPr>
          <w:rFonts w:ascii="宋体" w:hAnsi="宋体" w:eastAsia="宋体" w:cs="宋体"/>
          <w:color w:val="auto"/>
          <w:highlight w:val="none"/>
        </w:rPr>
      </w:pPr>
    </w:p>
    <w:p w14:paraId="29FB1F94">
      <w:pPr>
        <w:pStyle w:val="11"/>
        <w:rPr>
          <w:color w:val="auto"/>
          <w:highlight w:val="none"/>
        </w:rPr>
      </w:pPr>
    </w:p>
    <w:p w14:paraId="69DE5891">
      <w:pPr>
        <w:jc w:val="center"/>
        <w:rPr>
          <w:rFonts w:hint="eastAsia" w:ascii="宋体" w:hAnsi="宋体" w:eastAsia="宋体" w:cs="宋体"/>
          <w:b/>
          <w:color w:val="auto"/>
          <w:sz w:val="36"/>
          <w:highlight w:val="none"/>
        </w:rPr>
        <w:sectPr>
          <w:headerReference r:id="rId3" w:type="default"/>
          <w:footerReference r:id="rId4" w:type="default"/>
          <w:pgSz w:w="11905" w:h="16838"/>
          <w:pgMar w:top="1417" w:right="1417" w:bottom="1417" w:left="1417" w:header="850" w:footer="992" w:gutter="0"/>
          <w:pgNumType w:fmt="decimal"/>
          <w:cols w:space="0" w:num="1"/>
          <w:rtlGutter w:val="0"/>
          <w:docGrid w:type="lines" w:linePitch="318" w:charSpace="0"/>
        </w:sectPr>
      </w:pPr>
      <w:r>
        <w:rPr>
          <w:rFonts w:hint="eastAsia" w:ascii="宋体" w:hAnsi="宋体" w:eastAsia="宋体" w:cs="宋体"/>
          <w:b/>
          <w:color w:val="auto"/>
          <w:sz w:val="36"/>
          <w:highlight w:val="none"/>
          <w:u w:val="single"/>
        </w:rPr>
        <w:t>202</w:t>
      </w:r>
      <w:r>
        <w:rPr>
          <w:rFonts w:hint="eastAsia" w:ascii="宋体" w:hAnsi="宋体" w:eastAsia="宋体" w:cs="宋体"/>
          <w:b/>
          <w:color w:val="auto"/>
          <w:sz w:val="36"/>
          <w:highlight w:val="none"/>
          <w:u w:val="single"/>
          <w:lang w:val="en-US" w:eastAsia="zh-CN"/>
        </w:rPr>
        <w:t>6</w:t>
      </w:r>
      <w:r>
        <w:rPr>
          <w:rFonts w:hint="eastAsia" w:ascii="宋体" w:hAnsi="宋体" w:eastAsia="宋体" w:cs="宋体"/>
          <w:b/>
          <w:color w:val="auto"/>
          <w:sz w:val="36"/>
          <w:highlight w:val="none"/>
        </w:rPr>
        <w:t>年</w:t>
      </w:r>
      <w:r>
        <w:rPr>
          <w:rFonts w:hint="eastAsia" w:ascii="宋体" w:hAnsi="宋体" w:eastAsia="宋体" w:cs="宋体"/>
          <w:b/>
          <w:color w:val="auto"/>
          <w:sz w:val="36"/>
          <w:highlight w:val="none"/>
          <w:u w:val="single"/>
          <w:lang w:val="en-US" w:eastAsia="zh-CN"/>
        </w:rPr>
        <w:t>8</w:t>
      </w:r>
      <w:r>
        <w:rPr>
          <w:rFonts w:hint="eastAsia" w:ascii="宋体" w:hAnsi="宋体" w:eastAsia="宋体" w:cs="宋体"/>
          <w:b/>
          <w:color w:val="auto"/>
          <w:sz w:val="36"/>
          <w:highlight w:val="none"/>
        </w:rPr>
        <w:t>月</w:t>
      </w:r>
    </w:p>
    <w:p w14:paraId="4A5395F1">
      <w:pPr>
        <w:rPr>
          <w:rFonts w:hint="eastAsia" w:ascii="宋体" w:hAnsi="宋体" w:eastAsia="宋体" w:cs="宋体"/>
          <w:b/>
          <w:color w:val="auto"/>
          <w:sz w:val="36"/>
          <w:highlight w:val="none"/>
        </w:rPr>
      </w:pPr>
    </w:p>
    <w:p w14:paraId="6B9F86A4">
      <w:pPr>
        <w:tabs>
          <w:tab w:val="left" w:pos="2410"/>
        </w:tabs>
        <w:autoSpaceDE w:val="0"/>
        <w:autoSpaceDN w:val="0"/>
        <w:adjustRightInd w:val="0"/>
        <w:snapToGrid w:val="0"/>
        <w:spacing w:line="600" w:lineRule="exact"/>
        <w:jc w:val="center"/>
        <w:rPr>
          <w:rFonts w:ascii="宋体" w:hAnsi="宋体" w:eastAsia="宋体" w:cs="宋体"/>
          <w:b/>
          <w:color w:val="auto"/>
          <w:sz w:val="28"/>
          <w:highlight w:val="none"/>
        </w:rPr>
      </w:pPr>
      <w:r>
        <w:rPr>
          <w:rFonts w:hint="eastAsia" w:ascii="宋体" w:hAnsi="宋体" w:eastAsia="宋体" w:cs="宋体"/>
          <w:b/>
          <w:color w:val="auto"/>
          <w:sz w:val="28"/>
          <w:highlight w:val="none"/>
        </w:rPr>
        <w:t>目  录</w:t>
      </w:r>
    </w:p>
    <w:p w14:paraId="41ABC366">
      <w:pPr>
        <w:pStyle w:val="20"/>
        <w:tabs>
          <w:tab w:val="right" w:leader="dot" w:pos="9071"/>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"1-2" \h \z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_Toc18348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_Toc18348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4"/>
          <w:highlight w:val="none"/>
        </w:rPr>
        <w:fldChar w:fldCharType="end"/>
      </w:r>
    </w:p>
    <w:p w14:paraId="67D7D41A">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_Toc6989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_Toc6989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eastAsia="宋体" w:cs="宋体"/>
          <w:color w:val="auto"/>
          <w:szCs w:val="24"/>
          <w:highlight w:val="none"/>
        </w:rPr>
        <w:fldChar w:fldCharType="end"/>
      </w:r>
    </w:p>
    <w:p w14:paraId="280651FC">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_Toc10968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_Toc10968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4"/>
          <w:highlight w:val="none"/>
        </w:rPr>
        <w:fldChar w:fldCharType="end"/>
      </w:r>
    </w:p>
    <w:p w14:paraId="01438A72">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_Toc19621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_Toc19621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4"/>
          <w:highlight w:val="none"/>
        </w:rPr>
        <w:fldChar w:fldCharType="end"/>
      </w:r>
    </w:p>
    <w:p w14:paraId="7DE6F1A7">
      <w:pPr>
        <w:pStyle w:val="22"/>
        <w:tabs>
          <w:tab w:val="right" w:leader="dot" w:pos="9071"/>
        </w:tabs>
        <w:ind w:left="0" w:leftChars="0" w:firstLine="0" w:firstLineChars="0"/>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_Toc10810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val="en-US" w:eastAsia="zh-CN"/>
        </w:rPr>
        <w:t>政府采购合同</w:t>
      </w:r>
      <w:r>
        <w:rPr>
          <w:color w:val="auto"/>
          <w:highlight w:val="none"/>
        </w:rPr>
        <w:tab/>
      </w:r>
      <w:r>
        <w:rPr>
          <w:color w:val="auto"/>
          <w:highlight w:val="none"/>
        </w:rPr>
        <w:fldChar w:fldCharType="begin"/>
      </w:r>
      <w:r>
        <w:rPr>
          <w:color w:val="auto"/>
          <w:highlight w:val="none"/>
        </w:rPr>
        <w:instrText xml:space="preserve"> PAGEREF _Toc10810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szCs w:val="24"/>
          <w:highlight w:val="none"/>
        </w:rPr>
        <w:fldChar w:fldCharType="end"/>
      </w:r>
    </w:p>
    <w:p w14:paraId="73893083">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_Toc25583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_Toc25583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4"/>
          <w:highlight w:val="none"/>
        </w:rPr>
        <w:fldChar w:fldCharType="end"/>
      </w:r>
    </w:p>
    <w:p w14:paraId="348903C9">
      <w:pPr>
        <w:spacing w:line="600" w:lineRule="exact"/>
        <w:jc w:val="center"/>
        <w:rPr>
          <w:rFonts w:ascii="宋体" w:hAnsi="宋体" w:eastAsia="宋体" w:cs="宋体"/>
          <w:b/>
          <w:color w:val="auto"/>
          <w:sz w:val="32"/>
          <w:highlight w:val="none"/>
        </w:rPr>
      </w:pPr>
      <w:r>
        <w:rPr>
          <w:rFonts w:hint="eastAsia" w:ascii="宋体" w:hAnsi="宋体" w:eastAsia="宋体" w:cs="宋体"/>
          <w:color w:val="auto"/>
          <w:szCs w:val="24"/>
          <w:highlight w:val="none"/>
        </w:rPr>
        <w:fldChar w:fldCharType="end"/>
      </w:r>
    </w:p>
    <w:p w14:paraId="5AF1DE4E">
      <w:pPr>
        <w:spacing w:line="360" w:lineRule="auto"/>
        <w:rPr>
          <w:rFonts w:ascii="宋体" w:hAnsi="宋体" w:eastAsia="宋体" w:cs="宋体"/>
          <w:b/>
          <w:color w:val="auto"/>
          <w:sz w:val="32"/>
          <w:highlight w:val="none"/>
        </w:rPr>
      </w:pPr>
    </w:p>
    <w:p w14:paraId="72777CBB">
      <w:pPr>
        <w:spacing w:line="360" w:lineRule="auto"/>
        <w:jc w:val="center"/>
        <w:outlineLvl w:val="1"/>
        <w:rPr>
          <w:rFonts w:ascii="宋体" w:hAnsi="宋体" w:eastAsia="宋体" w:cs="宋体"/>
          <w:b/>
          <w:color w:val="auto"/>
          <w:sz w:val="28"/>
          <w:highlight w:val="none"/>
        </w:rPr>
        <w:sectPr>
          <w:footerReference r:id="rId5" w:type="default"/>
          <w:pgSz w:w="11905" w:h="16838"/>
          <w:pgMar w:top="1417" w:right="1417" w:bottom="1417" w:left="1417" w:header="850" w:footer="992" w:gutter="0"/>
          <w:pgNumType w:fmt="numberInDash" w:start="1"/>
          <w:cols w:space="0" w:num="1"/>
          <w:rtlGutter w:val="0"/>
          <w:docGrid w:type="lines" w:linePitch="318" w:charSpace="0"/>
        </w:sectPr>
      </w:pPr>
    </w:p>
    <w:p w14:paraId="5E6ED416">
      <w:pPr>
        <w:spacing w:line="420" w:lineRule="exact"/>
        <w:jc w:val="center"/>
        <w:outlineLvl w:val="0"/>
        <w:rPr>
          <w:rFonts w:ascii="宋体" w:hAnsi="宋体" w:eastAsia="宋体" w:cs="宋体"/>
          <w:b/>
          <w:color w:val="auto"/>
          <w:sz w:val="28"/>
          <w:highlight w:val="none"/>
        </w:rPr>
      </w:pPr>
      <w:bookmarkStart w:id="1" w:name="_Toc18348"/>
      <w:r>
        <w:rPr>
          <w:rFonts w:hint="eastAsia" w:ascii="宋体" w:hAnsi="宋体" w:eastAsia="宋体" w:cs="宋体"/>
          <w:b/>
          <w:color w:val="auto"/>
          <w:sz w:val="28"/>
          <w:highlight w:val="none"/>
        </w:rPr>
        <w:t>第一章  投标邀请</w:t>
      </w:r>
      <w:bookmarkEnd w:id="1"/>
    </w:p>
    <w:p w14:paraId="28F12D92">
      <w:pPr>
        <w:spacing w:line="420" w:lineRule="exact"/>
        <w:ind w:firstLine="435"/>
        <w:rPr>
          <w:rFonts w:ascii="宋体" w:hAnsi="宋体" w:eastAsia="宋体" w:cs="宋体"/>
          <w:color w:val="auto"/>
          <w:sz w:val="24"/>
          <w:highlight w:val="none"/>
        </w:rPr>
      </w:pPr>
      <w:bookmarkStart w:id="2" w:name="_Toc1381"/>
      <w:bookmarkStart w:id="3" w:name="_Toc31518"/>
      <w:r>
        <w:rPr>
          <w:rFonts w:hint="eastAsia" w:ascii="宋体" w:hAnsi="宋体" w:eastAsia="宋体" w:cs="宋体"/>
          <w:color w:val="auto"/>
          <w:sz w:val="24"/>
          <w:highlight w:val="none"/>
        </w:rPr>
        <w:t>项目概况</w:t>
      </w:r>
    </w:p>
    <w:p w14:paraId="7C0A5285">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2026年滁州市高速公路技术状况定期检查项目</w:t>
      </w:r>
      <w:r>
        <w:rPr>
          <w:rFonts w:hint="eastAsia" w:ascii="宋体" w:hAnsi="宋体" w:eastAsia="宋体" w:cs="宋体"/>
          <w:color w:val="auto"/>
          <w:sz w:val="24"/>
          <w:highlight w:val="none"/>
        </w:rPr>
        <w:t>的潜在投标人应在滁州市公共资源交易中心网（http://ggzy.chuzhou.gov.cn/）获取招标文件，并于</w:t>
      </w:r>
      <w:r>
        <w:rPr>
          <w:rFonts w:hint="eastAsia" w:ascii="宋体" w:hAnsi="宋体" w:eastAsia="宋体" w:cs="宋体"/>
          <w:color w:val="auto"/>
          <w:sz w:val="24"/>
          <w:highlight w:val="none"/>
          <w:lang w:eastAsia="zh-CN"/>
        </w:rPr>
        <w:t>2026年9月</w:t>
      </w: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rPr>
        <w:t>8点</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0分（北京时间）前递交投标文件。</w:t>
      </w:r>
    </w:p>
    <w:p w14:paraId="1B1BF44D">
      <w:pPr>
        <w:spacing w:line="420" w:lineRule="exact"/>
        <w:ind w:firstLine="437"/>
        <w:outlineLvl w:val="1"/>
        <w:rPr>
          <w:rFonts w:ascii="宋体" w:hAnsi="宋体" w:eastAsia="宋体" w:cs="宋体"/>
          <w:b/>
          <w:bCs/>
          <w:color w:val="auto"/>
          <w:sz w:val="24"/>
          <w:szCs w:val="18"/>
          <w:highlight w:val="none"/>
        </w:rPr>
      </w:pPr>
      <w:bookmarkStart w:id="4" w:name="_Toc22854"/>
      <w:r>
        <w:rPr>
          <w:rFonts w:hint="eastAsia" w:ascii="宋体" w:hAnsi="宋体" w:eastAsia="宋体" w:cs="宋体"/>
          <w:b/>
          <w:bCs/>
          <w:color w:val="auto"/>
          <w:sz w:val="24"/>
          <w:szCs w:val="18"/>
          <w:highlight w:val="none"/>
        </w:rPr>
        <w:t>一、</w:t>
      </w:r>
      <w:bookmarkEnd w:id="2"/>
      <w:r>
        <w:rPr>
          <w:rFonts w:hint="eastAsia" w:ascii="宋体" w:hAnsi="宋体" w:eastAsia="宋体" w:cs="宋体"/>
          <w:b/>
          <w:bCs/>
          <w:color w:val="auto"/>
          <w:sz w:val="24"/>
          <w:szCs w:val="18"/>
          <w:highlight w:val="none"/>
        </w:rPr>
        <w:t>项目基本情况</w:t>
      </w:r>
      <w:bookmarkEnd w:id="3"/>
      <w:bookmarkEnd w:id="4"/>
    </w:p>
    <w:p w14:paraId="4E9E12EF">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czsjcg202608-054</w:t>
      </w:r>
      <w:r>
        <w:rPr>
          <w:rFonts w:hint="eastAsia" w:ascii="宋体" w:hAnsi="宋体" w:eastAsia="宋体" w:cs="宋体"/>
          <w:color w:val="auto"/>
          <w:sz w:val="24"/>
          <w:highlight w:val="none"/>
        </w:rPr>
        <w:t xml:space="preserve"> </w:t>
      </w:r>
    </w:p>
    <w:p w14:paraId="3818846D">
      <w:pPr>
        <w:spacing w:line="420" w:lineRule="exact"/>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lang w:val="en-US" w:eastAsia="zh-CN"/>
        </w:rPr>
        <w:t>2026年滁州市高速公路技术状况定期检查项目</w:t>
      </w:r>
    </w:p>
    <w:p w14:paraId="7DFC8A8E">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预算金额：</w:t>
      </w:r>
      <w:r>
        <w:rPr>
          <w:rFonts w:hint="eastAsia" w:ascii="宋体" w:hAnsi="宋体" w:eastAsia="宋体" w:cs="宋体"/>
          <w:color w:val="auto"/>
          <w:sz w:val="24"/>
          <w:highlight w:val="none"/>
          <w:lang w:val="en-US" w:eastAsia="zh-CN"/>
        </w:rPr>
        <w:t>600000.00</w:t>
      </w:r>
      <w:r>
        <w:rPr>
          <w:rFonts w:hint="eastAsia" w:ascii="宋体" w:hAnsi="宋体" w:eastAsia="宋体" w:cs="宋体"/>
          <w:color w:val="auto"/>
          <w:sz w:val="24"/>
          <w:highlight w:val="none"/>
        </w:rPr>
        <w:t>元</w:t>
      </w:r>
    </w:p>
    <w:p w14:paraId="69A7415C">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最高限价：</w:t>
      </w:r>
      <w:r>
        <w:rPr>
          <w:rFonts w:hint="default" w:ascii="宋体" w:hAnsi="宋体" w:eastAsia="宋体" w:cs="宋体"/>
          <w:color w:val="auto"/>
          <w:sz w:val="24"/>
          <w:highlight w:val="none"/>
          <w:lang w:val="en-US" w:eastAsia="zh-CN"/>
        </w:rPr>
        <w:t>①</w:t>
      </w:r>
      <w:r>
        <w:rPr>
          <w:rFonts w:hint="eastAsia" w:ascii="宋体" w:hAnsi="宋体" w:eastAsia="宋体" w:cs="宋体"/>
          <w:color w:val="auto"/>
          <w:sz w:val="24"/>
          <w:highlight w:val="none"/>
          <w:lang w:val="en-US" w:eastAsia="zh-CN"/>
        </w:rPr>
        <w:t>路面检测:300元/公里·双车道</w:t>
      </w:r>
      <w:r>
        <w:rPr>
          <w:rFonts w:hint="default" w:ascii="宋体" w:hAnsi="宋体" w:eastAsia="宋体" w:cs="宋体"/>
          <w:color w:val="auto"/>
          <w:sz w:val="24"/>
          <w:highlight w:val="none"/>
          <w:lang w:val="en-US" w:eastAsia="zh-CN"/>
        </w:rPr>
        <w:t>②</w:t>
      </w:r>
      <w:r>
        <w:rPr>
          <w:rFonts w:hint="eastAsia" w:ascii="宋体" w:hAnsi="宋体" w:eastAsia="宋体" w:cs="宋体"/>
          <w:color w:val="auto"/>
          <w:sz w:val="24"/>
          <w:highlight w:val="none"/>
          <w:lang w:val="en-US" w:eastAsia="zh-CN"/>
        </w:rPr>
        <w:t xml:space="preserve">交安检测:800元/公里·双向 </w:t>
      </w:r>
      <w:r>
        <w:rPr>
          <w:rFonts w:hint="default" w:ascii="宋体" w:hAnsi="宋体" w:eastAsia="宋体" w:cs="宋体"/>
          <w:color w:val="auto"/>
          <w:sz w:val="24"/>
          <w:highlight w:val="none"/>
          <w:lang w:val="en-US" w:eastAsia="zh-CN"/>
        </w:rPr>
        <w:t>③</w:t>
      </w:r>
      <w:r>
        <w:rPr>
          <w:rFonts w:hint="eastAsia" w:ascii="宋体" w:hAnsi="宋体" w:eastAsia="宋体" w:cs="宋体"/>
          <w:color w:val="auto"/>
          <w:sz w:val="24"/>
          <w:highlight w:val="none"/>
          <w:lang w:val="en-US" w:eastAsia="zh-CN"/>
        </w:rPr>
        <w:t>桥梁检测:80元/延米。投标报价统一按一个百分比报价，不超过100%，不得高</w:t>
      </w:r>
      <w:r>
        <w:rPr>
          <w:rFonts w:hint="eastAsia" w:ascii="宋体" w:hAnsi="宋体" w:eastAsia="宋体" w:cs="宋体"/>
          <w:color w:val="auto"/>
          <w:sz w:val="24"/>
          <w:highlight w:val="none"/>
        </w:rPr>
        <w:t>于最高限价，否则按无效标处理。</w:t>
      </w:r>
    </w:p>
    <w:p w14:paraId="61091D60">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采购需求：高速公路技术状况定期检查</w:t>
      </w:r>
      <w:r>
        <w:rPr>
          <w:rFonts w:hint="eastAsia" w:ascii="宋体" w:hAnsi="宋体" w:eastAsia="宋体" w:cs="宋体"/>
          <w:color w:val="auto"/>
          <w:sz w:val="24"/>
          <w:highlight w:val="none"/>
          <w:lang w:val="en-US" w:eastAsia="zh-CN"/>
        </w:rPr>
        <w:t>。</w:t>
      </w:r>
    </w:p>
    <w:p w14:paraId="295824CC">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合同履行期限：自合同签订之日起一年。</w:t>
      </w:r>
    </w:p>
    <w:p w14:paraId="12A38A60">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本项目不接受联合体投标。</w:t>
      </w:r>
    </w:p>
    <w:p w14:paraId="638FA6C6">
      <w:pPr>
        <w:spacing w:line="420" w:lineRule="exact"/>
        <w:ind w:firstLine="437"/>
        <w:outlineLvl w:val="1"/>
        <w:rPr>
          <w:rFonts w:ascii="宋体" w:hAnsi="宋体" w:eastAsia="宋体" w:cs="宋体"/>
          <w:b/>
          <w:bCs/>
          <w:color w:val="auto"/>
          <w:sz w:val="24"/>
          <w:szCs w:val="18"/>
          <w:highlight w:val="none"/>
        </w:rPr>
      </w:pPr>
      <w:bookmarkStart w:id="5" w:name="_Toc13530"/>
      <w:bookmarkStart w:id="6" w:name="_Toc4070"/>
      <w:bookmarkStart w:id="7" w:name="_Toc9204"/>
      <w:r>
        <w:rPr>
          <w:rFonts w:hint="eastAsia" w:ascii="宋体" w:hAnsi="宋体" w:eastAsia="宋体" w:cs="宋体"/>
          <w:b/>
          <w:bCs/>
          <w:color w:val="auto"/>
          <w:sz w:val="24"/>
          <w:szCs w:val="18"/>
          <w:highlight w:val="none"/>
        </w:rPr>
        <w:t>二、</w:t>
      </w:r>
      <w:bookmarkEnd w:id="5"/>
      <w:r>
        <w:rPr>
          <w:rFonts w:hint="eastAsia" w:ascii="宋体" w:hAnsi="宋体" w:eastAsia="宋体" w:cs="宋体"/>
          <w:b/>
          <w:bCs/>
          <w:color w:val="auto"/>
          <w:sz w:val="24"/>
          <w:szCs w:val="18"/>
          <w:highlight w:val="none"/>
        </w:rPr>
        <w:t>申请人的资格要求</w:t>
      </w:r>
      <w:bookmarkEnd w:id="6"/>
      <w:bookmarkEnd w:id="7"/>
    </w:p>
    <w:p w14:paraId="67010F66">
      <w:pPr>
        <w:spacing w:line="420" w:lineRule="exact"/>
        <w:ind w:firstLine="435"/>
        <w:rPr>
          <w:rFonts w:ascii="宋体" w:hAnsi="宋体" w:eastAsia="宋体" w:cs="宋体"/>
          <w:color w:val="auto"/>
          <w:sz w:val="24"/>
          <w:highlight w:val="none"/>
        </w:rPr>
      </w:pPr>
      <w:bookmarkStart w:id="8" w:name="_Toc30110"/>
      <w:r>
        <w:rPr>
          <w:rFonts w:hint="eastAsia" w:ascii="宋体" w:hAnsi="宋体" w:eastAsia="宋体" w:cs="宋体"/>
          <w:color w:val="auto"/>
          <w:sz w:val="24"/>
          <w:highlight w:val="none"/>
        </w:rPr>
        <w:t>1.满足《中华人民共和国政府采购法》第二十二条规定；</w:t>
      </w:r>
    </w:p>
    <w:p w14:paraId="59D29F9E">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2.落实政府采购政策需满足的资格要求：</w:t>
      </w:r>
      <w:r>
        <w:rPr>
          <w:rFonts w:hint="eastAsia" w:ascii="宋体" w:hAnsi="宋体" w:eastAsia="宋体" w:cs="宋体"/>
          <w:color w:val="auto"/>
          <w:sz w:val="24"/>
          <w:highlight w:val="none"/>
          <w:lang w:val="en-US" w:eastAsia="zh-CN"/>
        </w:rPr>
        <w:t>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r>
        <w:rPr>
          <w:rFonts w:hint="eastAsia" w:ascii="宋体" w:hAnsi="宋体" w:eastAsia="宋体" w:cs="宋体"/>
          <w:color w:val="auto"/>
          <w:sz w:val="24"/>
          <w:highlight w:val="none"/>
        </w:rPr>
        <w:t>；</w:t>
      </w:r>
    </w:p>
    <w:p w14:paraId="436AE25E">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3.本项目的特定资格要求：投标人具有公路工程</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综合</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甲级检测资质。拟派的项目负责人具备</w:t>
      </w:r>
      <w:r>
        <w:rPr>
          <w:rFonts w:hint="eastAsia" w:ascii="宋体" w:hAnsi="宋体" w:eastAsia="宋体" w:cs="宋体"/>
          <w:color w:val="auto"/>
          <w:sz w:val="24"/>
          <w:highlight w:val="none"/>
          <w:lang w:val="en-US" w:eastAsia="zh-CN"/>
        </w:rPr>
        <w:t>公路</w:t>
      </w:r>
      <w:r>
        <w:rPr>
          <w:rFonts w:hint="eastAsia" w:ascii="宋体" w:hAnsi="宋体" w:eastAsia="宋体" w:cs="宋体"/>
          <w:color w:val="auto"/>
          <w:sz w:val="24"/>
          <w:highlight w:val="none"/>
        </w:rPr>
        <w:t>相关专业试验检测师或检测工程师证书；</w:t>
      </w:r>
    </w:p>
    <w:p w14:paraId="6949186A">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4.信誉要求：投标人不得存在以下情形：</w:t>
      </w:r>
    </w:p>
    <w:p w14:paraId="21857389">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①被列入“信用中国”网站（www.creditchina.gov.cn）“失信被执行人”的；</w:t>
      </w:r>
    </w:p>
    <w:p w14:paraId="1AB3E4FF">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②被列入“信用中国”网站（www.creditchina.gov.cn）“重大税收违法失信主体”的；</w:t>
      </w:r>
    </w:p>
    <w:p w14:paraId="360640E1">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③被列入“信用中国”网站（www.creditchina.gov.cn） “安全生产严重失信主体名单”的；</w:t>
      </w:r>
    </w:p>
    <w:p w14:paraId="273C16D1">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④被列入国家企业信用信息公示系统网站（www.gsxt.gov.cn）“严重违法失信名单”的。</w:t>
      </w:r>
    </w:p>
    <w:p w14:paraId="058B3140">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⑤被列入中国政府采购网站“政府采购严重违法失信行为信息记录”的。</w:t>
      </w:r>
    </w:p>
    <w:p w14:paraId="0860C481">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5.投标人所属分公司、办事处等分支机构存在第4条信誉要求①-⑤项情形之一的，接受投标人参加本项目。</w:t>
      </w:r>
    </w:p>
    <w:p w14:paraId="62A475A8">
      <w:pPr>
        <w:spacing w:line="420" w:lineRule="exact"/>
        <w:ind w:firstLine="437"/>
        <w:outlineLvl w:val="1"/>
        <w:rPr>
          <w:rFonts w:ascii="宋体" w:hAnsi="宋体" w:eastAsia="宋体" w:cs="宋体"/>
          <w:b/>
          <w:bCs/>
          <w:color w:val="auto"/>
          <w:sz w:val="24"/>
          <w:szCs w:val="18"/>
          <w:highlight w:val="none"/>
        </w:rPr>
      </w:pPr>
      <w:bookmarkStart w:id="9" w:name="_Toc21681"/>
      <w:bookmarkStart w:id="10" w:name="_Toc7599"/>
      <w:r>
        <w:rPr>
          <w:rFonts w:hint="eastAsia" w:ascii="宋体" w:hAnsi="宋体" w:eastAsia="宋体" w:cs="宋体"/>
          <w:b/>
          <w:bCs/>
          <w:color w:val="auto"/>
          <w:sz w:val="24"/>
          <w:szCs w:val="18"/>
          <w:highlight w:val="none"/>
        </w:rPr>
        <w:t>三、</w:t>
      </w:r>
      <w:bookmarkEnd w:id="8"/>
      <w:r>
        <w:rPr>
          <w:rFonts w:hint="eastAsia" w:ascii="宋体" w:hAnsi="宋体" w:eastAsia="宋体" w:cs="宋体"/>
          <w:b/>
          <w:bCs/>
          <w:color w:val="auto"/>
          <w:sz w:val="24"/>
          <w:szCs w:val="18"/>
          <w:highlight w:val="none"/>
        </w:rPr>
        <w:t>获取招标文件</w:t>
      </w:r>
      <w:bookmarkEnd w:id="9"/>
      <w:bookmarkEnd w:id="10"/>
    </w:p>
    <w:p w14:paraId="49123E64">
      <w:pPr>
        <w:spacing w:line="420" w:lineRule="exact"/>
        <w:ind w:firstLine="480" w:firstLineChars="200"/>
        <w:rPr>
          <w:rFonts w:ascii="宋体" w:hAnsi="宋体" w:eastAsia="宋体" w:cs="宋体"/>
          <w:i/>
          <w:iCs/>
          <w:color w:val="auto"/>
          <w:sz w:val="24"/>
          <w:szCs w:val="24"/>
          <w:highlight w:val="none"/>
        </w:rPr>
      </w:pPr>
      <w:bookmarkStart w:id="11" w:name="_Toc7957"/>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31</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eastAsia="zh-CN"/>
        </w:rPr>
        <w:t>2026年9月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u w:val="single"/>
          <w:lang w:eastAsia="zh-CN"/>
        </w:rPr>
        <w:t>日</w:t>
      </w:r>
      <w:r>
        <w:rPr>
          <w:rFonts w:hint="eastAsia" w:ascii="宋体" w:hAnsi="宋体" w:eastAsia="宋体" w:cs="宋体"/>
          <w:iCs/>
          <w:color w:val="auto"/>
          <w:sz w:val="24"/>
          <w:szCs w:val="24"/>
          <w:highlight w:val="none"/>
        </w:rPr>
        <w:t>（</w:t>
      </w:r>
      <w:r>
        <w:rPr>
          <w:rFonts w:hint="eastAsia" w:ascii="宋体" w:hAnsi="宋体" w:eastAsia="宋体" w:cs="宋体"/>
          <w:i/>
          <w:color w:val="auto"/>
          <w:sz w:val="24"/>
          <w:szCs w:val="24"/>
          <w:highlight w:val="none"/>
        </w:rPr>
        <w:t>提供期限自本公告发布之日起不得少于5个工作日</w:t>
      </w:r>
      <w:r>
        <w:rPr>
          <w:rFonts w:hint="eastAsia" w:ascii="宋体" w:hAnsi="宋体" w:eastAsia="宋体" w:cs="宋体"/>
          <w:iCs/>
          <w:color w:val="auto"/>
          <w:sz w:val="24"/>
          <w:szCs w:val="24"/>
          <w:highlight w:val="none"/>
        </w:rPr>
        <w:t>）</w:t>
      </w:r>
    </w:p>
    <w:p w14:paraId="55B4AC0A">
      <w:pPr>
        <w:spacing w:line="420" w:lineRule="exact"/>
        <w:ind w:firstLine="480" w:firstLineChars="200"/>
        <w:rPr>
          <w:rFonts w:ascii="宋体" w:hAnsi="宋体" w:eastAsia="宋体" w:cs="宋体"/>
          <w:color w:val="auto"/>
          <w:sz w:val="24"/>
          <w:szCs w:val="18"/>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18"/>
          <w:highlight w:val="none"/>
          <w:u w:val="single"/>
        </w:rPr>
        <w:t>滁州市公共资源交易中心网</w:t>
      </w:r>
    </w:p>
    <w:p w14:paraId="7FAEF167">
      <w:pPr>
        <w:spacing w:line="420" w:lineRule="exact"/>
        <w:ind w:firstLine="480" w:firstLineChars="200"/>
        <w:rPr>
          <w:rFonts w:ascii="宋体" w:hAnsi="宋体" w:eastAsia="宋体" w:cs="宋体"/>
          <w:color w:val="auto"/>
          <w:sz w:val="24"/>
          <w:szCs w:val="18"/>
          <w:highlight w:val="none"/>
          <w:u w:val="single"/>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18"/>
          <w:highlight w:val="none"/>
          <w:u w:val="single"/>
        </w:rPr>
        <w:t>网上下载</w:t>
      </w:r>
    </w:p>
    <w:p w14:paraId="5D396E85">
      <w:pPr>
        <w:spacing w:line="420" w:lineRule="exact"/>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18"/>
          <w:highlight w:val="none"/>
        </w:rPr>
        <w:t>售价：</w:t>
      </w:r>
      <w:r>
        <w:rPr>
          <w:rFonts w:hint="eastAsia" w:ascii="宋体" w:hAnsi="宋体" w:eastAsia="宋体" w:cs="宋体"/>
          <w:color w:val="auto"/>
          <w:sz w:val="24"/>
          <w:szCs w:val="18"/>
          <w:highlight w:val="none"/>
          <w:u w:val="single"/>
        </w:rPr>
        <w:t>0元</w:t>
      </w:r>
    </w:p>
    <w:p w14:paraId="466494FF">
      <w:pPr>
        <w:spacing w:line="420" w:lineRule="exact"/>
        <w:ind w:firstLine="437"/>
        <w:outlineLvl w:val="1"/>
        <w:rPr>
          <w:rFonts w:ascii="宋体" w:hAnsi="宋体" w:eastAsia="宋体" w:cs="宋体"/>
          <w:b/>
          <w:bCs/>
          <w:color w:val="auto"/>
          <w:sz w:val="24"/>
          <w:szCs w:val="18"/>
          <w:highlight w:val="none"/>
        </w:rPr>
      </w:pPr>
      <w:bookmarkStart w:id="12" w:name="_Toc17284"/>
      <w:bookmarkStart w:id="13" w:name="_Toc25902"/>
      <w:r>
        <w:rPr>
          <w:rFonts w:hint="eastAsia" w:ascii="宋体" w:hAnsi="宋体" w:eastAsia="宋体" w:cs="宋体"/>
          <w:b/>
          <w:bCs/>
          <w:color w:val="auto"/>
          <w:sz w:val="24"/>
          <w:szCs w:val="18"/>
          <w:highlight w:val="none"/>
        </w:rPr>
        <w:t>四、</w:t>
      </w:r>
      <w:bookmarkEnd w:id="11"/>
      <w:r>
        <w:rPr>
          <w:rFonts w:hint="eastAsia" w:ascii="宋体" w:hAnsi="宋体" w:eastAsia="宋体" w:cs="宋体"/>
          <w:b/>
          <w:bCs/>
          <w:color w:val="auto"/>
          <w:sz w:val="24"/>
          <w:szCs w:val="18"/>
          <w:highlight w:val="none"/>
        </w:rPr>
        <w:t>提交投标文件截止时间、开标时间和地点</w:t>
      </w:r>
      <w:bookmarkEnd w:id="12"/>
      <w:bookmarkEnd w:id="13"/>
    </w:p>
    <w:p w14:paraId="19413C3D">
      <w:pPr>
        <w:spacing w:line="420" w:lineRule="exact"/>
        <w:ind w:firstLine="480" w:firstLineChars="200"/>
        <w:rPr>
          <w:rFonts w:ascii="宋体" w:hAnsi="宋体" w:eastAsia="宋体" w:cs="宋体"/>
          <w:bCs/>
          <w:color w:val="auto"/>
          <w:sz w:val="24"/>
          <w:szCs w:val="24"/>
          <w:highlight w:val="none"/>
        </w:rPr>
      </w:pPr>
      <w:bookmarkStart w:id="14" w:name="_Toc5082"/>
      <w:r>
        <w:rPr>
          <w:rFonts w:hint="eastAsia" w:ascii="宋体" w:hAnsi="宋体" w:eastAsia="宋体" w:cs="宋体"/>
          <w:color w:val="auto"/>
          <w:sz w:val="24"/>
          <w:szCs w:val="24"/>
          <w:highlight w:val="none"/>
          <w:u w:val="single"/>
          <w:lang w:eastAsia="zh-CN"/>
        </w:rPr>
        <w:t>2026年9月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u w:val="single"/>
          <w:lang w:eastAsia="zh-CN"/>
        </w:rPr>
        <w:t>日</w:t>
      </w:r>
      <w:r>
        <w:rPr>
          <w:rFonts w:hint="eastAsia" w:ascii="宋体" w:hAnsi="宋体" w:eastAsia="宋体" w:cs="宋体"/>
          <w:bCs/>
          <w:color w:val="auto"/>
          <w:sz w:val="24"/>
          <w:szCs w:val="24"/>
          <w:highlight w:val="none"/>
          <w:u w:val="single"/>
        </w:rPr>
        <w:t>8</w:t>
      </w:r>
      <w:r>
        <w:rPr>
          <w:rFonts w:hint="eastAsia" w:ascii="宋体" w:hAnsi="宋体" w:eastAsia="宋体" w:cs="宋体"/>
          <w:bCs/>
          <w:color w:val="auto"/>
          <w:sz w:val="24"/>
          <w:szCs w:val="24"/>
          <w:highlight w:val="none"/>
        </w:rPr>
        <w:t>点</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w:t>
      </w:r>
      <w:r>
        <w:rPr>
          <w:rFonts w:hint="eastAsia" w:ascii="宋体" w:hAnsi="宋体" w:eastAsia="宋体" w:cs="宋体"/>
          <w:bCs/>
          <w:color w:val="auto"/>
          <w:sz w:val="24"/>
          <w:szCs w:val="24"/>
          <w:highlight w:val="none"/>
        </w:rPr>
        <w:t>分</w:t>
      </w:r>
      <w:r>
        <w:rPr>
          <w:rFonts w:hint="eastAsia" w:ascii="宋体" w:hAnsi="宋体" w:eastAsia="宋体" w:cs="宋体"/>
          <w:bCs/>
          <w:i/>
          <w:iCs/>
          <w:color w:val="auto"/>
          <w:sz w:val="24"/>
          <w:szCs w:val="24"/>
          <w:highlight w:val="none"/>
        </w:rPr>
        <w:t>（北京时间）</w:t>
      </w:r>
      <w:r>
        <w:rPr>
          <w:rFonts w:hint="eastAsia" w:ascii="宋体" w:hAnsi="宋体" w:eastAsia="宋体" w:cs="宋体"/>
          <w:i/>
          <w:iCs/>
          <w:color w:val="auto"/>
          <w:sz w:val="24"/>
          <w:szCs w:val="24"/>
          <w:highlight w:val="none"/>
        </w:rPr>
        <w:t>（</w:t>
      </w:r>
      <w:r>
        <w:rPr>
          <w:rFonts w:hint="eastAsia" w:ascii="宋体" w:hAnsi="宋体" w:eastAsia="宋体" w:cs="宋体"/>
          <w:i/>
          <w:color w:val="auto"/>
          <w:sz w:val="24"/>
          <w:szCs w:val="24"/>
          <w:highlight w:val="none"/>
        </w:rPr>
        <w:t>自招标文件开始发出之日起至投标人提交投标文件截止之日止，不得少于20日</w:t>
      </w:r>
      <w:r>
        <w:rPr>
          <w:rFonts w:hint="eastAsia" w:ascii="宋体" w:hAnsi="宋体" w:eastAsia="宋体" w:cs="宋体"/>
          <w:iCs/>
          <w:color w:val="auto"/>
          <w:sz w:val="24"/>
          <w:szCs w:val="24"/>
          <w:highlight w:val="none"/>
        </w:rPr>
        <w:t>）</w:t>
      </w:r>
    </w:p>
    <w:p w14:paraId="778F7F84">
      <w:pPr>
        <w:spacing w:line="42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滁州市公共资源交易平台电子交易系统</w:t>
      </w:r>
    </w:p>
    <w:p w14:paraId="065202BB">
      <w:pPr>
        <w:spacing w:line="420" w:lineRule="exact"/>
        <w:ind w:firstLine="437"/>
        <w:outlineLvl w:val="1"/>
        <w:rPr>
          <w:rFonts w:ascii="宋体" w:hAnsi="宋体" w:eastAsia="宋体" w:cs="宋体"/>
          <w:b/>
          <w:bCs/>
          <w:color w:val="auto"/>
          <w:sz w:val="24"/>
          <w:szCs w:val="18"/>
          <w:highlight w:val="none"/>
        </w:rPr>
      </w:pPr>
      <w:bookmarkStart w:id="15" w:name="_Toc30698"/>
      <w:bookmarkStart w:id="16" w:name="_Toc7753"/>
      <w:r>
        <w:rPr>
          <w:rFonts w:hint="eastAsia" w:ascii="宋体" w:hAnsi="宋体" w:eastAsia="宋体" w:cs="宋体"/>
          <w:b/>
          <w:bCs/>
          <w:color w:val="auto"/>
          <w:sz w:val="24"/>
          <w:szCs w:val="18"/>
          <w:highlight w:val="none"/>
        </w:rPr>
        <w:t>五、</w:t>
      </w:r>
      <w:bookmarkEnd w:id="14"/>
      <w:r>
        <w:rPr>
          <w:rFonts w:hint="eastAsia" w:ascii="宋体" w:hAnsi="宋体" w:eastAsia="宋体" w:cs="宋体"/>
          <w:b/>
          <w:bCs/>
          <w:color w:val="auto"/>
          <w:sz w:val="24"/>
          <w:szCs w:val="18"/>
          <w:highlight w:val="none"/>
        </w:rPr>
        <w:t>公告期限</w:t>
      </w:r>
      <w:bookmarkEnd w:id="15"/>
      <w:bookmarkEnd w:id="16"/>
    </w:p>
    <w:p w14:paraId="7A58EABC">
      <w:pPr>
        <w:spacing w:line="420" w:lineRule="exact"/>
        <w:ind w:firstLine="437"/>
        <w:rPr>
          <w:rFonts w:ascii="宋体" w:hAnsi="宋体" w:eastAsia="宋体" w:cs="宋体"/>
          <w:color w:val="auto"/>
          <w:sz w:val="24"/>
          <w:szCs w:val="18"/>
          <w:highlight w:val="none"/>
        </w:rPr>
      </w:pPr>
      <w:bookmarkStart w:id="17" w:name="_Toc1215"/>
      <w:r>
        <w:rPr>
          <w:rFonts w:hint="eastAsia" w:ascii="宋体" w:hAnsi="宋体" w:eastAsia="宋体" w:cs="宋体"/>
          <w:color w:val="auto"/>
          <w:sz w:val="24"/>
          <w:szCs w:val="18"/>
          <w:highlight w:val="none"/>
        </w:rPr>
        <w:t>自本公告发布之日起5个工作日。</w:t>
      </w:r>
    </w:p>
    <w:p w14:paraId="44A43502">
      <w:pPr>
        <w:spacing w:line="420" w:lineRule="exact"/>
        <w:ind w:firstLine="437"/>
        <w:outlineLvl w:val="1"/>
        <w:rPr>
          <w:rFonts w:ascii="宋体" w:hAnsi="宋体" w:eastAsia="宋体" w:cs="宋体"/>
          <w:b/>
          <w:bCs/>
          <w:color w:val="auto"/>
          <w:sz w:val="24"/>
          <w:szCs w:val="18"/>
          <w:highlight w:val="none"/>
        </w:rPr>
      </w:pPr>
      <w:bookmarkStart w:id="18" w:name="_Toc31539"/>
      <w:bookmarkStart w:id="19" w:name="_Toc35393795"/>
      <w:bookmarkStart w:id="20" w:name="_Toc35393626"/>
      <w:bookmarkStart w:id="21" w:name="_Toc28342"/>
      <w:r>
        <w:rPr>
          <w:rFonts w:hint="eastAsia" w:ascii="宋体" w:hAnsi="宋体" w:eastAsia="宋体" w:cs="宋体"/>
          <w:b/>
          <w:bCs/>
          <w:color w:val="auto"/>
          <w:sz w:val="24"/>
          <w:szCs w:val="18"/>
          <w:highlight w:val="none"/>
        </w:rPr>
        <w:t>六、</w:t>
      </w:r>
      <w:bookmarkEnd w:id="18"/>
      <w:bookmarkEnd w:id="19"/>
      <w:bookmarkEnd w:id="20"/>
      <w:r>
        <w:rPr>
          <w:rFonts w:hint="eastAsia" w:ascii="宋体" w:hAnsi="宋体" w:eastAsia="宋体" w:cs="宋体"/>
          <w:b/>
          <w:bCs/>
          <w:color w:val="auto"/>
          <w:sz w:val="24"/>
          <w:szCs w:val="18"/>
          <w:highlight w:val="none"/>
        </w:rPr>
        <w:t>投标保证金金额及缴纳账户</w:t>
      </w:r>
      <w:bookmarkEnd w:id="21"/>
    </w:p>
    <w:p w14:paraId="10998DD7">
      <w:pPr>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是否要求投标人提交投标保证金：不要求。</w:t>
      </w:r>
    </w:p>
    <w:p w14:paraId="4AB49437">
      <w:pPr>
        <w:spacing w:line="420" w:lineRule="exact"/>
        <w:ind w:firstLine="437"/>
        <w:outlineLvl w:val="1"/>
        <w:rPr>
          <w:rFonts w:ascii="宋体" w:hAnsi="宋体" w:eastAsia="宋体" w:cs="宋体"/>
          <w:b/>
          <w:bCs/>
          <w:color w:val="auto"/>
          <w:sz w:val="24"/>
          <w:szCs w:val="18"/>
          <w:highlight w:val="none"/>
        </w:rPr>
      </w:pPr>
      <w:bookmarkStart w:id="22" w:name="_Toc11241"/>
      <w:r>
        <w:rPr>
          <w:rFonts w:hint="eastAsia" w:ascii="宋体" w:hAnsi="宋体" w:eastAsia="宋体" w:cs="宋体"/>
          <w:b/>
          <w:bCs/>
          <w:color w:val="auto"/>
          <w:sz w:val="24"/>
          <w:szCs w:val="18"/>
          <w:highlight w:val="none"/>
        </w:rPr>
        <w:t>七、其他补充事宜</w:t>
      </w:r>
      <w:bookmarkEnd w:id="22"/>
    </w:p>
    <w:p w14:paraId="1AD2ECC4">
      <w:pPr>
        <w:wordWrap w:val="0"/>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陆滁州市公共资源交易中心网&gt;服务指南&gt;办事指南中的“CA数字证书和电子签章”及“市场主体登记”。相关服务电话：1.安徽省公共资源交易市场主体库使用相关问题（系统登录、信息登记、录入及提交、数字证书关联等）：010-86483801转5-2 ；2.CA数字证书有关问题：安徽CA客服</w:t>
      </w:r>
      <w:r>
        <w:rPr>
          <w:rFonts w:hint="eastAsia" w:ascii="宋体" w:hAnsi="宋体" w:eastAsia="宋体" w:cs="宋体"/>
          <w:color w:val="auto"/>
          <w:sz w:val="24"/>
          <w:szCs w:val="18"/>
          <w:highlight w:val="none"/>
          <w:lang w:val="en-US" w:eastAsia="zh-CN"/>
        </w:rPr>
        <w:t>400-615-8899</w:t>
      </w:r>
      <w:r>
        <w:rPr>
          <w:rFonts w:hint="eastAsia" w:ascii="宋体" w:hAnsi="宋体" w:eastAsia="宋体" w:cs="宋体"/>
          <w:color w:val="auto"/>
          <w:sz w:val="24"/>
          <w:szCs w:val="18"/>
          <w:highlight w:val="none"/>
        </w:rPr>
        <w:t>、0550-3019013（工作日），CFCA客服025-66085508、0550-3801669（工作日）；3.</w:t>
      </w:r>
      <w:r>
        <w:rPr>
          <w:rFonts w:hint="eastAsia" w:ascii="宋体" w:hAnsi="宋体" w:eastAsia="宋体" w:cs="宋体"/>
          <w:color w:val="auto"/>
          <w:sz w:val="24"/>
          <w:szCs w:val="18"/>
          <w:highlight w:val="none"/>
          <w:lang w:val="en-US" w:eastAsia="zh-CN"/>
        </w:rPr>
        <w:t>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r>
        <w:rPr>
          <w:rFonts w:hint="eastAsia" w:ascii="宋体" w:hAnsi="宋体" w:eastAsia="宋体" w:cs="宋体"/>
          <w:color w:val="auto"/>
          <w:sz w:val="24"/>
          <w:szCs w:val="18"/>
          <w:highlight w:val="none"/>
        </w:rPr>
        <w:t>。</w:t>
      </w:r>
    </w:p>
    <w:p w14:paraId="398A4222">
      <w:pPr>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2.请投标人登录滁州市公共资源交易中心网站查看参加本项目的程序（具体操作步骤和程序请参见服务指南&lt;交易须知&gt;投标人填写投标信息、下载文件及网上提问操作手册）。</w:t>
      </w:r>
    </w:p>
    <w:p w14:paraId="6C1ADA90">
      <w:pPr>
        <w:keepNext w:val="0"/>
        <w:keepLines w:val="0"/>
        <w:pageBreakBefore w:val="0"/>
        <w:widowControl w:val="0"/>
        <w:kinsoku/>
        <w:wordWrap w:val="0"/>
        <w:overflowPunct/>
        <w:topLinePunct w:val="0"/>
        <w:autoSpaceDE/>
        <w:autoSpaceDN/>
        <w:bidi w:val="0"/>
        <w:adjustRightInd/>
        <w:snapToGrid/>
        <w:spacing w:line="420" w:lineRule="exact"/>
        <w:ind w:firstLine="437"/>
        <w:textAlignment w:val="auto"/>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以本项目网上招投标系统解密倒计时为准，至完成投标文件解密时间，不得超过60分钟，否则投标文件将被拒绝。</w:t>
      </w:r>
    </w:p>
    <w:p w14:paraId="61D8824D">
      <w:pPr>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17"/>
    <w:p w14:paraId="7C9C6F1F">
      <w:pPr>
        <w:spacing w:line="420" w:lineRule="exact"/>
        <w:ind w:firstLine="437"/>
        <w:outlineLvl w:val="1"/>
        <w:rPr>
          <w:rFonts w:ascii="宋体" w:hAnsi="宋体" w:eastAsia="宋体" w:cs="宋体"/>
          <w:b/>
          <w:bCs/>
          <w:color w:val="auto"/>
          <w:sz w:val="24"/>
          <w:szCs w:val="18"/>
          <w:highlight w:val="none"/>
        </w:rPr>
      </w:pPr>
      <w:bookmarkStart w:id="23" w:name="_Toc7265"/>
      <w:bookmarkStart w:id="24" w:name="_Toc14190"/>
      <w:bookmarkStart w:id="25" w:name="_Toc13296"/>
      <w:r>
        <w:rPr>
          <w:rFonts w:hint="eastAsia" w:ascii="宋体" w:hAnsi="宋体" w:eastAsia="宋体" w:cs="宋体"/>
          <w:b/>
          <w:bCs/>
          <w:color w:val="auto"/>
          <w:sz w:val="24"/>
          <w:szCs w:val="18"/>
          <w:highlight w:val="none"/>
        </w:rPr>
        <w:t>七、</w:t>
      </w:r>
      <w:bookmarkEnd w:id="23"/>
      <w:r>
        <w:rPr>
          <w:rFonts w:hint="eastAsia" w:ascii="宋体" w:hAnsi="宋体" w:eastAsia="宋体" w:cs="宋体"/>
          <w:b/>
          <w:bCs/>
          <w:color w:val="auto"/>
          <w:sz w:val="24"/>
          <w:szCs w:val="18"/>
          <w:highlight w:val="none"/>
        </w:rPr>
        <w:t>对本次招标提出询问，请按以下方式联系</w:t>
      </w:r>
      <w:bookmarkEnd w:id="24"/>
      <w:bookmarkEnd w:id="25"/>
    </w:p>
    <w:p w14:paraId="0CE61A5C">
      <w:pPr>
        <w:spacing w:line="420" w:lineRule="exact"/>
        <w:ind w:firstLine="437"/>
        <w:outlineLvl w:val="2"/>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1.采购人信息</w:t>
      </w:r>
    </w:p>
    <w:p w14:paraId="308EAFFC">
      <w:pPr>
        <w:spacing w:line="420" w:lineRule="exact"/>
        <w:ind w:firstLine="435"/>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eastAsia="zh-CN"/>
        </w:rPr>
        <w:t>滁州市公路管理服务中心</w:t>
      </w:r>
    </w:p>
    <w:p w14:paraId="78718D50">
      <w:pPr>
        <w:spacing w:line="420" w:lineRule="exact"/>
        <w:ind w:firstLine="435"/>
        <w:rPr>
          <w:rFonts w:ascii="宋体" w:hAnsi="宋体" w:eastAsia="宋体" w:cs="宋体"/>
          <w:color w:val="auto"/>
          <w:sz w:val="24"/>
          <w:szCs w:val="18"/>
          <w:highlight w:val="none"/>
          <w:u w:val="single"/>
        </w:rPr>
      </w:pPr>
      <w:r>
        <w:rPr>
          <w:rFonts w:hint="eastAsia" w:ascii="宋体" w:hAnsi="宋体" w:eastAsia="宋体" w:cs="宋体"/>
          <w:color w:val="auto"/>
          <w:sz w:val="24"/>
          <w:szCs w:val="18"/>
          <w:highlight w:val="none"/>
        </w:rPr>
        <w:t>地  址</w:t>
      </w:r>
      <w:r>
        <w:rPr>
          <w:rFonts w:hint="eastAsia" w:ascii="宋体" w:hAnsi="宋体" w:eastAsia="宋体" w:cs="宋体"/>
          <w:color w:val="auto"/>
          <w:sz w:val="24"/>
          <w:szCs w:val="18"/>
          <w:highlight w:val="none"/>
          <w:lang w:val="en-US" w:eastAsia="zh-CN"/>
        </w:rPr>
        <w:t>：滁州市龙蟠大道200号</w:t>
      </w:r>
    </w:p>
    <w:p w14:paraId="5B3FA6AD">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联系人：</w:t>
      </w:r>
      <w:r>
        <w:rPr>
          <w:rFonts w:hint="eastAsia" w:ascii="宋体" w:hAnsi="宋体" w:eastAsia="宋体" w:cs="宋体"/>
          <w:color w:val="auto"/>
          <w:sz w:val="24"/>
          <w:szCs w:val="18"/>
          <w:highlight w:val="none"/>
          <w:lang w:val="en-US" w:eastAsia="zh-CN"/>
        </w:rPr>
        <w:t>陆艳</w:t>
      </w:r>
      <w:r>
        <w:rPr>
          <w:rFonts w:hint="eastAsia" w:ascii="宋体" w:hAnsi="宋体" w:eastAsia="宋体" w:cs="宋体"/>
          <w:color w:val="auto"/>
          <w:sz w:val="24"/>
          <w:szCs w:val="18"/>
          <w:highlight w:val="none"/>
        </w:rPr>
        <w:t xml:space="preserve"> </w:t>
      </w:r>
    </w:p>
    <w:p w14:paraId="6D826C53">
      <w:pPr>
        <w:spacing w:line="420" w:lineRule="exact"/>
        <w:ind w:firstLine="435"/>
        <w:rPr>
          <w:rFonts w:ascii="宋体" w:hAnsi="宋体" w:eastAsia="宋体" w:cs="宋体"/>
          <w:color w:val="auto"/>
          <w:sz w:val="24"/>
          <w:szCs w:val="18"/>
          <w:highlight w:val="none"/>
          <w:u w:val="single"/>
        </w:rPr>
      </w:pPr>
      <w:r>
        <w:rPr>
          <w:rFonts w:hint="eastAsia" w:ascii="宋体" w:hAnsi="宋体" w:eastAsia="宋体" w:cs="宋体"/>
          <w:color w:val="auto"/>
          <w:sz w:val="24"/>
          <w:szCs w:val="18"/>
          <w:highlight w:val="none"/>
        </w:rPr>
        <w:t>联系方式：</w:t>
      </w:r>
      <w:r>
        <w:rPr>
          <w:rFonts w:hint="eastAsia" w:ascii="宋体" w:hAnsi="宋体" w:eastAsia="宋体" w:cs="宋体"/>
          <w:color w:val="auto"/>
          <w:sz w:val="24"/>
          <w:szCs w:val="18"/>
          <w:highlight w:val="none"/>
          <w:lang w:val="en-US" w:eastAsia="zh-CN"/>
        </w:rPr>
        <w:t>0550-3218735</w:t>
      </w:r>
    </w:p>
    <w:p w14:paraId="35555741">
      <w:pPr>
        <w:spacing w:line="420" w:lineRule="exact"/>
        <w:ind w:firstLine="437"/>
        <w:outlineLvl w:val="2"/>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2.采购代理机构信息</w:t>
      </w:r>
    </w:p>
    <w:p w14:paraId="2847C858">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val="en-US" w:eastAsia="zh-CN"/>
        </w:rPr>
        <w:t>滁州市城投工程咨询管理有限公司</w:t>
      </w:r>
    </w:p>
    <w:p w14:paraId="47E46307">
      <w:pPr>
        <w:spacing w:line="420" w:lineRule="exact"/>
        <w:ind w:firstLine="435"/>
        <w:rPr>
          <w:rFonts w:ascii="宋体" w:hAnsi="宋体" w:eastAsia="宋体" w:cs="宋体"/>
          <w:color w:val="auto"/>
          <w:sz w:val="24"/>
          <w:szCs w:val="18"/>
          <w:highlight w:val="none"/>
          <w:u w:val="single"/>
        </w:rPr>
      </w:pPr>
      <w:r>
        <w:rPr>
          <w:rFonts w:hint="eastAsia" w:ascii="宋体" w:hAnsi="宋体" w:eastAsia="宋体" w:cs="宋体"/>
          <w:color w:val="auto"/>
          <w:sz w:val="24"/>
          <w:szCs w:val="18"/>
          <w:highlight w:val="none"/>
        </w:rPr>
        <w:t>地  址：</w:t>
      </w:r>
      <w:r>
        <w:rPr>
          <w:rFonts w:hint="eastAsia" w:ascii="宋体" w:hAnsi="宋体" w:eastAsia="宋体" w:cs="宋体"/>
          <w:color w:val="auto"/>
          <w:sz w:val="24"/>
          <w:szCs w:val="18"/>
          <w:highlight w:val="none"/>
          <w:lang w:val="en-US" w:eastAsia="zh-CN"/>
        </w:rPr>
        <w:t>滁州市龙蟠大道109号房产商务大厦6楼</w:t>
      </w:r>
    </w:p>
    <w:p w14:paraId="6BF0ADC0">
      <w:pPr>
        <w:spacing w:line="420" w:lineRule="exact"/>
        <w:ind w:firstLine="435"/>
        <w:rPr>
          <w:rFonts w:hint="eastAsia" w:ascii="宋体" w:hAnsi="宋体" w:eastAsia="宋体" w:cs="宋体"/>
          <w:color w:val="auto"/>
          <w:highlight w:val="none"/>
          <w:lang w:eastAsia="zh-CN"/>
        </w:rPr>
      </w:pPr>
      <w:r>
        <w:rPr>
          <w:rFonts w:hint="eastAsia" w:ascii="宋体" w:hAnsi="宋体" w:eastAsia="宋体" w:cs="宋体"/>
          <w:color w:val="auto"/>
          <w:sz w:val="24"/>
          <w:szCs w:val="18"/>
          <w:highlight w:val="none"/>
        </w:rPr>
        <w:t>联系人：</w:t>
      </w:r>
      <w:r>
        <w:rPr>
          <w:rFonts w:hint="eastAsia" w:ascii="宋体" w:hAnsi="宋体" w:eastAsia="宋体" w:cs="宋体"/>
          <w:color w:val="auto"/>
          <w:sz w:val="24"/>
          <w:szCs w:val="18"/>
          <w:highlight w:val="none"/>
          <w:u w:val="none"/>
          <w:lang w:eastAsia="zh-CN"/>
        </w:rPr>
        <w:t>曹思敏</w:t>
      </w:r>
    </w:p>
    <w:p w14:paraId="44433A9F">
      <w:pPr>
        <w:spacing w:line="420" w:lineRule="exact"/>
        <w:ind w:firstLine="435"/>
        <w:rPr>
          <w:rFonts w:hint="eastAsia" w:ascii="宋体" w:hAnsi="宋体" w:eastAsia="宋体" w:cs="宋体"/>
          <w:color w:val="auto"/>
          <w:sz w:val="24"/>
          <w:szCs w:val="18"/>
          <w:highlight w:val="none"/>
          <w:lang w:eastAsia="zh-CN"/>
        </w:rPr>
      </w:pPr>
      <w:r>
        <w:rPr>
          <w:rFonts w:hint="eastAsia" w:ascii="宋体" w:hAnsi="宋体" w:eastAsia="宋体" w:cs="宋体"/>
          <w:color w:val="auto"/>
          <w:sz w:val="24"/>
          <w:szCs w:val="18"/>
          <w:highlight w:val="none"/>
        </w:rPr>
        <w:t>联系方式：</w:t>
      </w:r>
      <w:r>
        <w:rPr>
          <w:rFonts w:hint="eastAsia" w:ascii="宋体" w:hAnsi="宋体" w:eastAsia="宋体" w:cs="宋体"/>
          <w:color w:val="auto"/>
          <w:sz w:val="24"/>
          <w:szCs w:val="18"/>
          <w:highlight w:val="none"/>
          <w:u w:val="none"/>
          <w:lang w:eastAsia="zh-CN"/>
        </w:rPr>
        <w:t>0550-3519516、18712012204</w:t>
      </w:r>
    </w:p>
    <w:p w14:paraId="418981A4">
      <w:pPr>
        <w:spacing w:line="420" w:lineRule="exact"/>
        <w:ind w:firstLine="437"/>
        <w:outlineLvl w:val="2"/>
        <w:rPr>
          <w:rFonts w:ascii="宋体" w:hAnsi="宋体" w:eastAsia="宋体" w:cs="宋体"/>
          <w:b/>
          <w:color w:val="auto"/>
          <w:sz w:val="24"/>
          <w:szCs w:val="18"/>
          <w:highlight w:val="none"/>
        </w:rPr>
      </w:pPr>
      <w:r>
        <w:rPr>
          <w:rFonts w:hint="eastAsia" w:ascii="宋体" w:hAnsi="宋体" w:eastAsia="宋体" w:cs="宋体"/>
          <w:bCs/>
          <w:color w:val="auto"/>
          <w:sz w:val="24"/>
          <w:szCs w:val="18"/>
          <w:highlight w:val="none"/>
        </w:rPr>
        <w:t>3</w:t>
      </w:r>
      <w:r>
        <w:rPr>
          <w:rFonts w:hint="eastAsia" w:ascii="宋体" w:hAnsi="宋体" w:eastAsia="宋体" w:cs="宋体"/>
          <w:b/>
          <w:color w:val="auto"/>
          <w:sz w:val="24"/>
          <w:szCs w:val="18"/>
          <w:highlight w:val="none"/>
        </w:rPr>
        <w:t>.</w:t>
      </w:r>
      <w:r>
        <w:rPr>
          <w:rFonts w:hint="eastAsia" w:ascii="宋体" w:hAnsi="宋体" w:eastAsia="宋体" w:cs="宋体"/>
          <w:color w:val="auto"/>
          <w:sz w:val="24"/>
          <w:szCs w:val="18"/>
          <w:highlight w:val="none"/>
        </w:rPr>
        <w:t>政府采购监督管理部门信息</w:t>
      </w:r>
    </w:p>
    <w:p w14:paraId="32D02B09">
      <w:pPr>
        <w:spacing w:line="420" w:lineRule="exact"/>
        <w:ind w:firstLine="435"/>
        <w:rPr>
          <w:rFonts w:ascii="宋体" w:hAnsi="宋体" w:eastAsia="宋体" w:cs="宋体"/>
          <w:color w:val="auto"/>
          <w:sz w:val="24"/>
          <w:szCs w:val="18"/>
          <w:highlight w:val="none"/>
          <w:u w:val="none"/>
        </w:rPr>
      </w:pPr>
      <w:r>
        <w:rPr>
          <w:rFonts w:hint="eastAsia" w:ascii="宋体" w:hAnsi="宋体" w:eastAsia="宋体" w:cs="宋体"/>
          <w:color w:val="auto"/>
          <w:sz w:val="24"/>
          <w:szCs w:val="24"/>
          <w:highlight w:val="none"/>
          <w:u w:val="none"/>
        </w:rPr>
        <w:t>名  称</w:t>
      </w:r>
      <w:r>
        <w:rPr>
          <w:rFonts w:hint="eastAsia" w:ascii="宋体" w:hAnsi="宋体" w:eastAsia="宋体" w:cs="宋体"/>
          <w:color w:val="auto"/>
          <w:sz w:val="24"/>
          <w:szCs w:val="18"/>
          <w:highlight w:val="none"/>
          <w:u w:val="none"/>
        </w:rPr>
        <w:t>：滁州市公共资源交易监督管理局</w:t>
      </w:r>
    </w:p>
    <w:p w14:paraId="355C25F1">
      <w:pPr>
        <w:spacing w:line="420" w:lineRule="exact"/>
        <w:ind w:firstLine="435"/>
        <w:rPr>
          <w:rFonts w:ascii="宋体" w:hAnsi="宋体" w:eastAsia="宋体" w:cs="宋体"/>
          <w:color w:val="auto"/>
          <w:sz w:val="24"/>
          <w:szCs w:val="18"/>
          <w:highlight w:val="none"/>
          <w:u w:val="none"/>
        </w:rPr>
      </w:pPr>
      <w:r>
        <w:rPr>
          <w:rFonts w:hint="eastAsia" w:ascii="宋体" w:hAnsi="宋体" w:eastAsia="宋体" w:cs="宋体"/>
          <w:color w:val="auto"/>
          <w:sz w:val="24"/>
          <w:szCs w:val="18"/>
          <w:highlight w:val="none"/>
          <w:u w:val="none"/>
        </w:rPr>
        <w:t>地  址：滁州市龙蟠大道109号房产大厦</w:t>
      </w:r>
      <w:r>
        <w:rPr>
          <w:rFonts w:hint="eastAsia" w:ascii="宋体" w:hAnsi="宋体" w:eastAsia="宋体" w:cs="宋体"/>
          <w:color w:val="auto"/>
          <w:sz w:val="24"/>
          <w:szCs w:val="18"/>
          <w:highlight w:val="none"/>
          <w:u w:val="none"/>
          <w:lang w:val="en-US" w:eastAsia="zh-CN"/>
        </w:rPr>
        <w:t>3</w:t>
      </w:r>
      <w:r>
        <w:rPr>
          <w:rFonts w:hint="eastAsia" w:ascii="宋体" w:hAnsi="宋体" w:eastAsia="宋体" w:cs="宋体"/>
          <w:color w:val="auto"/>
          <w:sz w:val="24"/>
          <w:szCs w:val="18"/>
          <w:highlight w:val="none"/>
          <w:u w:val="none"/>
        </w:rPr>
        <w:t>楼</w:t>
      </w:r>
    </w:p>
    <w:p w14:paraId="31E1F08C">
      <w:pPr>
        <w:spacing w:line="420" w:lineRule="exact"/>
        <w:ind w:firstLine="435"/>
        <w:rPr>
          <w:rFonts w:ascii="宋体" w:hAnsi="宋体" w:eastAsia="宋体" w:cs="宋体"/>
          <w:color w:val="auto"/>
          <w:sz w:val="24"/>
          <w:szCs w:val="18"/>
          <w:highlight w:val="none"/>
          <w:u w:val="none"/>
        </w:rPr>
      </w:pPr>
      <w:r>
        <w:rPr>
          <w:rFonts w:hint="eastAsia" w:ascii="宋体" w:hAnsi="宋体" w:eastAsia="宋体" w:cs="宋体"/>
          <w:color w:val="auto"/>
          <w:sz w:val="24"/>
          <w:szCs w:val="18"/>
          <w:highlight w:val="none"/>
          <w:u w:val="none"/>
        </w:rPr>
        <w:t>联系方式：0550-3801656</w:t>
      </w:r>
    </w:p>
    <w:p w14:paraId="48B66BB4">
      <w:pPr>
        <w:widowControl/>
        <w:jc w:val="left"/>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br w:type="page"/>
      </w:r>
    </w:p>
    <w:p w14:paraId="01918E4C">
      <w:pPr>
        <w:spacing w:line="360" w:lineRule="auto"/>
        <w:jc w:val="center"/>
        <w:outlineLvl w:val="0"/>
        <w:rPr>
          <w:rFonts w:ascii="宋体" w:hAnsi="宋体" w:eastAsia="宋体" w:cs="宋体"/>
          <w:b/>
          <w:color w:val="auto"/>
          <w:sz w:val="28"/>
          <w:highlight w:val="none"/>
        </w:rPr>
      </w:pPr>
      <w:bookmarkStart w:id="26" w:name="_Toc6989"/>
      <w:r>
        <w:rPr>
          <w:rFonts w:hint="eastAsia" w:ascii="宋体" w:hAnsi="宋体" w:eastAsia="宋体" w:cs="宋体"/>
          <w:b/>
          <w:color w:val="auto"/>
          <w:sz w:val="28"/>
          <w:highlight w:val="none"/>
        </w:rPr>
        <w:t>第二章  投标人须知</w:t>
      </w:r>
      <w:bookmarkEnd w:id="26"/>
    </w:p>
    <w:p w14:paraId="2C85D633">
      <w:pPr>
        <w:spacing w:line="360" w:lineRule="auto"/>
        <w:jc w:val="center"/>
        <w:outlineLvl w:val="1"/>
        <w:rPr>
          <w:rFonts w:ascii="宋体" w:hAnsi="宋体" w:eastAsia="宋体" w:cs="宋体"/>
          <w:b/>
          <w:color w:val="auto"/>
          <w:sz w:val="24"/>
          <w:highlight w:val="none"/>
        </w:rPr>
      </w:pPr>
      <w:bookmarkStart w:id="27" w:name="_Toc13589"/>
      <w:bookmarkStart w:id="28" w:name="_Toc7178"/>
      <w:bookmarkStart w:id="29" w:name="_Toc13911"/>
      <w:r>
        <w:rPr>
          <w:rFonts w:hint="eastAsia" w:ascii="宋体" w:hAnsi="宋体" w:eastAsia="宋体" w:cs="宋体"/>
          <w:b/>
          <w:color w:val="auto"/>
          <w:sz w:val="24"/>
          <w:highlight w:val="none"/>
        </w:rPr>
        <w:t>一、投标人须知前附表</w:t>
      </w:r>
      <w:bookmarkEnd w:id="27"/>
      <w:bookmarkEnd w:id="28"/>
      <w:bookmarkEnd w:id="29"/>
    </w:p>
    <w:p w14:paraId="563007D7">
      <w:pPr>
        <w:spacing w:line="360" w:lineRule="auto"/>
        <w:ind w:firstLine="435"/>
        <w:rPr>
          <w:rFonts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本表是本项目的具体要求，是对投标人须知的具体补充和修改，如有不一致，以本表为准。</w:t>
      </w:r>
    </w:p>
    <w:tbl>
      <w:tblPr>
        <w:tblStyle w:val="30"/>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184"/>
        <w:gridCol w:w="6149"/>
      </w:tblGrid>
      <w:tr w14:paraId="0317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7D7C51D">
            <w:pPr>
              <w:pStyle w:val="48"/>
              <w:widowControl w:val="0"/>
              <w:spacing w:before="0" w:beforeAutospacing="0" w:after="0" w:afterAutospacing="0" w:line="440" w:lineRule="exact"/>
              <w:rPr>
                <w:rFonts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2184" w:type="dxa"/>
            <w:vAlign w:val="center"/>
          </w:tcPr>
          <w:p w14:paraId="152D5B68">
            <w:pPr>
              <w:pStyle w:val="48"/>
              <w:widowControl w:val="0"/>
              <w:spacing w:before="0" w:beforeAutospacing="0" w:after="0" w:afterAutospacing="0" w:line="440" w:lineRule="exact"/>
              <w:rPr>
                <w:rFonts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6149" w:type="dxa"/>
            <w:vAlign w:val="center"/>
          </w:tcPr>
          <w:p w14:paraId="1CB18655">
            <w:pPr>
              <w:pStyle w:val="48"/>
              <w:widowControl w:val="0"/>
              <w:spacing w:before="0" w:beforeAutospacing="0" w:after="0" w:afterAutospacing="0" w:line="440" w:lineRule="exact"/>
              <w:rPr>
                <w:rFonts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1FA3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004EA42">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5.2</w:t>
            </w:r>
          </w:p>
        </w:tc>
        <w:tc>
          <w:tcPr>
            <w:tcW w:w="2184" w:type="dxa"/>
            <w:vAlign w:val="center"/>
          </w:tcPr>
          <w:p w14:paraId="6A9A8B31">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kern w:val="2"/>
                <w:sz w:val="24"/>
                <w:szCs w:val="22"/>
                <w:highlight w:val="none"/>
              </w:rPr>
              <w:t>现场考察或标前答疑会</w:t>
            </w:r>
          </w:p>
        </w:tc>
        <w:tc>
          <w:tcPr>
            <w:tcW w:w="6149" w:type="dxa"/>
            <w:vAlign w:val="center"/>
          </w:tcPr>
          <w:p w14:paraId="45C23FBA">
            <w:pPr>
              <w:spacing w:line="440" w:lineRule="exact"/>
              <w:rPr>
                <w:rFonts w:ascii="宋体" w:hAnsi="宋体" w:eastAsia="宋体" w:cs="宋体"/>
                <w:bCs/>
                <w:color w:val="auto"/>
                <w:sz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highlight w:val="none"/>
              </w:rPr>
              <w:t>不组织或不召开</w:t>
            </w:r>
          </w:p>
          <w:p w14:paraId="0846C09F">
            <w:pPr>
              <w:spacing w:line="440" w:lineRule="exact"/>
              <w:rPr>
                <w:rFonts w:ascii="宋体" w:hAnsi="宋体" w:eastAsia="宋体" w:cs="宋体"/>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统一组织或统一召开</w:t>
            </w:r>
          </w:p>
          <w:p w14:paraId="548D4083">
            <w:pPr>
              <w:spacing w:line="440" w:lineRule="exact"/>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分</w:t>
            </w:r>
          </w:p>
          <w:p w14:paraId="31120D6B">
            <w:pPr>
              <w:spacing w:line="440" w:lineRule="exact"/>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w:t>
            </w:r>
          </w:p>
          <w:p w14:paraId="1B916534">
            <w:pPr>
              <w:spacing w:line="440" w:lineRule="exact"/>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w:t>
            </w:r>
          </w:p>
          <w:p w14:paraId="111E66CA">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2956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53E0B8B9">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6.1</w:t>
            </w:r>
          </w:p>
        </w:tc>
        <w:tc>
          <w:tcPr>
            <w:tcW w:w="2184" w:type="dxa"/>
            <w:vAlign w:val="center"/>
          </w:tcPr>
          <w:p w14:paraId="61C94070">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网上询问截止时间</w:t>
            </w:r>
          </w:p>
        </w:tc>
        <w:tc>
          <w:tcPr>
            <w:tcW w:w="6149" w:type="dxa"/>
            <w:vAlign w:val="center"/>
          </w:tcPr>
          <w:p w14:paraId="3E8C9D9A">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u w:val="single"/>
              </w:rPr>
              <w:t>202</w:t>
            </w:r>
            <w:r>
              <w:rPr>
                <w:rFonts w:hint="eastAsia" w:ascii="宋体" w:hAnsi="宋体" w:eastAsia="宋体" w:cs="宋体"/>
                <w:b w:val="0"/>
                <w:color w:val="auto"/>
                <w:sz w:val="24"/>
                <w:highlight w:val="none"/>
                <w:u w:val="single"/>
                <w:lang w:val="en-US" w:eastAsia="zh-CN"/>
              </w:rPr>
              <w:t>6</w:t>
            </w:r>
            <w:r>
              <w:rPr>
                <w:rFonts w:hint="eastAsia" w:ascii="宋体" w:hAnsi="宋体" w:eastAsia="宋体" w:cs="宋体"/>
                <w:b w:val="0"/>
                <w:color w:val="auto"/>
                <w:sz w:val="24"/>
                <w:highlight w:val="none"/>
              </w:rPr>
              <w:t>年</w:t>
            </w:r>
            <w:r>
              <w:rPr>
                <w:rFonts w:hint="eastAsia" w:ascii="宋体" w:hAnsi="宋体" w:eastAsia="宋体" w:cs="宋体"/>
                <w:b w:val="0"/>
                <w:color w:val="auto"/>
                <w:sz w:val="24"/>
                <w:highlight w:val="none"/>
                <w:u w:val="single"/>
                <w:lang w:val="en-US" w:eastAsia="zh-CN"/>
              </w:rPr>
              <w:t xml:space="preserve"> 9</w:t>
            </w:r>
            <w:r>
              <w:rPr>
                <w:rFonts w:hint="eastAsia" w:ascii="宋体" w:hAnsi="宋体" w:eastAsia="宋体" w:cs="宋体"/>
                <w:b w:val="0"/>
                <w:color w:val="auto"/>
                <w:sz w:val="24"/>
                <w:highlight w:val="none"/>
              </w:rPr>
              <w:t>月</w:t>
            </w:r>
            <w:r>
              <w:rPr>
                <w:rFonts w:hint="eastAsia" w:ascii="宋体" w:hAnsi="宋体" w:eastAsia="宋体" w:cs="宋体"/>
                <w:b w:val="0"/>
                <w:color w:val="auto"/>
                <w:sz w:val="24"/>
                <w:highlight w:val="none"/>
                <w:u w:val="single"/>
                <w:lang w:val="en-US" w:eastAsia="zh-CN"/>
              </w:rPr>
              <w:t xml:space="preserve"> 7 </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rPr>
              <w:t>30</w:t>
            </w:r>
            <w:r>
              <w:rPr>
                <w:rFonts w:hint="eastAsia" w:ascii="宋体" w:hAnsi="宋体" w:eastAsia="宋体" w:cs="宋体"/>
                <w:b w:val="0"/>
                <w:color w:val="auto"/>
                <w:sz w:val="24"/>
                <w:highlight w:val="none"/>
              </w:rPr>
              <w:t>分</w:t>
            </w:r>
          </w:p>
        </w:tc>
      </w:tr>
      <w:tr w14:paraId="3CF6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0A79279B">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7.1</w:t>
            </w:r>
          </w:p>
        </w:tc>
        <w:tc>
          <w:tcPr>
            <w:tcW w:w="2184" w:type="dxa"/>
            <w:vAlign w:val="center"/>
          </w:tcPr>
          <w:p w14:paraId="61F600CC">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包别划分</w:t>
            </w:r>
          </w:p>
        </w:tc>
        <w:tc>
          <w:tcPr>
            <w:tcW w:w="6149" w:type="dxa"/>
            <w:vAlign w:val="center"/>
          </w:tcPr>
          <w:p w14:paraId="490649F4">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rPr>
              <w:t>不分包     □分为</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rPr>
              <w:t>个包</w:t>
            </w:r>
          </w:p>
          <w:p w14:paraId="5FDE0927">
            <w:pPr>
              <w:pStyle w:val="48"/>
              <w:widowControl w:val="0"/>
              <w:spacing w:before="0" w:beforeAutospacing="0" w:after="0" w:afterAutospacing="0" w:line="440" w:lineRule="exact"/>
              <w:jc w:val="both"/>
              <w:rPr>
                <w:rFonts w:ascii="宋体" w:hAnsi="宋体" w:eastAsia="宋体" w:cs="宋体"/>
                <w:b w:val="0"/>
                <w:color w:val="auto"/>
                <w:sz w:val="24"/>
                <w:highlight w:val="none"/>
                <w:u w:val="single"/>
              </w:rPr>
            </w:pPr>
            <w:r>
              <w:rPr>
                <w:rFonts w:hint="eastAsia" w:ascii="宋体" w:hAnsi="宋体" w:eastAsia="宋体" w:cs="宋体"/>
                <w:b w:val="0"/>
                <w:color w:val="auto"/>
                <w:sz w:val="24"/>
                <w:highlight w:val="none"/>
              </w:rPr>
              <w:t>投标人对多个包进行投标的中标包数规定：</w:t>
            </w:r>
            <w:r>
              <w:rPr>
                <w:rFonts w:hint="eastAsia" w:ascii="宋体" w:hAnsi="宋体" w:eastAsia="宋体" w:cs="宋体"/>
                <w:b w:val="0"/>
                <w:color w:val="auto"/>
                <w:sz w:val="24"/>
                <w:highlight w:val="none"/>
                <w:u w:val="single"/>
              </w:rPr>
              <w:t>/</w:t>
            </w:r>
            <w:r>
              <w:rPr>
                <w:rFonts w:hint="eastAsia" w:ascii="宋体" w:hAnsi="宋体" w:eastAsia="宋体" w:cs="宋体"/>
                <w:b w:val="0"/>
                <w:bCs w:val="0"/>
                <w:color w:val="auto"/>
                <w:sz w:val="24"/>
                <w:szCs w:val="18"/>
                <w:highlight w:val="none"/>
                <w:u w:val="single"/>
              </w:rPr>
              <w:t xml:space="preserve"> </w:t>
            </w:r>
          </w:p>
        </w:tc>
      </w:tr>
      <w:tr w14:paraId="3CA1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03F439E1">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10.1</w:t>
            </w:r>
          </w:p>
        </w:tc>
        <w:tc>
          <w:tcPr>
            <w:tcW w:w="2184" w:type="dxa"/>
            <w:vAlign w:val="center"/>
          </w:tcPr>
          <w:p w14:paraId="37E5CBE9">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投标保证金</w:t>
            </w:r>
          </w:p>
        </w:tc>
        <w:tc>
          <w:tcPr>
            <w:tcW w:w="6149" w:type="dxa"/>
            <w:vAlign w:val="center"/>
          </w:tcPr>
          <w:p w14:paraId="37B0CDE3">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不收取</w:t>
            </w:r>
          </w:p>
        </w:tc>
      </w:tr>
      <w:tr w14:paraId="280E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6E570BE4">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11.1</w:t>
            </w:r>
          </w:p>
        </w:tc>
        <w:tc>
          <w:tcPr>
            <w:tcW w:w="2184" w:type="dxa"/>
            <w:vAlign w:val="center"/>
          </w:tcPr>
          <w:p w14:paraId="088A2263">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投标有效期</w:t>
            </w:r>
          </w:p>
        </w:tc>
        <w:tc>
          <w:tcPr>
            <w:tcW w:w="6149" w:type="dxa"/>
            <w:vAlign w:val="center"/>
          </w:tcPr>
          <w:p w14:paraId="21E3067E">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u w:val="single"/>
              </w:rPr>
              <w:t>90</w:t>
            </w:r>
            <w:r>
              <w:rPr>
                <w:rFonts w:hint="eastAsia" w:ascii="宋体" w:hAnsi="宋体" w:eastAsia="宋体" w:cs="宋体"/>
                <w:b w:val="0"/>
                <w:color w:val="auto"/>
                <w:sz w:val="24"/>
                <w:highlight w:val="none"/>
              </w:rPr>
              <w:t>日历日</w:t>
            </w:r>
          </w:p>
        </w:tc>
      </w:tr>
      <w:tr w14:paraId="7209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4C91D017">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13.1</w:t>
            </w:r>
          </w:p>
        </w:tc>
        <w:tc>
          <w:tcPr>
            <w:tcW w:w="2184" w:type="dxa"/>
            <w:vAlign w:val="center"/>
          </w:tcPr>
          <w:p w14:paraId="5FFE9A86">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投标文件解密时间</w:t>
            </w:r>
          </w:p>
        </w:tc>
        <w:tc>
          <w:tcPr>
            <w:tcW w:w="6149" w:type="dxa"/>
            <w:vAlign w:val="center"/>
          </w:tcPr>
          <w:p w14:paraId="1195F551">
            <w:pPr>
              <w:spacing w:line="440" w:lineRule="exact"/>
              <w:rPr>
                <w:rFonts w:ascii="宋体" w:hAnsi="宋体" w:eastAsia="宋体" w:cs="宋体"/>
                <w:bCs/>
                <w:color w:val="auto"/>
                <w:kern w:val="0"/>
                <w:sz w:val="24"/>
                <w:szCs w:val="28"/>
                <w:highlight w:val="none"/>
              </w:rPr>
            </w:pPr>
            <w:r>
              <w:rPr>
                <w:rFonts w:hint="eastAsia" w:ascii="宋体" w:hAnsi="宋体" w:eastAsia="宋体" w:cs="宋体"/>
                <w:color w:val="auto"/>
                <w:sz w:val="24"/>
                <w:highlight w:val="none"/>
              </w:rPr>
              <w:t>投标截止时间后</w:t>
            </w:r>
            <w:r>
              <w:rPr>
                <w:rFonts w:hint="eastAsia" w:ascii="宋体" w:hAnsi="宋体" w:eastAsia="宋体" w:cs="宋体"/>
                <w:color w:val="auto"/>
                <w:sz w:val="24"/>
                <w:highlight w:val="none"/>
                <w:u w:val="single"/>
              </w:rPr>
              <w:t>60</w:t>
            </w:r>
            <w:r>
              <w:rPr>
                <w:rFonts w:hint="eastAsia" w:ascii="宋体" w:hAnsi="宋体" w:eastAsia="宋体" w:cs="宋体"/>
                <w:color w:val="auto"/>
                <w:sz w:val="24"/>
                <w:highlight w:val="none"/>
              </w:rPr>
              <w:t>分钟内（以本项目网上招投标系统解密倒计时为准）。</w:t>
            </w:r>
          </w:p>
        </w:tc>
      </w:tr>
      <w:tr w14:paraId="7F35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FED5553">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14.1</w:t>
            </w:r>
          </w:p>
        </w:tc>
        <w:tc>
          <w:tcPr>
            <w:tcW w:w="2184" w:type="dxa"/>
            <w:vAlign w:val="center"/>
          </w:tcPr>
          <w:p w14:paraId="6841708D">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资格审查</w:t>
            </w:r>
          </w:p>
        </w:tc>
        <w:tc>
          <w:tcPr>
            <w:tcW w:w="6149" w:type="dxa"/>
            <w:vAlign w:val="center"/>
          </w:tcPr>
          <w:p w14:paraId="2ADBE07E">
            <w:pPr>
              <w:pStyle w:val="48"/>
              <w:widowControl w:val="0"/>
              <w:spacing w:before="0" w:beforeAutospacing="0" w:after="0" w:afterAutospacing="0" w:line="440" w:lineRule="exact"/>
              <w:jc w:val="both"/>
              <w:rPr>
                <w:rFonts w:ascii="宋体" w:hAnsi="宋体" w:eastAsia="宋体" w:cs="宋体"/>
                <w:b w:val="0"/>
                <w:bCs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highlight w:val="none"/>
              </w:rPr>
              <w:t>采购人审查</w:t>
            </w:r>
          </w:p>
          <w:p w14:paraId="45E4DA26">
            <w:pPr>
              <w:pStyle w:val="48"/>
              <w:widowControl w:val="0"/>
              <w:spacing w:before="0" w:beforeAutospacing="0" w:after="0" w:afterAutospacing="0" w:line="440" w:lineRule="exact"/>
              <w:jc w:val="both"/>
              <w:rPr>
                <w:rFonts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highlight w:val="none"/>
              </w:rPr>
              <w:t>采购人出具委托函委托采购代理机构进行审查</w:t>
            </w:r>
          </w:p>
        </w:tc>
      </w:tr>
      <w:tr w14:paraId="3AE5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542C03C">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17.2</w:t>
            </w:r>
          </w:p>
        </w:tc>
        <w:tc>
          <w:tcPr>
            <w:tcW w:w="2184" w:type="dxa"/>
            <w:vAlign w:val="center"/>
          </w:tcPr>
          <w:p w14:paraId="00F776B0">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评标方法</w:t>
            </w:r>
          </w:p>
        </w:tc>
        <w:tc>
          <w:tcPr>
            <w:tcW w:w="6149" w:type="dxa"/>
            <w:vAlign w:val="center"/>
          </w:tcPr>
          <w:p w14:paraId="450719E7">
            <w:pPr>
              <w:pStyle w:val="48"/>
              <w:widowControl w:val="0"/>
              <w:spacing w:before="0" w:beforeAutospacing="0" w:after="0" w:afterAutospacing="0" w:line="440" w:lineRule="exact"/>
              <w:jc w:val="both"/>
              <w:rPr>
                <w:rFonts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rPr>
              <w:t>最低评标价法</w:t>
            </w:r>
          </w:p>
          <w:p w14:paraId="56CDDB8B">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rPr>
              <w:t>综合评分法</w:t>
            </w:r>
          </w:p>
        </w:tc>
      </w:tr>
      <w:tr w14:paraId="1497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24AB5654">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17.3</w:t>
            </w:r>
          </w:p>
        </w:tc>
        <w:tc>
          <w:tcPr>
            <w:tcW w:w="2184" w:type="dxa"/>
            <w:vAlign w:val="center"/>
          </w:tcPr>
          <w:p w14:paraId="0AF2CB51">
            <w:pPr>
              <w:pStyle w:val="48"/>
              <w:widowControl w:val="0"/>
              <w:spacing w:before="0" w:beforeAutospacing="0" w:after="0" w:afterAutospacing="0" w:line="440" w:lineRule="exact"/>
              <w:jc w:val="both"/>
              <w:rPr>
                <w:rFonts w:ascii="宋体" w:hAnsi="宋体" w:eastAsia="宋体" w:cs="宋体"/>
                <w:b w:val="0"/>
                <w:i/>
                <w:color w:val="auto"/>
                <w:sz w:val="24"/>
                <w:highlight w:val="none"/>
              </w:rPr>
            </w:pPr>
            <w:r>
              <w:rPr>
                <w:rFonts w:hint="eastAsia" w:ascii="宋体" w:hAnsi="宋体" w:eastAsia="宋体" w:cs="宋体"/>
                <w:b w:val="0"/>
                <w:color w:val="auto"/>
                <w:sz w:val="24"/>
                <w:highlight w:val="none"/>
              </w:rPr>
              <w:t>报价扣除（非专门面向中小企业采购项目适用）</w:t>
            </w:r>
          </w:p>
        </w:tc>
        <w:tc>
          <w:tcPr>
            <w:tcW w:w="6149" w:type="dxa"/>
            <w:vAlign w:val="center"/>
          </w:tcPr>
          <w:p w14:paraId="2E33D7D6">
            <w:pPr>
              <w:pStyle w:val="48"/>
              <w:keepNext w:val="0"/>
              <w:keepLines w:val="0"/>
              <w:widowControl w:val="0"/>
              <w:suppressLineNumbers w:val="0"/>
              <w:spacing w:before="0" w:beforeAutospacing="0" w:after="0" w:afterAutospacing="0" w:line="500" w:lineRule="exact"/>
              <w:ind w:left="0" w:right="0"/>
              <w:jc w:val="both"/>
              <w:rPr>
                <w:rFonts w:hint="default" w:ascii="宋体" w:hAnsi="宋体" w:eastAsia="宋体"/>
                <w:b/>
                <w:bCs w:val="0"/>
                <w:color w:val="auto"/>
                <w:sz w:val="24"/>
                <w:highlight w:val="none"/>
              </w:rPr>
            </w:pPr>
            <w:r>
              <w:rPr>
                <w:rFonts w:hint="eastAsia" w:ascii="宋体" w:hAnsi="宋体" w:eastAsia="宋体" w:cs="宋体"/>
                <w:b w:val="0"/>
                <w:color w:val="auto"/>
                <w:sz w:val="24"/>
                <w:highlight w:val="none"/>
              </w:rPr>
              <w:t>（1）</w:t>
            </w:r>
            <w:r>
              <w:rPr>
                <w:rFonts w:hint="default"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p>
          <w:p w14:paraId="625A0C24">
            <w:pPr>
              <w:pStyle w:val="48"/>
              <w:keepNext w:val="0"/>
              <w:keepLines w:val="0"/>
              <w:widowControl w:val="0"/>
              <w:suppressLineNumbers w:val="0"/>
              <w:spacing w:before="0" w:beforeAutospacing="0" w:after="0" w:afterAutospacing="0" w:line="500" w:lineRule="exact"/>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hint="default"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BAD4343">
            <w:pPr>
              <w:pStyle w:val="48"/>
              <w:keepNext w:val="0"/>
              <w:keepLines w:val="0"/>
              <w:widowControl w:val="0"/>
              <w:suppressLineNumbers w:val="0"/>
              <w:spacing w:before="0" w:beforeAutospacing="0" w:after="0" w:afterAutospacing="0" w:line="500" w:lineRule="exact"/>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hint="default"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419538B1">
            <w:pPr>
              <w:pStyle w:val="48"/>
              <w:keepNext w:val="0"/>
              <w:keepLines w:val="0"/>
              <w:widowControl w:val="0"/>
              <w:suppressLineNumbers w:val="0"/>
              <w:spacing w:before="0" w:beforeAutospacing="0" w:after="0" w:afterAutospacing="0" w:line="500" w:lineRule="exact"/>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74CCAB4">
            <w:pPr>
              <w:pStyle w:val="48"/>
              <w:widowControl w:val="0"/>
              <w:spacing w:before="0" w:beforeAutospacing="0" w:after="0" w:afterAutospacing="0" w:line="440" w:lineRule="exact"/>
              <w:jc w:val="both"/>
              <w:rPr>
                <w:rFonts w:hint="eastAsia" w:ascii="宋体" w:hAnsi="宋体" w:eastAsia="宋体" w:cs="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u w:val="single"/>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w:t>
            </w:r>
          </w:p>
        </w:tc>
      </w:tr>
      <w:tr w14:paraId="2A06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516B961D">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21.1</w:t>
            </w:r>
          </w:p>
        </w:tc>
        <w:tc>
          <w:tcPr>
            <w:tcW w:w="2184" w:type="dxa"/>
            <w:vAlign w:val="center"/>
          </w:tcPr>
          <w:p w14:paraId="2FC9978C">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评标委员会推荐中标候选人的数量</w:t>
            </w:r>
          </w:p>
        </w:tc>
        <w:tc>
          <w:tcPr>
            <w:tcW w:w="6149" w:type="dxa"/>
            <w:vAlign w:val="center"/>
          </w:tcPr>
          <w:p w14:paraId="427E04AC">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评标委员会推荐3名中标候选人。</w:t>
            </w:r>
          </w:p>
        </w:tc>
      </w:tr>
      <w:tr w14:paraId="58C6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73B371D">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21.2</w:t>
            </w:r>
          </w:p>
        </w:tc>
        <w:tc>
          <w:tcPr>
            <w:tcW w:w="2184" w:type="dxa"/>
            <w:vAlign w:val="center"/>
          </w:tcPr>
          <w:p w14:paraId="7D2A767B">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确定中标人</w:t>
            </w:r>
          </w:p>
        </w:tc>
        <w:tc>
          <w:tcPr>
            <w:tcW w:w="6149" w:type="dxa"/>
            <w:vAlign w:val="center"/>
          </w:tcPr>
          <w:p w14:paraId="6642F81D">
            <w:pPr>
              <w:spacing w:line="440" w:lineRule="exac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sym w:font="Wingdings" w:char="00A8"/>
            </w:r>
            <w:r>
              <w:rPr>
                <w:rFonts w:hint="eastAsia" w:ascii="宋体" w:hAnsi="宋体" w:eastAsia="宋体" w:cs="宋体"/>
                <w:color w:val="auto"/>
                <w:kern w:val="0"/>
                <w:sz w:val="24"/>
                <w:szCs w:val="24"/>
                <w:highlight w:val="none"/>
              </w:rPr>
              <w:t>采购人委托评标委员会确定</w:t>
            </w:r>
          </w:p>
          <w:p w14:paraId="7CC104F9">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bCs w:val="0"/>
                <w:color w:val="auto"/>
                <w:kern w:val="2"/>
                <w:sz w:val="24"/>
                <w:szCs w:val="24"/>
                <w:highlight w:val="none"/>
              </w:rPr>
              <w:t>☑采购人确定</w:t>
            </w:r>
          </w:p>
        </w:tc>
      </w:tr>
      <w:tr w14:paraId="74D1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1CBC3F1">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23.3</w:t>
            </w:r>
          </w:p>
        </w:tc>
        <w:tc>
          <w:tcPr>
            <w:tcW w:w="2184" w:type="dxa"/>
            <w:vAlign w:val="center"/>
          </w:tcPr>
          <w:p w14:paraId="72C4E3C0">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随中标结果公告同时公告的内容</w:t>
            </w:r>
          </w:p>
        </w:tc>
        <w:tc>
          <w:tcPr>
            <w:tcW w:w="6149" w:type="dxa"/>
            <w:vAlign w:val="center"/>
          </w:tcPr>
          <w:p w14:paraId="006C784A">
            <w:pPr>
              <w:pStyle w:val="48"/>
              <w:widowControl w:val="0"/>
              <w:numPr>
                <w:ilvl w:val="0"/>
                <w:numId w:val="2"/>
              </w:numPr>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中小企业声明函；</w:t>
            </w:r>
          </w:p>
          <w:p w14:paraId="08144C10">
            <w:pPr>
              <w:pStyle w:val="48"/>
              <w:widowControl w:val="0"/>
              <w:spacing w:before="0" w:beforeAutospacing="0" w:after="0" w:afterAutospacing="0" w:line="440" w:lineRule="exact"/>
              <w:jc w:val="both"/>
              <w:rPr>
                <w:rFonts w:ascii="宋体" w:hAnsi="宋体" w:eastAsia="宋体" w:cs="宋体"/>
                <w:b w:val="0"/>
                <w:i/>
                <w:color w:val="auto"/>
                <w:sz w:val="24"/>
                <w:highlight w:val="none"/>
              </w:rPr>
            </w:pPr>
            <w:r>
              <w:rPr>
                <w:rFonts w:hint="eastAsia" w:ascii="宋体" w:hAnsi="宋体" w:eastAsia="宋体" w:cs="宋体"/>
                <w:b w:val="0"/>
                <w:color w:val="auto"/>
                <w:sz w:val="24"/>
                <w:highlight w:val="none"/>
              </w:rPr>
              <w:t>（2）残疾人福利性单位声明函；</w:t>
            </w:r>
            <w:r>
              <w:rPr>
                <w:rFonts w:hint="eastAsia" w:ascii="宋体" w:hAnsi="宋体" w:eastAsia="宋体" w:cs="宋体"/>
                <w:b w:val="0"/>
                <w:i/>
                <w:iCs/>
                <w:color w:val="auto"/>
                <w:sz w:val="24"/>
                <w:highlight w:val="none"/>
              </w:rPr>
              <w:t>（如有）</w:t>
            </w:r>
          </w:p>
          <w:p w14:paraId="668E163D">
            <w:pPr>
              <w:pStyle w:val="48"/>
              <w:widowControl w:val="0"/>
              <w:spacing w:before="0" w:beforeAutospacing="0" w:after="0" w:afterAutospacing="0" w:line="440" w:lineRule="exact"/>
              <w:jc w:val="both"/>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rPr>
              <w:t>（3）中标（成交）供应商的评审总得分</w:t>
            </w:r>
            <w:r>
              <w:rPr>
                <w:rFonts w:hint="eastAsia" w:ascii="宋体" w:hAnsi="宋体" w:eastAsia="宋体" w:cs="宋体"/>
                <w:b w:val="0"/>
                <w:color w:val="auto"/>
                <w:sz w:val="24"/>
                <w:highlight w:val="none"/>
                <w:lang w:eastAsia="zh-CN"/>
              </w:rPr>
              <w:t>；</w:t>
            </w:r>
          </w:p>
          <w:p w14:paraId="65D410EB">
            <w:pPr>
              <w:pStyle w:val="48"/>
              <w:widowControl w:val="0"/>
              <w:spacing w:before="0" w:beforeAutospacing="0" w:after="0" w:afterAutospacing="0" w:line="360" w:lineRule="auto"/>
              <w:jc w:val="both"/>
              <w:rPr>
                <w:rFonts w:hint="eastAsia" w:ascii="宋体" w:hAnsi="宋体" w:eastAsia="宋体" w:cs="宋体"/>
                <w:b w:val="0"/>
                <w:color w:val="auto"/>
                <w:sz w:val="24"/>
                <w:highlight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1780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499CA601">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24.1</w:t>
            </w:r>
          </w:p>
        </w:tc>
        <w:tc>
          <w:tcPr>
            <w:tcW w:w="2184" w:type="dxa"/>
            <w:vAlign w:val="center"/>
          </w:tcPr>
          <w:p w14:paraId="160BC19F">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中标通知书发出的形式</w:t>
            </w:r>
          </w:p>
        </w:tc>
        <w:tc>
          <w:tcPr>
            <w:tcW w:w="6149" w:type="dxa"/>
            <w:vAlign w:val="center"/>
          </w:tcPr>
          <w:p w14:paraId="4D10A371">
            <w:pPr>
              <w:pStyle w:val="48"/>
              <w:widowControl w:val="0"/>
              <w:spacing w:before="0" w:beforeAutospacing="0" w:after="0" w:afterAutospacing="0" w:line="440" w:lineRule="exact"/>
              <w:jc w:val="both"/>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□书面     </w:t>
            </w: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bCs w:val="0"/>
                <w:color w:val="auto"/>
                <w:sz w:val="24"/>
                <w:szCs w:val="24"/>
                <w:highlight w:val="none"/>
              </w:rPr>
              <w:t>数据电文</w:t>
            </w:r>
          </w:p>
        </w:tc>
      </w:tr>
      <w:tr w14:paraId="00F8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24B12CC5">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25.1</w:t>
            </w:r>
          </w:p>
        </w:tc>
        <w:tc>
          <w:tcPr>
            <w:tcW w:w="2184" w:type="dxa"/>
            <w:vAlign w:val="center"/>
          </w:tcPr>
          <w:p w14:paraId="491321A5">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告知招标结果的形式</w:t>
            </w:r>
          </w:p>
        </w:tc>
        <w:tc>
          <w:tcPr>
            <w:tcW w:w="6149" w:type="dxa"/>
            <w:vAlign w:val="center"/>
          </w:tcPr>
          <w:p w14:paraId="32B3F718">
            <w:pPr>
              <w:spacing w:line="440" w:lineRule="exac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sym w:font="Wingdings" w:char="00FE"/>
            </w:r>
            <w:r>
              <w:rPr>
                <w:rFonts w:hint="eastAsia" w:ascii="宋体" w:hAnsi="宋体" w:eastAsia="宋体" w:cs="宋体"/>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宋体" w:hAnsi="宋体" w:eastAsia="宋体" w:cs="宋体"/>
                <w:color w:val="auto"/>
                <w:kern w:val="0"/>
                <w:sz w:val="24"/>
                <w:szCs w:val="24"/>
                <w:highlight w:val="none"/>
              </w:rPr>
              <w:t>系统查看</w:t>
            </w:r>
          </w:p>
          <w:p w14:paraId="597F0602">
            <w:pPr>
              <w:pStyle w:val="48"/>
              <w:widowControl w:val="0"/>
              <w:spacing w:before="0" w:beforeAutospacing="0" w:after="0" w:afterAutospacing="0" w:line="440" w:lineRule="exact"/>
              <w:jc w:val="both"/>
              <w:rPr>
                <w:rFonts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□评标现场告知</w:t>
            </w:r>
          </w:p>
        </w:tc>
      </w:tr>
      <w:tr w14:paraId="258E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2A050D7">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26.1</w:t>
            </w:r>
          </w:p>
        </w:tc>
        <w:tc>
          <w:tcPr>
            <w:tcW w:w="2184" w:type="dxa"/>
            <w:vAlign w:val="center"/>
          </w:tcPr>
          <w:p w14:paraId="6296DE24">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6149" w:type="dxa"/>
          </w:tcPr>
          <w:p w14:paraId="6904EC7D">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（1）金额：</w:t>
            </w:r>
          </w:p>
          <w:p w14:paraId="024D7284">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☑免收</w:t>
            </w:r>
          </w:p>
          <w:p w14:paraId="7EB03AD0">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□合同价的</w:t>
            </w:r>
            <w:r>
              <w:rPr>
                <w:rFonts w:hint="eastAsia" w:ascii="宋体" w:hAnsi="宋体" w:eastAsia="宋体" w:cs="宋体"/>
                <w:bCs/>
                <w:color w:val="auto"/>
                <w:sz w:val="24"/>
                <w:highlight w:val="none"/>
                <w:u w:val="single"/>
              </w:rPr>
              <w:t>/</w:t>
            </w:r>
            <w:r>
              <w:rPr>
                <w:rFonts w:hint="eastAsia" w:ascii="宋体" w:hAnsi="宋体" w:eastAsia="宋体" w:cs="宋体"/>
                <w:bCs/>
                <w:color w:val="auto"/>
                <w:kern w:val="0"/>
                <w:sz w:val="24"/>
                <w:szCs w:val="28"/>
                <w:highlight w:val="none"/>
              </w:rPr>
              <w:t>%</w:t>
            </w:r>
          </w:p>
          <w:p w14:paraId="12E62F19">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□定额收取：人民币</w:t>
            </w:r>
            <w:r>
              <w:rPr>
                <w:rFonts w:hint="eastAsia" w:ascii="宋体" w:hAnsi="宋体" w:eastAsia="宋体" w:cs="宋体"/>
                <w:bCs/>
                <w:color w:val="auto"/>
                <w:sz w:val="24"/>
                <w:highlight w:val="none"/>
                <w:u w:val="single"/>
              </w:rPr>
              <w:t>/</w:t>
            </w:r>
            <w:r>
              <w:rPr>
                <w:rFonts w:hint="eastAsia" w:ascii="宋体" w:hAnsi="宋体" w:eastAsia="宋体" w:cs="宋体"/>
                <w:bCs/>
                <w:color w:val="auto"/>
                <w:kern w:val="0"/>
                <w:sz w:val="24"/>
                <w:szCs w:val="28"/>
                <w:highlight w:val="none"/>
              </w:rPr>
              <w:t>元</w:t>
            </w:r>
          </w:p>
          <w:p w14:paraId="68A29D24">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（2）支付方式：</w:t>
            </w:r>
          </w:p>
          <w:p w14:paraId="5AEAB55F">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转账/电汇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支票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汇票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本票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保险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保函</w:t>
            </w:r>
          </w:p>
          <w:p w14:paraId="56D3DB76">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（3）收取单位：</w:t>
            </w:r>
            <w:r>
              <w:rPr>
                <w:rFonts w:hint="eastAsia" w:ascii="宋体" w:hAnsi="宋体" w:eastAsia="宋体" w:cs="宋体"/>
                <w:bCs/>
                <w:color w:val="auto"/>
                <w:sz w:val="24"/>
                <w:highlight w:val="none"/>
                <w:u w:val="single"/>
              </w:rPr>
              <w:t>/</w:t>
            </w:r>
            <w:r>
              <w:rPr>
                <w:rFonts w:hint="eastAsia" w:ascii="宋体" w:hAnsi="宋体" w:eastAsia="宋体" w:cs="宋体"/>
                <w:bCs/>
                <w:color w:val="auto"/>
                <w:kern w:val="0"/>
                <w:sz w:val="24"/>
                <w:szCs w:val="28"/>
                <w:highlight w:val="none"/>
              </w:rPr>
              <w:t xml:space="preserve">              </w:t>
            </w:r>
          </w:p>
          <w:p w14:paraId="499FE327">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（4）收取账号：</w:t>
            </w:r>
            <w:r>
              <w:rPr>
                <w:rFonts w:hint="eastAsia" w:ascii="宋体" w:hAnsi="宋体" w:eastAsia="宋体" w:cs="宋体"/>
                <w:bCs/>
                <w:color w:val="auto"/>
                <w:sz w:val="24"/>
                <w:highlight w:val="none"/>
                <w:u w:val="single"/>
              </w:rPr>
              <w:t>/</w:t>
            </w:r>
          </w:p>
          <w:p w14:paraId="77162E66">
            <w:pPr>
              <w:spacing w:line="440" w:lineRule="exact"/>
              <w:rPr>
                <w:rFonts w:ascii="宋体" w:hAnsi="宋体" w:eastAsia="宋体" w:cs="宋体"/>
                <w:color w:val="auto"/>
                <w:sz w:val="24"/>
                <w:highlight w:val="none"/>
              </w:rPr>
            </w:pPr>
            <w:r>
              <w:rPr>
                <w:rFonts w:hint="eastAsia" w:ascii="宋体" w:hAnsi="宋体" w:eastAsia="宋体" w:cs="宋体"/>
                <w:bCs/>
                <w:color w:val="auto"/>
                <w:kern w:val="0"/>
                <w:sz w:val="24"/>
                <w:szCs w:val="28"/>
                <w:highlight w:val="none"/>
              </w:rPr>
              <w:t>（5）</w:t>
            </w:r>
            <w:r>
              <w:rPr>
                <w:rFonts w:hint="eastAsia" w:ascii="宋体" w:hAnsi="宋体" w:eastAsia="宋体" w:cs="宋体"/>
                <w:color w:val="auto"/>
                <w:sz w:val="24"/>
                <w:highlight w:val="none"/>
              </w:rPr>
              <w:t>退还时间：</w:t>
            </w:r>
            <w:r>
              <w:rPr>
                <w:rFonts w:hint="eastAsia" w:ascii="宋体" w:hAnsi="宋体" w:eastAsia="宋体" w:cs="宋体"/>
                <w:bCs/>
                <w:color w:val="auto"/>
                <w:sz w:val="24"/>
                <w:highlight w:val="none"/>
                <w:u w:val="single"/>
              </w:rPr>
              <w:t>/</w:t>
            </w:r>
          </w:p>
          <w:p w14:paraId="79C04811">
            <w:pPr>
              <w:spacing w:line="440" w:lineRule="exac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32F8DD94">
            <w:pPr>
              <w:spacing w:line="440" w:lineRule="exac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（1）以上各类机构出具的以担保函、保证保险承担责任的方式均须满足无条件见索即付条件。</w:t>
            </w:r>
          </w:p>
          <w:p w14:paraId="29437D81">
            <w:pPr>
              <w:spacing w:line="440" w:lineRule="exac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（2）以担保函、保证保险形式缴纳履约保证金的，受益人和收取单位须为采购人。</w:t>
            </w:r>
          </w:p>
        </w:tc>
      </w:tr>
      <w:tr w14:paraId="603E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5B69F0F7">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27.1</w:t>
            </w:r>
          </w:p>
        </w:tc>
        <w:tc>
          <w:tcPr>
            <w:tcW w:w="2184" w:type="dxa"/>
            <w:vAlign w:val="center"/>
          </w:tcPr>
          <w:p w14:paraId="0792A2F1">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签订合同和合同公告时间</w:t>
            </w:r>
          </w:p>
        </w:tc>
        <w:tc>
          <w:tcPr>
            <w:tcW w:w="6149" w:type="dxa"/>
          </w:tcPr>
          <w:p w14:paraId="7A873307">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68276341">
            <w:pPr>
              <w:adjustRightInd w:val="0"/>
              <w:snapToGrid w:val="0"/>
              <w:spacing w:line="440" w:lineRule="exact"/>
              <w:rPr>
                <w:rFonts w:ascii="宋体" w:hAnsi="宋体" w:eastAsia="宋体" w:cs="宋体"/>
                <w:b/>
                <w:bCs/>
                <w:color w:val="auto"/>
                <w:kern w:val="0"/>
                <w:sz w:val="24"/>
                <w:szCs w:val="24"/>
                <w:highlight w:val="none"/>
              </w:rPr>
            </w:pPr>
            <w:r>
              <w:rPr>
                <w:rFonts w:hint="eastAsia"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和滁州市公共资源交易中心网发布政府采购合同变更公告，但涉及国家秘密、商业秘密的信息和其他依法不得公开的信息除外。</w:t>
            </w:r>
          </w:p>
        </w:tc>
      </w:tr>
      <w:tr w14:paraId="28A7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2369018E">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28.1</w:t>
            </w:r>
          </w:p>
        </w:tc>
        <w:tc>
          <w:tcPr>
            <w:tcW w:w="2184" w:type="dxa"/>
            <w:vAlign w:val="center"/>
          </w:tcPr>
          <w:p w14:paraId="75FC5F8D">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代理费用</w:t>
            </w:r>
          </w:p>
        </w:tc>
        <w:tc>
          <w:tcPr>
            <w:tcW w:w="6149" w:type="dxa"/>
            <w:vAlign w:val="center"/>
          </w:tcPr>
          <w:p w14:paraId="71F5D617">
            <w:pPr>
              <w:spacing w:before="39" w:line="440" w:lineRule="exact"/>
              <w:rPr>
                <w:rFonts w:ascii="宋体" w:hAnsi="宋体" w:eastAsia="宋体" w:cs="宋体"/>
                <w:color w:val="auto"/>
                <w:sz w:val="24"/>
                <w:szCs w:val="24"/>
                <w:highlight w:val="none"/>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中标人</w:t>
            </w:r>
          </w:p>
          <w:p w14:paraId="39B7F12C">
            <w:pPr>
              <w:spacing w:before="24" w:line="440" w:lineRule="exact"/>
              <w:rPr>
                <w:rFonts w:hint="eastAsia" w:ascii="宋体" w:hAnsi="宋体" w:eastAsia="宋体" w:cs="宋体"/>
                <w:bCs/>
                <w:color w:val="auto"/>
                <w:kern w:val="0"/>
                <w:sz w:val="24"/>
                <w:szCs w:val="28"/>
                <w:highlight w:val="none"/>
                <w:lang w:eastAsia="zh-CN"/>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银行转账</w:t>
            </w:r>
          </w:p>
          <w:p w14:paraId="06D73C38">
            <w:pPr>
              <w:pStyle w:val="48"/>
              <w:widowControl w:val="0"/>
              <w:spacing w:before="0" w:beforeAutospacing="0" w:after="0" w:afterAutospacing="0" w:line="440" w:lineRule="exact"/>
              <w:jc w:val="both"/>
              <w:rPr>
                <w:rFonts w:hint="eastAsia" w:ascii="宋体" w:hAnsi="宋体" w:eastAsia="宋体" w:cs="宋体"/>
                <w:b w:val="0"/>
                <w:color w:val="auto"/>
                <w:sz w:val="24"/>
                <w:highlight w:val="none"/>
                <w:lang w:eastAsia="zh-CN"/>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color w:val="auto"/>
                <w:sz w:val="24"/>
                <w:highlight w:val="none"/>
                <w:u w:val="single"/>
                <w:lang w:eastAsia="zh-CN"/>
              </w:rPr>
              <w:t>代理费服务费</w:t>
            </w:r>
            <w:r>
              <w:rPr>
                <w:rFonts w:hint="eastAsia" w:ascii="宋体" w:hAnsi="宋体" w:eastAsia="宋体" w:cs="宋体"/>
                <w:b w:val="0"/>
                <w:color w:val="auto"/>
                <w:sz w:val="24"/>
                <w:highlight w:val="none"/>
                <w:u w:val="single"/>
                <w:lang w:val="en-US" w:eastAsia="zh-CN"/>
              </w:rPr>
              <w:t>4500元。参考《关于进一步明确代理费计取标准的通知》（滁公管综〔2023〕19号）标准</w:t>
            </w:r>
            <w:r>
              <w:rPr>
                <w:rFonts w:hint="eastAsia" w:ascii="宋体" w:hAnsi="宋体" w:eastAsia="宋体" w:cs="宋体"/>
                <w:b w:val="0"/>
                <w:bCs w:val="0"/>
                <w:color w:val="auto"/>
                <w:kern w:val="2"/>
                <w:sz w:val="24"/>
                <w:szCs w:val="24"/>
                <w:highlight w:val="none"/>
                <w:u w:val="single"/>
                <w:lang w:eastAsia="zh-CN"/>
              </w:rPr>
              <w:t>。</w:t>
            </w:r>
          </w:p>
        </w:tc>
      </w:tr>
      <w:tr w14:paraId="60D2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1C86062A">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31.3</w:t>
            </w:r>
          </w:p>
        </w:tc>
        <w:tc>
          <w:tcPr>
            <w:tcW w:w="2184" w:type="dxa"/>
            <w:vAlign w:val="center"/>
          </w:tcPr>
          <w:p w14:paraId="20688143">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质疑函递交方式、接收部门、联系电话和通讯地址</w:t>
            </w:r>
          </w:p>
        </w:tc>
        <w:tc>
          <w:tcPr>
            <w:tcW w:w="6149" w:type="dxa"/>
            <w:vAlign w:val="center"/>
          </w:tcPr>
          <w:p w14:paraId="04B76C40">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递交方式：</w:t>
            </w:r>
            <w:r>
              <w:rPr>
                <w:rFonts w:hint="eastAsia" w:ascii="宋体" w:hAnsi="宋体" w:eastAsia="宋体" w:cs="宋体"/>
                <w:b w:val="0"/>
                <w:color w:val="auto"/>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35B2D117">
            <w:pPr>
              <w:pStyle w:val="48"/>
              <w:widowControl w:val="0"/>
              <w:spacing w:before="0" w:beforeAutospacing="0" w:after="0" w:afterAutospacing="0" w:line="440" w:lineRule="exact"/>
              <w:jc w:val="both"/>
              <w:rPr>
                <w:rFonts w:ascii="宋体" w:hAnsi="宋体" w:eastAsia="宋体" w:cs="宋体"/>
                <w:b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color w:val="auto"/>
                <w:sz w:val="24"/>
                <w:highlight w:val="none"/>
                <w:u w:val="single"/>
                <w:lang w:eastAsia="zh-CN"/>
              </w:rPr>
              <w:t>滁州市公路管理服务中心</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val="en-US" w:eastAsia="zh-CN"/>
              </w:rPr>
              <w:t>滁州市城投工程咨询管理有限公司</w:t>
            </w:r>
          </w:p>
          <w:p w14:paraId="79416B34">
            <w:pPr>
              <w:pStyle w:val="48"/>
              <w:widowControl w:val="0"/>
              <w:spacing w:before="0" w:beforeAutospacing="0" w:after="0" w:afterAutospacing="0" w:line="440" w:lineRule="exact"/>
              <w:jc w:val="both"/>
              <w:rPr>
                <w:rFonts w:hint="eastAsia" w:ascii="宋体" w:hAnsi="宋体" w:eastAsia="宋体" w:cs="宋体"/>
                <w:b w:val="0"/>
                <w:color w:val="auto"/>
                <w:sz w:val="24"/>
                <w:szCs w:val="18"/>
                <w:highlight w:val="none"/>
                <w:lang w:eastAsia="zh-CN"/>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lang w:val="en-US" w:eastAsia="zh-CN"/>
              </w:rPr>
              <w:t>0550-3218735</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eastAsia="zh-CN"/>
              </w:rPr>
              <w:t>0550-3519516、18712012204</w:t>
            </w:r>
          </w:p>
          <w:p w14:paraId="72B03083">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lang w:eastAsia="zh-CN"/>
              </w:rPr>
              <w:t>滁州市龙蟠大道200号</w:t>
            </w:r>
            <w:r>
              <w:rPr>
                <w:rFonts w:hint="eastAsia" w:ascii="宋体" w:hAnsi="宋体" w:eastAsia="宋体" w:cs="宋体"/>
                <w:b w:val="0"/>
                <w:color w:val="auto"/>
                <w:sz w:val="24"/>
                <w:highlight w:val="none"/>
                <w:u w:val="single"/>
                <w:lang w:val="en-US" w:eastAsia="zh-CN"/>
              </w:rPr>
              <w:t>、滁州市龙蟠大道109号房产商务大厦6楼</w:t>
            </w:r>
          </w:p>
        </w:tc>
      </w:tr>
      <w:tr w14:paraId="4BAD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49808648">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33</w:t>
            </w:r>
          </w:p>
        </w:tc>
        <w:tc>
          <w:tcPr>
            <w:tcW w:w="2184" w:type="dxa"/>
            <w:vAlign w:val="center"/>
          </w:tcPr>
          <w:p w14:paraId="73AEBD3C">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其他内容</w:t>
            </w:r>
          </w:p>
        </w:tc>
        <w:tc>
          <w:tcPr>
            <w:tcW w:w="6149" w:type="dxa"/>
            <w:vAlign w:val="center"/>
          </w:tcPr>
          <w:p w14:paraId="5F3CFAC1">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1、解释权：</w:t>
            </w:r>
          </w:p>
          <w:p w14:paraId="6334C080">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（1）构成本招标文件的各个组成文件应互为解释，互为说明；</w:t>
            </w:r>
          </w:p>
          <w:p w14:paraId="7BFC1367">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7D4D0C41">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2BEB3936">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（4）除招标文件中有特别规定外，仅适用于招标投标阶段的规定，按招标公告、投标邀请、投标人须知、评标方法和标准、投标文件格式的先后顺序解释；</w:t>
            </w:r>
          </w:p>
          <w:p w14:paraId="50C87920">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（5）按本款前述规定仍不能形成结论的，由采购人负责解释。</w:t>
            </w:r>
          </w:p>
          <w:p w14:paraId="55696D3D">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2、“政采贷”融资指引：有融资需求的</w:t>
            </w:r>
            <w:r>
              <w:rPr>
                <w:rFonts w:hint="eastAsia" w:ascii="宋体" w:hAnsi="宋体" w:eastAsia="宋体" w:cs="宋体"/>
                <w:color w:val="auto"/>
                <w:sz w:val="24"/>
                <w:szCs w:val="24"/>
                <w:highlight w:val="none"/>
              </w:rPr>
              <w:t>中标人</w:t>
            </w:r>
            <w:r>
              <w:rPr>
                <w:rFonts w:hint="eastAsia" w:ascii="宋体" w:hAnsi="宋体" w:eastAsia="宋体" w:cs="宋体"/>
                <w:bCs/>
                <w:color w:val="auto"/>
                <w:sz w:val="24"/>
                <w:szCs w:val="24"/>
                <w:highlight w:val="none"/>
              </w:rPr>
              <w:t>在取得政府采购中标或成交通知书后，可访问安徽省政府采购网“政采贷”栏目，查看和联系第三方平台或者金融机构，商洽融资事项，确定融资意向。中标人签署政府采购中标（成交）合同后，登录“徽采云”金融服务模块，选择意向产品进行申请，并填写相关信息，“徽采云”金融服务模块将中标人融资申请信息推送第三方平台、意向金融机构。</w:t>
            </w:r>
          </w:p>
          <w:p w14:paraId="06C06D8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3、电子保函指引：中标人可访问安徽省政府采购网“融资/保函”栏目，申请办理电子保函（包括：履约保函、预付款保函）。</w:t>
            </w:r>
          </w:p>
          <w:p w14:paraId="3B0101E8">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4、部分可提供线下政府采购合同融资的部分金融机构</w:t>
            </w:r>
          </w:p>
          <w:p w14:paraId="31785C3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26BC63C5">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7B30B2C6">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472E485">
            <w:pPr>
              <w:pStyle w:val="48"/>
              <w:widowControl w:val="0"/>
              <w:spacing w:before="0" w:beforeAutospacing="0" w:after="0" w:afterAutospacing="0" w:line="44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俞冉：18256950224</w:t>
            </w:r>
          </w:p>
          <w:p w14:paraId="120CBC32">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5、系统中提供的表格与招标文件中不一致时，以招标文件中提供的表格格式为准。</w:t>
            </w:r>
          </w:p>
          <w:p w14:paraId="52E43947">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6、特别提示：</w:t>
            </w:r>
          </w:p>
          <w:p w14:paraId="32A8BD8B">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51350179">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55527BAE">
            <w:pPr>
              <w:pStyle w:val="48"/>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4009980000。</w:t>
            </w:r>
          </w:p>
          <w:p w14:paraId="7111D05F">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7E632817">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5AFE62C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44F1AD29">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557B6D7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5A88F79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74B304C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031F20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0218C455">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7.评标过程中的澄清、说明或补正：</w:t>
            </w:r>
          </w:p>
          <w:p w14:paraId="7EFBB49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22C9CDD8">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267E21A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8.同义词语：</w:t>
            </w:r>
          </w:p>
          <w:p w14:paraId="0A975382">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68D6249A">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9.落实政府采购支持节能产品、环境标志产品政策。</w:t>
            </w:r>
          </w:p>
        </w:tc>
      </w:tr>
    </w:tbl>
    <w:p w14:paraId="3964F7EE">
      <w:pPr>
        <w:spacing w:line="440" w:lineRule="exact"/>
        <w:jc w:val="center"/>
        <w:outlineLvl w:val="1"/>
        <w:rPr>
          <w:rFonts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30" w:name="_Toc9427"/>
      <w:bookmarkStart w:id="31" w:name="_Toc24882"/>
      <w:bookmarkStart w:id="32" w:name="_Toc17269"/>
      <w:r>
        <w:rPr>
          <w:rFonts w:hint="eastAsia" w:ascii="宋体" w:hAnsi="宋体" w:eastAsia="宋体" w:cs="宋体"/>
          <w:b/>
          <w:color w:val="auto"/>
          <w:sz w:val="24"/>
          <w:highlight w:val="none"/>
        </w:rPr>
        <w:t>二、投标人须知正文</w:t>
      </w:r>
      <w:bookmarkEnd w:id="30"/>
      <w:bookmarkEnd w:id="31"/>
      <w:bookmarkEnd w:id="32"/>
    </w:p>
    <w:p w14:paraId="338B7651">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1.采购人、采购代理机构及投标人</w:t>
      </w:r>
    </w:p>
    <w:p w14:paraId="32C1E76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1.1采购人：是指依法开展政府采购活动的国家机关、事业单位、团体组织。</w:t>
      </w:r>
    </w:p>
    <w:p w14:paraId="5ADCA9B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1.2采购代理机构：是指集中采购机构或从事采购代理业务的社会中介机构。</w:t>
      </w:r>
    </w:p>
    <w:p w14:paraId="7B26B3E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1.3政府采购监督管理部门：各级人民政府指定的有关部门依法履行与政府采购活动有关的监督管理职责。</w:t>
      </w:r>
    </w:p>
    <w:p w14:paraId="4C90E24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1.4投标人：是指向采购人提供货物、工程或者服务的法人、其他组织或者自然人。分支机构不得参加政府采购活动，但银行、保险、石油石化、电力、电信等特殊行业除外。本项目的投标人须满足以下条件：</w:t>
      </w:r>
    </w:p>
    <w:p w14:paraId="6C1E2A7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1.4.1具备《中华人民共和国政府采购法》第二十二条关于供应商条件的规定，遵守本项目采购人本级和上级财政部门政府采购的有关规定。</w:t>
      </w:r>
    </w:p>
    <w:p w14:paraId="7179065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1.4.2以采购代理机构认可的方式获得本项目的招标文件。</w:t>
      </w:r>
    </w:p>
    <w:p w14:paraId="624F1D1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1.4.3若采购需求中写明允许采购进口产品，投标人应保证所投产品可履行合法报通关手续进入中国关境内。</w:t>
      </w:r>
    </w:p>
    <w:p w14:paraId="0F0927F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若采购需求中未写明允许采购进口产品，如投标人所投产品为进口产品，其投标将被认定为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5E8CE8F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1.5若招标公告中允许联合体投标，对联合体规定如下：</w:t>
      </w:r>
    </w:p>
    <w:p w14:paraId="493C54BF">
      <w:pPr>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1.5.1两个以上供应商可以组成一个投标联合体，以一个投标人的身份投标。联合体投标的，招标文件获取手续由联合体中任一成员单位办理均可。</w:t>
      </w:r>
    </w:p>
    <w:p w14:paraId="6E9AC19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1.5.2联合体各方均应符合《中华人民共和国政府采购法》第二十二条规定的条件。</w:t>
      </w:r>
    </w:p>
    <w:p w14:paraId="002896F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1.5.3采购人根据采购项目对投标人的特殊要求，联合体中至少应当有一方符合相关规定。</w:t>
      </w:r>
    </w:p>
    <w:p w14:paraId="525752D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1.5.4联合体各方应签订联合协议，明确约定联合体各方承担的工作和相应的责任，并将联合协议作为投标文件的一部分提交。</w:t>
      </w:r>
    </w:p>
    <w:p w14:paraId="2449C45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1.5.5大中型企业、其他自然人、法人或者非法人组织与小型、微型企业组成联合体共同参加投标，联合协议中应写明小型、微型企业的协议合同金额占到联合协议投标总金额的比例。</w:t>
      </w:r>
    </w:p>
    <w:p w14:paraId="353456E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1.5.6联合体中有同类资质的供应商按照联合体分工承担相同工作的，应当按照资质等级较低的供应商确定资质等级。</w:t>
      </w:r>
    </w:p>
    <w:p w14:paraId="601C6D5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1.5.7以联合体形式参加政府采购活动的，联合体各方不得再单独参加或者与其他供应商另外组成联合体参加本项目投标，否则相关投标将被认定为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05D18E6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1.5.8对联合体投标的其他资格要求见申请人的资格要求。</w:t>
      </w:r>
    </w:p>
    <w:p w14:paraId="235456E0">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2.资金落实情况</w:t>
      </w:r>
    </w:p>
    <w:p w14:paraId="1682FCA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2.1本项目的采购人已获得足以支付本次招标后所签订的合同项下的资金。</w:t>
      </w:r>
    </w:p>
    <w:p w14:paraId="630B8219">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3.投标费用</w:t>
      </w:r>
    </w:p>
    <w:p w14:paraId="6926B74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不论投标的结果如何，投标人应承担所有与准备和参加投标有关的费用。</w:t>
      </w:r>
    </w:p>
    <w:p w14:paraId="60B42331">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4.适用法律</w:t>
      </w:r>
    </w:p>
    <w:p w14:paraId="254774F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本项目采购人、采购代理机构、投标人、评标委员会的相关行为均受《中华人民共和国政府采购法》、《中</w:t>
      </w:r>
      <w:r>
        <w:rPr>
          <w:rFonts w:hint="eastAsia" w:ascii="宋体" w:hAnsi="宋体" w:eastAsia="宋体" w:cs="宋体"/>
          <w:color w:val="auto"/>
          <w:sz w:val="24"/>
          <w:szCs w:val="22"/>
          <w:highlight w:val="none"/>
        </w:rPr>
        <w:t>华人民共和国政府采购法实施条例》及本项目本级和上级财政部门、政府采购监督管理部门的政府采购有关规定的约束，其权利受到上述法律法规的保护。</w:t>
      </w:r>
    </w:p>
    <w:p w14:paraId="63B2CA4A">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5.招标文件构成</w:t>
      </w:r>
    </w:p>
    <w:p w14:paraId="74A74CA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5.1招标文件包括下列内容：</w:t>
      </w:r>
    </w:p>
    <w:p w14:paraId="49161F41">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第一章  投标邀请</w:t>
      </w:r>
    </w:p>
    <w:p w14:paraId="49CD031B">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第二章  投标人须知</w:t>
      </w:r>
    </w:p>
    <w:p w14:paraId="19331F72">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6DC9F877">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第四章  评标方法和标准</w:t>
      </w:r>
    </w:p>
    <w:p w14:paraId="66C89BB4">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4CD404F1">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第六章  投标文件格式</w:t>
      </w:r>
    </w:p>
    <w:p w14:paraId="51FC4FD7">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第七章  政府采购询问函和质疑函范本</w:t>
      </w:r>
    </w:p>
    <w:p w14:paraId="0A42E58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5.2现场考察（</w:t>
      </w:r>
      <w:r>
        <w:rPr>
          <w:rFonts w:hint="eastAsia" w:ascii="宋体" w:hAnsi="宋体" w:eastAsia="宋体" w:cs="宋体"/>
          <w:bCs/>
          <w:color w:val="auto"/>
          <w:sz w:val="24"/>
          <w:szCs w:val="22"/>
          <w:highlight w:val="none"/>
        </w:rPr>
        <w:t>标前答疑会</w:t>
      </w:r>
      <w:r>
        <w:rPr>
          <w:rFonts w:hint="eastAsia" w:ascii="宋体" w:hAnsi="宋体" w:eastAsia="宋体" w:cs="宋体"/>
          <w:color w:val="auto"/>
          <w:sz w:val="24"/>
          <w:highlight w:val="none"/>
        </w:rPr>
        <w:t>）及相关事项见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3D33231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5.3投标人应认真阅读招标文件所有的事项、格式、条款和技术规范等。</w:t>
      </w:r>
    </w:p>
    <w:p w14:paraId="11ED7419">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6.招标文件的澄清与修改</w:t>
      </w:r>
    </w:p>
    <w:p w14:paraId="33915B0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6.1投标人如对招标文件内容有疑问，可在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规定的网上询问截止时间前提交给采购代理机构。</w:t>
      </w:r>
    </w:p>
    <w:p w14:paraId="3D2F2A6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6.2采购人可主动地或在答复投标人提出的询问时对招标文件进行澄清与修改。采购代理机构将在安徽省政府采购网和滁州市公共资源交易中心网以发布更正公告的方式，澄清或修改招标文件，更正公告的内容作为招标文件的组成部分，对投标人起约束作用。投标人应主动上网查询。采购代理机构不承担投标人未及时关注相关信息引发的相关责任。</w:t>
      </w:r>
    </w:p>
    <w:p w14:paraId="7130DDA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5D4F931">
      <w:pPr>
        <w:spacing w:line="440" w:lineRule="exact"/>
        <w:ind w:firstLine="435"/>
        <w:rPr>
          <w:rFonts w:ascii="宋体" w:hAnsi="宋体" w:eastAsia="宋体" w:cs="宋体"/>
          <w:i/>
          <w:iCs/>
          <w:color w:val="auto"/>
          <w:sz w:val="24"/>
          <w:highlight w:val="none"/>
        </w:rPr>
      </w:pPr>
      <w:r>
        <w:rPr>
          <w:rFonts w:hint="eastAsia" w:ascii="宋体" w:hAnsi="宋体" w:eastAsia="宋体" w:cs="宋体"/>
          <w:color w:val="auto"/>
          <w:sz w:val="24"/>
          <w:highlight w:val="none"/>
        </w:rPr>
        <w:t>6.4对于没有提出疑问又参与了本项目投标的投标人将被视为完全认同本招标文件（含更正公告的内容）</w:t>
      </w:r>
      <w:r>
        <w:rPr>
          <w:rFonts w:hint="eastAsia" w:ascii="宋体" w:hAnsi="宋体" w:eastAsia="宋体" w:cs="宋体"/>
          <w:i/>
          <w:color w:val="auto"/>
          <w:sz w:val="24"/>
          <w:highlight w:val="none"/>
        </w:rPr>
        <w:t>。</w:t>
      </w:r>
    </w:p>
    <w:p w14:paraId="176D5F01">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7.投标范围及投标文件中标准和计量单位的使用</w:t>
      </w:r>
    </w:p>
    <w:p w14:paraId="383704B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7.1项目有分包的，投标人可对招标文件其中某一个或几个分包进行投标，除非在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中另有规定。</w:t>
      </w:r>
    </w:p>
    <w:p w14:paraId="7A5D605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7.2投标人应当对所投分包招标文件中“采购需求”所列的所有内容进行投标，如仅响应所投包别中的部分内容，其所投包别的投标将被认定为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4DD705EC">
      <w:pPr>
        <w:spacing w:line="440" w:lineRule="exact"/>
        <w:ind w:firstLine="435"/>
        <w:rPr>
          <w:rFonts w:ascii="宋体" w:hAnsi="宋体" w:eastAsia="宋体" w:cs="宋体"/>
          <w:color w:val="auto"/>
          <w:sz w:val="24"/>
          <w:highlight w:val="none"/>
        </w:rPr>
      </w:pPr>
      <w:bookmarkStart w:id="33" w:name="_Hlk16458980"/>
      <w:r>
        <w:rPr>
          <w:rFonts w:hint="eastAsia" w:ascii="宋体" w:hAnsi="宋体" w:eastAsia="宋体" w:cs="宋体"/>
          <w:color w:val="auto"/>
          <w:sz w:val="24"/>
          <w:highlight w:val="none"/>
        </w:rPr>
        <w:t>7.3无论招标文件中是否要求，投标人所投货物、服务及工程（如有）均应符合国家强制性标准。</w:t>
      </w:r>
    </w:p>
    <w:bookmarkEnd w:id="33"/>
    <w:p w14:paraId="16C4B78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63E285B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7.5除招标文件中有特殊要求外，投标文件中所使用的计量单位，应采用中华人民共和国法定计量单位。</w:t>
      </w:r>
    </w:p>
    <w:p w14:paraId="23AD8F3D">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8.投标文件构成</w:t>
      </w:r>
    </w:p>
    <w:p w14:paraId="3B4E479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8.1投标人应完整地按招标文件提供的投标文件格式及要求编写投标文件，具体内容详见本项目投标文件格式的相关内容。</w:t>
      </w:r>
    </w:p>
    <w:p w14:paraId="02BA817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8.2投标人应提交招标文件要求的证明文件，证明其投标内容符合招标文件规定，该证明文件是投标文件的一部分。证明文件形式可以是文字资料、图纸和数据</w:t>
      </w:r>
      <w:bookmarkStart w:id="34" w:name="_Hlk11703583"/>
      <w:r>
        <w:rPr>
          <w:rFonts w:hint="eastAsia" w:ascii="宋体" w:hAnsi="宋体" w:eastAsia="宋体" w:cs="宋体"/>
          <w:color w:val="auto"/>
          <w:sz w:val="24"/>
          <w:highlight w:val="none"/>
        </w:rPr>
        <w:t>等。</w:t>
      </w:r>
    </w:p>
    <w:bookmarkEnd w:id="34"/>
    <w:p w14:paraId="24AB7FB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8.3为保证公平公正，除非另有规定或说明，投标人对同一项目投标时，不得同时提供备选投标方案。</w:t>
      </w:r>
    </w:p>
    <w:p w14:paraId="43E19DEE">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9.投标报价</w:t>
      </w:r>
    </w:p>
    <w:p w14:paraId="08187F8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.1投标人的报价应当包括满足本次招标全部采购需求。除招标文件另有规定外，所有投标均应以人民币报价。投标人的投标报价应遵守《中华人民共和国价格法》。</w:t>
      </w:r>
    </w:p>
    <w:p w14:paraId="13F1A0E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9.2投标人报价超过招标文件规定的预算金额或者分项、分包最高限价，其投标将被认定为</w:t>
      </w:r>
      <w:r>
        <w:rPr>
          <w:rFonts w:hint="eastAsia" w:ascii="宋体" w:hAnsi="宋体" w:eastAsia="宋体" w:cs="宋体"/>
          <w:b/>
          <w:bCs/>
          <w:color w:val="auto"/>
          <w:sz w:val="24"/>
          <w:highlight w:val="none"/>
        </w:rPr>
        <w:t>投标无效</w:t>
      </w:r>
      <w:r>
        <w:rPr>
          <w:rFonts w:hint="eastAsia" w:ascii="宋体" w:hAnsi="宋体" w:eastAsia="宋体" w:cs="宋体"/>
          <w:color w:val="auto"/>
          <w:sz w:val="24"/>
          <w:highlight w:val="none"/>
        </w:rPr>
        <w:t>。</w:t>
      </w:r>
    </w:p>
    <w:p w14:paraId="2E16669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9.3投标报价在合同履行过程中是固定不变的，不得以任何理由予以变更。任何包含价格调整要求的投标，其投标将被认定为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4CF4225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9.4采购人不接受具有附加条件的报价。</w:t>
      </w:r>
    </w:p>
    <w:p w14:paraId="745EADDB">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10.投标保证金</w:t>
      </w:r>
    </w:p>
    <w:p w14:paraId="7A81839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10.1本项目不收取投标保证金。</w:t>
      </w:r>
    </w:p>
    <w:p w14:paraId="284E0D38">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11.投标有效期</w:t>
      </w:r>
    </w:p>
    <w:p w14:paraId="00119C0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11.1投标有效期为从投标截止之日算起的日历天数，投标有效期详见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06DAA80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11.2在投标有效期内，投标人的投标保持有效，投标人不得要求撤销或修改其投标文件。投标有效期不满足要求的投标，其投标将被认定为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6087FAB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EDB4757">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12.投标文件的递交、修改与撤回</w:t>
      </w:r>
    </w:p>
    <w:p w14:paraId="4E80109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12.1投标人应当在招标公告规定的投标截止时间前，将加密的投标文件在电子交易系统上传。</w:t>
      </w:r>
    </w:p>
    <w:p w14:paraId="3D4026B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0B157C0">
      <w:pPr>
        <w:spacing w:line="440" w:lineRule="exact"/>
        <w:ind w:firstLine="435"/>
        <w:rPr>
          <w:rFonts w:ascii="宋体" w:hAnsi="宋体" w:eastAsia="宋体" w:cs="宋体"/>
          <w:b/>
          <w:color w:val="auto"/>
          <w:sz w:val="24"/>
          <w:highlight w:val="none"/>
        </w:rPr>
      </w:pPr>
      <w:r>
        <w:rPr>
          <w:rFonts w:hint="eastAsia" w:ascii="宋体" w:hAnsi="宋体" w:eastAsia="宋体" w:cs="宋体"/>
          <w:b/>
          <w:color w:val="auto"/>
          <w:sz w:val="24"/>
          <w:highlight w:val="none"/>
        </w:rPr>
        <w:t>13.开标</w:t>
      </w:r>
    </w:p>
    <w:p w14:paraId="15BCA2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668ECD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6A71B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5A1280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1996FD80">
      <w:pPr>
        <w:spacing w:line="440" w:lineRule="exact"/>
        <w:ind w:firstLine="435"/>
        <w:rPr>
          <w:rFonts w:ascii="宋体" w:hAnsi="宋体" w:eastAsia="宋体" w:cs="宋体"/>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r>
        <w:rPr>
          <w:rFonts w:hint="eastAsia" w:ascii="宋体" w:hAnsi="宋体" w:eastAsia="宋体" w:cs="宋体"/>
          <w:color w:val="auto"/>
          <w:sz w:val="24"/>
          <w:highlight w:val="none"/>
        </w:rPr>
        <w:t>。</w:t>
      </w:r>
    </w:p>
    <w:p w14:paraId="199FE5D3">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14.资格审查及组建评标委员会</w:t>
      </w:r>
    </w:p>
    <w:p w14:paraId="39B87BC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14.1采购人或采购代理机构依据法律法规和招标文件中规定的内容，对投标人资格进行审查，未通过资格审查的投标人不进入评标。</w:t>
      </w:r>
    </w:p>
    <w:p w14:paraId="1014024F">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cs="宋体"/>
          <w:color w:val="auto"/>
          <w:sz w:val="24"/>
          <w:szCs w:val="24"/>
          <w:highlight w:val="none"/>
        </w:rPr>
      </w:pPr>
      <w:bookmarkStart w:id="3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34B600DF">
      <w:pPr>
        <w:spacing w:line="44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2E48A82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5"/>
    <w:p w14:paraId="4DEDF7A4">
      <w:pPr>
        <w:spacing w:line="440" w:lineRule="exact"/>
        <w:ind w:firstLine="435"/>
        <w:rPr>
          <w:rFonts w:ascii="宋体" w:hAnsi="宋体" w:eastAsia="宋体" w:cs="宋体"/>
          <w:b/>
          <w:color w:val="auto"/>
          <w:sz w:val="24"/>
          <w:highlight w:val="none"/>
        </w:rPr>
      </w:pPr>
      <w:r>
        <w:rPr>
          <w:rFonts w:hint="eastAsia" w:ascii="宋体" w:hAnsi="宋体" w:eastAsia="宋体" w:cs="宋体"/>
          <w:color w:val="auto"/>
          <w:sz w:val="24"/>
          <w:highlight w:val="none"/>
        </w:rPr>
        <w:t>14.3按照《中华人民共和国政府采购法》、《中华人民共和国政府采购法实施条例》及本项目本级和上级财政部门、政府采购监督管理部门的有关规定依法组建的评标委员会，负责本项目评标工作。</w:t>
      </w:r>
    </w:p>
    <w:p w14:paraId="4836BB3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15.投标文件符合性审查与澄清</w:t>
      </w:r>
    </w:p>
    <w:p w14:paraId="4F34202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15.1符合性审查是指依据招标文件的规定，从投标文件的有效性和完整性对招标文件的响应程度进行审查，以确定是否对招标文件的实质性要求做出响应。</w:t>
      </w:r>
    </w:p>
    <w:p w14:paraId="08FFC55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15.2投标文件的澄清</w:t>
      </w:r>
    </w:p>
    <w:p w14:paraId="4543192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220140E4">
      <w:pPr>
        <w:spacing w:line="440" w:lineRule="exact"/>
        <w:ind w:firstLine="435"/>
        <w:rPr>
          <w:rFonts w:ascii="宋体" w:hAnsi="宋体" w:eastAsia="宋体" w:cs="宋体"/>
          <w:b/>
          <w:bCs/>
          <w:color w:val="auto"/>
          <w:sz w:val="24"/>
          <w:highlight w:val="none"/>
        </w:rPr>
      </w:pPr>
      <w:r>
        <w:rPr>
          <w:rFonts w:hint="eastAsia" w:ascii="宋体" w:hAnsi="宋体" w:eastAsia="宋体" w:cs="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r>
        <w:rPr>
          <w:rFonts w:hint="eastAsia" w:ascii="宋体" w:hAnsi="宋体" w:eastAsia="宋体" w:cs="宋体"/>
          <w:b/>
          <w:bCs/>
          <w:color w:val="auto"/>
          <w:sz w:val="24"/>
          <w:highlight w:val="none"/>
        </w:rPr>
        <w:t>本项目采用远程开标，具体操作方法详见服务指南&gt;交易须知&gt;开标大厅远程解密、质疑(异议)及回复以及评标过程中询标流程操作手册。</w:t>
      </w:r>
    </w:p>
    <w:p w14:paraId="5FE6A57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15.2.2投标人的澄清、说明或补正将作为投标文件的一部分。</w:t>
      </w:r>
    </w:p>
    <w:p w14:paraId="65737D4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15.2.3评标委员会对投标人提交的澄清、说明或补正有疑问的，可以要求投标人进一步澄清、说明或补正，直至满足评标委员会的要求。</w:t>
      </w:r>
    </w:p>
    <w:p w14:paraId="4FC8819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15.3投标文件报价出现前后不一致的，按照下列规定修正：</w:t>
      </w:r>
    </w:p>
    <w:p w14:paraId="4643C11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（1）投标文件中开标一览表内容与投标文件中相应内容不一致的，以开标一览表为准；</w:t>
      </w:r>
    </w:p>
    <w:p w14:paraId="38157B3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（2）大写金额和小写金额不一致的，以大写金额为准；</w:t>
      </w:r>
    </w:p>
    <w:p w14:paraId="0B2944E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（3）单价金额小数点或者百分比有明显错位的，以开标一览表的总价为准，并修改单价；</w:t>
      </w:r>
    </w:p>
    <w:p w14:paraId="3772776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（4）总价金额与按单价汇总金额不一致的，以单价金额计算结果为准。</w:t>
      </w:r>
    </w:p>
    <w:p w14:paraId="25862DC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修正后的报价按照第15.3条的规定经投标人确认后产生约束力，无论投标人是接受或是拒绝调整后的价格，都应当由投标人在系统中确认。投标人拒绝对投标文件出现的错漏按上述原则进行修正、澄清、说明，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74562C80">
      <w:pPr>
        <w:spacing w:line="440" w:lineRule="exact"/>
        <w:ind w:firstLine="435"/>
        <w:rPr>
          <w:rFonts w:ascii="宋体" w:hAnsi="宋体" w:eastAsia="宋体" w:cs="宋体"/>
          <w:b/>
          <w:color w:val="auto"/>
          <w:sz w:val="24"/>
          <w:highlight w:val="none"/>
        </w:rPr>
      </w:pPr>
      <w:r>
        <w:rPr>
          <w:rFonts w:hint="eastAsia" w:ascii="宋体" w:hAnsi="宋体" w:eastAsia="宋体" w:cs="宋体"/>
          <w:color w:val="auto"/>
          <w:sz w:val="24"/>
          <w:highlight w:val="none"/>
        </w:rPr>
        <w:t>对不同文字文本投标文件的解释发生异议的，以中文文本为准。</w:t>
      </w:r>
    </w:p>
    <w:p w14:paraId="31A2167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16.投标无效</w:t>
      </w:r>
    </w:p>
    <w:p w14:paraId="2AC2096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16.1根据本招标文件的规定，评标委员会要审查每份投标文件是否实质上响应了招标文件的要求。投标人不得通过修正或撤销不符合要求的偏离，从而使其投标成为实质上响应的投标。</w:t>
      </w:r>
    </w:p>
    <w:p w14:paraId="36E3A6B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评标委员会决定投标的响应性只根据招标文件要求和投标文件内容。</w:t>
      </w:r>
    </w:p>
    <w:p w14:paraId="3158A42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无论何种原因，即使投标人投标时携带了证书材料的原件，但投标文件中未提供与之内容完全一致的扫描件的，评标委员会视同其未提供。</w:t>
      </w:r>
    </w:p>
    <w:p w14:paraId="13E4642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16.2如发现下列情况之一的，其投标将被认定为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5A834B9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（1）投标文件未按照招标文件规定要求签署、盖章的；</w:t>
      </w:r>
    </w:p>
    <w:p w14:paraId="796F58F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（2）不具备招标文件中规定的资格要求的；</w:t>
      </w:r>
    </w:p>
    <w:p w14:paraId="1E5D031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（3）报价超过招标文件中规定的预算金额或者最高限价的；</w:t>
      </w:r>
    </w:p>
    <w:p w14:paraId="229F262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（4）投标文件含有采购人不能接受的附加条件的；</w:t>
      </w:r>
    </w:p>
    <w:p w14:paraId="4181185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（5）法律、法规和招标文件规定的其他无效情形。</w:t>
      </w:r>
    </w:p>
    <w:p w14:paraId="67001D82">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17.比较与评价</w:t>
      </w:r>
    </w:p>
    <w:p w14:paraId="32A9F4D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17.1经符合性审查合格的投标文件，评标委员会将根据招标文件确定的评标方法和标准，对其投标文件作进一步的比较与评价。</w:t>
      </w:r>
    </w:p>
    <w:p w14:paraId="37B2413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17.2评标严格按照招标文件的要求和条件进行。根据实际情况，在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中规定采用下列一种评标方法，详细评标方法和标准见招标文件第四章：</w:t>
      </w:r>
    </w:p>
    <w:p w14:paraId="330E23C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（1）最低评标价法，是指投标文件满足招标文件全部实质性要求，且投标报价最低的投标人为中标候选人的评标方法。</w:t>
      </w:r>
    </w:p>
    <w:p w14:paraId="60D7B86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（2）综合评分法，是指投标文件满足招标文件全部实质性要求，且按照评审因素的量化指标评审得分最高的投标人为中标候选人的评标方法。</w:t>
      </w:r>
    </w:p>
    <w:p w14:paraId="228D6DF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17.3根据《政府采购促进中小企业发展管理办法》（财库〔2020〕46号）、《三部门联合发布关于促进残疾人就业政府采购政策的通知》（财库〔2017〕141号）和《财政部 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中规定的标准扣除后的价格参与评审。对于同时属于小微企业、监狱企业或残疾人福利性单位的，不重复进行投标报价扣除。</w:t>
      </w:r>
    </w:p>
    <w:p w14:paraId="7E44D78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接受大中型企业与小微企业组成联合体或者允许大中型企业向一家或者多家小微企业分包的，对于联合协议或者分包意向协议约定小微企业的合同份额占到合同总金额30%以上的，可给予联合体或者大中型企业的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2C525EAD">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以联合体形式参加政府采购活动，联合体各方均为中小企业的，联合体视同中小企业。其中，联合体各方均为小微企业的，联合体视同小微企业。</w:t>
      </w:r>
    </w:p>
    <w:p w14:paraId="2AE40798">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0B07E56">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7C16DA80">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033463">
      <w:pPr>
        <w:spacing w:line="440" w:lineRule="exact"/>
        <w:ind w:firstLine="435"/>
        <w:rPr>
          <w:rFonts w:hint="eastAsia" w:ascii="宋体" w:hAnsi="宋体" w:eastAsia="宋体" w:cs="宋体"/>
          <w:color w:val="auto"/>
          <w:sz w:val="24"/>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F2EA63B">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18.废标、重新招标与变更采购方式</w:t>
      </w:r>
    </w:p>
    <w:p w14:paraId="56FA6F2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18.1出现下列情形之一，将导致项目废标：</w:t>
      </w:r>
    </w:p>
    <w:p w14:paraId="62C5F20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（1）符合专业条件的供应商或者对招标文件做实质性响应的供应商不足规定数量的；</w:t>
      </w:r>
    </w:p>
    <w:p w14:paraId="75A9A55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404FD28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（3）投标人的报价均超过了采购预算，采购人不能支付的；</w:t>
      </w:r>
    </w:p>
    <w:p w14:paraId="34B9A54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（4）因重大变故，采购任务取消的。</w:t>
      </w:r>
    </w:p>
    <w:p w14:paraId="5D42232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18.2公开招标数额标准以上的采购项目，投标截止后投标人不足3家或者通过资格审查或符合性审查的投标人不足3家的，除采购任务取消情形外，按照以下方式处理：</w:t>
      </w:r>
    </w:p>
    <w:p w14:paraId="0EE6C14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（1）招标文件存在不合理条款或者招标程序不符合规定的，采购人、采购代理机构改正后依法重新招标；</w:t>
      </w:r>
    </w:p>
    <w:p w14:paraId="5638102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宋体" w:hAnsi="宋体" w:eastAsia="宋体" w:cs="宋体"/>
          <w:color w:val="auto"/>
          <w:sz w:val="24"/>
          <w:highlight w:val="none"/>
        </w:rPr>
        <w:t>批准。</w:t>
      </w:r>
    </w:p>
    <w:p w14:paraId="24311326">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19.保密要求</w:t>
      </w:r>
    </w:p>
    <w:p w14:paraId="52E53AD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19.1评标将在严格保密的情况下进行。</w:t>
      </w:r>
    </w:p>
    <w:p w14:paraId="0691171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19.2有关人员应当遵守评标工作纪律，不得泄露评标文件、评标情况和评标中获悉的国家秘密、商业秘密。</w:t>
      </w:r>
    </w:p>
    <w:p w14:paraId="24FF33C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20.中标候选人的确定原则及标准</w:t>
      </w:r>
    </w:p>
    <w:p w14:paraId="26BD1B1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20.1评标委员会依据本项目招标文件所约定的评标方法，对实质上响应招标文件的投标人按下列方法进行排序，确定中标候选人：</w:t>
      </w:r>
    </w:p>
    <w:p w14:paraId="64A52F8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采取评标委员会随机抽取的方式确定中标候选顺序。</w:t>
      </w:r>
    </w:p>
    <w:p w14:paraId="5A3034C8">
      <w:pPr>
        <w:spacing w:line="440" w:lineRule="exact"/>
        <w:ind w:firstLine="435"/>
        <w:rPr>
          <w:rFonts w:ascii="宋体" w:hAnsi="宋体" w:eastAsia="宋体" w:cs="宋体"/>
          <w:color w:val="auto"/>
          <w:highlight w:val="none"/>
        </w:rPr>
      </w:pPr>
      <w:r>
        <w:rPr>
          <w:rFonts w:hint="eastAsia" w:ascii="宋体" w:hAnsi="宋体" w:eastAsia="宋体" w:cs="宋体"/>
          <w:color w:val="auto"/>
          <w:sz w:val="24"/>
          <w:highlight w:val="none"/>
        </w:rPr>
        <w:t>（2）采用综合评分法的，评标结果按评审后得分由高到低顺序排列。得分相同的，按投标报价由低到高顺序排列。得分与投标报价均相同的，则采取评标委员会随机抽取的方式确定中标候选顺序。</w:t>
      </w:r>
    </w:p>
    <w:p w14:paraId="09791F55">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21.确定中标候选人和中标人</w:t>
      </w:r>
    </w:p>
    <w:p w14:paraId="2E45A1D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21.1评标委员会将根据评标标准，按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中规定数量推荐中标候选人。</w:t>
      </w:r>
    </w:p>
    <w:p w14:paraId="04E7452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21.2按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中规定，由评标委员会或采购人确定中标人。</w:t>
      </w:r>
    </w:p>
    <w:p w14:paraId="3E9EFC8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21.3因重大变故采购任务取消时，采购人有权拒绝任何投标人中标，且对受影响的投标人不承担任何责任。</w:t>
      </w:r>
    </w:p>
    <w:p w14:paraId="6970377B">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22.编写评标报告</w:t>
      </w:r>
    </w:p>
    <w:p w14:paraId="5A86AB7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B1CCB5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23.中标结果公告</w:t>
      </w:r>
    </w:p>
    <w:p w14:paraId="51ABB671">
      <w:pPr>
        <w:spacing w:line="44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highlight w:val="none"/>
        </w:rPr>
        <w:t>23.1除</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FAD515B">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23.2自中标人确定之日起2个工作日内，采购代理机构将在滁州市公共资源交易网（http://ggzy.chuzhou.gov.cn/）、安徽省政府采购网（www.ccgp-anhui.gov.cn）上发布中标结果公告。</w:t>
      </w:r>
    </w:p>
    <w:p w14:paraId="04FF3A7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23.3中标结果公告内容应当包括采购人及其委托的采购代理机构的名称、地址、联系方式，项目名称和项目编号，中标人名称、地址和中标金额，主要中标标的的名称、服务范围、服务要求、服务时间、服务标准，中标公告期限、评审专家名单以及</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中约定进行公告的内容。中标公告期限为1个工作日。</w:t>
      </w:r>
    </w:p>
    <w:p w14:paraId="2256009C">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24.中标通知书</w:t>
      </w:r>
    </w:p>
    <w:p w14:paraId="4375D43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24.1采购代理机构发布中标结果公告</w:t>
      </w:r>
      <w:r>
        <w:rPr>
          <w:rFonts w:hint="eastAsia" w:ascii="宋体" w:hAnsi="宋体" w:eastAsia="宋体" w:cs="宋体"/>
          <w:iCs/>
          <w:color w:val="auto"/>
          <w:sz w:val="24"/>
          <w:highlight w:val="none"/>
        </w:rPr>
        <w:t>的</w:t>
      </w:r>
      <w:r>
        <w:rPr>
          <w:rFonts w:hint="eastAsia" w:ascii="宋体" w:hAnsi="宋体" w:eastAsia="宋体" w:cs="宋体"/>
          <w:color w:val="auto"/>
          <w:sz w:val="24"/>
          <w:highlight w:val="none"/>
        </w:rPr>
        <w:t>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规定的形式向中标人发出中标通知书。中标通知书须加盖采购人、采购代理机构公章并经公共资源交易中心加盖见证章后，方可发出。</w:t>
      </w:r>
    </w:p>
    <w:p w14:paraId="4743552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24.2中标通知书对采购人和中标人具有同等法律效力。中标通知书发出以后，采购人改变中标结果或者中标人放弃中标，应当承担相应的法律责任。</w:t>
      </w:r>
    </w:p>
    <w:p w14:paraId="3DE641E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24.3中标通知书是合同的组成部分。</w:t>
      </w:r>
    </w:p>
    <w:p w14:paraId="56AB6F67">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25.告知招标结果</w:t>
      </w:r>
    </w:p>
    <w:p w14:paraId="3CEB134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25.1在公告中标结果的同时，采购代理机构同时以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规定的形式告知未通过资格审查的投标人未通过的原因；采用综合评分法评审的，还将告知未中标人本人的评审得分和排序。</w:t>
      </w:r>
    </w:p>
    <w:p w14:paraId="74CD57CC">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26.履约保证金</w:t>
      </w:r>
    </w:p>
    <w:p w14:paraId="320F576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26.1中标人应按照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规定缴纳履约保证金。</w:t>
      </w:r>
    </w:p>
    <w:p w14:paraId="50379F7D">
      <w:pPr>
        <w:spacing w:line="440" w:lineRule="exact"/>
        <w:ind w:firstLine="435"/>
        <w:rPr>
          <w:rFonts w:ascii="宋体" w:hAnsi="宋体" w:eastAsia="宋体" w:cs="宋体"/>
          <w:b/>
          <w:color w:val="auto"/>
          <w:sz w:val="24"/>
          <w:highlight w:val="none"/>
        </w:rPr>
      </w:pPr>
      <w:r>
        <w:rPr>
          <w:rFonts w:hint="eastAsia" w:ascii="宋体" w:hAnsi="宋体" w:eastAsia="宋体" w:cs="宋体"/>
          <w:color w:val="auto"/>
          <w:sz w:val="24"/>
          <w:highlight w:val="none"/>
        </w:rPr>
        <w:t>26.2如果中标人没有按照上述履约保证金的规定执行，将视为放弃中标资格。在此情况下，采购人可确定下一中标候选人为中标人，也可以重新开展采购活动。</w:t>
      </w:r>
    </w:p>
    <w:p w14:paraId="6B0B1396">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27.签订合同</w:t>
      </w:r>
    </w:p>
    <w:p w14:paraId="268E1E7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782D5C4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27.2招标文件、中标人的投标文件及其澄清文件等，均为签订合同的依据。</w:t>
      </w:r>
    </w:p>
    <w:p w14:paraId="01CF799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27.3中标人拒绝与采购人签订合同的，采购人可以按照评审报告推荐的中标候选人名单排序，确定下一中标候选人为中标人，也可以重新开展政府采购活动。</w:t>
      </w:r>
    </w:p>
    <w:p w14:paraId="5CEFE81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27.4依据《政府采购促进中小企业发展管理办法》（财库〔2020〕46号）规定享受扶持政策获得政府采购合同的，小微企业不得将合同分包给大中型企业，中型企业不得将合同分包给大型企业。</w:t>
      </w:r>
    </w:p>
    <w:p w14:paraId="6F4A6594">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28.代理费用</w:t>
      </w:r>
    </w:p>
    <w:p w14:paraId="22C4ECE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28.1本项目代理费用的收取按</w:t>
      </w:r>
      <w:r>
        <w:rPr>
          <w:rFonts w:hint="eastAsia" w:ascii="宋体" w:hAnsi="宋体" w:eastAsia="宋体" w:cs="宋体"/>
          <w:color w:val="auto"/>
          <w:sz w:val="24"/>
          <w:highlight w:val="none"/>
          <w:u w:val="single"/>
        </w:rPr>
        <w:t>投标人须知前附表的</w:t>
      </w:r>
      <w:r>
        <w:rPr>
          <w:rFonts w:hint="eastAsia" w:ascii="宋体" w:hAnsi="宋体" w:eastAsia="宋体" w:cs="宋体"/>
          <w:color w:val="auto"/>
          <w:sz w:val="24"/>
          <w:highlight w:val="none"/>
        </w:rPr>
        <w:t>规定执行。</w:t>
      </w:r>
    </w:p>
    <w:p w14:paraId="5EC4ED6F">
      <w:pPr>
        <w:spacing w:line="440" w:lineRule="exact"/>
        <w:ind w:firstLine="437"/>
        <w:outlineLvl w:val="2"/>
        <w:rPr>
          <w:rFonts w:ascii="宋体" w:hAnsi="宋体" w:eastAsia="宋体" w:cs="宋体"/>
          <w:b/>
          <w:color w:val="auto"/>
          <w:sz w:val="24"/>
          <w:highlight w:val="none"/>
        </w:rPr>
      </w:pPr>
      <w:bookmarkStart w:id="36" w:name="_Toc518923100"/>
      <w:bookmarkStart w:id="37" w:name="_Toc2583661"/>
      <w:r>
        <w:rPr>
          <w:rFonts w:hint="eastAsia" w:ascii="宋体" w:hAnsi="宋体" w:eastAsia="宋体" w:cs="宋体"/>
          <w:b/>
          <w:color w:val="auto"/>
          <w:sz w:val="24"/>
          <w:highlight w:val="none"/>
        </w:rPr>
        <w:t>29.廉洁自律规定</w:t>
      </w:r>
      <w:bookmarkEnd w:id="36"/>
      <w:bookmarkEnd w:id="37"/>
    </w:p>
    <w:p w14:paraId="547A91D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29.1采购代理机构工作人员不得以不正当手段获取政府采购代理业务，不得与采购人、供应商恶意串通。</w:t>
      </w:r>
    </w:p>
    <w:p w14:paraId="294235A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29.2采购代理机构工作人员不得接受采购人或者供应商组织的宴请、旅游、娱乐，不得收受礼品、现金、有价证券等，不得向采购人或者供应商报销应当由个人承担的费用。</w:t>
      </w:r>
    </w:p>
    <w:p w14:paraId="33C9E133">
      <w:pPr>
        <w:spacing w:line="440" w:lineRule="exact"/>
        <w:ind w:firstLine="437"/>
        <w:outlineLvl w:val="2"/>
        <w:rPr>
          <w:rFonts w:ascii="宋体" w:hAnsi="宋体" w:eastAsia="宋体" w:cs="宋体"/>
          <w:b/>
          <w:color w:val="auto"/>
          <w:sz w:val="24"/>
          <w:highlight w:val="none"/>
        </w:rPr>
      </w:pPr>
      <w:bookmarkStart w:id="38" w:name="_Toc518923101"/>
      <w:bookmarkStart w:id="39" w:name="_Toc2583662"/>
      <w:r>
        <w:rPr>
          <w:rFonts w:hint="eastAsia" w:ascii="宋体" w:hAnsi="宋体" w:eastAsia="宋体" w:cs="宋体"/>
          <w:b/>
          <w:color w:val="auto"/>
          <w:sz w:val="24"/>
          <w:highlight w:val="none"/>
        </w:rPr>
        <w:t>30.人员回避</w:t>
      </w:r>
      <w:bookmarkEnd w:id="38"/>
      <w:bookmarkEnd w:id="39"/>
    </w:p>
    <w:p w14:paraId="34DE119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投标人认为采购人员及其相关人员有法律法规所列与其他供应商有利害关系的，可以向采购人或采购代理机构书面提出回避申请，并说明理由。</w:t>
      </w:r>
    </w:p>
    <w:p w14:paraId="69D5C6EA">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31.质疑的提出与接收</w:t>
      </w:r>
    </w:p>
    <w:p w14:paraId="692F561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34DC99B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61A8009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31.3采购代理机构质疑函接收部门、联系电话和通讯地址，见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34C9DAF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注：上述条款中所要求的书面形式包含通过电子交易系统递交方式。</w:t>
      </w:r>
    </w:p>
    <w:p w14:paraId="7EA8DB34">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32.投诉</w:t>
      </w:r>
    </w:p>
    <w:p w14:paraId="402769F0">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1DD8E5C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0C26B5A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32.3政府采购监督管理部门在处理投诉事项期间，可以视具体情况书面通知采购人暂停采购活动，但暂停时间最长不得超过30日。</w:t>
      </w:r>
    </w:p>
    <w:p w14:paraId="2B42BC7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33.需要补充的其他内容</w:t>
      </w:r>
    </w:p>
    <w:p w14:paraId="71035D4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需要补充的其他内容，见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12052C9F">
      <w:pPr>
        <w:widowControl/>
        <w:jc w:val="left"/>
        <w:rPr>
          <w:rFonts w:ascii="宋体" w:hAnsi="宋体" w:eastAsia="宋体" w:cs="宋体"/>
          <w:b/>
          <w:color w:val="auto"/>
          <w:sz w:val="28"/>
          <w:highlight w:val="none"/>
        </w:rPr>
      </w:pPr>
      <w:r>
        <w:rPr>
          <w:rFonts w:hint="eastAsia" w:ascii="宋体" w:hAnsi="宋体" w:eastAsia="宋体" w:cs="宋体"/>
          <w:color w:val="auto"/>
          <w:sz w:val="24"/>
          <w:highlight w:val="none"/>
        </w:rPr>
        <w:br w:type="page"/>
      </w:r>
    </w:p>
    <w:p w14:paraId="747CA84A">
      <w:pPr>
        <w:numPr>
          <w:ilvl w:val="0"/>
          <w:numId w:val="3"/>
        </w:numPr>
        <w:spacing w:line="360" w:lineRule="auto"/>
        <w:jc w:val="center"/>
        <w:outlineLvl w:val="0"/>
        <w:rPr>
          <w:rFonts w:ascii="宋体" w:hAnsi="宋体" w:eastAsia="宋体" w:cs="宋体"/>
          <w:b/>
          <w:color w:val="auto"/>
          <w:sz w:val="28"/>
          <w:highlight w:val="none"/>
        </w:rPr>
      </w:pPr>
      <w:r>
        <w:rPr>
          <w:rFonts w:hint="eastAsia" w:ascii="宋体" w:hAnsi="宋体" w:eastAsia="宋体" w:cs="宋体"/>
          <w:b/>
          <w:color w:val="auto"/>
          <w:sz w:val="28"/>
          <w:highlight w:val="none"/>
        </w:rPr>
        <w:t xml:space="preserve"> </w:t>
      </w:r>
      <w:bookmarkStart w:id="40" w:name="_Toc10968"/>
      <w:r>
        <w:rPr>
          <w:rFonts w:hint="eastAsia" w:ascii="宋体" w:hAnsi="宋体" w:eastAsia="宋体" w:cs="宋体"/>
          <w:b/>
          <w:color w:val="auto"/>
          <w:sz w:val="28"/>
          <w:highlight w:val="none"/>
        </w:rPr>
        <w:t>采购需求</w:t>
      </w:r>
      <w:bookmarkEnd w:id="40"/>
    </w:p>
    <w:p w14:paraId="4998EC1B">
      <w:pPr>
        <w:spacing w:line="44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前注：</w:t>
      </w:r>
    </w:p>
    <w:p w14:paraId="46EFEF22">
      <w:pPr>
        <w:spacing w:line="44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1.本采购需求中提出的服务方案仅为参考，如无明确限制，投标人可以进行优化，提供满足采购人实际需要的更优（或者性能实质上不低于的）服务方案，且此方案须经评标委员会评审认可。</w:t>
      </w:r>
    </w:p>
    <w:p w14:paraId="38BEB939">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2.政府采购政策（包括但不限于下列具体政策要求）：</w:t>
      </w:r>
    </w:p>
    <w:p w14:paraId="4D134A09">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4D5BAFA">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BF9BB94">
      <w:pPr>
        <w:spacing w:line="440" w:lineRule="exact"/>
        <w:ind w:firstLine="480" w:firstLineChars="200"/>
        <w:rPr>
          <w:rFonts w:ascii="宋体" w:hAnsi="宋体" w:eastAsia="宋体" w:cs="宋体"/>
          <w:bCs/>
          <w:color w:val="auto"/>
          <w:sz w:val="24"/>
          <w:szCs w:val="18"/>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3A509D51">
      <w:pPr>
        <w:spacing w:line="440" w:lineRule="exact"/>
        <w:ind w:firstLine="437"/>
        <w:outlineLvl w:val="1"/>
        <w:rPr>
          <w:rFonts w:ascii="宋体" w:hAnsi="宋体" w:eastAsia="宋体" w:cs="宋体"/>
          <w:b/>
          <w:color w:val="auto"/>
          <w:sz w:val="24"/>
          <w:szCs w:val="18"/>
          <w:highlight w:val="none"/>
        </w:rPr>
      </w:pPr>
      <w:bookmarkStart w:id="41" w:name="_Toc21798"/>
      <w:bookmarkStart w:id="42" w:name="_Toc4148"/>
      <w:bookmarkStart w:id="43" w:name="_Toc3114"/>
      <w:bookmarkStart w:id="44" w:name="_Hlk23621890"/>
      <w:r>
        <w:rPr>
          <w:rFonts w:hint="eastAsia" w:ascii="宋体" w:hAnsi="宋体" w:eastAsia="宋体" w:cs="宋体"/>
          <w:b/>
          <w:color w:val="auto"/>
          <w:sz w:val="24"/>
          <w:szCs w:val="18"/>
          <w:highlight w:val="none"/>
        </w:rPr>
        <w:t>一、采购需求前附表</w:t>
      </w:r>
      <w:bookmarkEnd w:id="41"/>
      <w:bookmarkEnd w:id="42"/>
      <w:bookmarkEnd w:id="43"/>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4"/>
        <w:gridCol w:w="5977"/>
      </w:tblGrid>
      <w:tr w14:paraId="3D9A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410597F">
            <w:pPr>
              <w:pStyle w:val="49"/>
              <w:pBdr>
                <w:bottom w:val="none" w:color="auto" w:sz="0" w:space="0"/>
              </w:pBdr>
              <w:tabs>
                <w:tab w:val="clear" w:pos="4153"/>
                <w:tab w:val="clear" w:pos="8306"/>
              </w:tabs>
              <w:adjustRightInd/>
              <w:spacing w:line="440" w:lineRule="exact"/>
              <w:textAlignment w:val="auto"/>
              <w:rPr>
                <w:rFonts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1192" w:type="pct"/>
            <w:vAlign w:val="center"/>
          </w:tcPr>
          <w:p w14:paraId="409AC9F4">
            <w:pPr>
              <w:pStyle w:val="48"/>
              <w:widowControl w:val="0"/>
              <w:spacing w:before="0" w:beforeAutospacing="0" w:after="0" w:afterAutospacing="0" w:line="440" w:lineRule="exact"/>
              <w:rPr>
                <w:rFonts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3217" w:type="pct"/>
            <w:vAlign w:val="center"/>
          </w:tcPr>
          <w:p w14:paraId="43A6BE02">
            <w:pPr>
              <w:pStyle w:val="48"/>
              <w:widowControl w:val="0"/>
              <w:spacing w:before="0" w:beforeAutospacing="0" w:after="0" w:afterAutospacing="0" w:line="440" w:lineRule="exact"/>
              <w:rPr>
                <w:rFonts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65E0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590" w:type="pct"/>
            <w:vAlign w:val="center"/>
          </w:tcPr>
          <w:p w14:paraId="0F9D0F62">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1192" w:type="pct"/>
            <w:vAlign w:val="center"/>
          </w:tcPr>
          <w:p w14:paraId="477D75AC">
            <w:pPr>
              <w:pStyle w:val="48"/>
              <w:widowControl w:val="0"/>
              <w:spacing w:before="0" w:beforeAutospacing="0" w:after="0" w:afterAutospacing="0" w:line="440" w:lineRule="exact"/>
              <w:rPr>
                <w:rFonts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5977" w:type="dxa"/>
            <w:vAlign w:val="center"/>
          </w:tcPr>
          <w:p w14:paraId="100800CB">
            <w:pPr>
              <w:spacing w:line="480" w:lineRule="exact"/>
              <w:rPr>
                <w:rFonts w:ascii="宋体" w:hAnsi="宋体" w:eastAsia="宋体" w:cs="宋体"/>
                <w:b w:val="0"/>
                <w:color w:val="auto"/>
                <w:sz w:val="24"/>
                <w:highlight w:val="none"/>
                <w:u w:val="single"/>
              </w:rPr>
            </w:pPr>
            <w:r>
              <w:rPr>
                <w:rFonts w:hint="eastAsia" w:ascii="宋体" w:hAnsi="宋体" w:eastAsia="宋体" w:cs="宋体"/>
                <w:b w:val="0"/>
                <w:color w:val="auto"/>
                <w:sz w:val="24"/>
                <w:highlight w:val="none"/>
                <w:u w:val="single"/>
              </w:rPr>
              <w:t>合同签订生效并具备实施条件后支付合同价款的40%为预付款（预付款支付前，供应商须提供同等金额的见索即付保函），完成所有技术状况评定报告工作内容付至合同价款的</w:t>
            </w:r>
            <w:r>
              <w:rPr>
                <w:rFonts w:hint="eastAsia" w:ascii="宋体" w:hAnsi="宋体" w:eastAsia="宋体" w:cs="宋体"/>
                <w:b w:val="0"/>
                <w:color w:val="auto"/>
                <w:sz w:val="24"/>
                <w:highlight w:val="none"/>
                <w:u w:val="single"/>
                <w:lang w:val="en-US" w:eastAsia="zh-CN"/>
              </w:rPr>
              <w:t>80</w:t>
            </w:r>
            <w:r>
              <w:rPr>
                <w:rFonts w:hint="eastAsia" w:ascii="宋体" w:hAnsi="宋体" w:eastAsia="宋体" w:cs="宋体"/>
                <w:b w:val="0"/>
                <w:color w:val="auto"/>
                <w:sz w:val="24"/>
                <w:highlight w:val="none"/>
                <w:u w:val="single"/>
              </w:rPr>
              <w:t>%，其他剩余工作完成后一次性付清余款。</w:t>
            </w:r>
          </w:p>
        </w:tc>
      </w:tr>
      <w:tr w14:paraId="14DF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90" w:type="pct"/>
            <w:vAlign w:val="center"/>
          </w:tcPr>
          <w:p w14:paraId="53F514BA">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1192" w:type="pct"/>
            <w:vAlign w:val="center"/>
          </w:tcPr>
          <w:p w14:paraId="72813360">
            <w:pPr>
              <w:pStyle w:val="48"/>
              <w:widowControl w:val="0"/>
              <w:spacing w:before="0" w:beforeAutospacing="0" w:after="0" w:afterAutospacing="0" w:line="440" w:lineRule="exact"/>
              <w:rPr>
                <w:rFonts w:ascii="宋体" w:hAnsi="宋体" w:eastAsia="宋体" w:cs="宋体"/>
                <w:b w:val="0"/>
                <w:color w:val="auto"/>
                <w:sz w:val="24"/>
                <w:highlight w:val="none"/>
              </w:rPr>
            </w:pPr>
            <w:r>
              <w:rPr>
                <w:rFonts w:hint="eastAsia" w:ascii="宋体" w:hAnsi="宋体" w:eastAsia="宋体" w:cs="宋体"/>
                <w:b w:val="0"/>
                <w:color w:val="auto"/>
                <w:sz w:val="24"/>
                <w:highlight w:val="none"/>
              </w:rPr>
              <w:t>服务地点</w:t>
            </w:r>
          </w:p>
        </w:tc>
        <w:tc>
          <w:tcPr>
            <w:tcW w:w="3217" w:type="pct"/>
            <w:vAlign w:val="center"/>
          </w:tcPr>
          <w:p w14:paraId="00522E7F">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lang w:val="en-US" w:eastAsia="zh-CN"/>
              </w:rPr>
              <w:t>滁州市</w:t>
            </w:r>
          </w:p>
        </w:tc>
      </w:tr>
      <w:tr w14:paraId="68D3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90" w:type="pct"/>
            <w:vAlign w:val="center"/>
          </w:tcPr>
          <w:p w14:paraId="1C853520">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1192" w:type="pct"/>
            <w:vAlign w:val="center"/>
          </w:tcPr>
          <w:p w14:paraId="548C5A42">
            <w:pPr>
              <w:pStyle w:val="48"/>
              <w:widowControl w:val="0"/>
              <w:spacing w:before="0" w:beforeAutospacing="0" w:after="0" w:afterAutospacing="0" w:line="440" w:lineRule="exact"/>
              <w:rPr>
                <w:rFonts w:ascii="宋体" w:hAnsi="宋体" w:eastAsia="宋体" w:cs="宋体"/>
                <w:b w:val="0"/>
                <w:color w:val="auto"/>
                <w:sz w:val="24"/>
                <w:highlight w:val="none"/>
              </w:rPr>
            </w:pPr>
            <w:r>
              <w:rPr>
                <w:rFonts w:hint="eastAsia" w:ascii="宋体" w:hAnsi="宋体" w:eastAsia="宋体" w:cs="宋体"/>
                <w:b w:val="0"/>
                <w:color w:val="auto"/>
                <w:sz w:val="24"/>
                <w:highlight w:val="none"/>
              </w:rPr>
              <w:t>服务期限</w:t>
            </w:r>
          </w:p>
        </w:tc>
        <w:tc>
          <w:tcPr>
            <w:tcW w:w="3217" w:type="pct"/>
            <w:vAlign w:val="center"/>
          </w:tcPr>
          <w:p w14:paraId="6FA924C9">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 xml:space="preserve">一年  </w:t>
            </w:r>
          </w:p>
        </w:tc>
      </w:tr>
      <w:tr w14:paraId="4162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90" w:type="pct"/>
            <w:vAlign w:val="center"/>
          </w:tcPr>
          <w:p w14:paraId="69221955">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1192" w:type="pct"/>
            <w:vAlign w:val="center"/>
          </w:tcPr>
          <w:p w14:paraId="1C1284F9">
            <w:pPr>
              <w:pStyle w:val="48"/>
              <w:widowControl w:val="0"/>
              <w:spacing w:before="0" w:beforeAutospacing="0" w:after="0" w:afterAutospacing="0" w:line="440" w:lineRule="exact"/>
              <w:rPr>
                <w:rFonts w:ascii="宋体" w:hAnsi="宋体" w:eastAsia="宋体" w:cs="宋体"/>
                <w:b w:val="0"/>
                <w:color w:val="auto"/>
                <w:sz w:val="24"/>
                <w:highlight w:val="none"/>
              </w:rPr>
            </w:pPr>
            <w:r>
              <w:rPr>
                <w:rFonts w:hint="eastAsia" w:ascii="宋体" w:hAnsi="宋体" w:eastAsia="宋体" w:cs="宋体"/>
                <w:b w:val="0"/>
                <w:color w:val="auto"/>
                <w:sz w:val="24"/>
                <w:highlight w:val="none"/>
              </w:rPr>
              <w:t>本项目采购标的名称及所属行业</w:t>
            </w:r>
          </w:p>
        </w:tc>
        <w:tc>
          <w:tcPr>
            <w:tcW w:w="3217" w:type="pct"/>
            <w:vAlign w:val="center"/>
          </w:tcPr>
          <w:p w14:paraId="0AC5EB4C">
            <w:pPr>
              <w:spacing w:line="44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标的名称：</w:t>
            </w:r>
            <w:bookmarkStart w:id="45" w:name="OLE_LINK1"/>
            <w:bookmarkStart w:id="46" w:name="OLE_LINK2"/>
            <w:r>
              <w:rPr>
                <w:rFonts w:hint="eastAsia" w:ascii="宋体" w:hAnsi="宋体" w:eastAsia="宋体" w:cs="宋体"/>
                <w:color w:val="auto"/>
                <w:sz w:val="24"/>
                <w:highlight w:val="none"/>
                <w:lang w:val="en-US" w:eastAsia="zh-CN"/>
              </w:rPr>
              <w:t>2026年滁州市高速公路技术状况定期检查项目</w:t>
            </w:r>
          </w:p>
          <w:p w14:paraId="2A3BBA35">
            <w:pPr>
              <w:spacing w:line="440" w:lineRule="exact"/>
              <w:jc w:val="left"/>
              <w:rPr>
                <w:rFonts w:ascii="宋体" w:hAnsi="宋体" w:eastAsia="宋体" w:cs="宋体"/>
                <w:color w:val="auto"/>
                <w:sz w:val="24"/>
                <w:highlight w:val="none"/>
              </w:rPr>
            </w:pPr>
            <w:r>
              <w:rPr>
                <w:rFonts w:hint="eastAsia" w:ascii="宋体" w:hAnsi="宋体" w:eastAsia="宋体" w:cs="宋体"/>
                <w:color w:val="auto"/>
                <w:sz w:val="24"/>
                <w:highlight w:val="none"/>
              </w:rPr>
              <w:t>所属行业</w:t>
            </w:r>
            <w:bookmarkEnd w:id="45"/>
            <w:bookmarkEnd w:id="46"/>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其他未列明行业</w:t>
            </w:r>
          </w:p>
        </w:tc>
      </w:tr>
    </w:tbl>
    <w:p w14:paraId="2A59F4EC">
      <w:pPr>
        <w:keepNext w:val="0"/>
        <w:keepLines w:val="0"/>
        <w:pageBreakBefore w:val="0"/>
        <w:widowControl w:val="0"/>
        <w:kinsoku/>
        <w:wordWrap/>
        <w:overflowPunct/>
        <w:topLinePunct w:val="0"/>
        <w:autoSpaceDE/>
        <w:autoSpaceDN/>
        <w:bidi w:val="0"/>
        <w:adjustRightInd/>
        <w:snapToGrid/>
        <w:spacing w:line="480" w:lineRule="exact"/>
        <w:ind w:firstLine="437"/>
        <w:textAlignment w:val="auto"/>
        <w:outlineLvl w:val="1"/>
        <w:rPr>
          <w:rFonts w:hint="eastAsia" w:ascii="宋体" w:hAnsi="宋体" w:eastAsia="宋体"/>
          <w:b/>
          <w:color w:val="auto"/>
          <w:sz w:val="24"/>
          <w:szCs w:val="18"/>
          <w:highlight w:val="none"/>
        </w:rPr>
      </w:pPr>
      <w:bookmarkStart w:id="47" w:name="_Toc8753"/>
      <w:bookmarkStart w:id="48" w:name="_Toc16543"/>
      <w:bookmarkStart w:id="49" w:name="_Toc8283"/>
      <w:bookmarkStart w:id="50" w:name="_Hlk16461016"/>
      <w:bookmarkStart w:id="51" w:name="_Toc18794"/>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项目概况</w:t>
      </w:r>
      <w:bookmarkEnd w:id="47"/>
      <w:bookmarkEnd w:id="48"/>
    </w:p>
    <w:p w14:paraId="6C28C1E4">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hint="eastAsia" w:ascii="宋体" w:hAnsi="宋体" w:eastAsia="宋体" w:cs="宋体"/>
          <w:bCs/>
          <w:color w:val="auto"/>
          <w:sz w:val="24"/>
          <w:szCs w:val="24"/>
          <w:highlight w:val="none"/>
          <w:lang w:val="en-US" w:eastAsia="zh-CN"/>
        </w:rPr>
      </w:pPr>
      <w:bookmarkStart w:id="52" w:name="_Toc27920"/>
      <w:bookmarkStart w:id="53" w:name="_Toc13016"/>
      <w:r>
        <w:rPr>
          <w:rFonts w:hint="eastAsia" w:ascii="宋体" w:hAnsi="宋体" w:eastAsia="宋体" w:cs="宋体"/>
          <w:bCs/>
          <w:color w:val="auto"/>
          <w:sz w:val="24"/>
          <w:szCs w:val="24"/>
          <w:highlight w:val="none"/>
          <w:lang w:val="en-US" w:eastAsia="zh-CN"/>
        </w:rPr>
        <w:t>本项目位于滁州市境内，含:1、监管高速公路约305.675km的公路技术状况评定包括①路面技术状况评定指标PQI值（全指标检测）、沿线设施技术状况指数TCI；②交通安全设施类养护工程质量巡检、路面养护工程类质量巡检。2、监管高速公路桥梁35343延米/285座桥梁中技术状况相对较差和重要桥梁的定期检查、桥梁类养护工程质量巡检。出具滁州市监管高速公路、桥梁、交通安全设施类技术状况评定报告并录入安徽省高速公路监管资产平台，根据业主要求，对全年检查结果不定期整改和通报。</w:t>
      </w:r>
    </w:p>
    <w:p w14:paraId="48FFF413">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服务范围</w:t>
      </w:r>
    </w:p>
    <w:p w14:paraId="25C08D8D">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hint="eastAsia" w:ascii="宋体" w:hAnsi="宋体" w:eastAsia="宋体"/>
          <w:b/>
          <w:color w:val="auto"/>
          <w:sz w:val="24"/>
          <w:szCs w:val="18"/>
          <w:highlight w:val="none"/>
        </w:rPr>
      </w:pPr>
      <w:r>
        <w:rPr>
          <w:rFonts w:hint="eastAsia" w:ascii="宋体" w:hAnsi="宋体" w:eastAsia="宋体" w:cs="宋体"/>
          <w:bCs/>
          <w:color w:val="auto"/>
          <w:sz w:val="24"/>
          <w:szCs w:val="24"/>
          <w:highlight w:val="none"/>
          <w:lang w:val="en-US" w:eastAsia="zh-CN"/>
        </w:rPr>
        <w:t>滁州市境内。</w:t>
      </w:r>
    </w:p>
    <w:p w14:paraId="7D072A73">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服务需求</w:t>
      </w:r>
      <w:bookmarkEnd w:id="52"/>
      <w:bookmarkEnd w:id="53"/>
    </w:p>
    <w:p w14:paraId="073869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人员配备：本项目配备不少于6名检测人员（检测师3人、检测员不少于3人），其中项目负责人1人，须具备公路工程相关专业试验检测师或检测工程师证书；另2名检测师，需分别具备桥梁（隧道）工程、交通工程（或交通安全设施）两个专业试验检测师或检测工程师证书各一名；根据检测工作需要配备检测员小于3名。（评审时除项目负责人外不作要求）</w:t>
      </w:r>
    </w:p>
    <w:p w14:paraId="30C9575F">
      <w:pPr>
        <w:keepNext w:val="0"/>
        <w:keepLines w:val="0"/>
        <w:pageBreakBefore w:val="0"/>
        <w:widowControl w:val="0"/>
        <w:numPr>
          <w:ilvl w:val="0"/>
          <w:numId w:val="0"/>
        </w:numPr>
        <w:tabs>
          <w:tab w:val="left" w:pos="1446"/>
        </w:tabs>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2、具体工作内容</w:t>
      </w:r>
    </w:p>
    <w:tbl>
      <w:tblPr>
        <w:tblStyle w:val="30"/>
        <w:tblW w:w="93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9"/>
        <w:gridCol w:w="751"/>
        <w:gridCol w:w="795"/>
        <w:gridCol w:w="1759"/>
        <w:gridCol w:w="431"/>
        <w:gridCol w:w="1062"/>
        <w:gridCol w:w="843"/>
        <w:gridCol w:w="660"/>
        <w:gridCol w:w="1992"/>
      </w:tblGrid>
      <w:tr w14:paraId="482E4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94" w:type="dxa"/>
            <w:gridSpan w:val="4"/>
            <w:tcBorders>
              <w:top w:val="nil"/>
              <w:left w:val="nil"/>
              <w:bottom w:val="single" w:color="auto" w:sz="4" w:space="0"/>
              <w:right w:val="nil"/>
            </w:tcBorders>
            <w:shd w:val="clear" w:color="auto" w:fill="auto"/>
            <w:vAlign w:val="center"/>
          </w:tcPr>
          <w:p w14:paraId="59C24CD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一、桥梁检测、评定</w:t>
            </w:r>
          </w:p>
        </w:tc>
        <w:tc>
          <w:tcPr>
            <w:tcW w:w="431" w:type="dxa"/>
            <w:tcBorders>
              <w:top w:val="nil"/>
              <w:left w:val="nil"/>
              <w:bottom w:val="nil"/>
              <w:right w:val="nil"/>
            </w:tcBorders>
            <w:shd w:val="clear" w:color="auto" w:fill="auto"/>
            <w:vAlign w:val="center"/>
          </w:tcPr>
          <w:p w14:paraId="504E86CA">
            <w:pPr>
              <w:rPr>
                <w:rFonts w:hint="eastAsia" w:ascii="宋体" w:hAnsi="宋体" w:eastAsia="宋体" w:cs="宋体"/>
                <w:i w:val="0"/>
                <w:iCs w:val="0"/>
                <w:color w:val="auto"/>
                <w:sz w:val="20"/>
                <w:szCs w:val="20"/>
                <w:highlight w:val="none"/>
                <w:u w:val="none"/>
              </w:rPr>
            </w:pPr>
          </w:p>
        </w:tc>
        <w:tc>
          <w:tcPr>
            <w:tcW w:w="1062" w:type="dxa"/>
            <w:tcBorders>
              <w:top w:val="nil"/>
              <w:left w:val="nil"/>
              <w:bottom w:val="nil"/>
              <w:right w:val="nil"/>
            </w:tcBorders>
            <w:shd w:val="clear" w:color="auto" w:fill="auto"/>
            <w:vAlign w:val="center"/>
          </w:tcPr>
          <w:p w14:paraId="7DD131A8">
            <w:pPr>
              <w:rPr>
                <w:rFonts w:hint="eastAsia" w:ascii="宋体" w:hAnsi="宋体" w:eastAsia="宋体" w:cs="宋体"/>
                <w:i w:val="0"/>
                <w:iCs w:val="0"/>
                <w:color w:val="auto"/>
                <w:sz w:val="20"/>
                <w:szCs w:val="20"/>
                <w:highlight w:val="none"/>
                <w:u w:val="none"/>
              </w:rPr>
            </w:pPr>
          </w:p>
        </w:tc>
        <w:tc>
          <w:tcPr>
            <w:tcW w:w="843" w:type="dxa"/>
            <w:tcBorders>
              <w:top w:val="nil"/>
              <w:left w:val="nil"/>
              <w:bottom w:val="nil"/>
              <w:right w:val="nil"/>
            </w:tcBorders>
            <w:shd w:val="clear" w:color="auto" w:fill="auto"/>
            <w:vAlign w:val="center"/>
          </w:tcPr>
          <w:p w14:paraId="3D429C6B">
            <w:pPr>
              <w:rPr>
                <w:rFonts w:hint="eastAsia" w:ascii="宋体" w:hAnsi="宋体" w:eastAsia="宋体" w:cs="宋体"/>
                <w:i w:val="0"/>
                <w:iCs w:val="0"/>
                <w:color w:val="auto"/>
                <w:sz w:val="20"/>
                <w:szCs w:val="20"/>
                <w:highlight w:val="none"/>
                <w:u w:val="none"/>
              </w:rPr>
            </w:pPr>
          </w:p>
        </w:tc>
        <w:tc>
          <w:tcPr>
            <w:tcW w:w="660" w:type="dxa"/>
            <w:tcBorders>
              <w:top w:val="nil"/>
              <w:left w:val="nil"/>
              <w:bottom w:val="nil"/>
              <w:right w:val="nil"/>
            </w:tcBorders>
            <w:shd w:val="clear" w:color="auto" w:fill="auto"/>
            <w:vAlign w:val="center"/>
          </w:tcPr>
          <w:p w14:paraId="557F9C42">
            <w:pPr>
              <w:rPr>
                <w:rFonts w:hint="eastAsia" w:ascii="宋体" w:hAnsi="宋体" w:eastAsia="宋体" w:cs="宋体"/>
                <w:i w:val="0"/>
                <w:iCs w:val="0"/>
                <w:color w:val="auto"/>
                <w:sz w:val="20"/>
                <w:szCs w:val="20"/>
                <w:highlight w:val="none"/>
                <w:u w:val="none"/>
              </w:rPr>
            </w:pPr>
          </w:p>
        </w:tc>
        <w:tc>
          <w:tcPr>
            <w:tcW w:w="1992" w:type="dxa"/>
            <w:tcBorders>
              <w:top w:val="nil"/>
              <w:left w:val="nil"/>
              <w:bottom w:val="nil"/>
              <w:right w:val="nil"/>
            </w:tcBorders>
            <w:shd w:val="clear" w:color="auto" w:fill="auto"/>
            <w:vAlign w:val="center"/>
          </w:tcPr>
          <w:p w14:paraId="628BAE9F">
            <w:pPr>
              <w:rPr>
                <w:rFonts w:hint="eastAsia" w:ascii="宋体" w:hAnsi="宋体" w:eastAsia="宋体" w:cs="宋体"/>
                <w:i w:val="0"/>
                <w:iCs w:val="0"/>
                <w:color w:val="auto"/>
                <w:sz w:val="20"/>
                <w:szCs w:val="20"/>
                <w:highlight w:val="none"/>
                <w:u w:val="none"/>
              </w:rPr>
            </w:pPr>
          </w:p>
        </w:tc>
      </w:tr>
      <w:tr w14:paraId="1515E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9" w:type="dxa"/>
            <w:vMerge w:val="restart"/>
            <w:tcBorders>
              <w:top w:val="nil"/>
              <w:left w:val="single" w:color="auto" w:sz="4" w:space="0"/>
              <w:bottom w:val="single" w:color="auto" w:sz="4" w:space="0"/>
              <w:right w:val="single" w:color="auto" w:sz="4" w:space="0"/>
            </w:tcBorders>
            <w:shd w:val="clear" w:color="auto" w:fill="auto"/>
            <w:vAlign w:val="center"/>
          </w:tcPr>
          <w:p w14:paraId="516DB17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路线名称</w:t>
            </w:r>
          </w:p>
        </w:tc>
        <w:tc>
          <w:tcPr>
            <w:tcW w:w="1546" w:type="dxa"/>
            <w:gridSpan w:val="2"/>
            <w:tcBorders>
              <w:top w:val="single" w:color="auto" w:sz="4" w:space="0"/>
              <w:left w:val="nil"/>
              <w:bottom w:val="single" w:color="auto" w:sz="4" w:space="0"/>
              <w:right w:val="single" w:color="auto" w:sz="4" w:space="0"/>
            </w:tcBorders>
            <w:shd w:val="clear" w:color="auto" w:fill="auto"/>
            <w:noWrap/>
            <w:vAlign w:val="center"/>
          </w:tcPr>
          <w:p w14:paraId="7CBF5B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桥梁</w:t>
            </w:r>
          </w:p>
        </w:tc>
        <w:tc>
          <w:tcPr>
            <w:tcW w:w="1759" w:type="dxa"/>
            <w:vMerge w:val="restart"/>
            <w:tcBorders>
              <w:top w:val="nil"/>
              <w:left w:val="single" w:color="auto" w:sz="4" w:space="0"/>
              <w:bottom w:val="single" w:color="auto" w:sz="4" w:space="0"/>
              <w:right w:val="single" w:color="auto" w:sz="4" w:space="0"/>
            </w:tcBorders>
            <w:shd w:val="clear" w:color="auto" w:fill="auto"/>
            <w:vAlign w:val="center"/>
          </w:tcPr>
          <w:p w14:paraId="181A24C2">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抽检比例</w:t>
            </w:r>
          </w:p>
        </w:tc>
        <w:tc>
          <w:tcPr>
            <w:tcW w:w="4988" w:type="dxa"/>
            <w:gridSpan w:val="5"/>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30FE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工作内容</w:t>
            </w:r>
          </w:p>
        </w:tc>
      </w:tr>
      <w:tr w14:paraId="48698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9" w:type="dxa"/>
            <w:vMerge w:val="continue"/>
            <w:tcBorders>
              <w:top w:val="nil"/>
              <w:left w:val="single" w:color="auto" w:sz="4" w:space="0"/>
              <w:bottom w:val="single" w:color="auto" w:sz="4" w:space="0"/>
              <w:right w:val="single" w:color="auto" w:sz="4" w:space="0"/>
            </w:tcBorders>
            <w:shd w:val="clear" w:color="auto" w:fill="auto"/>
            <w:vAlign w:val="center"/>
          </w:tcPr>
          <w:p w14:paraId="1D3A5627">
            <w:pPr>
              <w:jc w:val="center"/>
              <w:rPr>
                <w:rFonts w:hint="eastAsia" w:ascii="宋体" w:hAnsi="宋体" w:eastAsia="宋体" w:cs="宋体"/>
                <w:i w:val="0"/>
                <w:iCs w:val="0"/>
                <w:color w:val="auto"/>
                <w:sz w:val="20"/>
                <w:szCs w:val="20"/>
                <w:highlight w:val="none"/>
                <w:u w:val="none"/>
              </w:rPr>
            </w:pPr>
          </w:p>
        </w:tc>
        <w:tc>
          <w:tcPr>
            <w:tcW w:w="751" w:type="dxa"/>
            <w:tcBorders>
              <w:top w:val="nil"/>
              <w:left w:val="nil"/>
              <w:bottom w:val="single" w:color="auto" w:sz="4" w:space="0"/>
              <w:right w:val="single" w:color="auto" w:sz="4" w:space="0"/>
            </w:tcBorders>
            <w:shd w:val="clear" w:color="auto" w:fill="auto"/>
            <w:vAlign w:val="center"/>
          </w:tcPr>
          <w:p w14:paraId="458D6C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数量（座）</w:t>
            </w:r>
          </w:p>
        </w:tc>
        <w:tc>
          <w:tcPr>
            <w:tcW w:w="795" w:type="dxa"/>
            <w:tcBorders>
              <w:top w:val="nil"/>
              <w:left w:val="nil"/>
              <w:bottom w:val="single" w:color="auto" w:sz="4" w:space="0"/>
              <w:right w:val="single" w:color="auto" w:sz="4" w:space="0"/>
            </w:tcBorders>
            <w:shd w:val="clear" w:color="auto" w:fill="auto"/>
            <w:vAlign w:val="center"/>
          </w:tcPr>
          <w:p w14:paraId="127107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桥长（m) </w:t>
            </w:r>
          </w:p>
        </w:tc>
        <w:tc>
          <w:tcPr>
            <w:tcW w:w="1759" w:type="dxa"/>
            <w:vMerge w:val="continue"/>
            <w:tcBorders>
              <w:top w:val="nil"/>
              <w:left w:val="single" w:color="auto" w:sz="4" w:space="0"/>
              <w:bottom w:val="single" w:color="auto" w:sz="4" w:space="0"/>
              <w:right w:val="single" w:color="auto" w:sz="4" w:space="0"/>
            </w:tcBorders>
            <w:shd w:val="clear" w:color="auto" w:fill="auto"/>
            <w:vAlign w:val="center"/>
          </w:tcPr>
          <w:p w14:paraId="1D4E8619">
            <w:pPr>
              <w:jc w:val="center"/>
              <w:rPr>
                <w:rFonts w:hint="eastAsia" w:ascii="宋体" w:hAnsi="宋体" w:eastAsia="宋体" w:cs="宋体"/>
                <w:b/>
                <w:bCs/>
                <w:i w:val="0"/>
                <w:iCs w:val="0"/>
                <w:color w:val="auto"/>
                <w:sz w:val="20"/>
                <w:szCs w:val="20"/>
                <w:highlight w:val="none"/>
                <w:u w:val="none"/>
              </w:rPr>
            </w:pPr>
          </w:p>
        </w:tc>
        <w:tc>
          <w:tcPr>
            <w:tcW w:w="4988" w:type="dxa"/>
            <w:gridSpan w:val="5"/>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4142BF">
            <w:pPr>
              <w:jc w:val="center"/>
              <w:rPr>
                <w:rFonts w:hint="eastAsia" w:ascii="宋体" w:hAnsi="宋体" w:eastAsia="宋体" w:cs="宋体"/>
                <w:i w:val="0"/>
                <w:iCs w:val="0"/>
                <w:color w:val="auto"/>
                <w:sz w:val="20"/>
                <w:szCs w:val="20"/>
                <w:highlight w:val="none"/>
                <w:u w:val="none"/>
              </w:rPr>
            </w:pPr>
          </w:p>
        </w:tc>
      </w:tr>
      <w:tr w14:paraId="5897B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5" w:hRule="atLeast"/>
        </w:trPr>
        <w:tc>
          <w:tcPr>
            <w:tcW w:w="1089" w:type="dxa"/>
            <w:tcBorders>
              <w:top w:val="nil"/>
              <w:left w:val="single" w:color="auto" w:sz="4" w:space="0"/>
              <w:bottom w:val="single" w:color="auto" w:sz="4" w:space="0"/>
              <w:right w:val="single" w:color="auto" w:sz="4" w:space="0"/>
            </w:tcBorders>
            <w:shd w:val="clear" w:color="auto" w:fill="auto"/>
            <w:vAlign w:val="center"/>
          </w:tcPr>
          <w:p w14:paraId="542E8F9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宁洛高速、凤阳支线、天扬、明巢、来六</w:t>
            </w:r>
          </w:p>
        </w:tc>
        <w:tc>
          <w:tcPr>
            <w:tcW w:w="751" w:type="dxa"/>
            <w:tcBorders>
              <w:top w:val="nil"/>
              <w:left w:val="nil"/>
              <w:bottom w:val="single" w:color="auto" w:sz="4" w:space="0"/>
              <w:right w:val="single" w:color="auto" w:sz="4" w:space="0"/>
            </w:tcBorders>
            <w:shd w:val="clear" w:color="auto" w:fill="auto"/>
            <w:vAlign w:val="center"/>
          </w:tcPr>
          <w:p w14:paraId="3F42FD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285</w:t>
            </w:r>
          </w:p>
        </w:tc>
        <w:tc>
          <w:tcPr>
            <w:tcW w:w="795" w:type="dxa"/>
            <w:tcBorders>
              <w:top w:val="nil"/>
              <w:left w:val="nil"/>
              <w:bottom w:val="single" w:color="auto" w:sz="4" w:space="0"/>
              <w:right w:val="single" w:color="auto" w:sz="4" w:space="0"/>
            </w:tcBorders>
            <w:shd w:val="clear" w:color="auto" w:fill="auto"/>
            <w:vAlign w:val="center"/>
          </w:tcPr>
          <w:p w14:paraId="24DA53DD">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rPr>
            </w:pPr>
            <w:r>
              <w:rPr>
                <w:rFonts w:hint="default" w:ascii="宋体" w:hAnsi="宋体" w:eastAsia="宋体" w:cs="宋体"/>
                <w:i w:val="0"/>
                <w:iCs w:val="0"/>
                <w:color w:val="auto"/>
                <w:sz w:val="20"/>
                <w:szCs w:val="20"/>
                <w:highlight w:val="none"/>
                <w:u w:val="none"/>
                <w:lang w:val="en-US"/>
              </w:rPr>
              <w:t>35343</w:t>
            </w:r>
          </w:p>
        </w:tc>
        <w:tc>
          <w:tcPr>
            <w:tcW w:w="1759" w:type="dxa"/>
            <w:tcBorders>
              <w:top w:val="nil"/>
              <w:left w:val="nil"/>
              <w:bottom w:val="single" w:color="auto" w:sz="4" w:space="0"/>
              <w:right w:val="single" w:color="auto" w:sz="4" w:space="0"/>
            </w:tcBorders>
            <w:shd w:val="clear" w:color="auto" w:fill="auto"/>
            <w:vAlign w:val="center"/>
          </w:tcPr>
          <w:p w14:paraId="34A5985C">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rPr>
            </w:pPr>
            <w:r>
              <w:rPr>
                <w:rFonts w:hint="eastAsia" w:ascii="宋体" w:hAnsi="宋体" w:eastAsia="宋体" w:cs="宋体"/>
                <w:b/>
                <w:bCs/>
                <w:i w:val="0"/>
                <w:iCs w:val="0"/>
                <w:color w:val="auto"/>
                <w:kern w:val="0"/>
                <w:sz w:val="20"/>
                <w:szCs w:val="20"/>
                <w:highlight w:val="none"/>
                <w:u w:val="none"/>
                <w:lang w:val="en-US" w:eastAsia="zh-CN" w:bidi="ar"/>
              </w:rPr>
              <w:t>建设单位根据需要指定，优先检测技术状况较差和重要桥梁</w:t>
            </w:r>
          </w:p>
        </w:tc>
        <w:tc>
          <w:tcPr>
            <w:tcW w:w="4988" w:type="dxa"/>
            <w:gridSpan w:val="5"/>
            <w:tcBorders>
              <w:top w:val="single" w:color="auto" w:sz="4" w:space="0"/>
              <w:left w:val="nil"/>
              <w:bottom w:val="single" w:color="auto" w:sz="4" w:space="0"/>
              <w:right w:val="single" w:color="000000" w:sz="4" w:space="0"/>
            </w:tcBorders>
            <w:shd w:val="clear" w:color="auto" w:fill="auto"/>
            <w:vAlign w:val="top"/>
          </w:tcPr>
          <w:p w14:paraId="292016EC">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1.同一位置存在上下行的桥梁计为1座桥梁，上下行桥梁一并检查，分别评定；</w:t>
            </w:r>
          </w:p>
          <w:p w14:paraId="06C9B486">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2.抽检范围内的桥梁开展定期检查，并查检养管单位自检报告的技术深度、评定的准确性；</w:t>
            </w:r>
          </w:p>
          <w:p w14:paraId="6C43E3C8">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3.对当年度桥梁养护工程开展质量巡检，检查项目：材料质量、施工质量、安全情况；</w:t>
            </w:r>
          </w:p>
        </w:tc>
      </w:tr>
      <w:tr w14:paraId="6320B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25" w:type="dxa"/>
            <w:gridSpan w:val="5"/>
            <w:tcBorders>
              <w:top w:val="nil"/>
              <w:left w:val="nil"/>
              <w:bottom w:val="single" w:color="auto" w:sz="4" w:space="0"/>
              <w:right w:val="nil"/>
            </w:tcBorders>
            <w:shd w:val="clear" w:color="auto" w:fill="auto"/>
            <w:vAlign w:val="center"/>
          </w:tcPr>
          <w:p w14:paraId="0DAF472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二、路面技术状况检测</w:t>
            </w:r>
          </w:p>
        </w:tc>
        <w:tc>
          <w:tcPr>
            <w:tcW w:w="1062" w:type="dxa"/>
            <w:tcBorders>
              <w:top w:val="nil"/>
              <w:left w:val="nil"/>
              <w:bottom w:val="single" w:color="auto" w:sz="4" w:space="0"/>
              <w:right w:val="nil"/>
            </w:tcBorders>
            <w:shd w:val="clear" w:color="auto" w:fill="auto"/>
            <w:vAlign w:val="center"/>
          </w:tcPr>
          <w:p w14:paraId="2D84DD18">
            <w:pPr>
              <w:jc w:val="center"/>
              <w:rPr>
                <w:rFonts w:hint="eastAsia" w:ascii="宋体" w:hAnsi="宋体" w:eastAsia="宋体" w:cs="宋体"/>
                <w:i w:val="0"/>
                <w:iCs w:val="0"/>
                <w:color w:val="auto"/>
                <w:sz w:val="24"/>
                <w:szCs w:val="24"/>
                <w:highlight w:val="none"/>
                <w:u w:val="none"/>
              </w:rPr>
            </w:pPr>
          </w:p>
        </w:tc>
        <w:tc>
          <w:tcPr>
            <w:tcW w:w="843" w:type="dxa"/>
            <w:tcBorders>
              <w:top w:val="nil"/>
              <w:left w:val="nil"/>
              <w:bottom w:val="single" w:color="auto" w:sz="4" w:space="0"/>
              <w:right w:val="nil"/>
            </w:tcBorders>
            <w:shd w:val="clear" w:color="auto" w:fill="auto"/>
            <w:vAlign w:val="center"/>
          </w:tcPr>
          <w:p w14:paraId="5619C55E">
            <w:pPr>
              <w:jc w:val="center"/>
              <w:rPr>
                <w:rFonts w:hint="eastAsia" w:ascii="宋体" w:hAnsi="宋体" w:eastAsia="宋体" w:cs="宋体"/>
                <w:i w:val="0"/>
                <w:iCs w:val="0"/>
                <w:color w:val="auto"/>
                <w:sz w:val="24"/>
                <w:szCs w:val="24"/>
                <w:highlight w:val="none"/>
                <w:u w:val="none"/>
              </w:rPr>
            </w:pPr>
          </w:p>
        </w:tc>
        <w:tc>
          <w:tcPr>
            <w:tcW w:w="660" w:type="dxa"/>
            <w:tcBorders>
              <w:top w:val="nil"/>
              <w:left w:val="nil"/>
              <w:bottom w:val="single" w:color="auto" w:sz="4" w:space="0"/>
              <w:right w:val="nil"/>
            </w:tcBorders>
            <w:shd w:val="clear" w:color="auto" w:fill="auto"/>
            <w:vAlign w:val="center"/>
          </w:tcPr>
          <w:p w14:paraId="2D9B1456">
            <w:pPr>
              <w:jc w:val="center"/>
              <w:rPr>
                <w:rFonts w:hint="eastAsia" w:ascii="宋体" w:hAnsi="宋体" w:eastAsia="宋体" w:cs="宋体"/>
                <w:i w:val="0"/>
                <w:iCs w:val="0"/>
                <w:color w:val="auto"/>
                <w:sz w:val="24"/>
                <w:szCs w:val="24"/>
                <w:highlight w:val="none"/>
                <w:u w:val="none"/>
              </w:rPr>
            </w:pPr>
          </w:p>
        </w:tc>
        <w:tc>
          <w:tcPr>
            <w:tcW w:w="1992" w:type="dxa"/>
            <w:tcBorders>
              <w:top w:val="nil"/>
              <w:left w:val="nil"/>
              <w:bottom w:val="single" w:color="auto" w:sz="4" w:space="0"/>
              <w:right w:val="nil"/>
            </w:tcBorders>
            <w:shd w:val="clear" w:color="auto" w:fill="auto"/>
            <w:vAlign w:val="center"/>
          </w:tcPr>
          <w:p w14:paraId="5E439A96">
            <w:pPr>
              <w:jc w:val="center"/>
              <w:rPr>
                <w:rFonts w:hint="eastAsia" w:ascii="宋体" w:hAnsi="宋体" w:eastAsia="宋体" w:cs="宋体"/>
                <w:i w:val="0"/>
                <w:iCs w:val="0"/>
                <w:color w:val="auto"/>
                <w:sz w:val="24"/>
                <w:szCs w:val="24"/>
                <w:highlight w:val="none"/>
                <w:u w:val="none"/>
              </w:rPr>
            </w:pPr>
          </w:p>
        </w:tc>
      </w:tr>
      <w:tr w14:paraId="05087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0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69D6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路线名称</w:t>
            </w:r>
          </w:p>
        </w:tc>
        <w:tc>
          <w:tcPr>
            <w:tcW w:w="154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57F71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（km）</w:t>
            </w:r>
          </w:p>
        </w:tc>
        <w:tc>
          <w:tcPr>
            <w:tcW w:w="1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37D290">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抽检比例</w:t>
            </w:r>
          </w:p>
        </w:tc>
        <w:tc>
          <w:tcPr>
            <w:tcW w:w="4988" w:type="dxa"/>
            <w:gridSpan w:val="5"/>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6B39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工作内容</w:t>
            </w:r>
          </w:p>
        </w:tc>
      </w:tr>
      <w:tr w14:paraId="68F7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1A9FB2">
            <w:pPr>
              <w:jc w:val="center"/>
              <w:rPr>
                <w:rFonts w:hint="eastAsia" w:ascii="宋体" w:hAnsi="宋体" w:eastAsia="宋体" w:cs="宋体"/>
                <w:i w:val="0"/>
                <w:iCs w:val="0"/>
                <w:color w:val="auto"/>
                <w:sz w:val="20"/>
                <w:szCs w:val="20"/>
                <w:highlight w:val="none"/>
                <w:u w:val="none"/>
              </w:rPr>
            </w:pPr>
          </w:p>
        </w:tc>
        <w:tc>
          <w:tcPr>
            <w:tcW w:w="154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E90930">
            <w:pPr>
              <w:jc w:val="center"/>
              <w:rPr>
                <w:rFonts w:hint="eastAsia" w:ascii="宋体" w:hAnsi="宋体" w:eastAsia="宋体" w:cs="宋体"/>
                <w:i w:val="0"/>
                <w:iCs w:val="0"/>
                <w:color w:val="auto"/>
                <w:sz w:val="20"/>
                <w:szCs w:val="20"/>
                <w:highlight w:val="none"/>
                <w:u w:val="none"/>
              </w:rPr>
            </w:pPr>
          </w:p>
        </w:tc>
        <w:tc>
          <w:tcPr>
            <w:tcW w:w="1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25FFAB">
            <w:pPr>
              <w:jc w:val="center"/>
              <w:rPr>
                <w:rFonts w:hint="eastAsia" w:ascii="宋体" w:hAnsi="宋体" w:eastAsia="宋体" w:cs="宋体"/>
                <w:b/>
                <w:bCs/>
                <w:i w:val="0"/>
                <w:iCs w:val="0"/>
                <w:color w:val="auto"/>
                <w:sz w:val="20"/>
                <w:szCs w:val="20"/>
                <w:highlight w:val="none"/>
                <w:u w:val="none"/>
              </w:rPr>
            </w:pPr>
          </w:p>
        </w:tc>
        <w:tc>
          <w:tcPr>
            <w:tcW w:w="4988" w:type="dxa"/>
            <w:gridSpan w:val="5"/>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A78D62">
            <w:pPr>
              <w:jc w:val="center"/>
              <w:rPr>
                <w:rFonts w:hint="eastAsia" w:ascii="宋体" w:hAnsi="宋体" w:eastAsia="宋体" w:cs="宋体"/>
                <w:i w:val="0"/>
                <w:iCs w:val="0"/>
                <w:color w:val="auto"/>
                <w:sz w:val="20"/>
                <w:szCs w:val="20"/>
                <w:highlight w:val="none"/>
                <w:u w:val="none"/>
              </w:rPr>
            </w:pPr>
          </w:p>
        </w:tc>
      </w:tr>
      <w:tr w14:paraId="041F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5" w:hRule="atLeast"/>
        </w:trPr>
        <w:tc>
          <w:tcPr>
            <w:tcW w:w="1089" w:type="dxa"/>
            <w:tcBorders>
              <w:top w:val="single" w:color="auto" w:sz="4" w:space="0"/>
              <w:left w:val="single" w:color="auto" w:sz="4" w:space="0"/>
              <w:bottom w:val="single" w:color="auto" w:sz="4" w:space="0"/>
              <w:right w:val="single" w:color="auto" w:sz="4" w:space="0"/>
            </w:tcBorders>
            <w:shd w:val="clear" w:color="auto" w:fill="auto"/>
            <w:vAlign w:val="center"/>
          </w:tcPr>
          <w:p w14:paraId="4CE2CCF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宁洛高速、凤阳支线、天扬、明巢、来六</w:t>
            </w:r>
          </w:p>
        </w:tc>
        <w:tc>
          <w:tcPr>
            <w:tcW w:w="15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78C9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305.675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F70209A">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rPr>
            </w:pPr>
            <w:r>
              <w:rPr>
                <w:rFonts w:hint="eastAsia" w:ascii="宋体" w:hAnsi="宋体" w:eastAsia="宋体" w:cs="宋体"/>
                <w:b/>
                <w:bCs/>
                <w:i w:val="0"/>
                <w:iCs w:val="0"/>
                <w:color w:val="auto"/>
                <w:kern w:val="0"/>
                <w:sz w:val="20"/>
                <w:szCs w:val="20"/>
                <w:highlight w:val="none"/>
                <w:u w:val="none"/>
                <w:lang w:val="en-US" w:eastAsia="zh-CN" w:bidi="ar"/>
              </w:rPr>
              <w:t>建设单位根据需要指定，优先检测技术状况较差的路段</w:t>
            </w:r>
          </w:p>
        </w:tc>
        <w:tc>
          <w:tcPr>
            <w:tcW w:w="4988"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39433FBB">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1.路面技术状况检测，依据《公路技术状况评定标准》（JTG 5210-2018）,《公路路面技术状况自动化检测规程》（JTG/T E61-2014)相关规定，工作内容包含以下指标：（1）路面损坏状况质数(PCI)、（2）路面行驶质量指数(RQI)、（3）路面车辙深度指数(RDI)、（4）路面跳车指数(PBI)、（5）路面磨耗指数(PWI)、（6）路面抗滑指数(SRI)</w:t>
            </w:r>
          </w:p>
          <w:p w14:paraId="4D4B0538">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路面技术状况检测两个车道（每个方向右侧第二车道），其中：①每10m计算1个IRI（国际平整度指数）统计值，②PB(路面跳车)、MPD（路面构造深度）统计长度均为10m。PQI以100m为一个评定单元。TCL检测频率：上行或下行全覆盖（与检测路面同侧），抽检比例100%。</w:t>
            </w:r>
          </w:p>
          <w:p w14:paraId="59077DB4">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2.当年度安全防护工程、路面养护工程质量巡检；</w:t>
            </w:r>
          </w:p>
        </w:tc>
      </w:tr>
      <w:tr w14:paraId="63DE4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25" w:type="dxa"/>
            <w:gridSpan w:val="5"/>
            <w:tcBorders>
              <w:top w:val="nil"/>
              <w:left w:val="nil"/>
              <w:bottom w:val="single" w:color="auto" w:sz="4" w:space="0"/>
              <w:right w:val="nil"/>
            </w:tcBorders>
            <w:shd w:val="clear" w:color="auto" w:fill="auto"/>
            <w:vAlign w:val="center"/>
          </w:tcPr>
          <w:p w14:paraId="2FCB4DA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三、路面技术状况检测</w:t>
            </w:r>
          </w:p>
        </w:tc>
        <w:tc>
          <w:tcPr>
            <w:tcW w:w="1062" w:type="dxa"/>
            <w:tcBorders>
              <w:top w:val="nil"/>
              <w:left w:val="nil"/>
              <w:bottom w:val="single" w:color="auto" w:sz="4" w:space="0"/>
              <w:right w:val="nil"/>
            </w:tcBorders>
            <w:shd w:val="clear" w:color="auto" w:fill="auto"/>
            <w:vAlign w:val="center"/>
          </w:tcPr>
          <w:p w14:paraId="4B98C58C">
            <w:pPr>
              <w:jc w:val="center"/>
              <w:rPr>
                <w:rFonts w:hint="eastAsia" w:ascii="宋体" w:hAnsi="宋体" w:eastAsia="宋体" w:cs="宋体"/>
                <w:i w:val="0"/>
                <w:iCs w:val="0"/>
                <w:color w:val="auto"/>
                <w:sz w:val="24"/>
                <w:szCs w:val="24"/>
                <w:highlight w:val="none"/>
                <w:u w:val="none"/>
              </w:rPr>
            </w:pPr>
          </w:p>
        </w:tc>
        <w:tc>
          <w:tcPr>
            <w:tcW w:w="843" w:type="dxa"/>
            <w:tcBorders>
              <w:top w:val="nil"/>
              <w:left w:val="nil"/>
              <w:bottom w:val="single" w:color="auto" w:sz="4" w:space="0"/>
              <w:right w:val="nil"/>
            </w:tcBorders>
            <w:shd w:val="clear" w:color="auto" w:fill="auto"/>
            <w:vAlign w:val="center"/>
          </w:tcPr>
          <w:p w14:paraId="5690F248">
            <w:pPr>
              <w:jc w:val="center"/>
              <w:rPr>
                <w:rFonts w:hint="eastAsia" w:ascii="宋体" w:hAnsi="宋体" w:eastAsia="宋体" w:cs="宋体"/>
                <w:i w:val="0"/>
                <w:iCs w:val="0"/>
                <w:color w:val="auto"/>
                <w:sz w:val="24"/>
                <w:szCs w:val="24"/>
                <w:highlight w:val="none"/>
                <w:u w:val="none"/>
              </w:rPr>
            </w:pPr>
          </w:p>
        </w:tc>
        <w:tc>
          <w:tcPr>
            <w:tcW w:w="660" w:type="dxa"/>
            <w:tcBorders>
              <w:top w:val="nil"/>
              <w:left w:val="nil"/>
              <w:bottom w:val="single" w:color="auto" w:sz="4" w:space="0"/>
              <w:right w:val="nil"/>
            </w:tcBorders>
            <w:shd w:val="clear" w:color="auto" w:fill="auto"/>
            <w:vAlign w:val="center"/>
          </w:tcPr>
          <w:p w14:paraId="71193D02">
            <w:pPr>
              <w:jc w:val="center"/>
              <w:rPr>
                <w:rFonts w:hint="eastAsia" w:ascii="宋体" w:hAnsi="宋体" w:eastAsia="宋体" w:cs="宋体"/>
                <w:i w:val="0"/>
                <w:iCs w:val="0"/>
                <w:color w:val="auto"/>
                <w:sz w:val="24"/>
                <w:szCs w:val="24"/>
                <w:highlight w:val="none"/>
                <w:u w:val="none"/>
              </w:rPr>
            </w:pPr>
          </w:p>
        </w:tc>
        <w:tc>
          <w:tcPr>
            <w:tcW w:w="1992" w:type="dxa"/>
            <w:tcBorders>
              <w:top w:val="nil"/>
              <w:left w:val="nil"/>
              <w:bottom w:val="single" w:color="auto" w:sz="4" w:space="0"/>
              <w:right w:val="nil"/>
            </w:tcBorders>
            <w:shd w:val="clear" w:color="auto" w:fill="auto"/>
            <w:vAlign w:val="center"/>
          </w:tcPr>
          <w:p w14:paraId="1174101A">
            <w:pPr>
              <w:jc w:val="center"/>
              <w:rPr>
                <w:rFonts w:hint="eastAsia" w:ascii="宋体" w:hAnsi="宋体" w:eastAsia="宋体" w:cs="宋体"/>
                <w:i w:val="0"/>
                <w:iCs w:val="0"/>
                <w:color w:val="auto"/>
                <w:sz w:val="24"/>
                <w:szCs w:val="24"/>
                <w:highlight w:val="none"/>
                <w:u w:val="none"/>
              </w:rPr>
            </w:pPr>
          </w:p>
        </w:tc>
      </w:tr>
      <w:tr w14:paraId="60AF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0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F373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路线名称</w:t>
            </w:r>
          </w:p>
        </w:tc>
        <w:tc>
          <w:tcPr>
            <w:tcW w:w="154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E282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（km）</w:t>
            </w:r>
          </w:p>
        </w:tc>
        <w:tc>
          <w:tcPr>
            <w:tcW w:w="1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69D1FF">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抽检比例</w:t>
            </w:r>
          </w:p>
        </w:tc>
        <w:tc>
          <w:tcPr>
            <w:tcW w:w="4988" w:type="dxa"/>
            <w:gridSpan w:val="5"/>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2964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工作内容</w:t>
            </w:r>
          </w:p>
        </w:tc>
      </w:tr>
      <w:tr w14:paraId="6B02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C9DA50">
            <w:pPr>
              <w:jc w:val="center"/>
              <w:rPr>
                <w:rFonts w:hint="eastAsia" w:ascii="宋体" w:hAnsi="宋体" w:eastAsia="宋体" w:cs="宋体"/>
                <w:i w:val="0"/>
                <w:iCs w:val="0"/>
                <w:color w:val="auto"/>
                <w:sz w:val="20"/>
                <w:szCs w:val="20"/>
                <w:highlight w:val="none"/>
                <w:u w:val="none"/>
              </w:rPr>
            </w:pPr>
          </w:p>
        </w:tc>
        <w:tc>
          <w:tcPr>
            <w:tcW w:w="154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25CE06">
            <w:pPr>
              <w:jc w:val="center"/>
              <w:rPr>
                <w:rFonts w:hint="eastAsia" w:ascii="宋体" w:hAnsi="宋体" w:eastAsia="宋体" w:cs="宋体"/>
                <w:i w:val="0"/>
                <w:iCs w:val="0"/>
                <w:color w:val="auto"/>
                <w:sz w:val="20"/>
                <w:szCs w:val="20"/>
                <w:highlight w:val="none"/>
                <w:u w:val="none"/>
              </w:rPr>
            </w:pPr>
          </w:p>
        </w:tc>
        <w:tc>
          <w:tcPr>
            <w:tcW w:w="1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5EBDE2">
            <w:pPr>
              <w:jc w:val="center"/>
              <w:rPr>
                <w:rFonts w:hint="eastAsia" w:ascii="宋体" w:hAnsi="宋体" w:eastAsia="宋体" w:cs="宋体"/>
                <w:b/>
                <w:bCs/>
                <w:i w:val="0"/>
                <w:iCs w:val="0"/>
                <w:color w:val="auto"/>
                <w:sz w:val="20"/>
                <w:szCs w:val="20"/>
                <w:highlight w:val="none"/>
                <w:u w:val="none"/>
              </w:rPr>
            </w:pPr>
          </w:p>
        </w:tc>
        <w:tc>
          <w:tcPr>
            <w:tcW w:w="4988" w:type="dxa"/>
            <w:gridSpan w:val="5"/>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A2C4EB">
            <w:pPr>
              <w:jc w:val="center"/>
              <w:rPr>
                <w:rFonts w:hint="eastAsia" w:ascii="宋体" w:hAnsi="宋体" w:eastAsia="宋体" w:cs="宋体"/>
                <w:i w:val="0"/>
                <w:iCs w:val="0"/>
                <w:color w:val="auto"/>
                <w:sz w:val="20"/>
                <w:szCs w:val="20"/>
                <w:highlight w:val="none"/>
                <w:u w:val="none"/>
              </w:rPr>
            </w:pPr>
          </w:p>
        </w:tc>
      </w:tr>
      <w:tr w14:paraId="600BE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0" w:hRule="atLeast"/>
        </w:trPr>
        <w:tc>
          <w:tcPr>
            <w:tcW w:w="1089" w:type="dxa"/>
            <w:tcBorders>
              <w:top w:val="single" w:color="auto" w:sz="4" w:space="0"/>
              <w:left w:val="single" w:color="auto" w:sz="4" w:space="0"/>
              <w:bottom w:val="single" w:color="auto" w:sz="4" w:space="0"/>
              <w:right w:val="single" w:color="auto" w:sz="4" w:space="0"/>
            </w:tcBorders>
            <w:shd w:val="clear" w:color="auto" w:fill="auto"/>
            <w:vAlign w:val="center"/>
          </w:tcPr>
          <w:p w14:paraId="429B9AF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宁洛高速、凤阳支线、天扬、明巢、来六</w:t>
            </w:r>
          </w:p>
        </w:tc>
        <w:tc>
          <w:tcPr>
            <w:tcW w:w="15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B9DB3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305.675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92D0C37">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rPr>
            </w:pPr>
            <w:r>
              <w:rPr>
                <w:rFonts w:hint="eastAsia" w:ascii="宋体" w:hAnsi="宋体" w:eastAsia="宋体" w:cs="宋体"/>
                <w:b/>
                <w:bCs/>
                <w:i w:val="0"/>
                <w:iCs w:val="0"/>
                <w:color w:val="auto"/>
                <w:kern w:val="0"/>
                <w:sz w:val="20"/>
                <w:szCs w:val="20"/>
                <w:highlight w:val="none"/>
                <w:u w:val="none"/>
                <w:lang w:val="en-US" w:eastAsia="zh-CN" w:bidi="ar"/>
              </w:rPr>
              <w:t>建设单位根据需要指定，优先检测技术状况较差的路段</w:t>
            </w:r>
          </w:p>
        </w:tc>
        <w:tc>
          <w:tcPr>
            <w:tcW w:w="4988"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4572E237">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1.依据《公路技术状况评定标准》（JTG 5210-2018）,交路标函〔2024〕80号 交通运输部公路科学研究院关于发布《2024年度国家公路网技术状况监测项目-公路交通安全设施监测工作细则》的通知等相关规定，工作内容包含以下指标：防护设施外观、隔离栅外观、标志外观、标线外观、技术状况评定等。</w:t>
            </w:r>
          </w:p>
          <w:p w14:paraId="6FDF23E9">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检测两个方向，含每个方向路侧及中央分隔带。</w:t>
            </w:r>
          </w:p>
          <w:p w14:paraId="0E2F762D">
            <w:pPr>
              <w:keepNext w:val="0"/>
              <w:keepLines w:val="0"/>
              <w:widowControl/>
              <w:suppressLineNumbers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w:t>
            </w:r>
          </w:p>
        </w:tc>
      </w:tr>
    </w:tbl>
    <w:p w14:paraId="7042317A">
      <w:pPr>
        <w:keepNext w:val="0"/>
        <w:keepLines w:val="0"/>
        <w:pageBreakBefore w:val="0"/>
        <w:widowControl w:val="0"/>
        <w:numPr>
          <w:ilvl w:val="0"/>
          <w:numId w:val="0"/>
        </w:numPr>
        <w:tabs>
          <w:tab w:val="left" w:pos="1446"/>
        </w:tabs>
        <w:kinsoku/>
        <w:wordWrap/>
        <w:overflowPunct/>
        <w:topLinePunct w:val="0"/>
        <w:autoSpaceDE/>
        <w:autoSpaceDN/>
        <w:bidi w:val="0"/>
        <w:adjustRightInd/>
        <w:snapToGrid/>
        <w:spacing w:line="480" w:lineRule="exact"/>
        <w:textAlignment w:val="auto"/>
        <w:rPr>
          <w:rFonts w:hint="default" w:ascii="宋体" w:hAnsi="宋体" w:eastAsia="宋体" w:cs="宋体"/>
          <w:bCs/>
          <w:color w:val="auto"/>
          <w:sz w:val="24"/>
          <w:szCs w:val="24"/>
          <w:highlight w:val="none"/>
          <w:lang w:val="en-US" w:eastAsia="zh-CN"/>
        </w:rPr>
      </w:pPr>
    </w:p>
    <w:p w14:paraId="3040E5E9">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报价要求</w:t>
      </w:r>
    </w:p>
    <w:p w14:paraId="1B0E3E4A">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为固定单价（费率）合同，完成本项目采购内容及服务要求所需的人工费、材料费、交通费、管理费、利润、风险费用、代理费及后期服务及国家对中标单位征收的各种税费等所有一切费用。超过60万元按60万元结算，不足60万元按实结算。</w:t>
      </w:r>
    </w:p>
    <w:p w14:paraId="293CA6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2.服务过程中涉及的敏感资料、电子数据等相关信息，中标人应严格执行保密的相关规定，不得以任何方式向任何第三人披露、泄露或许可第三人使用，否则追究其相应法律责任。</w:t>
      </w:r>
    </w:p>
    <w:p w14:paraId="376A3ADD">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其他要求</w:t>
      </w:r>
    </w:p>
    <w:p w14:paraId="605C2672">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高速公路技术状况检测、沿线设施技术状况检测除必须人工调查除外，主要检测内容使用全自动检测设备，检测报告须由中标单位技术负责人签字后报业主审查。检测前编制检测方案，经业主审批同意后方可开展相关工作。高速公路技术状况评定、沿线设施技术状况评定、安徽省高速公路资产平台公路和交通安全设施管理系统录入、定期检查报告编制、高速公路资产平台桥梁基础数据抽查核对、省公路中心公路和交通安全设施核查通报数据维护、年报数据核查等。</w:t>
      </w:r>
    </w:p>
    <w:p w14:paraId="7222C40E">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根据《公路桥涵养护规范》（JTG 5120—2021）、《公路桥梁技术状况评定标准》（JTGT H21-2011）的规定对桥梁开展定期检查，通过无损检测方式对桥梁构件定期检查需测定的所有项目，桥梁技术状况评定、安徽省高速公路资产平台桥梁管理系统录入、定期检查报告编制、经过桥梁测绘绘制桥梁外观结构图、高速公路资产平台桥梁基础数据抽查核对、省公路中心桥梁核查通报数据维护、年报数据核查等。</w:t>
      </w:r>
    </w:p>
    <w:p w14:paraId="2FCFA4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3、评定报告内容标准符合国家有关技术规程、规范要求。若不符合相关质量要求，由中标人立即无条件进行整改。由此发生的费用业主不用另行计量支付。</w:t>
      </w:r>
    </w:p>
    <w:p w14:paraId="0CC374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4、中标单位在承包期内工作人员发生各种事故：包括工程安全、治安、交通、防火和违法乱纪、劳资纠纷等事件，所造成一切后果及损失，由中标单位承担责任和负责赔偿。</w:t>
      </w:r>
    </w:p>
    <w:p w14:paraId="3EB80D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5、在合同期内，中标人因各种原因，造成第三方的损失或经济损失，由中标人独自承担其法律和经济责任，与招标人无关。</w:t>
      </w:r>
    </w:p>
    <w:p w14:paraId="037CB4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6、检测工作期间的交通安全保通方案，应报请辖区交警部门、高速路政部门审查同意；检测路段、桥梁等实施范围须经业主单位审核确认后方可开展检测作业。</w:t>
      </w:r>
    </w:p>
    <w:p w14:paraId="3F5146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7、累加结算金额超过60万元按60万元结算，不足60万元按实结算。</w:t>
      </w:r>
    </w:p>
    <w:p w14:paraId="06FDB9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bookmarkEnd w:id="44"/>
    <w:bookmarkEnd w:id="49"/>
    <w:bookmarkEnd w:id="50"/>
    <w:bookmarkEnd w:id="51"/>
    <w:p w14:paraId="42400448">
      <w:pPr>
        <w:spacing w:line="360" w:lineRule="auto"/>
        <w:jc w:val="center"/>
        <w:outlineLvl w:val="0"/>
        <w:rPr>
          <w:rFonts w:ascii="宋体" w:hAnsi="宋体" w:eastAsia="宋体" w:cs="宋体"/>
          <w:b/>
          <w:color w:val="auto"/>
          <w:sz w:val="28"/>
          <w:highlight w:val="none"/>
        </w:rPr>
      </w:pPr>
      <w:bookmarkStart w:id="54" w:name="_Toc19621"/>
      <w:r>
        <w:rPr>
          <w:rFonts w:hint="eastAsia" w:ascii="宋体" w:hAnsi="宋体" w:eastAsia="宋体" w:cs="宋体"/>
          <w:b/>
          <w:color w:val="auto"/>
          <w:sz w:val="28"/>
          <w:highlight w:val="none"/>
        </w:rPr>
        <w:t>第四章  评标方法和标准（综合评分法）</w:t>
      </w:r>
      <w:bookmarkEnd w:id="54"/>
    </w:p>
    <w:p w14:paraId="616DD295">
      <w:pPr>
        <w:spacing w:line="440" w:lineRule="exact"/>
        <w:ind w:firstLine="437"/>
        <w:outlineLvl w:val="1"/>
        <w:rPr>
          <w:rFonts w:ascii="宋体" w:hAnsi="宋体" w:eastAsia="宋体" w:cs="宋体"/>
          <w:b/>
          <w:color w:val="auto"/>
          <w:sz w:val="24"/>
          <w:highlight w:val="none"/>
        </w:rPr>
      </w:pPr>
      <w:bookmarkStart w:id="55" w:name="_Toc11823"/>
      <w:bookmarkStart w:id="56" w:name="_Toc4705"/>
      <w:bookmarkStart w:id="57" w:name="_Toc18048"/>
      <w:r>
        <w:rPr>
          <w:rFonts w:hint="eastAsia" w:ascii="宋体" w:hAnsi="宋体" w:eastAsia="宋体" w:cs="宋体"/>
          <w:b/>
          <w:color w:val="auto"/>
          <w:sz w:val="24"/>
          <w:highlight w:val="none"/>
        </w:rPr>
        <w:t>一、总则</w:t>
      </w:r>
      <w:bookmarkEnd w:id="55"/>
      <w:bookmarkEnd w:id="56"/>
      <w:bookmarkEnd w:id="57"/>
    </w:p>
    <w:p w14:paraId="1D1AC7D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本项目将按照招标文件第二章投标人须知的相关要求及本章的规定评标。</w:t>
      </w:r>
    </w:p>
    <w:p w14:paraId="5797733B">
      <w:pPr>
        <w:spacing w:line="440" w:lineRule="exact"/>
        <w:ind w:firstLine="437"/>
        <w:outlineLvl w:val="1"/>
        <w:rPr>
          <w:rFonts w:ascii="宋体" w:hAnsi="宋体" w:eastAsia="宋体" w:cs="宋体"/>
          <w:b/>
          <w:color w:val="auto"/>
          <w:sz w:val="24"/>
          <w:highlight w:val="none"/>
        </w:rPr>
      </w:pPr>
      <w:bookmarkStart w:id="58" w:name="_Toc32410"/>
      <w:bookmarkStart w:id="59" w:name="_Toc28877"/>
      <w:bookmarkStart w:id="60" w:name="_Toc31871"/>
      <w:r>
        <w:rPr>
          <w:rFonts w:hint="eastAsia" w:ascii="宋体" w:hAnsi="宋体" w:eastAsia="宋体" w:cs="宋体"/>
          <w:b/>
          <w:color w:val="auto"/>
          <w:sz w:val="24"/>
          <w:highlight w:val="none"/>
        </w:rPr>
        <w:t>二、评标方法</w:t>
      </w:r>
      <w:bookmarkEnd w:id="58"/>
      <w:bookmarkEnd w:id="59"/>
      <w:bookmarkEnd w:id="60"/>
    </w:p>
    <w:p w14:paraId="7B4C004C">
      <w:pPr>
        <w:spacing w:line="440" w:lineRule="exact"/>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2.1资格审查</w:t>
      </w:r>
    </w:p>
    <w:tbl>
      <w:tblPr>
        <w:tblStyle w:val="3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799"/>
        <w:gridCol w:w="4964"/>
        <w:gridCol w:w="2078"/>
      </w:tblGrid>
      <w:tr w14:paraId="2E74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4D91EFB">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b/>
                <w:color w:val="auto"/>
                <w:sz w:val="24"/>
                <w:szCs w:val="22"/>
                <w:highlight w:val="none"/>
              </w:rPr>
              <w:t>资格审查表</w:t>
            </w:r>
          </w:p>
        </w:tc>
      </w:tr>
      <w:tr w14:paraId="34D8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tcBorders>
              <w:bottom w:val="single" w:color="auto" w:sz="4" w:space="0"/>
            </w:tcBorders>
            <w:vAlign w:val="center"/>
          </w:tcPr>
          <w:p w14:paraId="52D6A371">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942" w:type="pct"/>
            <w:tcBorders>
              <w:bottom w:val="single" w:color="auto" w:sz="4" w:space="0"/>
            </w:tcBorders>
            <w:vAlign w:val="center"/>
          </w:tcPr>
          <w:p w14:paraId="3C329670">
            <w:pPr>
              <w:pStyle w:val="49"/>
              <w:pBdr>
                <w:bottom w:val="none" w:color="auto" w:sz="0" w:space="0"/>
              </w:pBdr>
              <w:tabs>
                <w:tab w:val="clear" w:pos="4153"/>
                <w:tab w:val="clear" w:pos="8306"/>
              </w:tabs>
              <w:snapToGrid w:val="0"/>
              <w:spacing w:line="440" w:lineRule="exact"/>
              <w:ind w:right="-10"/>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审查因素</w:t>
            </w:r>
          </w:p>
        </w:tc>
        <w:tc>
          <w:tcPr>
            <w:tcW w:w="2600" w:type="pct"/>
            <w:tcBorders>
              <w:bottom w:val="single" w:color="auto" w:sz="4" w:space="0"/>
            </w:tcBorders>
            <w:vAlign w:val="center"/>
          </w:tcPr>
          <w:p w14:paraId="1F2E3D28">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审查内容</w:t>
            </w:r>
          </w:p>
        </w:tc>
        <w:tc>
          <w:tcPr>
            <w:tcW w:w="1087" w:type="pct"/>
            <w:tcBorders>
              <w:bottom w:val="single" w:color="auto" w:sz="4" w:space="0"/>
            </w:tcBorders>
            <w:vAlign w:val="center"/>
          </w:tcPr>
          <w:p w14:paraId="43936816">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格式要求</w:t>
            </w:r>
          </w:p>
        </w:tc>
      </w:tr>
      <w:tr w14:paraId="6F68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0" w:type="pct"/>
            <w:tcBorders>
              <w:bottom w:val="single" w:color="auto" w:sz="4" w:space="0"/>
            </w:tcBorders>
            <w:vAlign w:val="center"/>
          </w:tcPr>
          <w:p w14:paraId="3FEBD200">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42" w:type="pct"/>
            <w:tcBorders>
              <w:bottom w:val="single" w:color="auto" w:sz="4" w:space="0"/>
            </w:tcBorders>
            <w:vAlign w:val="center"/>
          </w:tcPr>
          <w:p w14:paraId="42183372">
            <w:pPr>
              <w:spacing w:after="50" w:line="440" w:lineRule="exact"/>
              <w:ind w:right="-10"/>
              <w:jc w:val="center"/>
              <w:rPr>
                <w:rFonts w:hint="eastAsia" w:ascii="宋体" w:hAnsi="宋体" w:eastAsia="宋体" w:cs="宋体"/>
                <w:color w:val="auto"/>
                <w:sz w:val="24"/>
                <w:szCs w:val="28"/>
                <w:highlight w:val="none"/>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2600" w:type="pct"/>
            <w:tcBorders>
              <w:bottom w:val="single" w:color="auto" w:sz="4" w:space="0"/>
            </w:tcBorders>
            <w:vAlign w:val="center"/>
          </w:tcPr>
          <w:p w14:paraId="5587784B">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（1）投标人为企业（包括合伙企业）的，应提供有效的营业执照；</w:t>
            </w:r>
          </w:p>
          <w:p w14:paraId="39FEC26F">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（2）投标人为事业单位的，应提供有效的事业单位法人证书；</w:t>
            </w:r>
          </w:p>
          <w:p w14:paraId="3EFB8073">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（3）投标人是非企业机构的，应提供有效的执业许可证或登记证书等证明文件；</w:t>
            </w:r>
          </w:p>
          <w:p w14:paraId="4A0DAA1E">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（4）投标人是个体工商户的，应提供有效的个体工商户营业执照；</w:t>
            </w:r>
          </w:p>
          <w:p w14:paraId="19057DF4">
            <w:pPr>
              <w:spacing w:after="50" w:line="440" w:lineRule="exact"/>
              <w:ind w:right="-1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（5）投标人是自然人的，应提供有效的自然人身份证明。</w:t>
            </w:r>
          </w:p>
        </w:tc>
        <w:tc>
          <w:tcPr>
            <w:tcW w:w="1087" w:type="pct"/>
            <w:vAlign w:val="center"/>
          </w:tcPr>
          <w:p w14:paraId="4E793331">
            <w:pPr>
              <w:spacing w:line="440" w:lineRule="exact"/>
              <w:jc w:val="left"/>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6E03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0" w:type="pct"/>
            <w:tcBorders>
              <w:bottom w:val="single" w:color="auto" w:sz="4" w:space="0"/>
            </w:tcBorders>
            <w:vAlign w:val="center"/>
          </w:tcPr>
          <w:p w14:paraId="30B196C7">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42" w:type="pct"/>
            <w:tcBorders>
              <w:bottom w:val="single" w:color="auto" w:sz="4" w:space="0"/>
            </w:tcBorders>
            <w:vAlign w:val="center"/>
          </w:tcPr>
          <w:p w14:paraId="19B60BDA">
            <w:pPr>
              <w:spacing w:after="50" w:line="440" w:lineRule="exact"/>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18"/>
                <w:highlight w:val="none"/>
              </w:rPr>
              <w:t>投标人资格声明书</w:t>
            </w:r>
          </w:p>
        </w:tc>
        <w:tc>
          <w:tcPr>
            <w:tcW w:w="2600" w:type="pct"/>
            <w:tcBorders>
              <w:bottom w:val="single" w:color="auto" w:sz="4" w:space="0"/>
            </w:tcBorders>
            <w:vAlign w:val="center"/>
          </w:tcPr>
          <w:p w14:paraId="412984CE">
            <w:pPr>
              <w:spacing w:after="50" w:line="440" w:lineRule="exact"/>
              <w:ind w:right="-1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提供符合招标文件要求的《投标人资格声明书》。</w:t>
            </w:r>
          </w:p>
        </w:tc>
        <w:tc>
          <w:tcPr>
            <w:tcW w:w="1087" w:type="pct"/>
            <w:vAlign w:val="center"/>
          </w:tcPr>
          <w:p w14:paraId="42DF24B7">
            <w:pPr>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详见第六章投标文件格式。</w:t>
            </w:r>
          </w:p>
        </w:tc>
      </w:tr>
      <w:tr w14:paraId="4CF9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Align w:val="center"/>
          </w:tcPr>
          <w:p w14:paraId="256E5A3E">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42" w:type="pct"/>
            <w:vAlign w:val="center"/>
          </w:tcPr>
          <w:p w14:paraId="573B5ADD">
            <w:pPr>
              <w:spacing w:after="50" w:line="440" w:lineRule="exact"/>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0" w:type="pct"/>
            <w:vAlign w:val="center"/>
          </w:tcPr>
          <w:p w14:paraId="30C51064">
            <w:pPr>
              <w:spacing w:after="50" w:line="440" w:lineRule="exact"/>
              <w:ind w:right="-10"/>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087" w:type="pct"/>
            <w:vAlign w:val="center"/>
          </w:tcPr>
          <w:p w14:paraId="7D6D9BC7">
            <w:pPr>
              <w:spacing w:line="440" w:lineRule="exact"/>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39DF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shd w:val="clear" w:color="auto" w:fill="auto"/>
            <w:vAlign w:val="center"/>
          </w:tcPr>
          <w:p w14:paraId="76016A3F">
            <w:pPr>
              <w:adjustRightInd w:val="0"/>
              <w:snapToGrid w:val="0"/>
              <w:spacing w:line="360" w:lineRule="auto"/>
              <w:ind w:right="-10" w:rightChars="0"/>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4</w:t>
            </w:r>
          </w:p>
        </w:tc>
        <w:tc>
          <w:tcPr>
            <w:tcW w:w="942" w:type="pct"/>
            <w:shd w:val="clear" w:color="auto" w:fill="auto"/>
            <w:vAlign w:val="center"/>
          </w:tcPr>
          <w:p w14:paraId="61CFBA75">
            <w:pPr>
              <w:spacing w:after="50" w:line="360" w:lineRule="auto"/>
              <w:ind w:right="-10"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0"/>
                <w:sz w:val="24"/>
                <w:szCs w:val="24"/>
                <w:highlight w:val="none"/>
              </w:rPr>
              <w:t>其它落实政府采</w:t>
            </w:r>
            <w:r>
              <w:rPr>
                <w:rFonts w:hint="eastAsia" w:ascii="宋体" w:hAnsi="宋体" w:eastAsia="宋体" w:cs="宋体"/>
                <w:color w:val="auto"/>
                <w:spacing w:val="11"/>
                <w:sz w:val="24"/>
                <w:szCs w:val="24"/>
                <w:highlight w:val="none"/>
              </w:rPr>
              <w:t>购政策的资格要</w:t>
            </w:r>
            <w:r>
              <w:rPr>
                <w:rFonts w:hint="eastAsia" w:ascii="宋体" w:hAnsi="宋体" w:eastAsia="宋体" w:cs="宋体"/>
                <w:color w:val="auto"/>
                <w:sz w:val="24"/>
                <w:szCs w:val="24"/>
                <w:highlight w:val="none"/>
              </w:rPr>
              <w:t>求</w:t>
            </w:r>
          </w:p>
        </w:tc>
        <w:tc>
          <w:tcPr>
            <w:tcW w:w="2600" w:type="pct"/>
            <w:shd w:val="clear" w:color="auto" w:fill="auto"/>
            <w:vAlign w:val="center"/>
          </w:tcPr>
          <w:p w14:paraId="3CAD9FC4">
            <w:pPr>
              <w:spacing w:after="50" w:line="360" w:lineRule="auto"/>
              <w:ind w:right="-10" w:rightChars="0"/>
              <w:jc w:val="both"/>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spacing w:val="-2"/>
                <w:sz w:val="24"/>
                <w:szCs w:val="24"/>
                <w:highlight w:val="none"/>
                <w:lang w:val="en-US" w:eastAsia="zh-CN"/>
              </w:rPr>
              <w:t>如有，</w:t>
            </w:r>
            <w:r>
              <w:rPr>
                <w:rFonts w:hint="eastAsia" w:ascii="宋体" w:hAnsi="宋体" w:eastAsia="宋体" w:cs="宋体"/>
                <w:color w:val="auto"/>
                <w:spacing w:val="-2"/>
                <w:sz w:val="24"/>
                <w:szCs w:val="24"/>
                <w:highlight w:val="none"/>
              </w:rPr>
              <w:t>见第一章《投标邀请》</w:t>
            </w:r>
          </w:p>
        </w:tc>
        <w:tc>
          <w:tcPr>
            <w:tcW w:w="1087" w:type="pct"/>
            <w:shd w:val="clear" w:color="auto" w:fill="auto"/>
            <w:vAlign w:val="center"/>
          </w:tcPr>
          <w:p w14:paraId="67632ABB">
            <w:pPr>
              <w:spacing w:after="50" w:line="360" w:lineRule="auto"/>
              <w:ind w:right="-10" w:rightChars="0"/>
              <w:jc w:val="both"/>
              <w:rPr>
                <w:rFonts w:hint="eastAsia" w:ascii="宋体" w:hAnsi="宋体" w:eastAsia="宋体" w:cs="宋体"/>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70B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tcBorders>
              <w:bottom w:val="single" w:color="auto" w:sz="4" w:space="0"/>
            </w:tcBorders>
            <w:shd w:val="clear" w:color="auto" w:fill="auto"/>
            <w:vAlign w:val="center"/>
          </w:tcPr>
          <w:p w14:paraId="362A1003">
            <w:pPr>
              <w:adjustRightInd w:val="0"/>
              <w:snapToGrid w:val="0"/>
              <w:spacing w:line="360" w:lineRule="auto"/>
              <w:ind w:right="-10" w:rightChars="0"/>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5</w:t>
            </w:r>
          </w:p>
        </w:tc>
        <w:tc>
          <w:tcPr>
            <w:tcW w:w="942" w:type="pct"/>
            <w:tcBorders>
              <w:bottom w:val="single" w:color="auto" w:sz="4" w:space="0"/>
            </w:tcBorders>
            <w:shd w:val="clear" w:color="auto" w:fill="auto"/>
            <w:vAlign w:val="center"/>
          </w:tcPr>
          <w:p w14:paraId="52157AB3">
            <w:pPr>
              <w:spacing w:after="50" w:line="360" w:lineRule="auto"/>
              <w:ind w:right="-10" w:rightChars="0"/>
              <w:jc w:val="both"/>
              <w:rPr>
                <w:rFonts w:hint="eastAsia"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pacing w:val="10"/>
                <w:sz w:val="24"/>
                <w:szCs w:val="24"/>
                <w:highlight w:val="none"/>
              </w:rPr>
              <w:t>其他特定资格要求</w:t>
            </w:r>
          </w:p>
        </w:tc>
        <w:tc>
          <w:tcPr>
            <w:tcW w:w="2600" w:type="pct"/>
            <w:tcBorders>
              <w:bottom w:val="single" w:color="auto" w:sz="4" w:space="0"/>
            </w:tcBorders>
            <w:shd w:val="clear" w:color="auto" w:fill="auto"/>
            <w:vAlign w:val="center"/>
          </w:tcPr>
          <w:p w14:paraId="39431A36">
            <w:pPr>
              <w:spacing w:after="50" w:line="360" w:lineRule="auto"/>
              <w:ind w:right="-10" w:rightChars="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spacing w:val="-2"/>
                <w:sz w:val="24"/>
                <w:szCs w:val="24"/>
                <w:highlight w:val="none"/>
              </w:rPr>
              <w:t>见第一章《投标邀请》</w:t>
            </w:r>
          </w:p>
        </w:tc>
        <w:tc>
          <w:tcPr>
            <w:tcW w:w="1087" w:type="pct"/>
            <w:tcBorders>
              <w:bottom w:val="single" w:color="auto" w:sz="4" w:space="0"/>
            </w:tcBorders>
            <w:shd w:val="clear" w:color="auto" w:fill="auto"/>
            <w:vAlign w:val="center"/>
          </w:tcPr>
          <w:p w14:paraId="327E38C9">
            <w:pPr>
              <w:spacing w:after="50" w:line="360" w:lineRule="auto"/>
              <w:ind w:right="-10" w:rightChars="0"/>
              <w:jc w:val="both"/>
              <w:rPr>
                <w:rFonts w:hint="eastAsia" w:ascii="宋体" w:hAnsi="宋体" w:eastAsia="宋体" w:cs="宋体"/>
                <w:color w:val="auto"/>
                <w:spacing w:val="10"/>
                <w:kern w:val="2"/>
                <w:sz w:val="24"/>
                <w:szCs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39C88CE4">
      <w:pPr>
        <w:spacing w:line="440" w:lineRule="exact"/>
        <w:ind w:firstLine="435"/>
        <w:rPr>
          <w:rFonts w:ascii="宋体" w:hAnsi="宋体" w:eastAsia="宋体" w:cs="宋体"/>
          <w:color w:val="auto"/>
          <w:sz w:val="24"/>
          <w:highlight w:val="none"/>
        </w:rPr>
      </w:pPr>
      <w:r>
        <w:rPr>
          <w:rFonts w:hint="eastAsia" w:ascii="宋体" w:hAnsi="宋体" w:eastAsia="宋体" w:cs="宋体"/>
          <w:b/>
          <w:bCs/>
          <w:color w:val="auto"/>
          <w:sz w:val="24"/>
          <w:highlight w:val="none"/>
        </w:rPr>
        <w:t>资格审查指标通过标准：</w:t>
      </w:r>
      <w:r>
        <w:rPr>
          <w:rFonts w:hint="eastAsia" w:ascii="宋体" w:hAnsi="宋体" w:eastAsia="宋体" w:cs="宋体"/>
          <w:color w:val="auto"/>
          <w:sz w:val="24"/>
          <w:highlight w:val="none"/>
        </w:rPr>
        <w:t>投标人必须通过资格审查表中的全部评审指标。</w:t>
      </w:r>
    </w:p>
    <w:p w14:paraId="127AFF29">
      <w:pPr>
        <w:spacing w:line="440" w:lineRule="exact"/>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2.2符合性审查</w:t>
      </w:r>
    </w:p>
    <w:p w14:paraId="794C1D6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评标委员会对通过资格审查的投标人的投标文件进行符合性审查，以确定其是否满足招标文件的实质性要求。符合性审查表如下：</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307"/>
        <w:gridCol w:w="3408"/>
        <w:gridCol w:w="2736"/>
      </w:tblGrid>
      <w:tr w14:paraId="74DE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5000" w:type="pct"/>
            <w:gridSpan w:val="4"/>
            <w:tcBorders>
              <w:bottom w:val="single" w:color="auto" w:sz="4" w:space="0"/>
            </w:tcBorders>
            <w:vAlign w:val="center"/>
          </w:tcPr>
          <w:p w14:paraId="56EF51B6">
            <w:pPr>
              <w:adjustRightInd w:val="0"/>
              <w:snapToGrid w:val="0"/>
              <w:spacing w:line="360" w:lineRule="auto"/>
              <w:ind w:right="-1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符合性审查表</w:t>
            </w:r>
          </w:p>
        </w:tc>
      </w:tr>
      <w:tr w14:paraId="523A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5ECE88BB">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42" w:type="pct"/>
            <w:tcBorders>
              <w:bottom w:val="single" w:color="auto" w:sz="4" w:space="0"/>
            </w:tcBorders>
            <w:vAlign w:val="center"/>
          </w:tcPr>
          <w:p w14:paraId="4C61280E">
            <w:pPr>
              <w:pStyle w:val="4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审查指标</w:t>
            </w:r>
          </w:p>
        </w:tc>
        <w:tc>
          <w:tcPr>
            <w:tcW w:w="1835" w:type="pct"/>
            <w:tcBorders>
              <w:bottom w:val="single" w:color="auto" w:sz="4" w:space="0"/>
            </w:tcBorders>
            <w:vAlign w:val="center"/>
          </w:tcPr>
          <w:p w14:paraId="36C57341">
            <w:pPr>
              <w:adjustRightInd w:val="0"/>
              <w:snapToGrid w:val="0"/>
              <w:spacing w:line="360" w:lineRule="auto"/>
              <w:ind w:right="-1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审查标准</w:t>
            </w:r>
          </w:p>
        </w:tc>
        <w:tc>
          <w:tcPr>
            <w:tcW w:w="1472" w:type="pct"/>
            <w:tcBorders>
              <w:bottom w:val="single" w:color="auto" w:sz="4" w:space="0"/>
            </w:tcBorders>
            <w:vAlign w:val="center"/>
          </w:tcPr>
          <w:p w14:paraId="4D6E30D0">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格式要求</w:t>
            </w:r>
          </w:p>
        </w:tc>
      </w:tr>
      <w:tr w14:paraId="4BBA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3CBFA25">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242" w:type="pct"/>
            <w:vAlign w:val="center"/>
          </w:tcPr>
          <w:p w14:paraId="7CC79906">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开标一览表</w:t>
            </w:r>
          </w:p>
        </w:tc>
        <w:tc>
          <w:tcPr>
            <w:tcW w:w="1835" w:type="pct"/>
            <w:vAlign w:val="center"/>
          </w:tcPr>
          <w:p w14:paraId="13B0ACCC">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2" w:type="pct"/>
            <w:vAlign w:val="center"/>
          </w:tcPr>
          <w:p w14:paraId="5F23FDA0">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3FF6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BF1F55B">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242" w:type="pct"/>
            <w:vAlign w:val="center"/>
          </w:tcPr>
          <w:p w14:paraId="1264DD66">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投标函</w:t>
            </w:r>
          </w:p>
        </w:tc>
        <w:tc>
          <w:tcPr>
            <w:tcW w:w="1835" w:type="pct"/>
            <w:vAlign w:val="center"/>
          </w:tcPr>
          <w:p w14:paraId="6790628D">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2" w:type="pct"/>
            <w:vAlign w:val="center"/>
          </w:tcPr>
          <w:p w14:paraId="7F9550E8">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4404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0855F2D">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242" w:type="pct"/>
            <w:vAlign w:val="center"/>
          </w:tcPr>
          <w:p w14:paraId="14010990">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授权书</w:t>
            </w:r>
          </w:p>
        </w:tc>
        <w:tc>
          <w:tcPr>
            <w:tcW w:w="1835" w:type="pct"/>
            <w:vAlign w:val="center"/>
          </w:tcPr>
          <w:p w14:paraId="2F15473E">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2" w:type="pct"/>
            <w:vAlign w:val="center"/>
          </w:tcPr>
          <w:p w14:paraId="1E2CDC89">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法定代表人参加投标的无需此件，提供身份证明即可。详见第六章投标文件格式</w:t>
            </w:r>
            <w:r>
              <w:rPr>
                <w:rFonts w:hint="eastAsia" w:ascii="宋体" w:hAnsi="宋体" w:eastAsia="宋体" w:cs="宋体"/>
                <w:color w:val="auto"/>
                <w:sz w:val="24"/>
                <w:highlight w:val="none"/>
                <w:lang w:eastAsia="zh-CN"/>
              </w:rPr>
              <w:t>。</w:t>
            </w:r>
          </w:p>
        </w:tc>
      </w:tr>
      <w:tr w14:paraId="14A7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FA5020A">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242" w:type="pct"/>
            <w:vAlign w:val="center"/>
          </w:tcPr>
          <w:p w14:paraId="2AE95A3D">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投标报价</w:t>
            </w:r>
          </w:p>
        </w:tc>
        <w:tc>
          <w:tcPr>
            <w:tcW w:w="1835" w:type="pct"/>
            <w:vAlign w:val="center"/>
          </w:tcPr>
          <w:p w14:paraId="7D8B18F0">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highlight w:val="none"/>
              </w:rPr>
              <w:t>招标文件投标人须知正文第</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条要求</w:t>
            </w:r>
          </w:p>
        </w:tc>
        <w:tc>
          <w:tcPr>
            <w:tcW w:w="1472" w:type="pct"/>
            <w:vAlign w:val="center"/>
          </w:tcPr>
          <w:p w14:paraId="3E0DED82">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562A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65BD248">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1242" w:type="pct"/>
            <w:vAlign w:val="center"/>
          </w:tcPr>
          <w:p w14:paraId="472C9BD9">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商务响应情况</w:t>
            </w:r>
          </w:p>
        </w:tc>
        <w:tc>
          <w:tcPr>
            <w:tcW w:w="1835" w:type="pct"/>
            <w:vAlign w:val="center"/>
          </w:tcPr>
          <w:p w14:paraId="56DB8953">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符合招标文件采购需求中对付款方式、</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期限、</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地点的要求</w:t>
            </w:r>
          </w:p>
        </w:tc>
        <w:tc>
          <w:tcPr>
            <w:tcW w:w="1472" w:type="pct"/>
            <w:vAlign w:val="center"/>
          </w:tcPr>
          <w:p w14:paraId="565A936A">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31B8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BBD4F5D">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w:t>
            </w:r>
          </w:p>
        </w:tc>
        <w:tc>
          <w:tcPr>
            <w:tcW w:w="1242" w:type="pct"/>
            <w:vAlign w:val="center"/>
          </w:tcPr>
          <w:p w14:paraId="4ACF28DC">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响应情况</w:t>
            </w:r>
          </w:p>
        </w:tc>
        <w:tc>
          <w:tcPr>
            <w:tcW w:w="1835" w:type="pct"/>
            <w:vAlign w:val="center"/>
          </w:tcPr>
          <w:p w14:paraId="46E997D2">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要求</w:t>
            </w:r>
          </w:p>
        </w:tc>
        <w:tc>
          <w:tcPr>
            <w:tcW w:w="1472" w:type="pct"/>
            <w:vAlign w:val="center"/>
          </w:tcPr>
          <w:p w14:paraId="03BAE9A4">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3C3F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BA410F7">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7</w:t>
            </w:r>
          </w:p>
        </w:tc>
        <w:tc>
          <w:tcPr>
            <w:tcW w:w="1242" w:type="pct"/>
            <w:vAlign w:val="center"/>
          </w:tcPr>
          <w:p w14:paraId="22017DA5">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其他要求</w:t>
            </w:r>
          </w:p>
        </w:tc>
        <w:tc>
          <w:tcPr>
            <w:tcW w:w="1835" w:type="pct"/>
            <w:vAlign w:val="center"/>
          </w:tcPr>
          <w:p w14:paraId="47EEF6DA">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符合法律、行政法规规定的其他条件或招标文件列明的其他要求</w:t>
            </w:r>
          </w:p>
        </w:tc>
        <w:tc>
          <w:tcPr>
            <w:tcW w:w="1472" w:type="pct"/>
            <w:vAlign w:val="center"/>
          </w:tcPr>
          <w:p w14:paraId="0D759979">
            <w:pPr>
              <w:adjustRightInd w:val="0"/>
              <w:snapToGrid w:val="0"/>
              <w:spacing w:line="360" w:lineRule="auto"/>
              <w:ind w:right="-10"/>
              <w:jc w:val="center"/>
              <w:rPr>
                <w:rFonts w:hint="eastAsia" w:ascii="宋体" w:hAnsi="宋体" w:eastAsia="宋体" w:cs="宋体"/>
                <w:color w:val="auto"/>
                <w:sz w:val="24"/>
                <w:highlight w:val="none"/>
              </w:rPr>
            </w:pPr>
          </w:p>
        </w:tc>
      </w:tr>
    </w:tbl>
    <w:p w14:paraId="08BCEF8E">
      <w:pPr>
        <w:spacing w:line="440" w:lineRule="exact"/>
        <w:ind w:firstLine="435"/>
        <w:rPr>
          <w:rFonts w:ascii="宋体" w:hAnsi="宋体" w:eastAsia="宋体" w:cs="宋体"/>
          <w:color w:val="auto"/>
          <w:sz w:val="24"/>
          <w:highlight w:val="none"/>
        </w:rPr>
      </w:pPr>
      <w:r>
        <w:rPr>
          <w:rFonts w:hint="eastAsia" w:ascii="宋体" w:hAnsi="宋体" w:eastAsia="宋体" w:cs="宋体"/>
          <w:b/>
          <w:bCs/>
          <w:color w:val="auto"/>
          <w:sz w:val="24"/>
          <w:highlight w:val="none"/>
        </w:rPr>
        <w:t>符合性审查指标通过标准：</w:t>
      </w:r>
      <w:r>
        <w:rPr>
          <w:rFonts w:hint="eastAsia" w:ascii="宋体" w:hAnsi="宋体" w:eastAsia="宋体" w:cs="宋体"/>
          <w:color w:val="auto"/>
          <w:sz w:val="24"/>
          <w:highlight w:val="none"/>
        </w:rPr>
        <w:t>投标人必须通过符合性审查表中的全部评审指标。</w:t>
      </w:r>
    </w:p>
    <w:p w14:paraId="0644D3FC">
      <w:pPr>
        <w:spacing w:line="360" w:lineRule="auto"/>
        <w:ind w:firstLine="435"/>
        <w:outlineLvl w:val="2"/>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2.3</w:t>
      </w:r>
      <w:r>
        <w:rPr>
          <w:rFonts w:hint="eastAsia" w:asciiTheme="minorEastAsia" w:hAnsiTheme="minorEastAsia" w:eastAsiaTheme="minorEastAsia"/>
          <w:b/>
          <w:bCs/>
          <w:color w:val="auto"/>
          <w:sz w:val="24"/>
          <w:highlight w:val="none"/>
        </w:rPr>
        <w:t>异常低价</w:t>
      </w:r>
      <w:r>
        <w:rPr>
          <w:rFonts w:hint="eastAsia" w:asciiTheme="minorEastAsia" w:hAnsiTheme="minorEastAsia" w:eastAsiaTheme="minorEastAsia"/>
          <w:b/>
          <w:bCs/>
          <w:color w:val="auto"/>
          <w:sz w:val="24"/>
          <w:highlight w:val="none"/>
          <w:lang w:val="en-US" w:eastAsia="zh-CN"/>
        </w:rPr>
        <w:t>投标</w:t>
      </w:r>
      <w:r>
        <w:rPr>
          <w:rFonts w:hint="eastAsia" w:asciiTheme="minorEastAsia" w:hAnsiTheme="minorEastAsia" w:eastAsiaTheme="minorEastAsia"/>
          <w:b/>
          <w:bCs/>
          <w:color w:val="auto"/>
          <w:sz w:val="24"/>
          <w:highlight w:val="none"/>
        </w:rPr>
        <w:t>审查</w:t>
      </w:r>
    </w:p>
    <w:tbl>
      <w:tblPr>
        <w:tblStyle w:val="30"/>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3"/>
      </w:tblGrid>
      <w:tr w14:paraId="17EB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E6D2FC4">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3654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68AFA682">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0A6F9AD2">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9CB0537">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4334072">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765D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46AAFE8A">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39312BDF">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58BB5D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55%</w:t>
            </w:r>
            <w:r>
              <w:rPr>
                <w:rFonts w:hint="eastAsia" w:ascii="宋体" w:hAnsi="宋体" w:eastAsia="宋体" w:cs="宋体"/>
                <w:b w:val="0"/>
                <w:bCs w:val="0"/>
                <w:i w:val="0"/>
                <w:iCs w:val="0"/>
                <w:color w:val="auto"/>
                <w:sz w:val="24"/>
                <w:szCs w:val="24"/>
                <w:highlight w:val="none"/>
                <w:u w:val="none"/>
                <w:lang w:val="en-US" w:eastAsia="zh-CN"/>
              </w:rPr>
              <w:t>；</w:t>
            </w:r>
          </w:p>
          <w:p w14:paraId="0D47D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55%</w:t>
            </w:r>
            <w:r>
              <w:rPr>
                <w:rFonts w:hint="eastAsia" w:ascii="宋体" w:hAnsi="宋体" w:eastAsia="宋体" w:cs="宋体"/>
                <w:b w:val="0"/>
                <w:bCs w:val="0"/>
                <w:i w:val="0"/>
                <w:iCs w:val="0"/>
                <w:color w:val="auto"/>
                <w:sz w:val="24"/>
                <w:szCs w:val="24"/>
                <w:highlight w:val="none"/>
                <w:u w:val="none"/>
                <w:lang w:val="en-US" w:eastAsia="zh-CN"/>
              </w:rPr>
              <w:t>；</w:t>
            </w:r>
          </w:p>
          <w:p w14:paraId="519EA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55%</w:t>
            </w:r>
            <w:r>
              <w:rPr>
                <w:rFonts w:hint="eastAsia" w:ascii="宋体" w:hAnsi="宋体" w:eastAsia="宋体" w:cs="宋体"/>
                <w:b w:val="0"/>
                <w:bCs w:val="0"/>
                <w:i w:val="0"/>
                <w:iCs w:val="0"/>
                <w:color w:val="auto"/>
                <w:sz w:val="24"/>
                <w:szCs w:val="24"/>
                <w:highlight w:val="none"/>
                <w:u w:val="none"/>
                <w:lang w:val="en-US" w:eastAsia="zh-CN"/>
              </w:rPr>
              <w:t>；</w:t>
            </w:r>
          </w:p>
          <w:p w14:paraId="4B97E32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505A766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4C95D3CE">
            <w:pPr>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2DE18B19">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216CBD5E">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C2FACCD">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6A69EB6A">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7E8FEED">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30205C7B">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29AAC829">
      <w:pPr>
        <w:spacing w:line="440" w:lineRule="exact"/>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详细审查</w:t>
      </w:r>
    </w:p>
    <w:p w14:paraId="17CA269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.1评标委员会按照下表对投标文件进行详细审查和评分。</w:t>
      </w:r>
    </w:p>
    <w:p w14:paraId="2CDCD49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.2本项目综合评分满分为100分，具体评分细则如下：</w:t>
      </w:r>
    </w:p>
    <w:p w14:paraId="1EB533CA">
      <w:pPr>
        <w:spacing w:line="400" w:lineRule="exact"/>
        <w:ind w:firstLine="417" w:firstLineChars="198"/>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资信标评审细则（</w:t>
      </w:r>
      <w:r>
        <w:rPr>
          <w:rFonts w:hint="eastAsia" w:ascii="宋体" w:hAnsi="宋体" w:eastAsia="宋体" w:cs="宋体"/>
          <w:b/>
          <w:color w:val="auto"/>
          <w:szCs w:val="21"/>
          <w:highlight w:val="none"/>
          <w:lang w:val="en-US" w:eastAsia="zh-CN"/>
        </w:rPr>
        <w:t>10</w:t>
      </w:r>
      <w:r>
        <w:rPr>
          <w:rFonts w:hint="eastAsia" w:ascii="宋体" w:hAnsi="宋体" w:eastAsia="宋体" w:cs="宋体"/>
          <w:b/>
          <w:color w:val="auto"/>
          <w:szCs w:val="21"/>
          <w:highlight w:val="none"/>
        </w:rPr>
        <w:t>分）</w:t>
      </w:r>
    </w:p>
    <w:tbl>
      <w:tblPr>
        <w:tblStyle w:val="30"/>
        <w:tblW w:w="9612" w:type="dxa"/>
        <w:tblInd w:w="-3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188"/>
        <w:gridCol w:w="7636"/>
      </w:tblGrid>
      <w:tr w14:paraId="260E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88" w:type="dxa"/>
            <w:noWrap w:val="0"/>
            <w:vAlign w:val="center"/>
          </w:tcPr>
          <w:p w14:paraId="605D5C4C">
            <w:pPr>
              <w:widowControl/>
              <w:spacing w:line="440" w:lineRule="exact"/>
              <w:jc w:val="center"/>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188" w:type="dxa"/>
            <w:noWrap w:val="0"/>
            <w:vAlign w:val="center"/>
          </w:tcPr>
          <w:p w14:paraId="4AD17463">
            <w:pPr>
              <w:widowControl/>
              <w:spacing w:line="440" w:lineRule="exact"/>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评分因素</w:t>
            </w:r>
          </w:p>
        </w:tc>
        <w:tc>
          <w:tcPr>
            <w:tcW w:w="7636" w:type="dxa"/>
            <w:noWrap w:val="0"/>
            <w:vAlign w:val="center"/>
          </w:tcPr>
          <w:p w14:paraId="62A545F6">
            <w:pPr>
              <w:widowControl/>
              <w:spacing w:line="440" w:lineRule="exact"/>
              <w:jc w:val="center"/>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评审细则</w:t>
            </w:r>
            <w:r>
              <w:rPr>
                <w:rFonts w:hint="eastAsia" w:ascii="宋体" w:hAnsi="宋体" w:eastAsia="宋体" w:cs="宋体"/>
                <w:b/>
                <w:bCs/>
                <w:color w:val="auto"/>
                <w:kern w:val="0"/>
                <w:sz w:val="21"/>
                <w:szCs w:val="21"/>
                <w:highlight w:val="none"/>
                <w:lang w:val="en-US" w:eastAsia="zh-CN"/>
              </w:rPr>
              <w:t>及所需材料</w:t>
            </w:r>
          </w:p>
        </w:tc>
      </w:tr>
      <w:tr w14:paraId="3223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88" w:type="dxa"/>
            <w:noWrap w:val="0"/>
            <w:vAlign w:val="center"/>
          </w:tcPr>
          <w:p w14:paraId="16F4929A">
            <w:pPr>
              <w:widowControl/>
              <w:spacing w:line="440" w:lineRule="exact"/>
              <w:jc w:val="center"/>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w:t>
            </w:r>
          </w:p>
        </w:tc>
        <w:tc>
          <w:tcPr>
            <w:tcW w:w="1188" w:type="dxa"/>
            <w:noWrap w:val="0"/>
            <w:vAlign w:val="center"/>
          </w:tcPr>
          <w:p w14:paraId="1FCC61F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业绩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lang w:eastAsia="zh-CN"/>
              </w:rPr>
              <w:t>）</w:t>
            </w:r>
          </w:p>
        </w:tc>
        <w:tc>
          <w:tcPr>
            <w:tcW w:w="7636" w:type="dxa"/>
            <w:noWrap w:val="0"/>
            <w:vAlign w:val="center"/>
          </w:tcPr>
          <w:p w14:paraId="6E148FA9">
            <w:pPr>
              <w:keepNext w:val="0"/>
              <w:keepLines w:val="0"/>
              <w:pageBreakBefore w:val="0"/>
              <w:numPr>
                <w:ilvl w:val="0"/>
                <w:numId w:val="0"/>
              </w:numPr>
              <w:tabs>
                <w:tab w:val="left" w:pos="112"/>
              </w:tabs>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年1月1日至今每提供1个</w:t>
            </w:r>
            <w:r>
              <w:rPr>
                <w:rFonts w:hint="eastAsia" w:ascii="宋体" w:hAnsi="宋体" w:eastAsia="宋体" w:cs="宋体"/>
                <w:color w:val="auto"/>
                <w:sz w:val="21"/>
                <w:szCs w:val="21"/>
                <w:highlight w:val="none"/>
                <w:lang w:val="en-US" w:eastAsia="zh-CN"/>
              </w:rPr>
              <w:t>公路的技术状况</w:t>
            </w:r>
            <w:r>
              <w:rPr>
                <w:rFonts w:hint="eastAsia" w:ascii="宋体" w:hAnsi="宋体" w:eastAsia="宋体" w:cs="宋体"/>
                <w:color w:val="auto"/>
                <w:sz w:val="21"/>
                <w:szCs w:val="21"/>
                <w:highlight w:val="none"/>
              </w:rPr>
              <w:t>检测评定项目业绩的</w:t>
            </w:r>
            <w:r>
              <w:rPr>
                <w:rFonts w:hint="eastAsia" w:ascii="宋体" w:hAnsi="宋体" w:eastAsia="宋体" w:cs="宋体"/>
                <w:color w:val="auto"/>
                <w:kern w:val="0"/>
                <w:sz w:val="21"/>
                <w:szCs w:val="21"/>
                <w:highlight w:val="none"/>
                <w:lang w:val="en-US" w:eastAsia="zh-CN"/>
              </w:rPr>
              <w:t>得2分，本项满分4分。最多提供两个业绩。</w:t>
            </w:r>
            <w:r>
              <w:rPr>
                <w:rFonts w:hint="eastAsia" w:ascii="宋体" w:hAnsi="宋体" w:eastAsia="宋体" w:cs="宋体"/>
                <w:color w:val="auto"/>
                <w:sz w:val="21"/>
                <w:szCs w:val="21"/>
                <w:highlight w:val="none"/>
                <w:lang w:val="en-US" w:eastAsia="zh-CN"/>
              </w:rPr>
              <w:t>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p w14:paraId="05BABCFA">
            <w:pPr>
              <w:widowControl/>
              <w:spacing w:line="440" w:lineRule="exact"/>
              <w:jc w:val="left"/>
              <w:textAlignment w:val="baseline"/>
              <w:rPr>
                <w:rFonts w:hint="default" w:ascii="宋体" w:hAnsi="宋体" w:eastAsia="宋体" w:cs="宋体"/>
                <w:b/>
                <w:bCs/>
                <w:color w:val="auto"/>
                <w:kern w:val="0"/>
                <w:sz w:val="21"/>
                <w:szCs w:val="21"/>
                <w:highlight w:val="none"/>
                <w:lang w:val="en-US"/>
              </w:rPr>
            </w:pPr>
            <w:r>
              <w:rPr>
                <w:rFonts w:hint="eastAsia" w:ascii="宋体" w:hAnsi="宋体" w:eastAsia="宋体" w:cs="宋体"/>
                <w:b/>
                <w:bCs/>
                <w:color w:val="auto"/>
                <w:sz w:val="21"/>
                <w:szCs w:val="21"/>
                <w:highlight w:val="none"/>
                <w:lang w:val="en-US" w:eastAsia="zh-CN"/>
              </w:rPr>
              <w:t>电子</w:t>
            </w:r>
            <w:r>
              <w:rPr>
                <w:rFonts w:hint="eastAsia" w:ascii="宋体" w:hAnsi="宋体" w:eastAsia="宋体" w:cs="宋体"/>
                <w:b/>
                <w:bCs/>
                <w:color w:val="auto"/>
                <w:sz w:val="21"/>
                <w:szCs w:val="21"/>
                <w:highlight w:val="none"/>
              </w:rPr>
              <w:t>投标文件中</w:t>
            </w:r>
            <w:r>
              <w:rPr>
                <w:rFonts w:hint="eastAsia" w:ascii="宋体" w:hAnsi="宋体" w:eastAsia="宋体" w:cs="宋体"/>
                <w:b/>
                <w:bCs/>
                <w:color w:val="auto"/>
                <w:sz w:val="21"/>
                <w:szCs w:val="21"/>
                <w:highlight w:val="none"/>
                <w:lang w:val="en-US" w:eastAsia="zh-CN"/>
              </w:rPr>
              <w:t>须</w:t>
            </w:r>
            <w:r>
              <w:rPr>
                <w:rFonts w:hint="eastAsia" w:ascii="宋体" w:hAnsi="宋体" w:eastAsia="宋体" w:cs="宋体"/>
                <w:b/>
                <w:bCs/>
                <w:color w:val="auto"/>
                <w:sz w:val="21"/>
                <w:szCs w:val="21"/>
                <w:highlight w:val="none"/>
              </w:rPr>
              <w:t>提供</w:t>
            </w:r>
            <w:r>
              <w:rPr>
                <w:rFonts w:hint="eastAsia" w:ascii="宋体" w:hAnsi="宋体" w:eastAsia="宋体" w:cs="宋体"/>
                <w:b/>
                <w:bCs/>
                <w:color w:val="auto"/>
                <w:sz w:val="21"/>
                <w:szCs w:val="21"/>
                <w:highlight w:val="none"/>
                <w:lang w:val="zh-CN" w:eastAsia="zh-CN"/>
              </w:rPr>
              <w:t>合同原件扫描件</w:t>
            </w:r>
          </w:p>
        </w:tc>
      </w:tr>
      <w:tr w14:paraId="7A09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88" w:type="dxa"/>
            <w:noWrap w:val="0"/>
            <w:vAlign w:val="center"/>
          </w:tcPr>
          <w:p w14:paraId="4B01681E">
            <w:pPr>
              <w:widowControl/>
              <w:spacing w:line="440" w:lineRule="exact"/>
              <w:jc w:val="center"/>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w:t>
            </w:r>
          </w:p>
        </w:tc>
        <w:tc>
          <w:tcPr>
            <w:tcW w:w="1188" w:type="dxa"/>
            <w:noWrap w:val="0"/>
            <w:vAlign w:val="center"/>
          </w:tcPr>
          <w:p w14:paraId="6AD087E0">
            <w:pPr>
              <w:spacing w:line="5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人员配备（</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c>
          <w:tcPr>
            <w:tcW w:w="7636" w:type="dxa"/>
            <w:noWrap w:val="0"/>
            <w:vAlign w:val="center"/>
          </w:tcPr>
          <w:p w14:paraId="5DAADA7B">
            <w:pPr>
              <w:numPr>
                <w:ilvl w:val="0"/>
                <w:numId w:val="0"/>
              </w:numPr>
              <w:spacing w:line="5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投标人拟配备人员中每有一个公路相关专业高级及以上职称的得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分，本项满分</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09E12526">
            <w:pPr>
              <w:numPr>
                <w:ilvl w:val="0"/>
                <w:numId w:val="0"/>
              </w:numPr>
              <w:spacing w:line="50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投标人拟配备人员中每有一个公路相关专业</w:t>
            </w:r>
            <w:r>
              <w:rPr>
                <w:rFonts w:hint="eastAsia" w:ascii="宋体" w:hAnsi="宋体" w:eastAsia="宋体" w:cs="宋体"/>
                <w:bCs/>
                <w:color w:val="auto"/>
                <w:sz w:val="21"/>
                <w:szCs w:val="21"/>
                <w:highlight w:val="none"/>
                <w:lang w:val="en-US" w:eastAsia="zh-CN"/>
              </w:rPr>
              <w:t>中级</w:t>
            </w:r>
            <w:r>
              <w:rPr>
                <w:rFonts w:hint="eastAsia" w:ascii="宋体" w:hAnsi="宋体" w:eastAsia="宋体" w:cs="宋体"/>
                <w:bCs/>
                <w:color w:val="auto"/>
                <w:sz w:val="21"/>
                <w:szCs w:val="21"/>
                <w:highlight w:val="none"/>
              </w:rPr>
              <w:t>及以上职称的得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分，本项满分</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1F9B5B7D">
            <w:pPr>
              <w:numPr>
                <w:ilvl w:val="0"/>
                <w:numId w:val="0"/>
              </w:numPr>
              <w:spacing w:line="500" w:lineRule="exact"/>
              <w:ind w:left="0" w:leftChars="0"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Cs/>
                <w:color w:val="auto"/>
                <w:sz w:val="21"/>
                <w:szCs w:val="21"/>
                <w:highlight w:val="none"/>
              </w:rPr>
              <w:t>注:须提供职称证书，人员不累计得分。</w:t>
            </w:r>
          </w:p>
        </w:tc>
      </w:tr>
    </w:tbl>
    <w:p w14:paraId="355C5ADF">
      <w:pPr>
        <w:spacing w:line="400" w:lineRule="exact"/>
        <w:ind w:firstLine="417" w:firstLineChars="198"/>
        <w:jc w:val="center"/>
        <w:rPr>
          <w:rFonts w:hint="eastAsia" w:ascii="宋体" w:hAnsi="宋体" w:eastAsia="宋体" w:cs="宋体"/>
          <w:b/>
          <w:color w:val="auto"/>
          <w:szCs w:val="21"/>
          <w:highlight w:val="none"/>
        </w:rPr>
      </w:pPr>
    </w:p>
    <w:p w14:paraId="1154B419">
      <w:pPr>
        <w:spacing w:line="400" w:lineRule="exact"/>
        <w:ind w:firstLine="417" w:firstLineChars="198"/>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技术标评审细则（</w:t>
      </w:r>
      <w:r>
        <w:rPr>
          <w:rFonts w:hint="eastAsia" w:ascii="宋体" w:hAnsi="宋体" w:eastAsia="宋体" w:cs="宋体"/>
          <w:b/>
          <w:color w:val="auto"/>
          <w:szCs w:val="21"/>
          <w:highlight w:val="none"/>
          <w:lang w:val="en-US" w:eastAsia="zh-CN"/>
        </w:rPr>
        <w:t>80</w:t>
      </w:r>
      <w:r>
        <w:rPr>
          <w:rFonts w:hint="eastAsia" w:ascii="宋体" w:hAnsi="宋体" w:eastAsia="宋体" w:cs="宋体"/>
          <w:b/>
          <w:color w:val="auto"/>
          <w:szCs w:val="21"/>
          <w:highlight w:val="none"/>
        </w:rPr>
        <w:t>分）</w:t>
      </w:r>
    </w:p>
    <w:tbl>
      <w:tblPr>
        <w:tblStyle w:val="31"/>
        <w:tblW w:w="9763" w:type="dxa"/>
        <w:tblInd w:w="-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262"/>
        <w:gridCol w:w="6538"/>
        <w:gridCol w:w="1275"/>
      </w:tblGrid>
      <w:tr w14:paraId="4EC2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8941153">
            <w:pPr>
              <w:spacing w:line="440" w:lineRule="exact"/>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 w:val="21"/>
                <w:szCs w:val="21"/>
                <w:highlight w:val="none"/>
              </w:rPr>
              <w:t>序号</w:t>
            </w:r>
          </w:p>
        </w:tc>
        <w:tc>
          <w:tcPr>
            <w:tcW w:w="1262" w:type="dxa"/>
            <w:vAlign w:val="center"/>
          </w:tcPr>
          <w:p w14:paraId="47E8DD8D">
            <w:pPr>
              <w:spacing w:line="440" w:lineRule="exact"/>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 w:val="21"/>
                <w:szCs w:val="21"/>
                <w:highlight w:val="none"/>
              </w:rPr>
              <w:t>评分项目</w:t>
            </w:r>
          </w:p>
        </w:tc>
        <w:tc>
          <w:tcPr>
            <w:tcW w:w="6538" w:type="dxa"/>
            <w:vAlign w:val="center"/>
          </w:tcPr>
          <w:p w14:paraId="059B4D58">
            <w:pPr>
              <w:spacing w:line="440" w:lineRule="exact"/>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 w:val="21"/>
                <w:szCs w:val="21"/>
                <w:highlight w:val="none"/>
              </w:rPr>
              <w:t>评分细则</w:t>
            </w:r>
          </w:p>
        </w:tc>
        <w:tc>
          <w:tcPr>
            <w:tcW w:w="1275" w:type="dxa"/>
            <w:vAlign w:val="center"/>
          </w:tcPr>
          <w:p w14:paraId="4A35D60C">
            <w:pPr>
              <w:spacing w:line="440" w:lineRule="exact"/>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分值</w:t>
            </w:r>
          </w:p>
        </w:tc>
      </w:tr>
      <w:tr w14:paraId="289F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4E0CE84">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262" w:type="dxa"/>
            <w:vAlign w:val="center"/>
          </w:tcPr>
          <w:p w14:paraId="35AEE1B1">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整体服务</w:t>
            </w:r>
          </w:p>
          <w:p w14:paraId="496F3E6C">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方案</w:t>
            </w:r>
          </w:p>
        </w:tc>
        <w:tc>
          <w:tcPr>
            <w:tcW w:w="6538" w:type="dxa"/>
            <w:vAlign w:val="center"/>
          </w:tcPr>
          <w:p w14:paraId="3EAD4CC0">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根据本项目服务需求，投标人提供整体服务方案进行评审：</w:t>
            </w:r>
          </w:p>
          <w:p w14:paraId="7EE2F600">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1.整体服务方案理解深刻，总体思路清晰，方案具体详实，定位准确，工作目标、内容和要求分析合理、全面的，得5分；</w:t>
            </w:r>
          </w:p>
          <w:p w14:paraId="08B2FD5C">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2.整体服务方案理解全面，总体思路清晰，定位准确，工作目标、内容和要求分析合理的，得4分；</w:t>
            </w:r>
          </w:p>
          <w:p w14:paraId="015F2054">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3.整体服务方案理解思路清晰，满足采购需求但需要进一步完善的，得3分；</w:t>
            </w:r>
          </w:p>
          <w:p w14:paraId="3EEF5A62">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4.未提供的不得分。</w:t>
            </w:r>
          </w:p>
        </w:tc>
        <w:tc>
          <w:tcPr>
            <w:tcW w:w="1275" w:type="dxa"/>
            <w:vAlign w:val="center"/>
          </w:tcPr>
          <w:p w14:paraId="2F7907C4">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4701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0B21904">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62" w:type="dxa"/>
            <w:vAlign w:val="center"/>
          </w:tcPr>
          <w:p w14:paraId="3DA97510">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检测工作服务内容（频率、方法、目标）及保证措施</w:t>
            </w:r>
          </w:p>
        </w:tc>
        <w:tc>
          <w:tcPr>
            <w:tcW w:w="6538" w:type="dxa"/>
            <w:vAlign w:val="center"/>
          </w:tcPr>
          <w:p w14:paraId="328E682C">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检测工作服务</w:t>
            </w:r>
            <w:r>
              <w:rPr>
                <w:rFonts w:hint="eastAsia" w:ascii="宋体" w:hAnsi="宋体" w:eastAsia="宋体" w:cs="宋体"/>
                <w:color w:val="auto"/>
                <w:sz w:val="21"/>
                <w:szCs w:val="21"/>
                <w:highlight w:val="none"/>
                <w:lang w:val="en-US" w:eastAsia="zh-CN"/>
              </w:rPr>
              <w:t>服务内容（含检测频率、检测方法、检测目标）</w:t>
            </w:r>
            <w:r>
              <w:rPr>
                <w:rFonts w:hint="eastAsia" w:ascii="宋体" w:hAnsi="宋体" w:eastAsia="宋体" w:cs="宋体"/>
                <w:color w:val="auto"/>
                <w:kern w:val="0"/>
                <w:sz w:val="21"/>
                <w:szCs w:val="21"/>
                <w:highlight w:val="none"/>
                <w:lang w:val="en-US" w:eastAsia="zh-CN" w:bidi="ar"/>
              </w:rPr>
              <w:t xml:space="preserve">、专门的质量技术管理班子和制度，质量技术保证措施、自控体系；确保质量验收合格措施等方面进行评审： </w:t>
            </w:r>
          </w:p>
          <w:p w14:paraId="11465EA0">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①目标明确具体、制度合理、内容完善且详细、各项措施全面可行，得5分； </w:t>
            </w:r>
          </w:p>
          <w:p w14:paraId="06CF479F">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②目标清晰、制度合理、内容完善、各项措施可行，得4分； </w:t>
            </w:r>
          </w:p>
          <w:p w14:paraId="7770E6A4">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③目标具有、制度合理、内容需要进一步完善，得3分； </w:t>
            </w:r>
          </w:p>
          <w:p w14:paraId="7DDB96D0">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④未提供的不得分</w:t>
            </w:r>
          </w:p>
        </w:tc>
        <w:tc>
          <w:tcPr>
            <w:tcW w:w="1275" w:type="dxa"/>
            <w:vAlign w:val="center"/>
          </w:tcPr>
          <w:p w14:paraId="47732F85">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1228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C0278DA">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262" w:type="dxa"/>
            <w:vAlign w:val="center"/>
          </w:tcPr>
          <w:p w14:paraId="1CC174B9">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检测机构设置</w:t>
            </w:r>
          </w:p>
        </w:tc>
        <w:tc>
          <w:tcPr>
            <w:tcW w:w="6538" w:type="dxa"/>
            <w:vAlign w:val="center"/>
          </w:tcPr>
          <w:p w14:paraId="7957FFC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根据本项目服务需求，投标人提供检测机构设置方案进行评审：</w:t>
            </w:r>
          </w:p>
          <w:p w14:paraId="38792153">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①检测机构设置齐全，完善，符合本项目采购需求的，得5分； </w:t>
            </w:r>
          </w:p>
          <w:p w14:paraId="1B6A7FFF">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②检测机构设置完善、符合本项目采购需求的，得4分； </w:t>
            </w:r>
          </w:p>
          <w:p w14:paraId="59E61FE9">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③检测机构设置需要进一步完善，得3分； </w:t>
            </w:r>
          </w:p>
          <w:p w14:paraId="08C4E322">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④未提供的不得分</w:t>
            </w:r>
          </w:p>
        </w:tc>
        <w:tc>
          <w:tcPr>
            <w:tcW w:w="1275" w:type="dxa"/>
            <w:vAlign w:val="center"/>
          </w:tcPr>
          <w:p w14:paraId="66831BFA">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15F7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6894ECA">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262" w:type="dxa"/>
            <w:vAlign w:val="center"/>
          </w:tcPr>
          <w:p w14:paraId="1407F232">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检测人员进出场方案</w:t>
            </w:r>
          </w:p>
        </w:tc>
        <w:tc>
          <w:tcPr>
            <w:tcW w:w="6538" w:type="dxa"/>
            <w:vAlign w:val="center"/>
          </w:tcPr>
          <w:p w14:paraId="0210C5B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根据本项目服务需求，投标人提供</w:t>
            </w:r>
            <w:r>
              <w:rPr>
                <w:rFonts w:hint="eastAsia" w:ascii="宋体" w:hAnsi="宋体" w:eastAsia="宋体" w:cs="宋体"/>
                <w:color w:val="auto"/>
                <w:sz w:val="21"/>
                <w:szCs w:val="21"/>
                <w:highlight w:val="none"/>
                <w:lang w:val="en-US" w:eastAsia="zh-CN"/>
              </w:rPr>
              <w:t>检测人员进出场方案</w:t>
            </w:r>
            <w:r>
              <w:rPr>
                <w:rFonts w:hint="eastAsia" w:ascii="宋体" w:hAnsi="宋体" w:eastAsia="宋体" w:cs="宋体"/>
                <w:color w:val="auto"/>
                <w:kern w:val="0"/>
                <w:sz w:val="21"/>
                <w:szCs w:val="21"/>
                <w:highlight w:val="none"/>
                <w:lang w:val="en-US" w:eastAsia="zh-CN" w:bidi="ar"/>
              </w:rPr>
              <w:t>进行评审：</w:t>
            </w:r>
          </w:p>
          <w:p w14:paraId="35E753C1">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①检测人员进出场安排合理、内容完善且详细、方案全面可行得5分； </w:t>
            </w:r>
          </w:p>
          <w:p w14:paraId="32BAF3DF">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②检测人员进出场安排合理，方案可行，得4分； </w:t>
            </w:r>
          </w:p>
          <w:p w14:paraId="61C8113B">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③</w:t>
            </w:r>
            <w:r>
              <w:rPr>
                <w:rFonts w:hint="eastAsia" w:ascii="宋体" w:hAnsi="宋体" w:eastAsia="宋体" w:cs="宋体"/>
                <w:color w:val="auto"/>
                <w:sz w:val="21"/>
                <w:szCs w:val="21"/>
                <w:highlight w:val="none"/>
                <w:lang w:val="en-US" w:eastAsia="zh-CN"/>
              </w:rPr>
              <w:t>检测人员进出场方案</w:t>
            </w:r>
            <w:r>
              <w:rPr>
                <w:rFonts w:hint="eastAsia" w:ascii="宋体" w:hAnsi="宋体" w:eastAsia="宋体" w:cs="宋体"/>
                <w:color w:val="auto"/>
                <w:kern w:val="0"/>
                <w:sz w:val="21"/>
                <w:szCs w:val="21"/>
                <w:highlight w:val="none"/>
                <w:lang w:val="en-US" w:eastAsia="zh-CN" w:bidi="ar"/>
              </w:rPr>
              <w:t xml:space="preserve">需要进一步完善，内容缺失得3分； </w:t>
            </w:r>
          </w:p>
          <w:p w14:paraId="173B2306">
            <w:pPr>
              <w:keepNext w:val="0"/>
              <w:keepLines w:val="0"/>
              <w:pageBreakBefore w:val="0"/>
              <w:kinsoku/>
              <w:wordWrap/>
              <w:overflowPunct/>
              <w:topLinePunct w:val="0"/>
              <w:autoSpaceDE/>
              <w:autoSpaceDN/>
              <w:bidi w:val="0"/>
              <w:adjustRightInd/>
              <w:snapToGrid/>
              <w:spacing w:line="350" w:lineRule="exac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④未提供的不得分</w:t>
            </w:r>
          </w:p>
        </w:tc>
        <w:tc>
          <w:tcPr>
            <w:tcW w:w="1275" w:type="dxa"/>
            <w:vAlign w:val="center"/>
          </w:tcPr>
          <w:p w14:paraId="64B0584B">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085B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DE82F25">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262" w:type="dxa"/>
            <w:vAlign w:val="center"/>
          </w:tcPr>
          <w:p w14:paraId="654C12B2">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检测设施、设备投入方案</w:t>
            </w:r>
          </w:p>
        </w:tc>
        <w:tc>
          <w:tcPr>
            <w:tcW w:w="6538" w:type="dxa"/>
            <w:vAlign w:val="center"/>
          </w:tcPr>
          <w:p w14:paraId="51704CD7">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检测投入的主要机械、设备有详细的组织计划且计划周密；设备数量、选型配置、进场时间安排合理，满足检测要求，根据拟投入的主要机械、设备组织计划进行评审：</w:t>
            </w:r>
          </w:p>
          <w:p w14:paraId="76F2CD69">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①投标供应商拟投入的主要机械、设备计划分项内容齐全，并承诺拟投入的机械、设备针对本项目具有针对性，且符合项目实际情况的得5分； </w:t>
            </w:r>
          </w:p>
          <w:p w14:paraId="6EA1DEBE">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②投标供应商拟投入的主要机械、设备计划分项内容齐全，针对评审内容逐条分析，并制定措施，且符合项目实际情况，无套用、冒用其他项目的情况的得4分； </w:t>
            </w:r>
          </w:p>
          <w:p w14:paraId="709F64E1">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③投标供应商拟投入的主要机械、设备计划分项内容混乱，管理措施描述不清，前后矛盾，部分内容缺失，存在套用、冒用其他项目的情况的得3分； </w:t>
            </w:r>
          </w:p>
          <w:p w14:paraId="60363CB0">
            <w:pPr>
              <w:keepNext w:val="0"/>
              <w:keepLines w:val="0"/>
              <w:widowControl/>
              <w:suppressLineNumbers w:val="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④未提供不得分。</w:t>
            </w:r>
          </w:p>
        </w:tc>
        <w:tc>
          <w:tcPr>
            <w:tcW w:w="1275" w:type="dxa"/>
            <w:vAlign w:val="center"/>
          </w:tcPr>
          <w:p w14:paraId="098C2961">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5B3F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E27BA0B">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262" w:type="dxa"/>
            <w:vAlign w:val="center"/>
          </w:tcPr>
          <w:p w14:paraId="3D21F585">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检测工作进度计划及保障措施方案</w:t>
            </w:r>
          </w:p>
        </w:tc>
        <w:tc>
          <w:tcPr>
            <w:tcW w:w="6538" w:type="dxa"/>
            <w:vAlign w:val="center"/>
          </w:tcPr>
          <w:p w14:paraId="5892EB8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检测工作进度计划及保障措施的详细性、完善性、针对性、可行性进行评审：</w:t>
            </w:r>
          </w:p>
          <w:p w14:paraId="06798C0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①进度保障措施方案内容非常完整、进度计划及时间节点安排非常合理、整体标准优于项目需求的得5分；</w:t>
            </w:r>
          </w:p>
          <w:p w14:paraId="1AC6C9E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②进度保障措施方案内容完善、进度计划及时间节点安排满足要求、整体标准满足项目需求的得4分；</w:t>
            </w:r>
          </w:p>
          <w:p w14:paraId="32652A0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③进度保障措施方案内容有待提高、计划及时间节点安排不合理的得3分；</w:t>
            </w:r>
          </w:p>
          <w:p w14:paraId="363A4294">
            <w:pPr>
              <w:keepNext w:val="0"/>
              <w:keepLines w:val="0"/>
              <w:widowControl/>
              <w:suppressLineNumbers w:val="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④未提供的不得分</w:t>
            </w:r>
          </w:p>
        </w:tc>
        <w:tc>
          <w:tcPr>
            <w:tcW w:w="1275" w:type="dxa"/>
            <w:vAlign w:val="center"/>
          </w:tcPr>
          <w:p w14:paraId="377E00DB">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361E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809F16D">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262" w:type="dxa"/>
            <w:vAlign w:val="center"/>
          </w:tcPr>
          <w:p w14:paraId="5B7104BB">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质量保证控制方案</w:t>
            </w:r>
          </w:p>
        </w:tc>
        <w:tc>
          <w:tcPr>
            <w:tcW w:w="6538" w:type="dxa"/>
            <w:vAlign w:val="center"/>
          </w:tcPr>
          <w:p w14:paraId="04EB8B36">
            <w:pPr>
              <w:keepNext w:val="0"/>
              <w:keepLines w:val="0"/>
              <w:widowControl/>
              <w:suppressLineNumbers w:val="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投标人提供内部质量控制方案进行评审，包括但不限于技术档案管理制度、成果文件质量控制制度、项目小组工作职责分工等：</w:t>
            </w:r>
          </w:p>
          <w:p w14:paraId="42681075">
            <w:pPr>
              <w:keepNext w:val="0"/>
              <w:keepLines w:val="0"/>
              <w:widowControl/>
              <w:suppressLineNumbers w:val="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 xml:space="preserve">①方案内容完整详实，表述清晰，利于项目实施的得5分； </w:t>
            </w:r>
          </w:p>
          <w:p w14:paraId="3942904D">
            <w:pPr>
              <w:keepNext w:val="0"/>
              <w:keepLines w:val="0"/>
              <w:widowControl/>
              <w:suppressLineNumbers w:val="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 xml:space="preserve">②方案有一定针对性，内容完整详实，表述清晰，符合项目实施要求的得4分； </w:t>
            </w:r>
          </w:p>
          <w:p w14:paraId="72D39AC5">
            <w:pPr>
              <w:keepNext w:val="0"/>
              <w:keepLines w:val="0"/>
              <w:widowControl/>
              <w:suppressLineNumbers w:val="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 xml:space="preserve">③方案要点突出不够明显，针对具体细节有待完善的得3分； </w:t>
            </w:r>
          </w:p>
          <w:p w14:paraId="28BB096E">
            <w:pPr>
              <w:keepNext w:val="0"/>
              <w:keepLines w:val="0"/>
              <w:widowControl/>
              <w:suppressLineNumbers w:val="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④未提供的不得分。</w:t>
            </w:r>
            <w:r>
              <w:rPr>
                <w:rFonts w:hint="eastAsia" w:ascii="宋体" w:hAnsi="宋体" w:eastAsia="宋体" w:cs="宋体"/>
                <w:b/>
                <w:color w:val="auto"/>
                <w:kern w:val="2"/>
                <w:sz w:val="21"/>
                <w:szCs w:val="21"/>
                <w:highlight w:val="none"/>
                <w:lang w:val="en-US" w:eastAsia="zh-CN" w:bidi="ar-SA"/>
              </w:rPr>
              <w:t xml:space="preserve"> </w:t>
            </w:r>
          </w:p>
        </w:tc>
        <w:tc>
          <w:tcPr>
            <w:tcW w:w="1275" w:type="dxa"/>
            <w:vAlign w:val="center"/>
          </w:tcPr>
          <w:p w14:paraId="08EA1F03">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4716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2E3478E">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262" w:type="dxa"/>
            <w:vAlign w:val="center"/>
          </w:tcPr>
          <w:p w14:paraId="37113D3F">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检测安全环保措施方案</w:t>
            </w:r>
          </w:p>
        </w:tc>
        <w:tc>
          <w:tcPr>
            <w:tcW w:w="6538" w:type="dxa"/>
            <w:vAlign w:val="center"/>
          </w:tcPr>
          <w:p w14:paraId="01A6BD3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根据投标人提供的检测安全环保管理制度，检测安全保证措施（包括人员安全措施、设备安全措施等）及检测环保保证措施（包括设备的选择、检测方法的选择等）等方面进行评审： </w:t>
            </w:r>
          </w:p>
          <w:p w14:paraId="5B30FC5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①方案要点突出、针对性强，内容完整详实，表述清晰，与本项目实际需求有很高适用度，利于项目实施的得5分； </w:t>
            </w:r>
          </w:p>
          <w:p w14:paraId="42333F7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②有一定针对性，内容完整详实，表述清晰，与本项目实际要求有适应度，符合项目实施要求的得4分； </w:t>
            </w:r>
          </w:p>
          <w:p w14:paraId="71BAE72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③要点突出不够明显，针对具体细节有待完善的得3分； </w:t>
            </w:r>
          </w:p>
          <w:p w14:paraId="5E854C0B">
            <w:pPr>
              <w:keepNext w:val="0"/>
              <w:keepLines w:val="0"/>
              <w:widowControl/>
              <w:suppressLineNumbers w:val="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 xml:space="preserve">④未提供的不得分。 </w:t>
            </w:r>
          </w:p>
        </w:tc>
        <w:tc>
          <w:tcPr>
            <w:tcW w:w="1275" w:type="dxa"/>
            <w:vAlign w:val="center"/>
          </w:tcPr>
          <w:p w14:paraId="29309177">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07B8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44D864B">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262" w:type="dxa"/>
            <w:vAlign w:val="center"/>
          </w:tcPr>
          <w:p w14:paraId="376189F1">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检测风险及防范措施</w:t>
            </w:r>
          </w:p>
        </w:tc>
        <w:tc>
          <w:tcPr>
            <w:tcW w:w="6538" w:type="dxa"/>
            <w:vAlign w:val="center"/>
          </w:tcPr>
          <w:p w14:paraId="36A624A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根据投标人提供的</w:t>
            </w:r>
            <w:r>
              <w:rPr>
                <w:rFonts w:hint="eastAsia" w:ascii="宋体" w:hAnsi="宋体" w:eastAsia="宋体" w:cs="宋体"/>
                <w:color w:val="auto"/>
                <w:sz w:val="21"/>
                <w:szCs w:val="21"/>
                <w:highlight w:val="none"/>
                <w:lang w:val="en-US" w:eastAsia="zh-CN"/>
              </w:rPr>
              <w:t>检测风险及防范措施</w:t>
            </w:r>
            <w:r>
              <w:rPr>
                <w:rFonts w:hint="eastAsia" w:ascii="宋体" w:hAnsi="宋体" w:eastAsia="宋体" w:cs="宋体"/>
                <w:color w:val="auto"/>
                <w:kern w:val="0"/>
                <w:sz w:val="21"/>
                <w:szCs w:val="21"/>
                <w:highlight w:val="none"/>
                <w:lang w:val="en-US" w:eastAsia="zh-CN" w:bidi="ar"/>
              </w:rPr>
              <w:t xml:space="preserve">等方面进行评审： </w:t>
            </w:r>
          </w:p>
          <w:p w14:paraId="047CEE9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①针对本项目列出详细的检测风险内容并提供防范措施，内容要点突出、针对性强，内容完整详实，表述清晰，与本项目实际需求有很高适用度，利于项目实施的得5分； </w:t>
            </w:r>
          </w:p>
          <w:p w14:paraId="62D24E1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w:t>
            </w:r>
            <w:r>
              <w:rPr>
                <w:rFonts w:hint="eastAsia" w:ascii="宋体" w:hAnsi="宋体" w:eastAsia="宋体" w:cs="宋体"/>
                <w:color w:val="auto"/>
                <w:sz w:val="21"/>
                <w:szCs w:val="21"/>
                <w:highlight w:val="none"/>
                <w:lang w:val="en-US" w:eastAsia="zh-CN"/>
              </w:rPr>
              <w:t>检测风险及防范措施</w:t>
            </w:r>
            <w:r>
              <w:rPr>
                <w:rFonts w:hint="eastAsia" w:ascii="宋体" w:hAnsi="宋体" w:eastAsia="宋体" w:cs="宋体"/>
                <w:color w:val="auto"/>
                <w:kern w:val="0"/>
                <w:sz w:val="21"/>
                <w:szCs w:val="21"/>
                <w:highlight w:val="none"/>
                <w:lang w:val="en-US" w:eastAsia="zh-CN" w:bidi="ar"/>
              </w:rPr>
              <w:t xml:space="preserve">有一定针对性，内容完整详实，表述清晰，与本项目实际要求有适应度，符合项目实施要求的得4分； </w:t>
            </w:r>
          </w:p>
          <w:p w14:paraId="510379B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③检测风险及防范措施要点突出不够明显，针对具体细节有待完善、内容缺失的得3分； </w:t>
            </w:r>
          </w:p>
          <w:p w14:paraId="3C3FBE7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④未提供的不得分。 </w:t>
            </w:r>
          </w:p>
        </w:tc>
        <w:tc>
          <w:tcPr>
            <w:tcW w:w="1275" w:type="dxa"/>
            <w:vAlign w:val="center"/>
          </w:tcPr>
          <w:p w14:paraId="5B05CD89">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360E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70A6109">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262" w:type="dxa"/>
            <w:vAlign w:val="center"/>
          </w:tcPr>
          <w:p w14:paraId="0C5B7238">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检测合同管理</w:t>
            </w:r>
          </w:p>
        </w:tc>
        <w:tc>
          <w:tcPr>
            <w:tcW w:w="6538" w:type="dxa"/>
            <w:vAlign w:val="center"/>
          </w:tcPr>
          <w:p w14:paraId="7550701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①有详细的合同管理方案或措施，合同管理方案或措施和项目实际需要适应度高，</w:t>
            </w:r>
            <w:r>
              <w:rPr>
                <w:rFonts w:hint="eastAsia" w:ascii="宋体" w:hAnsi="宋体" w:eastAsia="宋体" w:cs="宋体"/>
                <w:color w:val="auto"/>
                <w:sz w:val="21"/>
                <w:szCs w:val="21"/>
                <w:highlight w:val="none"/>
              </w:rPr>
              <w:t>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2AB1F11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②合同管理方案或措施</w:t>
            </w:r>
            <w:r>
              <w:rPr>
                <w:rFonts w:hint="eastAsia" w:ascii="宋体" w:hAnsi="宋体" w:eastAsia="宋体" w:cs="宋体"/>
                <w:color w:val="auto"/>
                <w:sz w:val="21"/>
                <w:szCs w:val="21"/>
                <w:highlight w:val="none"/>
              </w:rPr>
              <w:t>内容</w:t>
            </w:r>
            <w:r>
              <w:rPr>
                <w:rFonts w:hint="eastAsia" w:ascii="宋体" w:hAnsi="宋体" w:eastAsia="宋体" w:cs="宋体"/>
                <w:color w:val="auto"/>
                <w:sz w:val="21"/>
                <w:szCs w:val="21"/>
                <w:highlight w:val="none"/>
                <w:lang w:val="en-US" w:eastAsia="zh-CN"/>
              </w:rPr>
              <w:t>清晰、完善的得4分；</w:t>
            </w:r>
          </w:p>
          <w:p w14:paraId="477B14F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③有合同管理方案或措施，但缺项或关键点缺失或出现非专门针对本项目特性内容的得3分；</w:t>
            </w:r>
          </w:p>
          <w:p w14:paraId="7CA3A42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④不能满足项目实施要求或未提供的不得分。</w:t>
            </w:r>
          </w:p>
        </w:tc>
        <w:tc>
          <w:tcPr>
            <w:tcW w:w="1275" w:type="dxa"/>
            <w:vAlign w:val="center"/>
          </w:tcPr>
          <w:p w14:paraId="2AC107C3">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72A5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43ECF37">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262" w:type="dxa"/>
            <w:vAlign w:val="center"/>
          </w:tcPr>
          <w:p w14:paraId="07BD9AEF">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费用控制管理</w:t>
            </w:r>
          </w:p>
        </w:tc>
        <w:tc>
          <w:tcPr>
            <w:tcW w:w="6538" w:type="dxa"/>
            <w:vAlign w:val="center"/>
          </w:tcPr>
          <w:p w14:paraId="4702263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根据投标人提供的费用控制管理进行评审： </w:t>
            </w:r>
          </w:p>
          <w:p w14:paraId="3E3647F0">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①有详细的费用控制管理措施，费用控制管理措施有针对性合理，满足施工需要得5分；</w:t>
            </w:r>
          </w:p>
          <w:p w14:paraId="7602CD8F">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②有详细的费用控制管理措施，费用控制管理措施合理，能满足施工需要得4分；</w:t>
            </w:r>
          </w:p>
          <w:p w14:paraId="7BDBC55B">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③有详细的费用控制管理措施，但缺项或关键点缺失或出现非专门针对本项目特性内容的得3分。</w:t>
            </w:r>
          </w:p>
          <w:p w14:paraId="6E6D59AB">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④工作内容偏离项目需求、偏离客观现实或未提供的不得分。</w:t>
            </w:r>
          </w:p>
        </w:tc>
        <w:tc>
          <w:tcPr>
            <w:tcW w:w="1275" w:type="dxa"/>
            <w:vAlign w:val="center"/>
          </w:tcPr>
          <w:p w14:paraId="6FB69014">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0A23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D533308">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262" w:type="dxa"/>
            <w:vAlign w:val="center"/>
          </w:tcPr>
          <w:p w14:paraId="0F0E5386">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廉政保证措施</w:t>
            </w:r>
          </w:p>
        </w:tc>
        <w:tc>
          <w:tcPr>
            <w:tcW w:w="6538" w:type="dxa"/>
            <w:vAlign w:val="center"/>
          </w:tcPr>
          <w:p w14:paraId="78F1496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根据投标人提供的廉政保证措施进行评审： </w:t>
            </w:r>
          </w:p>
          <w:p w14:paraId="6A0CE790">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①廉政保证措施要点突出、针对性强，内容完整详实，表述清晰，利于项目实施的得5分； </w:t>
            </w:r>
          </w:p>
          <w:p w14:paraId="3B4136B7">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②有一定针对性，内容完整详实，表述清晰，符合项目实施要求的得4分； </w:t>
            </w:r>
          </w:p>
          <w:p w14:paraId="3BD9B110">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③要点突出不够明显，针对具体细节有待完善的得3分； </w:t>
            </w:r>
          </w:p>
          <w:p w14:paraId="6E7F5548">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④工作内容偏离项目需求、偏离客观现实或未提供的不得分。 </w:t>
            </w:r>
          </w:p>
        </w:tc>
        <w:tc>
          <w:tcPr>
            <w:tcW w:w="1275" w:type="dxa"/>
            <w:vAlign w:val="center"/>
          </w:tcPr>
          <w:p w14:paraId="47F2EE71">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741F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B868DD9">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262" w:type="dxa"/>
            <w:vAlign w:val="center"/>
          </w:tcPr>
          <w:p w14:paraId="5D6CED27">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重点及保证措施</w:t>
            </w:r>
          </w:p>
        </w:tc>
        <w:tc>
          <w:tcPr>
            <w:tcW w:w="6538" w:type="dxa"/>
            <w:vAlign w:val="center"/>
          </w:tcPr>
          <w:p w14:paraId="6F92A5B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根据投标人提供的服务过程中的关键内容、重点进行阐述，并提出详细的解决方案及控制措施进行评审：</w:t>
            </w:r>
          </w:p>
          <w:p w14:paraId="6A3E03A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①针对本项目特点，列出本项目的重点，并且有具体的保证措施。</w:t>
            </w:r>
            <w:r>
              <w:rPr>
                <w:rFonts w:hint="eastAsia" w:ascii="宋体" w:hAnsi="宋体" w:eastAsia="宋体" w:cs="宋体"/>
                <w:color w:val="auto"/>
                <w:sz w:val="21"/>
                <w:szCs w:val="21"/>
                <w:highlight w:val="none"/>
              </w:rPr>
              <w:t>各项措施周全、具体、有效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0366F91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②针对本项目特点，列出本项目的重点，并且有具体的保证措施。</w:t>
            </w:r>
            <w:r>
              <w:rPr>
                <w:rFonts w:hint="eastAsia" w:ascii="宋体" w:hAnsi="宋体" w:eastAsia="宋体" w:cs="宋体"/>
                <w:color w:val="auto"/>
                <w:sz w:val="21"/>
                <w:szCs w:val="21"/>
                <w:highlight w:val="none"/>
              </w:rPr>
              <w:t>各项措施内容</w:t>
            </w:r>
            <w:r>
              <w:rPr>
                <w:rFonts w:hint="eastAsia" w:ascii="宋体" w:hAnsi="宋体" w:eastAsia="宋体" w:cs="宋体"/>
                <w:color w:val="auto"/>
                <w:sz w:val="21"/>
                <w:szCs w:val="21"/>
                <w:highlight w:val="none"/>
                <w:lang w:val="en-US" w:eastAsia="zh-CN"/>
              </w:rPr>
              <w:t>清晰、完善的得4分；</w:t>
            </w:r>
          </w:p>
          <w:p w14:paraId="04A82E7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③针对本项目特点，列出本项目的重点，并且有具体的保证措施。但缺项或关键点缺失或出现非专门针对本项目特性内容的得3分；</w:t>
            </w:r>
          </w:p>
          <w:p w14:paraId="1230F76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④不能满足项目实施要求或未提供的不得分。</w:t>
            </w:r>
          </w:p>
        </w:tc>
        <w:tc>
          <w:tcPr>
            <w:tcW w:w="1275" w:type="dxa"/>
            <w:vAlign w:val="center"/>
          </w:tcPr>
          <w:p w14:paraId="414B69EE">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0E6B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72536CC">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262" w:type="dxa"/>
            <w:vAlign w:val="center"/>
          </w:tcPr>
          <w:p w14:paraId="4C32A016">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难点及保证措施</w:t>
            </w:r>
          </w:p>
        </w:tc>
        <w:tc>
          <w:tcPr>
            <w:tcW w:w="6538" w:type="dxa"/>
            <w:vAlign w:val="center"/>
          </w:tcPr>
          <w:p w14:paraId="393F1C6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根据投标人提供的服务过程中的难点进行阐述，并提出详细的解决方案及控制措施进行评审：</w:t>
            </w:r>
          </w:p>
          <w:p w14:paraId="647A048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①针对本项目特点，列出本项目的难点，并且有具体的保证措施。</w:t>
            </w:r>
            <w:r>
              <w:rPr>
                <w:rFonts w:hint="eastAsia" w:ascii="宋体" w:hAnsi="宋体" w:eastAsia="宋体" w:cs="宋体"/>
                <w:color w:val="auto"/>
                <w:sz w:val="21"/>
                <w:szCs w:val="21"/>
                <w:highlight w:val="none"/>
              </w:rPr>
              <w:t>各项措施周全、具体、有效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70EEFF0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②针对本项目特点，列出本项目的难点，并且有具体的保证措施。</w:t>
            </w:r>
            <w:r>
              <w:rPr>
                <w:rFonts w:hint="eastAsia" w:ascii="宋体" w:hAnsi="宋体" w:eastAsia="宋体" w:cs="宋体"/>
                <w:color w:val="auto"/>
                <w:sz w:val="21"/>
                <w:szCs w:val="21"/>
                <w:highlight w:val="none"/>
              </w:rPr>
              <w:t>各项措施内容</w:t>
            </w:r>
            <w:r>
              <w:rPr>
                <w:rFonts w:hint="eastAsia" w:ascii="宋体" w:hAnsi="宋体" w:eastAsia="宋体" w:cs="宋体"/>
                <w:color w:val="auto"/>
                <w:sz w:val="21"/>
                <w:szCs w:val="21"/>
                <w:highlight w:val="none"/>
                <w:lang w:val="en-US" w:eastAsia="zh-CN"/>
              </w:rPr>
              <w:t>清晰、完善的得4分；</w:t>
            </w:r>
          </w:p>
          <w:p w14:paraId="074F7B3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③针对本项目特点，列出本项目的难点，并且有具体的保证措施。但缺项或关键点缺失或出现非专门针对本项目特性内容的得3分；</w:t>
            </w:r>
          </w:p>
          <w:p w14:paraId="630ACDA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④不能满足项目实施要求或未提供的不得分。</w:t>
            </w:r>
          </w:p>
        </w:tc>
        <w:tc>
          <w:tcPr>
            <w:tcW w:w="1275" w:type="dxa"/>
            <w:vAlign w:val="center"/>
          </w:tcPr>
          <w:p w14:paraId="1DC7F813">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0620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8EF72A1">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w:t>
            </w:r>
          </w:p>
        </w:tc>
        <w:tc>
          <w:tcPr>
            <w:tcW w:w="1262" w:type="dxa"/>
            <w:vAlign w:val="center"/>
          </w:tcPr>
          <w:p w14:paraId="0D1B85B9">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合理化建议</w:t>
            </w:r>
          </w:p>
        </w:tc>
        <w:tc>
          <w:tcPr>
            <w:tcW w:w="6538" w:type="dxa"/>
            <w:vAlign w:val="center"/>
          </w:tcPr>
          <w:p w14:paraId="12BB217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①针对本项目特点，列出对本项目的建议，建议合理并且有具体的保证措施。</w:t>
            </w:r>
            <w:r>
              <w:rPr>
                <w:rFonts w:hint="eastAsia" w:ascii="宋体" w:hAnsi="宋体" w:eastAsia="宋体" w:cs="宋体"/>
                <w:color w:val="auto"/>
                <w:sz w:val="21"/>
                <w:szCs w:val="21"/>
                <w:highlight w:val="none"/>
              </w:rPr>
              <w:t>各项措施周全、具体、有效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1DF81AE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②针对本项目特点，列出本项目的建议，建议合理并且有具体的保证措施。</w:t>
            </w:r>
            <w:r>
              <w:rPr>
                <w:rFonts w:hint="eastAsia" w:ascii="宋体" w:hAnsi="宋体" w:eastAsia="宋体" w:cs="宋体"/>
                <w:color w:val="auto"/>
                <w:sz w:val="21"/>
                <w:szCs w:val="21"/>
                <w:highlight w:val="none"/>
              </w:rPr>
              <w:t>各项措施内容</w:t>
            </w:r>
            <w:r>
              <w:rPr>
                <w:rFonts w:hint="eastAsia" w:ascii="宋体" w:hAnsi="宋体" w:eastAsia="宋体" w:cs="宋体"/>
                <w:color w:val="auto"/>
                <w:sz w:val="21"/>
                <w:szCs w:val="21"/>
                <w:highlight w:val="none"/>
                <w:lang w:val="en-US" w:eastAsia="zh-CN"/>
              </w:rPr>
              <w:t>清晰、完善的得4分；</w:t>
            </w:r>
          </w:p>
          <w:p w14:paraId="544C353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③针对本项目特点，列出本项目的建议，建议合理并且有具体的保证措施。但缺项或关键点缺失或出现非专门针对本项目特性内容的得3分；</w:t>
            </w:r>
          </w:p>
          <w:p w14:paraId="24467E5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④不能满足项目实施要求或未提供的不得分。</w:t>
            </w:r>
          </w:p>
        </w:tc>
        <w:tc>
          <w:tcPr>
            <w:tcW w:w="1275" w:type="dxa"/>
            <w:vAlign w:val="center"/>
          </w:tcPr>
          <w:p w14:paraId="77C03148">
            <w:pPr>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0E7B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9E5ABA6">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w:t>
            </w:r>
          </w:p>
        </w:tc>
        <w:tc>
          <w:tcPr>
            <w:tcW w:w="1262" w:type="dxa"/>
            <w:vAlign w:val="center"/>
          </w:tcPr>
          <w:p w14:paraId="57F32AA6">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检测后续服务方案</w:t>
            </w:r>
          </w:p>
        </w:tc>
        <w:tc>
          <w:tcPr>
            <w:tcW w:w="6538" w:type="dxa"/>
            <w:vAlign w:val="center"/>
          </w:tcPr>
          <w:p w14:paraId="6D13C74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评委会根据投标人提供的</w:t>
            </w:r>
            <w:r>
              <w:rPr>
                <w:rFonts w:hint="eastAsia" w:ascii="宋体" w:hAnsi="宋体" w:eastAsia="宋体" w:cs="宋体"/>
                <w:color w:val="auto"/>
                <w:sz w:val="21"/>
                <w:szCs w:val="21"/>
                <w:highlight w:val="none"/>
                <w:lang w:val="en-US" w:eastAsia="zh-CN"/>
              </w:rPr>
              <w:t>检测后续服务方案</w:t>
            </w:r>
            <w:r>
              <w:rPr>
                <w:rFonts w:hint="eastAsia" w:ascii="宋体" w:hAnsi="宋体" w:eastAsia="宋体" w:cs="宋体"/>
                <w:color w:val="auto"/>
                <w:kern w:val="0"/>
                <w:sz w:val="21"/>
                <w:szCs w:val="21"/>
                <w:highlight w:val="none"/>
                <w:lang w:val="en-US" w:eastAsia="zh-CN" w:bidi="ar"/>
              </w:rPr>
              <w:t>进行打分：</w:t>
            </w:r>
          </w:p>
          <w:p w14:paraId="2B457DD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w:t>
            </w:r>
            <w:r>
              <w:rPr>
                <w:rFonts w:hint="eastAsia" w:ascii="宋体" w:hAnsi="宋体" w:eastAsia="宋体" w:cs="宋体"/>
                <w:color w:val="auto"/>
                <w:sz w:val="21"/>
                <w:szCs w:val="21"/>
                <w:highlight w:val="none"/>
                <w:lang w:val="en-US" w:eastAsia="zh-CN"/>
              </w:rPr>
              <w:t>后续</w:t>
            </w:r>
            <w:r>
              <w:rPr>
                <w:rFonts w:hint="eastAsia" w:ascii="宋体" w:hAnsi="宋体" w:eastAsia="宋体" w:cs="宋体"/>
                <w:color w:val="auto"/>
                <w:kern w:val="0"/>
                <w:sz w:val="21"/>
                <w:szCs w:val="21"/>
                <w:highlight w:val="none"/>
                <w:lang w:val="en-US" w:eastAsia="zh-CN" w:bidi="ar"/>
              </w:rPr>
              <w:t>服务支持、技术支持形式灵活多样，方案全面详尽，对遇到的问题响应及时且能迅速反馈解决方案，提供全面的技术服务的，得5分；</w:t>
            </w:r>
          </w:p>
          <w:p w14:paraId="0416904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w:t>
            </w:r>
            <w:r>
              <w:rPr>
                <w:rFonts w:hint="eastAsia" w:ascii="宋体" w:hAnsi="宋体" w:eastAsia="宋体" w:cs="宋体"/>
                <w:color w:val="auto"/>
                <w:sz w:val="21"/>
                <w:szCs w:val="21"/>
                <w:highlight w:val="none"/>
                <w:lang w:val="en-US" w:eastAsia="zh-CN"/>
              </w:rPr>
              <w:t>后续</w:t>
            </w:r>
            <w:r>
              <w:rPr>
                <w:rFonts w:hint="eastAsia" w:ascii="宋体" w:hAnsi="宋体" w:eastAsia="宋体" w:cs="宋体"/>
                <w:color w:val="auto"/>
                <w:kern w:val="0"/>
                <w:sz w:val="21"/>
                <w:szCs w:val="21"/>
                <w:highlight w:val="none"/>
                <w:lang w:val="en-US" w:eastAsia="zh-CN" w:bidi="ar"/>
              </w:rPr>
              <w:t>服务支持、技术支持形式多样，方案全面详尽，对遇到的问题能够快速的响应并得到解决，并提供技术服务的，得4分；</w:t>
            </w:r>
          </w:p>
          <w:p w14:paraId="50C1369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w:t>
            </w:r>
            <w:r>
              <w:rPr>
                <w:rFonts w:hint="eastAsia" w:ascii="宋体" w:hAnsi="宋体" w:eastAsia="宋体" w:cs="宋体"/>
                <w:color w:val="auto"/>
                <w:sz w:val="21"/>
                <w:szCs w:val="21"/>
                <w:highlight w:val="none"/>
                <w:lang w:val="en-US" w:eastAsia="zh-CN"/>
              </w:rPr>
              <w:t>后续</w:t>
            </w:r>
            <w:r>
              <w:rPr>
                <w:rFonts w:hint="eastAsia" w:ascii="宋体" w:hAnsi="宋体" w:eastAsia="宋体" w:cs="宋体"/>
                <w:color w:val="auto"/>
                <w:kern w:val="0"/>
                <w:sz w:val="21"/>
                <w:szCs w:val="21"/>
                <w:highlight w:val="none"/>
                <w:lang w:val="en-US" w:eastAsia="zh-CN" w:bidi="ar"/>
              </w:rPr>
              <w:t>服务支持、技术支持满足项目需求，对遇到的问题能够响应并解决，并提供技术服务的，得3分；</w:t>
            </w:r>
          </w:p>
          <w:p w14:paraId="63B2420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④未提供的不得分。</w:t>
            </w:r>
          </w:p>
        </w:tc>
        <w:tc>
          <w:tcPr>
            <w:tcW w:w="1275" w:type="dxa"/>
            <w:vAlign w:val="center"/>
          </w:tcPr>
          <w:p w14:paraId="35C7BE2E">
            <w:pPr>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bl>
    <w:p w14:paraId="1687B52E">
      <w:pPr>
        <w:rPr>
          <w:rFonts w:hint="eastAsia" w:ascii="宋体" w:hAnsi="宋体" w:eastAsia="宋体" w:cs="宋体"/>
          <w:color w:val="auto"/>
          <w:highlight w:val="none"/>
        </w:rPr>
      </w:pPr>
    </w:p>
    <w:p w14:paraId="5039FA73">
      <w:pPr>
        <w:rPr>
          <w:rFonts w:hint="eastAsia" w:ascii="宋体" w:hAnsi="宋体" w:eastAsia="宋体" w:cs="宋体"/>
          <w:color w:val="auto"/>
          <w:highlight w:val="none"/>
        </w:rPr>
      </w:pPr>
      <w:r>
        <w:rPr>
          <w:rFonts w:hint="eastAsia" w:ascii="宋体" w:hAnsi="宋体" w:eastAsia="宋体" w:cs="宋体"/>
          <w:color w:val="auto"/>
          <w:highlight w:val="none"/>
        </w:rPr>
        <w:t>注：1、评审标委员会将根据技术标所有内容进行独立打分，各评审标委员会成员打分分值的算术平均值作为最终得分，得分保留两位小数点，第三位四舍五入。</w:t>
      </w:r>
    </w:p>
    <w:p w14:paraId="68DE44DD">
      <w:pPr>
        <w:rPr>
          <w:rFonts w:hint="eastAsia" w:ascii="宋体" w:hAnsi="宋体" w:eastAsia="宋体" w:cs="宋体"/>
          <w:color w:val="auto"/>
          <w:highlight w:val="none"/>
        </w:rPr>
      </w:pPr>
    </w:p>
    <w:p w14:paraId="5D1C6BE7">
      <w:pPr>
        <w:spacing w:line="400" w:lineRule="exact"/>
        <w:ind w:firstLine="417" w:firstLineChars="198"/>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商务标评审细则（</w:t>
      </w:r>
      <w:r>
        <w:rPr>
          <w:rFonts w:hint="eastAsia" w:ascii="宋体" w:hAnsi="宋体" w:eastAsia="宋体" w:cs="宋体"/>
          <w:b/>
          <w:color w:val="auto"/>
          <w:szCs w:val="21"/>
          <w:highlight w:val="none"/>
          <w:lang w:val="en-US" w:eastAsia="zh-CN"/>
        </w:rPr>
        <w:t>10</w:t>
      </w:r>
      <w:r>
        <w:rPr>
          <w:rFonts w:hint="eastAsia" w:ascii="宋体" w:hAnsi="宋体" w:eastAsia="宋体" w:cs="宋体"/>
          <w:b/>
          <w:color w:val="auto"/>
          <w:szCs w:val="21"/>
          <w:highlight w:val="none"/>
        </w:rPr>
        <w:t>分）</w:t>
      </w:r>
    </w:p>
    <w:tbl>
      <w:tblPr>
        <w:tblStyle w:val="30"/>
        <w:tblW w:w="9887" w:type="dxa"/>
        <w:tblInd w:w="-6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24"/>
        <w:gridCol w:w="713"/>
        <w:gridCol w:w="6975"/>
      </w:tblGrid>
      <w:tr w14:paraId="056D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75" w:type="dxa"/>
            <w:noWrap w:val="0"/>
            <w:vAlign w:val="center"/>
          </w:tcPr>
          <w:p w14:paraId="69D9708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24" w:type="dxa"/>
            <w:noWrap w:val="0"/>
            <w:vAlign w:val="center"/>
          </w:tcPr>
          <w:p w14:paraId="021733A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713" w:type="dxa"/>
            <w:noWrap w:val="0"/>
            <w:vAlign w:val="center"/>
          </w:tcPr>
          <w:p w14:paraId="3ACFD71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分值</w:t>
            </w:r>
          </w:p>
        </w:tc>
        <w:tc>
          <w:tcPr>
            <w:tcW w:w="6975" w:type="dxa"/>
            <w:noWrap w:val="0"/>
            <w:vAlign w:val="center"/>
          </w:tcPr>
          <w:p w14:paraId="653FCAF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评审细则</w:t>
            </w:r>
          </w:p>
        </w:tc>
      </w:tr>
      <w:tr w14:paraId="4EB3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75" w:type="dxa"/>
            <w:noWrap w:val="0"/>
            <w:vAlign w:val="center"/>
          </w:tcPr>
          <w:p w14:paraId="2983288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24" w:type="dxa"/>
            <w:noWrap w:val="0"/>
            <w:vAlign w:val="center"/>
          </w:tcPr>
          <w:p w14:paraId="0D7BB546">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价格分</w:t>
            </w:r>
          </w:p>
        </w:tc>
        <w:tc>
          <w:tcPr>
            <w:tcW w:w="713" w:type="dxa"/>
            <w:noWrap w:val="0"/>
            <w:vAlign w:val="center"/>
          </w:tcPr>
          <w:p w14:paraId="1372A12F">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分</w:t>
            </w:r>
          </w:p>
        </w:tc>
        <w:tc>
          <w:tcPr>
            <w:tcW w:w="6975" w:type="dxa"/>
            <w:noWrap w:val="0"/>
            <w:vAlign w:val="center"/>
          </w:tcPr>
          <w:p w14:paraId="36076417">
            <w:pPr>
              <w:spacing w:line="360" w:lineRule="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价格分统一采用低价优先法，即满足招标文件要求且投标价格最低的投标报价（如有扣除为扣除后价格）为评标基准价，其价格分为满分</w:t>
            </w:r>
            <w:r>
              <w:rPr>
                <w:rFonts w:hint="eastAsia" w:ascii="宋体" w:hAnsi="宋体" w:eastAsia="宋体" w:cs="宋体"/>
                <w:color w:val="auto"/>
                <w:spacing w:val="1"/>
                <w:kern w:val="0"/>
                <w:sz w:val="24"/>
                <w:szCs w:val="24"/>
                <w:highlight w:val="none"/>
                <w:lang w:val="en-US" w:eastAsia="zh-CN"/>
              </w:rPr>
              <w:t>10</w:t>
            </w:r>
            <w:r>
              <w:rPr>
                <w:rFonts w:hint="eastAsia" w:ascii="宋体" w:hAnsi="宋体" w:eastAsia="宋体" w:cs="宋体"/>
                <w:color w:val="auto"/>
                <w:spacing w:val="1"/>
                <w:kern w:val="0"/>
                <w:sz w:val="24"/>
                <w:szCs w:val="24"/>
                <w:highlight w:val="none"/>
              </w:rPr>
              <w:t>分。其他投标人的价格分统一按照下列公式计算：</w:t>
            </w:r>
          </w:p>
          <w:p w14:paraId="5AAFF495">
            <w:pPr>
              <w:pStyle w:val="29"/>
              <w:spacing w:after="0" w:line="440" w:lineRule="exact"/>
              <w:ind w:left="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pacing w:val="1"/>
                <w:kern w:val="0"/>
                <w:sz w:val="24"/>
                <w:szCs w:val="24"/>
                <w:highlight w:val="none"/>
              </w:rPr>
              <w:t>投标报价得分＝（评标基准价/投标报价）×</w:t>
            </w:r>
            <w:r>
              <w:rPr>
                <w:rFonts w:hint="eastAsia" w:ascii="宋体" w:hAnsi="宋体" w:eastAsia="宋体" w:cs="宋体"/>
                <w:color w:val="auto"/>
                <w:spacing w:val="1"/>
                <w:kern w:val="0"/>
                <w:sz w:val="24"/>
                <w:szCs w:val="24"/>
                <w:highlight w:val="none"/>
                <w:lang w:val="en-US" w:eastAsia="zh-CN"/>
              </w:rPr>
              <w:t>10</w:t>
            </w:r>
            <w:r>
              <w:rPr>
                <w:rFonts w:hint="eastAsia" w:ascii="宋体" w:hAnsi="宋体" w:eastAsia="宋体" w:cs="宋体"/>
                <w:color w:val="auto"/>
                <w:spacing w:val="1"/>
                <w:kern w:val="0"/>
                <w:sz w:val="24"/>
                <w:szCs w:val="24"/>
                <w:highlight w:val="none"/>
              </w:rPr>
              <w:t>％×100</w:t>
            </w:r>
          </w:p>
        </w:tc>
      </w:tr>
    </w:tbl>
    <w:p w14:paraId="5E507F4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.3分值汇总</w:t>
      </w:r>
    </w:p>
    <w:p w14:paraId="1E09722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2004AAA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（2）将投标人的技术资信分加上根据上述标准计算出的价格分，即为该投标人的综合总得分。</w:t>
      </w:r>
    </w:p>
    <w:p w14:paraId="60CF8E18">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三、无效投标条款</w:t>
      </w:r>
    </w:p>
    <w:p w14:paraId="39BEF6F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3.1投标文件有下列情形之一的,其投标文件拒收:</w:t>
      </w:r>
    </w:p>
    <w:p w14:paraId="541A552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）未在开标截止时间前通过网上招标投标系统递交有效电子投标文件的，开标系统不予接收，投标将被拒绝。</w:t>
      </w:r>
    </w:p>
    <w:p w14:paraId="35D1C11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19A1ECD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3A0676B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629EC1D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）投标人与在本项目代理机构存在相互任职或工作的；</w:t>
      </w:r>
    </w:p>
    <w:p w14:paraId="4615007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）招标公告写明专门面向中小企业采购，投标人提供的货物非中小企业制造的；</w:t>
      </w:r>
    </w:p>
    <w:p w14:paraId="68417CE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）要求供应商以联合体形式参加采购活动，投标人非联合体或者联合协议中中小企业合同金额未达到应当达到的比例；</w:t>
      </w:r>
    </w:p>
    <w:p w14:paraId="289FF63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）要求获得采购合同的供应商向中小企业分包，投标人未提供分包意向协议或者分包意向协议中中小企业合同金额未达到应当达到的比例；</w:t>
      </w:r>
    </w:p>
    <w:p w14:paraId="5DE2F80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）评标专家无法查看并检验电子投标文件中相关资料的；</w:t>
      </w:r>
    </w:p>
    <w:p w14:paraId="3E0D7BD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）联合体投标未提交联合体协议的；</w:t>
      </w:r>
    </w:p>
    <w:p w14:paraId="40F82C2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）责令停产停业的；</w:t>
      </w:r>
    </w:p>
    <w:p w14:paraId="2EC5AFE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）暂停或者取消参与政府采购项目资格的；</w:t>
      </w:r>
    </w:p>
    <w:p w14:paraId="0775783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）投标人单位负责人为同一人或者存在（直接）控股、管理关系的不同单位的；</w:t>
      </w:r>
    </w:p>
    <w:p w14:paraId="7F52637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）投标人基本资格条件和特定资格条件中有一项及以上不符合要求的；</w:t>
      </w:r>
    </w:p>
    <w:p w14:paraId="1862116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500195D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）其它情形，经评标委员会委提出按无效投标处理，并经公共资源交易监督部门核准的；</w:t>
      </w:r>
    </w:p>
    <w:p w14:paraId="3AE8A69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）投标人投标MAC地址或投标人联系人或联系电话相同的，由评标委员会否决其投标，并报告监管部门作不良行为处理和进一步调查；</w:t>
      </w:r>
    </w:p>
    <w:p w14:paraId="6E26E62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）投标人单方面出现其他投标人材料的；</w:t>
      </w:r>
    </w:p>
    <w:p w14:paraId="101F479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）招标文件规定的其它无效投标情形。</w:t>
      </w:r>
    </w:p>
    <w:p w14:paraId="25393FC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3.3 投标人有下列情形之一的,符合性审查后其投标按无效投标处理：</w:t>
      </w:r>
    </w:p>
    <w:p w14:paraId="361491C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）投标文件签字、盖章不全，经评标委员会一致认定对开评标内容有实质性影响并经公共资源交易监督部门核准的；</w:t>
      </w:r>
    </w:p>
    <w:p w14:paraId="0DC35BDD">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）未按规定的格式填写导致实质性内容不全以及实质上不响应，或者关键字迹模糊、无法辨认； 经公共资源交易监督部门核准的；</w:t>
      </w:r>
    </w:p>
    <w:p w14:paraId="58FB9168">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）同一投标人提交两个以上不同的投标文件或者投标报价，但招标文件规定提交备选方案的除外；</w:t>
      </w:r>
    </w:p>
    <w:p w14:paraId="4D2C220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）投标文件没有对招标文件的实质性要求和条件作出响应;</w:t>
      </w:r>
    </w:p>
    <w:p w14:paraId="1608072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）投标报价超出规定的投标限价或公布的采购预算的或投标人的投标报价各项单价高于招标文件给定的单价最高限价；</w:t>
      </w:r>
    </w:p>
    <w:p w14:paraId="7A598E1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）不按评标委员会要求澄清、说明或补正的，或者评标委员会根据招标文件的规定对投标文件的计算错误进行修正后，投标人不接受修正的投标报价的。</w:t>
      </w:r>
    </w:p>
    <w:p w14:paraId="7DA19D5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）其它情形，经评标委员会委提出按无效投标处理，并经公共资源交易监督部门核准的；</w:t>
      </w:r>
    </w:p>
    <w:p w14:paraId="7EC67D3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）投标文件含有采购人不能接受的附加条件的；</w:t>
      </w:r>
    </w:p>
    <w:p w14:paraId="3418CC9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）招标文件规定的其它无效投标情形。</w:t>
      </w:r>
    </w:p>
    <w:p w14:paraId="487F426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3.4 投标人有下列情形之一的, 详细评审后其投标按无效投标处理：</w:t>
      </w:r>
    </w:p>
    <w:p w14:paraId="1B0FA9EA">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）投标产品不符合必须强制执行的国家标准的；</w:t>
      </w:r>
    </w:p>
    <w:p w14:paraId="4C1CE7CF">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）投标人有串通投标、弄虚作假、行贿等违法行为；</w:t>
      </w:r>
    </w:p>
    <w:p w14:paraId="5E101208">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）投标文件含有违反国家法律、法规的内容，或附有采购人不能接受的条件的；</w:t>
      </w:r>
    </w:p>
    <w:p w14:paraId="01101482">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）报价明显低于其他投标人，且不能证明报价合理性的投标无效；</w:t>
      </w:r>
    </w:p>
    <w:p w14:paraId="649F4B7B">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）拒不确认评标委员会评审修正的投标无效；</w:t>
      </w:r>
    </w:p>
    <w:p w14:paraId="42910F97">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）其它情形，经评标委员会委提出按无效投标处理，并经公共资源交易监督部门核准的；</w:t>
      </w:r>
    </w:p>
    <w:p w14:paraId="20855FD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）招标文件规定的其它无效投标情形。</w:t>
      </w:r>
      <w:r>
        <w:rPr>
          <w:rFonts w:hint="eastAsia" w:ascii="宋体" w:hAnsi="宋体" w:eastAsia="宋体" w:cs="宋体"/>
          <w:color w:val="auto"/>
          <w:sz w:val="24"/>
          <w:highlight w:val="none"/>
        </w:rPr>
        <w:br w:type="page"/>
      </w:r>
    </w:p>
    <w:p w14:paraId="147B6BA7">
      <w:pPr>
        <w:spacing w:line="480" w:lineRule="auto"/>
        <w:jc w:val="center"/>
        <w:outlineLvl w:val="1"/>
        <w:rPr>
          <w:rFonts w:hint="eastAsia" w:ascii="宋体" w:hAnsi="宋体" w:eastAsia="宋体" w:cs="宋体"/>
          <w:b/>
          <w:color w:val="auto"/>
          <w:sz w:val="28"/>
          <w:highlight w:val="none"/>
        </w:rPr>
      </w:pPr>
      <w:bookmarkStart w:id="61" w:name="_Toc10810"/>
      <w:r>
        <w:rPr>
          <w:rFonts w:hint="eastAsia" w:ascii="宋体" w:hAnsi="宋体" w:eastAsia="宋体" w:cs="宋体"/>
          <w:b/>
          <w:color w:val="auto"/>
          <w:sz w:val="28"/>
          <w:highlight w:val="none"/>
        </w:rPr>
        <w:t xml:space="preserve">第五章 </w:t>
      </w:r>
      <w:r>
        <w:rPr>
          <w:rFonts w:hint="eastAsia" w:ascii="宋体" w:hAnsi="宋体" w:eastAsia="宋体" w:cs="宋体"/>
          <w:b/>
          <w:color w:val="auto"/>
          <w:sz w:val="28"/>
          <w:highlight w:val="none"/>
          <w:lang w:val="en-US" w:eastAsia="zh-CN"/>
        </w:rPr>
        <w:t>政府采购合同</w:t>
      </w:r>
      <w:bookmarkEnd w:id="61"/>
      <w:r>
        <w:rPr>
          <w:rFonts w:hint="eastAsia" w:ascii="宋体" w:hAnsi="宋体" w:eastAsia="宋体" w:cs="宋体"/>
          <w:b/>
          <w:color w:val="auto"/>
          <w:sz w:val="28"/>
          <w:highlight w:val="none"/>
        </w:rPr>
        <w:t xml:space="preserve"> </w:t>
      </w:r>
      <w:bookmarkStart w:id="62" w:name="_Toc3714"/>
    </w:p>
    <w:p w14:paraId="4A6BE696">
      <w:pPr>
        <w:spacing w:line="480" w:lineRule="auto"/>
        <w:jc w:val="center"/>
        <w:outlineLvl w:val="1"/>
        <w:rPr>
          <w:rFonts w:ascii="宋体" w:hAnsi="宋体" w:eastAsia="宋体" w:cs="Times New Roman"/>
          <w:b/>
          <w:color w:val="auto"/>
          <w:sz w:val="28"/>
          <w:szCs w:val="28"/>
          <w:highlight w:val="none"/>
        </w:rPr>
      </w:pPr>
      <w:bookmarkStart w:id="63" w:name="_Toc5420"/>
      <w:r>
        <w:rPr>
          <w:rFonts w:ascii="宋体" w:hAnsi="宋体" w:eastAsia="宋体" w:cs="Times New Roman"/>
          <w:b/>
          <w:color w:val="auto"/>
          <w:sz w:val="28"/>
          <w:szCs w:val="28"/>
          <w:highlight w:val="none"/>
        </w:rPr>
        <w:t>政府采购合同</w:t>
      </w:r>
      <w:r>
        <w:rPr>
          <w:rFonts w:hint="eastAsia" w:ascii="宋体" w:hAnsi="宋体" w:eastAsia="宋体" w:cs="Times New Roman"/>
          <w:b/>
          <w:color w:val="auto"/>
          <w:sz w:val="28"/>
          <w:szCs w:val="28"/>
          <w:highlight w:val="none"/>
        </w:rPr>
        <w:t>参考范本</w:t>
      </w:r>
      <w:bookmarkEnd w:id="62"/>
      <w:bookmarkEnd w:id="63"/>
    </w:p>
    <w:p w14:paraId="51B83EF0">
      <w:pPr>
        <w:spacing w:line="480" w:lineRule="auto"/>
        <w:jc w:val="center"/>
        <w:outlineLvl w:val="1"/>
        <w:rPr>
          <w:rFonts w:ascii="宋体" w:hAnsi="宋体" w:eastAsia="宋体" w:cs="Times New Roman"/>
          <w:b/>
          <w:color w:val="auto"/>
          <w:sz w:val="28"/>
          <w:szCs w:val="28"/>
          <w:highlight w:val="none"/>
        </w:rPr>
      </w:pPr>
      <w:bookmarkStart w:id="64" w:name="_Toc8560"/>
      <w:bookmarkStart w:id="65" w:name="_Toc3609"/>
      <w:r>
        <w:rPr>
          <w:rFonts w:hint="eastAsia" w:ascii="宋体" w:hAnsi="宋体" w:eastAsia="宋体" w:cs="Times New Roman"/>
          <w:b/>
          <w:color w:val="auto"/>
          <w:sz w:val="28"/>
          <w:szCs w:val="28"/>
          <w:highlight w:val="none"/>
        </w:rPr>
        <w:t>（服务类）</w:t>
      </w:r>
      <w:bookmarkEnd w:id="64"/>
      <w:bookmarkEnd w:id="65"/>
    </w:p>
    <w:p w14:paraId="0B0C5832">
      <w:pPr>
        <w:spacing w:line="480" w:lineRule="auto"/>
        <w:jc w:val="center"/>
        <w:rPr>
          <w:rFonts w:ascii="宋体" w:hAnsi="宋体" w:eastAsia="宋体" w:cs="Times New Roman"/>
          <w:b/>
          <w:color w:val="auto"/>
          <w:sz w:val="24"/>
          <w:szCs w:val="24"/>
          <w:highlight w:val="none"/>
        </w:rPr>
      </w:pPr>
    </w:p>
    <w:p w14:paraId="39713DD2">
      <w:pPr>
        <w:spacing w:line="480" w:lineRule="auto"/>
        <w:jc w:val="center"/>
        <w:rPr>
          <w:rFonts w:ascii="宋体" w:hAnsi="宋体" w:eastAsia="宋体" w:cs="Times New Roman"/>
          <w:b/>
          <w:color w:val="auto"/>
          <w:sz w:val="24"/>
          <w:szCs w:val="24"/>
          <w:highlight w:val="none"/>
        </w:rPr>
      </w:pPr>
    </w:p>
    <w:p w14:paraId="5A3A34CA">
      <w:pPr>
        <w:spacing w:line="480" w:lineRule="auto"/>
        <w:jc w:val="center"/>
        <w:rPr>
          <w:rFonts w:ascii="宋体" w:hAnsi="宋体" w:eastAsia="宋体" w:cs="Times New Roman"/>
          <w:b/>
          <w:color w:val="auto"/>
          <w:sz w:val="24"/>
          <w:szCs w:val="24"/>
          <w:highlight w:val="none"/>
        </w:rPr>
      </w:pPr>
    </w:p>
    <w:p w14:paraId="460E7AA8">
      <w:pPr>
        <w:spacing w:line="360" w:lineRule="auto"/>
        <w:jc w:val="center"/>
        <w:outlineLvl w:val="1"/>
        <w:rPr>
          <w:rFonts w:ascii="宋体" w:hAnsi="宋体" w:eastAsia="宋体"/>
          <w:b/>
          <w:color w:val="auto"/>
          <w:sz w:val="24"/>
          <w:highlight w:val="none"/>
        </w:rPr>
      </w:pPr>
      <w:bookmarkStart w:id="66" w:name="_Toc2449"/>
      <w:bookmarkStart w:id="67" w:name="_Toc14259"/>
      <w:r>
        <w:rPr>
          <w:rFonts w:hint="eastAsia" w:ascii="宋体" w:hAnsi="宋体" w:eastAsia="宋体"/>
          <w:b/>
          <w:color w:val="auto"/>
          <w:sz w:val="24"/>
          <w:highlight w:val="none"/>
        </w:rPr>
        <w:t>第一部分 合同书</w:t>
      </w:r>
      <w:bookmarkEnd w:id="66"/>
      <w:bookmarkEnd w:id="67"/>
    </w:p>
    <w:p w14:paraId="344778BF">
      <w:pPr>
        <w:spacing w:line="480" w:lineRule="auto"/>
        <w:jc w:val="center"/>
        <w:rPr>
          <w:rFonts w:ascii="宋体" w:hAnsi="宋体" w:eastAsia="宋体" w:cs="Times New Roman"/>
          <w:b/>
          <w:color w:val="auto"/>
          <w:sz w:val="24"/>
          <w:szCs w:val="24"/>
          <w:highlight w:val="none"/>
        </w:rPr>
      </w:pPr>
    </w:p>
    <w:p w14:paraId="7CA9C64D">
      <w:pPr>
        <w:spacing w:line="480" w:lineRule="auto"/>
        <w:jc w:val="center"/>
        <w:rPr>
          <w:rFonts w:ascii="宋体" w:hAnsi="宋体" w:eastAsia="宋体" w:cs="Times New Roman"/>
          <w:b/>
          <w:color w:val="auto"/>
          <w:sz w:val="24"/>
          <w:szCs w:val="24"/>
          <w:highlight w:val="none"/>
        </w:rPr>
      </w:pPr>
    </w:p>
    <w:p w14:paraId="708768C3">
      <w:pPr>
        <w:pStyle w:val="10"/>
        <w:rPr>
          <w:color w:val="auto"/>
          <w:highlight w:val="none"/>
        </w:rPr>
      </w:pPr>
    </w:p>
    <w:p w14:paraId="57C7EDA4">
      <w:pPr>
        <w:pStyle w:val="10"/>
        <w:rPr>
          <w:color w:val="auto"/>
          <w:highlight w:val="none"/>
        </w:rPr>
      </w:pPr>
    </w:p>
    <w:p w14:paraId="0C4076BE">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u w:val="single"/>
          <w:lang w:val="en-US"/>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 xml:space="preserve">                                    </w:t>
      </w:r>
    </w:p>
    <w:p w14:paraId="2CB6CF7D">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3B91F2DD">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lang w:val="en-US" w:eastAsia="zh-CN"/>
        </w:rPr>
        <w:t xml:space="preserve">  滁州市公路管理服务中心  </w:t>
      </w:r>
    </w:p>
    <w:p w14:paraId="1D51C4C7">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63D7230D">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滁州市公路管理服务中心   </w:t>
      </w:r>
    </w:p>
    <w:p w14:paraId="0FE08262">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7BCBF924">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5C4138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val="en-US" w:eastAsia="zh-CN"/>
        </w:rPr>
        <w:t xml:space="preserve"> 滁州市公路管理服务中心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lang w:val="en-US" w:eastAsia="zh-CN"/>
        </w:rPr>
        <w:t xml:space="preserve">滁州市城投工程咨询管理有限公司 </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）为本项目中标人，现</w:t>
      </w:r>
      <w:r>
        <w:rPr>
          <w:rFonts w:hint="eastAsia" w:ascii="宋体" w:hAnsi="宋体" w:eastAsia="宋体" w:cs="Times New Roman"/>
          <w:color w:val="auto"/>
          <w:sz w:val="24"/>
          <w:szCs w:val="24"/>
          <w:highlight w:val="none"/>
        </w:rPr>
        <w:t>按照采购文件确定的事项签订本合同。</w:t>
      </w:r>
    </w:p>
    <w:p w14:paraId="0D3D41B8">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68735C7D">
      <w:pPr>
        <w:spacing w:line="360" w:lineRule="auto"/>
        <w:ind w:firstLine="437"/>
        <w:outlineLvl w:val="2"/>
        <w:rPr>
          <w:rFonts w:ascii="宋体" w:hAnsi="宋体" w:eastAsia="宋体" w:cs="Times New Roman"/>
          <w:b/>
          <w:bCs/>
          <w:color w:val="auto"/>
          <w:sz w:val="24"/>
          <w:szCs w:val="24"/>
          <w:highlight w:val="none"/>
          <w:lang w:val="zh-CN"/>
        </w:rPr>
      </w:pPr>
      <w:bookmarkStart w:id="68" w:name="_Toc2232"/>
      <w:bookmarkStart w:id="69" w:name="_Toc24059"/>
      <w:bookmarkStart w:id="70" w:name="_Toc3029"/>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68"/>
      <w:bookmarkEnd w:id="69"/>
      <w:bookmarkEnd w:id="70"/>
    </w:p>
    <w:p w14:paraId="006D9091">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48509E47">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6AC52002">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1.1.2中标通知书；</w:t>
      </w:r>
    </w:p>
    <w:p w14:paraId="507FE84F">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1.1.3投标文件（含澄清或者说明文件）；</w:t>
      </w:r>
    </w:p>
    <w:p w14:paraId="56F71CD1">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1.1.4招标文件（含澄清或者修改文件）；</w:t>
      </w:r>
    </w:p>
    <w:p w14:paraId="7161F690">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607B6334">
      <w:pPr>
        <w:spacing w:line="360" w:lineRule="auto"/>
        <w:ind w:firstLine="437"/>
        <w:outlineLvl w:val="2"/>
        <w:rPr>
          <w:rFonts w:ascii="宋体" w:hAnsi="宋体" w:eastAsia="宋体" w:cs="Times New Roman"/>
          <w:b/>
          <w:bCs/>
          <w:color w:val="auto"/>
          <w:sz w:val="24"/>
          <w:szCs w:val="24"/>
          <w:highlight w:val="none"/>
          <w:lang w:val="zh-CN"/>
        </w:rPr>
      </w:pPr>
      <w:bookmarkStart w:id="71" w:name="_Toc22185"/>
      <w:bookmarkStart w:id="72" w:name="_Toc6773"/>
      <w:bookmarkStart w:id="73" w:name="_Toc6311"/>
      <w:bookmarkStart w:id="74" w:name="_Toc18585"/>
      <w:bookmarkStart w:id="75" w:name="_Toc2918"/>
      <w:r>
        <w:rPr>
          <w:rFonts w:hint="eastAsia" w:ascii="宋体" w:hAnsi="宋体" w:eastAsia="宋体" w:cs="Times New Roman"/>
          <w:b/>
          <w:bCs/>
          <w:color w:val="auto"/>
          <w:sz w:val="24"/>
          <w:szCs w:val="24"/>
          <w:highlight w:val="none"/>
          <w:lang w:val="zh-CN"/>
        </w:rPr>
        <w:t xml:space="preserve">1.2 </w:t>
      </w:r>
      <w:bookmarkEnd w:id="71"/>
      <w:bookmarkEnd w:id="72"/>
      <w:bookmarkEnd w:id="73"/>
      <w:bookmarkEnd w:id="74"/>
      <w:bookmarkEnd w:id="75"/>
      <w:r>
        <w:rPr>
          <w:rFonts w:hint="eastAsia" w:ascii="宋体" w:hAnsi="宋体" w:eastAsia="宋体" w:cs="Times New Roman"/>
          <w:b/>
          <w:bCs/>
          <w:color w:val="auto"/>
          <w:sz w:val="24"/>
          <w:szCs w:val="24"/>
          <w:highlight w:val="none"/>
          <w:lang w:val="zh-CN"/>
        </w:rPr>
        <w:t>服务</w:t>
      </w:r>
    </w:p>
    <w:p w14:paraId="1D75AA5D">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1.2.1服务</w:t>
      </w:r>
      <w:r>
        <w:rPr>
          <w:rFonts w:ascii="宋体" w:hAnsi="宋体" w:eastAsia="宋体" w:cs="Times New Roman"/>
          <w:color w:val="auto"/>
          <w:sz w:val="24"/>
          <w:szCs w:val="24"/>
          <w:highlight w:val="none"/>
        </w:rPr>
        <w:t>名称：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4AD9794A">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1.2.2服务内容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招标文件第三章采购需求全部内容，详见附件 </w:t>
      </w:r>
      <w:r>
        <w:rPr>
          <w:rFonts w:hint="eastAsia" w:ascii="宋体" w:hAnsi="宋体" w:eastAsia="宋体" w:cs="Times New Roman"/>
          <w:color w:val="auto"/>
          <w:sz w:val="24"/>
          <w:szCs w:val="24"/>
          <w:highlight w:val="none"/>
        </w:rPr>
        <w:t>；</w:t>
      </w:r>
    </w:p>
    <w:p w14:paraId="0AC2121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1.2.3服务质量：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1E40DF5C">
      <w:pPr>
        <w:spacing w:line="360" w:lineRule="auto"/>
        <w:ind w:firstLine="437"/>
        <w:outlineLvl w:val="2"/>
        <w:rPr>
          <w:rFonts w:ascii="宋体" w:hAnsi="宋体" w:eastAsia="宋体" w:cs="Times New Roman"/>
          <w:b/>
          <w:bCs/>
          <w:color w:val="auto"/>
          <w:sz w:val="24"/>
          <w:szCs w:val="24"/>
          <w:highlight w:val="none"/>
          <w:lang w:val="zh-CN"/>
        </w:rPr>
      </w:pPr>
      <w:bookmarkStart w:id="76" w:name="_Toc21631"/>
      <w:bookmarkStart w:id="77" w:name="_Toc23292"/>
      <w:bookmarkStart w:id="78" w:name="_Toc21551"/>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76"/>
      <w:bookmarkEnd w:id="77"/>
      <w:bookmarkEnd w:id="78"/>
    </w:p>
    <w:p w14:paraId="1F9A6D30">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lang w:val="en-US" w:eastAsia="zh-CN"/>
        </w:rPr>
        <w:t xml:space="preserve"> </w:t>
      </w:r>
      <w:r>
        <w:rPr>
          <w:rFonts w:ascii="宋体" w:hAnsi="宋体" w:eastAsia="宋体" w:cs="Times New Roman"/>
          <w:color w:val="auto"/>
          <w:sz w:val="24"/>
          <w:szCs w:val="24"/>
          <w:highlight w:val="none"/>
        </w:rPr>
        <w:t>。</w:t>
      </w:r>
    </w:p>
    <w:p w14:paraId="38C87DE9">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92B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center"/>
          </w:tcPr>
          <w:p w14:paraId="0E2FE374">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default" w:ascii="宋体" w:hAnsi="宋体" w:eastAsia="宋体" w:cs="Times New Roman"/>
                <w:color w:val="auto"/>
                <w:sz w:val="24"/>
                <w:szCs w:val="24"/>
                <w:highlight w:val="none"/>
                <w:lang w:val="zh-CN"/>
              </w:rPr>
              <w:t>序号</w:t>
            </w:r>
          </w:p>
        </w:tc>
        <w:tc>
          <w:tcPr>
            <w:tcW w:w="4316" w:type="dxa"/>
            <w:noWrap w:val="0"/>
            <w:vAlign w:val="center"/>
          </w:tcPr>
          <w:p w14:paraId="44070918">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noWrap w:val="0"/>
            <w:vAlign w:val="center"/>
          </w:tcPr>
          <w:p w14:paraId="7646855E">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rPr>
            </w:pPr>
            <w:r>
              <w:rPr>
                <w:rFonts w:hint="default" w:ascii="宋体" w:hAnsi="宋体" w:eastAsia="宋体" w:cs="Times New Roman"/>
                <w:color w:val="auto"/>
                <w:sz w:val="24"/>
                <w:szCs w:val="24"/>
                <w:highlight w:val="none"/>
              </w:rPr>
              <w:t>分项价格</w:t>
            </w:r>
          </w:p>
        </w:tc>
      </w:tr>
      <w:tr w14:paraId="368B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7A20646C">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noWrap w:val="0"/>
            <w:vAlign w:val="center"/>
          </w:tcPr>
          <w:p w14:paraId="7AFE83DE">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49CA87F3">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3CBF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2EEB5925">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noWrap w:val="0"/>
            <w:vAlign w:val="center"/>
          </w:tcPr>
          <w:p w14:paraId="0E4CEA33">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2FEFE821">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6B7F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66B6136E">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default" w:ascii="宋体" w:hAnsi="宋体" w:eastAsia="宋体" w:cs="Times New Roman"/>
                <w:color w:val="auto"/>
                <w:sz w:val="24"/>
                <w:szCs w:val="24"/>
                <w:highlight w:val="none"/>
                <w:lang w:val="zh-CN"/>
              </w:rPr>
              <w:t>3</w:t>
            </w:r>
          </w:p>
        </w:tc>
        <w:tc>
          <w:tcPr>
            <w:tcW w:w="4316" w:type="dxa"/>
            <w:noWrap w:val="0"/>
            <w:vAlign w:val="center"/>
          </w:tcPr>
          <w:p w14:paraId="0C4ACA90">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76E082BB">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0A49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3AA3C805">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noWrap w:val="0"/>
            <w:vAlign w:val="center"/>
          </w:tcPr>
          <w:p w14:paraId="02FFE59B">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18E39935">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32EE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0"/>
            <w:vAlign w:val="center"/>
          </w:tcPr>
          <w:p w14:paraId="34571198">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noWrap w:val="0"/>
            <w:vAlign w:val="center"/>
          </w:tcPr>
          <w:p w14:paraId="5ABE8BA0">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bl>
    <w:p w14:paraId="35438744">
      <w:pPr>
        <w:spacing w:line="360" w:lineRule="auto"/>
        <w:ind w:firstLine="437"/>
        <w:outlineLvl w:val="2"/>
        <w:rPr>
          <w:rFonts w:ascii="宋体" w:hAnsi="宋体" w:eastAsia="宋体" w:cs="Times New Roman"/>
          <w:b/>
          <w:bCs/>
          <w:color w:val="auto"/>
          <w:sz w:val="24"/>
          <w:szCs w:val="24"/>
          <w:highlight w:val="none"/>
          <w:lang w:val="zh-CN"/>
        </w:rPr>
      </w:pPr>
      <w:bookmarkStart w:id="79" w:name="_Toc10340"/>
      <w:bookmarkStart w:id="80" w:name="_Toc22618"/>
      <w:bookmarkStart w:id="81" w:name="_Toc1814"/>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79"/>
      <w:bookmarkEnd w:id="80"/>
      <w:bookmarkEnd w:id="81"/>
    </w:p>
    <w:p w14:paraId="1F2C477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6E660DB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4294C99C">
      <w:pPr>
        <w:spacing w:line="360" w:lineRule="auto"/>
        <w:ind w:firstLine="437"/>
        <w:outlineLvl w:val="2"/>
        <w:rPr>
          <w:rFonts w:ascii="宋体" w:hAnsi="宋体" w:eastAsia="宋体" w:cs="Times New Roman"/>
          <w:b/>
          <w:bCs/>
          <w:color w:val="auto"/>
          <w:sz w:val="24"/>
          <w:szCs w:val="24"/>
          <w:highlight w:val="none"/>
          <w:lang w:val="zh-CN"/>
        </w:rPr>
      </w:pPr>
      <w:bookmarkStart w:id="82" w:name="_Toc2846"/>
      <w:bookmarkStart w:id="83" w:name="_Toc19304"/>
      <w:bookmarkStart w:id="84" w:name="_Toc32071"/>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5 </w:t>
      </w:r>
      <w:r>
        <w:rPr>
          <w:rFonts w:hint="eastAsia" w:ascii="宋体" w:hAnsi="宋体" w:eastAsia="宋体" w:cs="Times New Roman"/>
          <w:b/>
          <w:bCs/>
          <w:color w:val="auto"/>
          <w:sz w:val="24"/>
          <w:szCs w:val="24"/>
          <w:highlight w:val="none"/>
          <w:lang w:val="zh-CN"/>
        </w:rPr>
        <w:t>服务</w:t>
      </w:r>
      <w:r>
        <w:rPr>
          <w:rFonts w:ascii="宋体" w:hAnsi="宋体" w:eastAsia="宋体" w:cs="Times New Roman"/>
          <w:b/>
          <w:bCs/>
          <w:color w:val="auto"/>
          <w:sz w:val="24"/>
          <w:szCs w:val="24"/>
          <w:highlight w:val="none"/>
          <w:lang w:val="zh-CN"/>
        </w:rPr>
        <w:t>期限</w:t>
      </w:r>
      <w:r>
        <w:rPr>
          <w:rFonts w:hint="eastAsia" w:ascii="宋体" w:hAnsi="宋体" w:eastAsia="宋体" w:cs="Times New Roman"/>
          <w:b/>
          <w:bCs/>
          <w:color w:val="auto"/>
          <w:sz w:val="24"/>
          <w:szCs w:val="24"/>
          <w:highlight w:val="none"/>
          <w:lang w:val="zh-CN"/>
        </w:rPr>
        <w:t>、地点和方式</w:t>
      </w:r>
      <w:bookmarkEnd w:id="82"/>
      <w:bookmarkEnd w:id="83"/>
      <w:bookmarkEnd w:id="84"/>
    </w:p>
    <w:p w14:paraId="4439C2B2">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1.5.1服务期限</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144BE65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1.5.2服务地点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02C2715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1.5.3服务方式：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653DC200">
      <w:pPr>
        <w:spacing w:line="360" w:lineRule="auto"/>
        <w:ind w:firstLine="437"/>
        <w:outlineLvl w:val="2"/>
        <w:rPr>
          <w:rFonts w:ascii="宋体" w:hAnsi="宋体" w:eastAsia="宋体" w:cs="Times New Roman"/>
          <w:b/>
          <w:bCs/>
          <w:color w:val="auto"/>
          <w:sz w:val="24"/>
          <w:szCs w:val="24"/>
          <w:highlight w:val="none"/>
          <w:lang w:val="zh-CN"/>
        </w:rPr>
      </w:pPr>
      <w:bookmarkStart w:id="85" w:name="_Toc21423"/>
      <w:bookmarkStart w:id="86" w:name="_Toc27250"/>
      <w:bookmarkStart w:id="87" w:name="_Toc19554"/>
      <w:r>
        <w:rPr>
          <w:rFonts w:hint="eastAsia" w:ascii="宋体" w:hAnsi="宋体" w:eastAsia="宋体" w:cs="Times New Roman"/>
          <w:b/>
          <w:bCs/>
          <w:color w:val="auto"/>
          <w:sz w:val="24"/>
          <w:szCs w:val="24"/>
          <w:highlight w:val="none"/>
          <w:lang w:val="zh-CN"/>
        </w:rPr>
        <w:t>1.6 违约责任</w:t>
      </w:r>
      <w:bookmarkEnd w:id="85"/>
      <w:bookmarkEnd w:id="86"/>
      <w:bookmarkEnd w:id="87"/>
    </w:p>
    <w:p w14:paraId="689DD07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一日的应提供而未</w:t>
      </w:r>
      <w:r>
        <w:rPr>
          <w:rFonts w:hint="eastAsia" w:ascii="宋体" w:hAnsi="宋体" w:eastAsia="宋体" w:cs="Times New Roman"/>
          <w:color w:val="auto"/>
          <w:sz w:val="24"/>
          <w:szCs w:val="24"/>
          <w:highlight w:val="none"/>
        </w:rPr>
        <w:t>提供</w:t>
      </w:r>
      <w:r>
        <w:rPr>
          <w:rFonts w:ascii="宋体" w:hAnsi="宋体" w:eastAsia="宋体" w:cs="Times New Roman"/>
          <w:color w:val="auto"/>
          <w:sz w:val="24"/>
          <w:szCs w:val="24"/>
          <w:highlight w:val="none"/>
        </w:rPr>
        <w:t>服务价格的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10</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3BE0E1C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1.6.2</w:t>
      </w:r>
      <w:r>
        <w:rPr>
          <w:rFonts w:ascii="宋体" w:hAnsi="宋体" w:eastAsia="宋体" w:cs="Times New Roman"/>
          <w:color w:val="auto"/>
          <w:sz w:val="24"/>
          <w:szCs w:val="24"/>
          <w:highlight w:val="none"/>
        </w:rPr>
        <w:t>除不可抗力外，如果甲方没有按照本合同约定的付款方式付款，那么乙方可要求甲方支付违约金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一日的应付而未付款的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0.1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，乙</w:t>
      </w:r>
      <w:r>
        <w:rPr>
          <w:rFonts w:ascii="宋体" w:hAnsi="宋体" w:eastAsia="宋体" w:cs="Times New Roman"/>
          <w:color w:val="auto"/>
          <w:sz w:val="24"/>
          <w:szCs w:val="24"/>
          <w:highlight w:val="none"/>
        </w:rPr>
        <w:t>方有权在要求甲方支付违约金的同时</w:t>
      </w:r>
      <w:r>
        <w:rPr>
          <w:rFonts w:hint="eastAsia" w:ascii="宋体" w:hAnsi="宋体" w:eastAsia="宋体" w:cs="Times New Roman"/>
          <w:color w:val="auto"/>
          <w:sz w:val="24"/>
          <w:szCs w:val="24"/>
          <w:highlight w:val="none"/>
        </w:rPr>
        <w:t>，书面通知甲方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5BE8255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E6EE25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29FFC7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B7AB30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60DB7D09">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1.6.7因甲方未按合同约定支付价款、未按合同约定受领标的物、擅自解除合同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逾期退还履约保证金</w:t>
      </w:r>
      <w:r>
        <w:rPr>
          <w:rFonts w:ascii="宋体" w:hAnsi="宋体" w:eastAsia="宋体" w:cs="Times New Roman"/>
          <w:color w:val="auto"/>
          <w:sz w:val="24"/>
          <w:szCs w:val="24"/>
          <w:highlight w:val="none"/>
        </w:rPr>
        <w:t>导致乙方遭受的直接损失，乙方可向甲方申请赔偿，赔偿金额由双方协商一致；</w:t>
      </w:r>
      <w:r>
        <w:rPr>
          <w:rFonts w:hint="eastAsia" w:ascii="宋体" w:hAnsi="宋体" w:eastAsia="宋体" w:cs="Times New Roman"/>
          <w:color w:val="auto"/>
          <w:sz w:val="24"/>
          <w:szCs w:val="24"/>
          <w:highlight w:val="none"/>
        </w:rPr>
        <w:t>针对因政策变化等原因不能签订合同或解除合同时，造成乙方合法利益受损的情形，可以给予乙方合理补偿，补偿金额不得超过乙方的直接损失。</w:t>
      </w:r>
    </w:p>
    <w:p w14:paraId="1452EBBB">
      <w:pPr>
        <w:spacing w:line="360" w:lineRule="auto"/>
        <w:ind w:firstLine="437"/>
        <w:outlineLvl w:val="2"/>
        <w:rPr>
          <w:rFonts w:ascii="宋体" w:hAnsi="宋体" w:eastAsia="宋体" w:cs="Times New Roman"/>
          <w:b/>
          <w:bCs/>
          <w:color w:val="auto"/>
          <w:sz w:val="24"/>
          <w:szCs w:val="24"/>
          <w:highlight w:val="none"/>
          <w:lang w:val="zh-CN"/>
        </w:rPr>
      </w:pPr>
      <w:bookmarkStart w:id="88" w:name="_Toc28375"/>
      <w:bookmarkStart w:id="89" w:name="_Toc15583"/>
      <w:bookmarkStart w:id="90" w:name="_Toc16021"/>
      <w:r>
        <w:rPr>
          <w:rFonts w:hint="eastAsia" w:ascii="宋体" w:hAnsi="宋体" w:eastAsia="宋体" w:cs="Times New Roman"/>
          <w:b/>
          <w:bCs/>
          <w:color w:val="auto"/>
          <w:sz w:val="24"/>
          <w:szCs w:val="24"/>
          <w:highlight w:val="none"/>
          <w:lang w:val="zh-CN"/>
        </w:rPr>
        <w:t>1.7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88"/>
      <w:bookmarkEnd w:id="89"/>
      <w:bookmarkEnd w:id="90"/>
    </w:p>
    <w:p w14:paraId="1F7E654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种方式解决：</w:t>
      </w:r>
    </w:p>
    <w:p w14:paraId="3C71C0C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1.7.1将争议提交</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滁州</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仲裁委员会依申请仲裁时其现行有效的仲裁规则裁决；</w:t>
      </w:r>
    </w:p>
    <w:p w14:paraId="1AF2926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1.7.2向</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采购人所在地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020BDFF5">
      <w:pPr>
        <w:spacing w:line="360" w:lineRule="auto"/>
        <w:ind w:firstLine="437"/>
        <w:outlineLvl w:val="2"/>
        <w:rPr>
          <w:rFonts w:ascii="宋体" w:hAnsi="宋体" w:eastAsia="宋体" w:cs="Times New Roman"/>
          <w:b/>
          <w:bCs/>
          <w:color w:val="auto"/>
          <w:sz w:val="24"/>
          <w:szCs w:val="24"/>
          <w:highlight w:val="none"/>
          <w:lang w:val="zh-CN"/>
        </w:rPr>
      </w:pPr>
      <w:bookmarkStart w:id="91" w:name="_Toc7245"/>
      <w:bookmarkStart w:id="92" w:name="_Toc11173"/>
      <w:bookmarkStart w:id="93" w:name="_Toc15322"/>
      <w:r>
        <w:rPr>
          <w:rFonts w:hint="eastAsia" w:ascii="宋体" w:hAnsi="宋体" w:eastAsia="宋体" w:cs="Times New Roman"/>
          <w:b/>
          <w:bCs/>
          <w:color w:val="auto"/>
          <w:sz w:val="24"/>
          <w:szCs w:val="24"/>
          <w:highlight w:val="none"/>
          <w:lang w:val="zh-CN"/>
        </w:rPr>
        <w:t>1.8</w:t>
      </w:r>
      <w:r>
        <w:rPr>
          <w:rFonts w:ascii="宋体" w:hAnsi="宋体" w:eastAsia="宋体" w:cs="Times New Roman"/>
          <w:b/>
          <w:bCs/>
          <w:color w:val="auto"/>
          <w:sz w:val="24"/>
          <w:szCs w:val="24"/>
          <w:highlight w:val="none"/>
          <w:lang w:val="zh-CN"/>
        </w:rPr>
        <w:t xml:space="preserve"> 合同生效</w:t>
      </w:r>
      <w:bookmarkEnd w:id="91"/>
      <w:bookmarkEnd w:id="92"/>
      <w:bookmarkEnd w:id="93"/>
    </w:p>
    <w:p w14:paraId="088C0DDD">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7B3BCE43">
      <w:pPr>
        <w:autoSpaceDE w:val="0"/>
        <w:autoSpaceDN w:val="0"/>
        <w:adjustRightInd w:val="0"/>
        <w:spacing w:line="560" w:lineRule="exact"/>
        <w:rPr>
          <w:rFonts w:ascii="宋体" w:hAnsi="宋体" w:eastAsia="宋体" w:cs="Times New Roman"/>
          <w:color w:val="auto"/>
          <w:sz w:val="24"/>
          <w:szCs w:val="24"/>
          <w:highlight w:val="none"/>
          <w:lang w:val="zh-CN"/>
        </w:rPr>
      </w:pPr>
    </w:p>
    <w:p w14:paraId="5F376040">
      <w:pPr>
        <w:autoSpaceDE w:val="0"/>
        <w:autoSpaceDN w:val="0"/>
        <w:adjustRightInd w:val="0"/>
        <w:spacing w:line="560" w:lineRule="exact"/>
        <w:rPr>
          <w:rFonts w:ascii="宋体" w:hAnsi="宋体" w:eastAsia="宋体" w:cs="Times New Roman"/>
          <w:color w:val="auto"/>
          <w:sz w:val="24"/>
          <w:szCs w:val="24"/>
          <w:highlight w:val="none"/>
          <w:lang w:val="zh-CN"/>
        </w:rPr>
      </w:pPr>
    </w:p>
    <w:p w14:paraId="6386897B">
      <w:pPr>
        <w:autoSpaceDE w:val="0"/>
        <w:autoSpaceDN w:val="0"/>
        <w:adjustRightInd w:val="0"/>
        <w:spacing w:line="560" w:lineRule="exact"/>
        <w:rPr>
          <w:rFonts w:ascii="宋体" w:hAnsi="宋体" w:eastAsia="宋体" w:cs="Times New Roman"/>
          <w:color w:val="auto"/>
          <w:sz w:val="24"/>
          <w:szCs w:val="24"/>
          <w:highlight w:val="none"/>
          <w:lang w:val="zh-CN"/>
        </w:rPr>
      </w:pPr>
    </w:p>
    <w:p w14:paraId="4D1D8543">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2C0E5CE2">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7F4BAD10">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02D8764A">
      <w:pPr>
        <w:widowControl/>
        <w:spacing w:line="560" w:lineRule="exact"/>
        <w:jc w:val="left"/>
        <w:rPr>
          <w:rFonts w:ascii="宋体" w:hAnsi="宋体" w:eastAsia="宋体" w:cs="Times New Roman"/>
          <w:bCs/>
          <w:color w:val="auto"/>
          <w:sz w:val="24"/>
          <w:szCs w:val="24"/>
          <w:highlight w:val="none"/>
        </w:rPr>
      </w:pPr>
      <w:bookmarkStart w:id="94" w:name="_Toc331685783"/>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3B8E6386">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bookmarkStart w:id="95" w:name="_Hlk110099149"/>
      <w:r>
        <w:rPr>
          <w:rFonts w:hint="eastAsia" w:ascii="宋体" w:hAnsi="宋体" w:eastAsia="宋体"/>
          <w:color w:val="auto"/>
          <w:sz w:val="24"/>
          <w:szCs w:val="24"/>
          <w:highlight w:val="none"/>
        </w:rPr>
        <w:t>乙方账户信息</w:t>
      </w:r>
    </w:p>
    <w:p w14:paraId="1AADF5B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5409E3E4">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4FC91AF3">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bookmarkEnd w:id="95"/>
    <w:p w14:paraId="5A146327">
      <w:pPr>
        <w:widowControl/>
        <w:jc w:val="left"/>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br w:type="page"/>
      </w:r>
    </w:p>
    <w:p w14:paraId="4EE1395F">
      <w:pPr>
        <w:spacing w:line="360" w:lineRule="auto"/>
        <w:jc w:val="center"/>
        <w:outlineLvl w:val="1"/>
        <w:rPr>
          <w:rFonts w:ascii="宋体" w:hAnsi="宋体" w:eastAsia="宋体"/>
          <w:b/>
          <w:color w:val="auto"/>
          <w:sz w:val="24"/>
          <w:highlight w:val="none"/>
        </w:rPr>
      </w:pPr>
      <w:bookmarkStart w:id="96" w:name="_Toc30895"/>
      <w:bookmarkStart w:id="97" w:name="_Toc415"/>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94"/>
      <w:bookmarkEnd w:id="96"/>
      <w:bookmarkEnd w:id="97"/>
    </w:p>
    <w:p w14:paraId="36FD3372">
      <w:pPr>
        <w:spacing w:line="360" w:lineRule="auto"/>
        <w:ind w:firstLine="437"/>
        <w:outlineLvl w:val="2"/>
        <w:rPr>
          <w:rFonts w:ascii="宋体" w:hAnsi="宋体" w:eastAsia="宋体" w:cs="Times New Roman"/>
          <w:b/>
          <w:bCs/>
          <w:color w:val="auto"/>
          <w:sz w:val="24"/>
          <w:szCs w:val="24"/>
          <w:highlight w:val="none"/>
          <w:lang w:val="zh-CN"/>
        </w:rPr>
      </w:pPr>
      <w:bookmarkStart w:id="98" w:name="_Toc19614"/>
      <w:bookmarkStart w:id="99" w:name="_Ref467379101"/>
      <w:bookmarkStart w:id="100" w:name="_Ref467379225"/>
      <w:bookmarkStart w:id="101" w:name="_Toc487900349"/>
      <w:bookmarkStart w:id="102" w:name="_Ref467378499"/>
      <w:bookmarkStart w:id="103" w:name="_Ref467379109"/>
      <w:bookmarkStart w:id="104" w:name="_Ref467378404"/>
      <w:bookmarkStart w:id="105" w:name="_Toc279701240"/>
      <w:bookmarkStart w:id="106" w:name="_Ref467379214"/>
      <w:bookmarkStart w:id="107" w:name="_Toc16917"/>
      <w:bookmarkStart w:id="108" w:name="_Ref467379205"/>
      <w:bookmarkStart w:id="109" w:name="_Ref467379195"/>
      <w:bookmarkStart w:id="110" w:name="_Ref467378463"/>
      <w:bookmarkStart w:id="111" w:name="_Toc28763"/>
      <w:bookmarkStart w:id="112" w:name="_Toc259093669"/>
      <w:bookmarkStart w:id="113" w:name="_Ref467379094"/>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1384AA5D">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52E1B44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5D6FF65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360B501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w:t>
      </w:r>
      <w:r>
        <w:rPr>
          <w:rFonts w:hint="eastAsia" w:ascii="宋体" w:hAnsi="宋体" w:eastAsia="宋体" w:cs="Times New Roman"/>
          <w:color w:val="auto"/>
          <w:sz w:val="24"/>
          <w:szCs w:val="24"/>
          <w:highlight w:val="none"/>
        </w:rPr>
        <w:t>服务</w:t>
      </w:r>
      <w:r>
        <w:rPr>
          <w:rFonts w:ascii="宋体" w:hAnsi="宋体" w:eastAsia="宋体" w:cs="Times New Roman"/>
          <w:color w:val="auto"/>
          <w:sz w:val="24"/>
          <w:szCs w:val="24"/>
          <w:highlight w:val="none"/>
        </w:rPr>
        <w:t>”系指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，包括采购人自身需要的服务和向社会公众提供的公共服务。</w:t>
      </w:r>
    </w:p>
    <w:p w14:paraId="111FEA69">
      <w:pPr>
        <w:spacing w:line="360" w:lineRule="auto"/>
        <w:ind w:firstLine="435"/>
        <w:rPr>
          <w:rFonts w:ascii="宋体" w:hAnsi="宋体" w:eastAsia="宋体" w:cs="Times New Roman"/>
          <w:color w:val="auto"/>
          <w:sz w:val="24"/>
          <w:szCs w:val="24"/>
          <w:highlight w:val="none"/>
        </w:rPr>
      </w:pPr>
      <w:bookmarkStart w:id="114"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114"/>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7DA1D482">
      <w:pPr>
        <w:spacing w:line="360" w:lineRule="auto"/>
        <w:ind w:firstLine="435"/>
        <w:rPr>
          <w:rFonts w:ascii="宋体" w:hAnsi="宋体" w:eastAsia="宋体" w:cs="Times New Roman"/>
          <w:color w:val="auto"/>
          <w:sz w:val="24"/>
          <w:szCs w:val="24"/>
          <w:highlight w:val="none"/>
        </w:rPr>
      </w:pPr>
      <w:bookmarkStart w:id="115"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的中标人</w:t>
      </w:r>
      <w:bookmarkEnd w:id="115"/>
      <w:r>
        <w:rPr>
          <w:rFonts w:hint="eastAsia" w:ascii="宋体" w:hAnsi="宋体" w:eastAsia="宋体" w:cs="Times New Roman"/>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9434309">
      <w:pPr>
        <w:spacing w:line="360" w:lineRule="auto"/>
        <w:ind w:firstLine="435"/>
        <w:rPr>
          <w:rFonts w:ascii="宋体" w:hAnsi="宋体" w:eastAsia="宋体" w:cs="Times New Roman"/>
          <w:color w:val="auto"/>
          <w:sz w:val="24"/>
          <w:szCs w:val="24"/>
          <w:highlight w:val="none"/>
        </w:rPr>
      </w:pPr>
      <w:bookmarkStart w:id="116"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的地点。</w:t>
      </w:r>
      <w:bookmarkEnd w:id="116"/>
    </w:p>
    <w:p w14:paraId="1E05B93B">
      <w:pPr>
        <w:spacing w:line="360" w:lineRule="auto"/>
        <w:ind w:firstLine="437"/>
        <w:outlineLvl w:val="2"/>
        <w:rPr>
          <w:rFonts w:ascii="宋体" w:hAnsi="宋体" w:eastAsia="宋体" w:cs="Times New Roman"/>
          <w:b/>
          <w:bCs/>
          <w:color w:val="auto"/>
          <w:sz w:val="24"/>
          <w:szCs w:val="24"/>
          <w:highlight w:val="none"/>
          <w:lang w:val="zh-CN"/>
        </w:rPr>
      </w:pPr>
      <w:bookmarkStart w:id="117" w:name="_Toc27635"/>
      <w:bookmarkStart w:id="118" w:name="_Toc32504"/>
      <w:bookmarkStart w:id="119" w:name="_Toc487900350"/>
      <w:bookmarkStart w:id="120" w:name="_Toc259093670"/>
      <w:bookmarkStart w:id="121" w:name="_Toc279701241"/>
      <w:bookmarkStart w:id="122" w:name="_Toc13336"/>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117"/>
      <w:bookmarkEnd w:id="118"/>
      <w:bookmarkEnd w:id="119"/>
      <w:bookmarkEnd w:id="120"/>
      <w:bookmarkEnd w:id="121"/>
      <w:bookmarkEnd w:id="122"/>
    </w:p>
    <w:p w14:paraId="2BB946F4">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08D8CB74">
      <w:pPr>
        <w:spacing w:line="360" w:lineRule="auto"/>
        <w:ind w:firstLine="437"/>
        <w:outlineLvl w:val="2"/>
        <w:rPr>
          <w:rFonts w:ascii="宋体" w:hAnsi="宋体" w:eastAsia="宋体" w:cs="Times New Roman"/>
          <w:b/>
          <w:bCs/>
          <w:color w:val="auto"/>
          <w:sz w:val="24"/>
          <w:szCs w:val="24"/>
          <w:highlight w:val="none"/>
          <w:lang w:val="zh-CN"/>
        </w:rPr>
      </w:pPr>
      <w:bookmarkStart w:id="123" w:name="_Toc487900351"/>
      <w:bookmarkStart w:id="124" w:name="_Toc27853"/>
      <w:bookmarkStart w:id="125" w:name="_Toc279701242"/>
      <w:bookmarkStart w:id="126" w:name="_Toc259093671"/>
      <w:bookmarkStart w:id="127" w:name="_Toc31634"/>
      <w:bookmarkStart w:id="128" w:name="_Toc9829"/>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123"/>
      <w:bookmarkEnd w:id="124"/>
      <w:bookmarkEnd w:id="125"/>
      <w:bookmarkEnd w:id="126"/>
      <w:bookmarkEnd w:id="127"/>
      <w:bookmarkEnd w:id="128"/>
    </w:p>
    <w:p w14:paraId="167E0B2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w:t>
      </w:r>
      <w:r>
        <w:rPr>
          <w:rFonts w:hint="eastAsia" w:ascii="宋体" w:hAnsi="宋体" w:eastAsia="宋体" w:cs="Times New Roman"/>
          <w:color w:val="auto"/>
          <w:sz w:val="24"/>
          <w:szCs w:val="24"/>
          <w:highlight w:val="none"/>
        </w:rPr>
        <w:t>其提供的服务</w:t>
      </w:r>
      <w:r>
        <w:rPr>
          <w:rFonts w:ascii="宋体" w:hAnsi="宋体" w:eastAsia="宋体" w:cs="Times New Roman"/>
          <w:color w:val="auto"/>
          <w:sz w:val="24"/>
          <w:szCs w:val="24"/>
          <w:highlight w:val="none"/>
        </w:rPr>
        <w:t>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078EC2E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3EF4F8C0">
      <w:pPr>
        <w:spacing w:line="360" w:lineRule="auto"/>
        <w:ind w:firstLine="437"/>
        <w:outlineLvl w:val="2"/>
        <w:rPr>
          <w:rFonts w:ascii="宋体" w:hAnsi="宋体" w:eastAsia="宋体" w:cs="Times New Roman"/>
          <w:b/>
          <w:bCs/>
          <w:color w:val="auto"/>
          <w:sz w:val="24"/>
          <w:szCs w:val="24"/>
          <w:highlight w:val="none"/>
          <w:lang w:val="zh-CN"/>
        </w:rPr>
      </w:pPr>
      <w:bookmarkStart w:id="129" w:name="_Toc279701245"/>
      <w:bookmarkStart w:id="130" w:name="_Ref467378591"/>
      <w:bookmarkStart w:id="131" w:name="_Ref467379527"/>
      <w:bookmarkStart w:id="132" w:name="_Toc487900354"/>
      <w:bookmarkStart w:id="133" w:name="_Ref467378541"/>
      <w:bookmarkStart w:id="134" w:name="_Toc259093674"/>
      <w:bookmarkStart w:id="135" w:name="_Ref467379536"/>
      <w:bookmarkStart w:id="136" w:name="_Ref467379542"/>
      <w:bookmarkStart w:id="137" w:name="_Toc26182"/>
      <w:bookmarkStart w:id="138" w:name="_Toc19074"/>
      <w:bookmarkStart w:id="139" w:name="_Toc30272"/>
      <w:r>
        <w:rPr>
          <w:rFonts w:hint="eastAsia" w:ascii="宋体" w:hAnsi="宋体" w:eastAsia="宋体" w:cs="Times New Roman"/>
          <w:b/>
          <w:bCs/>
          <w:color w:val="auto"/>
          <w:sz w:val="24"/>
          <w:szCs w:val="24"/>
          <w:highlight w:val="none"/>
          <w:lang w:val="zh-CN"/>
        </w:rPr>
        <w:t>2.</w:t>
      </w:r>
      <w:bookmarkEnd w:id="129"/>
      <w:bookmarkEnd w:id="130"/>
      <w:bookmarkEnd w:id="131"/>
      <w:bookmarkEnd w:id="132"/>
      <w:bookmarkEnd w:id="133"/>
      <w:bookmarkEnd w:id="134"/>
      <w:bookmarkEnd w:id="135"/>
      <w:bookmarkEnd w:id="136"/>
      <w:r>
        <w:rPr>
          <w:rFonts w:ascii="宋体" w:hAnsi="宋体" w:eastAsia="宋体" w:cs="Times New Roman"/>
          <w:b/>
          <w:bCs/>
          <w:color w:val="auto"/>
          <w:sz w:val="24"/>
          <w:szCs w:val="24"/>
          <w:highlight w:val="none"/>
          <w:lang w:val="zh-CN"/>
        </w:rPr>
        <w:t xml:space="preserve">4 </w:t>
      </w:r>
      <w:r>
        <w:rPr>
          <w:rFonts w:hint="eastAsia" w:ascii="宋体" w:hAnsi="宋体" w:eastAsia="宋体" w:cs="Times New Roman"/>
          <w:b/>
          <w:bCs/>
          <w:color w:val="auto"/>
          <w:sz w:val="24"/>
          <w:szCs w:val="24"/>
          <w:highlight w:val="none"/>
          <w:lang w:val="zh-CN"/>
        </w:rPr>
        <w:t>履约检查和问题反馈</w:t>
      </w:r>
      <w:bookmarkEnd w:id="137"/>
      <w:bookmarkEnd w:id="138"/>
      <w:bookmarkEnd w:id="139"/>
    </w:p>
    <w:p w14:paraId="282A0E8D">
      <w:pPr>
        <w:spacing w:line="360" w:lineRule="auto"/>
        <w:ind w:firstLine="435"/>
        <w:rPr>
          <w:rFonts w:ascii="宋体" w:hAnsi="宋体" w:eastAsia="宋体" w:cs="Times New Roman"/>
          <w:color w:val="auto"/>
          <w:sz w:val="24"/>
          <w:szCs w:val="24"/>
          <w:highlight w:val="none"/>
        </w:rPr>
      </w:pPr>
      <w:bookmarkStart w:id="140" w:name="_Toc186431854"/>
      <w:bookmarkStart w:id="141" w:name="_Toc279701247"/>
      <w:bookmarkStart w:id="142" w:name="_Ref467379793"/>
      <w:bookmarkStart w:id="143" w:name="_Toc259093676"/>
      <w:bookmarkStart w:id="144" w:name="_Toc487900357"/>
      <w:bookmarkStart w:id="145" w:name="_Ref467379807"/>
      <w:r>
        <w:rPr>
          <w:rFonts w:hint="eastAsia" w:ascii="宋体" w:hAnsi="宋体" w:eastAsia="宋体" w:cs="Times New Roman"/>
          <w:color w:val="auto"/>
          <w:sz w:val="24"/>
          <w:szCs w:val="24"/>
          <w:highlight w:val="none"/>
        </w:rPr>
        <w:t>2.4</w:t>
      </w:r>
      <w:r>
        <w:rPr>
          <w:rFonts w:ascii="宋体" w:hAnsi="宋体" w:eastAsia="宋体" w:cs="Times New Roman"/>
          <w:color w:val="auto"/>
          <w:sz w:val="24"/>
          <w:szCs w:val="24"/>
          <w:highlight w:val="none"/>
        </w:rPr>
        <w:t>.1甲方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7A8F2BF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.2合同履行期间，甲方有权将履行过程中出现的问题反馈给乙方，双方当事人应以书面形式约定需要完善和改进的内容</w:t>
      </w:r>
      <w:bookmarkEnd w:id="140"/>
      <w:bookmarkStart w:id="146" w:name="_Toc186431855"/>
      <w:r>
        <w:rPr>
          <w:rFonts w:hint="eastAsia" w:ascii="宋体" w:hAnsi="宋体" w:eastAsia="宋体" w:cs="Times New Roman"/>
          <w:color w:val="auto"/>
          <w:sz w:val="24"/>
          <w:szCs w:val="24"/>
          <w:highlight w:val="none"/>
        </w:rPr>
        <w:t>。</w:t>
      </w:r>
    </w:p>
    <w:bookmarkEnd w:id="146"/>
    <w:p w14:paraId="035B07F7">
      <w:pPr>
        <w:spacing w:line="360" w:lineRule="auto"/>
        <w:ind w:firstLine="437"/>
        <w:outlineLvl w:val="2"/>
        <w:rPr>
          <w:rFonts w:ascii="宋体" w:hAnsi="宋体" w:eastAsia="宋体" w:cs="Times New Roman"/>
          <w:b/>
          <w:bCs/>
          <w:color w:val="auto"/>
          <w:sz w:val="24"/>
          <w:szCs w:val="24"/>
          <w:highlight w:val="none"/>
          <w:lang w:val="zh-CN"/>
        </w:rPr>
      </w:pPr>
      <w:bookmarkStart w:id="147" w:name="_Toc19219"/>
      <w:bookmarkStart w:id="148" w:name="_Toc7836"/>
      <w:bookmarkStart w:id="149" w:name="_Toc28451"/>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5</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结算方式和付款条件</w:t>
      </w:r>
      <w:bookmarkEnd w:id="141"/>
      <w:bookmarkEnd w:id="142"/>
      <w:bookmarkEnd w:id="143"/>
      <w:bookmarkEnd w:id="144"/>
      <w:bookmarkEnd w:id="145"/>
      <w:bookmarkEnd w:id="147"/>
      <w:bookmarkEnd w:id="148"/>
      <w:bookmarkEnd w:id="149"/>
    </w:p>
    <w:p w14:paraId="2CB64F9F">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6D5CCF6C">
      <w:pPr>
        <w:spacing w:line="360" w:lineRule="auto"/>
        <w:ind w:firstLine="437"/>
        <w:outlineLvl w:val="2"/>
        <w:rPr>
          <w:rFonts w:ascii="宋体" w:hAnsi="宋体" w:eastAsia="宋体" w:cs="Times New Roman"/>
          <w:b/>
          <w:bCs/>
          <w:color w:val="auto"/>
          <w:sz w:val="24"/>
          <w:szCs w:val="24"/>
          <w:highlight w:val="none"/>
          <w:lang w:val="zh-CN"/>
        </w:rPr>
      </w:pPr>
      <w:bookmarkStart w:id="150" w:name="_Ref467379852"/>
      <w:bookmarkStart w:id="151" w:name="_Ref467379923"/>
      <w:bookmarkStart w:id="152" w:name="_Toc279701248"/>
      <w:bookmarkStart w:id="153" w:name="_Toc487900358"/>
      <w:bookmarkStart w:id="154" w:name="_Toc259093677"/>
      <w:bookmarkStart w:id="155" w:name="_Ref467379863"/>
      <w:bookmarkStart w:id="156" w:name="_Toc3225"/>
      <w:bookmarkStart w:id="157" w:name="_Toc774"/>
      <w:bookmarkStart w:id="158" w:name="_Toc16110"/>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6</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技术资料</w:t>
      </w:r>
      <w:bookmarkEnd w:id="150"/>
      <w:bookmarkEnd w:id="151"/>
      <w:bookmarkEnd w:id="152"/>
      <w:bookmarkEnd w:id="153"/>
      <w:bookmarkEnd w:id="154"/>
      <w:bookmarkEnd w:id="155"/>
      <w:r>
        <w:rPr>
          <w:rFonts w:ascii="宋体" w:hAnsi="宋体" w:eastAsia="宋体" w:cs="Times New Roman"/>
          <w:b/>
          <w:bCs/>
          <w:color w:val="auto"/>
          <w:sz w:val="24"/>
          <w:szCs w:val="24"/>
          <w:highlight w:val="none"/>
          <w:lang w:val="zh-CN"/>
        </w:rPr>
        <w:t>和保密义务</w:t>
      </w:r>
      <w:bookmarkEnd w:id="156"/>
      <w:bookmarkEnd w:id="157"/>
      <w:bookmarkEnd w:id="158"/>
    </w:p>
    <w:p w14:paraId="43816B25">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25AB1DF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.2乙方有义务妥善保管和保护由甲方提供的前款信息和资料等；</w:t>
      </w:r>
    </w:p>
    <w:p w14:paraId="2F00A45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1A1835EE">
      <w:pPr>
        <w:spacing w:line="360" w:lineRule="auto"/>
        <w:ind w:firstLine="437"/>
        <w:outlineLvl w:val="2"/>
        <w:rPr>
          <w:rFonts w:ascii="宋体" w:hAnsi="宋体" w:eastAsia="宋体" w:cs="Times New Roman"/>
          <w:b/>
          <w:bCs/>
          <w:color w:val="auto"/>
          <w:sz w:val="24"/>
          <w:szCs w:val="24"/>
          <w:highlight w:val="none"/>
          <w:lang w:val="zh-CN"/>
        </w:rPr>
      </w:pPr>
      <w:bookmarkStart w:id="159" w:name="_Toc7860"/>
      <w:r>
        <w:rPr>
          <w:rFonts w:ascii="宋体" w:hAnsi="宋体" w:eastAsia="宋体" w:cs="Times New Roman"/>
          <w:b/>
          <w:bCs/>
          <w:color w:val="auto"/>
          <w:sz w:val="24"/>
          <w:szCs w:val="24"/>
          <w:highlight w:val="none"/>
          <w:lang w:val="zh-CN"/>
        </w:rPr>
        <w:t>2.7 质量保证</w:t>
      </w:r>
      <w:bookmarkEnd w:id="159"/>
    </w:p>
    <w:p w14:paraId="76317AF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.1乙方应建立和完善履行合同的内部质量保证体系，并提供相关内部规章制度给甲方，以便甲方进行监督检查；</w:t>
      </w:r>
    </w:p>
    <w:p w14:paraId="5EE870B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.2乙方应保证履行合同的人员数量和素质、软件和硬件设备的配置、场地、环境和设施等满足全面履行合同的要求，并应接受甲方的监督检查。</w:t>
      </w:r>
    </w:p>
    <w:p w14:paraId="3F4C4055">
      <w:pPr>
        <w:spacing w:line="360" w:lineRule="auto"/>
        <w:ind w:firstLine="437"/>
        <w:outlineLvl w:val="2"/>
        <w:rPr>
          <w:rFonts w:ascii="宋体" w:hAnsi="宋体" w:eastAsia="宋体" w:cs="Times New Roman"/>
          <w:b/>
          <w:color w:val="auto"/>
          <w:sz w:val="24"/>
          <w:szCs w:val="24"/>
          <w:highlight w:val="none"/>
        </w:rPr>
      </w:pPr>
      <w:bookmarkStart w:id="160" w:name="_Toc22267"/>
      <w:r>
        <w:rPr>
          <w:rFonts w:hint="eastAsia" w:ascii="宋体" w:hAnsi="宋体" w:eastAsia="宋体" w:cs="Times New Roman"/>
          <w:b/>
          <w:color w:val="auto"/>
          <w:sz w:val="24"/>
          <w:szCs w:val="24"/>
          <w:highlight w:val="none"/>
        </w:rPr>
        <w:t>2.8 延迟履行</w:t>
      </w:r>
      <w:bookmarkEnd w:id="160"/>
    </w:p>
    <w:p w14:paraId="01CE2C33">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的情况，应及时以书面形式将不能按时</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的具体时间。</w:t>
      </w:r>
    </w:p>
    <w:p w14:paraId="638AEEE2">
      <w:pPr>
        <w:spacing w:line="360" w:lineRule="auto"/>
        <w:ind w:firstLine="437"/>
        <w:outlineLvl w:val="2"/>
        <w:rPr>
          <w:rFonts w:ascii="宋体" w:hAnsi="宋体" w:eastAsia="宋体" w:cs="Times New Roman"/>
          <w:b/>
          <w:bCs/>
          <w:color w:val="auto"/>
          <w:sz w:val="24"/>
          <w:szCs w:val="24"/>
          <w:highlight w:val="none"/>
          <w:lang w:val="zh-CN"/>
        </w:rPr>
      </w:pPr>
      <w:bookmarkStart w:id="161" w:name="_Toc7502"/>
      <w:bookmarkStart w:id="162" w:name="_Toc487900364"/>
      <w:bookmarkStart w:id="163" w:name="_Ref467378121"/>
      <w:bookmarkStart w:id="164" w:name="_Toc279701254"/>
      <w:bookmarkStart w:id="165" w:name="_Toc259093683"/>
      <w:r>
        <w:rPr>
          <w:rFonts w:ascii="宋体" w:hAnsi="宋体" w:eastAsia="宋体" w:cs="Times New Roman"/>
          <w:b/>
          <w:bCs/>
          <w:color w:val="auto"/>
          <w:sz w:val="24"/>
          <w:szCs w:val="24"/>
          <w:highlight w:val="none"/>
          <w:lang w:val="zh-CN"/>
        </w:rPr>
        <w:t>2.9 合同变更</w:t>
      </w:r>
      <w:bookmarkEnd w:id="161"/>
    </w:p>
    <w:p w14:paraId="0D34F08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.1双方当事人协商一致，可以签订书面补充合同的形式变更合同，但不得违背采购文件确定的事项；</w:t>
      </w:r>
    </w:p>
    <w:p w14:paraId="50EBC38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66" w:name="_Toc487900369"/>
      <w:bookmarkStart w:id="167" w:name="_Toc279701259"/>
      <w:bookmarkStart w:id="168" w:name="_Toc259093688"/>
    </w:p>
    <w:p w14:paraId="604DC094">
      <w:pPr>
        <w:spacing w:line="360" w:lineRule="auto"/>
        <w:ind w:firstLine="437"/>
        <w:outlineLvl w:val="2"/>
        <w:rPr>
          <w:rFonts w:ascii="宋体" w:hAnsi="宋体" w:eastAsia="宋体" w:cs="Times New Roman"/>
          <w:b/>
          <w:bCs/>
          <w:color w:val="auto"/>
          <w:sz w:val="24"/>
          <w:szCs w:val="24"/>
          <w:highlight w:val="none"/>
          <w:lang w:val="zh-CN"/>
        </w:rPr>
      </w:pPr>
      <w:bookmarkStart w:id="169" w:name="_Toc22955"/>
      <w:bookmarkStart w:id="170" w:name="_Toc15237"/>
      <w:bookmarkStart w:id="171" w:name="_Toc10366"/>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合同转让</w:t>
      </w:r>
      <w:bookmarkEnd w:id="166"/>
      <w:bookmarkEnd w:id="167"/>
      <w:bookmarkEnd w:id="168"/>
      <w:r>
        <w:rPr>
          <w:rFonts w:ascii="宋体" w:hAnsi="宋体" w:eastAsia="宋体" w:cs="Times New Roman"/>
          <w:b/>
          <w:bCs/>
          <w:color w:val="auto"/>
          <w:sz w:val="24"/>
          <w:szCs w:val="24"/>
          <w:highlight w:val="none"/>
          <w:lang w:val="zh-CN"/>
        </w:rPr>
        <w:t>和分包</w:t>
      </w:r>
      <w:bookmarkEnd w:id="169"/>
      <w:bookmarkEnd w:id="170"/>
      <w:bookmarkEnd w:id="171"/>
    </w:p>
    <w:p w14:paraId="3F84735F">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360510D9">
      <w:pPr>
        <w:spacing w:line="360" w:lineRule="auto"/>
        <w:ind w:firstLine="437"/>
        <w:outlineLvl w:val="2"/>
        <w:rPr>
          <w:rFonts w:ascii="宋体" w:hAnsi="宋体" w:eastAsia="宋体" w:cs="Times New Roman"/>
          <w:b/>
          <w:bCs/>
          <w:color w:val="auto"/>
          <w:sz w:val="24"/>
          <w:szCs w:val="24"/>
          <w:highlight w:val="none"/>
          <w:lang w:val="zh-CN"/>
        </w:rPr>
      </w:pPr>
      <w:bookmarkStart w:id="172" w:name="_Toc13566"/>
      <w:bookmarkStart w:id="173" w:name="_Toc16508"/>
      <w:bookmarkStart w:id="174" w:name="_Toc14066"/>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1 不可抗力</w:t>
      </w:r>
      <w:bookmarkEnd w:id="172"/>
      <w:bookmarkEnd w:id="173"/>
      <w:bookmarkEnd w:id="174"/>
    </w:p>
    <w:p w14:paraId="78541C5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3FF01E53">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.2因不可抗力致使不能实现合同目的的，当事人可以解除合同；</w:t>
      </w:r>
    </w:p>
    <w:p w14:paraId="3918BFC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77E7F8E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06035D94">
      <w:pPr>
        <w:spacing w:line="360" w:lineRule="auto"/>
        <w:ind w:firstLine="437"/>
        <w:outlineLvl w:val="2"/>
        <w:rPr>
          <w:rFonts w:ascii="宋体" w:hAnsi="宋体" w:eastAsia="宋体" w:cs="Times New Roman"/>
          <w:b/>
          <w:bCs/>
          <w:color w:val="auto"/>
          <w:sz w:val="24"/>
          <w:szCs w:val="24"/>
          <w:highlight w:val="none"/>
          <w:lang w:val="zh-CN"/>
        </w:rPr>
      </w:pPr>
      <w:bookmarkStart w:id="175" w:name="_Toc30676"/>
      <w:bookmarkStart w:id="176" w:name="_Toc689"/>
      <w:bookmarkStart w:id="177" w:name="_Toc259093684"/>
      <w:bookmarkStart w:id="178" w:name="_Toc279701255"/>
      <w:bookmarkStart w:id="179" w:name="_Toc6969"/>
      <w:bookmarkStart w:id="180" w:name="_Toc48790036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12</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税费</w:t>
      </w:r>
      <w:bookmarkEnd w:id="175"/>
      <w:bookmarkEnd w:id="176"/>
      <w:bookmarkEnd w:id="177"/>
      <w:bookmarkEnd w:id="178"/>
      <w:bookmarkEnd w:id="179"/>
      <w:bookmarkEnd w:id="180"/>
    </w:p>
    <w:p w14:paraId="378425EF">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0C6C9048">
      <w:pPr>
        <w:spacing w:line="360" w:lineRule="auto"/>
        <w:ind w:firstLine="437"/>
        <w:outlineLvl w:val="2"/>
        <w:rPr>
          <w:rFonts w:ascii="宋体" w:hAnsi="宋体" w:eastAsia="宋体" w:cs="Times New Roman"/>
          <w:b/>
          <w:bCs/>
          <w:color w:val="auto"/>
          <w:sz w:val="24"/>
          <w:szCs w:val="24"/>
          <w:highlight w:val="none"/>
          <w:lang w:val="zh-CN"/>
        </w:rPr>
      </w:pPr>
      <w:bookmarkStart w:id="181" w:name="_Toc487900368"/>
      <w:bookmarkStart w:id="182" w:name="_Toc279701258"/>
      <w:bookmarkStart w:id="183" w:name="_Toc16959"/>
      <w:bookmarkStart w:id="184" w:name="_Toc8298"/>
      <w:bookmarkStart w:id="185" w:name="_Toc7102"/>
      <w:bookmarkStart w:id="186" w:name="_Toc259093687"/>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13</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乙方破产</w:t>
      </w:r>
      <w:bookmarkEnd w:id="181"/>
      <w:bookmarkEnd w:id="182"/>
      <w:bookmarkEnd w:id="183"/>
      <w:bookmarkEnd w:id="184"/>
      <w:bookmarkEnd w:id="185"/>
      <w:bookmarkEnd w:id="186"/>
    </w:p>
    <w:p w14:paraId="16823FE0">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7BC2C31C">
      <w:pPr>
        <w:spacing w:line="360" w:lineRule="auto"/>
        <w:ind w:firstLine="437"/>
        <w:outlineLvl w:val="2"/>
        <w:rPr>
          <w:rFonts w:ascii="宋体" w:hAnsi="宋体" w:eastAsia="宋体" w:cs="Times New Roman"/>
          <w:b/>
          <w:color w:val="auto"/>
          <w:sz w:val="24"/>
          <w:szCs w:val="24"/>
          <w:highlight w:val="none"/>
        </w:rPr>
      </w:pPr>
      <w:bookmarkStart w:id="187" w:name="_Toc6134"/>
      <w:bookmarkStart w:id="188" w:name="_Toc29333"/>
      <w:bookmarkStart w:id="189" w:name="_Toc15387"/>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4</w:t>
      </w:r>
      <w:r>
        <w:rPr>
          <w:rFonts w:hint="eastAsia" w:ascii="宋体" w:hAnsi="宋体" w:eastAsia="宋体" w:cs="Times New Roman"/>
          <w:b/>
          <w:bCs/>
          <w:color w:val="auto"/>
          <w:sz w:val="24"/>
          <w:szCs w:val="24"/>
          <w:highlight w:val="none"/>
          <w:lang w:val="zh-CN"/>
        </w:rPr>
        <w:t xml:space="preserve"> 合同中止、终止</w:t>
      </w:r>
      <w:bookmarkEnd w:id="187"/>
      <w:bookmarkEnd w:id="188"/>
      <w:bookmarkEnd w:id="189"/>
    </w:p>
    <w:p w14:paraId="360A21E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.1双方当事人不得擅自中止或者终止合同；</w:t>
      </w:r>
    </w:p>
    <w:p w14:paraId="26DC356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01E3970B">
      <w:pPr>
        <w:spacing w:line="360" w:lineRule="auto"/>
        <w:ind w:firstLine="437"/>
        <w:outlineLvl w:val="2"/>
        <w:rPr>
          <w:rFonts w:ascii="宋体" w:hAnsi="宋体" w:eastAsia="宋体" w:cs="Times New Roman"/>
          <w:b/>
          <w:bCs/>
          <w:color w:val="auto"/>
          <w:sz w:val="24"/>
          <w:szCs w:val="24"/>
          <w:highlight w:val="none"/>
          <w:lang w:val="zh-CN"/>
        </w:rPr>
      </w:pPr>
      <w:bookmarkStart w:id="190" w:name="_Toc6596"/>
      <w:bookmarkStart w:id="191" w:name="_Toc14563"/>
      <w:bookmarkStart w:id="192" w:name="_Toc1125"/>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5</w:t>
      </w:r>
      <w:r>
        <w:rPr>
          <w:rFonts w:hint="eastAsia" w:ascii="宋体" w:hAnsi="宋体" w:eastAsia="宋体" w:cs="Times New Roman"/>
          <w:b/>
          <w:bCs/>
          <w:color w:val="auto"/>
          <w:sz w:val="24"/>
          <w:szCs w:val="24"/>
          <w:highlight w:val="none"/>
          <w:lang w:val="zh-CN"/>
        </w:rPr>
        <w:t xml:space="preserve"> 检验和验收</w:t>
      </w:r>
      <w:bookmarkEnd w:id="190"/>
      <w:bookmarkEnd w:id="191"/>
      <w:bookmarkEnd w:id="192"/>
    </w:p>
    <w:p w14:paraId="6B1DEBC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1乙方按照</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的约定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定期提交服务报告</w:t>
      </w:r>
      <w:r>
        <w:rPr>
          <w:rFonts w:hint="eastAsia" w:ascii="宋体" w:hAnsi="宋体" w:eastAsia="宋体" w:cs="Times New Roman"/>
          <w:color w:val="auto"/>
          <w:sz w:val="24"/>
          <w:szCs w:val="24"/>
          <w:highlight w:val="none"/>
        </w:rPr>
        <w:t>，甲方按照</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的约定进行定期验收</w:t>
      </w:r>
      <w:r>
        <w:rPr>
          <w:rFonts w:hint="eastAsia" w:ascii="宋体" w:hAnsi="宋体" w:eastAsia="宋体" w:cs="Times New Roman"/>
          <w:color w:val="auto"/>
          <w:sz w:val="24"/>
          <w:szCs w:val="24"/>
          <w:highlight w:val="none"/>
        </w:rPr>
        <w:t>；</w:t>
      </w:r>
    </w:p>
    <w:p w14:paraId="42E0732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EE3401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2.15.3检验和验收标准、程序等具体内容以及前述验收书的效力详见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162"/>
    <w:bookmarkEnd w:id="163"/>
    <w:bookmarkEnd w:id="164"/>
    <w:bookmarkEnd w:id="165"/>
    <w:p w14:paraId="6EB6133A">
      <w:pPr>
        <w:spacing w:line="360" w:lineRule="auto"/>
        <w:ind w:firstLine="437"/>
        <w:outlineLvl w:val="2"/>
        <w:rPr>
          <w:rFonts w:ascii="宋体" w:hAnsi="宋体" w:eastAsia="宋体" w:cs="Times New Roman"/>
          <w:b/>
          <w:bCs/>
          <w:color w:val="auto"/>
          <w:sz w:val="24"/>
          <w:szCs w:val="24"/>
          <w:highlight w:val="none"/>
        </w:rPr>
      </w:pPr>
      <w:bookmarkStart w:id="193" w:name="_Toc259093692"/>
      <w:bookmarkStart w:id="194" w:name="_Toc18567"/>
      <w:bookmarkStart w:id="195" w:name="_Toc10330"/>
      <w:bookmarkStart w:id="196" w:name="_Toc487900373"/>
      <w:bookmarkStart w:id="197" w:name="_Toc279701263"/>
      <w:bookmarkStart w:id="198" w:name="_Toc12773"/>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16</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193"/>
      <w:bookmarkEnd w:id="194"/>
      <w:bookmarkEnd w:id="195"/>
      <w:bookmarkEnd w:id="196"/>
      <w:bookmarkEnd w:id="197"/>
      <w:bookmarkEnd w:id="198"/>
    </w:p>
    <w:p w14:paraId="2BB6237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16.1合同使用汉语书就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657B32E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16</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2DE04CD4">
      <w:pPr>
        <w:spacing w:line="360" w:lineRule="auto"/>
        <w:ind w:firstLine="437"/>
        <w:outlineLvl w:val="2"/>
        <w:rPr>
          <w:rFonts w:ascii="宋体" w:hAnsi="宋体" w:eastAsia="宋体" w:cs="Times New Roman"/>
          <w:b/>
          <w:color w:val="auto"/>
          <w:sz w:val="24"/>
          <w:szCs w:val="24"/>
          <w:highlight w:val="none"/>
        </w:rPr>
      </w:pPr>
      <w:bookmarkStart w:id="199" w:name="_Toc12004"/>
      <w:bookmarkStart w:id="200" w:name="_Toc16673"/>
      <w:bookmarkStart w:id="201" w:name="_Toc3148"/>
      <w:bookmarkStart w:id="202" w:name="_Toc259093693"/>
      <w:bookmarkStart w:id="203" w:name="_Toc279701264"/>
      <w:bookmarkStart w:id="204" w:name="_Toc487900374"/>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17</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199"/>
      <w:bookmarkEnd w:id="200"/>
      <w:bookmarkEnd w:id="201"/>
      <w:bookmarkEnd w:id="202"/>
      <w:bookmarkEnd w:id="203"/>
    </w:p>
    <w:p w14:paraId="35FD33B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223C7F6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约定期间内不予退还或者应完全有效</w:t>
      </w:r>
      <w:r>
        <w:rPr>
          <w:rFonts w:hint="eastAsia" w:ascii="宋体" w:hAnsi="宋体" w:eastAsia="宋体" w:cs="Times New Roman"/>
          <w:color w:val="auto"/>
          <w:sz w:val="24"/>
          <w:szCs w:val="24"/>
          <w:highlight w:val="none"/>
        </w:rPr>
        <w:t>，前述约定期间届满</w:t>
      </w:r>
      <w:r>
        <w:rPr>
          <w:rFonts w:ascii="宋体" w:hAnsi="宋体" w:eastAsia="宋体" w:cs="Times New Roman"/>
          <w:color w:val="auto"/>
          <w:sz w:val="24"/>
          <w:szCs w:val="24"/>
          <w:highlight w:val="none"/>
        </w:rPr>
        <w:t>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3</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甲方</w:t>
      </w:r>
      <w:r>
        <w:rPr>
          <w:rFonts w:hint="eastAsia" w:ascii="宋体" w:hAnsi="宋体" w:eastAsia="宋体" w:cs="Times New Roman"/>
          <w:color w:val="auto"/>
          <w:sz w:val="24"/>
          <w:szCs w:val="24"/>
          <w:highlight w:val="none"/>
        </w:rPr>
        <w:t>逾期退还履约保证金</w:t>
      </w:r>
      <w:r>
        <w:rPr>
          <w:rFonts w:hint="eastAsia" w:ascii="宋体" w:hAnsi="宋体" w:eastAsia="宋体" w:cs="Times New Roman"/>
          <w:color w:val="auto"/>
          <w:sz w:val="24"/>
          <w:szCs w:val="24"/>
          <w:highlight w:val="none"/>
          <w:lang w:val="en-US" w:eastAsia="zh-CN"/>
        </w:rPr>
        <w:t>应承担违约责任。</w:t>
      </w:r>
    </w:p>
    <w:p w14:paraId="7867610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204"/>
    <w:p w14:paraId="4D7C2C37">
      <w:pPr>
        <w:spacing w:line="360" w:lineRule="auto"/>
        <w:ind w:firstLine="437"/>
        <w:outlineLvl w:val="2"/>
        <w:rPr>
          <w:rFonts w:ascii="宋体" w:hAnsi="宋体" w:eastAsia="宋体" w:cs="Times New Roman"/>
          <w:b/>
          <w:color w:val="auto"/>
          <w:sz w:val="24"/>
          <w:szCs w:val="24"/>
          <w:highlight w:val="none"/>
        </w:rPr>
      </w:pPr>
      <w:bookmarkStart w:id="205" w:name="_Toc14001"/>
      <w:bookmarkStart w:id="206" w:name="_Toc19890"/>
      <w:bookmarkStart w:id="207" w:name="_Toc688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18</w:t>
      </w:r>
      <w:r>
        <w:rPr>
          <w:rFonts w:hint="eastAsia" w:ascii="宋体" w:hAnsi="宋体" w:eastAsia="宋体" w:cs="Times New Roman"/>
          <w:b/>
          <w:bCs/>
          <w:color w:val="auto"/>
          <w:sz w:val="24"/>
          <w:szCs w:val="24"/>
          <w:highlight w:val="none"/>
          <w:lang w:val="zh-CN"/>
        </w:rPr>
        <w:t xml:space="preserve"> 合同份数</w:t>
      </w:r>
      <w:bookmarkEnd w:id="205"/>
      <w:bookmarkEnd w:id="206"/>
      <w:bookmarkEnd w:id="207"/>
    </w:p>
    <w:p w14:paraId="13DD1EDA">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0CDB6BDB">
      <w:pPr>
        <w:spacing w:line="360" w:lineRule="auto"/>
        <w:jc w:val="center"/>
        <w:outlineLvl w:val="1"/>
        <w:rPr>
          <w:rFonts w:hint="eastAsia" w:ascii="宋体"/>
          <w:b/>
          <w:color w:val="auto"/>
          <w:sz w:val="30"/>
          <w:szCs w:val="30"/>
          <w:highlight w:val="none"/>
        </w:rPr>
      </w:pPr>
      <w:r>
        <w:rPr>
          <w:rFonts w:ascii="宋体" w:hAnsi="宋体" w:eastAsia="宋体" w:cs="Times New Roman"/>
          <w:color w:val="auto"/>
          <w:sz w:val="24"/>
          <w:szCs w:val="24"/>
          <w:highlight w:val="none"/>
        </w:rPr>
        <w:br w:type="page"/>
      </w:r>
      <w:bookmarkStart w:id="208" w:name="_Toc19341"/>
      <w:r>
        <w:rPr>
          <w:rFonts w:hint="eastAsia" w:ascii="宋体" w:hAnsi="宋体" w:eastAsia="宋体" w:cs="宋体"/>
          <w:b/>
          <w:color w:val="auto"/>
          <w:sz w:val="28"/>
          <w:highlight w:val="none"/>
        </w:rPr>
        <w:t>第三部分 合同专用条款</w:t>
      </w:r>
      <w:bookmarkEnd w:id="208"/>
    </w:p>
    <w:p w14:paraId="75973EE8">
      <w:pPr>
        <w:keepNext w:val="0"/>
        <w:keepLines w:val="0"/>
        <w:pageBreakBefore w:val="0"/>
        <w:widowControl w:val="0"/>
        <w:kinsoku/>
        <w:wordWrap/>
        <w:overflowPunct/>
        <w:topLinePunct w:val="0"/>
        <w:autoSpaceDE/>
        <w:autoSpaceDN/>
        <w:bidi w:val="0"/>
        <w:adjustRightInd/>
        <w:snapToGrid/>
        <w:spacing w:line="500" w:lineRule="exact"/>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61C87D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left w:val="single" w:color="auto" w:sz="4" w:space="0"/>
            </w:tcBorders>
            <w:noWrap w:val="0"/>
            <w:vAlign w:val="center"/>
          </w:tcPr>
          <w:p w14:paraId="0A4ABEA0">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eastAsia="宋体" w:cs="宋体"/>
                <w:color w:val="auto"/>
                <w:szCs w:val="21"/>
                <w:highlight w:val="none"/>
              </w:rPr>
              <w:t>条款号</w:t>
            </w:r>
          </w:p>
        </w:tc>
        <w:tc>
          <w:tcPr>
            <w:tcW w:w="7569" w:type="dxa"/>
            <w:noWrap w:val="0"/>
            <w:vAlign w:val="center"/>
          </w:tcPr>
          <w:p w14:paraId="2242789C">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eastAsia" w:ascii="宋体" w:hAnsi="宋体" w:eastAsia="宋体" w:cs="宋体"/>
                <w:color w:val="auto"/>
                <w:szCs w:val="21"/>
                <w:highlight w:val="none"/>
              </w:rPr>
              <w:t>约定内容</w:t>
            </w:r>
          </w:p>
        </w:tc>
      </w:tr>
      <w:tr w14:paraId="2B629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1C79545A">
            <w:pPr>
              <w:keepNext w:val="0"/>
              <w:keepLines w:val="0"/>
              <w:pageBreakBefore w:val="0"/>
              <w:kinsoku/>
              <w:wordWrap/>
              <w:overflowPunct/>
              <w:topLinePunct w:val="0"/>
              <w:bidi w:val="0"/>
              <w:snapToGrid/>
              <w:spacing w:line="440" w:lineRule="exact"/>
              <w:jc w:val="center"/>
              <w:textAlignment w:val="auto"/>
              <w:rPr>
                <w:rFonts w:hint="default" w:ascii="宋体" w:hAnsi="宋体"/>
                <w:b/>
                <w:bCs/>
                <w:color w:val="auto"/>
                <w:sz w:val="28"/>
                <w:szCs w:val="28"/>
                <w:highlight w:val="none"/>
                <w:lang w:val="en-US" w:eastAsia="zh-CN"/>
              </w:rPr>
            </w:pPr>
            <w:r>
              <w:rPr>
                <w:rFonts w:hint="eastAsia" w:ascii="宋体" w:hAnsi="宋体" w:eastAsia="宋体" w:cs="宋体"/>
                <w:color w:val="auto"/>
                <w:sz w:val="24"/>
                <w:szCs w:val="24"/>
                <w:highlight w:val="none"/>
                <w:lang w:val="en-US" w:eastAsia="zh-CN"/>
              </w:rPr>
              <w:t>2.11.3</w:t>
            </w:r>
          </w:p>
        </w:tc>
        <w:tc>
          <w:tcPr>
            <w:tcW w:w="7569" w:type="dxa"/>
            <w:noWrap w:val="0"/>
            <w:vAlign w:val="center"/>
          </w:tcPr>
          <w:p w14:paraId="6A1B5F48">
            <w:pPr>
              <w:keepNext w:val="0"/>
              <w:keepLines w:val="0"/>
              <w:pageBreakBefore w:val="0"/>
              <w:kinsoku/>
              <w:wordWrap/>
              <w:overflowPunct/>
              <w:topLinePunct w:val="0"/>
              <w:bidi w:val="0"/>
              <w:snapToGrid/>
              <w:spacing w:line="440" w:lineRule="exact"/>
              <w:textAlignment w:val="auto"/>
              <w:rPr>
                <w:rFonts w:hint="default" w:ascii="宋体" w:hAnsi="宋体"/>
                <w:b/>
                <w:bCs/>
                <w:color w:val="auto"/>
                <w:sz w:val="28"/>
                <w:szCs w:val="28"/>
                <w:highlight w:val="none"/>
                <w:lang w:val="en-US" w:eastAsia="zh-CN"/>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6D068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5820B72A">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r>
              <w:rPr>
                <w:rFonts w:hint="eastAsia" w:ascii="宋体" w:hAnsi="宋体" w:eastAsia="宋体" w:cs="宋体"/>
                <w:color w:val="auto"/>
                <w:sz w:val="24"/>
                <w:szCs w:val="24"/>
                <w:highlight w:val="none"/>
                <w:lang w:val="en-US" w:eastAsia="zh-CN"/>
              </w:rPr>
              <w:t>2.11.4</w:t>
            </w:r>
          </w:p>
        </w:tc>
        <w:tc>
          <w:tcPr>
            <w:tcW w:w="7569" w:type="dxa"/>
            <w:noWrap w:val="0"/>
            <w:vAlign w:val="center"/>
          </w:tcPr>
          <w:p w14:paraId="1F819C81">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1641D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2A2442F3">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r>
              <w:rPr>
                <w:rFonts w:hint="eastAsia" w:ascii="宋体" w:hAnsi="宋体" w:eastAsia="宋体" w:cs="宋体"/>
                <w:color w:val="auto"/>
                <w:sz w:val="24"/>
                <w:szCs w:val="24"/>
                <w:highlight w:val="none"/>
                <w:lang w:val="en-US" w:eastAsia="zh-CN"/>
              </w:rPr>
              <w:t>2.18</w:t>
            </w:r>
          </w:p>
        </w:tc>
        <w:tc>
          <w:tcPr>
            <w:tcW w:w="7569" w:type="dxa"/>
            <w:noWrap w:val="0"/>
            <w:vAlign w:val="center"/>
          </w:tcPr>
          <w:p w14:paraId="5C4A9B42">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rPr>
            </w:pPr>
            <w:r>
              <w:rPr>
                <w:rFonts w:hint="eastAsia" w:ascii="宋体" w:hAnsi="宋体" w:eastAsia="宋体" w:cs="宋体"/>
                <w:color w:val="auto"/>
                <w:sz w:val="24"/>
                <w:szCs w:val="24"/>
                <w:highlight w:val="none"/>
                <w:u w:val="single"/>
              </w:rPr>
              <w:t>合同一式</w:t>
            </w:r>
            <w:r>
              <w:rPr>
                <w:rFonts w:hint="eastAsia" w:ascii="宋体" w:hAnsi="宋体" w:eastAsia="宋体" w:cs="宋体"/>
                <w:color w:val="auto"/>
                <w:sz w:val="24"/>
                <w:szCs w:val="24"/>
                <w:highlight w:val="none"/>
                <w:u w:val="single"/>
                <w:lang w:val="en-US" w:eastAsia="zh-CN"/>
              </w:rPr>
              <w:t>四</w:t>
            </w:r>
            <w:r>
              <w:rPr>
                <w:rFonts w:hint="eastAsia" w:ascii="宋体" w:hAnsi="宋体" w:eastAsia="宋体" w:cs="宋体"/>
                <w:color w:val="auto"/>
                <w:sz w:val="24"/>
                <w:szCs w:val="24"/>
                <w:highlight w:val="none"/>
                <w:u w:val="single"/>
              </w:rPr>
              <w:t>份，甲乙双方各执</w:t>
            </w:r>
            <w:r>
              <w:rPr>
                <w:rFonts w:hint="eastAsia" w:ascii="宋体" w:hAnsi="宋体" w:eastAsia="宋体" w:cs="宋体"/>
                <w:color w:val="auto"/>
                <w:sz w:val="24"/>
                <w:szCs w:val="24"/>
                <w:highlight w:val="none"/>
                <w:u w:val="single"/>
                <w:lang w:val="en-US" w:eastAsia="zh-CN"/>
              </w:rPr>
              <w:t>二</w:t>
            </w:r>
            <w:r>
              <w:rPr>
                <w:rFonts w:hint="eastAsia" w:ascii="宋体" w:hAnsi="宋体" w:eastAsia="宋体" w:cs="宋体"/>
                <w:color w:val="auto"/>
                <w:sz w:val="24"/>
                <w:szCs w:val="24"/>
                <w:highlight w:val="none"/>
                <w:u w:val="single"/>
              </w:rPr>
              <w:t>份。</w:t>
            </w:r>
          </w:p>
        </w:tc>
      </w:tr>
      <w:tr w14:paraId="08FE0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2C64560F">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p>
        </w:tc>
        <w:tc>
          <w:tcPr>
            <w:tcW w:w="7569" w:type="dxa"/>
            <w:noWrap w:val="0"/>
            <w:vAlign w:val="center"/>
          </w:tcPr>
          <w:p w14:paraId="162BBFB6">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u w:val="single"/>
              </w:rPr>
            </w:pPr>
            <w:r>
              <w:rPr>
                <w:rFonts w:hint="eastAsia" w:ascii="宋体" w:hAnsi="宋体" w:eastAsia="宋体" w:cs="宋体"/>
                <w:color w:val="auto"/>
                <w:sz w:val="24"/>
                <w:szCs w:val="24"/>
                <w:highlight w:val="none"/>
              </w:rPr>
              <w:t>（签订合同时可补充）</w:t>
            </w:r>
          </w:p>
        </w:tc>
      </w:tr>
      <w:tr w14:paraId="389FF8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52E69867">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1641D3C8">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6CBE4C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34FB67A5">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1DF630C0">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14:paraId="3E78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793" w:type="dxa"/>
            <w:tcBorders>
              <w:left w:val="single" w:color="auto" w:sz="4" w:space="0"/>
            </w:tcBorders>
            <w:noWrap w:val="0"/>
            <w:vAlign w:val="center"/>
          </w:tcPr>
          <w:p w14:paraId="31C46048">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2F1FBFD5">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2D07F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2687021F">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275F85F6">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4B6F40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051DD3DB">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4A11346C">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27ABE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56A5C2B">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59464CFF">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7021CE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0E1E3E1C">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275A059B">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bl>
    <w:p w14:paraId="1FFAA394">
      <w:pPr>
        <w:rPr>
          <w:rFonts w:ascii="宋体" w:hAnsi="宋体" w:eastAsia="宋体" w:cs="宋体"/>
          <w:color w:val="auto"/>
          <w:sz w:val="24"/>
          <w:szCs w:val="24"/>
          <w:highlight w:val="none"/>
        </w:rPr>
      </w:pPr>
    </w:p>
    <w:p w14:paraId="0CE22259">
      <w:pPr>
        <w:spacing w:line="360" w:lineRule="auto"/>
        <w:jc w:val="center"/>
        <w:outlineLvl w:val="0"/>
        <w:rPr>
          <w:rFonts w:ascii="宋体" w:hAnsi="宋体" w:eastAsia="宋体" w:cs="宋体"/>
          <w:b/>
          <w:color w:val="auto"/>
          <w:sz w:val="28"/>
          <w:highlight w:val="none"/>
        </w:rPr>
      </w:pPr>
    </w:p>
    <w:p w14:paraId="44C91FF9">
      <w:pPr>
        <w:spacing w:line="360" w:lineRule="auto"/>
        <w:jc w:val="center"/>
        <w:outlineLvl w:val="0"/>
        <w:rPr>
          <w:rFonts w:ascii="宋体" w:hAnsi="宋体" w:eastAsia="宋体" w:cs="宋体"/>
          <w:b/>
          <w:color w:val="auto"/>
          <w:sz w:val="28"/>
          <w:highlight w:val="none"/>
        </w:rPr>
      </w:pPr>
    </w:p>
    <w:p w14:paraId="4ADAABF3">
      <w:pPr>
        <w:spacing w:line="360" w:lineRule="auto"/>
        <w:jc w:val="center"/>
        <w:outlineLvl w:val="0"/>
        <w:rPr>
          <w:rFonts w:ascii="宋体" w:hAnsi="宋体" w:eastAsia="宋体" w:cs="宋体"/>
          <w:b/>
          <w:color w:val="auto"/>
          <w:sz w:val="28"/>
          <w:highlight w:val="none"/>
        </w:rPr>
      </w:pPr>
    </w:p>
    <w:p w14:paraId="2A4FE953">
      <w:pPr>
        <w:spacing w:line="360" w:lineRule="auto"/>
        <w:jc w:val="center"/>
        <w:outlineLvl w:val="0"/>
        <w:rPr>
          <w:rFonts w:ascii="宋体" w:hAnsi="宋体" w:eastAsia="宋体" w:cs="宋体"/>
          <w:b/>
          <w:color w:val="auto"/>
          <w:sz w:val="28"/>
          <w:highlight w:val="none"/>
        </w:rPr>
      </w:pPr>
    </w:p>
    <w:p w14:paraId="1F8C931B">
      <w:pPr>
        <w:spacing w:line="360" w:lineRule="auto"/>
        <w:jc w:val="center"/>
        <w:outlineLvl w:val="0"/>
        <w:rPr>
          <w:rFonts w:ascii="宋体" w:hAnsi="宋体" w:eastAsia="宋体" w:cs="宋体"/>
          <w:b/>
          <w:color w:val="auto"/>
          <w:sz w:val="28"/>
          <w:highlight w:val="none"/>
        </w:rPr>
      </w:pPr>
    </w:p>
    <w:p w14:paraId="40496728">
      <w:pPr>
        <w:spacing w:line="360" w:lineRule="auto"/>
        <w:jc w:val="center"/>
        <w:outlineLvl w:val="0"/>
        <w:rPr>
          <w:rFonts w:ascii="宋体" w:hAnsi="宋体" w:eastAsia="宋体" w:cs="宋体"/>
          <w:b/>
          <w:color w:val="auto"/>
          <w:sz w:val="28"/>
          <w:highlight w:val="none"/>
        </w:rPr>
      </w:pPr>
    </w:p>
    <w:p w14:paraId="7CF42EF6">
      <w:pPr>
        <w:spacing w:line="360" w:lineRule="auto"/>
        <w:jc w:val="center"/>
        <w:outlineLvl w:val="0"/>
        <w:rPr>
          <w:rFonts w:ascii="宋体" w:hAnsi="宋体" w:eastAsia="宋体" w:cs="宋体"/>
          <w:b/>
          <w:color w:val="auto"/>
          <w:sz w:val="28"/>
          <w:highlight w:val="none"/>
        </w:rPr>
      </w:pPr>
      <w:bookmarkStart w:id="209" w:name="_Toc25583"/>
      <w:r>
        <w:rPr>
          <w:rFonts w:hint="eastAsia" w:ascii="宋体" w:hAnsi="宋体" w:eastAsia="宋体" w:cs="宋体"/>
          <w:b/>
          <w:color w:val="auto"/>
          <w:sz w:val="28"/>
          <w:highlight w:val="none"/>
        </w:rPr>
        <w:t>第六章  投标文件格式</w:t>
      </w:r>
      <w:bookmarkEnd w:id="209"/>
    </w:p>
    <w:p w14:paraId="0293BF3A">
      <w:pPr>
        <w:spacing w:line="900" w:lineRule="exact"/>
        <w:jc w:val="center"/>
        <w:rPr>
          <w:rFonts w:ascii="宋体" w:hAnsi="宋体" w:eastAsia="宋体" w:cs="宋体"/>
          <w:b/>
          <w:color w:val="auto"/>
          <w:sz w:val="72"/>
          <w:highlight w:val="none"/>
        </w:rPr>
      </w:pPr>
    </w:p>
    <w:p w14:paraId="70076650">
      <w:pPr>
        <w:rPr>
          <w:rFonts w:ascii="宋体" w:hAnsi="宋体" w:eastAsia="宋体" w:cs="宋体"/>
          <w:b/>
          <w:color w:val="auto"/>
          <w:sz w:val="28"/>
          <w:szCs w:val="28"/>
          <w:highlight w:val="none"/>
          <w:bdr w:val="single" w:color="000000" w:sz="4" w:space="0"/>
        </w:rPr>
      </w:pPr>
      <w:bookmarkStart w:id="210" w:name="_Toc17986"/>
      <w:bookmarkStart w:id="211" w:name="_Toc28960"/>
      <w:r>
        <w:rPr>
          <w:rFonts w:hint="eastAsia" w:ascii="宋体" w:hAnsi="宋体" w:eastAsia="宋体" w:cs="宋体"/>
          <w:b/>
          <w:color w:val="auto"/>
          <w:sz w:val="28"/>
          <w:szCs w:val="28"/>
          <w:highlight w:val="none"/>
        </w:rPr>
        <w:t>一、资信证明格式文件</w:t>
      </w:r>
    </w:p>
    <w:p w14:paraId="08033F93">
      <w:pPr>
        <w:jc w:val="center"/>
        <w:rPr>
          <w:rFonts w:ascii="宋体" w:hAnsi="宋体" w:eastAsia="宋体" w:cs="宋体"/>
          <w:color w:val="auto"/>
          <w:sz w:val="20"/>
          <w:highlight w:val="none"/>
        </w:rPr>
      </w:pPr>
    </w:p>
    <w:p w14:paraId="745C63C1">
      <w:pPr>
        <w:rPr>
          <w:rFonts w:ascii="宋体" w:hAnsi="宋体" w:eastAsia="宋体" w:cs="宋体"/>
          <w:color w:val="auto"/>
          <w:sz w:val="20"/>
          <w:highlight w:val="none"/>
        </w:rPr>
      </w:pPr>
    </w:p>
    <w:p w14:paraId="04041036">
      <w:pPr>
        <w:jc w:val="center"/>
        <w:rPr>
          <w:rFonts w:ascii="宋体" w:hAnsi="宋体" w:eastAsia="宋体" w:cs="宋体"/>
          <w:b/>
          <w:color w:val="auto"/>
          <w:sz w:val="44"/>
          <w:szCs w:val="44"/>
          <w:highlight w:val="none"/>
        </w:rPr>
      </w:pPr>
      <w:bookmarkStart w:id="212" w:name="_Toc350698753"/>
      <w:bookmarkStart w:id="213" w:name="_Toc449028949"/>
      <w:r>
        <w:rPr>
          <w:rFonts w:hint="eastAsia" w:ascii="宋体" w:hAnsi="宋体" w:eastAsia="宋体" w:cs="宋体"/>
          <w:b/>
          <w:color w:val="auto"/>
          <w:sz w:val="44"/>
          <w:szCs w:val="44"/>
          <w:highlight w:val="none"/>
        </w:rPr>
        <w:t>资信证明文件</w:t>
      </w:r>
      <w:bookmarkEnd w:id="212"/>
      <w:bookmarkEnd w:id="213"/>
    </w:p>
    <w:p w14:paraId="543C2F9A">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（投标文件一）</w:t>
      </w:r>
    </w:p>
    <w:p w14:paraId="053837CF">
      <w:pPr>
        <w:jc w:val="center"/>
        <w:rPr>
          <w:rFonts w:ascii="宋体" w:hAnsi="宋体" w:eastAsia="宋体" w:cs="宋体"/>
          <w:color w:val="auto"/>
          <w:sz w:val="44"/>
          <w:szCs w:val="44"/>
          <w:highlight w:val="none"/>
        </w:rPr>
      </w:pPr>
    </w:p>
    <w:p w14:paraId="1082D0AA">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4BB639EA">
      <w:pPr>
        <w:jc w:val="center"/>
        <w:rPr>
          <w:rFonts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6A3DC905">
      <w:pPr>
        <w:rPr>
          <w:rFonts w:ascii="宋体" w:hAnsi="宋体" w:eastAsia="宋体" w:cs="宋体"/>
          <w:color w:val="auto"/>
          <w:sz w:val="28"/>
          <w:szCs w:val="28"/>
          <w:highlight w:val="none"/>
        </w:rPr>
      </w:pPr>
    </w:p>
    <w:p w14:paraId="190258C9">
      <w:pPr>
        <w:rPr>
          <w:rFonts w:ascii="宋体" w:hAnsi="宋体" w:eastAsia="宋体" w:cs="宋体"/>
          <w:color w:val="auto"/>
          <w:sz w:val="28"/>
          <w:szCs w:val="28"/>
          <w:highlight w:val="none"/>
        </w:rPr>
      </w:pPr>
    </w:p>
    <w:p w14:paraId="54776108">
      <w:pPr>
        <w:rPr>
          <w:rFonts w:ascii="宋体" w:hAnsi="宋体" w:eastAsia="宋体" w:cs="宋体"/>
          <w:color w:val="auto"/>
          <w:sz w:val="28"/>
          <w:szCs w:val="28"/>
          <w:highlight w:val="none"/>
        </w:rPr>
      </w:pPr>
    </w:p>
    <w:p w14:paraId="151D14B5">
      <w:pPr>
        <w:rPr>
          <w:rFonts w:ascii="宋体" w:hAnsi="宋体" w:eastAsia="宋体" w:cs="宋体"/>
          <w:color w:val="auto"/>
          <w:sz w:val="28"/>
          <w:szCs w:val="28"/>
          <w:highlight w:val="none"/>
        </w:rPr>
      </w:pPr>
    </w:p>
    <w:p w14:paraId="49CA939E">
      <w:pPr>
        <w:rPr>
          <w:rFonts w:ascii="宋体" w:hAnsi="宋体" w:eastAsia="宋体" w:cs="宋体"/>
          <w:color w:val="auto"/>
          <w:sz w:val="28"/>
          <w:szCs w:val="28"/>
          <w:highlight w:val="none"/>
        </w:rPr>
      </w:pPr>
    </w:p>
    <w:p w14:paraId="29751565">
      <w:pPr>
        <w:rPr>
          <w:rFonts w:ascii="宋体" w:hAnsi="宋体" w:eastAsia="宋体" w:cs="宋体"/>
          <w:color w:val="auto"/>
          <w:sz w:val="28"/>
          <w:szCs w:val="28"/>
          <w:highlight w:val="none"/>
        </w:rPr>
      </w:pPr>
    </w:p>
    <w:p w14:paraId="6366D48C">
      <w:pPr>
        <w:rPr>
          <w:rFonts w:ascii="宋体" w:hAnsi="宋体" w:eastAsia="宋体" w:cs="宋体"/>
          <w:color w:val="auto"/>
          <w:sz w:val="28"/>
          <w:szCs w:val="28"/>
          <w:highlight w:val="none"/>
        </w:rPr>
      </w:pPr>
    </w:p>
    <w:p w14:paraId="06B052B5">
      <w:pPr>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1999AF64">
      <w:pPr>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39BC4D43">
      <w:pPr>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5E9668E1">
      <w:pPr>
        <w:spacing w:line="720" w:lineRule="auto"/>
        <w:jc w:val="center"/>
        <w:rPr>
          <w:rFonts w:ascii="宋体" w:hAnsi="宋体" w:eastAsia="宋体" w:cs="宋体"/>
          <w:b/>
          <w:color w:val="auto"/>
          <w:sz w:val="36"/>
          <w:szCs w:val="36"/>
          <w:highlight w:val="none"/>
        </w:rPr>
      </w:pPr>
    </w:p>
    <w:p w14:paraId="6F8E8FE0">
      <w:pPr>
        <w:spacing w:line="400" w:lineRule="exact"/>
        <w:ind w:firstLine="4130" w:firstLineChars="935"/>
        <w:rPr>
          <w:rFonts w:ascii="宋体" w:hAnsi="宋体" w:eastAsia="宋体" w:cs="宋体"/>
          <w:b/>
          <w:color w:val="auto"/>
          <w:sz w:val="44"/>
          <w:szCs w:val="44"/>
          <w:highlight w:val="none"/>
        </w:rPr>
      </w:pPr>
    </w:p>
    <w:p w14:paraId="6E1CA5DE">
      <w:pPr>
        <w:pageBreakBefore/>
        <w:jc w:val="center"/>
        <w:rPr>
          <w:rFonts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391ECF86">
      <w:pPr>
        <w:spacing w:line="440" w:lineRule="exact"/>
        <w:rPr>
          <w:rFonts w:ascii="宋体" w:hAnsi="宋体" w:eastAsia="宋体" w:cs="宋体"/>
          <w:color w:val="auto"/>
          <w:sz w:val="24"/>
          <w:szCs w:val="24"/>
          <w:highlight w:val="none"/>
        </w:rPr>
      </w:pPr>
    </w:p>
    <w:p w14:paraId="42831DFB">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（1）投标人资格声明书（格式见附件）；</w:t>
      </w:r>
    </w:p>
    <w:p w14:paraId="7E1F77A4">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（2）授权书（格式见附件）；   </w:t>
      </w:r>
    </w:p>
    <w:p w14:paraId="09766289">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（3）投标人为企业（包括合伙企业）的，应提供有效的“营业执照”；</w:t>
      </w:r>
    </w:p>
    <w:p w14:paraId="60FB8103">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投标人为事业单位的，应提供有效的“事业单位法人证书”；</w:t>
      </w:r>
    </w:p>
    <w:p w14:paraId="74BC8BDF">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投标人是非企业机构的，应提供有效的“执业许可证”、“登记证书”等证明文件；</w:t>
      </w:r>
    </w:p>
    <w:p w14:paraId="621E8CA9">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投标人是个体工商户的，应提供有效的“个体工商户营业执照”；</w:t>
      </w:r>
    </w:p>
    <w:p w14:paraId="2CC729B9">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投标人是自然人的，应提供有效的自然人身份证明；</w:t>
      </w:r>
    </w:p>
    <w:p w14:paraId="6034DE05">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（4）诚信投标承诺书（格式见附件）；</w:t>
      </w:r>
    </w:p>
    <w:p w14:paraId="7BD35619">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投标人资质证书；</w:t>
      </w:r>
    </w:p>
    <w:p w14:paraId="2DCE06EB">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（6）投标人为本项目配备的人员及证书；</w:t>
      </w:r>
    </w:p>
    <w:p w14:paraId="4E92C652">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招标文件中要求的资信评审和资信评分的支持资料；</w:t>
      </w:r>
    </w:p>
    <w:p w14:paraId="7F0AD3D4">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）投标人认为需要提供的其他资信证明材料。</w:t>
      </w:r>
    </w:p>
    <w:p w14:paraId="1A189F07">
      <w:pPr>
        <w:pageBreakBefore/>
        <w:spacing w:line="440" w:lineRule="exact"/>
        <w:jc w:val="center"/>
        <w:outlineLvl w:val="1"/>
        <w:rPr>
          <w:rFonts w:ascii="宋体" w:hAnsi="宋体" w:eastAsia="宋体" w:cs="宋体"/>
          <w:b/>
          <w:color w:val="auto"/>
          <w:sz w:val="24"/>
          <w:highlight w:val="none"/>
        </w:rPr>
      </w:pPr>
      <w:bookmarkStart w:id="214" w:name="_Toc18881"/>
      <w:bookmarkStart w:id="215" w:name="_Toc12424"/>
      <w:r>
        <w:rPr>
          <w:rFonts w:hint="eastAsia" w:ascii="宋体" w:hAnsi="宋体" w:eastAsia="宋体" w:cs="宋体"/>
          <w:b/>
          <w:color w:val="auto"/>
          <w:sz w:val="24"/>
          <w:highlight w:val="none"/>
        </w:rPr>
        <w:t>（1）投标人资格声明书</w:t>
      </w:r>
      <w:bookmarkEnd w:id="214"/>
      <w:bookmarkEnd w:id="215"/>
      <w:r>
        <w:rPr>
          <w:rFonts w:hint="eastAsia" w:ascii="宋体" w:hAnsi="宋体" w:eastAsia="宋体" w:cs="宋体"/>
          <w:b/>
          <w:color w:val="auto"/>
          <w:sz w:val="24"/>
          <w:highlight w:val="none"/>
        </w:rPr>
        <w:t xml:space="preserve"> </w:t>
      </w:r>
    </w:p>
    <w:p w14:paraId="2C5B1054">
      <w:pPr>
        <w:pStyle w:val="11"/>
        <w:spacing w:line="440" w:lineRule="exact"/>
        <w:rPr>
          <w:rFonts w:ascii="宋体" w:hAnsi="宋体" w:cs="宋体"/>
          <w:color w:val="auto"/>
          <w:sz w:val="24"/>
          <w:szCs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w:t>
      </w:r>
    </w:p>
    <w:p w14:paraId="5B9EF1F5">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1B0D5192">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4A5EA125">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7F2EF0A1">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5801D9D6">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23FBD77">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（五）我单位不属于政府采购法律、行政法规规定的公益一类事业单位、或使用事业编制且由财政拨款保障的群团组织（仅适用于政府购买服务项目）； </w:t>
      </w:r>
    </w:p>
    <w:p w14:paraId="27FA35C4">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（六）我单位不存在为采购项目提供整体设计、规范编制或者项目管理、监理、检测等服务后，再参加该采购项目的其他采购活动的情形（单一来源采购项目除外）；</w:t>
      </w:r>
    </w:p>
    <w:p w14:paraId="4E9A9FC6">
      <w:pPr>
        <w:widowControl/>
        <w:spacing w:line="440" w:lineRule="exact"/>
        <w:ind w:firstLine="480" w:firstLineChars="200"/>
        <w:jc w:val="left"/>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（七）与我单位存在单位负责人为同一人或者存在直接控股、管理关系的其他法人单位信息如下（如有，不论其是否参加同一合同项下的政府采购活动均须填写）：</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3548"/>
      </w:tblGrid>
      <w:tr w14:paraId="15C7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840" w:type="dxa"/>
          </w:tcPr>
          <w:p w14:paraId="2AB3130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序号</w:t>
            </w:r>
          </w:p>
        </w:tc>
        <w:tc>
          <w:tcPr>
            <w:tcW w:w="2841" w:type="dxa"/>
          </w:tcPr>
          <w:p w14:paraId="414CE548">
            <w:pPr>
              <w:pStyle w:val="10"/>
              <w:keepNext w:val="0"/>
              <w:keepLines w:val="0"/>
              <w:pageBreakBefore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单位名称</w:t>
            </w:r>
          </w:p>
        </w:tc>
        <w:tc>
          <w:tcPr>
            <w:tcW w:w="3548" w:type="dxa"/>
          </w:tcPr>
          <w:p w14:paraId="71408C69">
            <w:pPr>
              <w:pStyle w:val="10"/>
              <w:keepNext w:val="0"/>
              <w:keepLines w:val="0"/>
              <w:pageBreakBefore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相互关系</w:t>
            </w:r>
          </w:p>
        </w:tc>
      </w:tr>
      <w:tr w14:paraId="2193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DA7D178">
            <w:pPr>
              <w:pStyle w:val="10"/>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1</w:t>
            </w:r>
          </w:p>
        </w:tc>
        <w:tc>
          <w:tcPr>
            <w:tcW w:w="2841" w:type="dxa"/>
          </w:tcPr>
          <w:p w14:paraId="0A31475C">
            <w:pPr>
              <w:pStyle w:val="10"/>
              <w:spacing w:before="156" w:beforeLines="50" w:after="10" w:line="440" w:lineRule="exact"/>
              <w:jc w:val="center"/>
              <w:rPr>
                <w:rFonts w:ascii="宋体" w:hAnsi="宋体" w:eastAsia="宋体" w:cs="宋体"/>
                <w:color w:val="auto"/>
                <w:kern w:val="0"/>
                <w:sz w:val="24"/>
                <w:highlight w:val="none"/>
                <w:lang w:val="en-US" w:bidi="ar"/>
              </w:rPr>
            </w:pPr>
          </w:p>
        </w:tc>
        <w:tc>
          <w:tcPr>
            <w:tcW w:w="3548" w:type="dxa"/>
          </w:tcPr>
          <w:p w14:paraId="10851549">
            <w:pPr>
              <w:pStyle w:val="10"/>
              <w:spacing w:before="156" w:beforeLines="50" w:after="10" w:line="440" w:lineRule="exact"/>
              <w:jc w:val="center"/>
              <w:rPr>
                <w:rFonts w:ascii="宋体" w:hAnsi="宋体" w:eastAsia="宋体" w:cs="宋体"/>
                <w:color w:val="auto"/>
                <w:kern w:val="0"/>
                <w:sz w:val="24"/>
                <w:highlight w:val="none"/>
                <w:lang w:val="en-US" w:bidi="ar"/>
              </w:rPr>
            </w:pPr>
          </w:p>
        </w:tc>
      </w:tr>
      <w:tr w14:paraId="2248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CD3682D">
            <w:pPr>
              <w:pStyle w:val="10"/>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2</w:t>
            </w:r>
          </w:p>
        </w:tc>
        <w:tc>
          <w:tcPr>
            <w:tcW w:w="2841" w:type="dxa"/>
          </w:tcPr>
          <w:p w14:paraId="026BC634">
            <w:pPr>
              <w:pStyle w:val="10"/>
              <w:spacing w:before="156" w:beforeLines="50" w:after="10" w:line="440" w:lineRule="exact"/>
              <w:jc w:val="center"/>
              <w:rPr>
                <w:rFonts w:ascii="宋体" w:hAnsi="宋体" w:eastAsia="宋体" w:cs="宋体"/>
                <w:color w:val="auto"/>
                <w:kern w:val="0"/>
                <w:sz w:val="24"/>
                <w:highlight w:val="none"/>
                <w:lang w:val="en-US" w:bidi="ar"/>
              </w:rPr>
            </w:pPr>
          </w:p>
        </w:tc>
        <w:tc>
          <w:tcPr>
            <w:tcW w:w="3548" w:type="dxa"/>
          </w:tcPr>
          <w:p w14:paraId="1C6B221E">
            <w:pPr>
              <w:pStyle w:val="10"/>
              <w:spacing w:before="156" w:beforeLines="50" w:after="10" w:line="440" w:lineRule="exact"/>
              <w:jc w:val="center"/>
              <w:rPr>
                <w:rFonts w:ascii="宋体" w:hAnsi="宋体" w:eastAsia="宋体" w:cs="宋体"/>
                <w:color w:val="auto"/>
                <w:kern w:val="0"/>
                <w:sz w:val="24"/>
                <w:highlight w:val="none"/>
                <w:lang w:val="en-US" w:bidi="ar"/>
              </w:rPr>
            </w:pPr>
          </w:p>
        </w:tc>
      </w:tr>
    </w:tbl>
    <w:p w14:paraId="56AC43B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227134D">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7A87407D">
      <w:pPr>
        <w:tabs>
          <w:tab w:val="left" w:pos="630"/>
        </w:tabs>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05997861">
      <w:pPr>
        <w:spacing w:line="440" w:lineRule="exact"/>
        <w:rPr>
          <w:rFonts w:ascii="宋体" w:hAnsi="宋体" w:eastAsia="宋体" w:cs="宋体"/>
          <w:b/>
          <w:color w:val="auto"/>
          <w:sz w:val="24"/>
          <w:highlight w:val="none"/>
        </w:rPr>
      </w:pPr>
      <w:bookmarkStart w:id="216" w:name="_Toc11607"/>
      <w:r>
        <w:rPr>
          <w:rFonts w:hint="eastAsia" w:ascii="宋体" w:hAnsi="宋体" w:eastAsia="宋体" w:cs="宋体"/>
          <w:b/>
          <w:color w:val="auto"/>
          <w:sz w:val="24"/>
          <w:highlight w:val="none"/>
        </w:rPr>
        <w:br w:type="page"/>
      </w:r>
    </w:p>
    <w:p w14:paraId="5AC15237">
      <w:pPr>
        <w:spacing w:line="440" w:lineRule="exact"/>
        <w:jc w:val="center"/>
        <w:outlineLvl w:val="1"/>
        <w:rPr>
          <w:rFonts w:ascii="宋体" w:hAnsi="宋体" w:eastAsia="宋体" w:cs="宋体"/>
          <w:b/>
          <w:color w:val="auto"/>
          <w:sz w:val="24"/>
          <w:highlight w:val="none"/>
        </w:rPr>
      </w:pPr>
      <w:bookmarkStart w:id="217" w:name="_Toc28523"/>
      <w:bookmarkStart w:id="218" w:name="_Toc24583"/>
      <w:r>
        <w:rPr>
          <w:rFonts w:hint="eastAsia" w:ascii="宋体" w:hAnsi="宋体" w:eastAsia="宋体" w:cs="宋体"/>
          <w:b/>
          <w:color w:val="auto"/>
          <w:sz w:val="24"/>
          <w:highlight w:val="none"/>
        </w:rPr>
        <w:t>（2）授权书</w:t>
      </w:r>
      <w:bookmarkEnd w:id="216"/>
      <w:bookmarkEnd w:id="217"/>
      <w:bookmarkEnd w:id="218"/>
    </w:p>
    <w:p w14:paraId="09BC84AE">
      <w:pPr>
        <w:pStyle w:val="15"/>
        <w:snapToGrid w:val="0"/>
        <w:spacing w:line="440" w:lineRule="exact"/>
        <w:ind w:firstLine="480" w:firstLineChars="200"/>
        <w:jc w:val="left"/>
        <w:rPr>
          <w:rFonts w:hAnsi="宋体" w:eastAsia="宋体" w:cs="宋体"/>
          <w:color w:val="auto"/>
          <w:sz w:val="24"/>
          <w:szCs w:val="28"/>
          <w:highlight w:val="none"/>
        </w:rPr>
      </w:pPr>
    </w:p>
    <w:p w14:paraId="1E141D82">
      <w:pPr>
        <w:spacing w:line="440" w:lineRule="exact"/>
        <w:ind w:firstLine="435"/>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本</w:t>
      </w:r>
      <w:r>
        <w:rPr>
          <w:rFonts w:hint="eastAsia" w:ascii="宋体" w:hAnsi="宋体" w:eastAsia="宋体" w:cs="宋体"/>
          <w:color w:val="auto"/>
          <w:sz w:val="24"/>
          <w:highlight w:val="none"/>
        </w:rPr>
        <w:t>授权</w:t>
      </w:r>
      <w:r>
        <w:rPr>
          <w:rFonts w:hint="eastAsia" w:ascii="宋体" w:hAnsi="宋体" w:eastAsia="宋体" w:cs="宋体"/>
          <w:color w:val="auto"/>
          <w:sz w:val="24"/>
          <w:szCs w:val="28"/>
          <w:highlight w:val="none"/>
        </w:rPr>
        <w:t>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7C3A0CF0">
      <w:pPr>
        <w:spacing w:line="440" w:lineRule="exact"/>
        <w:ind w:firstLine="435"/>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1044B26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szCs w:val="28"/>
          <w:highlight w:val="none"/>
        </w:rPr>
        <w:t>授权</w:t>
      </w:r>
      <w:r>
        <w:rPr>
          <w:rFonts w:hint="eastAsia" w:ascii="宋体" w:hAnsi="宋体" w:eastAsia="宋体" w:cs="宋体"/>
          <w:color w:val="auto"/>
          <w:sz w:val="24"/>
          <w:highlight w:val="none"/>
        </w:rPr>
        <w:t>代表身份证明扫描件：</w:t>
      </w:r>
    </w:p>
    <w:p w14:paraId="7F68FC70">
      <w:pPr>
        <w:spacing w:line="440" w:lineRule="exact"/>
        <w:ind w:firstLine="435"/>
        <w:rPr>
          <w:rFonts w:ascii="宋体" w:hAnsi="宋体" w:eastAsia="宋体" w:cs="宋体"/>
          <w:color w:val="auto"/>
          <w:sz w:val="24"/>
          <w:highlight w:val="none"/>
        </w:rPr>
      </w:pPr>
    </w:p>
    <w:p w14:paraId="74659E73">
      <w:pPr>
        <w:spacing w:line="440" w:lineRule="exact"/>
        <w:ind w:firstLine="435"/>
        <w:rPr>
          <w:rFonts w:ascii="宋体" w:hAnsi="宋体" w:eastAsia="宋体" w:cs="宋体"/>
          <w:color w:val="auto"/>
          <w:sz w:val="24"/>
          <w:highlight w:val="none"/>
        </w:rPr>
      </w:pPr>
    </w:p>
    <w:p w14:paraId="6DCA1C75">
      <w:pPr>
        <w:spacing w:line="440" w:lineRule="exact"/>
        <w:ind w:firstLine="435"/>
        <w:rPr>
          <w:rFonts w:ascii="宋体" w:hAnsi="宋体" w:eastAsia="宋体" w:cs="宋体"/>
          <w:color w:val="auto"/>
          <w:sz w:val="24"/>
          <w:highlight w:val="none"/>
        </w:rPr>
      </w:pPr>
    </w:p>
    <w:p w14:paraId="3ED19E23">
      <w:pPr>
        <w:spacing w:line="440" w:lineRule="exact"/>
        <w:ind w:firstLine="435"/>
        <w:rPr>
          <w:rFonts w:ascii="宋体" w:hAnsi="宋体" w:eastAsia="宋体" w:cs="宋体"/>
          <w:color w:val="auto"/>
          <w:sz w:val="24"/>
          <w:szCs w:val="28"/>
          <w:highlight w:val="none"/>
          <w:u w:val="single"/>
          <w:lang w:val="zh-CN"/>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（请填写手机号码）</w:t>
      </w:r>
    </w:p>
    <w:p w14:paraId="1FA585D7">
      <w:pPr>
        <w:spacing w:line="440" w:lineRule="exact"/>
        <w:ind w:firstLine="435"/>
        <w:rPr>
          <w:rFonts w:ascii="宋体" w:hAnsi="宋体" w:eastAsia="宋体" w:cs="宋体"/>
          <w:color w:val="auto"/>
          <w:sz w:val="24"/>
          <w:szCs w:val="28"/>
          <w:highlight w:val="none"/>
          <w:lang w:val="zh-CN"/>
        </w:rPr>
      </w:pPr>
    </w:p>
    <w:p w14:paraId="4512A0C0">
      <w:pPr>
        <w:spacing w:line="440" w:lineRule="exact"/>
        <w:ind w:firstLine="435"/>
        <w:rPr>
          <w:rFonts w:ascii="宋体" w:hAnsi="宋体" w:eastAsia="宋体" w:cs="宋体"/>
          <w:color w:val="auto"/>
          <w:sz w:val="24"/>
          <w:szCs w:val="28"/>
          <w:highlight w:val="none"/>
        </w:rPr>
      </w:pPr>
      <w:r>
        <w:rPr>
          <w:rFonts w:hint="eastAsia" w:ascii="宋体" w:hAnsi="宋体" w:eastAsia="宋体" w:cs="宋体"/>
          <w:color w:val="auto"/>
          <w:sz w:val="24"/>
          <w:highlight w:val="none"/>
        </w:rPr>
        <w:t>特此</w:t>
      </w:r>
      <w:r>
        <w:rPr>
          <w:rFonts w:hint="eastAsia" w:ascii="宋体" w:hAnsi="宋体" w:eastAsia="宋体" w:cs="宋体"/>
          <w:color w:val="auto"/>
          <w:sz w:val="24"/>
          <w:szCs w:val="28"/>
          <w:highlight w:val="none"/>
        </w:rPr>
        <w:t>声明。</w:t>
      </w:r>
    </w:p>
    <w:p w14:paraId="50F2C025">
      <w:pPr>
        <w:spacing w:line="440" w:lineRule="exact"/>
        <w:rPr>
          <w:rFonts w:ascii="宋体" w:hAnsi="宋体" w:eastAsia="宋体" w:cs="宋体"/>
          <w:color w:val="auto"/>
          <w:sz w:val="24"/>
          <w:szCs w:val="28"/>
          <w:highlight w:val="none"/>
        </w:rPr>
      </w:pPr>
    </w:p>
    <w:p w14:paraId="413E6D2C">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23477FFD">
      <w:pPr>
        <w:tabs>
          <w:tab w:val="left" w:pos="630"/>
        </w:tabs>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583148E0">
      <w:pPr>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注：</w:t>
      </w:r>
    </w:p>
    <w:p w14:paraId="7164A42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1.本项目只允许有唯一的投标人授权代表，提供身份证明扫描件；</w:t>
      </w:r>
    </w:p>
    <w:p w14:paraId="4FC947C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2.法定代表人参加投标的无需提供授权书，提供身份证明扫描件。</w:t>
      </w:r>
    </w:p>
    <w:p w14:paraId="2F020CF4">
      <w:pPr>
        <w:spacing w:line="360" w:lineRule="auto"/>
        <w:jc w:val="center"/>
        <w:outlineLvl w:val="1"/>
        <w:rPr>
          <w:rFonts w:hint="eastAsia" w:asciiTheme="minorEastAsia" w:hAnsiTheme="minorEastAsia" w:eastAsiaTheme="minorEastAsia"/>
          <w:b/>
          <w:color w:val="auto"/>
          <w:sz w:val="24"/>
          <w:highlight w:val="none"/>
        </w:rPr>
      </w:pPr>
      <w:r>
        <w:rPr>
          <w:rFonts w:hint="eastAsia" w:ascii="宋体" w:hAnsi="宋体" w:eastAsia="宋体" w:cs="宋体"/>
          <w:color w:val="auto"/>
          <w:sz w:val="24"/>
          <w:highlight w:val="none"/>
        </w:rPr>
        <w:br w:type="page"/>
      </w:r>
      <w:bookmarkStart w:id="219" w:name="_Toc21224"/>
      <w:r>
        <w:rPr>
          <w:rFonts w:hint="eastAsia" w:ascii="宋体" w:hAnsi="宋体" w:eastAsia="宋体" w:cs="宋体"/>
          <w:b/>
          <w:color w:val="auto"/>
          <w:sz w:val="24"/>
          <w:highlight w:val="none"/>
        </w:rPr>
        <w:t>（3）</w:t>
      </w:r>
      <w:r>
        <w:rPr>
          <w:rFonts w:hint="eastAsia" w:asciiTheme="minorEastAsia" w:hAnsiTheme="minorEastAsia" w:eastAsiaTheme="minorEastAsia"/>
          <w:b/>
          <w:color w:val="auto"/>
          <w:sz w:val="24"/>
          <w:highlight w:val="none"/>
        </w:rPr>
        <w:t>诚信投标承诺书</w:t>
      </w:r>
      <w:bookmarkEnd w:id="219"/>
    </w:p>
    <w:p w14:paraId="7D3EFF3E">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43DAC8B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52D0457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0E3F9AB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30F3C46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7D6EB6B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7E4B2463">
      <w:pPr>
        <w:spacing w:line="5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 xml:space="preserve">六、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（企业名称）或</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（企业名称）法定代表人或拟派项目经理（负责人）没有下列情形：①被列入“信用中国”网站（www.creditchina.gov.cn）“失信被执行人”的；</w:t>
      </w:r>
    </w:p>
    <w:p w14:paraId="2D1E86B2">
      <w:pPr>
        <w:spacing w:line="5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②被列入“信用中国”网站（www.creditchina.gov.cn）“重大税收违法失信主体”的；</w:t>
      </w:r>
    </w:p>
    <w:p w14:paraId="00E059BF">
      <w:pPr>
        <w:spacing w:line="5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③被列入“信用中国”网站（www.creditchina.gov.cn） “安全生产严重失信主体名单”的；</w:t>
      </w:r>
    </w:p>
    <w:p w14:paraId="7E78F858">
      <w:pPr>
        <w:spacing w:line="5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④被列入国家企业信用信息公示系统网站（www.gsxt.gov.cn）“严重违法失信名单”的。</w:t>
      </w:r>
    </w:p>
    <w:p w14:paraId="6BA78769">
      <w:pPr>
        <w:spacing w:line="5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bidi="ar"/>
        </w:rPr>
        <w:t>⑤被列入中国政府采购网站“政府采购严重违法失信行为信息记录”的</w:t>
      </w:r>
      <w:r>
        <w:rPr>
          <w:rFonts w:hint="eastAsia" w:ascii="宋体" w:hAnsi="宋体" w:eastAsia="宋体" w:cs="宋体"/>
          <w:color w:val="auto"/>
          <w:szCs w:val="21"/>
          <w:highlight w:val="none"/>
          <w:lang w:eastAsia="zh-CN" w:bidi="ar"/>
        </w:rPr>
        <w:t>。</w:t>
      </w:r>
    </w:p>
    <w:p w14:paraId="22129C9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七、我公司没有下列情形：被滁州市县两级公管部门记入不良行为记录且在披露期内。</w:t>
      </w:r>
    </w:p>
    <w:p w14:paraId="3998598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八、严格遵守开标现场纪律，服从监管人员管理；</w:t>
      </w:r>
    </w:p>
    <w:p w14:paraId="0EE830F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九、保证中标后不转包，若有分包征得</w:t>
      </w:r>
      <w:r>
        <w:rPr>
          <w:rFonts w:hint="eastAsia" w:ascii="宋体" w:hAnsi="宋体" w:eastAsia="宋体" w:cs="宋体"/>
          <w:color w:val="auto"/>
          <w:szCs w:val="21"/>
          <w:highlight w:val="none"/>
          <w:lang w:val="en-US" w:eastAsia="zh-CN" w:bidi="ar"/>
        </w:rPr>
        <w:t>采购</w:t>
      </w:r>
      <w:r>
        <w:rPr>
          <w:rFonts w:hint="eastAsia" w:ascii="宋体" w:hAnsi="宋体" w:eastAsia="宋体" w:cs="宋体"/>
          <w:color w:val="auto"/>
          <w:szCs w:val="21"/>
          <w:highlight w:val="none"/>
          <w:lang w:bidi="ar"/>
        </w:rPr>
        <w:t>人同意；</w:t>
      </w:r>
    </w:p>
    <w:p w14:paraId="6C078547">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十、保证中标之后，按照投标文件要求提供相关后续服务；</w:t>
      </w:r>
    </w:p>
    <w:p w14:paraId="4FFB1E3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十一、保证企业及所属相关人员在本次投标中无行贿等犯罪行为；</w:t>
      </w:r>
    </w:p>
    <w:p w14:paraId="1D9133A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二、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DBD0F2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6979AD9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63D6F062">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7B4F62A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057EBFA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233EC748">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717A0E36">
      <w:pPr>
        <w:spacing w:line="440" w:lineRule="exact"/>
        <w:ind w:firstLine="435"/>
        <w:rPr>
          <w:rFonts w:ascii="宋体" w:hAnsi="宋体" w:eastAsia="宋体" w:cs="宋体"/>
          <w:color w:val="auto"/>
          <w:sz w:val="24"/>
          <w:szCs w:val="28"/>
          <w:highlight w:val="none"/>
        </w:rPr>
      </w:pPr>
    </w:p>
    <w:p w14:paraId="06DFBF0F">
      <w:pPr>
        <w:spacing w:line="440" w:lineRule="exact"/>
        <w:jc w:val="center"/>
        <w:outlineLvl w:val="0"/>
        <w:rPr>
          <w:rFonts w:hint="eastAsia" w:ascii="宋体" w:hAnsi="宋体" w:eastAsia="宋体" w:cs="宋体"/>
          <w:b/>
          <w:color w:val="auto"/>
          <w:sz w:val="28"/>
          <w:highlight w:val="none"/>
        </w:rPr>
      </w:pPr>
    </w:p>
    <w:p w14:paraId="33DC93D0">
      <w:pPr>
        <w:spacing w:line="440" w:lineRule="exact"/>
        <w:jc w:val="center"/>
        <w:outlineLvl w:val="0"/>
        <w:rPr>
          <w:rFonts w:hint="eastAsia" w:ascii="宋体" w:hAnsi="宋体" w:eastAsia="宋体" w:cs="宋体"/>
          <w:b/>
          <w:color w:val="auto"/>
          <w:sz w:val="28"/>
          <w:highlight w:val="none"/>
        </w:rPr>
      </w:pPr>
    </w:p>
    <w:p w14:paraId="4D52F4CD">
      <w:pPr>
        <w:spacing w:line="440" w:lineRule="exact"/>
        <w:jc w:val="center"/>
        <w:outlineLvl w:val="0"/>
        <w:rPr>
          <w:rFonts w:hint="eastAsia" w:ascii="宋体" w:hAnsi="宋体" w:eastAsia="宋体" w:cs="宋体"/>
          <w:b/>
          <w:color w:val="auto"/>
          <w:sz w:val="28"/>
          <w:highlight w:val="none"/>
        </w:rPr>
      </w:pPr>
    </w:p>
    <w:p w14:paraId="78AFF1C2">
      <w:pPr>
        <w:spacing w:line="440" w:lineRule="exact"/>
        <w:jc w:val="center"/>
        <w:outlineLvl w:val="0"/>
        <w:rPr>
          <w:rFonts w:hint="eastAsia" w:ascii="宋体" w:hAnsi="宋体" w:eastAsia="宋体" w:cs="宋体"/>
          <w:b/>
          <w:color w:val="auto"/>
          <w:sz w:val="28"/>
          <w:highlight w:val="none"/>
        </w:rPr>
      </w:pPr>
    </w:p>
    <w:p w14:paraId="4710DC40">
      <w:pPr>
        <w:spacing w:line="440" w:lineRule="exact"/>
        <w:jc w:val="center"/>
        <w:outlineLvl w:val="0"/>
        <w:rPr>
          <w:rFonts w:hint="eastAsia" w:ascii="宋体" w:hAnsi="宋体" w:eastAsia="宋体" w:cs="宋体"/>
          <w:b/>
          <w:color w:val="auto"/>
          <w:sz w:val="28"/>
          <w:highlight w:val="none"/>
        </w:rPr>
      </w:pPr>
    </w:p>
    <w:p w14:paraId="5B7F028F">
      <w:pPr>
        <w:spacing w:line="440" w:lineRule="exact"/>
        <w:jc w:val="center"/>
        <w:outlineLvl w:val="0"/>
        <w:rPr>
          <w:rFonts w:hint="eastAsia" w:ascii="宋体" w:hAnsi="宋体" w:eastAsia="宋体" w:cs="宋体"/>
          <w:b/>
          <w:color w:val="auto"/>
          <w:sz w:val="28"/>
          <w:highlight w:val="none"/>
        </w:rPr>
      </w:pPr>
    </w:p>
    <w:p w14:paraId="262B62F8">
      <w:pPr>
        <w:spacing w:line="440" w:lineRule="exact"/>
        <w:jc w:val="center"/>
        <w:outlineLvl w:val="0"/>
        <w:rPr>
          <w:rFonts w:hint="eastAsia" w:ascii="宋体" w:hAnsi="宋体" w:eastAsia="宋体" w:cs="宋体"/>
          <w:b/>
          <w:color w:val="auto"/>
          <w:sz w:val="28"/>
          <w:highlight w:val="none"/>
        </w:rPr>
      </w:pPr>
    </w:p>
    <w:p w14:paraId="2791081F">
      <w:pPr>
        <w:spacing w:line="440" w:lineRule="exact"/>
        <w:jc w:val="center"/>
        <w:outlineLvl w:val="0"/>
        <w:rPr>
          <w:rFonts w:hint="eastAsia" w:ascii="宋体" w:hAnsi="宋体" w:eastAsia="宋体" w:cs="宋体"/>
          <w:b/>
          <w:color w:val="auto"/>
          <w:sz w:val="28"/>
          <w:highlight w:val="none"/>
        </w:rPr>
      </w:pPr>
    </w:p>
    <w:p w14:paraId="2A89EED1">
      <w:pPr>
        <w:spacing w:line="440" w:lineRule="exact"/>
        <w:jc w:val="center"/>
        <w:outlineLvl w:val="0"/>
        <w:rPr>
          <w:rFonts w:hint="eastAsia" w:ascii="宋体" w:hAnsi="宋体" w:eastAsia="宋体" w:cs="宋体"/>
          <w:b/>
          <w:color w:val="auto"/>
          <w:sz w:val="28"/>
          <w:highlight w:val="none"/>
        </w:rPr>
      </w:pPr>
    </w:p>
    <w:p w14:paraId="3F335902">
      <w:pPr>
        <w:spacing w:line="440" w:lineRule="exact"/>
        <w:jc w:val="center"/>
        <w:outlineLvl w:val="0"/>
        <w:rPr>
          <w:rFonts w:hint="eastAsia" w:ascii="宋体" w:hAnsi="宋体" w:eastAsia="宋体" w:cs="宋体"/>
          <w:b/>
          <w:color w:val="auto"/>
          <w:sz w:val="28"/>
          <w:highlight w:val="none"/>
        </w:rPr>
      </w:pPr>
    </w:p>
    <w:p w14:paraId="6D62FAAC">
      <w:pPr>
        <w:spacing w:line="440" w:lineRule="exact"/>
        <w:jc w:val="center"/>
        <w:outlineLvl w:val="0"/>
        <w:rPr>
          <w:rFonts w:hint="eastAsia" w:ascii="宋体" w:hAnsi="宋体" w:eastAsia="宋体" w:cs="宋体"/>
          <w:b/>
          <w:color w:val="auto"/>
          <w:sz w:val="28"/>
          <w:highlight w:val="none"/>
        </w:rPr>
      </w:pPr>
    </w:p>
    <w:p w14:paraId="5E7C1D63">
      <w:pPr>
        <w:spacing w:line="440" w:lineRule="exact"/>
        <w:jc w:val="center"/>
        <w:outlineLvl w:val="0"/>
        <w:rPr>
          <w:rFonts w:hint="eastAsia" w:ascii="宋体" w:hAnsi="宋体" w:eastAsia="宋体" w:cs="宋体"/>
          <w:b/>
          <w:color w:val="auto"/>
          <w:sz w:val="28"/>
          <w:highlight w:val="none"/>
        </w:rPr>
      </w:pPr>
    </w:p>
    <w:p w14:paraId="010821D4">
      <w:pPr>
        <w:spacing w:line="440" w:lineRule="exact"/>
        <w:jc w:val="center"/>
        <w:outlineLvl w:val="0"/>
        <w:rPr>
          <w:rFonts w:hint="eastAsia" w:ascii="宋体" w:hAnsi="宋体" w:eastAsia="宋体" w:cs="宋体"/>
          <w:b/>
          <w:color w:val="auto"/>
          <w:sz w:val="28"/>
          <w:highlight w:val="none"/>
        </w:rPr>
      </w:pPr>
    </w:p>
    <w:p w14:paraId="3EA2BDDF">
      <w:pPr>
        <w:spacing w:line="440" w:lineRule="exact"/>
        <w:jc w:val="center"/>
        <w:outlineLvl w:val="0"/>
        <w:rPr>
          <w:rFonts w:hint="eastAsia" w:ascii="宋体" w:hAnsi="宋体" w:eastAsia="宋体" w:cs="宋体"/>
          <w:b/>
          <w:color w:val="auto"/>
          <w:sz w:val="28"/>
          <w:highlight w:val="none"/>
        </w:rPr>
      </w:pPr>
    </w:p>
    <w:p w14:paraId="22C1E894">
      <w:pPr>
        <w:pageBreakBefore/>
        <w:rPr>
          <w:rFonts w:ascii="宋体" w:hAnsi="宋体" w:eastAsia="宋体" w:cs="宋体"/>
          <w:b/>
          <w:color w:val="auto"/>
          <w:sz w:val="28"/>
          <w:szCs w:val="28"/>
          <w:highlight w:val="none"/>
          <w:bdr w:val="single" w:color="000000" w:sz="4" w:space="0"/>
        </w:rPr>
      </w:pPr>
      <w:r>
        <w:rPr>
          <w:rFonts w:hint="eastAsia" w:ascii="宋体" w:hAnsi="宋体" w:eastAsia="宋体" w:cs="宋体"/>
          <w:b/>
          <w:color w:val="auto"/>
          <w:sz w:val="28"/>
          <w:szCs w:val="28"/>
          <w:highlight w:val="none"/>
        </w:rPr>
        <w:t>二、技术标格式文件</w:t>
      </w:r>
    </w:p>
    <w:p w14:paraId="61959961">
      <w:pPr>
        <w:jc w:val="center"/>
        <w:rPr>
          <w:rFonts w:ascii="宋体" w:hAnsi="宋体" w:eastAsia="宋体" w:cs="宋体"/>
          <w:color w:val="auto"/>
          <w:sz w:val="20"/>
          <w:highlight w:val="none"/>
        </w:rPr>
      </w:pPr>
    </w:p>
    <w:p w14:paraId="5D8A3D04">
      <w:pPr>
        <w:rPr>
          <w:rFonts w:ascii="宋体" w:hAnsi="宋体" w:eastAsia="宋体" w:cs="宋体"/>
          <w:color w:val="auto"/>
          <w:sz w:val="20"/>
          <w:highlight w:val="none"/>
        </w:rPr>
      </w:pPr>
    </w:p>
    <w:p w14:paraId="139CD63D">
      <w:pPr>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技术标</w:t>
      </w:r>
    </w:p>
    <w:p w14:paraId="1298AE19">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（投标文件二）</w:t>
      </w:r>
    </w:p>
    <w:p w14:paraId="44DB5862">
      <w:pPr>
        <w:jc w:val="center"/>
        <w:rPr>
          <w:rFonts w:ascii="宋体" w:hAnsi="宋体" w:eastAsia="宋体" w:cs="宋体"/>
          <w:color w:val="auto"/>
          <w:sz w:val="44"/>
          <w:szCs w:val="44"/>
          <w:highlight w:val="none"/>
        </w:rPr>
      </w:pPr>
    </w:p>
    <w:p w14:paraId="3E94AC1C">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7A4E7265">
      <w:pPr>
        <w:jc w:val="center"/>
        <w:rPr>
          <w:rFonts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64EEA233">
      <w:pPr>
        <w:rPr>
          <w:rFonts w:ascii="宋体" w:hAnsi="宋体" w:eastAsia="宋体" w:cs="宋体"/>
          <w:color w:val="auto"/>
          <w:sz w:val="28"/>
          <w:szCs w:val="28"/>
          <w:highlight w:val="none"/>
        </w:rPr>
      </w:pPr>
    </w:p>
    <w:p w14:paraId="67C75158">
      <w:pPr>
        <w:rPr>
          <w:rFonts w:ascii="宋体" w:hAnsi="宋体" w:eastAsia="宋体" w:cs="宋体"/>
          <w:color w:val="auto"/>
          <w:sz w:val="28"/>
          <w:szCs w:val="28"/>
          <w:highlight w:val="none"/>
        </w:rPr>
      </w:pPr>
    </w:p>
    <w:p w14:paraId="4966CE14">
      <w:pPr>
        <w:rPr>
          <w:rFonts w:ascii="宋体" w:hAnsi="宋体" w:eastAsia="宋体" w:cs="宋体"/>
          <w:color w:val="auto"/>
          <w:sz w:val="28"/>
          <w:szCs w:val="28"/>
          <w:highlight w:val="none"/>
        </w:rPr>
      </w:pPr>
    </w:p>
    <w:p w14:paraId="0B81DCCA">
      <w:pPr>
        <w:rPr>
          <w:rFonts w:ascii="宋体" w:hAnsi="宋体" w:eastAsia="宋体" w:cs="宋体"/>
          <w:color w:val="auto"/>
          <w:sz w:val="28"/>
          <w:szCs w:val="28"/>
          <w:highlight w:val="none"/>
        </w:rPr>
      </w:pPr>
    </w:p>
    <w:p w14:paraId="70290AC7">
      <w:pPr>
        <w:rPr>
          <w:rFonts w:ascii="宋体" w:hAnsi="宋体" w:eastAsia="宋体" w:cs="宋体"/>
          <w:color w:val="auto"/>
          <w:sz w:val="28"/>
          <w:szCs w:val="28"/>
          <w:highlight w:val="none"/>
        </w:rPr>
      </w:pPr>
    </w:p>
    <w:p w14:paraId="751031A9">
      <w:pPr>
        <w:rPr>
          <w:rFonts w:ascii="宋体" w:hAnsi="宋体" w:eastAsia="宋体" w:cs="宋体"/>
          <w:color w:val="auto"/>
          <w:sz w:val="28"/>
          <w:szCs w:val="28"/>
          <w:highlight w:val="none"/>
        </w:rPr>
      </w:pPr>
    </w:p>
    <w:p w14:paraId="5E96FB78">
      <w:pPr>
        <w:rPr>
          <w:rFonts w:ascii="宋体" w:hAnsi="宋体" w:eastAsia="宋体" w:cs="宋体"/>
          <w:color w:val="auto"/>
          <w:sz w:val="28"/>
          <w:szCs w:val="28"/>
          <w:highlight w:val="none"/>
        </w:rPr>
      </w:pPr>
    </w:p>
    <w:p w14:paraId="7370C850">
      <w:pPr>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73303CEC">
      <w:pPr>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443053A0">
      <w:pPr>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4274EE89">
      <w:pPr>
        <w:spacing w:line="720" w:lineRule="auto"/>
        <w:jc w:val="center"/>
        <w:rPr>
          <w:rFonts w:ascii="宋体" w:hAnsi="宋体" w:eastAsia="宋体" w:cs="宋体"/>
          <w:b/>
          <w:color w:val="auto"/>
          <w:sz w:val="36"/>
          <w:szCs w:val="36"/>
          <w:highlight w:val="none"/>
        </w:rPr>
      </w:pPr>
    </w:p>
    <w:p w14:paraId="0FCCE5D3">
      <w:pPr>
        <w:spacing w:line="400" w:lineRule="exact"/>
        <w:ind w:firstLine="4130" w:firstLineChars="935"/>
        <w:rPr>
          <w:rFonts w:ascii="宋体" w:hAnsi="宋体" w:eastAsia="宋体" w:cs="宋体"/>
          <w:b/>
          <w:color w:val="auto"/>
          <w:sz w:val="44"/>
          <w:szCs w:val="44"/>
          <w:highlight w:val="none"/>
        </w:rPr>
      </w:pPr>
    </w:p>
    <w:p w14:paraId="49E59287">
      <w:pPr>
        <w:spacing w:line="400" w:lineRule="exact"/>
        <w:ind w:firstLine="4130" w:firstLineChars="935"/>
        <w:rPr>
          <w:rFonts w:ascii="宋体" w:hAnsi="宋体" w:eastAsia="宋体" w:cs="宋体"/>
          <w:b/>
          <w:color w:val="auto"/>
          <w:sz w:val="44"/>
          <w:szCs w:val="44"/>
          <w:highlight w:val="none"/>
        </w:rPr>
      </w:pPr>
    </w:p>
    <w:p w14:paraId="341C3683">
      <w:pPr>
        <w:pageBreakBefore/>
        <w:jc w:val="center"/>
        <w:rPr>
          <w:rFonts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0CFA47CF">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（1）投标响应表（格式见附件）；</w:t>
      </w:r>
    </w:p>
    <w:p w14:paraId="5D25135E">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）诚信履约承诺函（格式见附件）；</w:t>
      </w:r>
    </w:p>
    <w:p w14:paraId="07D0F877">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）招标文件中要求的技术标评审及技术标评分的支持资料；</w:t>
      </w:r>
    </w:p>
    <w:p w14:paraId="16C76835">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）投标人认为需要提供的其他技术证明材料（如有）。</w:t>
      </w:r>
    </w:p>
    <w:p w14:paraId="3AECD698">
      <w:pPr>
        <w:pageBreakBefore/>
        <w:spacing w:line="440" w:lineRule="exact"/>
        <w:jc w:val="center"/>
        <w:outlineLvl w:val="1"/>
        <w:rPr>
          <w:rFonts w:ascii="宋体" w:hAnsi="宋体" w:eastAsia="宋体" w:cs="宋体"/>
          <w:b/>
          <w:color w:val="auto"/>
          <w:sz w:val="24"/>
          <w:highlight w:val="none"/>
        </w:rPr>
      </w:pPr>
      <w:bookmarkStart w:id="220" w:name="_Toc15209"/>
      <w:bookmarkStart w:id="221" w:name="_Toc23918"/>
      <w:r>
        <w:rPr>
          <w:rFonts w:hint="eastAsia" w:ascii="宋体" w:hAnsi="宋体" w:eastAsia="宋体" w:cs="宋体"/>
          <w:b/>
          <w:color w:val="auto"/>
          <w:sz w:val="24"/>
          <w:highlight w:val="none"/>
        </w:rPr>
        <w:t>（1）投标响应表</w:t>
      </w:r>
      <w:bookmarkEnd w:id="220"/>
      <w:bookmarkEnd w:id="221"/>
    </w:p>
    <w:p w14:paraId="0C85BEC4">
      <w:pPr>
        <w:spacing w:line="440" w:lineRule="exact"/>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1.1商务响应表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2"/>
        <w:gridCol w:w="2806"/>
        <w:gridCol w:w="883"/>
      </w:tblGrid>
      <w:tr w14:paraId="75D1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38297B77">
            <w:pPr>
              <w:pStyle w:val="15"/>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3A46F1D6">
            <w:pPr>
              <w:pStyle w:val="15"/>
              <w:spacing w:line="440" w:lineRule="exact"/>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09259DC0">
            <w:pPr>
              <w:pStyle w:val="15"/>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招标文件要求</w:t>
            </w:r>
          </w:p>
        </w:tc>
        <w:tc>
          <w:tcPr>
            <w:tcW w:w="1510" w:type="pct"/>
            <w:vAlign w:val="center"/>
          </w:tcPr>
          <w:p w14:paraId="1E6F967A">
            <w:pPr>
              <w:pStyle w:val="15"/>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投标人承诺</w:t>
            </w:r>
          </w:p>
        </w:tc>
        <w:tc>
          <w:tcPr>
            <w:tcW w:w="475" w:type="pct"/>
            <w:vAlign w:val="center"/>
          </w:tcPr>
          <w:p w14:paraId="07E2DE19">
            <w:pPr>
              <w:pStyle w:val="15"/>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2FDB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9382ECA">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124" w:type="pct"/>
            <w:vAlign w:val="center"/>
          </w:tcPr>
          <w:p w14:paraId="4E3E477D">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1465" w:type="pct"/>
            <w:vAlign w:val="center"/>
          </w:tcPr>
          <w:p w14:paraId="245F748E">
            <w:pPr>
              <w:spacing w:line="440" w:lineRule="exact"/>
              <w:jc w:val="center"/>
              <w:rPr>
                <w:rFonts w:hint="eastAsia" w:ascii="宋体" w:hAnsi="宋体" w:eastAsia="宋体" w:cs="宋体"/>
                <w:color w:val="auto"/>
                <w:sz w:val="24"/>
                <w:highlight w:val="none"/>
              </w:rPr>
            </w:pPr>
          </w:p>
        </w:tc>
        <w:tc>
          <w:tcPr>
            <w:tcW w:w="1510" w:type="pct"/>
            <w:vAlign w:val="center"/>
          </w:tcPr>
          <w:p w14:paraId="522B39CC">
            <w:pPr>
              <w:spacing w:line="440" w:lineRule="exact"/>
              <w:jc w:val="center"/>
              <w:rPr>
                <w:rFonts w:hint="eastAsia" w:ascii="宋体" w:hAnsi="宋体" w:eastAsia="宋体" w:cs="宋体"/>
                <w:color w:val="auto"/>
                <w:sz w:val="24"/>
                <w:highlight w:val="none"/>
              </w:rPr>
            </w:pPr>
          </w:p>
        </w:tc>
        <w:tc>
          <w:tcPr>
            <w:tcW w:w="475" w:type="pct"/>
            <w:vAlign w:val="center"/>
          </w:tcPr>
          <w:p w14:paraId="253A3BFC">
            <w:pPr>
              <w:spacing w:line="440" w:lineRule="exact"/>
              <w:jc w:val="center"/>
              <w:rPr>
                <w:rFonts w:hint="eastAsia" w:ascii="宋体" w:hAnsi="宋体" w:eastAsia="宋体" w:cs="宋体"/>
                <w:color w:val="auto"/>
                <w:sz w:val="24"/>
                <w:highlight w:val="none"/>
              </w:rPr>
            </w:pPr>
          </w:p>
        </w:tc>
      </w:tr>
      <w:tr w14:paraId="7143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BCA608C">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124" w:type="pct"/>
            <w:vAlign w:val="center"/>
          </w:tcPr>
          <w:p w14:paraId="76426FFB">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服务地点</w:t>
            </w:r>
          </w:p>
        </w:tc>
        <w:tc>
          <w:tcPr>
            <w:tcW w:w="1465" w:type="pct"/>
            <w:vAlign w:val="center"/>
          </w:tcPr>
          <w:p w14:paraId="477FA5F5">
            <w:pPr>
              <w:spacing w:line="440" w:lineRule="exact"/>
              <w:jc w:val="center"/>
              <w:rPr>
                <w:rFonts w:hint="eastAsia" w:ascii="宋体" w:hAnsi="宋体" w:eastAsia="宋体" w:cs="宋体"/>
                <w:color w:val="auto"/>
                <w:sz w:val="24"/>
                <w:highlight w:val="none"/>
              </w:rPr>
            </w:pPr>
          </w:p>
        </w:tc>
        <w:tc>
          <w:tcPr>
            <w:tcW w:w="1510" w:type="pct"/>
            <w:vAlign w:val="center"/>
          </w:tcPr>
          <w:p w14:paraId="4499A456">
            <w:pPr>
              <w:spacing w:line="440" w:lineRule="exact"/>
              <w:jc w:val="center"/>
              <w:rPr>
                <w:rFonts w:hint="eastAsia" w:ascii="宋体" w:hAnsi="宋体" w:eastAsia="宋体" w:cs="宋体"/>
                <w:color w:val="auto"/>
                <w:sz w:val="24"/>
                <w:highlight w:val="none"/>
              </w:rPr>
            </w:pPr>
          </w:p>
        </w:tc>
        <w:tc>
          <w:tcPr>
            <w:tcW w:w="475" w:type="pct"/>
            <w:vAlign w:val="center"/>
          </w:tcPr>
          <w:p w14:paraId="0338ECB3">
            <w:pPr>
              <w:spacing w:line="440" w:lineRule="exact"/>
              <w:jc w:val="center"/>
              <w:rPr>
                <w:rFonts w:hint="eastAsia" w:ascii="宋体" w:hAnsi="宋体" w:eastAsia="宋体" w:cs="宋体"/>
                <w:color w:val="auto"/>
                <w:sz w:val="24"/>
                <w:highlight w:val="none"/>
              </w:rPr>
            </w:pPr>
          </w:p>
        </w:tc>
      </w:tr>
      <w:tr w14:paraId="1DCD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7988ED4">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124" w:type="pct"/>
            <w:vAlign w:val="center"/>
          </w:tcPr>
          <w:p w14:paraId="0A8A5B00">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服务期限</w:t>
            </w:r>
          </w:p>
        </w:tc>
        <w:tc>
          <w:tcPr>
            <w:tcW w:w="1465" w:type="pct"/>
            <w:vAlign w:val="center"/>
          </w:tcPr>
          <w:p w14:paraId="64BDEF50">
            <w:pPr>
              <w:spacing w:line="440" w:lineRule="exact"/>
              <w:jc w:val="center"/>
              <w:rPr>
                <w:rFonts w:hint="eastAsia" w:ascii="宋体" w:hAnsi="宋体" w:eastAsia="宋体" w:cs="宋体"/>
                <w:color w:val="auto"/>
                <w:sz w:val="24"/>
                <w:highlight w:val="none"/>
              </w:rPr>
            </w:pPr>
          </w:p>
        </w:tc>
        <w:tc>
          <w:tcPr>
            <w:tcW w:w="1510" w:type="pct"/>
            <w:vAlign w:val="center"/>
          </w:tcPr>
          <w:p w14:paraId="5C60E68C">
            <w:pPr>
              <w:pStyle w:val="56"/>
              <w:spacing w:line="440" w:lineRule="exact"/>
              <w:jc w:val="center"/>
              <w:rPr>
                <w:rFonts w:hint="eastAsia" w:ascii="宋体" w:hAnsi="宋体" w:eastAsia="宋体" w:cs="宋体"/>
                <w:color w:val="auto"/>
                <w:highlight w:val="none"/>
              </w:rPr>
            </w:pPr>
          </w:p>
        </w:tc>
        <w:tc>
          <w:tcPr>
            <w:tcW w:w="475" w:type="pct"/>
            <w:vAlign w:val="center"/>
          </w:tcPr>
          <w:p w14:paraId="78BFE9D4">
            <w:pPr>
              <w:spacing w:line="440" w:lineRule="exact"/>
              <w:jc w:val="center"/>
              <w:rPr>
                <w:rFonts w:hint="eastAsia" w:ascii="宋体" w:hAnsi="宋体" w:eastAsia="宋体" w:cs="宋体"/>
                <w:color w:val="auto"/>
                <w:sz w:val="24"/>
                <w:highlight w:val="none"/>
              </w:rPr>
            </w:pPr>
          </w:p>
        </w:tc>
      </w:tr>
      <w:tr w14:paraId="5158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0289B3B">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124" w:type="pct"/>
            <w:vAlign w:val="center"/>
          </w:tcPr>
          <w:p w14:paraId="1E8F6463">
            <w:pPr>
              <w:spacing w:line="440" w:lineRule="exact"/>
              <w:jc w:val="center"/>
              <w:rPr>
                <w:rFonts w:hint="eastAsia" w:ascii="宋体" w:hAnsi="宋体" w:eastAsia="宋体" w:cs="宋体"/>
                <w:color w:val="auto"/>
                <w:sz w:val="24"/>
                <w:highlight w:val="none"/>
              </w:rPr>
            </w:pPr>
          </w:p>
        </w:tc>
        <w:tc>
          <w:tcPr>
            <w:tcW w:w="1465" w:type="pct"/>
            <w:vAlign w:val="center"/>
          </w:tcPr>
          <w:p w14:paraId="1D6E00D4">
            <w:pPr>
              <w:spacing w:line="440" w:lineRule="exact"/>
              <w:jc w:val="center"/>
              <w:rPr>
                <w:rFonts w:hint="eastAsia" w:ascii="宋体" w:hAnsi="宋体" w:eastAsia="宋体" w:cs="宋体"/>
                <w:color w:val="auto"/>
                <w:sz w:val="24"/>
                <w:highlight w:val="none"/>
              </w:rPr>
            </w:pPr>
          </w:p>
        </w:tc>
        <w:tc>
          <w:tcPr>
            <w:tcW w:w="1510" w:type="pct"/>
            <w:vAlign w:val="center"/>
          </w:tcPr>
          <w:p w14:paraId="512E3B10">
            <w:pPr>
              <w:spacing w:line="440" w:lineRule="exact"/>
              <w:jc w:val="center"/>
              <w:rPr>
                <w:rFonts w:hint="eastAsia" w:ascii="宋体" w:hAnsi="宋体" w:eastAsia="宋体" w:cs="宋体"/>
                <w:color w:val="auto"/>
                <w:sz w:val="24"/>
                <w:highlight w:val="none"/>
              </w:rPr>
            </w:pPr>
          </w:p>
        </w:tc>
        <w:tc>
          <w:tcPr>
            <w:tcW w:w="475" w:type="pct"/>
            <w:vAlign w:val="center"/>
          </w:tcPr>
          <w:p w14:paraId="159469EA">
            <w:pPr>
              <w:spacing w:line="440" w:lineRule="exact"/>
              <w:jc w:val="center"/>
              <w:rPr>
                <w:rFonts w:hint="eastAsia" w:ascii="宋体" w:hAnsi="宋体" w:eastAsia="宋体" w:cs="宋体"/>
                <w:color w:val="auto"/>
                <w:sz w:val="24"/>
                <w:highlight w:val="none"/>
              </w:rPr>
            </w:pPr>
          </w:p>
        </w:tc>
      </w:tr>
    </w:tbl>
    <w:p w14:paraId="46E905A7">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1563C00B">
      <w:pPr>
        <w:tabs>
          <w:tab w:val="left" w:pos="630"/>
        </w:tabs>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09CA2C7A">
      <w:pPr>
        <w:pStyle w:val="11"/>
        <w:spacing w:line="440" w:lineRule="exact"/>
        <w:jc w:val="center"/>
        <w:rPr>
          <w:rFonts w:ascii="宋体" w:hAnsi="宋体" w:cs="宋体"/>
          <w:color w:val="auto"/>
          <w:sz w:val="24"/>
          <w:highlight w:val="none"/>
        </w:rPr>
      </w:pPr>
      <w:r>
        <w:rPr>
          <w:rFonts w:hint="eastAsia" w:ascii="宋体" w:hAnsi="宋体" w:cs="宋体"/>
          <w:b w:val="0"/>
          <w:color w:val="auto"/>
          <w:sz w:val="24"/>
          <w:highlight w:val="none"/>
        </w:rPr>
        <w:br w:type="page"/>
      </w:r>
      <w:bookmarkStart w:id="222" w:name="_Toc23860"/>
      <w:bookmarkStart w:id="223" w:name="_Toc26536"/>
      <w:bookmarkStart w:id="224" w:name="_Hlk11701496"/>
      <w:r>
        <w:rPr>
          <w:rFonts w:hint="eastAsia" w:ascii="宋体" w:hAnsi="宋体" w:cs="宋体"/>
          <w:color w:val="auto"/>
          <w:sz w:val="24"/>
          <w:highlight w:val="none"/>
        </w:rPr>
        <w:t>（2）诚信履约承诺函</w:t>
      </w:r>
      <w:bookmarkEnd w:id="222"/>
      <w:bookmarkEnd w:id="223"/>
    </w:p>
    <w:p w14:paraId="171B3AB3">
      <w:pPr>
        <w:spacing w:line="440" w:lineRule="exact"/>
        <w:rPr>
          <w:rFonts w:ascii="宋体" w:hAnsi="宋体" w:eastAsia="宋体" w:cs="宋体"/>
          <w:b/>
          <w:bCs/>
          <w:color w:val="auto"/>
          <w:sz w:val="24"/>
          <w:highlight w:val="none"/>
        </w:rPr>
      </w:pPr>
    </w:p>
    <w:p w14:paraId="170F48BE">
      <w:pPr>
        <w:spacing w:line="440" w:lineRule="exact"/>
        <w:rPr>
          <w:rFonts w:ascii="宋体" w:hAnsi="宋体" w:eastAsia="宋体" w:cs="宋体"/>
          <w:b/>
          <w:bCs/>
          <w:color w:val="auto"/>
          <w:sz w:val="24"/>
          <w:highlight w:val="none"/>
          <w:u w:val="single"/>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single"/>
        </w:rPr>
        <w:t xml:space="preserve">            </w:t>
      </w:r>
      <w:r>
        <w:rPr>
          <w:rFonts w:hint="eastAsia" w:ascii="宋体" w:hAnsi="宋体" w:eastAsia="宋体" w:cs="宋体"/>
          <w:b/>
          <w:bCs/>
          <w:color w:val="auto"/>
          <w:sz w:val="24"/>
          <w:highlight w:val="none"/>
        </w:rPr>
        <w:t>采购人</w:t>
      </w:r>
    </w:p>
    <w:p w14:paraId="55B839C1">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11B43F12">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51C7E8EC">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7728F23A">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42E0D774">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6505E193">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284EED52">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B31F01A">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本承诺声明：</w:t>
      </w:r>
      <w:r>
        <w:rPr>
          <w:rFonts w:hint="eastAsia" w:ascii="宋体" w:hAnsi="宋体" w:eastAsia="宋体" w:cs="宋体"/>
          <w:bCs/>
          <w:color w:val="auto"/>
          <w:sz w:val="24"/>
          <w:highlight w:val="none"/>
          <w:u w:val="single"/>
        </w:rPr>
        <w:t xml:space="preserve">                   （投标人名称）</w:t>
      </w:r>
      <w:r>
        <w:rPr>
          <w:rFonts w:hint="eastAsia" w:ascii="宋体" w:hAnsi="宋体" w:eastAsia="宋体" w:cs="宋体"/>
          <w:bCs/>
          <w:color w:val="auto"/>
          <w:sz w:val="24"/>
          <w:highlight w:val="none"/>
        </w:rPr>
        <w:t>对本招标文件的相关要求完全响应，配备人员数量和要求不低于采购需求的要求。若有幸中标将严格按照以上承诺进行服务。</w:t>
      </w:r>
    </w:p>
    <w:p w14:paraId="1D3F0173">
      <w:pPr>
        <w:spacing w:line="440" w:lineRule="exact"/>
        <w:rPr>
          <w:rFonts w:ascii="宋体" w:hAnsi="宋体" w:eastAsia="宋体" w:cs="宋体"/>
          <w:bCs/>
          <w:color w:val="auto"/>
          <w:sz w:val="24"/>
          <w:highlight w:val="none"/>
        </w:rPr>
      </w:pPr>
    </w:p>
    <w:p w14:paraId="75AC97D1">
      <w:pPr>
        <w:spacing w:line="440" w:lineRule="exact"/>
        <w:rPr>
          <w:rFonts w:ascii="宋体" w:hAnsi="宋体" w:eastAsia="宋体" w:cs="宋体"/>
          <w:bCs/>
          <w:color w:val="auto"/>
          <w:sz w:val="24"/>
          <w:highlight w:val="none"/>
        </w:rPr>
      </w:pPr>
    </w:p>
    <w:p w14:paraId="5B2A3518">
      <w:pPr>
        <w:spacing w:line="440" w:lineRule="exact"/>
        <w:ind w:firstLine="4320" w:firstLineChars="1800"/>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投标人电子签章：</w:t>
      </w:r>
      <w:r>
        <w:rPr>
          <w:rFonts w:hint="eastAsia" w:ascii="宋体" w:hAnsi="宋体" w:eastAsia="宋体" w:cs="宋体"/>
          <w:bCs/>
          <w:color w:val="auto"/>
          <w:sz w:val="24"/>
          <w:highlight w:val="none"/>
          <w:u w:val="single"/>
        </w:rPr>
        <w:t xml:space="preserve">             </w:t>
      </w:r>
    </w:p>
    <w:p w14:paraId="5780A65C">
      <w:pPr>
        <w:spacing w:line="440" w:lineRule="exact"/>
        <w:ind w:firstLine="4320" w:firstLineChars="1800"/>
        <w:rPr>
          <w:rFonts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eastAsia="宋体" w:cs="宋体"/>
          <w:bCs/>
          <w:color w:val="auto"/>
          <w:sz w:val="24"/>
          <w:highlight w:val="none"/>
          <w:u w:val="single"/>
        </w:rPr>
        <w:t xml:space="preserve">             </w:t>
      </w:r>
    </w:p>
    <w:p w14:paraId="7F97E88C">
      <w:pPr>
        <w:widowControl/>
        <w:spacing w:line="440" w:lineRule="exact"/>
        <w:jc w:val="left"/>
        <w:rPr>
          <w:rFonts w:ascii="宋体" w:hAnsi="宋体" w:eastAsia="宋体" w:cs="宋体"/>
          <w:color w:val="auto"/>
          <w:sz w:val="24"/>
          <w:highlight w:val="none"/>
        </w:rPr>
      </w:pPr>
      <w:r>
        <w:rPr>
          <w:rFonts w:hint="eastAsia" w:ascii="宋体" w:hAnsi="宋体" w:eastAsia="宋体" w:cs="宋体"/>
          <w:color w:val="auto"/>
          <w:sz w:val="24"/>
          <w:highlight w:val="none"/>
        </w:rPr>
        <w:br w:type="page"/>
      </w:r>
    </w:p>
    <w:bookmarkEnd w:id="224"/>
    <w:p w14:paraId="3FF431F0">
      <w:pPr>
        <w:pageBreakBefore/>
        <w:rPr>
          <w:rFonts w:ascii="宋体" w:hAnsi="宋体" w:eastAsia="宋体" w:cs="宋体"/>
          <w:b/>
          <w:color w:val="auto"/>
          <w:sz w:val="28"/>
          <w:szCs w:val="28"/>
          <w:highlight w:val="none"/>
          <w:bdr w:val="single" w:color="000000" w:sz="4" w:space="0"/>
        </w:rPr>
      </w:pPr>
      <w:r>
        <w:rPr>
          <w:rFonts w:hint="eastAsia" w:ascii="宋体" w:hAnsi="宋体" w:eastAsia="宋体" w:cs="宋体"/>
          <w:b/>
          <w:color w:val="auto"/>
          <w:sz w:val="28"/>
          <w:szCs w:val="28"/>
          <w:highlight w:val="none"/>
        </w:rPr>
        <w:t>三、商务标格式文件</w:t>
      </w:r>
    </w:p>
    <w:p w14:paraId="6572A5FD">
      <w:pPr>
        <w:jc w:val="center"/>
        <w:rPr>
          <w:rFonts w:ascii="宋体" w:hAnsi="宋体" w:eastAsia="宋体" w:cs="宋体"/>
          <w:color w:val="auto"/>
          <w:sz w:val="20"/>
          <w:highlight w:val="none"/>
        </w:rPr>
      </w:pPr>
    </w:p>
    <w:p w14:paraId="6F6B3B72">
      <w:pPr>
        <w:rPr>
          <w:rFonts w:ascii="宋体" w:hAnsi="宋体" w:eastAsia="宋体" w:cs="宋体"/>
          <w:color w:val="auto"/>
          <w:sz w:val="20"/>
          <w:highlight w:val="none"/>
        </w:rPr>
      </w:pPr>
    </w:p>
    <w:p w14:paraId="08D351FF">
      <w:pPr>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商务标</w:t>
      </w:r>
    </w:p>
    <w:p w14:paraId="0B11B67D">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（投标文件三）</w:t>
      </w:r>
    </w:p>
    <w:p w14:paraId="2E5278E0">
      <w:pPr>
        <w:jc w:val="center"/>
        <w:rPr>
          <w:rFonts w:ascii="宋体" w:hAnsi="宋体" w:eastAsia="宋体" w:cs="宋体"/>
          <w:color w:val="auto"/>
          <w:sz w:val="44"/>
          <w:szCs w:val="44"/>
          <w:highlight w:val="none"/>
        </w:rPr>
      </w:pPr>
    </w:p>
    <w:p w14:paraId="494DCB5B">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721E0BAB">
      <w:pPr>
        <w:jc w:val="center"/>
        <w:rPr>
          <w:rFonts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1D2E5E98">
      <w:pPr>
        <w:rPr>
          <w:rFonts w:ascii="宋体" w:hAnsi="宋体" w:eastAsia="宋体" w:cs="宋体"/>
          <w:color w:val="auto"/>
          <w:sz w:val="28"/>
          <w:szCs w:val="28"/>
          <w:highlight w:val="none"/>
        </w:rPr>
      </w:pPr>
    </w:p>
    <w:p w14:paraId="14A0E69C">
      <w:pPr>
        <w:rPr>
          <w:rFonts w:ascii="宋体" w:hAnsi="宋体" w:eastAsia="宋体" w:cs="宋体"/>
          <w:color w:val="auto"/>
          <w:sz w:val="28"/>
          <w:szCs w:val="28"/>
          <w:highlight w:val="none"/>
        </w:rPr>
      </w:pPr>
    </w:p>
    <w:p w14:paraId="20C11DCF">
      <w:pPr>
        <w:rPr>
          <w:rFonts w:ascii="宋体" w:hAnsi="宋体" w:eastAsia="宋体" w:cs="宋体"/>
          <w:color w:val="auto"/>
          <w:sz w:val="28"/>
          <w:szCs w:val="28"/>
          <w:highlight w:val="none"/>
        </w:rPr>
      </w:pPr>
    </w:p>
    <w:p w14:paraId="2DA70AC6">
      <w:pPr>
        <w:rPr>
          <w:rFonts w:ascii="宋体" w:hAnsi="宋体" w:eastAsia="宋体" w:cs="宋体"/>
          <w:color w:val="auto"/>
          <w:sz w:val="28"/>
          <w:szCs w:val="28"/>
          <w:highlight w:val="none"/>
        </w:rPr>
      </w:pPr>
    </w:p>
    <w:p w14:paraId="14BE547C">
      <w:pPr>
        <w:rPr>
          <w:rFonts w:ascii="宋体" w:hAnsi="宋体" w:eastAsia="宋体" w:cs="宋体"/>
          <w:color w:val="auto"/>
          <w:sz w:val="28"/>
          <w:szCs w:val="28"/>
          <w:highlight w:val="none"/>
        </w:rPr>
      </w:pPr>
    </w:p>
    <w:p w14:paraId="1366D8CB">
      <w:pPr>
        <w:rPr>
          <w:rFonts w:ascii="宋体" w:hAnsi="宋体" w:eastAsia="宋体" w:cs="宋体"/>
          <w:color w:val="auto"/>
          <w:sz w:val="28"/>
          <w:szCs w:val="28"/>
          <w:highlight w:val="none"/>
        </w:rPr>
      </w:pPr>
    </w:p>
    <w:p w14:paraId="1DE4026C">
      <w:pPr>
        <w:rPr>
          <w:rFonts w:ascii="宋体" w:hAnsi="宋体" w:eastAsia="宋体" w:cs="宋体"/>
          <w:color w:val="auto"/>
          <w:sz w:val="28"/>
          <w:szCs w:val="28"/>
          <w:highlight w:val="none"/>
        </w:rPr>
      </w:pPr>
    </w:p>
    <w:p w14:paraId="755781A9">
      <w:pPr>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095C94F9">
      <w:pPr>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63F43B51">
      <w:pPr>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481D875A">
      <w:pPr>
        <w:spacing w:line="720" w:lineRule="auto"/>
        <w:jc w:val="center"/>
        <w:rPr>
          <w:rFonts w:ascii="宋体" w:hAnsi="宋体" w:eastAsia="宋体" w:cs="宋体"/>
          <w:b/>
          <w:color w:val="auto"/>
          <w:sz w:val="36"/>
          <w:szCs w:val="36"/>
          <w:highlight w:val="none"/>
        </w:rPr>
      </w:pPr>
    </w:p>
    <w:p w14:paraId="2FFEF2BD">
      <w:pPr>
        <w:spacing w:line="400" w:lineRule="exact"/>
        <w:ind w:firstLine="4130" w:firstLineChars="935"/>
        <w:rPr>
          <w:rFonts w:ascii="宋体" w:hAnsi="宋体" w:eastAsia="宋体" w:cs="宋体"/>
          <w:b/>
          <w:color w:val="auto"/>
          <w:sz w:val="44"/>
          <w:szCs w:val="44"/>
          <w:highlight w:val="none"/>
        </w:rPr>
      </w:pPr>
    </w:p>
    <w:p w14:paraId="0585A4E4">
      <w:pPr>
        <w:spacing w:line="400" w:lineRule="exact"/>
        <w:ind w:firstLine="4130" w:firstLineChars="935"/>
        <w:rPr>
          <w:rFonts w:ascii="宋体" w:hAnsi="宋体" w:eastAsia="宋体" w:cs="宋体"/>
          <w:b/>
          <w:color w:val="auto"/>
          <w:sz w:val="44"/>
          <w:szCs w:val="44"/>
          <w:highlight w:val="none"/>
        </w:rPr>
      </w:pPr>
    </w:p>
    <w:p w14:paraId="7FF379FB">
      <w:pPr>
        <w:pageBreakBefore/>
        <w:jc w:val="center"/>
        <w:rPr>
          <w:rFonts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46CEDA7C">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（1）开标一览表（格式见附件）；</w:t>
      </w:r>
    </w:p>
    <w:p w14:paraId="2E1C18AA">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（2）投标函（格式见附件）；</w:t>
      </w:r>
    </w:p>
    <w:p w14:paraId="0C076A7B">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（3）中小企业声明函，残疾人福利性企业（格式见附件）；</w:t>
      </w:r>
    </w:p>
    <w:p w14:paraId="380A068E">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省级以上监狱管理局、戒毒管理局（含新疆生产建设兵团）出具的属于监狱企业的证明（如是）；</w:t>
      </w:r>
    </w:p>
    <w:p w14:paraId="6C971A2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）招标文件商务评审中要求提供的其他相关资料；</w:t>
      </w:r>
    </w:p>
    <w:p w14:paraId="6A74E65A">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）投标人认为需要提供的其他材料。</w:t>
      </w:r>
    </w:p>
    <w:p w14:paraId="32614F43">
      <w:pPr>
        <w:spacing w:line="440" w:lineRule="exact"/>
        <w:rPr>
          <w:rFonts w:ascii="宋体" w:hAnsi="宋体" w:eastAsia="宋体" w:cs="宋体"/>
          <w:color w:val="auto"/>
          <w:sz w:val="24"/>
          <w:szCs w:val="24"/>
          <w:highlight w:val="none"/>
        </w:rPr>
      </w:pPr>
    </w:p>
    <w:p w14:paraId="0D32D604">
      <w:pPr>
        <w:pageBreakBefore/>
        <w:spacing w:line="440" w:lineRule="exact"/>
        <w:jc w:val="center"/>
        <w:outlineLvl w:val="1"/>
        <w:rPr>
          <w:rFonts w:ascii="宋体" w:hAnsi="宋体" w:eastAsia="宋体" w:cs="宋体"/>
          <w:b/>
          <w:color w:val="auto"/>
          <w:sz w:val="24"/>
          <w:highlight w:val="none"/>
        </w:rPr>
      </w:pPr>
      <w:bookmarkStart w:id="225" w:name="_Toc7833"/>
      <w:r>
        <w:rPr>
          <w:rFonts w:hint="eastAsia" w:ascii="宋体" w:hAnsi="宋体" w:eastAsia="宋体" w:cs="宋体"/>
          <w:b/>
          <w:color w:val="auto"/>
          <w:sz w:val="24"/>
          <w:highlight w:val="none"/>
        </w:rPr>
        <w:t>（1）开标一览表</w:t>
      </w:r>
      <w:bookmarkEnd w:id="210"/>
      <w:bookmarkEnd w:id="211"/>
      <w:bookmarkEnd w:id="225"/>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6776"/>
      </w:tblGrid>
      <w:tr w14:paraId="7F48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5BCE5FAD">
            <w:pPr>
              <w:widowControl/>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798F47CC">
            <w:pPr>
              <w:spacing w:line="440" w:lineRule="exact"/>
              <w:jc w:val="center"/>
              <w:rPr>
                <w:rFonts w:ascii="宋体" w:hAnsi="宋体" w:eastAsia="宋体" w:cs="宋体"/>
                <w:bCs/>
                <w:color w:val="auto"/>
                <w:sz w:val="24"/>
                <w:highlight w:val="none"/>
                <w:u w:val="single"/>
              </w:rPr>
            </w:pPr>
          </w:p>
        </w:tc>
      </w:tr>
      <w:tr w14:paraId="6037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683CB90">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投标人全称</w:t>
            </w:r>
          </w:p>
        </w:tc>
        <w:tc>
          <w:tcPr>
            <w:tcW w:w="3648" w:type="pct"/>
            <w:tcBorders>
              <w:top w:val="nil"/>
            </w:tcBorders>
            <w:vAlign w:val="center"/>
          </w:tcPr>
          <w:p w14:paraId="332CFA1D">
            <w:pPr>
              <w:spacing w:line="440" w:lineRule="exact"/>
              <w:rPr>
                <w:rFonts w:ascii="宋体" w:hAnsi="宋体" w:eastAsia="宋体" w:cs="宋体"/>
                <w:color w:val="auto"/>
                <w:sz w:val="24"/>
                <w:highlight w:val="none"/>
              </w:rPr>
            </w:pPr>
          </w:p>
        </w:tc>
      </w:tr>
      <w:tr w14:paraId="2CD1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07DDC7A0">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投标范围</w:t>
            </w:r>
          </w:p>
        </w:tc>
        <w:tc>
          <w:tcPr>
            <w:tcW w:w="3648" w:type="pct"/>
            <w:tcBorders>
              <w:top w:val="nil"/>
            </w:tcBorders>
            <w:vAlign w:val="center"/>
          </w:tcPr>
          <w:p w14:paraId="25AFE932">
            <w:pPr>
              <w:widowControl/>
              <w:spacing w:line="440" w:lineRule="exact"/>
              <w:rPr>
                <w:rFonts w:ascii="宋体" w:hAnsi="宋体" w:eastAsia="宋体" w:cs="宋体"/>
                <w:color w:val="auto"/>
                <w:sz w:val="24"/>
                <w:highlight w:val="none"/>
              </w:rPr>
            </w:pPr>
            <w:r>
              <w:rPr>
                <w:rFonts w:hint="eastAsia" w:ascii="宋体" w:hAnsi="宋体" w:eastAsia="宋体" w:cs="宋体"/>
                <w:color w:val="auto"/>
                <w:sz w:val="24"/>
                <w:szCs w:val="28"/>
                <w:highlight w:val="none"/>
              </w:rPr>
              <w:t>全部</w:t>
            </w:r>
          </w:p>
        </w:tc>
      </w:tr>
      <w:tr w14:paraId="4FD5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jc w:val="center"/>
        </w:trPr>
        <w:tc>
          <w:tcPr>
            <w:tcW w:w="1352" w:type="pct"/>
            <w:tcBorders>
              <w:top w:val="nil"/>
            </w:tcBorders>
            <w:vAlign w:val="center"/>
          </w:tcPr>
          <w:p w14:paraId="6B26919F">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投标报价</w:t>
            </w:r>
          </w:p>
        </w:tc>
        <w:tc>
          <w:tcPr>
            <w:tcW w:w="3648" w:type="pct"/>
            <w:tcBorders>
              <w:top w:val="nil"/>
            </w:tcBorders>
            <w:vAlign w:val="center"/>
          </w:tcPr>
          <w:p w14:paraId="68245162">
            <w:pPr>
              <w:spacing w:line="440" w:lineRule="exact"/>
              <w:ind w:right="-670"/>
              <w:rPr>
                <w:rFonts w:hint="eastAsia" w:ascii="宋体" w:hAnsi="宋体" w:eastAsia="宋体" w:cs="宋体"/>
                <w:color w:val="auto"/>
                <w:sz w:val="24"/>
                <w:highlight w:val="none"/>
                <w:lang w:val="en-US" w:eastAsia="zh-CN"/>
              </w:rPr>
            </w:pPr>
          </w:p>
        </w:tc>
      </w:tr>
      <w:tr w14:paraId="71AC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5ABF85ED">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其他</w:t>
            </w:r>
          </w:p>
        </w:tc>
        <w:tc>
          <w:tcPr>
            <w:tcW w:w="3648" w:type="pct"/>
            <w:tcBorders>
              <w:top w:val="nil"/>
            </w:tcBorders>
            <w:vAlign w:val="center"/>
          </w:tcPr>
          <w:p w14:paraId="485DB5E9">
            <w:pPr>
              <w:spacing w:line="440" w:lineRule="exact"/>
              <w:jc w:val="left"/>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highlight w:val="none"/>
                <w:lang w:val="en-US" w:eastAsia="zh-CN"/>
              </w:rPr>
              <w:t xml:space="preserve"> </w:t>
            </w:r>
          </w:p>
        </w:tc>
      </w:tr>
    </w:tbl>
    <w:p w14:paraId="71EDBE6C">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0BE227D2">
      <w:pPr>
        <w:tabs>
          <w:tab w:val="left" w:pos="630"/>
        </w:tabs>
        <w:spacing w:line="440" w:lineRule="exact"/>
        <w:ind w:firstLine="4800" w:firstLineChars="2000"/>
        <w:rPr>
          <w:rFonts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AA1D9B6">
      <w:pPr>
        <w:spacing w:line="44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注：</w:t>
      </w:r>
    </w:p>
    <w:p w14:paraId="7139CE8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1.此表用于开标唱标之用。</w:t>
      </w:r>
    </w:p>
    <w:p w14:paraId="063B9D2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2.表中投标报价作为评审及定标依据。任何有选择或有条件的投标报价，或者表中某一包别填写多个报价，均为无效报价。</w:t>
      </w:r>
    </w:p>
    <w:p w14:paraId="288A45C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3.表中大写金额与小写金额不一致的，以大写金额为准。</w:t>
      </w:r>
      <w:r>
        <w:rPr>
          <w:rFonts w:hint="eastAsia" w:ascii="宋体" w:hAnsi="宋体" w:eastAsia="宋体" w:cs="宋体"/>
          <w:color w:val="auto"/>
          <w:sz w:val="24"/>
          <w:highlight w:val="none"/>
        </w:rPr>
        <w:br w:type="page"/>
      </w:r>
    </w:p>
    <w:p w14:paraId="0A8CF4C0">
      <w:pPr>
        <w:spacing w:line="440" w:lineRule="exact"/>
        <w:jc w:val="center"/>
        <w:outlineLvl w:val="1"/>
        <w:rPr>
          <w:rFonts w:ascii="宋体" w:hAnsi="宋体" w:eastAsia="宋体" w:cs="宋体"/>
          <w:b/>
          <w:color w:val="auto"/>
          <w:sz w:val="24"/>
          <w:highlight w:val="none"/>
        </w:rPr>
      </w:pPr>
      <w:bookmarkStart w:id="226" w:name="_Toc6441"/>
      <w:bookmarkStart w:id="227" w:name="_Toc6120"/>
      <w:bookmarkStart w:id="228" w:name="_Toc31190"/>
      <w:r>
        <w:rPr>
          <w:rFonts w:hint="eastAsia" w:ascii="宋体" w:hAnsi="宋体" w:eastAsia="宋体" w:cs="宋体"/>
          <w:b/>
          <w:color w:val="auto"/>
          <w:sz w:val="24"/>
          <w:highlight w:val="none"/>
        </w:rPr>
        <w:t>（2）投标函</w:t>
      </w:r>
      <w:bookmarkEnd w:id="226"/>
      <w:bookmarkEnd w:id="227"/>
      <w:bookmarkEnd w:id="228"/>
    </w:p>
    <w:p w14:paraId="00C2CD1C">
      <w:pPr>
        <w:pStyle w:val="11"/>
        <w:spacing w:line="440" w:lineRule="exact"/>
        <w:rPr>
          <w:rFonts w:ascii="宋体" w:hAnsi="宋体" w:cs="宋体"/>
          <w:color w:val="auto"/>
          <w:sz w:val="24"/>
          <w:highlight w:val="none"/>
          <w:u w:val="singl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w:t>
      </w:r>
    </w:p>
    <w:p w14:paraId="7A9ED33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根据贵方的招标公告和投标邀请，我方兹宣布同意如下：</w:t>
      </w:r>
    </w:p>
    <w:p w14:paraId="6569262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846A79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2.我方已详细审核全部招标文件，包括招标文件附件及更正公告（如有），我方正式认可并遵守本次招标文件，并对招标文件各项条款、规定及要求均无异议。</w:t>
      </w:r>
    </w:p>
    <w:p w14:paraId="7D7D10C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3.我方同意从招标文件规定的开标日期起遵循本招标文件，并在招标文件规定的投标有效期之前均具有约束力。</w:t>
      </w:r>
    </w:p>
    <w:p w14:paraId="4D686F4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1B6BF568">
      <w:pPr>
        <w:spacing w:line="440" w:lineRule="exact"/>
        <w:ind w:firstLine="4800" w:firstLineChars="2000"/>
        <w:rPr>
          <w:rFonts w:ascii="宋体" w:hAnsi="宋体" w:eastAsia="宋体" w:cs="宋体"/>
          <w:color w:val="auto"/>
          <w:sz w:val="24"/>
          <w:highlight w:val="none"/>
        </w:rPr>
      </w:pPr>
    </w:p>
    <w:p w14:paraId="030BD042">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15B1A643">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60CF578">
      <w:pPr>
        <w:widowControl/>
        <w:spacing w:line="440" w:lineRule="exact"/>
        <w:jc w:val="left"/>
        <w:rPr>
          <w:rFonts w:ascii="宋体" w:hAnsi="宋体" w:eastAsia="宋体" w:cs="宋体"/>
          <w:color w:val="auto"/>
          <w:sz w:val="24"/>
          <w:highlight w:val="none"/>
          <w:u w:val="single"/>
        </w:rPr>
      </w:pPr>
      <w:r>
        <w:rPr>
          <w:rFonts w:hint="eastAsia" w:ascii="宋体" w:hAnsi="宋体" w:eastAsia="宋体" w:cs="宋体"/>
          <w:color w:val="auto"/>
          <w:sz w:val="24"/>
          <w:highlight w:val="none"/>
          <w:u w:val="single"/>
        </w:rPr>
        <w:br w:type="page"/>
      </w:r>
    </w:p>
    <w:p w14:paraId="0C1D107F">
      <w:pPr>
        <w:pageBreakBefore/>
        <w:spacing w:line="440" w:lineRule="exact"/>
        <w:jc w:val="center"/>
        <w:outlineLvl w:val="1"/>
        <w:rPr>
          <w:rFonts w:ascii="宋体" w:hAnsi="宋体" w:eastAsia="宋体" w:cs="宋体"/>
          <w:color w:val="auto"/>
          <w:sz w:val="24"/>
          <w:szCs w:val="24"/>
          <w:highlight w:val="none"/>
        </w:rPr>
      </w:pPr>
      <w:bookmarkStart w:id="229" w:name="_Toc32226"/>
      <w:bookmarkStart w:id="230" w:name="_Toc31027"/>
      <w:bookmarkStart w:id="231" w:name="_Toc2324"/>
      <w:r>
        <w:rPr>
          <w:rFonts w:hint="eastAsia" w:ascii="宋体" w:hAnsi="宋体" w:eastAsia="宋体" w:cs="宋体"/>
          <w:b/>
          <w:color w:val="auto"/>
          <w:sz w:val="24"/>
          <w:highlight w:val="none"/>
        </w:rPr>
        <w:t>（3）</w:t>
      </w:r>
      <w:bookmarkEnd w:id="229"/>
      <w:bookmarkEnd w:id="230"/>
      <w:bookmarkStart w:id="232" w:name="_Toc23068"/>
      <w:bookmarkStart w:id="233" w:name="_Toc20329"/>
      <w:r>
        <w:rPr>
          <w:rFonts w:hint="eastAsia" w:ascii="宋体" w:hAnsi="宋体" w:eastAsia="宋体" w:cs="宋体"/>
          <w:b/>
          <w:color w:val="auto"/>
          <w:sz w:val="24"/>
          <w:highlight w:val="none"/>
        </w:rPr>
        <w:t>中小企业声明函</w:t>
      </w:r>
      <w:bookmarkEnd w:id="231"/>
      <w:bookmarkEnd w:id="232"/>
    </w:p>
    <w:p w14:paraId="0EEE3DDB">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zh-CN"/>
        </w:rPr>
        <w:t>单位</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u w:val="single"/>
          <w:lang w:val="zh-CN"/>
        </w:rPr>
        <w:t>项目</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607599E2">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（中型企业、小型企业、微型企业）</w:t>
      </w:r>
      <w:r>
        <w:rPr>
          <w:rFonts w:hint="eastAsia" w:ascii="宋体" w:hAnsi="宋体" w:eastAsia="宋体" w:cs="宋体"/>
          <w:color w:val="auto"/>
          <w:sz w:val="24"/>
          <w:szCs w:val="24"/>
          <w:highlight w:val="none"/>
          <w:lang w:val="zh-CN"/>
        </w:rPr>
        <w:t xml:space="preserve">； </w:t>
      </w:r>
    </w:p>
    <w:p w14:paraId="3C06ACE3">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（中型企业、小型企业、微型企业）</w:t>
      </w:r>
      <w:r>
        <w:rPr>
          <w:rFonts w:hint="eastAsia" w:ascii="宋体" w:hAnsi="宋体" w:eastAsia="宋体" w:cs="宋体"/>
          <w:color w:val="auto"/>
          <w:sz w:val="24"/>
          <w:szCs w:val="24"/>
          <w:highlight w:val="none"/>
          <w:lang w:val="zh-CN"/>
        </w:rPr>
        <w:t xml:space="preserve">； </w:t>
      </w:r>
    </w:p>
    <w:p w14:paraId="52167E88">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14:paraId="55AC7706">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201B0B64">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5517A1EF">
      <w:pPr>
        <w:spacing w:line="440" w:lineRule="exact"/>
        <w:ind w:firstLine="435"/>
        <w:rPr>
          <w:rFonts w:ascii="宋体" w:hAnsi="宋体" w:eastAsia="宋体" w:cs="宋体"/>
          <w:color w:val="auto"/>
          <w:sz w:val="24"/>
          <w:szCs w:val="24"/>
          <w:highlight w:val="none"/>
        </w:rPr>
      </w:pPr>
    </w:p>
    <w:p w14:paraId="6F9FA10A">
      <w:pPr>
        <w:spacing w:line="440" w:lineRule="exact"/>
        <w:ind w:firstLine="4228" w:firstLineChars="176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3389FBC2">
      <w:pPr>
        <w:tabs>
          <w:tab w:val="left" w:pos="4620"/>
        </w:tabs>
        <w:spacing w:line="440" w:lineRule="exact"/>
        <w:ind w:firstLine="4252" w:firstLineChars="177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46F7AFE6">
      <w:pPr>
        <w:tabs>
          <w:tab w:val="left" w:pos="4620"/>
        </w:tabs>
        <w:spacing w:line="440" w:lineRule="exact"/>
        <w:jc w:val="left"/>
        <w:rPr>
          <w:rFonts w:ascii="宋体" w:hAnsi="宋体" w:eastAsia="宋体" w:cs="宋体"/>
          <w:b/>
          <w:color w:val="auto"/>
          <w:szCs w:val="24"/>
          <w:highlight w:val="none"/>
        </w:rPr>
      </w:pPr>
      <w:r>
        <w:rPr>
          <w:rFonts w:hint="eastAsia" w:ascii="宋体" w:hAnsi="宋体" w:eastAsia="宋体" w:cs="宋体"/>
          <w:b/>
          <w:color w:val="auto"/>
          <w:szCs w:val="24"/>
          <w:highlight w:val="none"/>
        </w:rPr>
        <w:t>注：</w:t>
      </w:r>
    </w:p>
    <w:p w14:paraId="7C27BABA">
      <w:pPr>
        <w:tabs>
          <w:tab w:val="left" w:pos="4620"/>
        </w:tabs>
        <w:spacing w:line="440" w:lineRule="exact"/>
        <w:rPr>
          <w:rFonts w:ascii="宋体" w:hAnsi="宋体" w:eastAsia="宋体" w:cs="宋体"/>
          <w:color w:val="auto"/>
          <w:szCs w:val="24"/>
          <w:highlight w:val="none"/>
        </w:rPr>
      </w:pPr>
      <w:r>
        <w:rPr>
          <w:rFonts w:hint="eastAsia" w:ascii="宋体" w:hAnsi="宋体" w:eastAsia="宋体" w:cs="宋体"/>
          <w:color w:val="auto"/>
          <w:szCs w:val="24"/>
          <w:highlight w:val="none"/>
        </w:rPr>
        <w:t>1.从业人员、营业收入、资产总额填报上一年数据，无上一年数据的新成立企业可不填报。</w:t>
      </w:r>
    </w:p>
    <w:p w14:paraId="36412F38">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56D1D849">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1186BBD0">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07CF446C">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BFBC32F">
      <w:pPr>
        <w:spacing w:line="440" w:lineRule="exact"/>
        <w:rPr>
          <w:rFonts w:ascii="宋体" w:hAnsi="宋体" w:eastAsia="宋体" w:cs="宋体"/>
          <w:b/>
          <w:color w:val="auto"/>
          <w:sz w:val="24"/>
          <w:highlight w:val="none"/>
        </w:rPr>
      </w:pPr>
      <w:bookmarkStart w:id="234" w:name="_Toc16713"/>
      <w:r>
        <w:rPr>
          <w:rFonts w:hint="eastAsia" w:ascii="宋体" w:hAnsi="宋体" w:eastAsia="宋体" w:cs="宋体"/>
          <w:b/>
          <w:color w:val="auto"/>
          <w:sz w:val="24"/>
          <w:highlight w:val="none"/>
        </w:rPr>
        <w:br w:type="page"/>
      </w:r>
    </w:p>
    <w:p w14:paraId="2386EA1C">
      <w:pPr>
        <w:spacing w:line="440" w:lineRule="exact"/>
        <w:jc w:val="center"/>
        <w:outlineLvl w:val="1"/>
        <w:rPr>
          <w:rFonts w:ascii="宋体" w:hAnsi="宋体" w:eastAsia="宋体" w:cs="宋体"/>
          <w:b/>
          <w:color w:val="auto"/>
          <w:sz w:val="24"/>
          <w:highlight w:val="none"/>
        </w:rPr>
      </w:pPr>
      <w:bookmarkStart w:id="235" w:name="_Toc16612"/>
      <w:bookmarkStart w:id="236" w:name="_Toc17315"/>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）残疾人福利性单位声明函</w:t>
      </w:r>
      <w:bookmarkEnd w:id="234"/>
      <w:bookmarkEnd w:id="235"/>
      <w:bookmarkEnd w:id="236"/>
    </w:p>
    <w:p w14:paraId="0CEF8D91">
      <w:pPr>
        <w:pStyle w:val="24"/>
        <w:autoSpaceDE w:val="0"/>
        <w:spacing w:before="0" w:after="120" w:afterAutospacing="0" w:line="360" w:lineRule="auto"/>
        <w:jc w:val="center"/>
        <w:rPr>
          <w:rFonts w:ascii="宋体" w:hAnsi="宋体" w:eastAsia="宋体" w:cs="宋体"/>
          <w:i/>
          <w:color w:val="auto"/>
          <w:kern w:val="2"/>
          <w:szCs w:val="24"/>
          <w:highlight w:val="none"/>
        </w:rPr>
      </w:pPr>
      <w:r>
        <w:rPr>
          <w:rFonts w:hint="eastAsia" w:ascii="宋体" w:hAnsi="宋体" w:eastAsia="宋体" w:cs="宋体"/>
          <w:i/>
          <w:color w:val="auto"/>
          <w:kern w:val="2"/>
          <w:szCs w:val="24"/>
          <w:highlight w:val="none"/>
          <w:lang w:bidi="ar"/>
        </w:rPr>
        <w:t>（非残疾人福利性单位投标，请删去“残疾人福利性单位声明函”）</w:t>
      </w:r>
    </w:p>
    <w:p w14:paraId="63DE15A1">
      <w:pPr>
        <w:spacing w:line="440" w:lineRule="exact"/>
        <w:ind w:firstLine="435"/>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w:t>
      </w:r>
      <w:r>
        <w:rPr>
          <w:rFonts w:hint="eastAsia" w:ascii="宋体" w:hAnsi="宋体" w:eastAsia="宋体" w:cs="宋体"/>
          <w:color w:val="auto"/>
          <w:sz w:val="24"/>
          <w:highlight w:val="none"/>
        </w:rPr>
        <w:t>郑重</w:t>
      </w:r>
      <w:r>
        <w:rPr>
          <w:rFonts w:hint="eastAsia" w:ascii="宋体" w:hAnsi="宋体" w:eastAsia="宋体" w:cs="宋体"/>
          <w:color w:val="auto"/>
          <w:spacing w:val="6"/>
          <w:sz w:val="24"/>
          <w:szCs w:val="24"/>
          <w:highlight w:val="none"/>
        </w:rPr>
        <w:t>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424CC93">
      <w:pPr>
        <w:spacing w:line="440" w:lineRule="exact"/>
        <w:ind w:firstLine="435"/>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41B8DE37">
      <w:pPr>
        <w:spacing w:line="440" w:lineRule="exact"/>
        <w:ind w:firstLine="4228" w:firstLineChars="1762"/>
        <w:rPr>
          <w:rFonts w:ascii="宋体" w:hAnsi="宋体" w:eastAsia="宋体" w:cs="宋体"/>
          <w:color w:val="auto"/>
          <w:sz w:val="24"/>
          <w:szCs w:val="24"/>
          <w:highlight w:val="none"/>
        </w:rPr>
      </w:pPr>
    </w:p>
    <w:p w14:paraId="48510412">
      <w:pPr>
        <w:spacing w:line="440" w:lineRule="exact"/>
        <w:ind w:firstLine="4228" w:firstLineChars="1762"/>
        <w:rPr>
          <w:rFonts w:ascii="宋体" w:hAnsi="宋体" w:eastAsia="宋体" w:cs="宋体"/>
          <w:color w:val="auto"/>
          <w:sz w:val="24"/>
          <w:szCs w:val="24"/>
          <w:highlight w:val="none"/>
        </w:rPr>
      </w:pPr>
    </w:p>
    <w:p w14:paraId="66771707">
      <w:pPr>
        <w:spacing w:line="440" w:lineRule="exact"/>
        <w:ind w:firstLine="4228" w:firstLineChars="176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6FEA0197">
      <w:pPr>
        <w:tabs>
          <w:tab w:val="left" w:pos="4620"/>
        </w:tabs>
        <w:spacing w:line="440" w:lineRule="exact"/>
        <w:ind w:firstLine="4252" w:firstLineChars="177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193BBEA9">
      <w:pPr>
        <w:spacing w:line="900" w:lineRule="exact"/>
        <w:jc w:val="center"/>
        <w:rPr>
          <w:rFonts w:ascii="宋体" w:hAnsi="宋体" w:eastAsia="宋体" w:cs="宋体"/>
          <w:b/>
          <w:color w:val="auto"/>
          <w:sz w:val="72"/>
          <w:highlight w:val="none"/>
        </w:rPr>
      </w:pPr>
    </w:p>
    <w:p w14:paraId="51BB7669">
      <w:pPr>
        <w:spacing w:line="440" w:lineRule="exact"/>
        <w:jc w:val="center"/>
        <w:outlineLvl w:val="0"/>
        <w:rPr>
          <w:rFonts w:hint="eastAsia" w:ascii="宋体" w:hAnsi="宋体" w:eastAsia="宋体" w:cs="宋体"/>
          <w:b/>
          <w:color w:val="auto"/>
          <w:sz w:val="28"/>
          <w:highlight w:val="none"/>
        </w:rPr>
      </w:pPr>
    </w:p>
    <w:p w14:paraId="7C473080">
      <w:pPr>
        <w:spacing w:line="440" w:lineRule="exact"/>
        <w:jc w:val="center"/>
        <w:outlineLvl w:val="0"/>
        <w:rPr>
          <w:rFonts w:hint="eastAsia" w:ascii="宋体" w:hAnsi="宋体" w:eastAsia="宋体" w:cs="宋体"/>
          <w:b/>
          <w:color w:val="auto"/>
          <w:sz w:val="28"/>
          <w:highlight w:val="none"/>
        </w:rPr>
      </w:pPr>
    </w:p>
    <w:p w14:paraId="33B75791">
      <w:pPr>
        <w:pStyle w:val="29"/>
        <w:rPr>
          <w:rFonts w:hint="eastAsia" w:ascii="宋体" w:hAnsi="宋体" w:eastAsia="宋体" w:cs="宋体"/>
          <w:b/>
          <w:color w:val="auto"/>
          <w:sz w:val="28"/>
          <w:highlight w:val="none"/>
        </w:rPr>
      </w:pPr>
    </w:p>
    <w:p w14:paraId="5DD3E6D7">
      <w:pPr>
        <w:pStyle w:val="21"/>
        <w:rPr>
          <w:rFonts w:hint="eastAsia" w:ascii="宋体" w:hAnsi="宋体" w:eastAsia="宋体" w:cs="宋体"/>
          <w:b/>
          <w:color w:val="auto"/>
          <w:sz w:val="28"/>
          <w:highlight w:val="none"/>
        </w:rPr>
      </w:pPr>
    </w:p>
    <w:p w14:paraId="08958CB2">
      <w:pPr>
        <w:rPr>
          <w:rFonts w:hint="eastAsia" w:ascii="宋体" w:hAnsi="宋体" w:eastAsia="宋体" w:cs="宋体"/>
          <w:b/>
          <w:color w:val="auto"/>
          <w:sz w:val="28"/>
          <w:highlight w:val="none"/>
        </w:rPr>
      </w:pPr>
    </w:p>
    <w:p w14:paraId="77EF7E30">
      <w:pPr>
        <w:pStyle w:val="29"/>
        <w:rPr>
          <w:rFonts w:hint="eastAsia" w:ascii="宋体" w:hAnsi="宋体" w:eastAsia="宋体" w:cs="宋体"/>
          <w:b/>
          <w:color w:val="auto"/>
          <w:sz w:val="28"/>
          <w:highlight w:val="none"/>
        </w:rPr>
      </w:pPr>
    </w:p>
    <w:p w14:paraId="6584F255">
      <w:pPr>
        <w:pStyle w:val="21"/>
        <w:rPr>
          <w:rFonts w:hint="eastAsia" w:ascii="宋体" w:hAnsi="宋体" w:eastAsia="宋体" w:cs="宋体"/>
          <w:b/>
          <w:color w:val="auto"/>
          <w:sz w:val="28"/>
          <w:highlight w:val="none"/>
        </w:rPr>
      </w:pPr>
    </w:p>
    <w:p w14:paraId="768AC7F7">
      <w:pPr>
        <w:rPr>
          <w:rFonts w:hint="eastAsia" w:ascii="宋体" w:hAnsi="宋体" w:eastAsia="宋体" w:cs="宋体"/>
          <w:b/>
          <w:color w:val="auto"/>
          <w:sz w:val="28"/>
          <w:highlight w:val="none"/>
        </w:rPr>
      </w:pPr>
    </w:p>
    <w:p w14:paraId="0E848F73">
      <w:pPr>
        <w:pStyle w:val="29"/>
        <w:rPr>
          <w:rFonts w:hint="eastAsia" w:ascii="宋体" w:hAnsi="宋体" w:eastAsia="宋体" w:cs="宋体"/>
          <w:b/>
          <w:color w:val="auto"/>
          <w:sz w:val="28"/>
          <w:highlight w:val="none"/>
        </w:rPr>
      </w:pPr>
    </w:p>
    <w:p w14:paraId="36AEEA81">
      <w:pPr>
        <w:pStyle w:val="21"/>
        <w:rPr>
          <w:rFonts w:hint="eastAsia" w:ascii="宋体" w:hAnsi="宋体" w:eastAsia="宋体" w:cs="宋体"/>
          <w:b/>
          <w:color w:val="auto"/>
          <w:sz w:val="28"/>
          <w:highlight w:val="none"/>
        </w:rPr>
      </w:pPr>
    </w:p>
    <w:p w14:paraId="007C16BC">
      <w:pPr>
        <w:rPr>
          <w:rFonts w:hint="eastAsia"/>
          <w:color w:val="auto"/>
          <w:highlight w:val="none"/>
        </w:rPr>
      </w:pPr>
    </w:p>
    <w:p w14:paraId="7E635DD7">
      <w:pPr>
        <w:spacing w:line="440" w:lineRule="exact"/>
        <w:rPr>
          <w:rFonts w:ascii="宋体" w:hAnsi="宋体" w:eastAsia="宋体" w:cs="宋体"/>
          <w:b/>
          <w:color w:val="auto"/>
          <w:sz w:val="24"/>
          <w:highlight w:val="none"/>
        </w:rPr>
      </w:pPr>
    </w:p>
    <w:bookmarkEnd w:id="233"/>
    <w:p w14:paraId="5383C51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37" w:name="_Toc20360"/>
      <w:bookmarkStart w:id="238" w:name="_Toc6435"/>
      <w:r>
        <w:rPr>
          <w:rFonts w:hint="eastAsia" w:asciiTheme="minorEastAsia" w:hAnsiTheme="minorEastAsia" w:eastAsiaTheme="minorEastAsia"/>
          <w:b/>
          <w:color w:val="auto"/>
          <w:sz w:val="24"/>
          <w:highlight w:val="none"/>
          <w:lang w:val="en-US" w:eastAsia="zh-CN"/>
        </w:rPr>
        <w:t>（5）</w:t>
      </w:r>
      <w:r>
        <w:rPr>
          <w:rFonts w:hint="eastAsia" w:ascii="宋体" w:hAnsi="宋体" w:eastAsia="宋体" w:cs="@仿宋_GB2312"/>
          <w:b/>
          <w:color w:val="auto"/>
          <w:sz w:val="24"/>
          <w:szCs w:val="20"/>
          <w:highlight w:val="none"/>
        </w:rPr>
        <w:t>关于符合本国产品标准的声明函</w:t>
      </w:r>
      <w:bookmarkEnd w:id="237"/>
    </w:p>
    <w:p w14:paraId="78CDF33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37ABFFE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05A3320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5"/>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5"/>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6D139867">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C4AAB6B">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73F7DDF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4D21EE9F">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56B158CE">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2B5AAA4A">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1F6130BF">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11D75902">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5003B863">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 xml:space="preserve">  /  </w:t>
      </w:r>
      <w:r>
        <w:rPr>
          <w:rFonts w:hint="eastAsia" w:ascii="宋体" w:hAnsi="宋体" w:eastAsia="宋体" w:cs="Times New Roman"/>
          <w:b w:val="0"/>
          <w:bCs/>
          <w:color w:val="auto"/>
          <w:szCs w:val="24"/>
          <w:highlight w:val="none"/>
          <w:lang w:val="en-US" w:eastAsia="zh-CN"/>
        </w:rPr>
        <w:t>的，无需填写。</w:t>
      </w:r>
    </w:p>
    <w:p w14:paraId="38F7CCC0">
      <w:pPr>
        <w:tabs>
          <w:tab w:val="left" w:pos="4620"/>
        </w:tabs>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2C514FDC">
      <w:pPr>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w:t>
      </w:r>
    </w:p>
    <w:p w14:paraId="40F70C73">
      <w:pPr>
        <w:spacing w:line="360" w:lineRule="auto"/>
        <w:jc w:val="both"/>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产品，矿与矿物，电力、城市燃气、蒸汽和热水、水，食品、饮料和烟草原料，无形资产。</w:t>
      </w:r>
    </w:p>
    <w:p w14:paraId="1FE8FD6E">
      <w:pPr>
        <w:spacing w:line="440" w:lineRule="exact"/>
        <w:jc w:val="center"/>
        <w:outlineLvl w:val="0"/>
        <w:rPr>
          <w:rFonts w:ascii="宋体" w:hAnsi="宋体" w:eastAsia="宋体" w:cs="宋体"/>
          <w:b/>
          <w:bCs/>
          <w:color w:val="auto"/>
          <w:sz w:val="28"/>
          <w:highlight w:val="none"/>
        </w:rPr>
      </w:pPr>
      <w:bookmarkStart w:id="239" w:name="_Toc3414"/>
      <w:r>
        <w:rPr>
          <w:rFonts w:hint="eastAsia" w:ascii="宋体" w:hAnsi="宋体" w:eastAsia="宋体" w:cs="宋体"/>
          <w:b/>
          <w:color w:val="auto"/>
          <w:sz w:val="28"/>
          <w:highlight w:val="none"/>
        </w:rPr>
        <w:t>第七章</w:t>
      </w:r>
      <w:r>
        <w:rPr>
          <w:rFonts w:hint="eastAsia" w:ascii="宋体" w:hAnsi="宋体" w:eastAsia="宋体" w:cs="宋体"/>
          <w:b/>
          <w:bCs/>
          <w:color w:val="auto"/>
          <w:sz w:val="28"/>
          <w:highlight w:val="none"/>
        </w:rPr>
        <w:t xml:space="preserve">  政府采购</w:t>
      </w:r>
      <w:r>
        <w:rPr>
          <w:rFonts w:hint="eastAsia" w:ascii="宋体" w:hAnsi="宋体" w:eastAsia="宋体" w:cs="宋体"/>
          <w:b/>
          <w:color w:val="auto"/>
          <w:sz w:val="28"/>
          <w:highlight w:val="none"/>
        </w:rPr>
        <w:t>供应</w:t>
      </w:r>
      <w:r>
        <w:rPr>
          <w:rFonts w:hint="eastAsia" w:ascii="宋体" w:hAnsi="宋体" w:eastAsia="宋体" w:cs="宋体"/>
          <w:b/>
          <w:bCs/>
          <w:color w:val="auto"/>
          <w:sz w:val="28"/>
          <w:highlight w:val="none"/>
        </w:rPr>
        <w:t>商询问函和质疑函范本</w:t>
      </w:r>
      <w:bookmarkEnd w:id="238"/>
      <w:bookmarkEnd w:id="239"/>
    </w:p>
    <w:p w14:paraId="05D4F0E2">
      <w:pPr>
        <w:spacing w:line="440" w:lineRule="exact"/>
        <w:jc w:val="center"/>
        <w:outlineLvl w:val="1"/>
        <w:rPr>
          <w:rFonts w:ascii="宋体" w:hAnsi="宋体" w:eastAsia="宋体" w:cs="宋体"/>
          <w:b/>
          <w:bCs/>
          <w:color w:val="auto"/>
          <w:sz w:val="32"/>
          <w:szCs w:val="44"/>
          <w:highlight w:val="none"/>
        </w:rPr>
      </w:pPr>
      <w:bookmarkStart w:id="240" w:name="_Toc13039"/>
      <w:bookmarkStart w:id="241" w:name="_Toc27159"/>
      <w:bookmarkStart w:id="242" w:name="_Toc6955"/>
      <w:r>
        <w:rPr>
          <w:rFonts w:hint="eastAsia" w:ascii="宋体" w:hAnsi="宋体" w:eastAsia="宋体" w:cs="宋体"/>
          <w:b/>
          <w:bCs/>
          <w:color w:val="auto"/>
          <w:sz w:val="32"/>
          <w:szCs w:val="44"/>
          <w:highlight w:val="none"/>
        </w:rPr>
        <w:t>询问函范本</w:t>
      </w:r>
      <w:bookmarkEnd w:id="240"/>
      <w:bookmarkEnd w:id="241"/>
      <w:bookmarkEnd w:id="242"/>
    </w:p>
    <w:p w14:paraId="1742996C">
      <w:pPr>
        <w:adjustRightInd w:val="0"/>
        <w:snapToGrid w:val="0"/>
        <w:spacing w:line="440" w:lineRule="exact"/>
        <w:ind w:firstLine="480" w:firstLineChars="200"/>
        <w:jc w:val="center"/>
        <w:rPr>
          <w:rFonts w:ascii="宋体" w:hAnsi="宋体" w:eastAsia="宋体" w:cs="宋体"/>
          <w:b/>
          <w:bCs/>
          <w:color w:val="auto"/>
          <w:sz w:val="32"/>
          <w:szCs w:val="44"/>
          <w:highlight w:val="none"/>
        </w:rPr>
      </w:pPr>
      <w:r>
        <w:rPr>
          <w:rFonts w:hint="eastAsia" w:ascii="宋体" w:hAnsi="宋体" w:eastAsia="宋体" w:cs="宋体"/>
          <w:i/>
          <w:iCs/>
          <w:color w:val="auto"/>
          <w:sz w:val="24"/>
          <w:szCs w:val="24"/>
          <w:highlight w:val="none"/>
        </w:rPr>
        <w:t>（如为对采购文件或采购程序的询问或疑问，请按询问函范本或电子交易系统中网上询问格式附件进行提交）</w:t>
      </w:r>
    </w:p>
    <w:p w14:paraId="48A7613B">
      <w:pPr>
        <w:adjustRightInd w:val="0"/>
        <w:snapToGrid w:val="0"/>
        <w:spacing w:line="440" w:lineRule="exact"/>
        <w:rPr>
          <w:rFonts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rPr>
        <w:t>致：采购人</w:t>
      </w:r>
    </w:p>
    <w:p w14:paraId="6FBD4024">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我单位拟参与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i/>
          <w:iCs/>
          <w:color w:val="auto"/>
          <w:sz w:val="24"/>
          <w:szCs w:val="24"/>
          <w:highlight w:val="none"/>
        </w:rPr>
        <w:t>项目名称、编号</w:t>
      </w:r>
      <w:r>
        <w:rPr>
          <w:rFonts w:hint="eastAsia" w:ascii="宋体" w:hAnsi="宋体" w:eastAsia="宋体" w:cs="宋体"/>
          <w:color w:val="auto"/>
          <w:sz w:val="24"/>
          <w:szCs w:val="24"/>
          <w:highlight w:val="none"/>
        </w:rPr>
        <w:t>）的采购活动，现有以下内容(或条款)存在疑问(或无法理解)，特提出询问。</w:t>
      </w:r>
    </w:p>
    <w:p w14:paraId="05869D72">
      <w:pPr>
        <w:adjustRightInd w:val="0"/>
        <w:snapToGrid w:val="0"/>
        <w:spacing w:line="440" w:lineRule="exact"/>
        <w:ind w:firstLine="480" w:firstLineChars="200"/>
        <w:rPr>
          <w:rFonts w:ascii="宋体" w:hAnsi="宋体" w:eastAsia="宋体" w:cs="宋体"/>
          <w:color w:val="auto"/>
          <w:sz w:val="24"/>
          <w:szCs w:val="24"/>
          <w:highlight w:val="none"/>
        </w:rPr>
      </w:pPr>
      <w:bookmarkStart w:id="243" w:name="_Toc13899"/>
      <w:r>
        <w:rPr>
          <w:rFonts w:hint="eastAsia" w:ascii="宋体" w:hAnsi="宋体" w:eastAsia="宋体" w:cs="宋体"/>
          <w:color w:val="auto"/>
          <w:sz w:val="24"/>
          <w:szCs w:val="24"/>
          <w:highlight w:val="none"/>
        </w:rPr>
        <w:t>一、(事项一)</w:t>
      </w:r>
      <w:bookmarkEnd w:id="243"/>
    </w:p>
    <w:p w14:paraId="6B1E68D7">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1、(内容或条款)</w:t>
      </w:r>
    </w:p>
    <w:p w14:paraId="24ECC4A6">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2、(说明疑问或无法理解原因)</w:t>
      </w:r>
    </w:p>
    <w:p w14:paraId="61606B68">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3、(建议)</w:t>
      </w:r>
    </w:p>
    <w:p w14:paraId="790D2010">
      <w:pPr>
        <w:adjustRightInd w:val="0"/>
        <w:snapToGrid w:val="0"/>
        <w:spacing w:line="440" w:lineRule="exact"/>
        <w:ind w:firstLine="480" w:firstLineChars="200"/>
        <w:rPr>
          <w:rFonts w:ascii="宋体" w:hAnsi="宋体" w:eastAsia="宋体" w:cs="宋体"/>
          <w:color w:val="auto"/>
          <w:sz w:val="24"/>
          <w:szCs w:val="24"/>
          <w:highlight w:val="none"/>
        </w:rPr>
      </w:pPr>
      <w:bookmarkStart w:id="244" w:name="_Toc3352"/>
      <w:r>
        <w:rPr>
          <w:rFonts w:hint="eastAsia" w:ascii="宋体" w:hAnsi="宋体" w:eastAsia="宋体" w:cs="宋体"/>
          <w:color w:val="auto"/>
          <w:sz w:val="24"/>
          <w:szCs w:val="24"/>
          <w:highlight w:val="none"/>
        </w:rPr>
        <w:t>二、(事项二)</w:t>
      </w:r>
      <w:bookmarkEnd w:id="244"/>
    </w:p>
    <w:p w14:paraId="52740E63">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7563F451">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随附相关证明材料如下： </w:t>
      </w:r>
    </w:p>
    <w:p w14:paraId="4A74FCA4">
      <w:pPr>
        <w:spacing w:line="440" w:lineRule="exact"/>
        <w:ind w:firstLine="4228" w:firstLineChars="1762"/>
        <w:rPr>
          <w:rFonts w:ascii="宋体" w:hAnsi="宋体" w:eastAsia="宋体" w:cs="宋体"/>
          <w:color w:val="auto"/>
          <w:sz w:val="24"/>
          <w:highlight w:val="none"/>
          <w:u w:val="singl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u w:val="single"/>
        </w:rPr>
        <w:t xml:space="preserve">              </w:t>
      </w:r>
    </w:p>
    <w:p w14:paraId="5E839648">
      <w:pPr>
        <w:spacing w:line="440" w:lineRule="exact"/>
        <w:ind w:firstLine="4228" w:firstLineChars="1762"/>
        <w:rPr>
          <w:rFonts w:ascii="宋体" w:hAnsi="宋体" w:eastAsia="宋体" w:cs="宋体"/>
          <w:color w:val="auto"/>
          <w:sz w:val="24"/>
          <w:highlight w:val="none"/>
          <w:u w:val="singl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rPr>
        <w:t xml:space="preserve">              </w:t>
      </w:r>
    </w:p>
    <w:p w14:paraId="2C4960D9">
      <w:pPr>
        <w:tabs>
          <w:tab w:val="left" w:pos="630"/>
        </w:tabs>
        <w:spacing w:line="440" w:lineRule="exact"/>
        <w:ind w:firstLine="4228" w:firstLineChars="1762"/>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C157BC1">
      <w:pPr>
        <w:spacing w:line="440" w:lineRule="exact"/>
        <w:rPr>
          <w:rFonts w:ascii="宋体" w:hAnsi="宋体" w:eastAsia="宋体" w:cs="宋体"/>
          <w:b/>
          <w:bCs/>
          <w:color w:val="auto"/>
          <w:sz w:val="32"/>
          <w:szCs w:val="44"/>
          <w:highlight w:val="none"/>
        </w:rPr>
      </w:pPr>
      <w:r>
        <w:rPr>
          <w:rFonts w:hint="eastAsia" w:ascii="宋体" w:hAnsi="宋体" w:eastAsia="宋体" w:cs="宋体"/>
          <w:b/>
          <w:bCs/>
          <w:color w:val="auto"/>
          <w:sz w:val="32"/>
          <w:szCs w:val="44"/>
          <w:highlight w:val="none"/>
        </w:rPr>
        <w:br w:type="page"/>
      </w:r>
    </w:p>
    <w:p w14:paraId="1B26BF53">
      <w:pPr>
        <w:spacing w:line="440" w:lineRule="exact"/>
        <w:jc w:val="center"/>
        <w:outlineLvl w:val="1"/>
        <w:rPr>
          <w:rFonts w:ascii="宋体" w:hAnsi="宋体" w:eastAsia="宋体" w:cs="宋体"/>
          <w:b/>
          <w:bCs/>
          <w:color w:val="auto"/>
          <w:sz w:val="32"/>
          <w:szCs w:val="44"/>
          <w:highlight w:val="none"/>
        </w:rPr>
      </w:pPr>
      <w:bookmarkStart w:id="245" w:name="_Toc4232"/>
      <w:bookmarkStart w:id="246" w:name="_Toc857"/>
      <w:bookmarkStart w:id="247" w:name="_Toc1575"/>
      <w:r>
        <w:rPr>
          <w:rFonts w:hint="eastAsia" w:ascii="宋体" w:hAnsi="宋体" w:eastAsia="宋体" w:cs="宋体"/>
          <w:b/>
          <w:bCs/>
          <w:color w:val="auto"/>
          <w:sz w:val="32"/>
          <w:szCs w:val="44"/>
          <w:highlight w:val="none"/>
        </w:rPr>
        <w:t>质疑函范本</w:t>
      </w:r>
      <w:bookmarkEnd w:id="245"/>
      <w:bookmarkEnd w:id="246"/>
      <w:bookmarkEnd w:id="247"/>
    </w:p>
    <w:p w14:paraId="15DC592D">
      <w:pPr>
        <w:adjustRightInd w:val="0"/>
        <w:snapToGrid w:val="0"/>
        <w:spacing w:before="312" w:beforeLines="100" w:line="440" w:lineRule="exact"/>
        <w:rPr>
          <w:rFonts w:ascii="宋体" w:hAnsi="宋体" w:eastAsia="宋体" w:cs="宋体"/>
          <w:b/>
          <w:bCs/>
          <w:color w:val="auto"/>
          <w:sz w:val="24"/>
          <w:szCs w:val="24"/>
          <w:highlight w:val="none"/>
        </w:rPr>
      </w:pPr>
      <w:bookmarkStart w:id="248" w:name="_Toc21381"/>
      <w:r>
        <w:rPr>
          <w:rFonts w:hint="eastAsia" w:ascii="宋体" w:hAnsi="宋体" w:eastAsia="宋体" w:cs="宋体"/>
          <w:b/>
          <w:bCs/>
          <w:color w:val="auto"/>
          <w:sz w:val="24"/>
          <w:szCs w:val="24"/>
          <w:highlight w:val="none"/>
        </w:rPr>
        <w:t>一、质疑供应商基本信息</w:t>
      </w:r>
      <w:bookmarkEnd w:id="248"/>
    </w:p>
    <w:p w14:paraId="35CC3AE9">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14:paraId="7887EC98">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16A7B356">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3FFFBE74">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14:paraId="749490DB">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63964688">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046EB360">
      <w:pPr>
        <w:adjustRightInd w:val="0"/>
        <w:snapToGrid w:val="0"/>
        <w:spacing w:line="440" w:lineRule="exact"/>
        <w:rPr>
          <w:rFonts w:ascii="宋体" w:hAnsi="宋体" w:eastAsia="宋体" w:cs="宋体"/>
          <w:b/>
          <w:bCs/>
          <w:color w:val="auto"/>
          <w:sz w:val="24"/>
          <w:szCs w:val="24"/>
          <w:highlight w:val="none"/>
        </w:rPr>
      </w:pPr>
      <w:bookmarkStart w:id="249" w:name="_Toc28415"/>
      <w:r>
        <w:rPr>
          <w:rFonts w:hint="eastAsia" w:ascii="宋体" w:hAnsi="宋体" w:eastAsia="宋体" w:cs="宋体"/>
          <w:b/>
          <w:bCs/>
          <w:color w:val="auto"/>
          <w:sz w:val="24"/>
          <w:szCs w:val="24"/>
          <w:highlight w:val="none"/>
        </w:rPr>
        <w:t>二、质疑项目基本情况</w:t>
      </w:r>
      <w:bookmarkEnd w:id="249"/>
    </w:p>
    <w:p w14:paraId="7ED80AD8">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14:paraId="18F9A7CA">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421FE48D">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p>
    <w:p w14:paraId="0F1FDA12">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采购文件获取日期：</w:t>
      </w:r>
      <w:r>
        <w:rPr>
          <w:rFonts w:hint="eastAsia" w:ascii="宋体" w:hAnsi="宋体" w:eastAsia="宋体" w:cs="宋体"/>
          <w:color w:val="auto"/>
          <w:sz w:val="24"/>
          <w:szCs w:val="24"/>
          <w:highlight w:val="none"/>
          <w:u w:val="dotted"/>
        </w:rPr>
        <w:t xml:space="preserve">                                           </w:t>
      </w:r>
    </w:p>
    <w:p w14:paraId="6AA3D335">
      <w:pPr>
        <w:adjustRightInd w:val="0"/>
        <w:snapToGrid w:val="0"/>
        <w:spacing w:line="440" w:lineRule="exact"/>
        <w:rPr>
          <w:rFonts w:ascii="宋体" w:hAnsi="宋体" w:eastAsia="宋体" w:cs="宋体"/>
          <w:b/>
          <w:bCs/>
          <w:color w:val="auto"/>
          <w:sz w:val="24"/>
          <w:szCs w:val="24"/>
          <w:highlight w:val="none"/>
        </w:rPr>
      </w:pPr>
      <w:bookmarkStart w:id="250" w:name="_Toc19014"/>
      <w:r>
        <w:rPr>
          <w:rFonts w:hint="eastAsia" w:ascii="宋体" w:hAnsi="宋体" w:eastAsia="宋体" w:cs="宋体"/>
          <w:b/>
          <w:bCs/>
          <w:color w:val="auto"/>
          <w:sz w:val="24"/>
          <w:szCs w:val="24"/>
          <w:highlight w:val="none"/>
        </w:rPr>
        <w:t>三、质疑事项具体内容</w:t>
      </w:r>
      <w:bookmarkEnd w:id="250"/>
    </w:p>
    <w:p w14:paraId="73514C27">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14:paraId="1F13D323">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2DAC4AC6">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14:paraId="0C21D1EF">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02DE52D6">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7DB32011">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43155FCC">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418977A8">
      <w:pPr>
        <w:adjustRightInd w:val="0"/>
        <w:snapToGrid w:val="0"/>
        <w:spacing w:line="440" w:lineRule="exact"/>
        <w:rPr>
          <w:rFonts w:ascii="宋体" w:hAnsi="宋体" w:eastAsia="宋体" w:cs="宋体"/>
          <w:b/>
          <w:bCs/>
          <w:color w:val="auto"/>
          <w:sz w:val="24"/>
          <w:szCs w:val="24"/>
          <w:highlight w:val="none"/>
        </w:rPr>
      </w:pPr>
      <w:bookmarkStart w:id="251" w:name="_Toc17919"/>
      <w:r>
        <w:rPr>
          <w:rFonts w:hint="eastAsia" w:ascii="宋体" w:hAnsi="宋体" w:eastAsia="宋体" w:cs="宋体"/>
          <w:b/>
          <w:bCs/>
          <w:color w:val="auto"/>
          <w:sz w:val="24"/>
          <w:szCs w:val="24"/>
          <w:highlight w:val="none"/>
        </w:rPr>
        <w:t>四、与质疑事项相关的质疑请求</w:t>
      </w:r>
      <w:bookmarkEnd w:id="251"/>
    </w:p>
    <w:p w14:paraId="709BE5D7">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14:paraId="6AF5832F">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25BCD52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2837992D">
      <w:pPr>
        <w:widowControl/>
        <w:spacing w:line="440" w:lineRule="exact"/>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6530D665">
      <w:pPr>
        <w:spacing w:line="440" w:lineRule="exact"/>
        <w:outlineLvl w:val="0"/>
        <w:rPr>
          <w:rFonts w:ascii="宋体" w:hAnsi="宋体" w:eastAsia="宋体" w:cs="宋体"/>
          <w:b/>
          <w:color w:val="auto"/>
          <w:sz w:val="28"/>
          <w:szCs w:val="32"/>
          <w:highlight w:val="none"/>
        </w:rPr>
      </w:pPr>
      <w:bookmarkStart w:id="252" w:name="_Toc9754"/>
      <w:bookmarkStart w:id="253" w:name="_Toc22239"/>
      <w:bookmarkStart w:id="254" w:name="_Toc2627"/>
      <w:r>
        <w:rPr>
          <w:rFonts w:hint="eastAsia" w:ascii="宋体" w:hAnsi="宋体" w:eastAsia="宋体" w:cs="宋体"/>
          <w:b/>
          <w:color w:val="auto"/>
          <w:sz w:val="28"/>
          <w:szCs w:val="32"/>
          <w:highlight w:val="none"/>
        </w:rPr>
        <w:t>质疑函制作说明：</w:t>
      </w:r>
      <w:bookmarkEnd w:id="252"/>
      <w:bookmarkEnd w:id="253"/>
      <w:bookmarkEnd w:id="254"/>
    </w:p>
    <w:p w14:paraId="0477872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2196CC4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579576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1D6F692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5865E7D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655503A1">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6F7A392F">
      <w:pPr>
        <w:spacing w:line="440" w:lineRule="exact"/>
        <w:ind w:firstLine="435"/>
        <w:rPr>
          <w:rFonts w:hint="eastAsia" w:ascii="宋体" w:hAnsi="宋体" w:eastAsia="宋体" w:cs="宋体"/>
          <w:color w:val="auto"/>
          <w:sz w:val="24"/>
          <w:highlight w:val="none"/>
        </w:rPr>
      </w:pPr>
    </w:p>
    <w:p w14:paraId="2D3E6CF3">
      <w:pPr>
        <w:spacing w:line="440" w:lineRule="exact"/>
        <w:ind w:firstLine="435"/>
        <w:rPr>
          <w:rFonts w:hint="eastAsia" w:ascii="宋体" w:hAnsi="宋体" w:eastAsia="宋体" w:cs="宋体"/>
          <w:color w:val="auto"/>
          <w:sz w:val="24"/>
          <w:highlight w:val="none"/>
        </w:rPr>
      </w:pPr>
    </w:p>
    <w:p w14:paraId="0DC04C6B">
      <w:pPr>
        <w:spacing w:line="440" w:lineRule="exact"/>
        <w:ind w:firstLine="435"/>
        <w:rPr>
          <w:rFonts w:hint="eastAsia" w:ascii="宋体" w:hAnsi="宋体" w:eastAsia="宋体" w:cs="宋体"/>
          <w:color w:val="auto"/>
          <w:sz w:val="24"/>
          <w:highlight w:val="none"/>
        </w:rPr>
      </w:pPr>
    </w:p>
    <w:p w14:paraId="172FE15F">
      <w:pPr>
        <w:spacing w:line="440" w:lineRule="exact"/>
        <w:ind w:firstLine="435"/>
        <w:rPr>
          <w:rFonts w:hint="eastAsia" w:ascii="宋体" w:hAnsi="宋体" w:eastAsia="宋体" w:cs="宋体"/>
          <w:color w:val="auto"/>
          <w:sz w:val="24"/>
          <w:highlight w:val="none"/>
        </w:rPr>
      </w:pPr>
    </w:p>
    <w:p w14:paraId="0BD3DDC3">
      <w:pPr>
        <w:spacing w:line="440" w:lineRule="exact"/>
        <w:ind w:firstLine="435"/>
        <w:rPr>
          <w:rFonts w:hint="eastAsia" w:ascii="宋体" w:hAnsi="宋体" w:eastAsia="宋体" w:cs="宋体"/>
          <w:color w:val="auto"/>
          <w:sz w:val="24"/>
          <w:highlight w:val="none"/>
        </w:rPr>
      </w:pPr>
    </w:p>
    <w:p w14:paraId="4B32EE78">
      <w:pPr>
        <w:spacing w:line="440" w:lineRule="exact"/>
        <w:ind w:firstLine="435"/>
        <w:rPr>
          <w:rFonts w:hint="eastAsia" w:ascii="宋体" w:hAnsi="宋体" w:eastAsia="宋体" w:cs="宋体"/>
          <w:color w:val="auto"/>
          <w:sz w:val="24"/>
          <w:highlight w:val="none"/>
        </w:rPr>
      </w:pPr>
    </w:p>
    <w:p w14:paraId="0F822AF8">
      <w:pPr>
        <w:spacing w:line="440" w:lineRule="exact"/>
        <w:ind w:firstLine="435"/>
        <w:rPr>
          <w:rFonts w:hint="eastAsia" w:ascii="宋体" w:hAnsi="宋体" w:eastAsia="宋体" w:cs="宋体"/>
          <w:color w:val="auto"/>
          <w:sz w:val="24"/>
          <w:highlight w:val="none"/>
        </w:rPr>
      </w:pPr>
    </w:p>
    <w:p w14:paraId="00299882">
      <w:pPr>
        <w:spacing w:line="440" w:lineRule="exact"/>
        <w:ind w:firstLine="435"/>
        <w:rPr>
          <w:rFonts w:hint="eastAsia" w:ascii="宋体" w:hAnsi="宋体" w:eastAsia="宋体" w:cs="宋体"/>
          <w:color w:val="auto"/>
          <w:sz w:val="24"/>
          <w:highlight w:val="none"/>
        </w:rPr>
      </w:pPr>
    </w:p>
    <w:p w14:paraId="6EE120DB">
      <w:pPr>
        <w:spacing w:line="440" w:lineRule="exact"/>
        <w:ind w:firstLine="435"/>
        <w:rPr>
          <w:rFonts w:hint="eastAsia" w:ascii="宋体" w:hAnsi="宋体" w:eastAsia="宋体" w:cs="宋体"/>
          <w:color w:val="auto"/>
          <w:sz w:val="24"/>
          <w:highlight w:val="none"/>
        </w:rPr>
      </w:pPr>
    </w:p>
    <w:p w14:paraId="226CCDC8">
      <w:pPr>
        <w:spacing w:line="440" w:lineRule="exact"/>
        <w:ind w:firstLine="435"/>
        <w:rPr>
          <w:rFonts w:hint="eastAsia" w:ascii="宋体" w:hAnsi="宋体" w:eastAsia="宋体" w:cs="宋体"/>
          <w:color w:val="auto"/>
          <w:sz w:val="24"/>
          <w:highlight w:val="none"/>
        </w:rPr>
      </w:pPr>
    </w:p>
    <w:p w14:paraId="6290137B">
      <w:pPr>
        <w:spacing w:line="440" w:lineRule="exact"/>
        <w:ind w:firstLine="435"/>
        <w:rPr>
          <w:rFonts w:hint="eastAsia" w:ascii="宋体" w:hAnsi="宋体" w:eastAsia="宋体" w:cs="宋体"/>
          <w:color w:val="auto"/>
          <w:sz w:val="24"/>
          <w:highlight w:val="none"/>
        </w:rPr>
      </w:pPr>
    </w:p>
    <w:p w14:paraId="69F59F53">
      <w:pPr>
        <w:spacing w:line="440" w:lineRule="exact"/>
        <w:ind w:firstLine="435"/>
        <w:rPr>
          <w:rFonts w:hint="eastAsia" w:ascii="宋体" w:hAnsi="宋体" w:eastAsia="宋体" w:cs="宋体"/>
          <w:color w:val="auto"/>
          <w:sz w:val="24"/>
          <w:highlight w:val="none"/>
        </w:rPr>
      </w:pPr>
    </w:p>
    <w:p w14:paraId="5F987557">
      <w:pPr>
        <w:spacing w:line="440" w:lineRule="exact"/>
        <w:ind w:firstLine="435"/>
        <w:rPr>
          <w:rFonts w:hint="eastAsia" w:ascii="宋体" w:hAnsi="宋体" w:eastAsia="宋体" w:cs="宋体"/>
          <w:color w:val="auto"/>
          <w:sz w:val="24"/>
          <w:highlight w:val="none"/>
        </w:rPr>
      </w:pPr>
    </w:p>
    <w:p w14:paraId="6F9D9537">
      <w:pPr>
        <w:spacing w:line="440" w:lineRule="exact"/>
        <w:ind w:firstLine="435"/>
        <w:rPr>
          <w:rFonts w:hint="eastAsia" w:ascii="宋体" w:hAnsi="宋体" w:eastAsia="宋体" w:cs="宋体"/>
          <w:color w:val="auto"/>
          <w:sz w:val="24"/>
          <w:highlight w:val="none"/>
        </w:rPr>
      </w:pPr>
    </w:p>
    <w:p w14:paraId="1366FE84">
      <w:pPr>
        <w:spacing w:line="440" w:lineRule="exact"/>
        <w:ind w:firstLine="435"/>
        <w:rPr>
          <w:rFonts w:hint="eastAsia" w:ascii="宋体" w:hAnsi="宋体" w:eastAsia="宋体" w:cs="宋体"/>
          <w:color w:val="auto"/>
          <w:sz w:val="24"/>
          <w:highlight w:val="none"/>
        </w:rPr>
      </w:pPr>
    </w:p>
    <w:p w14:paraId="6B28518A">
      <w:pPr>
        <w:rPr>
          <w:rFonts w:hint="eastAsia"/>
          <w:color w:val="auto"/>
          <w:highlight w:val="none"/>
        </w:rPr>
      </w:pPr>
      <w:bookmarkStart w:id="255" w:name="OLE_LINK25"/>
      <w:bookmarkStart w:id="256" w:name="OLE_LINK24"/>
      <w:bookmarkStart w:id="257" w:name="OLE_LINK7"/>
    </w:p>
    <w:p w14:paraId="60374890">
      <w:pPr>
        <w:rPr>
          <w:rFonts w:hint="eastAsia"/>
          <w:color w:val="auto"/>
          <w:highlight w:val="none"/>
        </w:rPr>
      </w:pPr>
    </w:p>
    <w:p w14:paraId="1E6FD7E9">
      <w:pPr>
        <w:rPr>
          <w:rFonts w:hint="eastAsia"/>
          <w:color w:val="auto"/>
          <w:highlight w:val="none"/>
        </w:rPr>
      </w:pPr>
    </w:p>
    <w:p w14:paraId="38712A2B">
      <w:pPr>
        <w:rPr>
          <w:rFonts w:hint="eastAsia"/>
          <w:color w:val="auto"/>
          <w:highlight w:val="none"/>
        </w:rPr>
      </w:pPr>
    </w:p>
    <w:p w14:paraId="67D08E0E">
      <w:pPr>
        <w:rPr>
          <w:rFonts w:hint="eastAsia"/>
          <w:color w:val="auto"/>
          <w:highlight w:val="none"/>
        </w:rPr>
      </w:pPr>
    </w:p>
    <w:p w14:paraId="1BDAD569">
      <w:pPr>
        <w:rPr>
          <w:rFonts w:hint="eastAsia"/>
          <w:color w:val="auto"/>
          <w:highlight w:val="none"/>
        </w:rPr>
      </w:pPr>
    </w:p>
    <w:bookmarkEnd w:id="255"/>
    <w:bookmarkEnd w:id="256"/>
    <w:bookmarkEnd w:id="257"/>
    <w:p w14:paraId="455967A7">
      <w:pPr>
        <w:spacing w:line="440" w:lineRule="exact"/>
        <w:ind w:firstLine="435"/>
        <w:rPr>
          <w:rFonts w:ascii="宋体" w:hAnsi="宋体" w:eastAsia="宋体" w:cs="宋体"/>
          <w:color w:val="auto"/>
          <w:sz w:val="24"/>
          <w:highlight w:val="none"/>
        </w:rPr>
      </w:pPr>
    </w:p>
    <w:sectPr>
      <w:headerReference r:id="rId6" w:type="default"/>
      <w:footerReference r:id="rId7" w:type="default"/>
      <w:pgSz w:w="11905" w:h="16838"/>
      <w:pgMar w:top="1417" w:right="1417" w:bottom="1417" w:left="1417" w:header="850" w:footer="992" w:gutter="0"/>
      <w:pgNumType w:fmt="decimal" w:start="1"/>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99778">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8A72B">
    <w:pPr>
      <w:pStyle w:val="18"/>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93EDF">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4BA40">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64BA40">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4DBE">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p w14:paraId="37EAE28A">
    <w:pPr>
      <w:pStyle w:val="19"/>
      <w:pBdr>
        <w:bottom w:val="none" w:color="auto" w:sz="0" w:space="1"/>
      </w:pBdr>
      <w:jc w:val="left"/>
      <w:rPr>
        <w:rFonts w:asciiTheme="minorEastAsia" w:hAnsiTheme="minorEastAsia" w:eastAsia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D63">
    <w:pPr>
      <w:pStyle w:val="19"/>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2D887"/>
    <w:multiLevelType w:val="singleLevel"/>
    <w:tmpl w:val="9F92D887"/>
    <w:lvl w:ilvl="0" w:tentative="0">
      <w:start w:val="3"/>
      <w:numFmt w:val="chineseCounting"/>
      <w:suff w:val="nothing"/>
      <w:lvlText w:val="%1、"/>
      <w:lvlJc w:val="left"/>
      <w:rPr>
        <w:rFonts w:hint="eastAsia"/>
      </w:rPr>
    </w:lvl>
  </w:abstractNum>
  <w:abstractNum w:abstractNumId="1">
    <w:nsid w:val="E8226782"/>
    <w:multiLevelType w:val="singleLevel"/>
    <w:tmpl w:val="E8226782"/>
    <w:lvl w:ilvl="0" w:tentative="0">
      <w:start w:val="1"/>
      <w:numFmt w:val="decimal"/>
      <w:suff w:val="nothing"/>
      <w:lvlText w:val="%1、"/>
      <w:lvlJc w:val="left"/>
    </w:lvl>
  </w:abstractNum>
  <w:abstractNum w:abstractNumId="2">
    <w:nsid w:val="0000000C"/>
    <w:multiLevelType w:val="multilevel"/>
    <w:tmpl w:val="0000000C"/>
    <w:lvl w:ilvl="0" w:tentative="0">
      <w:start w:val="1"/>
      <w:numFmt w:val="chineseCountingThousand"/>
      <w:pStyle w:val="26"/>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819BC0"/>
    <w:multiLevelType w:val="singleLevel"/>
    <w:tmpl w:val="1F819BC0"/>
    <w:lvl w:ilvl="0" w:tentative="0">
      <w:start w:val="1"/>
      <w:numFmt w:val="decimal"/>
      <w:lvlText w:val="%1."/>
      <w:lvlJc w:val="left"/>
      <w:pPr>
        <w:tabs>
          <w:tab w:val="left" w:pos="312"/>
        </w:tabs>
      </w:pPr>
    </w:lvl>
  </w:abstractNum>
  <w:abstractNum w:abstractNumId="4">
    <w:nsid w:val="2A064A37"/>
    <w:multiLevelType w:val="singleLevel"/>
    <w:tmpl w:val="2A064A37"/>
    <w:lvl w:ilvl="0" w:tentative="0">
      <w:start w:val="3"/>
      <w:numFmt w:val="chineseCounting"/>
      <w:suff w:val="space"/>
      <w:lvlText w:val="第%1章"/>
      <w:lvlJc w:val="left"/>
      <w:rPr>
        <w:rFonts w:hint="eastAsia"/>
      </w:rPr>
    </w:lvl>
  </w:abstractNum>
  <w:abstractNum w:abstractNumId="5">
    <w:nsid w:val="39442EAC"/>
    <w:multiLevelType w:val="singleLevel"/>
    <w:tmpl w:val="39442EAC"/>
    <w:lvl w:ilvl="0" w:tentative="0">
      <w:start w:val="1"/>
      <w:numFmt w:val="decimal"/>
      <w:suff w:val="nothing"/>
      <w:lvlText w:val="（%1）"/>
      <w:lvlJc w:val="left"/>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D7404"/>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546"/>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1695E"/>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668E"/>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679A1"/>
    <w:rsid w:val="009701DC"/>
    <w:rsid w:val="009715D8"/>
    <w:rsid w:val="0097649F"/>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117EA"/>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6606E"/>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30D5"/>
    <w:rsid w:val="00C35561"/>
    <w:rsid w:val="00C4202A"/>
    <w:rsid w:val="00C4211F"/>
    <w:rsid w:val="00C46A36"/>
    <w:rsid w:val="00C47037"/>
    <w:rsid w:val="00C51AE3"/>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17C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34106F"/>
    <w:rsid w:val="01A12229"/>
    <w:rsid w:val="01D11354"/>
    <w:rsid w:val="01D45E49"/>
    <w:rsid w:val="0214602E"/>
    <w:rsid w:val="029A323E"/>
    <w:rsid w:val="029D518A"/>
    <w:rsid w:val="02F81730"/>
    <w:rsid w:val="03486B27"/>
    <w:rsid w:val="03B375A3"/>
    <w:rsid w:val="040A094E"/>
    <w:rsid w:val="04E36C96"/>
    <w:rsid w:val="053814D9"/>
    <w:rsid w:val="056800F4"/>
    <w:rsid w:val="056F201D"/>
    <w:rsid w:val="05B664D4"/>
    <w:rsid w:val="05FB6A6A"/>
    <w:rsid w:val="062D3EC0"/>
    <w:rsid w:val="064150FE"/>
    <w:rsid w:val="07076C01"/>
    <w:rsid w:val="071C12AC"/>
    <w:rsid w:val="074E231E"/>
    <w:rsid w:val="075655D0"/>
    <w:rsid w:val="07A934B3"/>
    <w:rsid w:val="0875502E"/>
    <w:rsid w:val="08B15E54"/>
    <w:rsid w:val="09523172"/>
    <w:rsid w:val="0980799C"/>
    <w:rsid w:val="09963808"/>
    <w:rsid w:val="0A0F6376"/>
    <w:rsid w:val="0A353CEA"/>
    <w:rsid w:val="0A6A18DB"/>
    <w:rsid w:val="0AEF3828"/>
    <w:rsid w:val="0BBB665B"/>
    <w:rsid w:val="0C896324"/>
    <w:rsid w:val="0CB7664E"/>
    <w:rsid w:val="0CDB6FDB"/>
    <w:rsid w:val="0D317716"/>
    <w:rsid w:val="0E621AC6"/>
    <w:rsid w:val="0E816EC5"/>
    <w:rsid w:val="0EEA6FC1"/>
    <w:rsid w:val="0F954485"/>
    <w:rsid w:val="0FAF6340"/>
    <w:rsid w:val="0FB63A2F"/>
    <w:rsid w:val="0FBF344F"/>
    <w:rsid w:val="0FE73DD3"/>
    <w:rsid w:val="10505F32"/>
    <w:rsid w:val="105A27E6"/>
    <w:rsid w:val="10635C65"/>
    <w:rsid w:val="1143223B"/>
    <w:rsid w:val="119B0711"/>
    <w:rsid w:val="12197477"/>
    <w:rsid w:val="12BE27B4"/>
    <w:rsid w:val="130B22B2"/>
    <w:rsid w:val="132E0DA8"/>
    <w:rsid w:val="13587E2C"/>
    <w:rsid w:val="13CE7899"/>
    <w:rsid w:val="13E82EB6"/>
    <w:rsid w:val="140D4952"/>
    <w:rsid w:val="141D7BEE"/>
    <w:rsid w:val="1466407E"/>
    <w:rsid w:val="14834E28"/>
    <w:rsid w:val="148E7D65"/>
    <w:rsid w:val="151D4243"/>
    <w:rsid w:val="15231BF9"/>
    <w:rsid w:val="154643A5"/>
    <w:rsid w:val="1590464C"/>
    <w:rsid w:val="179F5278"/>
    <w:rsid w:val="180712E0"/>
    <w:rsid w:val="187E27B0"/>
    <w:rsid w:val="199316DA"/>
    <w:rsid w:val="19E46234"/>
    <w:rsid w:val="1A2D3F82"/>
    <w:rsid w:val="1A3B68AA"/>
    <w:rsid w:val="1A3E1C1E"/>
    <w:rsid w:val="1A421543"/>
    <w:rsid w:val="1A5D65DB"/>
    <w:rsid w:val="1C074BB1"/>
    <w:rsid w:val="1C141836"/>
    <w:rsid w:val="1CA84E54"/>
    <w:rsid w:val="1D8C6075"/>
    <w:rsid w:val="1E6B6A14"/>
    <w:rsid w:val="1EB21086"/>
    <w:rsid w:val="1F427A37"/>
    <w:rsid w:val="1FF06854"/>
    <w:rsid w:val="20550D9A"/>
    <w:rsid w:val="21714B53"/>
    <w:rsid w:val="218E2416"/>
    <w:rsid w:val="22230105"/>
    <w:rsid w:val="22574D18"/>
    <w:rsid w:val="226915FE"/>
    <w:rsid w:val="22DB21F2"/>
    <w:rsid w:val="22E14C32"/>
    <w:rsid w:val="24B97929"/>
    <w:rsid w:val="2520252D"/>
    <w:rsid w:val="25AD2E5D"/>
    <w:rsid w:val="26163BC1"/>
    <w:rsid w:val="26B26E88"/>
    <w:rsid w:val="26F12F1E"/>
    <w:rsid w:val="27BB0F9C"/>
    <w:rsid w:val="285F40CA"/>
    <w:rsid w:val="28C01ECB"/>
    <w:rsid w:val="28EC3ECC"/>
    <w:rsid w:val="293D30D7"/>
    <w:rsid w:val="298855DE"/>
    <w:rsid w:val="29BF71E3"/>
    <w:rsid w:val="2A127B63"/>
    <w:rsid w:val="2A3D2278"/>
    <w:rsid w:val="2A9B4335"/>
    <w:rsid w:val="2AAA4765"/>
    <w:rsid w:val="2AC21606"/>
    <w:rsid w:val="2AF63C5E"/>
    <w:rsid w:val="2B7E7608"/>
    <w:rsid w:val="2B7F04E9"/>
    <w:rsid w:val="2BC67260"/>
    <w:rsid w:val="2C305555"/>
    <w:rsid w:val="2C9A21B9"/>
    <w:rsid w:val="2CE20523"/>
    <w:rsid w:val="2D3B69F6"/>
    <w:rsid w:val="2D496D68"/>
    <w:rsid w:val="2D7050C6"/>
    <w:rsid w:val="2D79508C"/>
    <w:rsid w:val="2DDD0E97"/>
    <w:rsid w:val="2E46293F"/>
    <w:rsid w:val="2E6672CB"/>
    <w:rsid w:val="2E7A48DE"/>
    <w:rsid w:val="2EDC3ED8"/>
    <w:rsid w:val="2F2D046C"/>
    <w:rsid w:val="2F6351B4"/>
    <w:rsid w:val="2FCF199E"/>
    <w:rsid w:val="301D1F6F"/>
    <w:rsid w:val="30483E83"/>
    <w:rsid w:val="309E7FC3"/>
    <w:rsid w:val="30AA0E97"/>
    <w:rsid w:val="31015251"/>
    <w:rsid w:val="32820181"/>
    <w:rsid w:val="32CD7A3A"/>
    <w:rsid w:val="32FE73A3"/>
    <w:rsid w:val="334E4CD8"/>
    <w:rsid w:val="343C0775"/>
    <w:rsid w:val="34AA76A9"/>
    <w:rsid w:val="356C50EC"/>
    <w:rsid w:val="35A61FCC"/>
    <w:rsid w:val="361108CD"/>
    <w:rsid w:val="367C5511"/>
    <w:rsid w:val="36BF486C"/>
    <w:rsid w:val="36FC6885"/>
    <w:rsid w:val="3700166C"/>
    <w:rsid w:val="3727617F"/>
    <w:rsid w:val="375969FE"/>
    <w:rsid w:val="376375A7"/>
    <w:rsid w:val="377F9CB1"/>
    <w:rsid w:val="37A96328"/>
    <w:rsid w:val="37CA01F4"/>
    <w:rsid w:val="381755BC"/>
    <w:rsid w:val="38694EE9"/>
    <w:rsid w:val="38BE15C5"/>
    <w:rsid w:val="3958538C"/>
    <w:rsid w:val="3AB60810"/>
    <w:rsid w:val="3B365CC9"/>
    <w:rsid w:val="3B9A7B88"/>
    <w:rsid w:val="3BC114FF"/>
    <w:rsid w:val="3C2660C6"/>
    <w:rsid w:val="3C2C5CCA"/>
    <w:rsid w:val="3CA8600C"/>
    <w:rsid w:val="3D0E5EC3"/>
    <w:rsid w:val="3D2C7AC8"/>
    <w:rsid w:val="3D855D12"/>
    <w:rsid w:val="3D8B42FF"/>
    <w:rsid w:val="3D8C02DD"/>
    <w:rsid w:val="3DC20089"/>
    <w:rsid w:val="3DF36A6E"/>
    <w:rsid w:val="3F1138E1"/>
    <w:rsid w:val="3F792F1E"/>
    <w:rsid w:val="40490124"/>
    <w:rsid w:val="407A0C30"/>
    <w:rsid w:val="40824826"/>
    <w:rsid w:val="40E63923"/>
    <w:rsid w:val="42B443F4"/>
    <w:rsid w:val="42F43FD4"/>
    <w:rsid w:val="43A91E5B"/>
    <w:rsid w:val="44BC3308"/>
    <w:rsid w:val="45BA48DB"/>
    <w:rsid w:val="463A3650"/>
    <w:rsid w:val="464F1EB3"/>
    <w:rsid w:val="469F0116"/>
    <w:rsid w:val="4721358B"/>
    <w:rsid w:val="475259B7"/>
    <w:rsid w:val="478D252F"/>
    <w:rsid w:val="487A0520"/>
    <w:rsid w:val="48831CF9"/>
    <w:rsid w:val="491713A0"/>
    <w:rsid w:val="49A165B8"/>
    <w:rsid w:val="49B1408D"/>
    <w:rsid w:val="4A7C5BA6"/>
    <w:rsid w:val="4A7D4FD2"/>
    <w:rsid w:val="4A89557F"/>
    <w:rsid w:val="4A913C9A"/>
    <w:rsid w:val="4ACC05C3"/>
    <w:rsid w:val="4AE22D2F"/>
    <w:rsid w:val="4B1F70AC"/>
    <w:rsid w:val="4B240F94"/>
    <w:rsid w:val="4B342592"/>
    <w:rsid w:val="4B386AE5"/>
    <w:rsid w:val="4BA75287"/>
    <w:rsid w:val="4BAD0FCB"/>
    <w:rsid w:val="4BED70D6"/>
    <w:rsid w:val="4BEFD602"/>
    <w:rsid w:val="4C3C565C"/>
    <w:rsid w:val="4C9D6703"/>
    <w:rsid w:val="4CCC79C7"/>
    <w:rsid w:val="4D6C5E8D"/>
    <w:rsid w:val="4D7555C7"/>
    <w:rsid w:val="4DBF8A7C"/>
    <w:rsid w:val="4EAE6DA0"/>
    <w:rsid w:val="4FB505E5"/>
    <w:rsid w:val="4FBF4192"/>
    <w:rsid w:val="4FD037EF"/>
    <w:rsid w:val="5016514B"/>
    <w:rsid w:val="502857C7"/>
    <w:rsid w:val="50476D3D"/>
    <w:rsid w:val="511659A4"/>
    <w:rsid w:val="51CB1C78"/>
    <w:rsid w:val="51F82ECA"/>
    <w:rsid w:val="51FD6A51"/>
    <w:rsid w:val="526B680A"/>
    <w:rsid w:val="5281669A"/>
    <w:rsid w:val="52B075F3"/>
    <w:rsid w:val="52D92118"/>
    <w:rsid w:val="53150D15"/>
    <w:rsid w:val="5352083E"/>
    <w:rsid w:val="541A5D30"/>
    <w:rsid w:val="553E632F"/>
    <w:rsid w:val="55800ED8"/>
    <w:rsid w:val="55E360D5"/>
    <w:rsid w:val="55F068CD"/>
    <w:rsid w:val="566C3136"/>
    <w:rsid w:val="568D04F2"/>
    <w:rsid w:val="5776D6E2"/>
    <w:rsid w:val="588D6DD7"/>
    <w:rsid w:val="59971F55"/>
    <w:rsid w:val="59DF66A0"/>
    <w:rsid w:val="5A526582"/>
    <w:rsid w:val="5A5F5C77"/>
    <w:rsid w:val="5B504D56"/>
    <w:rsid w:val="5B894880"/>
    <w:rsid w:val="5BBE39CD"/>
    <w:rsid w:val="5BC11A60"/>
    <w:rsid w:val="5C7A4D54"/>
    <w:rsid w:val="5CD23B73"/>
    <w:rsid w:val="5D4C2AA7"/>
    <w:rsid w:val="5E723A11"/>
    <w:rsid w:val="5EE25574"/>
    <w:rsid w:val="5F127819"/>
    <w:rsid w:val="5F63752A"/>
    <w:rsid w:val="5FFF9092"/>
    <w:rsid w:val="60D8248E"/>
    <w:rsid w:val="60F1503F"/>
    <w:rsid w:val="61025188"/>
    <w:rsid w:val="61057D5F"/>
    <w:rsid w:val="61382A7C"/>
    <w:rsid w:val="614D4977"/>
    <w:rsid w:val="6296133A"/>
    <w:rsid w:val="63C60FC0"/>
    <w:rsid w:val="641A2BDD"/>
    <w:rsid w:val="64BA3D7A"/>
    <w:rsid w:val="64F179BC"/>
    <w:rsid w:val="65C94C55"/>
    <w:rsid w:val="6648363B"/>
    <w:rsid w:val="665704D3"/>
    <w:rsid w:val="666F4D79"/>
    <w:rsid w:val="673148E2"/>
    <w:rsid w:val="675445CD"/>
    <w:rsid w:val="678A45E2"/>
    <w:rsid w:val="67C065A4"/>
    <w:rsid w:val="67C9200F"/>
    <w:rsid w:val="67D359C9"/>
    <w:rsid w:val="67D63ED9"/>
    <w:rsid w:val="67EF7D97"/>
    <w:rsid w:val="681072A7"/>
    <w:rsid w:val="68784E48"/>
    <w:rsid w:val="68FE36DD"/>
    <w:rsid w:val="69443D85"/>
    <w:rsid w:val="694E60FC"/>
    <w:rsid w:val="69EF4042"/>
    <w:rsid w:val="6A641533"/>
    <w:rsid w:val="6A7E619C"/>
    <w:rsid w:val="6AB563C0"/>
    <w:rsid w:val="6AE65B91"/>
    <w:rsid w:val="6AF13082"/>
    <w:rsid w:val="6B613B46"/>
    <w:rsid w:val="6B67689F"/>
    <w:rsid w:val="6B6842A1"/>
    <w:rsid w:val="6C0438FE"/>
    <w:rsid w:val="6C304B0A"/>
    <w:rsid w:val="6C410A63"/>
    <w:rsid w:val="6C675CE6"/>
    <w:rsid w:val="6CB82330"/>
    <w:rsid w:val="6CEF35AF"/>
    <w:rsid w:val="6D4F4321"/>
    <w:rsid w:val="6DFF7360"/>
    <w:rsid w:val="6E7A5F73"/>
    <w:rsid w:val="6F2E3798"/>
    <w:rsid w:val="6FCB61BB"/>
    <w:rsid w:val="6FD74228"/>
    <w:rsid w:val="70160F82"/>
    <w:rsid w:val="70FE5EDF"/>
    <w:rsid w:val="711000FB"/>
    <w:rsid w:val="7150636D"/>
    <w:rsid w:val="71633091"/>
    <w:rsid w:val="719D61FD"/>
    <w:rsid w:val="720553A9"/>
    <w:rsid w:val="72985845"/>
    <w:rsid w:val="72B56DCF"/>
    <w:rsid w:val="72D978CD"/>
    <w:rsid w:val="72F31639"/>
    <w:rsid w:val="73081CA5"/>
    <w:rsid w:val="74545B7C"/>
    <w:rsid w:val="7487762D"/>
    <w:rsid w:val="749F2380"/>
    <w:rsid w:val="75385498"/>
    <w:rsid w:val="756E3706"/>
    <w:rsid w:val="75D17871"/>
    <w:rsid w:val="769962BD"/>
    <w:rsid w:val="76BC207F"/>
    <w:rsid w:val="76EB4904"/>
    <w:rsid w:val="77466953"/>
    <w:rsid w:val="777378F5"/>
    <w:rsid w:val="777A2D3C"/>
    <w:rsid w:val="77B358A8"/>
    <w:rsid w:val="77F8480C"/>
    <w:rsid w:val="78537BEA"/>
    <w:rsid w:val="79074B81"/>
    <w:rsid w:val="794F0939"/>
    <w:rsid w:val="79855D4E"/>
    <w:rsid w:val="79AC6330"/>
    <w:rsid w:val="79AF0FCA"/>
    <w:rsid w:val="79EF2560"/>
    <w:rsid w:val="79FF823E"/>
    <w:rsid w:val="7A857CD9"/>
    <w:rsid w:val="7AF9279C"/>
    <w:rsid w:val="7B1A0118"/>
    <w:rsid w:val="7C072E2B"/>
    <w:rsid w:val="7CA919FA"/>
    <w:rsid w:val="7CC51958"/>
    <w:rsid w:val="7CEC40B6"/>
    <w:rsid w:val="7D5E2685"/>
    <w:rsid w:val="7E222935"/>
    <w:rsid w:val="7E2552FF"/>
    <w:rsid w:val="7E2936C3"/>
    <w:rsid w:val="7E2E365C"/>
    <w:rsid w:val="7E585EA0"/>
    <w:rsid w:val="7E610E09"/>
    <w:rsid w:val="7E6411B9"/>
    <w:rsid w:val="7EBA2479"/>
    <w:rsid w:val="7EBD1097"/>
    <w:rsid w:val="8ACE95AB"/>
    <w:rsid w:val="BBFF6D10"/>
    <w:rsid w:val="BDBFB82D"/>
    <w:rsid w:val="BEF6340B"/>
    <w:rsid w:val="CB9A1F6B"/>
    <w:rsid w:val="D7AA2CEE"/>
    <w:rsid w:val="D7FEABA1"/>
    <w:rsid w:val="DFA72B9B"/>
    <w:rsid w:val="E73FB003"/>
    <w:rsid w:val="E7FD6DD3"/>
    <w:rsid w:val="E9E7D538"/>
    <w:rsid w:val="F3F7F738"/>
    <w:rsid w:val="F5BE0A47"/>
    <w:rsid w:val="F77F5654"/>
    <w:rsid w:val="FABF01B6"/>
    <w:rsid w:val="FE8F2AE4"/>
    <w:rsid w:val="FEF1B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3"/>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5"/>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70"/>
    <w:qFormat/>
    <w:uiPriority w:val="0"/>
    <w:pPr>
      <w:keepNext/>
      <w:keepLines/>
      <w:spacing w:before="280" w:after="290" w:line="376" w:lineRule="auto"/>
      <w:outlineLvl w:val="3"/>
    </w:pPr>
    <w:rPr>
      <w:b/>
      <w:bCs/>
      <w:sz w:val="28"/>
      <w:szCs w:val="28"/>
    </w:rPr>
  </w:style>
  <w:style w:type="paragraph" w:styleId="6">
    <w:name w:val="heading 9"/>
    <w:basedOn w:val="1"/>
    <w:next w:val="1"/>
    <w:qFormat/>
    <w:uiPriority w:val="0"/>
    <w:pPr>
      <w:keepNext/>
      <w:keepLines/>
      <w:widowControl/>
      <w:tabs>
        <w:tab w:val="left" w:pos="1584"/>
      </w:tabs>
      <w:spacing w:before="240" w:after="64" w:line="316" w:lineRule="auto"/>
      <w:ind w:left="1584" w:hanging="1584"/>
      <w:jc w:val="left"/>
      <w:outlineLvl w:val="8"/>
    </w:pPr>
    <w:rPr>
      <w:rFonts w:ascii="Arial" w:hAnsi="Arial" w:eastAsia="黑体"/>
      <w:sz w:val="21"/>
      <w:szCs w:val="21"/>
      <w:lang w:val="en-US" w:eastAsia="zh-CN" w:bidi="ar-SA"/>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2"/>
    <w:qFormat/>
    <w:uiPriority w:val="0"/>
    <w:pPr>
      <w:jc w:val="left"/>
    </w:pPr>
    <w:rPr>
      <w:rFonts w:ascii="Arial" w:hAnsi="Arial" w:eastAsia="黑体" w:cs="Arial"/>
    </w:rPr>
  </w:style>
  <w:style w:type="paragraph" w:styleId="10">
    <w:name w:val="Body Text"/>
    <w:basedOn w:val="1"/>
    <w:next w:val="11"/>
    <w:qFormat/>
    <w:uiPriority w:val="0"/>
    <w:pPr>
      <w:spacing w:after="120"/>
    </w:pPr>
    <w:rPr>
      <w:rFonts w:ascii="@微软简标宋" w:hAnsi="@微软简标宋" w:eastAsia="@微软简标宋" w:cs="@微软简标宋"/>
      <w:szCs w:val="24"/>
      <w:lang w:val="zh-CN"/>
    </w:rPr>
  </w:style>
  <w:style w:type="paragraph" w:styleId="11">
    <w:name w:val="Date"/>
    <w:basedOn w:val="1"/>
    <w:next w:val="1"/>
    <w:link w:val="59"/>
    <w:qFormat/>
    <w:uiPriority w:val="0"/>
    <w:rPr>
      <w:rFonts w:ascii="Arial" w:hAnsi="Arial" w:eastAsia="宋体" w:cs="Arial"/>
      <w:b/>
      <w:sz w:val="28"/>
    </w:rPr>
  </w:style>
  <w:style w:type="paragraph" w:styleId="12">
    <w:name w:val="Body Text Indent"/>
    <w:basedOn w:val="1"/>
    <w:next w:val="13"/>
    <w:qFormat/>
    <w:uiPriority w:val="0"/>
    <w:pPr>
      <w:spacing w:after="120"/>
      <w:ind w:left="420" w:leftChars="200"/>
    </w:pPr>
    <w:rPr>
      <w:szCs w:val="24"/>
    </w:rPr>
  </w:style>
  <w:style w:type="paragraph" w:styleId="13">
    <w:name w:val="envelope return"/>
    <w:basedOn w:val="1"/>
    <w:next w:val="7"/>
    <w:qFormat/>
    <w:uiPriority w:val="0"/>
    <w:pPr>
      <w:snapToGrid w:val="0"/>
    </w:pPr>
    <w:rPr>
      <w:rFonts w:ascii="Arial" w:hAnsi="Arial"/>
    </w:rPr>
  </w:style>
  <w:style w:type="paragraph" w:styleId="14">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2"/>
    <w:qFormat/>
    <w:uiPriority w:val="99"/>
    <w:rPr>
      <w:rFonts w:ascii="宋体" w:hAnsi="Courier New" w:eastAsiaTheme="minorEastAsia" w:cstheme="minorBidi"/>
      <w:szCs w:val="22"/>
    </w:rPr>
  </w:style>
  <w:style w:type="paragraph" w:styleId="16">
    <w:name w:val="Body Text Indent 2"/>
    <w:basedOn w:val="1"/>
    <w:next w:val="1"/>
    <w:qFormat/>
    <w:uiPriority w:val="0"/>
    <w:pPr>
      <w:spacing w:after="120" w:line="480" w:lineRule="auto"/>
      <w:ind w:left="420" w:leftChars="200"/>
    </w:pPr>
  </w:style>
  <w:style w:type="paragraph" w:styleId="17">
    <w:name w:val="Balloon Text"/>
    <w:basedOn w:val="1"/>
    <w:link w:val="46"/>
    <w:semiHidden/>
    <w:unhideWhenUsed/>
    <w:qFormat/>
    <w:uiPriority w:val="99"/>
    <w:rPr>
      <w:sz w:val="18"/>
      <w:szCs w:val="18"/>
    </w:rPr>
  </w:style>
  <w:style w:type="paragraph" w:styleId="18">
    <w:name w:val="footer"/>
    <w:basedOn w:val="1"/>
    <w:link w:val="51"/>
    <w:unhideWhenUsed/>
    <w:qFormat/>
    <w:uiPriority w:val="99"/>
    <w:pPr>
      <w:tabs>
        <w:tab w:val="center" w:pos="4153"/>
        <w:tab w:val="right" w:pos="8306"/>
      </w:tabs>
      <w:snapToGrid w:val="0"/>
      <w:jc w:val="left"/>
    </w:pPr>
    <w:rPr>
      <w:sz w:val="18"/>
      <w:szCs w:val="18"/>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List"/>
    <w:basedOn w:val="1"/>
    <w:next w:val="1"/>
    <w:qFormat/>
    <w:uiPriority w:val="0"/>
    <w:pPr>
      <w:ind w:left="420" w:hanging="420"/>
    </w:pPr>
    <w:rPr>
      <w:rFonts w:ascii="Arial" w:hAnsi="Arial" w:eastAsia="楷体_GB2312"/>
      <w:sz w:val="28"/>
    </w:rPr>
  </w:style>
  <w:style w:type="paragraph" w:styleId="22">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qFormat/>
    <w:uiPriority w:val="0"/>
    <w:pPr>
      <w:spacing w:before="100" w:beforeAutospacing="1" w:after="100" w:afterAutospacing="1"/>
      <w:jc w:val="left"/>
    </w:pPr>
    <w:rPr>
      <w:rFonts w:cs="Times New Roman"/>
      <w:kern w:val="0"/>
      <w:sz w:val="24"/>
    </w:rPr>
  </w:style>
  <w:style w:type="paragraph" w:styleId="25">
    <w:name w:val="index 1"/>
    <w:basedOn w:val="1"/>
    <w:next w:val="1"/>
    <w:qFormat/>
    <w:uiPriority w:val="0"/>
    <w:pPr>
      <w:jc w:val="center"/>
    </w:pPr>
    <w:rPr>
      <w:rFonts w:ascii="Arial" w:hAnsi="Arial" w:eastAsia="Arial" w:cs="Arial"/>
      <w:b/>
      <w:bCs/>
      <w:sz w:val="28"/>
    </w:rPr>
  </w:style>
  <w:style w:type="paragraph" w:styleId="26">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7">
    <w:name w:val="annotation subject"/>
    <w:basedOn w:val="9"/>
    <w:next w:val="9"/>
    <w:link w:val="73"/>
    <w:semiHidden/>
    <w:unhideWhenUsed/>
    <w:qFormat/>
    <w:uiPriority w:val="99"/>
    <w:rPr>
      <w:rFonts w:ascii="@仿宋_GB2312" w:hAnsi="@仿宋_GB2312" w:eastAsia="@仿宋_GB2312" w:cs="@仿宋_GB2312"/>
      <w:b/>
      <w:bCs/>
    </w:rPr>
  </w:style>
  <w:style w:type="paragraph" w:styleId="28">
    <w:name w:val="Body Text First Indent"/>
    <w:basedOn w:val="10"/>
    <w:unhideWhenUsed/>
    <w:qFormat/>
    <w:uiPriority w:val="99"/>
    <w:pPr>
      <w:ind w:firstLine="420" w:firstLineChars="100"/>
    </w:pPr>
  </w:style>
  <w:style w:type="paragraph" w:styleId="29">
    <w:name w:val="Body Text First Indent 2"/>
    <w:basedOn w:val="12"/>
    <w:next w:val="1"/>
    <w:qFormat/>
    <w:uiPriority w:val="0"/>
    <w:pPr>
      <w:ind w:firstLine="420" w:firstLineChars="200"/>
    </w:pPr>
    <w:rPr>
      <w:rFonts w:ascii="Times New Roman" w:hAnsi="Times New Roman" w:cs="Times New Roman"/>
      <w:szCs w:val="21"/>
    </w:rPr>
  </w:style>
  <w:style w:type="table" w:styleId="31">
    <w:name w:val="Table Grid"/>
    <w:basedOn w:val="3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0"/>
    <w:rPr>
      <w:b/>
      <w:bCs/>
    </w:rPr>
  </w:style>
  <w:style w:type="character" w:styleId="34">
    <w:name w:val="FollowedHyperlink"/>
    <w:basedOn w:val="32"/>
    <w:semiHidden/>
    <w:unhideWhenUsed/>
    <w:qFormat/>
    <w:uiPriority w:val="99"/>
    <w:rPr>
      <w:color w:val="5C5C5C"/>
      <w:u w:val="none"/>
    </w:rPr>
  </w:style>
  <w:style w:type="character" w:styleId="35">
    <w:name w:val="Emphasis"/>
    <w:basedOn w:val="32"/>
    <w:qFormat/>
    <w:uiPriority w:val="20"/>
    <w:rPr>
      <w:b/>
      <w:bCs/>
    </w:rPr>
  </w:style>
  <w:style w:type="character" w:styleId="36">
    <w:name w:val="HTML Definition"/>
    <w:basedOn w:val="32"/>
    <w:semiHidden/>
    <w:unhideWhenUsed/>
    <w:qFormat/>
    <w:uiPriority w:val="99"/>
  </w:style>
  <w:style w:type="character" w:styleId="37">
    <w:name w:val="HTML Typewriter"/>
    <w:basedOn w:val="32"/>
    <w:semiHidden/>
    <w:unhideWhenUsed/>
    <w:qFormat/>
    <w:uiPriority w:val="99"/>
    <w:rPr>
      <w:rFonts w:hint="default" w:ascii="monospace" w:hAnsi="monospace" w:eastAsia="monospace" w:cs="monospace"/>
      <w:sz w:val="20"/>
    </w:rPr>
  </w:style>
  <w:style w:type="character" w:styleId="38">
    <w:name w:val="HTML Acronym"/>
    <w:basedOn w:val="32"/>
    <w:semiHidden/>
    <w:unhideWhenUsed/>
    <w:qFormat/>
    <w:uiPriority w:val="99"/>
    <w:rPr>
      <w:color w:val="5C5C5C"/>
      <w:sz w:val="19"/>
      <w:szCs w:val="19"/>
      <w:u w:val="none"/>
      <w:bdr w:val="single" w:color="D6D6D6" w:sz="2" w:space="0"/>
      <w:shd w:val="clear" w:fill="FFFFFF"/>
    </w:rPr>
  </w:style>
  <w:style w:type="character" w:styleId="39">
    <w:name w:val="HTML Variable"/>
    <w:basedOn w:val="32"/>
    <w:semiHidden/>
    <w:unhideWhenUsed/>
    <w:qFormat/>
    <w:uiPriority w:val="99"/>
  </w:style>
  <w:style w:type="character" w:styleId="40">
    <w:name w:val="Hyperlink"/>
    <w:basedOn w:val="32"/>
    <w:unhideWhenUsed/>
    <w:qFormat/>
    <w:uiPriority w:val="99"/>
    <w:rPr>
      <w:color w:val="0000FF" w:themeColor="hyperlink"/>
      <w:u w:val="single"/>
      <w14:textFill>
        <w14:solidFill>
          <w14:schemeClr w14:val="hlink"/>
        </w14:solidFill>
      </w14:textFill>
    </w:rPr>
  </w:style>
  <w:style w:type="character" w:styleId="41">
    <w:name w:val="HTML Code"/>
    <w:basedOn w:val="32"/>
    <w:semiHidden/>
    <w:unhideWhenUsed/>
    <w:qFormat/>
    <w:uiPriority w:val="99"/>
    <w:rPr>
      <w:rFonts w:hint="default" w:ascii="monospace" w:hAnsi="monospace" w:eastAsia="monospace" w:cs="monospace"/>
      <w:sz w:val="20"/>
    </w:rPr>
  </w:style>
  <w:style w:type="character" w:styleId="42">
    <w:name w:val="annotation reference"/>
    <w:basedOn w:val="32"/>
    <w:semiHidden/>
    <w:unhideWhenUsed/>
    <w:qFormat/>
    <w:uiPriority w:val="99"/>
    <w:rPr>
      <w:sz w:val="21"/>
      <w:szCs w:val="21"/>
    </w:rPr>
  </w:style>
  <w:style w:type="character" w:styleId="43">
    <w:name w:val="HTML Cite"/>
    <w:basedOn w:val="32"/>
    <w:semiHidden/>
    <w:unhideWhenUsed/>
    <w:qFormat/>
    <w:uiPriority w:val="99"/>
  </w:style>
  <w:style w:type="character" w:styleId="44">
    <w:name w:val="HTML Keyboard"/>
    <w:basedOn w:val="32"/>
    <w:semiHidden/>
    <w:unhideWhenUsed/>
    <w:qFormat/>
    <w:uiPriority w:val="99"/>
    <w:rPr>
      <w:rFonts w:ascii="monospace" w:hAnsi="monospace" w:eastAsia="monospace" w:cs="monospace"/>
      <w:sz w:val="20"/>
    </w:rPr>
  </w:style>
  <w:style w:type="character" w:styleId="45">
    <w:name w:val="HTML Sample"/>
    <w:basedOn w:val="32"/>
    <w:semiHidden/>
    <w:unhideWhenUsed/>
    <w:qFormat/>
    <w:uiPriority w:val="99"/>
    <w:rPr>
      <w:rFonts w:hint="default" w:ascii="monospace" w:hAnsi="monospace" w:eastAsia="monospace" w:cs="monospace"/>
    </w:rPr>
  </w:style>
  <w:style w:type="character" w:customStyle="1" w:styleId="46">
    <w:name w:val="批注框文本 Char"/>
    <w:basedOn w:val="32"/>
    <w:link w:val="17"/>
    <w:semiHidden/>
    <w:qFormat/>
    <w:uiPriority w:val="99"/>
    <w:rPr>
      <w:rFonts w:ascii="@仿宋_GB2312" w:hAnsi="@仿宋_GB2312" w:eastAsia="@仿宋_GB2312" w:cs="@仿宋_GB2312"/>
      <w:sz w:val="18"/>
      <w:szCs w:val="18"/>
    </w:rPr>
  </w:style>
  <w:style w:type="paragraph" w:customStyle="1" w:styleId="47">
    <w:name w:val="正文（缩进）"/>
    <w:basedOn w:val="1"/>
    <w:qFormat/>
    <w:uiPriority w:val="0"/>
    <w:pPr>
      <w:widowControl/>
      <w:spacing w:before="156" w:after="156"/>
      <w:ind w:firstLine="480" w:firstLineChars="200"/>
      <w:jc w:val="left"/>
    </w:pPr>
    <w:rPr>
      <w:kern w:val="0"/>
      <w:sz w:val="24"/>
      <w:szCs w:val="24"/>
    </w:rPr>
  </w:style>
  <w:style w:type="paragraph" w:customStyle="1" w:styleId="48">
    <w:name w:val="xl31"/>
    <w:basedOn w:val="1"/>
    <w:qFormat/>
    <w:uiPriority w:val="0"/>
    <w:pPr>
      <w:widowControl/>
      <w:spacing w:before="100" w:beforeAutospacing="1" w:after="100" w:afterAutospacing="1"/>
      <w:jc w:val="center"/>
    </w:pPr>
    <w:rPr>
      <w:b/>
      <w:bCs/>
      <w:kern w:val="0"/>
      <w:sz w:val="28"/>
      <w:szCs w:val="28"/>
    </w:rPr>
  </w:style>
  <w:style w:type="paragraph" w:customStyle="1" w:styleId="49">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50">
    <w:name w:val="页眉 Char"/>
    <w:basedOn w:val="32"/>
    <w:link w:val="19"/>
    <w:qFormat/>
    <w:uiPriority w:val="99"/>
    <w:rPr>
      <w:rFonts w:ascii="@仿宋_GB2312" w:hAnsi="@仿宋_GB2312" w:eastAsia="@仿宋_GB2312" w:cs="@仿宋_GB2312"/>
      <w:sz w:val="18"/>
      <w:szCs w:val="18"/>
    </w:rPr>
  </w:style>
  <w:style w:type="character" w:customStyle="1" w:styleId="51">
    <w:name w:val="页脚 Char"/>
    <w:basedOn w:val="32"/>
    <w:link w:val="18"/>
    <w:qFormat/>
    <w:uiPriority w:val="99"/>
    <w:rPr>
      <w:rFonts w:ascii="@仿宋_GB2312" w:hAnsi="@仿宋_GB2312" w:eastAsia="@仿宋_GB2312" w:cs="@仿宋_GB2312"/>
      <w:sz w:val="18"/>
      <w:szCs w:val="18"/>
    </w:rPr>
  </w:style>
  <w:style w:type="character" w:customStyle="1" w:styleId="52">
    <w:name w:val="纯文本 Char"/>
    <w:link w:val="15"/>
    <w:qFormat/>
    <w:uiPriority w:val="0"/>
    <w:rPr>
      <w:rFonts w:ascii="宋体" w:hAnsi="Courier New"/>
    </w:rPr>
  </w:style>
  <w:style w:type="character" w:customStyle="1" w:styleId="53">
    <w:name w:val="纯文本 字符1"/>
    <w:basedOn w:val="32"/>
    <w:semiHidden/>
    <w:qFormat/>
    <w:uiPriority w:val="99"/>
    <w:rPr>
      <w:rFonts w:hAnsi="Courier New" w:cs="Courier New" w:asciiTheme="minorEastAsia"/>
      <w:szCs w:val="20"/>
    </w:rPr>
  </w:style>
  <w:style w:type="character" w:customStyle="1" w:styleId="54">
    <w:name w:val="未处理的提及1"/>
    <w:basedOn w:val="32"/>
    <w:semiHidden/>
    <w:unhideWhenUsed/>
    <w:qFormat/>
    <w:uiPriority w:val="99"/>
    <w:rPr>
      <w:color w:val="605E5C"/>
      <w:shd w:val="clear" w:color="auto" w:fill="E1DFDD"/>
    </w:rPr>
  </w:style>
  <w:style w:type="paragraph" w:styleId="55">
    <w:name w:val="List Paragraph"/>
    <w:basedOn w:val="1"/>
    <w:qFormat/>
    <w:uiPriority w:val="34"/>
    <w:pPr>
      <w:ind w:firstLine="420" w:firstLineChars="200"/>
    </w:pPr>
  </w:style>
  <w:style w:type="paragraph" w:customStyle="1" w:styleId="56">
    <w:name w:val="Char Char Char Char Char Char Char1 Char"/>
    <w:basedOn w:val="1"/>
    <w:qFormat/>
    <w:uiPriority w:val="0"/>
    <w:rPr>
      <w:rFonts w:ascii="Arial" w:hAnsi="Arial" w:eastAsia="宋体" w:cs="Arial"/>
      <w:sz w:val="24"/>
    </w:rPr>
  </w:style>
  <w:style w:type="table" w:customStyle="1" w:styleId="57">
    <w:name w:val="网格表 1 浅色1"/>
    <w:basedOn w:val="30"/>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8">
    <w:name w:val="日期 字符"/>
    <w:basedOn w:val="32"/>
    <w:semiHidden/>
    <w:qFormat/>
    <w:uiPriority w:val="99"/>
    <w:rPr>
      <w:rFonts w:ascii="@仿宋_GB2312" w:hAnsi="@仿宋_GB2312" w:eastAsia="@仿宋_GB2312" w:cs="@仿宋_GB2312"/>
      <w:szCs w:val="20"/>
    </w:rPr>
  </w:style>
  <w:style w:type="character" w:customStyle="1" w:styleId="59">
    <w:name w:val="日期 Char"/>
    <w:link w:val="11"/>
    <w:qFormat/>
    <w:uiPriority w:val="0"/>
    <w:rPr>
      <w:rFonts w:ascii="Arial" w:hAnsi="Arial" w:eastAsia="宋体" w:cs="Arial"/>
      <w:b/>
      <w:sz w:val="28"/>
      <w:szCs w:val="20"/>
    </w:rPr>
  </w:style>
  <w:style w:type="character" w:customStyle="1" w:styleId="60">
    <w:name w:val="纯文本 Char1"/>
    <w:qFormat/>
    <w:locked/>
    <w:uiPriority w:val="99"/>
    <w:rPr>
      <w:rFonts w:ascii="Arial" w:hAnsi="Arial" w:eastAsia="Arial"/>
      <w:kern w:val="2"/>
      <w:sz w:val="21"/>
      <w:lang w:val="en-US" w:eastAsia="zh-CN" w:bidi="ar-SA"/>
    </w:rPr>
  </w:style>
  <w:style w:type="character" w:customStyle="1" w:styleId="61">
    <w:name w:val="批注文字 Char"/>
    <w:basedOn w:val="32"/>
    <w:semiHidden/>
    <w:qFormat/>
    <w:uiPriority w:val="99"/>
    <w:rPr>
      <w:rFonts w:ascii="@仿宋_GB2312" w:hAnsi="@仿宋_GB2312" w:eastAsia="@仿宋_GB2312" w:cs="@仿宋_GB2312"/>
      <w:szCs w:val="20"/>
    </w:rPr>
  </w:style>
  <w:style w:type="character" w:customStyle="1" w:styleId="62">
    <w:name w:val="批注文字 Char1"/>
    <w:link w:val="9"/>
    <w:qFormat/>
    <w:uiPriority w:val="0"/>
    <w:rPr>
      <w:rFonts w:ascii="Arial" w:hAnsi="Arial" w:eastAsia="黑体" w:cs="Arial"/>
      <w:szCs w:val="20"/>
    </w:rPr>
  </w:style>
  <w:style w:type="character" w:customStyle="1" w:styleId="63">
    <w:name w:val="标题 1 Char"/>
    <w:basedOn w:val="32"/>
    <w:link w:val="2"/>
    <w:qFormat/>
    <w:uiPriority w:val="9"/>
    <w:rPr>
      <w:rFonts w:ascii="@仿宋_GB2312" w:hAnsi="@仿宋_GB2312" w:eastAsia="@仿宋_GB2312" w:cs="@仿宋_GB2312"/>
      <w:b/>
      <w:bCs/>
      <w:kern w:val="44"/>
      <w:sz w:val="44"/>
      <w:szCs w:val="44"/>
    </w:rPr>
  </w:style>
  <w:style w:type="paragraph" w:customStyle="1" w:styleId="6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5">
    <w:name w:val="标题 3 Char"/>
    <w:basedOn w:val="32"/>
    <w:link w:val="4"/>
    <w:semiHidden/>
    <w:qFormat/>
    <w:uiPriority w:val="9"/>
    <w:rPr>
      <w:rFonts w:ascii="@仿宋_GB2312" w:hAnsi="@仿宋_GB2312" w:eastAsia="@仿宋_GB2312" w:cs="@仿宋_GB2312"/>
      <w:b/>
      <w:bCs/>
      <w:sz w:val="32"/>
      <w:szCs w:val="32"/>
    </w:rPr>
  </w:style>
  <w:style w:type="character" w:customStyle="1" w:styleId="66">
    <w:name w:val="fontstyle01"/>
    <w:basedOn w:val="32"/>
    <w:qFormat/>
    <w:uiPriority w:val="0"/>
    <w:rPr>
      <w:rFonts w:hint="eastAsia" w:ascii="宋体" w:hAnsi="宋体" w:eastAsia="宋体"/>
      <w:color w:val="000000"/>
      <w:sz w:val="22"/>
      <w:szCs w:val="22"/>
    </w:rPr>
  </w:style>
  <w:style w:type="character" w:customStyle="1" w:styleId="67">
    <w:name w:val="fontstyle21"/>
    <w:basedOn w:val="32"/>
    <w:qFormat/>
    <w:uiPriority w:val="0"/>
    <w:rPr>
      <w:rFonts w:hint="default" w:ascii="TimesNewRomanPSMT" w:hAnsi="TimesNewRomanPSMT"/>
      <w:color w:val="000000"/>
      <w:sz w:val="22"/>
      <w:szCs w:val="22"/>
    </w:rPr>
  </w:style>
  <w:style w:type="character" w:customStyle="1" w:styleId="6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9">
    <w:name w:val="标题 4 字符"/>
    <w:basedOn w:val="32"/>
    <w:semiHidden/>
    <w:qFormat/>
    <w:uiPriority w:val="9"/>
    <w:rPr>
      <w:rFonts w:asciiTheme="majorHAnsi" w:hAnsiTheme="majorHAnsi" w:eastAsiaTheme="majorEastAsia" w:cstheme="majorBidi"/>
      <w:b/>
      <w:bCs/>
      <w:sz w:val="28"/>
      <w:szCs w:val="28"/>
    </w:rPr>
  </w:style>
  <w:style w:type="character" w:customStyle="1" w:styleId="70">
    <w:name w:val="标题 4 Char1"/>
    <w:link w:val="5"/>
    <w:qFormat/>
    <w:uiPriority w:val="0"/>
    <w:rPr>
      <w:rFonts w:ascii="@仿宋_GB2312" w:hAnsi="@仿宋_GB2312" w:eastAsia="@仿宋_GB2312" w:cs="@仿宋_GB2312"/>
      <w:b/>
      <w:bCs/>
      <w:sz w:val="28"/>
      <w:szCs w:val="28"/>
    </w:rPr>
  </w:style>
  <w:style w:type="character" w:customStyle="1" w:styleId="71">
    <w:name w:val="标题 4 Char"/>
    <w:qFormat/>
    <w:uiPriority w:val="0"/>
    <w:rPr>
      <w:rFonts w:ascii="Arial" w:hAnsi="Arial" w:eastAsia="Arial"/>
      <w:b/>
      <w:bCs/>
      <w:kern w:val="2"/>
      <w:sz w:val="28"/>
      <w:szCs w:val="28"/>
      <w:lang w:val="en-US" w:eastAsia="zh-CN" w:bidi="ar-SA"/>
    </w:rPr>
  </w:style>
  <w:style w:type="table" w:customStyle="1" w:styleId="72">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3">
    <w:name w:val="批注主题 Char"/>
    <w:basedOn w:val="62"/>
    <w:link w:val="27"/>
    <w:semiHidden/>
    <w:qFormat/>
    <w:uiPriority w:val="99"/>
    <w:rPr>
      <w:rFonts w:ascii="@仿宋_GB2312" w:hAnsi="@仿宋_GB2312" w:eastAsia="@仿宋_GB2312" w:cs="@仿宋_GB2312"/>
      <w:b/>
      <w:bCs/>
      <w:szCs w:val="20"/>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Table Text"/>
    <w:basedOn w:val="1"/>
    <w:semiHidden/>
    <w:qFormat/>
    <w:uiPriority w:val="0"/>
    <w:rPr>
      <w:rFonts w:ascii="Arial" w:hAnsi="Arial" w:eastAsia="Arial" w:cs="Arial"/>
      <w:szCs w:val="21"/>
      <w:lang w:eastAsia="en-US"/>
    </w:rPr>
  </w:style>
  <w:style w:type="paragraph" w:customStyle="1" w:styleId="76">
    <w:name w:val="Table Paragraph"/>
    <w:basedOn w:val="1"/>
    <w:qFormat/>
    <w:uiPriority w:val="0"/>
    <w:rPr>
      <w:rFonts w:ascii="宋体" w:hAnsi="宋体" w:eastAsia="宋体" w:cs="宋体"/>
      <w:lang w:val="zh-CN" w:bidi="zh-CN"/>
    </w:rPr>
  </w:style>
  <w:style w:type="paragraph" w:customStyle="1" w:styleId="7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 w:type="paragraph" w:customStyle="1" w:styleId="78">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character" w:customStyle="1" w:styleId="79">
    <w:name w:val="hover"/>
    <w:basedOn w:val="32"/>
    <w:qFormat/>
    <w:uiPriority w:val="0"/>
    <w:rPr>
      <w:color w:val="2590EB"/>
    </w:rPr>
  </w:style>
  <w:style w:type="character" w:customStyle="1" w:styleId="80">
    <w:name w:val="hover1"/>
    <w:basedOn w:val="32"/>
    <w:qFormat/>
    <w:uiPriority w:val="0"/>
    <w:rPr>
      <w:color w:val="2590EB"/>
    </w:rPr>
  </w:style>
  <w:style w:type="character" w:customStyle="1" w:styleId="81">
    <w:name w:val="hover2"/>
    <w:basedOn w:val="32"/>
    <w:qFormat/>
    <w:uiPriority w:val="0"/>
  </w:style>
  <w:style w:type="character" w:customStyle="1" w:styleId="82">
    <w:name w:val="hover3"/>
    <w:basedOn w:val="32"/>
    <w:qFormat/>
    <w:uiPriority w:val="0"/>
    <w:rPr>
      <w:color w:val="2590EB"/>
      <w:shd w:val="clear" w:color="auto" w:fill="E9F4FD"/>
    </w:rPr>
  </w:style>
  <w:style w:type="character" w:customStyle="1" w:styleId="83">
    <w:name w:val="layui-this"/>
    <w:basedOn w:val="32"/>
    <w:qFormat/>
    <w:uiPriority w:val="0"/>
    <w:rPr>
      <w:bdr w:val="single" w:color="EEEEEE" w:sz="6" w:space="0"/>
      <w:shd w:val="clear" w:fill="FFFFFF"/>
    </w:rPr>
  </w:style>
  <w:style w:type="character" w:customStyle="1" w:styleId="84">
    <w:name w:val="first-child"/>
    <w:basedOn w:val="32"/>
    <w:qFormat/>
    <w:uiPriority w:val="0"/>
  </w:style>
  <w:style w:type="character" w:customStyle="1" w:styleId="85">
    <w:name w:val="mini-outputtext1"/>
    <w:basedOn w:val="32"/>
    <w:qFormat/>
    <w:uiPriority w:val="0"/>
  </w:style>
  <w:style w:type="character" w:customStyle="1" w:styleId="86">
    <w:name w:val="hover4"/>
    <w:basedOn w:val="32"/>
    <w:qFormat/>
    <w:uiPriority w:val="0"/>
    <w:rPr>
      <w:color w:val="2590EB"/>
      <w:shd w:val="clear" w:fill="E9F4FD"/>
    </w:rPr>
  </w:style>
  <w:style w:type="paragraph" w:customStyle="1" w:styleId="87">
    <w:name w:val="Body Text First Indent 21"/>
    <w:basedOn w:val="88"/>
    <w:next w:val="1"/>
    <w:qFormat/>
    <w:uiPriority w:val="0"/>
    <w:pPr>
      <w:ind w:left="420" w:firstLine="420" w:firstLineChars="200"/>
    </w:pPr>
  </w:style>
  <w:style w:type="paragraph" w:customStyle="1" w:styleId="88">
    <w:name w:val="Body Text Indent1"/>
    <w:basedOn w:val="1"/>
    <w:next w:val="89"/>
    <w:qFormat/>
    <w:uiPriority w:val="0"/>
    <w:pPr>
      <w:spacing w:after="120" w:afterLines="0"/>
      <w:ind w:left="200" w:leftChars="200"/>
    </w:pPr>
  </w:style>
  <w:style w:type="paragraph" w:customStyle="1" w:styleId="89">
    <w:name w:val="envelope return1"/>
    <w:basedOn w:val="1"/>
    <w:next w:val="26"/>
    <w:qFormat/>
    <w:uiPriority w:val="0"/>
    <w:pPr>
      <w:snapToGrid w:val="0"/>
    </w:pPr>
    <w:rPr>
      <w:rFonts w:ascii="Arial" w:hAnsi="Arial"/>
    </w:rPr>
  </w:style>
  <w:style w:type="paragraph" w:customStyle="1" w:styleId="90">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91">
    <w:name w:val="Body text|1"/>
    <w:basedOn w:val="1"/>
    <w:qFormat/>
    <w:uiPriority w:val="0"/>
    <w:pPr>
      <w:widowControl w:val="0"/>
      <w:shd w:val="clear" w:color="auto" w:fill="auto"/>
      <w:spacing w:line="480" w:lineRule="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65</Pages>
  <Words>14821</Words>
  <Characters>16148</Characters>
  <Lines>363</Lines>
  <Paragraphs>102</Paragraphs>
  <TotalTime>1045</TotalTime>
  <ScaleCrop>false</ScaleCrop>
  <LinksUpToDate>false</LinksUpToDate>
  <CharactersWithSpaces>16250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2025-03-13T17:47:00Z</dcterms:created>
  <dc:creator>Anakin</dc:creator>
  <cp:lastModifiedBy>Pim Pom丶</cp:lastModifiedBy>
  <cp:lastPrinted>2026-04-13T17:32:00Z</cp:lastPrinted>
  <dcterms:modified xsi:type="dcterms:W3CDTF">2026-08-31T02:24:30Z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9E9801C3526E434289066D64F626BBE0_13</vt:lpwstr>
  </property>
  <property fmtid="{D5CDD505-2E9C-101B-9397-08002B2CF9AE}" pid="4" name="KSOTemplateDocerSaveRecord">
    <vt:lpwstr>eyJoZGlkIjoiOTk1OGJkZDZlMmJiZjgxZThhZWQ4YzE0YWIxYTUyMmQiLCJ1c2VySWQiOiI0MDkyMjI1MTkifQ==</vt:lpwstr>
  </property>
</Properties>
</file>