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A1C79">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p>
    <w:p w14:paraId="6ADDEC38">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p>
    <w:p w14:paraId="071BBBC6">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069E2164">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安徽省政府采购项目</w:t>
      </w:r>
    </w:p>
    <w:p w14:paraId="5FD22985">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竞争性磋商文件示范文本（服务类）</w:t>
      </w:r>
    </w:p>
    <w:bookmarkEnd w:id="0"/>
    <w:p w14:paraId="76D80DFD">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（2024版）</w:t>
      </w:r>
    </w:p>
    <w:p w14:paraId="0D7F7428">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p>
    <w:p w14:paraId="42F08D24">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p>
    <w:p w14:paraId="630274DE">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lang w:eastAsia="zh-CN"/>
        </w:rPr>
      </w:pPr>
    </w:p>
    <w:p w14:paraId="6A9BCE4F">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3773063C">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rPr>
      </w:pPr>
    </w:p>
    <w:p w14:paraId="7195BCD7">
      <w:pPr>
        <w:tabs>
          <w:tab w:val="left" w:pos="2410"/>
        </w:tabs>
        <w:autoSpaceDE w:val="0"/>
        <w:autoSpaceDN w:val="0"/>
        <w:adjustRightInd w:val="0"/>
        <w:snapToGrid w:val="0"/>
        <w:spacing w:line="360" w:lineRule="auto"/>
        <w:rPr>
          <w:rFonts w:hint="eastAsia" w:ascii="宋体" w:hAnsi="宋体" w:eastAsia="宋体"/>
          <w:b/>
          <w:color w:val="auto"/>
          <w:kern w:val="0"/>
          <w:sz w:val="32"/>
          <w:szCs w:val="32"/>
          <w:highlight w:val="none"/>
          <w:lang w:eastAsia="zh-CN"/>
        </w:rPr>
      </w:pPr>
      <w:r>
        <w:rPr>
          <w:rFonts w:hint="eastAsia" w:ascii="宋体" w:hAnsi="宋体" w:eastAsia="宋体"/>
          <w:b/>
          <w:color w:val="auto"/>
          <w:kern w:val="0"/>
          <w:sz w:val="32"/>
          <w:szCs w:val="32"/>
          <w:highlight w:val="none"/>
        </w:rPr>
        <w:t>项目名称：</w:t>
      </w:r>
      <w:r>
        <w:rPr>
          <w:rFonts w:hint="eastAsia" w:ascii="宋体" w:hAnsi="宋体" w:eastAsia="宋体"/>
          <w:b/>
          <w:color w:val="auto"/>
          <w:kern w:val="0"/>
          <w:sz w:val="32"/>
          <w:szCs w:val="32"/>
          <w:highlight w:val="none"/>
          <w:u w:val="single"/>
          <w:lang w:eastAsia="zh-CN"/>
        </w:rPr>
        <w:t>滁州市公共信用信息共享服务平台运维服务项目</w:t>
      </w:r>
    </w:p>
    <w:p w14:paraId="3BDFC7AD">
      <w:pPr>
        <w:tabs>
          <w:tab w:val="left" w:pos="2410"/>
        </w:tabs>
        <w:autoSpaceDE w:val="0"/>
        <w:autoSpaceDN w:val="0"/>
        <w:adjustRightInd w:val="0"/>
        <w:snapToGrid w:val="0"/>
        <w:spacing w:line="360" w:lineRule="auto"/>
        <w:rPr>
          <w:rFonts w:hint="eastAsia" w:ascii="宋体" w:hAnsi="宋体" w:eastAsia="宋体"/>
          <w:b/>
          <w:bCs w:val="0"/>
          <w:color w:val="auto"/>
          <w:kern w:val="0"/>
          <w:sz w:val="32"/>
          <w:szCs w:val="32"/>
          <w:highlight w:val="none"/>
          <w:lang w:eastAsia="zh-CN"/>
        </w:rPr>
      </w:pPr>
      <w:r>
        <w:rPr>
          <w:rFonts w:hint="eastAsia" w:ascii="宋体" w:hAnsi="宋体" w:eastAsia="宋体"/>
          <w:b/>
          <w:color w:val="auto"/>
          <w:kern w:val="0"/>
          <w:sz w:val="32"/>
          <w:szCs w:val="32"/>
          <w:highlight w:val="none"/>
        </w:rPr>
        <w:t>项目编号：</w:t>
      </w:r>
      <w:r>
        <w:rPr>
          <w:rFonts w:hint="eastAsia" w:ascii="宋体" w:hAnsi="宋体" w:eastAsia="宋体"/>
          <w:b/>
          <w:color w:val="auto"/>
          <w:kern w:val="0"/>
          <w:sz w:val="32"/>
          <w:szCs w:val="32"/>
          <w:highlight w:val="none"/>
          <w:u w:val="single"/>
          <w:lang w:val="en-US" w:eastAsia="zh-CN"/>
        </w:rPr>
        <w:t>czsjcg202511-048</w:t>
      </w:r>
    </w:p>
    <w:p w14:paraId="09783F91">
      <w:pPr>
        <w:tabs>
          <w:tab w:val="left" w:pos="2410"/>
        </w:tabs>
        <w:autoSpaceDE w:val="0"/>
        <w:autoSpaceDN w:val="0"/>
        <w:adjustRightInd w:val="0"/>
        <w:snapToGrid w:val="0"/>
        <w:spacing w:line="360" w:lineRule="auto"/>
        <w:rPr>
          <w:rFonts w:hint="eastAsia" w:ascii="宋体" w:hAnsi="宋体" w:eastAsia="宋体"/>
          <w:b w:val="0"/>
          <w:bCs/>
          <w:color w:val="auto"/>
          <w:kern w:val="0"/>
          <w:sz w:val="32"/>
          <w:szCs w:val="32"/>
          <w:highlight w:val="none"/>
          <w:lang w:eastAsia="zh-CN"/>
        </w:rPr>
      </w:pPr>
      <w:r>
        <w:rPr>
          <w:rFonts w:hint="eastAsia" w:ascii="宋体" w:hAnsi="宋体" w:eastAsia="宋体"/>
          <w:b/>
          <w:color w:val="auto"/>
          <w:kern w:val="0"/>
          <w:sz w:val="32"/>
          <w:szCs w:val="32"/>
          <w:highlight w:val="none"/>
        </w:rPr>
        <w:t>采 购 人：</w:t>
      </w:r>
      <w:r>
        <w:rPr>
          <w:rFonts w:hint="eastAsia" w:ascii="宋体" w:hAnsi="宋体" w:eastAsia="宋体"/>
          <w:b/>
          <w:color w:val="auto"/>
          <w:kern w:val="0"/>
          <w:sz w:val="32"/>
          <w:szCs w:val="32"/>
          <w:highlight w:val="none"/>
          <w:u w:val="single"/>
          <w:lang w:eastAsia="zh-CN"/>
        </w:rPr>
        <w:t>滁州市发展和改革委员会</w:t>
      </w:r>
    </w:p>
    <w:p w14:paraId="4BBB2A75">
      <w:pPr>
        <w:tabs>
          <w:tab w:val="left" w:pos="2410"/>
        </w:tabs>
        <w:autoSpaceDE w:val="0"/>
        <w:autoSpaceDN w:val="0"/>
        <w:adjustRightInd w:val="0"/>
        <w:snapToGrid w:val="0"/>
        <w:spacing w:line="360" w:lineRule="auto"/>
        <w:rPr>
          <w:rFonts w:hint="default" w:ascii="宋体" w:hAnsi="宋体" w:eastAsia="宋体"/>
          <w:b/>
          <w:color w:val="auto"/>
          <w:kern w:val="0"/>
          <w:sz w:val="32"/>
          <w:szCs w:val="32"/>
          <w:highlight w:val="none"/>
          <w:u w:val="none"/>
          <w:lang w:val="en-US" w:eastAsia="zh-CN"/>
        </w:rPr>
      </w:pPr>
      <w:r>
        <w:rPr>
          <w:rFonts w:hint="eastAsia" w:ascii="宋体" w:hAnsi="宋体" w:eastAsia="宋体"/>
          <w:b/>
          <w:color w:val="auto"/>
          <w:kern w:val="0"/>
          <w:sz w:val="32"/>
          <w:szCs w:val="32"/>
          <w:highlight w:val="none"/>
        </w:rPr>
        <w:t>采购代理机构：</w:t>
      </w:r>
      <w:r>
        <w:rPr>
          <w:rFonts w:hint="eastAsia" w:ascii="宋体" w:hAnsi="宋体" w:eastAsia="宋体"/>
          <w:b/>
          <w:color w:val="auto"/>
          <w:kern w:val="0"/>
          <w:sz w:val="32"/>
          <w:szCs w:val="32"/>
          <w:highlight w:val="none"/>
          <w:u w:val="single"/>
          <w:lang w:eastAsia="zh-CN"/>
        </w:rPr>
        <w:t>滁州市政府采购中心</w:t>
      </w:r>
    </w:p>
    <w:p w14:paraId="6FBDCB56">
      <w:pPr>
        <w:tabs>
          <w:tab w:val="left" w:pos="2410"/>
        </w:tabs>
        <w:autoSpaceDE w:val="0"/>
        <w:autoSpaceDN w:val="0"/>
        <w:adjustRightInd w:val="0"/>
        <w:snapToGrid w:val="0"/>
        <w:spacing w:line="360" w:lineRule="auto"/>
        <w:ind w:firstLine="643" w:firstLineChars="200"/>
        <w:rPr>
          <w:rFonts w:hint="eastAsia" w:ascii="宋体" w:hAnsi="宋体" w:eastAsia="宋体"/>
          <w:b/>
          <w:color w:val="auto"/>
          <w:kern w:val="0"/>
          <w:sz w:val="32"/>
          <w:szCs w:val="32"/>
          <w:highlight w:val="none"/>
        </w:rPr>
      </w:pPr>
    </w:p>
    <w:p w14:paraId="72CBE3C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11</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p>
    <w:p w14:paraId="76DD1A48">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ascii="宋体" w:hAnsi="宋体" w:eastAsia="宋体"/>
          <w:b/>
          <w:color w:val="auto"/>
          <w:sz w:val="36"/>
          <w:highlight w:val="none"/>
        </w:rPr>
        <w:br w:type="page"/>
      </w:r>
    </w:p>
    <w:p w14:paraId="7F1FB49C">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5E68B924">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4D523EB4">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"_Toc19927"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磋商邀请</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_Toc19927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E2FEA97">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"_Toc3785"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_Toc3785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0BC94B4">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"_Toc28125"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_Toc28125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71B35E40">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"_Toc17554"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评审方法和标准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_Toc17554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C538C5E">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"_Toc6037"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政府采购合同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_Toc6037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F63CFCB">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"_Toc16475"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第六章  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_Toc16475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FDDD93">
      <w:pPr>
        <w:pStyle w:val="20"/>
        <w:tabs>
          <w:tab w:val="right" w:leader="dot" w:pos="82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"_Toc7345"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bCs/>
          <w:color w:val="auto"/>
          <w:sz w:val="28"/>
          <w:szCs w:val="28"/>
          <w:highlight w:val="none"/>
        </w:rPr>
        <w:t>第七章  政府采购</w:t>
      </w:r>
      <w:r>
        <w:rPr>
          <w:rFonts w:hint="eastAsia" w:ascii="宋体" w:hAnsi="宋体" w:eastAsia="宋体" w:cs="宋体"/>
          <w:color w:val="auto"/>
          <w:sz w:val="28"/>
          <w:szCs w:val="28"/>
          <w:highlight w:val="none"/>
        </w:rPr>
        <w:t>供应</w:t>
      </w:r>
      <w:r>
        <w:rPr>
          <w:rFonts w:hint="eastAsia" w:ascii="宋体" w:hAnsi="宋体" w:eastAsia="宋体" w:cs="宋体"/>
          <w:bCs/>
          <w:color w:val="auto"/>
          <w:sz w:val="28"/>
          <w:szCs w:val="28"/>
          <w:highlight w:val="none"/>
        </w:rPr>
        <w:t>商询问函和质疑函范本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_Toc7345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4D739F88">
      <w:pPr>
        <w:pStyle w:val="21"/>
        <w:tabs>
          <w:tab w:val="right" w:leader="dot" w:pos="8296"/>
        </w:tabs>
        <w:rPr>
          <w:rFonts w:hint="eastAsia" w:asciiTheme="minorEastAsia" w:hAnsiTheme="minorEastAsia"/>
          <w:b/>
          <w:color w:val="auto"/>
          <w:sz w:val="32"/>
          <w:highlight w:val="none"/>
        </w:rPr>
      </w:pPr>
      <w:r>
        <w:rPr>
          <w:rFonts w:hint="eastAsia" w:ascii="宋体" w:hAnsi="宋体" w:eastAsia="宋体" w:cs="宋体"/>
          <w:color w:val="auto"/>
          <w:sz w:val="28"/>
          <w:szCs w:val="28"/>
          <w:highlight w:val="none"/>
        </w:rPr>
        <w:fldChar w:fldCharType="end"/>
      </w:r>
    </w:p>
    <w:p w14:paraId="0C3B85A9">
      <w:pPr>
        <w:spacing w:line="360" w:lineRule="auto"/>
        <w:jc w:val="center"/>
        <w:outlineLvl w:val="1"/>
        <w:rPr>
          <w:rFonts w:hint="eastAsia" w:asciiTheme="minorEastAsia" w:hAnsiTheme="minorEastAsia" w:eastAsiaTheme="minorEastAsia"/>
          <w:b/>
          <w:color w:val="auto"/>
          <w:sz w:val="28"/>
          <w:highlight w:val="none"/>
        </w:rPr>
        <w:sectPr>
          <w:headerReference r:id="rId3" w:type="default"/>
          <w:footerReference r:id="rId4" w:type="default"/>
          <w:pgSz w:w="11907" w:h="16840"/>
          <w:pgMar w:top="1474" w:right="1814" w:bottom="1474" w:left="1814" w:header="851" w:footer="992" w:gutter="0"/>
          <w:cols w:space="720" w:num="1"/>
          <w:docGrid w:linePitch="462" w:charSpace="0"/>
        </w:sectPr>
      </w:pPr>
    </w:p>
    <w:p w14:paraId="74A3F39E">
      <w:pPr>
        <w:spacing w:line="360" w:lineRule="auto"/>
        <w:jc w:val="center"/>
        <w:outlineLvl w:val="0"/>
        <w:rPr>
          <w:rFonts w:hint="eastAsia" w:asciiTheme="minorEastAsia" w:hAnsiTheme="minorEastAsia" w:eastAsiaTheme="minorEastAsia"/>
          <w:b/>
          <w:color w:val="auto"/>
          <w:sz w:val="28"/>
          <w:highlight w:val="none"/>
        </w:rPr>
      </w:pPr>
      <w:bookmarkStart w:id="1" w:name="_Toc501"/>
      <w:bookmarkStart w:id="2" w:name="_Toc19988"/>
      <w:bookmarkStart w:id="3" w:name="_Toc19927"/>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1"/>
      <w:bookmarkEnd w:id="2"/>
      <w:bookmarkEnd w:id="3"/>
    </w:p>
    <w:p w14:paraId="6E68AB0D">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项目概况</w:t>
      </w:r>
    </w:p>
    <w:p w14:paraId="04CA9521">
      <w:pPr>
        <w:wordWrap w:val="0"/>
        <w:autoSpaceDE w:val="0"/>
        <w:autoSpaceDN w:val="0"/>
        <w:adjustRightInd w:val="0"/>
        <w:spacing w:line="480" w:lineRule="exact"/>
        <w:ind w:firstLine="436" w:firstLineChars="182"/>
        <w:jc w:val="left"/>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u w:val="single"/>
          <w:lang w:eastAsia="zh-CN" w:bidi="ar"/>
        </w:rPr>
        <w:t>滁州市公共信用信息共享服务平台运维服务项目</w:t>
      </w:r>
      <w:r>
        <w:rPr>
          <w:rFonts w:hint="eastAsia" w:ascii="宋体" w:hAnsi="宋体" w:eastAsia="宋体" w:cs="宋体"/>
          <w:color w:val="auto"/>
          <w:sz w:val="24"/>
          <w:szCs w:val="24"/>
          <w:highlight w:val="none"/>
          <w:lang w:bidi="ar"/>
        </w:rPr>
        <w:t>的潜在供应商应在滁州市公共资源交易中心网（http://ggzy.chuzhou.gov.cn/）获取采购文件，并于202</w:t>
      </w: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lang w:val="en-US" w:eastAsia="zh-CN" w:bidi="ar"/>
        </w:rPr>
        <w:t>12</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lang w:val="en-US" w:eastAsia="zh-CN" w:bidi="ar"/>
        </w:rPr>
        <w:t>8</w:t>
      </w:r>
      <w:r>
        <w:rPr>
          <w:rFonts w:hint="eastAsia" w:ascii="宋体" w:hAnsi="宋体" w:eastAsia="宋体" w:cs="宋体"/>
          <w:color w:val="auto"/>
          <w:sz w:val="24"/>
          <w:szCs w:val="24"/>
          <w:highlight w:val="none"/>
          <w:lang w:bidi="ar"/>
        </w:rPr>
        <w:t>日8点</w:t>
      </w:r>
      <w:r>
        <w:rPr>
          <w:rFonts w:hint="eastAsia" w:ascii="宋体" w:hAnsi="宋体" w:eastAsia="宋体" w:cs="宋体"/>
          <w:color w:val="auto"/>
          <w:sz w:val="24"/>
          <w:szCs w:val="24"/>
          <w:highlight w:val="none"/>
          <w:lang w:val="en-US" w:eastAsia="zh-CN" w:bidi="ar"/>
        </w:rPr>
        <w:t>5</w:t>
      </w:r>
      <w:r>
        <w:rPr>
          <w:rFonts w:hint="eastAsia" w:ascii="宋体" w:hAnsi="宋体" w:eastAsia="宋体" w:cs="宋体"/>
          <w:color w:val="auto"/>
          <w:sz w:val="24"/>
          <w:szCs w:val="24"/>
          <w:highlight w:val="none"/>
          <w:lang w:bidi="ar"/>
        </w:rPr>
        <w:t>0分（北京时间）前递交响应文件。</w:t>
      </w:r>
    </w:p>
    <w:p w14:paraId="7B4408CD">
      <w:pPr>
        <w:spacing w:line="480" w:lineRule="exact"/>
        <w:ind w:firstLine="435"/>
        <w:outlineLvl w:val="1"/>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一、项目名称及内容</w:t>
      </w:r>
    </w:p>
    <w:p w14:paraId="1D58662F">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项目编号：czsjcg202511-048 </w:t>
      </w:r>
    </w:p>
    <w:p w14:paraId="3B1CD362">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滁州市公共信用信息共享服务平台运维服务项目</w:t>
      </w:r>
    </w:p>
    <w:p w14:paraId="41A8FA45">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采购方式：竞争性磋商</w:t>
      </w:r>
    </w:p>
    <w:p w14:paraId="58FE9631">
      <w:pPr>
        <w:autoSpaceDE w:val="0"/>
        <w:autoSpaceDN w:val="0"/>
        <w:adjustRightInd w:val="0"/>
        <w:spacing w:line="480" w:lineRule="exact"/>
        <w:ind w:firstLine="436" w:firstLineChars="182"/>
        <w:jc w:val="lef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val="en-US" w:eastAsia="zh-CN" w:bidi="ar"/>
        </w:rPr>
        <w:t>700000.00</w:t>
      </w:r>
      <w:r>
        <w:rPr>
          <w:rFonts w:hint="eastAsia" w:ascii="宋体" w:hAnsi="宋体" w:eastAsia="宋体" w:cs="宋体"/>
          <w:color w:val="auto"/>
          <w:sz w:val="24"/>
          <w:szCs w:val="24"/>
          <w:highlight w:val="none"/>
          <w:lang w:bidi="ar"/>
        </w:rPr>
        <w:t>元</w:t>
      </w:r>
      <w:r>
        <w:rPr>
          <w:rFonts w:hint="eastAsia" w:ascii="宋体" w:hAnsi="宋体" w:eastAsia="宋体" w:cs="宋体"/>
          <w:color w:val="auto"/>
          <w:sz w:val="24"/>
          <w:szCs w:val="24"/>
          <w:highlight w:val="none"/>
          <w:lang w:val="en-US" w:eastAsia="zh-CN" w:bidi="ar"/>
        </w:rPr>
        <w:t>/年</w:t>
      </w:r>
    </w:p>
    <w:p w14:paraId="061677A8">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70</w:t>
      </w:r>
      <w:r>
        <w:rPr>
          <w:rFonts w:hint="eastAsia" w:ascii="宋体" w:hAnsi="宋体" w:eastAsia="宋体" w:cs="宋体"/>
          <w:color w:val="auto"/>
          <w:sz w:val="24"/>
          <w:szCs w:val="24"/>
          <w:highlight w:val="none"/>
          <w:lang w:bidi="ar"/>
        </w:rPr>
        <w:t>0000.00元</w:t>
      </w:r>
      <w:r>
        <w:rPr>
          <w:rFonts w:hint="eastAsia" w:ascii="宋体" w:hAnsi="宋体" w:eastAsia="宋体" w:cs="宋体"/>
          <w:color w:val="auto"/>
          <w:sz w:val="24"/>
          <w:szCs w:val="24"/>
          <w:highlight w:val="none"/>
          <w:lang w:val="en-US" w:eastAsia="zh-CN" w:bidi="ar"/>
        </w:rPr>
        <w:t>/年</w:t>
      </w:r>
      <w:r>
        <w:rPr>
          <w:rFonts w:hint="eastAsia" w:ascii="宋体" w:hAnsi="宋体" w:eastAsia="宋体" w:cs="宋体"/>
          <w:color w:val="auto"/>
          <w:sz w:val="24"/>
          <w:szCs w:val="24"/>
          <w:highlight w:val="none"/>
          <w:lang w:bidi="ar"/>
        </w:rPr>
        <w:t>，响应报价不得高于最高限价，否则按无效响应处理</w:t>
      </w:r>
    </w:p>
    <w:p w14:paraId="1E703743">
      <w:pPr>
        <w:autoSpaceDE w:val="0"/>
        <w:autoSpaceDN w:val="0"/>
        <w:adjustRightInd w:val="0"/>
        <w:spacing w:line="480" w:lineRule="exact"/>
        <w:ind w:firstLine="436" w:firstLineChars="182"/>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采购需求：滁州市公共信用信息共享服务平台运维服务</w:t>
      </w:r>
    </w:p>
    <w:p w14:paraId="3F92F7B7">
      <w:pPr>
        <w:autoSpaceDE w:val="0"/>
        <w:autoSpaceDN w:val="0"/>
        <w:adjustRightInd w:val="0"/>
        <w:spacing w:line="480" w:lineRule="exact"/>
        <w:ind w:firstLine="436" w:firstLineChars="182"/>
        <w:jc w:val="left"/>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合同履行期限：</w:t>
      </w:r>
      <w:r>
        <w:rPr>
          <w:rFonts w:hint="eastAsia" w:ascii="宋体" w:hAnsi="宋体" w:eastAsia="宋体" w:cs="宋体"/>
          <w:color w:val="auto"/>
          <w:sz w:val="24"/>
          <w:szCs w:val="24"/>
          <w:highlight w:val="none"/>
          <w:lang w:val="en-US" w:eastAsia="zh-CN" w:bidi="ar"/>
        </w:rPr>
        <w:t>三年（合同一年一签，考核优秀且资金到位可续签两年）。</w:t>
      </w:r>
    </w:p>
    <w:p w14:paraId="126D238A">
      <w:pPr>
        <w:autoSpaceDE w:val="0"/>
        <w:autoSpaceDN w:val="0"/>
        <w:adjustRightInd w:val="0"/>
        <w:spacing w:line="480" w:lineRule="exact"/>
        <w:ind w:firstLine="436" w:firstLineChars="182"/>
        <w:jc w:val="left"/>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本项目不接受联合体。</w:t>
      </w:r>
    </w:p>
    <w:p w14:paraId="0333EFBD">
      <w:pPr>
        <w:spacing w:line="480" w:lineRule="exact"/>
        <w:ind w:firstLine="435"/>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二</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申请人的资格要求</w:t>
      </w:r>
    </w:p>
    <w:p w14:paraId="75960B4C">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1.满足《中华人民共和国政府采购法》第二十二条规定；</w:t>
      </w:r>
    </w:p>
    <w:p w14:paraId="62FD684F">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号）规定执行。</w:t>
      </w:r>
    </w:p>
    <w:p w14:paraId="588D3195">
      <w:pPr>
        <w:spacing w:line="360" w:lineRule="auto"/>
        <w:ind w:firstLine="435"/>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3.本项目的特定资格要求：</w:t>
      </w:r>
      <w:r>
        <w:rPr>
          <w:rFonts w:hint="eastAsia" w:ascii="宋体" w:hAnsi="宋体" w:eastAsia="宋体" w:cs="宋体"/>
          <w:color w:val="auto"/>
          <w:sz w:val="24"/>
          <w:szCs w:val="24"/>
          <w:highlight w:val="none"/>
          <w:lang w:val="en-US" w:eastAsia="zh-CN" w:bidi="ar"/>
        </w:rPr>
        <w:t>/</w:t>
      </w:r>
      <w:r>
        <w:rPr>
          <w:rFonts w:hint="eastAsia" w:asciiTheme="minorEastAsia" w:hAnsiTheme="minorEastAsia" w:eastAsiaTheme="minorEastAsia"/>
          <w:bCs/>
          <w:color w:val="auto"/>
          <w:sz w:val="24"/>
          <w:szCs w:val="20"/>
          <w:highlight w:val="none"/>
          <w:lang w:val="en-US" w:eastAsia="zh-CN"/>
        </w:rPr>
        <w:t>。</w:t>
      </w:r>
    </w:p>
    <w:p w14:paraId="0BA21E75">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4.信誉要求：供应商不得存在以下情形：</w:t>
      </w:r>
    </w:p>
    <w:p w14:paraId="0862CF12">
      <w:pPr>
        <w:spacing w:line="360" w:lineRule="auto"/>
        <w:ind w:firstLine="435"/>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①被列入“信用中国”网站“失信被执行人”的</w:t>
      </w:r>
      <w:r>
        <w:rPr>
          <w:rFonts w:hint="eastAsia" w:ascii="宋体" w:hAnsi="宋体" w:eastAsia="宋体" w:cs="宋体"/>
          <w:color w:val="auto"/>
          <w:sz w:val="24"/>
          <w:szCs w:val="24"/>
          <w:highlight w:val="none"/>
          <w:lang w:eastAsia="zh-CN" w:bidi="ar"/>
        </w:rPr>
        <w:t>；</w:t>
      </w:r>
    </w:p>
    <w:p w14:paraId="2AEC5A9C">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A2ACF8C">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 “严重失信主体名单”的；</w:t>
      </w:r>
    </w:p>
    <w:p w14:paraId="75DF9776">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w:t>
      </w:r>
      <w:bookmarkStart w:id="4" w:name="OLE_LINK127"/>
      <w:bookmarkStart w:id="5" w:name="OLE_LINK128"/>
      <w:bookmarkStart w:id="6" w:name="OLE_LINK129"/>
      <w:r>
        <w:rPr>
          <w:rFonts w:hint="eastAsia" w:ascii="宋体" w:hAnsi="宋体" w:eastAsia="宋体" w:cs="宋体"/>
          <w:color w:val="auto"/>
          <w:sz w:val="24"/>
          <w:szCs w:val="24"/>
          <w:highlight w:val="none"/>
          <w:lang w:bidi="ar"/>
        </w:rPr>
        <w:t>“信用中国”网站</w:t>
      </w:r>
      <w:bookmarkEnd w:id="4"/>
      <w:bookmarkEnd w:id="5"/>
      <w:bookmarkEnd w:id="6"/>
      <w:r>
        <w:rPr>
          <w:rFonts w:hint="eastAsia" w:ascii="宋体" w:hAnsi="宋体" w:eastAsia="宋体" w:cs="宋体"/>
          <w:color w:val="auto"/>
          <w:sz w:val="24"/>
          <w:szCs w:val="24"/>
          <w:highlight w:val="none"/>
          <w:lang w:bidi="ar"/>
        </w:rPr>
        <w:t>上披露的仍在公示期的严重失信行为(具体行为类别及判定依据见“信用中国”查询的严重失信行为类别及判定依据)的。</w:t>
      </w:r>
    </w:p>
    <w:p w14:paraId="00B08AF1">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5EC981C0">
      <w:pPr>
        <w:spacing w:line="360" w:lineRule="auto"/>
        <w:ind w:firstLine="435"/>
        <w:rPr>
          <w:rFonts w:hint="eastAsia" w:ascii="宋体" w:hAnsi="宋体" w:eastAsia="宋体" w:cs="宋体"/>
          <w:color w:val="auto"/>
          <w:sz w:val="24"/>
          <w:szCs w:val="24"/>
          <w:highlight w:val="none"/>
          <w:lang w:bidi="ar"/>
        </w:rPr>
      </w:pPr>
      <w:bookmarkStart w:id="7" w:name="OLE_LINK113"/>
      <w:bookmarkStart w:id="8" w:name="OLE_LINK114"/>
      <w:r>
        <w:rPr>
          <w:rFonts w:hint="eastAsia" w:ascii="宋体" w:hAnsi="宋体" w:eastAsia="宋体" w:cs="宋体"/>
          <w:color w:val="auto"/>
          <w:sz w:val="24"/>
          <w:szCs w:val="24"/>
          <w:highlight w:val="none"/>
          <w:lang w:bidi="ar"/>
        </w:rPr>
        <w:t>⑥</w:t>
      </w:r>
      <w:bookmarkEnd w:id="7"/>
      <w:bookmarkEnd w:id="8"/>
      <w:r>
        <w:rPr>
          <w:rFonts w:hint="eastAsia" w:ascii="宋体" w:hAnsi="宋体" w:eastAsia="宋体" w:cs="宋体"/>
          <w:color w:val="auto"/>
          <w:sz w:val="24"/>
          <w:szCs w:val="24"/>
          <w:highlight w:val="none"/>
          <w:lang w:bidi="ar"/>
        </w:rPr>
        <w:t>被列入中国政府采购网站“政府采购严重违法失信行为信息记录”的</w:t>
      </w:r>
      <w:r>
        <w:rPr>
          <w:rFonts w:hint="eastAsia" w:ascii="宋体" w:hAnsi="宋体" w:eastAsia="宋体" w:cs="宋体"/>
          <w:color w:val="auto"/>
          <w:sz w:val="24"/>
          <w:szCs w:val="24"/>
          <w:highlight w:val="none"/>
          <w:lang w:eastAsia="zh-CN" w:bidi="ar"/>
        </w:rPr>
        <w:t>。</w:t>
      </w:r>
    </w:p>
    <w:p w14:paraId="28C2B178">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r>
        <w:rPr>
          <w:rFonts w:hint="eastAsia" w:ascii="宋体" w:hAnsi="宋体" w:eastAsia="宋体" w:cs="宋体"/>
          <w:color w:val="auto"/>
          <w:sz w:val="24"/>
          <w:szCs w:val="24"/>
          <w:highlight w:val="none"/>
          <w:lang w:eastAsia="zh-CN" w:bidi="ar"/>
        </w:rPr>
        <w:t>。</w:t>
      </w:r>
    </w:p>
    <w:p w14:paraId="3F7EB3E1">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5.供应商所属分公司、办事处等分支机构存在第4条信誉要求①-⑦项情形之一的，接受供应商参加本项目；</w:t>
      </w:r>
    </w:p>
    <w:p w14:paraId="2319D170">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备注：第4、5条按照“关于联合惩戒失信行为加强信用查询管理的通知”查询或承诺。</w:t>
      </w:r>
    </w:p>
    <w:p w14:paraId="1D682F6D">
      <w:pPr>
        <w:spacing w:line="480" w:lineRule="exact"/>
        <w:ind w:firstLine="435"/>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三</w:t>
      </w:r>
      <w:r>
        <w:rPr>
          <w:rFonts w:hint="eastAsia" w:ascii="宋体" w:hAnsi="宋体" w:eastAsia="宋体" w:cs="宋体"/>
          <w:b/>
          <w:color w:val="auto"/>
          <w:sz w:val="24"/>
          <w:szCs w:val="24"/>
          <w:highlight w:val="none"/>
          <w:lang w:bidi="ar"/>
        </w:rPr>
        <w:t>、获取采购文件</w:t>
      </w:r>
    </w:p>
    <w:p w14:paraId="563308D7">
      <w:pPr>
        <w:adjustRightInd w:val="0"/>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val="en-US" w:eastAsia="zh-CN" w:bidi="ar"/>
        </w:rPr>
        <w:t>11</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27</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日至</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val="en-US" w:eastAsia="zh-CN" w:bidi="ar"/>
        </w:rPr>
        <w:t xml:space="preserve"> 12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8</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627B4FDC">
      <w:pPr>
        <w:adjustRightInd w:val="0"/>
        <w:snapToGrid w:val="0"/>
        <w:spacing w:line="480" w:lineRule="exact"/>
        <w:ind w:firstLine="480" w:firstLineChars="2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地点：</w:t>
      </w:r>
      <w:r>
        <w:rPr>
          <w:rFonts w:hint="eastAsia" w:ascii="宋体" w:hAnsi="宋体" w:eastAsia="宋体" w:cs="宋体"/>
          <w:color w:val="auto"/>
          <w:sz w:val="24"/>
          <w:szCs w:val="24"/>
          <w:highlight w:val="none"/>
          <w:u w:val="single"/>
          <w:lang w:bidi="ar"/>
        </w:rPr>
        <w:t>滁州市公共资源交易中心网</w:t>
      </w:r>
    </w:p>
    <w:p w14:paraId="18A06B41">
      <w:pPr>
        <w:autoSpaceDE w:val="0"/>
        <w:spacing w:line="480" w:lineRule="exact"/>
        <w:ind w:firstLine="480" w:firstLineChars="2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方式：</w:t>
      </w:r>
      <w:r>
        <w:rPr>
          <w:rFonts w:hint="eastAsia" w:ascii="宋体" w:hAnsi="宋体" w:eastAsia="宋体" w:cs="宋体"/>
          <w:color w:val="auto"/>
          <w:sz w:val="24"/>
          <w:szCs w:val="24"/>
          <w:highlight w:val="none"/>
          <w:u w:val="single"/>
          <w:lang w:bidi="ar"/>
        </w:rPr>
        <w:t>网上下载</w:t>
      </w:r>
    </w:p>
    <w:p w14:paraId="6DDD0ED4">
      <w:pPr>
        <w:autoSpaceDE w:val="0"/>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售价：</w:t>
      </w:r>
      <w:r>
        <w:rPr>
          <w:rFonts w:hint="eastAsia" w:ascii="宋体" w:hAnsi="宋体" w:eastAsia="宋体" w:cs="宋体"/>
          <w:color w:val="auto"/>
          <w:sz w:val="24"/>
          <w:szCs w:val="24"/>
          <w:highlight w:val="none"/>
          <w:u w:val="single"/>
          <w:lang w:bidi="ar"/>
        </w:rPr>
        <w:t>0元</w:t>
      </w:r>
    </w:p>
    <w:p w14:paraId="2D0BE08C">
      <w:pPr>
        <w:spacing w:line="480" w:lineRule="exact"/>
        <w:ind w:firstLine="435"/>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四</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响应文件提交</w:t>
      </w:r>
    </w:p>
    <w:p w14:paraId="195E1955">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截止时间：</w:t>
      </w: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lang w:bidi="ar"/>
        </w:rPr>
        <w:t>年</w:t>
      </w:r>
      <w:r>
        <w:rPr>
          <w:rFonts w:hint="eastAsia" w:ascii="宋体" w:hAnsi="宋体" w:eastAsia="宋体" w:cs="宋体"/>
          <w:bCs/>
          <w:color w:val="auto"/>
          <w:sz w:val="24"/>
          <w:szCs w:val="24"/>
          <w:highlight w:val="none"/>
          <w:u w:val="single"/>
          <w:lang w:val="en-US" w:eastAsia="zh-CN" w:bidi="ar"/>
        </w:rPr>
        <w:t xml:space="preserve"> 12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val="en-US" w:eastAsia="zh-CN" w:bidi="ar"/>
        </w:rPr>
        <w:t>8</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r>
        <w:rPr>
          <w:rFonts w:hint="eastAsia" w:ascii="宋体" w:hAnsi="宋体" w:eastAsia="宋体" w:cs="宋体"/>
          <w:bCs/>
          <w:color w:val="auto"/>
          <w:sz w:val="24"/>
          <w:szCs w:val="24"/>
          <w:highlight w:val="none"/>
          <w:u w:val="single"/>
          <w:lang w:bidi="ar"/>
        </w:rPr>
        <w:t>8</w:t>
      </w:r>
      <w:r>
        <w:rPr>
          <w:rFonts w:hint="eastAsia" w:ascii="宋体" w:hAnsi="宋体" w:eastAsia="宋体" w:cs="宋体"/>
          <w:bCs/>
          <w:color w:val="auto"/>
          <w:sz w:val="24"/>
          <w:szCs w:val="24"/>
          <w:highlight w:val="none"/>
          <w:lang w:bidi="ar"/>
        </w:rPr>
        <w:t>点</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0</w:t>
      </w:r>
      <w:r>
        <w:rPr>
          <w:rFonts w:hint="eastAsia" w:ascii="宋体" w:hAnsi="宋体" w:eastAsia="宋体" w:cs="宋体"/>
          <w:bCs/>
          <w:color w:val="auto"/>
          <w:sz w:val="24"/>
          <w:szCs w:val="24"/>
          <w:highlight w:val="none"/>
          <w:lang w:bidi="ar"/>
        </w:rPr>
        <w:t>分（北京时间）</w:t>
      </w:r>
    </w:p>
    <w:p w14:paraId="06943340">
      <w:pPr>
        <w:spacing w:line="480" w:lineRule="exact"/>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地点：滁州市公共资源交易平台电子交易系统</w:t>
      </w:r>
    </w:p>
    <w:p w14:paraId="4162260C">
      <w:pPr>
        <w:spacing w:line="480" w:lineRule="exact"/>
        <w:ind w:firstLine="435"/>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五</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开启</w:t>
      </w:r>
    </w:p>
    <w:p w14:paraId="28A36E6E">
      <w:pPr>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时间：</w:t>
      </w: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lang w:bidi="ar"/>
        </w:rPr>
        <w:t>年</w:t>
      </w:r>
      <w:r>
        <w:rPr>
          <w:rFonts w:hint="eastAsia" w:ascii="宋体" w:hAnsi="宋体" w:eastAsia="宋体" w:cs="宋体"/>
          <w:bCs/>
          <w:color w:val="auto"/>
          <w:sz w:val="24"/>
          <w:szCs w:val="24"/>
          <w:highlight w:val="none"/>
          <w:u w:val="single"/>
          <w:lang w:val="en-US" w:eastAsia="zh-CN" w:bidi="ar"/>
        </w:rPr>
        <w:t xml:space="preserve"> 12 </w:t>
      </w:r>
      <w:r>
        <w:rPr>
          <w:rFonts w:hint="eastAsia" w:ascii="宋体" w:hAnsi="宋体" w:eastAsia="宋体" w:cs="宋体"/>
          <w:bCs/>
          <w:color w:val="auto"/>
          <w:sz w:val="24"/>
          <w:szCs w:val="24"/>
          <w:highlight w:val="none"/>
          <w:lang w:bidi="ar"/>
        </w:rPr>
        <w:t>月</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val="en-US" w:eastAsia="zh-CN" w:bidi="ar"/>
        </w:rPr>
        <w:t>8</w:t>
      </w: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日</w:t>
      </w:r>
      <w:r>
        <w:rPr>
          <w:rFonts w:hint="eastAsia" w:ascii="宋体" w:hAnsi="宋体" w:eastAsia="宋体" w:cs="宋体"/>
          <w:bCs/>
          <w:color w:val="auto"/>
          <w:sz w:val="24"/>
          <w:szCs w:val="24"/>
          <w:highlight w:val="none"/>
          <w:u w:val="single"/>
          <w:lang w:bidi="ar"/>
        </w:rPr>
        <w:t>8</w:t>
      </w:r>
      <w:r>
        <w:rPr>
          <w:rFonts w:hint="eastAsia" w:ascii="宋体" w:hAnsi="宋体" w:eastAsia="宋体" w:cs="宋体"/>
          <w:bCs/>
          <w:color w:val="auto"/>
          <w:sz w:val="24"/>
          <w:szCs w:val="24"/>
          <w:highlight w:val="none"/>
          <w:lang w:bidi="ar"/>
        </w:rPr>
        <w:t>点</w:t>
      </w:r>
      <w:r>
        <w:rPr>
          <w:rFonts w:hint="eastAsia" w:ascii="宋体" w:hAnsi="宋体" w:eastAsia="宋体" w:cs="宋体"/>
          <w:bCs/>
          <w:color w:val="auto"/>
          <w:sz w:val="24"/>
          <w:szCs w:val="24"/>
          <w:highlight w:val="none"/>
          <w:u w:val="single"/>
          <w:lang w:val="en-US" w:eastAsia="zh-CN" w:bidi="ar"/>
        </w:rPr>
        <w:t>5</w:t>
      </w:r>
      <w:bookmarkStart w:id="262" w:name="_GoBack"/>
      <w:bookmarkEnd w:id="262"/>
      <w:r>
        <w:rPr>
          <w:rFonts w:hint="eastAsia" w:ascii="宋体" w:hAnsi="宋体" w:eastAsia="宋体" w:cs="宋体"/>
          <w:bCs/>
          <w:color w:val="auto"/>
          <w:sz w:val="24"/>
          <w:szCs w:val="24"/>
          <w:highlight w:val="none"/>
          <w:u w:val="single"/>
          <w:lang w:bidi="ar"/>
        </w:rPr>
        <w:t>0</w:t>
      </w:r>
      <w:r>
        <w:rPr>
          <w:rFonts w:hint="eastAsia" w:ascii="宋体" w:hAnsi="宋体" w:eastAsia="宋体" w:cs="宋体"/>
          <w:bCs/>
          <w:color w:val="auto"/>
          <w:sz w:val="24"/>
          <w:szCs w:val="24"/>
          <w:highlight w:val="none"/>
          <w:lang w:bidi="ar"/>
        </w:rPr>
        <w:t>分（北京时间）</w:t>
      </w:r>
    </w:p>
    <w:p w14:paraId="2488B294">
      <w:pPr>
        <w:adjustRightInd w:val="0"/>
        <w:snapToGrid w:val="0"/>
        <w:spacing w:line="480" w:lineRule="exact"/>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地点：滁州市公共资源交易平台电子交易系统</w:t>
      </w:r>
    </w:p>
    <w:p w14:paraId="280B3280">
      <w:pPr>
        <w:spacing w:line="480" w:lineRule="exact"/>
        <w:ind w:firstLine="435"/>
        <w:outlineLvl w:val="1"/>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六、公告期限</w:t>
      </w:r>
    </w:p>
    <w:p w14:paraId="5A05EC47">
      <w:pPr>
        <w:adjustRightInd w:val="0"/>
        <w:snapToGrid w:val="0"/>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自本公告发布之日起3个工作日。</w:t>
      </w:r>
    </w:p>
    <w:p w14:paraId="5A691863">
      <w:pPr>
        <w:spacing w:line="480" w:lineRule="exact"/>
        <w:ind w:firstLine="435"/>
        <w:outlineLvl w:val="1"/>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七、其他补充事宜</w:t>
      </w:r>
    </w:p>
    <w:p w14:paraId="0DDA59A3">
      <w:pPr>
        <w:wordWrap w:val="0"/>
        <w:autoSpaceDE w:val="0"/>
        <w:spacing w:line="480" w:lineRule="exact"/>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本项目只接受在安徽省公共资源交易市场主体库（http://ggzy.ah.gov.cn/ahggfwpt-zhutiku/dengludenglu）登记并进行信息确认提交的供应商参与，未登记的供应商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；2.CA数字证书有关问题：安徽CA客服400-880-4959、0550-3019013（工作日），CFCA客服025-66085508 、0550-3801669（工作日）；3.市场主体招标环节和投标环节系统使用问题：</w:t>
      </w:r>
      <w:r>
        <w:rPr>
          <w:rFonts w:hint="eastAsia" w:ascii="宋体" w:hAnsi="宋体" w:eastAsia="宋体" w:cs="宋体"/>
          <w:color w:val="auto"/>
          <w:sz w:val="24"/>
          <w:szCs w:val="24"/>
          <w:highlight w:val="none"/>
          <w:lang w:eastAsia="zh-CN" w:bidi="ar"/>
        </w:rPr>
        <w:t>0512-58188516（8:00-21:00）</w:t>
      </w:r>
      <w:r>
        <w:rPr>
          <w:rFonts w:hint="eastAsia" w:ascii="宋体" w:hAnsi="宋体" w:eastAsia="宋体" w:cs="宋体"/>
          <w:color w:val="auto"/>
          <w:sz w:val="24"/>
          <w:szCs w:val="24"/>
          <w:highlight w:val="none"/>
          <w:lang w:bidi="ar"/>
        </w:rPr>
        <w:t>、0550-3801701（工作日）。因未及时通过CA数字证书登录省主体库对相关信息进行补充完善并确认提交，导致无法参与本项目的，责任自负。为保证系统使用过程中产生的问题能够及时得到解决，请各主体进行主体信息登记、更新、响应文件制作等相关操作。</w:t>
      </w:r>
    </w:p>
    <w:p w14:paraId="62B60739">
      <w:pPr>
        <w:wordWrap w:val="0"/>
        <w:autoSpaceDE w:val="0"/>
        <w:spacing w:line="480" w:lineRule="exact"/>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2.请供应商登录滁州市公共资源交易中心网站查看参加本项目的程序。（具体操作步骤和程序请参见服务指南&gt;交易须知&gt;投标人填写投标信息、下载文件及网上提问操作手册）。</w:t>
      </w:r>
    </w:p>
    <w:p w14:paraId="3487A98A">
      <w:pPr>
        <w:wordWrap w:val="0"/>
        <w:autoSpaceDE w:val="0"/>
        <w:spacing w:line="480" w:lineRule="exact"/>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本项目采用不见面（远程解密)方式，开启时供应商无须至现场进行解密，采取远程解密方式解密响应文件，解密方式为：供应商在开启时间前使用CA数字证书登录滁州市“不见面开标系统”，网址为https://ggzy.chuzhou.gov.cn/BidOpening,等待开启并按系统提示进行相应的供应商解密等事项，无需到现场。采用本方式可以观看开启现场音视频直播并进行互动交流。具体操作方法见中心网站&gt;服务指南&gt;交易须知中的《滁州市不见面开标系统操作手册》。</w:t>
      </w:r>
    </w:p>
    <w:p w14:paraId="7C46AD4A">
      <w:pPr>
        <w:wordWrap w:val="0"/>
        <w:autoSpaceDE w:val="0"/>
        <w:spacing w:line="480" w:lineRule="exact"/>
        <w:ind w:firstLine="480" w:firstLineChars="2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4.供应商接到远程解密指令后，须在规定时间内解密。因供应商自身原因导致响应文件在规定时间内未能解密、解密失败或解密超时，响应文件无效；因采购代理机构原因或网上平台发生故障，导致无法按时完成响应文件解密的，经采购代理机构申请后可延迟解密时间。</w:t>
      </w:r>
    </w:p>
    <w:p w14:paraId="060D0FEA">
      <w:pPr>
        <w:spacing w:line="360" w:lineRule="auto"/>
        <w:ind w:firstLine="435"/>
        <w:outlineLvl w:val="1"/>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八</w:t>
      </w:r>
      <w:r>
        <w:rPr>
          <w:rFonts w:hint="eastAsia" w:ascii="宋体" w:hAnsi="宋体" w:eastAsia="宋体" w:cs="宋体"/>
          <w:b/>
          <w:color w:val="auto"/>
          <w:sz w:val="24"/>
          <w:szCs w:val="24"/>
          <w:highlight w:val="none"/>
          <w:lang w:bidi="ar"/>
        </w:rPr>
        <w:t>、</w:t>
      </w:r>
      <w:r>
        <w:rPr>
          <w:rFonts w:hint="eastAsia" w:ascii="宋体" w:hAnsi="宋体" w:eastAsia="宋体" w:cs="宋体"/>
          <w:b/>
          <w:bCs/>
          <w:color w:val="auto"/>
          <w:sz w:val="24"/>
          <w:szCs w:val="24"/>
          <w:highlight w:val="none"/>
          <w:lang w:bidi="ar"/>
        </w:rPr>
        <w:t>凡对本次采购提出询问，请按以下方式联系</w:t>
      </w:r>
    </w:p>
    <w:p w14:paraId="4B287286">
      <w:pPr>
        <w:spacing w:line="360" w:lineRule="auto"/>
        <w:ind w:firstLine="437"/>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36BA657">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eastAsia="zh-CN" w:bidi="ar"/>
        </w:rPr>
        <w:t>滁州市发展和改革委员会</w:t>
      </w:r>
    </w:p>
    <w:p w14:paraId="418DE0AB">
      <w:pPr>
        <w:spacing w:line="360" w:lineRule="auto"/>
        <w:ind w:firstLine="435"/>
        <w:rPr>
          <w:rFonts w:hint="eastAsia" w:ascii="宋体" w:hAnsi="宋体" w:eastAsia="宋体"/>
          <w:color w:val="auto"/>
          <w:sz w:val="24"/>
          <w:szCs w:val="24"/>
          <w:highlight w:val="none"/>
          <w:u w:val="single"/>
          <w:lang w:eastAsia="zh-CN"/>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eastAsia="zh-CN" w:bidi="ar"/>
        </w:rPr>
        <w:t>滁州市龙蟠大道99号政务中心北6楼</w:t>
      </w:r>
    </w:p>
    <w:p w14:paraId="0FC850C7">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eastAsia="zh-CN" w:bidi="ar"/>
        </w:rPr>
        <w:t>符伟</w:t>
      </w:r>
    </w:p>
    <w:p w14:paraId="1AFA18E5">
      <w:pPr>
        <w:spacing w:line="360" w:lineRule="auto"/>
        <w:ind w:firstLine="435"/>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eastAsia="zh-CN" w:bidi="ar"/>
        </w:rPr>
        <w:t>0550-3035032</w:t>
      </w:r>
    </w:p>
    <w:p w14:paraId="0A8BD933">
      <w:pPr>
        <w:spacing w:line="360" w:lineRule="auto"/>
        <w:ind w:firstLine="437"/>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4681F257">
      <w:pPr>
        <w:spacing w:line="360" w:lineRule="auto"/>
        <w:ind w:firstLine="435"/>
        <w:rPr>
          <w:rFonts w:hint="eastAsia" w:ascii="宋体" w:hAnsi="宋体" w:eastAsia="宋体"/>
          <w:color w:val="auto"/>
          <w:sz w:val="24"/>
          <w:szCs w:val="24"/>
          <w:highlight w:val="none"/>
          <w:lang w:eastAsia="zh-CN"/>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eastAsia="zh-CN" w:bidi="ar"/>
        </w:rPr>
        <w:t>滁州市政府采购中心</w:t>
      </w:r>
    </w:p>
    <w:p w14:paraId="628CFB19">
      <w:pPr>
        <w:spacing w:line="360" w:lineRule="auto"/>
        <w:ind w:firstLine="435"/>
        <w:rPr>
          <w:rFonts w:hint="eastAsia" w:ascii="宋体" w:hAnsi="宋体" w:eastAsia="宋体"/>
          <w:color w:val="auto"/>
          <w:sz w:val="24"/>
          <w:szCs w:val="24"/>
          <w:highlight w:val="none"/>
          <w:u w:val="single"/>
          <w:lang w:eastAsia="zh-CN"/>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eastAsia="zh-CN" w:bidi="ar"/>
        </w:rPr>
        <w:t>滁州市龙蟠大道109号房产商务大厦2楼</w:t>
      </w:r>
    </w:p>
    <w:p w14:paraId="479669AF">
      <w:pPr>
        <w:spacing w:line="360" w:lineRule="auto"/>
        <w:ind w:firstLine="435"/>
        <w:rPr>
          <w:rFonts w:hint="eastAsia" w:eastAsia="宋体"/>
          <w:color w:val="auto"/>
          <w:szCs w:val="21"/>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bidi="ar"/>
        </w:rPr>
        <w:t>胡国庆</w:t>
      </w:r>
    </w:p>
    <w:p w14:paraId="4FEF157C">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bidi="ar"/>
        </w:rPr>
        <w:t>0550-3519517、18005500950</w:t>
      </w:r>
    </w:p>
    <w:p w14:paraId="66563A93">
      <w:pPr>
        <w:spacing w:line="360" w:lineRule="auto"/>
        <w:ind w:firstLine="437"/>
        <w:outlineLvl w:val="2"/>
        <w:rPr>
          <w:rFonts w:hint="eastAsia" w:ascii="宋体" w:hAnsi="宋体" w:eastAsia="宋体"/>
          <w:b/>
          <w:color w:val="auto"/>
          <w:sz w:val="24"/>
          <w:szCs w:val="24"/>
          <w:highlight w:val="none"/>
        </w:rPr>
      </w:pPr>
      <w:r>
        <w:rPr>
          <w:rFonts w:hint="eastAsia" w:ascii="宋体" w:hAnsi="宋体" w:eastAsia="宋体" w:cs="宋体"/>
          <w:bCs/>
          <w:color w:val="auto"/>
          <w:sz w:val="24"/>
          <w:szCs w:val="24"/>
          <w:highlight w:val="none"/>
          <w:lang w:bidi="ar"/>
        </w:rPr>
        <w:t>3</w:t>
      </w:r>
      <w:r>
        <w:rPr>
          <w:rFonts w:hint="eastAsia" w:ascii="宋体" w:hAnsi="宋体" w:eastAsia="宋体" w:cs="宋体"/>
          <w:b/>
          <w:color w:val="auto"/>
          <w:sz w:val="24"/>
          <w:szCs w:val="24"/>
          <w:highlight w:val="none"/>
          <w:lang w:bidi="ar"/>
        </w:rPr>
        <w:t>.</w:t>
      </w:r>
      <w:r>
        <w:rPr>
          <w:rFonts w:hint="eastAsia" w:ascii="宋体" w:hAnsi="宋体" w:eastAsia="宋体" w:cs="宋体"/>
          <w:color w:val="auto"/>
          <w:sz w:val="24"/>
          <w:szCs w:val="24"/>
          <w:highlight w:val="none"/>
          <w:lang w:bidi="ar"/>
        </w:rPr>
        <w:t>政府采购监督管理部门信息</w:t>
      </w:r>
    </w:p>
    <w:p w14:paraId="6F8325DA">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s="宋体"/>
          <w:color w:val="auto"/>
          <w:sz w:val="24"/>
          <w:szCs w:val="24"/>
          <w:highlight w:val="none"/>
          <w:u w:val="single"/>
          <w:lang w:bidi="ar"/>
        </w:rPr>
        <w:t>滁州市公共资源交易监督管理局</w:t>
      </w:r>
    </w:p>
    <w:p w14:paraId="3D0D294C">
      <w:pPr>
        <w:spacing w:line="360" w:lineRule="auto"/>
        <w:ind w:firstLine="435"/>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s="宋体"/>
          <w:color w:val="auto"/>
          <w:sz w:val="24"/>
          <w:szCs w:val="24"/>
          <w:highlight w:val="none"/>
          <w:u w:val="single"/>
          <w:lang w:bidi="ar"/>
        </w:rPr>
        <w:t>滁州市龙蟠大道109号房产商务大厦三楼</w:t>
      </w:r>
    </w:p>
    <w:p w14:paraId="5541C2BA">
      <w:pPr>
        <w:spacing w:line="360" w:lineRule="auto"/>
        <w:ind w:firstLine="435"/>
        <w:rPr>
          <w:rFonts w:hint="eastAsia"/>
          <w:color w:val="auto"/>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s="宋体"/>
          <w:color w:val="auto"/>
          <w:sz w:val="24"/>
          <w:szCs w:val="24"/>
          <w:highlight w:val="none"/>
          <w:u w:val="single"/>
          <w:lang w:bidi="ar"/>
        </w:rPr>
        <w:t>0550-38016</w:t>
      </w:r>
      <w:r>
        <w:rPr>
          <w:rFonts w:hint="eastAsia" w:ascii="宋体" w:hAnsi="宋体" w:eastAsia="宋体" w:cs="宋体"/>
          <w:color w:val="auto"/>
          <w:sz w:val="24"/>
          <w:szCs w:val="24"/>
          <w:highlight w:val="none"/>
          <w:u w:val="single"/>
          <w:lang w:val="en-US" w:eastAsia="zh-CN" w:bidi="ar"/>
        </w:rPr>
        <w:t>0</w:t>
      </w:r>
      <w:r>
        <w:rPr>
          <w:rFonts w:hint="eastAsia" w:ascii="宋体" w:hAnsi="宋体" w:eastAsia="宋体" w:cs="宋体"/>
          <w:color w:val="auto"/>
          <w:sz w:val="24"/>
          <w:szCs w:val="24"/>
          <w:highlight w:val="none"/>
          <w:u w:val="single"/>
          <w:lang w:bidi="ar"/>
        </w:rPr>
        <w:t>1</w:t>
      </w:r>
    </w:p>
    <w:p w14:paraId="514CA293">
      <w:pPr>
        <w:spacing w:line="360" w:lineRule="auto"/>
        <w:ind w:firstLine="435"/>
        <w:rPr>
          <w:rFonts w:hint="eastAsia" w:ascii="宋体" w:hAnsi="宋体" w:eastAsia="宋体"/>
          <w:color w:val="auto"/>
          <w:sz w:val="24"/>
          <w:szCs w:val="18"/>
          <w:highlight w:val="none"/>
          <w:u w:val="single"/>
        </w:rPr>
      </w:pPr>
    </w:p>
    <w:p w14:paraId="46181E32">
      <w:pPr>
        <w:spacing w:line="360" w:lineRule="auto"/>
        <w:ind w:firstLine="435"/>
        <w:rPr>
          <w:rFonts w:hint="eastAsia" w:ascii="宋体" w:hAnsi="宋体" w:eastAsia="宋体"/>
          <w:color w:val="auto"/>
          <w:sz w:val="24"/>
          <w:szCs w:val="18"/>
          <w:highlight w:val="none"/>
        </w:rPr>
      </w:pPr>
      <w:r>
        <w:rPr>
          <w:rFonts w:ascii="宋体" w:hAnsi="宋体" w:eastAsia="宋体"/>
          <w:color w:val="auto"/>
          <w:sz w:val="24"/>
          <w:szCs w:val="18"/>
          <w:highlight w:val="none"/>
        </w:rPr>
        <w:br w:type="page"/>
      </w:r>
    </w:p>
    <w:p w14:paraId="38E343BA">
      <w:pPr>
        <w:spacing w:line="360" w:lineRule="auto"/>
        <w:jc w:val="center"/>
        <w:outlineLvl w:val="0"/>
        <w:rPr>
          <w:rFonts w:hint="eastAsia" w:asciiTheme="minorEastAsia" w:hAnsiTheme="minorEastAsia" w:eastAsiaTheme="minorEastAsia"/>
          <w:b/>
          <w:color w:val="auto"/>
          <w:sz w:val="28"/>
          <w:highlight w:val="none"/>
        </w:rPr>
      </w:pPr>
      <w:bookmarkStart w:id="9" w:name="_Toc7162"/>
      <w:bookmarkStart w:id="10" w:name="_Toc3785"/>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9"/>
      <w:bookmarkEnd w:id="10"/>
    </w:p>
    <w:p w14:paraId="5C829233">
      <w:pPr>
        <w:spacing w:line="360" w:lineRule="auto"/>
        <w:jc w:val="center"/>
        <w:outlineLvl w:val="1"/>
        <w:rPr>
          <w:rFonts w:hint="eastAsia" w:asciiTheme="minorEastAsia" w:hAnsiTheme="minorEastAsia" w:eastAsiaTheme="minorEastAsia"/>
          <w:b/>
          <w:color w:val="auto"/>
          <w:sz w:val="24"/>
          <w:highlight w:val="none"/>
        </w:rPr>
      </w:pPr>
      <w:bookmarkStart w:id="11" w:name="_Toc11709"/>
      <w:bookmarkStart w:id="12" w:name="_Toc11383"/>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1"/>
      <w:bookmarkEnd w:id="12"/>
    </w:p>
    <w:p w14:paraId="6F9FE6D5">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6"/>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2031"/>
        <w:gridCol w:w="5722"/>
      </w:tblGrid>
      <w:tr w14:paraId="7F03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7DFA46F9">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60" w:type="pct"/>
            <w:vAlign w:val="center"/>
          </w:tcPr>
          <w:p w14:paraId="2342578F">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7" w:type="pct"/>
            <w:vAlign w:val="center"/>
          </w:tcPr>
          <w:p w14:paraId="246D1614">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FBC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5207F6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269365DB">
            <w:pPr>
              <w:pStyle w:val="44"/>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67" w:type="pct"/>
            <w:vAlign w:val="center"/>
          </w:tcPr>
          <w:p w14:paraId="74FF4B01">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szCs w:val="20"/>
                <w:highlight w:val="none"/>
              </w:rPr>
              <w:t>不组织或不召开</w:t>
            </w:r>
          </w:p>
          <w:p w14:paraId="6C7A4941">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p>
          <w:p w14:paraId="2AAB79DE">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63ADD80">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0E1703A3">
            <w:pPr>
              <w:keepNext w:val="0"/>
              <w:keepLines w:val="0"/>
              <w:suppressLineNumbers w:val="0"/>
              <w:spacing w:before="0" w:beforeAutospacing="0" w:after="0" w:afterAutospacing="0" w:line="360" w:lineRule="auto"/>
              <w:ind w:left="0" w:right="0"/>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E308992">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2B34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370FC8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60" w:type="pct"/>
            <w:vAlign w:val="center"/>
          </w:tcPr>
          <w:p w14:paraId="618F9F8D">
            <w:pPr>
              <w:pStyle w:val="44"/>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7" w:type="pct"/>
            <w:vAlign w:val="center"/>
          </w:tcPr>
          <w:p w14:paraId="5B72DFA8">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5</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年</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12</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月</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日</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u w:val="single"/>
              </w:rPr>
              <w:t xml:space="preserve"> </w:t>
            </w:r>
            <w:r>
              <w:rPr>
                <w:rFonts w:hint="default" w:ascii="宋体" w:hAnsi="宋体" w:eastAsia="宋体"/>
                <w:b w:val="0"/>
                <w:color w:val="auto"/>
                <w:sz w:val="24"/>
                <w:highlight w:val="none"/>
              </w:rPr>
              <w:t>时</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rPr>
              <w:t>30</w:t>
            </w:r>
            <w:r>
              <w:rPr>
                <w:rFonts w:hint="default"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00EE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02" w:type="dxa"/>
            <w:vAlign w:val="center"/>
          </w:tcPr>
          <w:p w14:paraId="17B11CC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7.1</w:t>
            </w:r>
          </w:p>
        </w:tc>
        <w:tc>
          <w:tcPr>
            <w:tcW w:w="1160" w:type="pct"/>
            <w:vAlign w:val="center"/>
          </w:tcPr>
          <w:p w14:paraId="3BFF45F7">
            <w:pPr>
              <w:pStyle w:val="44"/>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7" w:type="pct"/>
            <w:vAlign w:val="center"/>
          </w:tcPr>
          <w:p w14:paraId="2A4085E0">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eastAsia" w:ascii="宋体" w:hAnsi="宋体" w:eastAsia="宋体"/>
                <w:b w:val="0"/>
                <w:color w:val="auto"/>
                <w:sz w:val="24"/>
                <w:highlight w:val="none"/>
                <w:u w:val="single"/>
                <w:lang w:val="en-US" w:eastAsia="zh-CN"/>
              </w:rPr>
              <w:t xml:space="preserve"> / </w:t>
            </w:r>
            <w:r>
              <w:rPr>
                <w:rFonts w:hint="default" w:ascii="宋体" w:hAnsi="宋体" w:eastAsia="宋体"/>
                <w:b w:val="0"/>
                <w:color w:val="auto"/>
                <w:sz w:val="24"/>
                <w:highlight w:val="none"/>
              </w:rPr>
              <w:t>个包</w:t>
            </w:r>
          </w:p>
          <w:p w14:paraId="14E3F646">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hint="default"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295F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02" w:type="dxa"/>
            <w:vAlign w:val="center"/>
          </w:tcPr>
          <w:p w14:paraId="5F5F164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10.1</w:t>
            </w:r>
          </w:p>
        </w:tc>
        <w:tc>
          <w:tcPr>
            <w:tcW w:w="1160" w:type="pct"/>
            <w:vAlign w:val="center"/>
          </w:tcPr>
          <w:p w14:paraId="25B07616">
            <w:pPr>
              <w:pStyle w:val="44"/>
              <w:keepNext w:val="0"/>
              <w:keepLines w:val="0"/>
              <w:widowControl w:val="0"/>
              <w:suppressLineNumbers w:val="0"/>
              <w:spacing w:before="0" w:beforeAutospacing="0" w:after="0" w:afterAutospacing="0" w:line="360" w:lineRule="auto"/>
              <w:ind w:left="0" w:right="0"/>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3267" w:type="pct"/>
            <w:vAlign w:val="center"/>
          </w:tcPr>
          <w:p w14:paraId="7C261261">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0071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F8B8C2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60" w:type="pct"/>
            <w:vAlign w:val="center"/>
          </w:tcPr>
          <w:p w14:paraId="72E4DAEE">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3267" w:type="pct"/>
            <w:vAlign w:val="center"/>
          </w:tcPr>
          <w:p w14:paraId="5B414027">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90 </w:t>
            </w:r>
            <w:r>
              <w:rPr>
                <w:rFonts w:hint="eastAsia" w:ascii="宋体" w:hAnsi="宋体" w:eastAsia="宋体"/>
                <w:b w:val="0"/>
                <w:color w:val="auto"/>
                <w:sz w:val="24"/>
                <w:highlight w:val="none"/>
              </w:rPr>
              <w:t>日历日</w:t>
            </w:r>
          </w:p>
        </w:tc>
      </w:tr>
      <w:tr w14:paraId="7B6E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0A873A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60" w:type="pct"/>
            <w:vAlign w:val="center"/>
          </w:tcPr>
          <w:p w14:paraId="13D35FF4">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7" w:type="pct"/>
            <w:vAlign w:val="center"/>
          </w:tcPr>
          <w:p w14:paraId="0CD65636">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 xml:space="preserve"> 60 </w:t>
            </w:r>
            <w:r>
              <w:rPr>
                <w:rFonts w:hint="eastAsia" w:ascii="宋体" w:hAnsi="宋体" w:eastAsia="宋体"/>
                <w:b w:val="0"/>
                <w:color w:val="auto"/>
                <w:sz w:val="24"/>
                <w:highlight w:val="none"/>
              </w:rPr>
              <w:t>分钟内（以本项目网上招投标系统解密倒计时为准）。</w:t>
            </w:r>
          </w:p>
        </w:tc>
      </w:tr>
      <w:tr w14:paraId="2884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268C052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14.2</w:t>
            </w:r>
          </w:p>
        </w:tc>
        <w:tc>
          <w:tcPr>
            <w:tcW w:w="1160" w:type="pct"/>
            <w:vAlign w:val="center"/>
          </w:tcPr>
          <w:p w14:paraId="7290E895">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7" w:type="pct"/>
            <w:vAlign w:val="center"/>
          </w:tcPr>
          <w:p w14:paraId="2C12A5A8">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综合评分法</w:t>
            </w:r>
          </w:p>
        </w:tc>
      </w:tr>
      <w:tr w14:paraId="7309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C8F3A6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17.4</w:t>
            </w:r>
          </w:p>
        </w:tc>
        <w:tc>
          <w:tcPr>
            <w:tcW w:w="1160" w:type="pct"/>
            <w:vAlign w:val="center"/>
          </w:tcPr>
          <w:p w14:paraId="53107362">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0D463C4B">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3267" w:type="pct"/>
            <w:vAlign w:val="center"/>
          </w:tcPr>
          <w:p w14:paraId="4E77C205">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w:t>
            </w:r>
            <w:r>
              <w:rPr>
                <w:rFonts w:hint="default"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rPr>
              <w:t>对小型和微型企业的价格给予10%的扣除后参与评审；其评审价=最终响应报价*（90%）</w:t>
            </w:r>
            <w:r>
              <w:rPr>
                <w:rFonts w:hint="eastAsia" w:ascii="宋体" w:hAnsi="宋体" w:eastAsia="宋体"/>
                <w:b w:val="0"/>
                <w:color w:val="auto"/>
                <w:sz w:val="24"/>
                <w:highlight w:val="none"/>
              </w:rPr>
              <w:t>。</w:t>
            </w:r>
          </w:p>
          <w:p w14:paraId="5ADE6458">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（2）监狱企业价格扣除：同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1C670FDE">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（3）残疾人福利性单位价格扣除：同</w:t>
            </w:r>
            <w:r>
              <w:rPr>
                <w:rFonts w:hint="default" w:ascii="宋体" w:hAnsi="宋体" w:eastAsia="宋体"/>
                <w:b w:val="0"/>
                <w:color w:val="auto"/>
                <w:sz w:val="24"/>
                <w:highlight w:val="none"/>
              </w:rPr>
              <w:t>小型和微型企业</w:t>
            </w:r>
            <w:r>
              <w:rPr>
                <w:rFonts w:hint="eastAsia" w:ascii="宋体" w:hAnsi="宋体" w:eastAsia="宋体"/>
                <w:b w:val="0"/>
                <w:color w:val="auto"/>
                <w:sz w:val="24"/>
                <w:highlight w:val="none"/>
              </w:rPr>
              <w:t>。</w:t>
            </w:r>
          </w:p>
          <w:p w14:paraId="3EBC0CD7">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rPr>
              <w:t>联合体投标的，小型、微型企业的协议合同金额占联合体协议合同总金额30%以上的，价格给予联合体4%的扣除后参与评审；其评审价=投标报价*96%；联合体各方均为小型、微型企业的，联合体视同为小型、微型企业，其评审价按（1）款执行</w:t>
            </w:r>
            <w:r>
              <w:rPr>
                <w:rFonts w:hint="eastAsia" w:ascii="宋体" w:hAnsi="宋体" w:eastAsia="宋体"/>
                <w:b w:val="0"/>
                <w:color w:val="auto"/>
                <w:sz w:val="24"/>
                <w:highlight w:val="none"/>
              </w:rPr>
              <w:t>。</w:t>
            </w:r>
          </w:p>
          <w:p w14:paraId="5CEB45C5">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rPr>
              <w:t xml:space="preserve">  / </w:t>
            </w:r>
            <w:r>
              <w:rPr>
                <w:rFonts w:hint="eastAsia" w:ascii="宋体" w:hAnsi="宋体" w:eastAsia="宋体"/>
                <w:b w:val="0"/>
                <w:color w:val="auto"/>
                <w:sz w:val="24"/>
                <w:highlight w:val="none"/>
              </w:rPr>
              <w:t>。</w:t>
            </w:r>
          </w:p>
        </w:tc>
      </w:tr>
      <w:tr w14:paraId="5B6DB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Merge w:val="restart"/>
            <w:vAlign w:val="center"/>
          </w:tcPr>
          <w:p w14:paraId="165895F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19</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60" w:type="pct"/>
            <w:vMerge w:val="restart"/>
            <w:vAlign w:val="center"/>
          </w:tcPr>
          <w:p w14:paraId="3D99F681">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3267" w:type="pct"/>
            <w:vAlign w:val="center"/>
          </w:tcPr>
          <w:p w14:paraId="5B9536B2">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磋商小组推荐成交</w:t>
            </w:r>
            <w:r>
              <w:rPr>
                <w:rFonts w:hint="default"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hint="default" w:ascii="宋体" w:hAnsi="宋体" w:eastAsia="宋体"/>
                <w:b w:val="0"/>
                <w:color w:val="auto"/>
                <w:sz w:val="24"/>
                <w:highlight w:val="none"/>
              </w:rPr>
              <w:t>数</w:t>
            </w:r>
            <w:r>
              <w:rPr>
                <w:rFonts w:hint="eastAsia" w:ascii="宋体" w:hAnsi="宋体" w:eastAsia="宋体"/>
                <w:b w:val="0"/>
                <w:color w:val="auto"/>
                <w:sz w:val="24"/>
                <w:highlight w:val="none"/>
              </w:rPr>
              <w:t>量：3家</w:t>
            </w:r>
          </w:p>
          <w:p w14:paraId="13C15FA2">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5F475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41508DC6">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p>
        </w:tc>
        <w:tc>
          <w:tcPr>
            <w:tcW w:w="1160" w:type="pct"/>
            <w:vMerge w:val="continue"/>
            <w:vAlign w:val="center"/>
          </w:tcPr>
          <w:p w14:paraId="4D3D4E80">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p>
        </w:tc>
        <w:tc>
          <w:tcPr>
            <w:tcW w:w="3267" w:type="pct"/>
            <w:vAlign w:val="center"/>
          </w:tcPr>
          <w:p w14:paraId="4F51DD52">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656AB431">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采购人委托磋商小组确定 </w:t>
            </w:r>
            <w:r>
              <w:rPr>
                <w:rFonts w:hint="default" w:ascii="宋体" w:hAnsi="宋体" w:eastAsia="宋体"/>
                <w:b w:val="0"/>
                <w:color w:val="auto"/>
                <w:sz w:val="24"/>
                <w:highlight w:val="none"/>
              </w:rPr>
              <w:t xml:space="preserve">  </w:t>
            </w:r>
            <w:r>
              <w:rPr>
                <w:rFonts w:hint="eastAsia" w:ascii="宋体" w:hAnsi="宋体" w:eastAsia="宋体"/>
                <w:b w:val="0"/>
                <w:color w:val="auto"/>
                <w:sz w:val="24"/>
                <w:highlight w:val="none"/>
                <w:lang w:val="en-US" w:eastAsia="zh-CN"/>
              </w:rPr>
              <w:t xml:space="preserve">  </w:t>
            </w:r>
            <w:r>
              <w:rPr>
                <w:rFonts w:hint="default" w:ascii="宋体" w:hAnsi="宋体" w:eastAsia="宋体"/>
                <w:b w:val="0"/>
                <w:color w:val="auto"/>
                <w:sz w:val="24"/>
                <w:highlight w:val="none"/>
              </w:rPr>
              <w:t xml:space="preserve"> □</w:t>
            </w:r>
            <w:r>
              <w:rPr>
                <w:rFonts w:hint="eastAsia" w:ascii="宋体" w:hAnsi="宋体" w:eastAsia="宋体"/>
                <w:b w:val="0"/>
                <w:color w:val="auto"/>
                <w:sz w:val="24"/>
                <w:highlight w:val="none"/>
              </w:rPr>
              <w:t>采购人确定</w:t>
            </w:r>
          </w:p>
        </w:tc>
      </w:tr>
      <w:tr w14:paraId="568B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32145E6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22</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60" w:type="pct"/>
            <w:vAlign w:val="center"/>
          </w:tcPr>
          <w:p w14:paraId="647884C0">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3267" w:type="pct"/>
            <w:vAlign w:val="center"/>
          </w:tcPr>
          <w:p w14:paraId="319E2A00">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（1）中小企业声明函；</w:t>
            </w:r>
            <w:r>
              <w:rPr>
                <w:rFonts w:hint="eastAsia" w:ascii="宋体" w:hAnsi="宋体" w:eastAsia="宋体"/>
                <w:b w:val="0"/>
                <w:i/>
                <w:iCs/>
                <w:color w:val="auto"/>
                <w:sz w:val="24"/>
                <w:highlight w:val="none"/>
              </w:rPr>
              <w:t>（如有）</w:t>
            </w:r>
          </w:p>
          <w:p w14:paraId="309CABD3">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i/>
                <w:color w:val="auto"/>
                <w:sz w:val="24"/>
                <w:highlight w:val="none"/>
              </w:rPr>
            </w:pPr>
            <w:r>
              <w:rPr>
                <w:rFonts w:hint="eastAsia" w:ascii="宋体" w:hAnsi="宋体" w:eastAsia="宋体"/>
                <w:b w:val="0"/>
                <w:color w:val="auto"/>
                <w:sz w:val="24"/>
                <w:highlight w:val="none"/>
              </w:rPr>
              <w:t>（2）残疾人福利性单位声明函；</w:t>
            </w:r>
            <w:r>
              <w:rPr>
                <w:rFonts w:hint="eastAsia" w:ascii="宋体" w:hAnsi="宋体" w:eastAsia="宋体"/>
                <w:b w:val="0"/>
                <w:i/>
                <w:iCs/>
                <w:color w:val="auto"/>
                <w:sz w:val="24"/>
                <w:highlight w:val="none"/>
              </w:rPr>
              <w:t>（如有）</w:t>
            </w:r>
          </w:p>
          <w:p w14:paraId="7BB33151">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（3）中标（成交）供应商的评审总得分。</w:t>
            </w:r>
          </w:p>
        </w:tc>
      </w:tr>
      <w:tr w14:paraId="136B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26353C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23</w:t>
            </w:r>
            <w:r>
              <w:rPr>
                <w:rFonts w:hint="default" w:ascii="宋体" w:hAnsi="宋体" w:eastAsia="宋体"/>
                <w:bCs/>
                <w:color w:val="auto"/>
                <w:kern w:val="2"/>
                <w:highlight w:val="none"/>
              </w:rPr>
              <w:t>.1</w:t>
            </w:r>
          </w:p>
        </w:tc>
        <w:tc>
          <w:tcPr>
            <w:tcW w:w="1160" w:type="pct"/>
            <w:vAlign w:val="center"/>
          </w:tcPr>
          <w:p w14:paraId="40C2004C">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7" w:type="pct"/>
            <w:vAlign w:val="center"/>
          </w:tcPr>
          <w:p w14:paraId="3FDF322D">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hint="default"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1878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0D9B8F4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60" w:type="pct"/>
            <w:vAlign w:val="center"/>
          </w:tcPr>
          <w:p w14:paraId="60DCE225">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3267" w:type="pct"/>
            <w:vAlign w:val="center"/>
          </w:tcPr>
          <w:p w14:paraId="3B2FA692">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b w:val="0"/>
                <w:bCs w:val="0"/>
                <w:color w:val="auto"/>
                <w:sz w:val="24"/>
                <w:szCs w:val="24"/>
                <w:highlight w:val="none"/>
              </w:rPr>
              <w:t>系统查看</w:t>
            </w:r>
          </w:p>
          <w:p w14:paraId="52DD97BF">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□磋商现场告知</w:t>
            </w:r>
          </w:p>
        </w:tc>
      </w:tr>
      <w:tr w14:paraId="6160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5BBC6A76">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60" w:type="pct"/>
            <w:vAlign w:val="center"/>
          </w:tcPr>
          <w:p w14:paraId="7003737A">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7" w:type="pct"/>
          </w:tcPr>
          <w:p w14:paraId="1231928E">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4B46DA95">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33C1417">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73DDB798">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40D07B36">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7F31373">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0488CB38">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746916FC">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6E2D5ADE">
            <w:pPr>
              <w:keepNext w:val="0"/>
              <w:keepLines w:val="0"/>
              <w:suppressLineNumbers w:val="0"/>
              <w:spacing w:before="0" w:beforeAutospacing="0" w:after="0" w:afterAutospacing="0" w:line="360" w:lineRule="auto"/>
              <w:ind w:left="0" w:right="0"/>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         </w:t>
            </w:r>
          </w:p>
          <w:p w14:paraId="4C1C2E52">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24AF00E">
            <w:pPr>
              <w:keepNext w:val="0"/>
              <w:keepLines w:val="0"/>
              <w:suppressLineNumbers w:val="0"/>
              <w:spacing w:before="0" w:beforeAutospacing="0" w:after="0" w:afterAutospacing="0" w:line="360" w:lineRule="auto"/>
              <w:ind w:left="0" w:right="0"/>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2DDCE3E">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color w:val="auto"/>
                <w:sz w:val="24"/>
                <w:highlight w:val="none"/>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503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B0BAA5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60" w:type="pct"/>
            <w:vAlign w:val="center"/>
          </w:tcPr>
          <w:p w14:paraId="4DA43EB8">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67" w:type="pct"/>
            <w:vAlign w:val="center"/>
          </w:tcPr>
          <w:p w14:paraId="069A4EFB">
            <w:pPr>
              <w:keepNext w:val="0"/>
              <w:keepLines w:val="0"/>
              <w:suppressLineNumbers w:val="0"/>
              <w:spacing w:before="39" w:beforeAutospacing="0" w:after="0" w:afterAutospacing="0" w:line="360" w:lineRule="auto"/>
              <w:ind w:left="0" w:right="0"/>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t>□</w:t>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□成交供应商</w:t>
            </w:r>
          </w:p>
          <w:p w14:paraId="25AA96B3">
            <w:pPr>
              <w:keepNext w:val="0"/>
              <w:keepLines w:val="0"/>
              <w:suppressLineNumbers w:val="0"/>
              <w:spacing w:before="24"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w:t>
            </w:r>
          </w:p>
          <w:p w14:paraId="762518AA">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color w:val="auto"/>
                <w:sz w:val="24"/>
                <w:szCs w:val="24"/>
                <w:highlight w:val="none"/>
                <w:u w:val="single"/>
              </w:rPr>
              <w:t>参考《滁州市公共资源交易代理机构及从业人员管理办法》(滁公管〔2025〕1 号)以及《关于进一步明确代理费计取标准的通知》（滁公管综〔2023〕19号）文件，以最高限价（控制价）计算。</w:t>
            </w:r>
          </w:p>
        </w:tc>
      </w:tr>
      <w:tr w14:paraId="3A83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E4FE2AF">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27.1</w:t>
            </w:r>
          </w:p>
        </w:tc>
        <w:tc>
          <w:tcPr>
            <w:tcW w:w="1160" w:type="pct"/>
            <w:vAlign w:val="center"/>
          </w:tcPr>
          <w:p w14:paraId="10BA6278">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67" w:type="pct"/>
            <w:vAlign w:val="center"/>
          </w:tcPr>
          <w:p w14:paraId="43CB382C">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Cs w:val="0"/>
                <w:color w:val="auto"/>
                <w:sz w:val="24"/>
                <w:highlight w:val="none"/>
              </w:rPr>
            </w:pPr>
            <w:r>
              <w:rPr>
                <w:rFonts w:hint="eastAsia" w:ascii="宋体" w:hAnsi="宋体" w:eastAsia="宋体"/>
                <w:bCs w:val="0"/>
                <w:color w:val="auto"/>
                <w:sz w:val="24"/>
                <w:highlight w:val="none"/>
              </w:rPr>
              <w:t>（1）采购人与成交供应商应当自发出成交通知书之日起7个工作日内签订合同，采购合同签订之日起2个工作日内完成政府采购合同公开。</w:t>
            </w:r>
          </w:p>
          <w:p w14:paraId="07E9B4B9">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default" w:ascii="宋体" w:hAnsi="宋体" w:eastAsia="宋体" w:cs="宋体"/>
                <w:bCs w:val="0"/>
                <w:color w:val="auto"/>
                <w:sz w:val="24"/>
                <w:szCs w:val="24"/>
                <w:highlight w:val="none"/>
              </w:rPr>
              <w:t>（2）采购人与</w:t>
            </w:r>
            <w:r>
              <w:rPr>
                <w:rFonts w:hint="eastAsia" w:ascii="宋体" w:hAnsi="宋体" w:eastAsia="宋体"/>
                <w:bCs w:val="0"/>
                <w:color w:val="auto"/>
                <w:sz w:val="24"/>
                <w:highlight w:val="none"/>
              </w:rPr>
              <w:t>成交供应商</w:t>
            </w:r>
            <w:r>
              <w:rPr>
                <w:rFonts w:hint="default"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w:t>
            </w:r>
            <w:r>
              <w:rPr>
                <w:rFonts w:hint="eastAsia" w:ascii="宋体" w:hAnsi="宋体" w:eastAsia="宋体" w:cs="宋体"/>
                <w:color w:val="auto"/>
                <w:sz w:val="24"/>
                <w:szCs w:val="24"/>
                <w:highlight w:val="none"/>
              </w:rPr>
              <w:t>和滁州市公共资源交易中心网</w:t>
            </w:r>
            <w:r>
              <w:rPr>
                <w:rFonts w:hint="default" w:ascii="宋体" w:hAnsi="宋体" w:eastAsia="宋体" w:cs="宋体"/>
                <w:color w:val="auto"/>
                <w:sz w:val="24"/>
                <w:szCs w:val="24"/>
                <w:highlight w:val="none"/>
              </w:rPr>
              <w:t>发布政府采购合同变更公告，但涉及国家秘密、商业秘密的信息和其他依法不得公开的信息除外。</w:t>
            </w:r>
          </w:p>
        </w:tc>
      </w:tr>
      <w:tr w14:paraId="29B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15D1050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29.3</w:t>
            </w:r>
          </w:p>
        </w:tc>
        <w:tc>
          <w:tcPr>
            <w:tcW w:w="1160" w:type="pct"/>
            <w:vAlign w:val="center"/>
          </w:tcPr>
          <w:p w14:paraId="54BBC230">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7" w:type="pct"/>
            <w:vAlign w:val="center"/>
          </w:tcPr>
          <w:p w14:paraId="012E8B10">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olor w:val="auto"/>
                <w:sz w:val="24"/>
                <w:highlight w:val="none"/>
                <w:u w:val="single"/>
              </w:rPr>
              <w:t>供应商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1C14B32B">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olor w:val="auto"/>
                <w:sz w:val="24"/>
                <w:highlight w:val="none"/>
                <w:u w:val="single"/>
                <w:lang w:eastAsia="zh-CN"/>
              </w:rPr>
              <w:t>滁州市发展和改革委员会</w:t>
            </w:r>
            <w:r>
              <w:rPr>
                <w:rFonts w:hint="eastAsia" w:ascii="宋体" w:hAnsi="宋体" w:eastAsia="宋体"/>
                <w:color w:val="auto"/>
                <w:sz w:val="24"/>
                <w:highlight w:val="none"/>
                <w:u w:val="single"/>
              </w:rPr>
              <w:t>、</w:t>
            </w:r>
            <w:r>
              <w:rPr>
                <w:rFonts w:hint="eastAsia" w:ascii="宋体" w:hAnsi="宋体" w:eastAsia="宋体"/>
                <w:color w:val="auto"/>
                <w:sz w:val="24"/>
                <w:highlight w:val="none"/>
                <w:u w:val="single"/>
                <w:lang w:eastAsia="zh-CN"/>
              </w:rPr>
              <w:t>滁州市政府采购中心</w:t>
            </w:r>
            <w:r>
              <w:rPr>
                <w:rFonts w:hint="eastAsia" w:ascii="宋体" w:hAnsi="宋体" w:eastAsia="宋体"/>
                <w:color w:val="auto"/>
                <w:sz w:val="24"/>
                <w:highlight w:val="none"/>
                <w:u w:val="single"/>
              </w:rPr>
              <w:t>；</w:t>
            </w:r>
          </w:p>
          <w:p w14:paraId="2B7DF04F">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color w:val="auto"/>
                <w:sz w:val="24"/>
                <w:highlight w:val="none"/>
                <w:u w:val="single"/>
                <w:lang w:eastAsia="zh-CN"/>
              </w:rPr>
              <w:t>0550-3035032</w:t>
            </w:r>
            <w:r>
              <w:rPr>
                <w:rFonts w:hint="eastAsia" w:ascii="宋体" w:hAnsi="宋体" w:eastAsia="宋体"/>
                <w:color w:val="auto"/>
                <w:sz w:val="24"/>
                <w:highlight w:val="none"/>
                <w:u w:val="single"/>
              </w:rPr>
              <w:t>、0550-3519517；</w:t>
            </w:r>
          </w:p>
          <w:p w14:paraId="36CF11C6">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color w:val="auto"/>
                <w:sz w:val="24"/>
                <w:highlight w:val="none"/>
                <w:u w:val="single"/>
                <w:lang w:eastAsia="zh-CN"/>
              </w:rPr>
              <w:t>滁州市龙蟠大道99号政务中心北6楼</w:t>
            </w:r>
            <w:r>
              <w:rPr>
                <w:rFonts w:hint="eastAsia" w:ascii="宋体" w:hAnsi="宋体" w:eastAsia="宋体"/>
                <w:color w:val="auto"/>
                <w:sz w:val="24"/>
                <w:highlight w:val="none"/>
                <w:u w:val="single"/>
              </w:rPr>
              <w:t>、滁州市龙蟠大道109号房产商务大厦</w:t>
            </w:r>
            <w:r>
              <w:rPr>
                <w:rFonts w:hint="eastAsia" w:ascii="宋体" w:hAnsi="宋体" w:eastAsia="宋体"/>
                <w:color w:val="auto"/>
                <w:sz w:val="24"/>
                <w:highlight w:val="none"/>
                <w:u w:val="single"/>
                <w:lang w:val="en-US" w:eastAsia="zh-CN"/>
              </w:rPr>
              <w:t>2</w:t>
            </w:r>
            <w:r>
              <w:rPr>
                <w:rFonts w:hint="eastAsia" w:ascii="宋体" w:hAnsi="宋体" w:eastAsia="宋体"/>
                <w:color w:val="auto"/>
                <w:sz w:val="24"/>
                <w:highlight w:val="none"/>
                <w:u w:val="single"/>
              </w:rPr>
              <w:t>楼。</w:t>
            </w:r>
          </w:p>
        </w:tc>
      </w:tr>
      <w:tr w14:paraId="5AB7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2" w:type="dxa"/>
            <w:vAlign w:val="center"/>
          </w:tcPr>
          <w:p w14:paraId="42D471F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36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30</w:t>
            </w:r>
          </w:p>
        </w:tc>
        <w:tc>
          <w:tcPr>
            <w:tcW w:w="1160" w:type="pct"/>
            <w:vAlign w:val="center"/>
          </w:tcPr>
          <w:p w14:paraId="24409786">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274" w:type="dxa"/>
            <w:vAlign w:val="center"/>
          </w:tcPr>
          <w:p w14:paraId="3DC3DA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1.解释权</w:t>
            </w:r>
          </w:p>
          <w:p w14:paraId="1D86550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hint="default" w:asciiTheme="minorEastAsia" w:hAnsiTheme="minorEastAsia" w:eastAsiaTheme="minorEastAsia"/>
                <w:bCs/>
                <w:color w:val="auto"/>
                <w:sz w:val="24"/>
                <w:szCs w:val="24"/>
                <w:highlight w:val="none"/>
              </w:rPr>
              <w:t>文件的各个组成文件应互为解释，互为说明；</w:t>
            </w:r>
          </w:p>
          <w:p w14:paraId="1152018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7688B8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8D9E6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hint="default"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hint="default"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hint="default"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hint="default"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hint="default" w:asciiTheme="minorEastAsia" w:hAnsiTheme="minorEastAsia" w:eastAsiaTheme="minorEastAsia"/>
                <w:bCs/>
                <w:color w:val="auto"/>
                <w:sz w:val="24"/>
                <w:szCs w:val="24"/>
                <w:highlight w:val="none"/>
              </w:rPr>
              <w:t>文件格式的先后顺序解释；</w:t>
            </w:r>
          </w:p>
          <w:p w14:paraId="1604C03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hint="default"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hint="default" w:asciiTheme="minorEastAsia" w:hAnsiTheme="minorEastAsia" w:eastAsiaTheme="minorEastAsia"/>
                <w:bCs/>
                <w:color w:val="auto"/>
                <w:sz w:val="24"/>
                <w:szCs w:val="24"/>
                <w:highlight w:val="none"/>
              </w:rPr>
              <w:t>人负责解释。</w:t>
            </w:r>
          </w:p>
          <w:p w14:paraId="1FE973D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65B3298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3.电子保函指引：成交供应商可访问安徽省政府采购网“融资/保函”栏目，申请办理电子保函（包括：履约保函、预付款保函）。</w:t>
            </w:r>
          </w:p>
          <w:p w14:paraId="70807AC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bCs/>
                <w:color w:val="auto"/>
                <w:sz w:val="24"/>
                <w:szCs w:val="24"/>
                <w:highlight w:val="none"/>
              </w:rPr>
              <w:t>4.</w:t>
            </w:r>
            <w:r>
              <w:rPr>
                <w:rFonts w:hint="eastAsia" w:asciiTheme="minorEastAsia" w:hAnsiTheme="minorEastAsia" w:eastAsiaTheme="minorEastAsia"/>
                <w:color w:val="auto"/>
                <w:sz w:val="24"/>
                <w:szCs w:val="24"/>
                <w:highlight w:val="none"/>
              </w:rPr>
              <w:t>部分可提供线下政采贷的金融机构：</w:t>
            </w:r>
          </w:p>
          <w:p w14:paraId="573BFCB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市本级</w:t>
            </w:r>
          </w:p>
          <w:p w14:paraId="5FE2AFD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金融机构名称：兴业银行滁州分行</w:t>
            </w:r>
          </w:p>
          <w:p w14:paraId="54A463D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安徽省滁州市琅琊区丰乐大道1090号</w:t>
            </w:r>
          </w:p>
          <w:p w14:paraId="1C37022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伏庚：17755080811</w:t>
            </w:r>
          </w:p>
          <w:p w14:paraId="48A14CF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5.特别提示：</w:t>
            </w:r>
          </w:p>
          <w:p w14:paraId="05C126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（1）供应商应填写投标信息并下载采购文件，否则无法上传响应文件。</w:t>
            </w:r>
          </w:p>
          <w:p w14:paraId="1D39905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本项目采用电子招标投标，请供应商在滁州市公共资源交易中心网&gt;服务指南&gt;软件下载栏目点击下载响应文件制作工具。供应商需采用最新版响应文件制作工具。软件运行需在国际互联网络通畅状态，供应商需注意更新，以免造成响应文件制作错误，如因此导致磋商小组否决其磋商资格，责任自负。如有技术问题请联系0550-3801701，4009980000。</w:t>
            </w:r>
          </w:p>
          <w:p w14:paraId="2F539DD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（3）如果过程中出现采购文件更改，应以最后发布的招标答疑澄清文件中的模板制作本项目最新响应文件。</w:t>
            </w:r>
          </w:p>
          <w:p w14:paraId="57D8107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（4）供应商应当用本单位CA数字证书制作响应文件，制作成功后进行响应文件上传。 </w:t>
            </w:r>
          </w:p>
          <w:p w14:paraId="66B8E14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供应商须用CA数字证书盖章和加密响应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205E0DC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（6）请供应商注意加密响应文件CA数字证书的有效期，不在有效期的CA数字证书无法解密响应文件。</w:t>
            </w:r>
          </w:p>
          <w:p w14:paraId="50C1283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（7）供应商投标MAC地址一致，由磋商小组否决其磋商资格。</w:t>
            </w:r>
          </w:p>
          <w:p w14:paraId="0BDC655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（8）供应商单方面出现其他供应商材料的，由磋商小组否决其磋商资格。</w:t>
            </w:r>
          </w:p>
          <w:p w14:paraId="1D297D8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评标时查询响应文件制作机器码、文件创建标识码及造价软件加密锁号。若存在响应文件制作机器码或创建标识码或造价软件加密锁号信息与其他供应商雷同的，由磋商小组否决其磋商资格，保证金不予退还，依法依规予以处理。</w:t>
            </w:r>
          </w:p>
          <w:p w14:paraId="6344491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（10）供应商联系人或联系电话相同的，由磋商小组否决其响应资格，并报告监管部门作不良行为处理和进一步调查。</w:t>
            </w:r>
          </w:p>
          <w:p w14:paraId="43693BF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电子加密响应文件上传到系统后，需要供应商和采购代理公司到截止时间后共同解锁，不存在商务报价等投标信息通过系统泄密的风险；截止时间前，已上传的响应文件也可以撤回修改。集中到开标截止时间前上传电子加密响应文件，可能出现由于投标企业制作电子响应文件不熟练、网络拥堵等不可预知的情况而且无法及时解决，丧失投标机会，请各投标企业提前制作、上传电子加密响应文件，否则由于无法及时上传电子加密响应文件而无效响应的情况，责任自负！</w:t>
            </w:r>
          </w:p>
          <w:p w14:paraId="23B9569D">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6.评审过程中的澄清、说明或补正：</w:t>
            </w:r>
          </w:p>
          <w:p w14:paraId="3D81F1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（1）磋商小组通过网上招投标系统将需要澄清、说明或补正的内容以询标函的形式发送给供应商，供应商应安排专人登录网上招投标系统并保持在线状态，以便及时接收磋商小组可能发出的询标函。</w:t>
            </w:r>
          </w:p>
          <w:p w14:paraId="7B424128">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因供应商未登录网上招投标系统导致无法及时接收询标函（远程网上询标）或未在规定时间内按磋商小组要求进行澄清、说明或补正内容的视同供应商放弃澄清、说明或补正内容的权利，磋商小组可按对供应商不利的解释进行判定。</w:t>
            </w:r>
          </w:p>
          <w:p w14:paraId="3861FE1F">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7.同义词语：</w:t>
            </w:r>
          </w:p>
          <w:p w14:paraId="6B2B996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磋商文件第六章  响应文件格式、附件1“关于联合惩戒失信行为 加强信用查询管理的通知”等章节中 “招标人”、“投标人”，等同于“采购人”、“供应商”。</w:t>
            </w:r>
          </w:p>
          <w:p w14:paraId="3886BCC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8.落实政府采购支持节能产品、环境标志产品政策。</w:t>
            </w:r>
          </w:p>
          <w:p w14:paraId="50CC341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color w:val="auto"/>
                <w:sz w:val="24"/>
                <w:szCs w:val="24"/>
                <w:highlight w:val="none"/>
              </w:rPr>
              <w:t>9.系统中提供的表格与采购文件中不一致时，以采购文件中提供的表格格式为准。</w:t>
            </w:r>
          </w:p>
        </w:tc>
      </w:tr>
    </w:tbl>
    <w:p w14:paraId="6E7C7A84">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13" w:name="_Toc14293"/>
      <w:bookmarkStart w:id="14"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13"/>
      <w:bookmarkEnd w:id="14"/>
    </w:p>
    <w:p w14:paraId="16CFAA36">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E90A60B">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71087574">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512D9590">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1CE76ECD">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35E1CE39">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617F4E1">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磋商</w:t>
      </w:r>
      <w:r>
        <w:rPr>
          <w:rFonts w:ascii="宋体" w:hAnsi="宋体" w:eastAsia="宋体"/>
          <w:color w:val="auto"/>
          <w:sz w:val="24"/>
          <w:highlight w:val="none"/>
        </w:rPr>
        <w:t>文件。</w:t>
      </w:r>
    </w:p>
    <w:p w14:paraId="659FE92E">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rPr>
        <w:t>供应商</w:t>
      </w:r>
      <w:r>
        <w:rPr>
          <w:rFonts w:ascii="宋体" w:hAnsi="宋体" w:eastAsia="宋体"/>
          <w:color w:val="auto"/>
          <w:sz w:val="24"/>
          <w:highlight w:val="none"/>
        </w:rPr>
        <w:t>应保证所投产品可履行合法报通关手续进入中国关境内。</w:t>
      </w:r>
    </w:p>
    <w:p w14:paraId="2A0057A4">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39952BE8">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bookmarkStart w:id="15" w:name="_Hlk60607583"/>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15"/>
    <w:p w14:paraId="1A58DFCC">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。联合体参加磋商的，</w:t>
      </w:r>
      <w:r>
        <w:rPr>
          <w:rFonts w:hint="eastAsia" w:ascii="宋体" w:hAnsi="宋体" w:eastAsia="宋体"/>
          <w:color w:val="auto"/>
          <w:sz w:val="24"/>
          <w:highlight w:val="none"/>
        </w:rPr>
        <w:t>磋商文件获取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任一</w:t>
      </w:r>
      <w:r>
        <w:rPr>
          <w:rFonts w:hint="eastAsia" w:ascii="宋体" w:hAnsi="宋体" w:eastAsia="宋体"/>
          <w:color w:val="auto"/>
          <w:sz w:val="24"/>
          <w:highlight w:val="none"/>
        </w:rPr>
        <w:t>成员单位</w:t>
      </w:r>
      <w:r>
        <w:rPr>
          <w:rFonts w:ascii="宋体" w:hAnsi="宋体" w:eastAsia="宋体"/>
          <w:color w:val="auto"/>
          <w:sz w:val="24"/>
          <w:highlight w:val="none"/>
        </w:rPr>
        <w:t>办理均可。</w:t>
      </w:r>
    </w:p>
    <w:p w14:paraId="3864A4CC">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2EF25BAF">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6F48617">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83E91F5">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63FD37FA">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37B4074D">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016B18F4">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6421AF00">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290955C1">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.1本项目的采购人已获得足以支付本次磋商后所签订的合同项下的资金。</w:t>
      </w:r>
    </w:p>
    <w:p w14:paraId="7CCE5A6A">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4530E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7EF87AB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1B811B0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599EEEBC">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DB68949">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5.1磋商文件包括下列内容：</w:t>
      </w:r>
    </w:p>
    <w:p w14:paraId="17287D18">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0F498E55">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52FA8BE7">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4FF706E4">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773B1993">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3A1730F0">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773FF53">
      <w:pPr>
        <w:keepNext w:val="0"/>
        <w:keepLines w:val="0"/>
        <w:pageBreakBefore w:val="0"/>
        <w:widowControl w:val="0"/>
        <w:kinsoku/>
        <w:wordWrap/>
        <w:overflowPunct/>
        <w:topLinePunct w:val="0"/>
        <w:autoSpaceDE/>
        <w:autoSpaceDN/>
        <w:bidi w:val="0"/>
        <w:adjustRightInd/>
        <w:snapToGrid/>
        <w:spacing w:line="460" w:lineRule="exact"/>
        <w:ind w:firstLine="840" w:firstLineChars="35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2C899FD0">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10B84064">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59BF66E2">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FA86833">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0798D44">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2采购人可主动地或在答复供应商提出的询问时对磋商文件进行澄清与修改。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16" w:name="_Hlk16458572"/>
      <w:r>
        <w:rPr>
          <w:rFonts w:hint="eastAsia" w:ascii="宋体" w:hAnsi="宋体" w:eastAsia="宋体"/>
          <w:color w:val="auto"/>
          <w:sz w:val="24"/>
          <w:szCs w:val="18"/>
          <w:highlight w:val="none"/>
        </w:rPr>
        <w:t>安徽省政府采购网</w:t>
      </w:r>
      <w:bookmarkEnd w:id="16"/>
      <w:r>
        <w:rPr>
          <w:rFonts w:hint="eastAsia" w:ascii="宋体" w:hAnsi="宋体" w:eastAsia="宋体"/>
          <w:color w:val="auto"/>
          <w:sz w:val="24"/>
          <w:szCs w:val="18"/>
          <w:highlight w:val="none"/>
        </w:rPr>
        <w:t>和滁州市公共资源交易中心网</w:t>
      </w:r>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1D25021">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F302DF5">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w:t>
      </w:r>
    </w:p>
    <w:p w14:paraId="20E3B10C">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7EE504EA">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52657A71">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eastAsiaTheme="minorEastAsia"/>
          <w:color w:val="auto"/>
          <w:highlight w:val="none"/>
        </w:rPr>
      </w:pPr>
      <w:r>
        <w:rPr>
          <w:rFonts w:hint="eastAsia" w:asciiTheme="minorEastAsia" w:hAnsiTheme="minorEastAsia" w:eastAsiaTheme="minorEastAsia"/>
          <w:color w:val="auto"/>
          <w:sz w:val="24"/>
          <w:highlight w:val="none"/>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6034574">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E709389">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348DC3DE">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7C963002">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4CB21DB">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具体内容详见本项目响应文件格式的相关内容。</w:t>
      </w:r>
    </w:p>
    <w:p w14:paraId="35221AD9">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磋商文件要求的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rPr>
        <w:t>等。</w:t>
      </w:r>
    </w:p>
    <w:p w14:paraId="6F7585EA">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备选磋商</w:t>
      </w:r>
      <w:r>
        <w:rPr>
          <w:rFonts w:asciiTheme="minorEastAsia" w:hAnsiTheme="minorEastAsia" w:eastAsiaTheme="minorEastAsia"/>
          <w:color w:val="auto"/>
          <w:sz w:val="24"/>
          <w:highlight w:val="none"/>
        </w:rPr>
        <w:t>方案。</w:t>
      </w:r>
    </w:p>
    <w:p w14:paraId="1BA59BC3">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265DB71">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。除磋商文件另有规定外，所有内容均应以人民币报价，供应商的磋商报价应遵守《中华人民共和国价格法》。</w:t>
      </w:r>
    </w:p>
    <w:p w14:paraId="28350860">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B6755CA">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040864A1">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62DF2EBC">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E681571">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10.1本项目不收取磋商保证金。</w:t>
      </w:r>
    </w:p>
    <w:p w14:paraId="3CA5BAD5">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151C3F87">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2A86A278">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83DC3B8">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B444D07">
      <w:pPr>
        <w:keepNext w:val="0"/>
        <w:keepLines w:val="0"/>
        <w:pageBreakBefore w:val="0"/>
        <w:widowControl w:val="0"/>
        <w:kinsoku/>
        <w:wordWrap/>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56417C2D">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12.1供应商应当在第一章竞争性磋商公告规定的响应文件提交截止时间前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77510E4">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711F13D9">
      <w:pPr>
        <w:keepNext w:val="0"/>
        <w:keepLines w:val="0"/>
        <w:pageBreakBefore w:val="0"/>
        <w:widowControl w:val="0"/>
        <w:kinsoku/>
        <w:wordWrap/>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p>
    <w:p w14:paraId="73FC13B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EB5F41D">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7980D0D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EE127B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45D391D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6B02621E">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.响应文件的评审与磋商</w:t>
      </w:r>
    </w:p>
    <w:p w14:paraId="28DD057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1采购人和采购代理机构将在竞争性磋商公告规定的时间和地点组织磋商。</w:t>
      </w:r>
    </w:p>
    <w:p w14:paraId="1C23753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14.2竞争性磋商活动采用综合评分法评审。</w:t>
      </w:r>
    </w:p>
    <w:p w14:paraId="5744499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3882851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14.3磋商小组将按照磋商文件规定的评审方法和标准对供应商独立进行评审。评审程序如下：</w:t>
      </w:r>
    </w:p>
    <w:p w14:paraId="4A346AF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2A9CB36E">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4A8053C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以联合体形式参加磋商的，联合体成员存在以上不良信用记录的，联合体磋商将被认定为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36F2F87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4E3514A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1FF612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5DE9B3E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14.3.4</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p>
    <w:p w14:paraId="38A06275">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0178B85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14.4.1为保证磋商活动顺利进行，供应商可派相关技术人员进行网上答疑； </w:t>
      </w:r>
    </w:p>
    <w:p w14:paraId="5F70C54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7A610C5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255C3C4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1216100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0FDE5DC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6A036EA9">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.终止竞争性磋商</w:t>
      </w:r>
    </w:p>
    <w:p w14:paraId="2CAEDCC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15.1出现下列情况之一时，采购人和采购代理机构有权宣布终止竞争性磋商采购，并将理由通知所有供应商：</w:t>
      </w:r>
    </w:p>
    <w:p w14:paraId="5BA52DC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2950307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02C7FC9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7EDD0F2D">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0928B522">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54F65049">
      <w:pPr>
        <w:keepNext w:val="0"/>
        <w:keepLines w:val="0"/>
        <w:pageBreakBefore w:val="0"/>
        <w:widowControl w:val="0"/>
        <w:kinsoku/>
        <w:overflowPunct/>
        <w:topLinePunct w:val="0"/>
        <w:autoSpaceDE/>
        <w:autoSpaceDN/>
        <w:bidi w:val="0"/>
        <w:adjustRightInd/>
        <w:snapToGrid/>
        <w:spacing w:line="460" w:lineRule="exact"/>
        <w:ind w:firstLine="470" w:firstLineChars="196"/>
        <w:textAlignment w:val="auto"/>
        <w:rPr>
          <w:rFonts w:hint="eastAsia" w:ascii="宋体" w:hAnsi="宋体" w:eastAsia="宋体"/>
          <w:color w:val="auto"/>
          <w:sz w:val="24"/>
          <w:highlight w:val="none"/>
        </w:rPr>
      </w:pPr>
      <w:r>
        <w:rPr>
          <w:rFonts w:hint="eastAsia" w:ascii="宋体" w:hAnsi="宋体" w:eastAsia="宋体"/>
          <w:color w:val="auto"/>
          <w:sz w:val="24"/>
          <w:highlight w:val="none"/>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0C933D1A">
      <w:pPr>
        <w:keepNext w:val="0"/>
        <w:keepLines w:val="0"/>
        <w:pageBreakBefore w:val="0"/>
        <w:widowControl w:val="0"/>
        <w:kinsoku/>
        <w:overflowPunct/>
        <w:topLinePunct w:val="0"/>
        <w:autoSpaceDE/>
        <w:autoSpaceDN/>
        <w:bidi w:val="0"/>
        <w:adjustRightInd/>
        <w:snapToGrid/>
        <w:spacing w:line="460" w:lineRule="exact"/>
        <w:ind w:firstLine="470" w:firstLineChars="196"/>
        <w:textAlignment w:val="auto"/>
        <w:rPr>
          <w:rFonts w:hint="eastAsia" w:ascii="宋体" w:hAnsi="宋体" w:eastAsia="宋体"/>
          <w:color w:val="auto"/>
          <w:sz w:val="24"/>
          <w:highlight w:val="none"/>
        </w:rPr>
      </w:pPr>
      <w:r>
        <w:rPr>
          <w:rFonts w:hint="eastAsia" w:ascii="宋体" w:hAnsi="宋体" w:eastAsia="宋体"/>
          <w:color w:val="auto"/>
          <w:sz w:val="24"/>
          <w:highlight w:val="none"/>
        </w:rPr>
        <w:t>16.2磋商小组要求供应商澄清、说明或者更正响应文件应当以书面形式（询标）作出。供应商的澄清、说明或者更正应当由法定代表人或其授权代表签字或者加盖公章（电子签章）。</w:t>
      </w:r>
    </w:p>
    <w:p w14:paraId="4A900D7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b/>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F2825F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b/>
          <w:color w:val="auto"/>
          <w:sz w:val="24"/>
          <w:highlight w:val="none"/>
        </w:rPr>
        <w:t>本项目采用远程开标，具体操作方法详见服务指南&gt;交易须知&gt;开标大厅远程解密、质疑(异议)及回复以及评标过程中询标流程操作手册。</w:t>
      </w:r>
    </w:p>
    <w:p w14:paraId="3A409708">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13A8A88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磋商并不限定只进行二轮报价，如果磋商小组认为有必要，可以要求供应商进行多轮报价。</w:t>
      </w:r>
      <w:r>
        <w:rPr>
          <w:rFonts w:hint="eastAsia" w:asciiTheme="minorEastAsia" w:hAnsiTheme="minorEastAsia" w:eastAsiaTheme="minorEastAsia"/>
          <w:color w:val="auto"/>
          <w:sz w:val="24"/>
          <w:highlight w:val="none"/>
        </w:rPr>
        <w:t>（本项目约定为两次报价）</w:t>
      </w:r>
    </w:p>
    <w:p w14:paraId="57AA31F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本次磋商实行两次报价。第一次报价为供应商在响应文件中填报的报价，第二次报价在响应文件通过评审后，由磋商小组通过评标系统以询标方式，向响应文件评审有效的各供应商进行询标，各供应商应在评标系统询标规定的时间内，通过“评标澄清回复”进行二次报价。各供应商应及时查看系统质询问题并及时进行二次</w:t>
      </w:r>
      <w:r>
        <w:rPr>
          <w:rFonts w:hint="eastAsia" w:asciiTheme="minorEastAsia" w:hAnsiTheme="minorEastAsia" w:eastAsiaTheme="minorEastAsia"/>
          <w:b/>
          <w:bCs/>
          <w:color w:val="auto"/>
          <w:sz w:val="24"/>
          <w:highlight w:val="none"/>
          <w:lang w:eastAsia="zh-CN"/>
        </w:rPr>
        <w:t>报价（须签字盖章）</w:t>
      </w:r>
      <w:r>
        <w:rPr>
          <w:rFonts w:hint="eastAsia" w:asciiTheme="minorEastAsia" w:hAnsiTheme="minorEastAsia" w:eastAsiaTheme="minorEastAsia"/>
          <w:b/>
          <w:bCs/>
          <w:color w:val="auto"/>
          <w:sz w:val="24"/>
          <w:highlight w:val="none"/>
        </w:rPr>
        <w:t>，第二次报价即为最后报价，若供应商未在系统询标规定的时间内进行二次报价（最后报价）或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二次报价（最后报价）不得高于最高限价，否则取消其磋商资格。望各供应商务必全程在线，及时进行回复，否则，因此给其造成相关后果，自行承担。</w:t>
      </w:r>
    </w:p>
    <w:p w14:paraId="5D7B620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074EA3C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70ACA19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ajorEastAsia" w:hAnsiTheme="majorEastAsia" w:eastAsiaTheme="majorEastAsia"/>
          <w:color w:val="auto"/>
          <w:sz w:val="24"/>
          <w:highlight w:val="none"/>
        </w:rPr>
      </w:pPr>
      <w:bookmarkStart w:id="17" w:name="_Hlk60607655"/>
      <w:bookmarkStart w:id="18" w:name="_Hlk60607673"/>
      <w:r>
        <w:rPr>
          <w:rFonts w:hint="eastAsia" w:asciiTheme="majorEastAsia" w:hAnsiTheme="majorEastAsia" w:eastAsiaTheme="majorEastAsia"/>
          <w:color w:val="auto"/>
          <w:sz w:val="24"/>
          <w:highlight w:val="none"/>
        </w:rPr>
        <w:t>17.</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3715D35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91F8C3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17"/>
    </w:p>
    <w:bookmarkEnd w:id="18"/>
    <w:p w14:paraId="0943B9C3">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0F55C4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462673E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71C31BA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19.1磋商小组根据综合评分的结果和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40EAAD94">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0921F5E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9547527">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3E8568">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21.1评审将在严格保密的情况下进行。</w:t>
      </w:r>
    </w:p>
    <w:p w14:paraId="7E03DB3D">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084BE9FB">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.成交结果公告</w:t>
      </w:r>
    </w:p>
    <w:p w14:paraId="69660DD2">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采购代理机构将在安徽省政府采购网（www.ccgp-anhui.gov.cn）和滁州市公共资源交易中心网</w:t>
      </w:r>
      <w:r>
        <w:rPr>
          <w:rFonts w:asciiTheme="minorEastAsia" w:hAnsiTheme="minorEastAsia" w:eastAsiaTheme="minorEastAsia"/>
          <w:color w:val="auto"/>
          <w:sz w:val="24"/>
          <w:highlight w:val="none"/>
        </w:rPr>
        <w:t>上发布成交结果公告。</w:t>
      </w:r>
    </w:p>
    <w:p w14:paraId="26778D6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服务范围、服务要求、服务时间、服务标准</w:t>
      </w:r>
      <w:r>
        <w:rPr>
          <w:rFonts w:asciiTheme="minorEastAsia" w:hAnsiTheme="minorEastAsia" w:eastAsiaTheme="minorEastAsia"/>
          <w:color w:val="auto"/>
          <w:sz w:val="24"/>
          <w:highlight w:val="none"/>
        </w:rPr>
        <w:t>，成交结果公告期限、评审专家名单以及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60D9AEFD">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459007AC">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宋体" w:hAnsi="宋体" w:eastAsia="宋体"/>
          <w:color w:val="auto"/>
          <w:sz w:val="24"/>
          <w:highlight w:val="none"/>
        </w:rPr>
        <w:t>。成交通知书须加盖采购人、采购代理机构公章并经公共资源交易中心加盖见证章后，方可发出</w:t>
      </w:r>
      <w:r>
        <w:rPr>
          <w:rFonts w:ascii="宋体" w:hAnsi="宋体" w:eastAsia="宋体"/>
          <w:color w:val="auto"/>
          <w:sz w:val="24"/>
          <w:highlight w:val="none"/>
        </w:rPr>
        <w:t>。</w:t>
      </w:r>
    </w:p>
    <w:p w14:paraId="687C6489">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527A0CA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23</w:t>
      </w:r>
      <w:r>
        <w:rPr>
          <w:rFonts w:ascii="宋体" w:hAnsi="宋体" w:eastAsia="宋体"/>
          <w:color w:val="auto"/>
          <w:sz w:val="24"/>
          <w:highlight w:val="none"/>
        </w:rPr>
        <w:t>.3成交通知书是合同的组成部分。</w:t>
      </w:r>
    </w:p>
    <w:p w14:paraId="0EA41C8E">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5554D50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0E81BD52">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5A2A34F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.履约保证金</w:t>
      </w:r>
    </w:p>
    <w:p w14:paraId="529B875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E25C4C1">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77F4099">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003E13CB">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F8A67B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1CBF2C2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3CEF6F20">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.2磋商文件、成交供应商的响应文件及其澄清文件等，均为签订合同的依据。</w:t>
      </w:r>
    </w:p>
    <w:p w14:paraId="5CCC56C4">
      <w:pPr>
        <w:keepNext w:val="0"/>
        <w:keepLines w:val="0"/>
        <w:pageBreakBefore w:val="0"/>
        <w:widowControl w:val="0"/>
        <w:kinsoku/>
        <w:overflowPunct/>
        <w:topLinePunct w:val="0"/>
        <w:autoSpaceDE/>
        <w:autoSpaceDN/>
        <w:bidi w:val="0"/>
        <w:adjustRightInd/>
        <w:snapToGrid/>
        <w:spacing w:line="460" w:lineRule="exact"/>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7124E1FC">
      <w:pPr>
        <w:keepNext w:val="0"/>
        <w:keepLines w:val="0"/>
        <w:pageBreakBefore w:val="0"/>
        <w:widowControl w:val="0"/>
        <w:kinsoku/>
        <w:overflowPunct/>
        <w:topLinePunct w:val="0"/>
        <w:autoSpaceDE/>
        <w:autoSpaceDN/>
        <w:bidi w:val="0"/>
        <w:adjustRightInd/>
        <w:snapToGrid/>
        <w:spacing w:line="460" w:lineRule="exact"/>
        <w:ind w:firstLine="470" w:firstLineChars="196"/>
        <w:textAlignment w:val="auto"/>
        <w:rPr>
          <w:rFonts w:hint="eastAsia" w:ascii="宋体" w:hAnsi="宋体" w:eastAsia="宋体"/>
          <w:color w:val="auto"/>
          <w:sz w:val="24"/>
          <w:highlight w:val="none"/>
        </w:rPr>
      </w:pPr>
      <w:bookmarkStart w:id="19" w:name="_Hlk60264926"/>
      <w:r>
        <w:rPr>
          <w:rFonts w:hint="eastAsia" w:ascii="宋体" w:hAnsi="宋体" w:eastAsia="宋体"/>
          <w:color w:val="auto"/>
          <w:sz w:val="24"/>
          <w:highlight w:val="none"/>
        </w:rPr>
        <w:t>27.</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19"/>
    </w:p>
    <w:p w14:paraId="0CF2C377">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68AD41A3">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59D064F0">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1306BF6C">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2CA63BF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29.1供应商认为磋商文件、采购过程和成交结果使自己的权益受到损害的，可以在知道或者应知其权益受到损害之日起七个工作日内，以书面形式向采购人或其委托的采购代理机构提出质疑。</w:t>
      </w:r>
    </w:p>
    <w:p w14:paraId="4AD3C1F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614EBD1F">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u w:val="singl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65C658F4">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p>
    <w:p w14:paraId="32D946B7">
      <w:pPr>
        <w:keepNext w:val="0"/>
        <w:keepLines w:val="0"/>
        <w:pageBreakBefore w:val="0"/>
        <w:widowControl w:val="0"/>
        <w:kinsoku/>
        <w:overflowPunct/>
        <w:topLinePunct w:val="0"/>
        <w:autoSpaceDE/>
        <w:autoSpaceDN/>
        <w:bidi w:val="0"/>
        <w:adjustRightInd/>
        <w:snapToGrid/>
        <w:spacing w:line="460" w:lineRule="exact"/>
        <w:ind w:firstLine="435"/>
        <w:textAlignment w:val="auto"/>
        <w:rPr>
          <w:rFonts w:hint="eastAsia"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6895EB09">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21E2C7B2">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t>30.1质疑供应商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331CEF81">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t>30.2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777D34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hint="eastAsia" w:ascii="宋体" w:hAnsi="宋体" w:eastAsia="宋体"/>
          <w:color w:val="auto"/>
          <w:sz w:val="24"/>
          <w:highlight w:val="none"/>
        </w:rPr>
      </w:pPr>
      <w:r>
        <w:rPr>
          <w:rFonts w:hint="eastAsia" w:ascii="宋体" w:hAnsi="宋体" w:eastAsia="宋体"/>
          <w:color w:val="auto"/>
          <w:sz w:val="24"/>
          <w:highlight w:val="none"/>
        </w:rPr>
        <w:t>30.3政府采购监督管理部门在处理投诉事项期间，可以视具体情况书面通知采购人暂停采购活动，但暂停时间最长不得超过30日。</w:t>
      </w:r>
    </w:p>
    <w:p w14:paraId="0A130306">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12D8884D">
      <w:pPr>
        <w:keepNext w:val="0"/>
        <w:keepLines w:val="0"/>
        <w:pageBreakBefore w:val="0"/>
        <w:widowControl w:val="0"/>
        <w:kinsoku/>
        <w:overflowPunct/>
        <w:topLinePunct w:val="0"/>
        <w:autoSpaceDE/>
        <w:autoSpaceDN/>
        <w:bidi w:val="0"/>
        <w:adjustRightInd/>
        <w:snapToGrid/>
        <w:spacing w:line="460" w:lineRule="exact"/>
        <w:ind w:firstLine="437"/>
        <w:textAlignment w:val="auto"/>
        <w:outlineLvl w:val="2"/>
        <w:rPr>
          <w:rFonts w:hint="eastAsia"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292834A1">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Theme="minorEastAsia" w:hAnsiTheme="minorEastAsia" w:eastAsiaTheme="minorEastAsia"/>
          <w:b/>
          <w:color w:val="auto"/>
          <w:sz w:val="28"/>
          <w:highlight w:val="none"/>
        </w:rPr>
      </w:pPr>
      <w:bookmarkStart w:id="20" w:name="_Toc28125"/>
      <w:bookmarkStart w:id="21" w:name="_Toc19440"/>
      <w:r>
        <w:rPr>
          <w:rFonts w:hint="eastAsia" w:asciiTheme="minorEastAsia" w:hAnsiTheme="minorEastAsia" w:eastAsiaTheme="minorEastAsia"/>
          <w:b/>
          <w:color w:val="auto"/>
          <w:sz w:val="28"/>
          <w:highlight w:val="none"/>
        </w:rPr>
        <w:t>第三章  采购需求</w:t>
      </w:r>
      <w:bookmarkEnd w:id="20"/>
      <w:bookmarkEnd w:id="21"/>
    </w:p>
    <w:p w14:paraId="28A22F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17576C1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1.本采购需求中提出的服务方案仅为参考，如无明确限制，供应商可以进行优化，提供满足采购人实际需要的更优（或者性能实质上不低于的）服务方案，且此方案须经磋商小组评审认可。</w:t>
      </w:r>
    </w:p>
    <w:p w14:paraId="26DA31EB">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rPr>
        <w:t>：</w:t>
      </w:r>
    </w:p>
    <w:p w14:paraId="7702AF25">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0FA52AFC">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F4F2326">
      <w:pPr>
        <w:keepNext w:val="0"/>
        <w:keepLines w:val="0"/>
        <w:pageBreakBefore w:val="0"/>
        <w:widowControl w:val="0"/>
        <w:kinsoku/>
        <w:wordWrap/>
        <w:overflowPunct/>
        <w:topLinePunct w:val="0"/>
        <w:autoSpaceDE/>
        <w:autoSpaceDN/>
        <w:bidi w:val="0"/>
        <w:adjustRightInd/>
        <w:snapToGrid/>
        <w:spacing w:line="400" w:lineRule="exact"/>
        <w:ind w:firstLine="435"/>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3.如采购人允许采用分包方式履行合同的，应当明确可以分包履行的相关内容：</w:t>
      </w:r>
      <w:r>
        <w:rPr>
          <w:rFonts w:hint="eastAsia" w:ascii="宋体" w:hAnsi="宋体" w:eastAsia="宋体"/>
          <w:color w:val="auto"/>
          <w:sz w:val="24"/>
          <w:szCs w:val="18"/>
          <w:highlight w:val="none"/>
          <w:u w:val="single"/>
        </w:rPr>
        <w:t>本项目不允许分包</w:t>
      </w:r>
      <w:r>
        <w:rPr>
          <w:rFonts w:hint="eastAsia" w:ascii="宋体" w:hAnsi="宋体" w:eastAsia="宋体"/>
          <w:color w:val="auto"/>
          <w:sz w:val="24"/>
          <w:szCs w:val="18"/>
          <w:highlight w:val="none"/>
        </w:rPr>
        <w:t>。</w:t>
      </w:r>
    </w:p>
    <w:p w14:paraId="5F4E6E7D">
      <w:pPr>
        <w:spacing w:line="360" w:lineRule="auto"/>
        <w:ind w:firstLine="437"/>
        <w:outlineLvl w:val="1"/>
        <w:rPr>
          <w:rFonts w:hint="eastAsia" w:ascii="宋体" w:hAnsi="宋体" w:eastAsia="宋体"/>
          <w:b/>
          <w:color w:val="auto"/>
          <w:sz w:val="24"/>
          <w:szCs w:val="18"/>
          <w:highlight w:val="none"/>
        </w:rPr>
      </w:pPr>
      <w:bookmarkStart w:id="22" w:name="_Toc7699"/>
      <w:bookmarkStart w:id="23" w:name="_Toc26349"/>
    </w:p>
    <w:p w14:paraId="285A87CF">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22"/>
      <w:bookmarkEnd w:id="23"/>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BE5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EB9EA3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
                <w:color w:val="auto"/>
                <w:kern w:val="2"/>
                <w:highlight w:val="none"/>
              </w:rPr>
            </w:pPr>
            <w:bookmarkStart w:id="24" w:name="_Hlk16461016"/>
            <w:r>
              <w:rPr>
                <w:rFonts w:hint="eastAsia" w:ascii="宋体" w:hAnsi="宋体" w:eastAsia="宋体"/>
                <w:b/>
                <w:color w:val="auto"/>
                <w:kern w:val="2"/>
                <w:highlight w:val="none"/>
              </w:rPr>
              <w:t>序号</w:t>
            </w:r>
          </w:p>
        </w:tc>
        <w:tc>
          <w:tcPr>
            <w:tcW w:w="1192" w:type="pct"/>
            <w:vAlign w:val="center"/>
          </w:tcPr>
          <w:p w14:paraId="3C38F51F">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1B9B52AA">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508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DAEDDE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55ACBA7C">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cs="宋体"/>
                <w:b w:val="0"/>
                <w:bCs w:val="0"/>
                <w:color w:val="auto"/>
                <w:kern w:val="2"/>
                <w:sz w:val="24"/>
                <w:szCs w:val="24"/>
                <w:highlight w:val="none"/>
                <w:lang w:val="en-US" w:eastAsia="zh-CN" w:bidi="ar-SA"/>
              </w:rPr>
              <w:t>付款方式</w:t>
            </w:r>
          </w:p>
        </w:tc>
        <w:tc>
          <w:tcPr>
            <w:tcW w:w="3217" w:type="pct"/>
            <w:vAlign w:val="center"/>
          </w:tcPr>
          <w:p w14:paraId="53A75F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35"/>
              <w:textAlignment w:val="auto"/>
              <w:rPr>
                <w:rFonts w:hint="default" w:ascii="宋体" w:hAnsi="宋体" w:eastAsia="宋体"/>
                <w:b w:val="0"/>
                <w:color w:val="auto"/>
                <w:sz w:val="24"/>
                <w:szCs w:val="20"/>
                <w:highlight w:val="none"/>
                <w:u w:val="single"/>
                <w:lang w:val="en-US" w:eastAsia="zh-CN"/>
              </w:rPr>
            </w:pPr>
            <w:r>
              <w:rPr>
                <w:rFonts w:hint="eastAsia" w:ascii="宋体" w:hAnsi="宋体" w:eastAsia="宋体" w:cs="宋体"/>
                <w:color w:val="auto"/>
                <w:sz w:val="24"/>
                <w:szCs w:val="24"/>
                <w:highlight w:val="none"/>
                <w:lang w:val="en-US" w:eastAsia="zh-CN"/>
              </w:rPr>
              <w:t>合同签订、担保措施生效并具备实施条件【须提供同等金额的保函（见索即付性质的独立保函）】后支付合同金额的40%预付款，服务期满后一次性付清余款。</w:t>
            </w:r>
          </w:p>
        </w:tc>
      </w:tr>
      <w:tr w14:paraId="0A01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0FE96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021FE72A">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72FAA42A">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滁州市内</w:t>
            </w:r>
            <w:r>
              <w:rPr>
                <w:rFonts w:hint="eastAsia" w:ascii="宋体" w:hAnsi="宋体" w:eastAsia="宋体"/>
                <w:b w:val="0"/>
                <w:color w:val="auto"/>
                <w:sz w:val="24"/>
                <w:highlight w:val="none"/>
                <w:u w:val="single"/>
                <w:lang w:eastAsia="zh-CN"/>
              </w:rPr>
              <w:t>，</w:t>
            </w: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37F1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ED3E34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49F2A11C">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4529D19B">
            <w:pPr>
              <w:pStyle w:val="4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三年（合同一年一签，考核优秀且资金到位可续签两年）</w:t>
            </w:r>
            <w:r>
              <w:rPr>
                <w:rFonts w:hint="eastAsia" w:ascii="宋体" w:hAnsi="宋体" w:eastAsia="宋体"/>
                <w:b w:val="0"/>
                <w:color w:val="auto"/>
                <w:sz w:val="24"/>
                <w:highlight w:val="none"/>
                <w:u w:val="single"/>
                <w:lang w:val="en-US" w:eastAsia="zh-CN"/>
              </w:rPr>
              <w:t>。</w:t>
            </w:r>
          </w:p>
        </w:tc>
      </w:tr>
      <w:tr w14:paraId="6371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 w:type="pct"/>
            <w:vAlign w:val="center"/>
          </w:tcPr>
          <w:p w14:paraId="06395BA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192" w:type="pct"/>
            <w:vAlign w:val="center"/>
          </w:tcPr>
          <w:p w14:paraId="57829A9F">
            <w:pPr>
              <w:pStyle w:val="44"/>
              <w:keepNext w:val="0"/>
              <w:keepLines w:val="0"/>
              <w:widowControl w:val="0"/>
              <w:suppressLineNumbers w:val="0"/>
              <w:spacing w:before="0" w:beforeAutospacing="0" w:after="0" w:afterAutospacing="0" w:line="360" w:lineRule="auto"/>
              <w:ind w:left="0" w:right="0"/>
              <w:rPr>
                <w:rFonts w:hint="eastAsia"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11755560">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标的名称：</w:t>
            </w:r>
            <w:r>
              <w:rPr>
                <w:rFonts w:hint="eastAsia" w:asciiTheme="minorEastAsia" w:hAnsiTheme="minorEastAsia" w:eastAsiaTheme="minorEastAsia"/>
                <w:color w:val="auto"/>
                <w:sz w:val="24"/>
                <w:szCs w:val="20"/>
                <w:highlight w:val="none"/>
                <w:lang w:eastAsia="zh-CN"/>
              </w:rPr>
              <w:t>滁州市公共信用信息共享服务平台运维服务项目</w:t>
            </w:r>
          </w:p>
          <w:p w14:paraId="0957D58F">
            <w:pPr>
              <w:keepNext w:val="0"/>
              <w:keepLines w:val="0"/>
              <w:suppressLineNumbers w:val="0"/>
              <w:spacing w:before="0" w:beforeAutospacing="0" w:after="0" w:afterAutospacing="0"/>
              <w:ind w:left="0" w:right="0"/>
              <w:rPr>
                <w:rFonts w:hint="default" w:ascii="宋体" w:hAnsi="宋体" w:eastAsiaTheme="minorEastAsia"/>
                <w:color w:val="auto"/>
                <w:sz w:val="24"/>
                <w:szCs w:val="20"/>
                <w:highlight w:val="none"/>
                <w:u w:val="single"/>
                <w:lang w:val="en-US" w:eastAsia="zh-CN"/>
              </w:rPr>
            </w:pPr>
            <w:r>
              <w:rPr>
                <w:rFonts w:hint="eastAsia" w:asciiTheme="minorEastAsia" w:hAnsiTheme="minorEastAsia" w:eastAsiaTheme="minorEastAsia"/>
                <w:color w:val="auto"/>
                <w:sz w:val="24"/>
                <w:szCs w:val="20"/>
                <w:highlight w:val="none"/>
              </w:rPr>
              <w:t>所属行业：</w:t>
            </w:r>
            <w:r>
              <w:rPr>
                <w:rFonts w:hint="eastAsia" w:asciiTheme="minorEastAsia" w:hAnsiTheme="minorEastAsia" w:eastAsiaTheme="minorEastAsia"/>
                <w:b/>
                <w:bCs/>
                <w:color w:val="auto"/>
                <w:sz w:val="24"/>
                <w:szCs w:val="20"/>
                <w:highlight w:val="none"/>
                <w:lang w:val="en-US" w:eastAsia="zh-CN"/>
              </w:rPr>
              <w:t>软件和信息技术服务业</w:t>
            </w:r>
          </w:p>
        </w:tc>
      </w:tr>
    </w:tbl>
    <w:p w14:paraId="367F4469">
      <w:pPr>
        <w:spacing w:line="360" w:lineRule="auto"/>
        <w:ind w:firstLine="437"/>
        <w:outlineLvl w:val="1"/>
        <w:rPr>
          <w:rFonts w:hint="eastAsia" w:ascii="宋体" w:hAnsi="宋体" w:eastAsia="宋体"/>
          <w:b/>
          <w:color w:val="auto"/>
          <w:sz w:val="24"/>
          <w:szCs w:val="18"/>
          <w:highlight w:val="none"/>
        </w:rPr>
      </w:pPr>
      <w:bookmarkStart w:id="25" w:name="_Toc23116"/>
      <w:bookmarkStart w:id="26" w:name="_Toc25144"/>
    </w:p>
    <w:p w14:paraId="58C8CB18">
      <w:pPr>
        <w:pageBreakBefore w:val="0"/>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二、</w:t>
      </w:r>
      <w:bookmarkEnd w:id="25"/>
      <w:bookmarkEnd w:id="26"/>
      <w:bookmarkStart w:id="27" w:name="_Toc21757"/>
      <w:bookmarkStart w:id="28" w:name="_Toc8586"/>
      <w:r>
        <w:rPr>
          <w:rFonts w:hint="eastAsia" w:ascii="宋体" w:hAnsi="宋体" w:eastAsia="宋体"/>
          <w:b/>
          <w:color w:val="auto"/>
          <w:sz w:val="24"/>
          <w:szCs w:val="24"/>
          <w:highlight w:val="none"/>
        </w:rPr>
        <w:t>项目概况</w:t>
      </w:r>
    </w:p>
    <w:p w14:paraId="2A55F33E">
      <w:pPr>
        <w:keepNext w:val="0"/>
        <w:keepLines w:val="0"/>
        <w:pageBreakBefore w:val="0"/>
        <w:widowControl w:val="0"/>
        <w:suppressLineNumbers w:val="0"/>
        <w:kinsoku/>
        <w:wordWrap/>
        <w:overflowPunct/>
        <w:topLinePunct w:val="0"/>
        <w:bidi w:val="0"/>
        <w:spacing w:beforeAutospacing="0" w:afterAutospacing="0" w:line="40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为保证滁州市公共信用信息共享服务平台的正常运行，更好的服务滁州市信用建设工作，及时了解信用工作推动中遇到的问题，给出及时响应的解决方案，在滁州市现有信用体系建设成果基础上，围绕国家信用中心对城市社会信用体系建设评审指标以及安徽省相关要求，开展滁州市公共信用信息共享服务平台运维服务项目，全面推动新时期信用体系建设工作进一步走深、走实、走细，建立健全与滁州市经济社会发展水平相适应、具有本地特色的社会信用体系建设架构和运行机制。</w:t>
      </w:r>
    </w:p>
    <w:p w14:paraId="6EEB2A13">
      <w:pPr>
        <w:pageBreakBefore w:val="0"/>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b/>
          <w:color w:val="auto"/>
          <w:sz w:val="24"/>
          <w:szCs w:val="24"/>
          <w:highlight w:val="none"/>
          <w:lang w:val="en-US" w:eastAsia="zh-CN"/>
        </w:rPr>
      </w:pPr>
    </w:p>
    <w:p w14:paraId="3F215BB5">
      <w:pPr>
        <w:pageBreakBefore w:val="0"/>
        <w:kinsoku/>
        <w:wordWrap/>
        <w:overflowPunct/>
        <w:topLinePunct w:val="0"/>
        <w:autoSpaceDE/>
        <w:autoSpaceDN/>
        <w:bidi w:val="0"/>
        <w:adjustRightInd/>
        <w:snapToGrid/>
        <w:spacing w:line="400" w:lineRule="exact"/>
        <w:ind w:firstLine="482" w:firstLineChars="200"/>
        <w:textAlignment w:val="auto"/>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val="en-US" w:eastAsia="zh-CN"/>
        </w:rPr>
        <w:t>三、</w:t>
      </w:r>
      <w:r>
        <w:rPr>
          <w:rFonts w:hint="eastAsia" w:ascii="宋体" w:hAnsi="宋体" w:eastAsia="宋体"/>
          <w:b/>
          <w:color w:val="auto"/>
          <w:sz w:val="24"/>
          <w:szCs w:val="24"/>
          <w:highlight w:val="none"/>
        </w:rPr>
        <w:t>服务</w:t>
      </w:r>
      <w:r>
        <w:rPr>
          <w:rFonts w:hint="eastAsia" w:ascii="宋体" w:hAnsi="宋体" w:eastAsia="宋体"/>
          <w:b/>
          <w:color w:val="auto"/>
          <w:sz w:val="24"/>
          <w:szCs w:val="24"/>
          <w:highlight w:val="none"/>
          <w:lang w:val="en-US" w:eastAsia="zh-CN"/>
        </w:rPr>
        <w:t>内容</w:t>
      </w:r>
      <w:bookmarkEnd w:id="27"/>
      <w:bookmarkEnd w:id="28"/>
    </w:p>
    <w:p w14:paraId="0D7D354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bookmarkStart w:id="29" w:name="_Toc12910"/>
      <w:bookmarkStart w:id="30" w:name="_Toc18052"/>
      <w:r>
        <w:rPr>
          <w:rFonts w:hint="eastAsia" w:ascii="宋体" w:hAnsi="宋体" w:eastAsia="宋体" w:cs="宋体"/>
          <w:color w:val="000000"/>
          <w:kern w:val="0"/>
          <w:sz w:val="24"/>
          <w:szCs w:val="24"/>
          <w:highlight w:val="none"/>
          <w:u w:val="none" w:color="000000"/>
        </w:rPr>
        <w:t>1.远程运维服务</w:t>
      </w:r>
    </w:p>
    <w:p w14:paraId="36854E9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为保证市公共信用信息共享服务平台的正常运行，降低整体管理成本，为滁州市公共信用信息共享服务平台项目提供远程运维服务，提高公共信用平台的整体服务水平。主要内容包括服务器运维、服务器防病毒服务、操作系统软件运维、系统补丁升级服务、数据库运维、中间件运维、日志审计、运维服务分析、适配性增补开发、网站监测。</w:t>
      </w:r>
    </w:p>
    <w:p w14:paraId="4460AB6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1.1服务器运维</w:t>
      </w:r>
    </w:p>
    <w:p w14:paraId="5BEC9FE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主要内容包括:网络连接介质检测、CPU有效性检测、CPU负载检测、内存有效性检测、内存利用率检测、磁盘有效性检测、磁盘利用率检测、磁盘碎片检测/整理、网卡连接状态检测等。通过服务器巡检维护工作，及时掌握服务器整体运行情况，保证平台7*24小时稳定运行。</w:t>
      </w:r>
    </w:p>
    <w:p w14:paraId="7A465EA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1.2服务器防病毒服务</w:t>
      </w:r>
    </w:p>
    <w:p w14:paraId="7E06ABF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严格按照信息安全工作的总体方针、策略，设置，提供现场杀毒。</w:t>
      </w:r>
    </w:p>
    <w:p w14:paraId="224FFC8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1.3操作系统软件运维</w:t>
      </w:r>
    </w:p>
    <w:p w14:paraId="70AB02B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包括整体运行效率检测、服务运行状态检测、系统日志检查、应用程序日志检查、安全日志检查、系统补丁检查/安装、安全补丁检查/安装、操作系统配置文件备份/恢复、病毒库升级、操作系统重新安装等。</w:t>
      </w:r>
    </w:p>
    <w:p w14:paraId="195A293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1.4系统补丁升级服务</w:t>
      </w:r>
    </w:p>
    <w:p w14:paraId="0669AED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通过系统安全监控、技术设施安全加固、安全事件应急响应的情况，及时对信用平台系统进行补丁升级服务。</w:t>
      </w:r>
    </w:p>
    <w:p w14:paraId="5DA54C0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1.5数据库运维</w:t>
      </w:r>
    </w:p>
    <w:p w14:paraId="3AB4A1C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包括数据库运行状态检查、数据库存储空间检查、数据库升级、数据库补丁安装、数据库备份/恢复、数据库重新安装等。通过主动式性能管理，快速发现、诊断和解决数据库性能问题，维护高效的应用系统。</w:t>
      </w:r>
    </w:p>
    <w:p w14:paraId="56435B4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1.6中间件运维</w:t>
      </w:r>
    </w:p>
    <w:p w14:paraId="0ACB684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包括整体运行效率检测、服务运行状态检测、系统日志检查、安全日志检查、系统补丁检查/安装、安全补丁检查/安装、配置文件备份/恢复、中间件重新安装、系统服务微调等。提高对中间件平台事件的分析解决能力，确保中间件平台持续稳定运行。</w:t>
      </w:r>
    </w:p>
    <w:p w14:paraId="0CDBA39E">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1.7日志审计</w:t>
      </w:r>
    </w:p>
    <w:p w14:paraId="31484EC2">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运行日志检查、记录、监测和分析，并填写运维日志反应日常运行情况及故障处理情况。</w:t>
      </w:r>
    </w:p>
    <w:p w14:paraId="340E40E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1.8运维服务分析</w:t>
      </w:r>
    </w:p>
    <w:p w14:paraId="0838A6E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通过对平台的用户访问数据、用户意见等信息进行统计分析，按月产出平台运维报告，提升市信用平台的影响力，促进诚信社会的建设。</w:t>
      </w:r>
    </w:p>
    <w:p w14:paraId="6468E1A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1.9适配性增补开发</w:t>
      </w:r>
    </w:p>
    <w:p w14:paraId="37D24E6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信用平台作为社会信用体系建设工作开展的支撑基础，采用的是国家、省、市上下联动的业务模式，保障市信用平台功能服务与国家、省平台保持一致是基础要求，而国家和省信用平台功能服务按照政策部署要求，每年均进行新增和调整，因此需要滁州市信用平台的功能服务同步增补开发保障，服务期内，按照国家和省信用工作的考核部署，提供每年不超过</w:t>
      </w:r>
      <w:r>
        <w:rPr>
          <w:rFonts w:hint="eastAsia" w:ascii="宋体" w:hAnsi="宋体" w:eastAsia="宋体" w:cs="宋体"/>
          <w:color w:val="000000"/>
          <w:kern w:val="0"/>
          <w:sz w:val="24"/>
          <w:szCs w:val="24"/>
          <w:highlight w:val="none"/>
          <w:u w:val="none" w:color="000000"/>
          <w:lang w:val="en-US" w:eastAsia="zh-CN"/>
        </w:rPr>
        <w:t>5</w:t>
      </w:r>
      <w:r>
        <w:rPr>
          <w:rFonts w:hint="eastAsia" w:ascii="宋体" w:hAnsi="宋体" w:eastAsia="宋体" w:cs="宋体"/>
          <w:color w:val="000000"/>
          <w:kern w:val="0"/>
          <w:sz w:val="24"/>
          <w:szCs w:val="24"/>
          <w:highlight w:val="none"/>
          <w:u w:val="none" w:color="000000"/>
        </w:rPr>
        <w:t>个人月工作量的平台网站功能升级服务，通过评估开发功能的投入成本情况，按照约定成本预算进行适配性增补开发服务，若超过约定成本预算的则需要另起项目增补功能开发。</w:t>
      </w:r>
    </w:p>
    <w:p w14:paraId="3867131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按要求对接皖政通，升级原有用户认证体系，对接皖政通统一登录门户，支持多种安全认证方式。实现统一消息待办。汇集展示各类待办、消息、公告、日程等消息，保障信息和事项的不重、不漏。</w:t>
      </w:r>
    </w:p>
    <w:p w14:paraId="4998D5DA">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根据安徽省2025年社会信用体系建设工作要点等相关工作要求、国家城市信用监测、政府绩效目标、优化营商环境等考核要求，对平台功能进行优化完善。</w:t>
      </w:r>
    </w:p>
    <w:p w14:paraId="6DFC71B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1.10网站监测</w:t>
      </w:r>
    </w:p>
    <w:p w14:paraId="2F72A4E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外采第三方服务，对平台门户网站进行巡查监测，提供门户网站中文章的错别字、敏感信息、政治相关描述等错误进行每日算法扫描和季度人工深度扫描。</w:t>
      </w:r>
    </w:p>
    <w:p w14:paraId="2B0689A0">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2.现场服务</w:t>
      </w:r>
    </w:p>
    <w:p w14:paraId="6E1982B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为方便服务滁州市信用建设工作，及时了解信用工作推动中遇到的问题，给出及时响应的解决方案。现场运维服务包括现场技术支持服务、平台定期巡检、系统安全监控、数据加工治理服务。</w:t>
      </w:r>
    </w:p>
    <w:p w14:paraId="5BC39F1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2.1现场技术支持服务</w:t>
      </w:r>
    </w:p>
    <w:p w14:paraId="2CE444A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对日常出现的网络故障进行及时响应并协调相关单位进行处理。</w:t>
      </w:r>
    </w:p>
    <w:p w14:paraId="2D2205B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对常规业务配置需求响应并及时进行处理。</w:t>
      </w:r>
    </w:p>
    <w:p w14:paraId="332363D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定期对平台核心设备以及基础支撑软件按照第三方公布的要求进行补丁更新。</w:t>
      </w:r>
    </w:p>
    <w:p w14:paraId="4ECA06A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定期对业务系统进行测试，保障业务系统顺利运行。</w:t>
      </w:r>
    </w:p>
    <w:p w14:paraId="6D51065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2.2平台定期巡检</w:t>
      </w:r>
    </w:p>
    <w:p w14:paraId="01B0105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对基础设备、基础软件、业务平台等进行定期的巡检，主要包括服务进程、数据库服务进程、日志进程、接口服务等主要进程是否运行正常。</w:t>
      </w:r>
    </w:p>
    <w:p w14:paraId="3BB36AD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2.3系统安全监控</w:t>
      </w:r>
    </w:p>
    <w:p w14:paraId="76C5601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按照系统安全规范时刻监控系统安全风险，对安全需求进行评估，制定对应的安全策略。</w:t>
      </w:r>
    </w:p>
    <w:p w14:paraId="445134D7">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rPr>
      </w:pPr>
      <w:r>
        <w:rPr>
          <w:rFonts w:hint="eastAsia" w:ascii="宋体" w:hAnsi="宋体" w:eastAsia="宋体" w:cs="宋体"/>
          <w:color w:val="000000"/>
          <w:kern w:val="0"/>
          <w:sz w:val="24"/>
          <w:szCs w:val="24"/>
          <w:highlight w:val="none"/>
          <w:u w:val="none" w:color="000000"/>
        </w:rPr>
        <w:t>2.4数据加工治理</w:t>
      </w:r>
    </w:p>
    <w:p w14:paraId="699E458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default"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rPr>
        <w:t>对8个县市区、市直40个多个部门新增信用基础数据、融资信贷数据、信用承诺、联合奖惩、合同履约数据、双公示数据、行政五类数据等数据接入、数据开发、数据合规性校验、数据整合、数据上报情况监测、配合第三方双公示数据核查、存疑数据处理、数据上报错误排查、数据上报技术指导。</w:t>
      </w:r>
    </w:p>
    <w:p w14:paraId="77F7EC99">
      <w:pPr>
        <w:pageBreakBefore w:val="0"/>
        <w:kinsoku/>
        <w:wordWrap/>
        <w:overflowPunct/>
        <w:topLinePunct w:val="0"/>
        <w:bidi w:val="0"/>
        <w:spacing w:beforeAutospacing="0" w:line="400" w:lineRule="exact"/>
        <w:ind w:left="0" w:leftChars="0" w:firstLine="482" w:firstLineChars="200"/>
        <w:textAlignment w:val="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四、实施周期、进度要求</w:t>
      </w:r>
    </w:p>
    <w:p w14:paraId="1B07C99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lang w:val="en-US" w:eastAsia="zh-CN"/>
        </w:rPr>
      </w:pPr>
      <w:bookmarkStart w:id="31" w:name="_Hlk202433616"/>
      <w:r>
        <w:rPr>
          <w:rFonts w:hint="eastAsia" w:ascii="宋体" w:hAnsi="宋体" w:eastAsia="宋体" w:cs="宋体"/>
          <w:color w:val="000000"/>
          <w:kern w:val="0"/>
          <w:sz w:val="24"/>
          <w:szCs w:val="24"/>
          <w:highlight w:val="none"/>
          <w:u w:val="none" w:color="000000"/>
          <w:lang w:val="en-US" w:eastAsia="zh-CN"/>
        </w:rPr>
        <w:t>本项目实施周期为三年（合同一年一签，考核优秀且资金到位可续签两年）。在服务时间和人员方面，满足以下要求：</w:t>
      </w:r>
    </w:p>
    <w:p w14:paraId="14CD1B8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1.指派一名代表作为本项目负责人，项目负责人职责范围包括项目整体相关工作。</w:t>
      </w:r>
    </w:p>
    <w:p w14:paraId="1BA56E3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2.根据项目要求，安排具备相应资质的专业技术人员，提供2名专业运维工作人员驻扎项目现场，并确保项目实施团队的稳定。</w:t>
      </w:r>
    </w:p>
    <w:p w14:paraId="348331D1">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3.提供全年7（日历天）×24（小时）远程技术服务响应。</w:t>
      </w:r>
    </w:p>
    <w:p w14:paraId="5B82AFB5">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Fonts w:hint="eastAsia" w:ascii="宋体" w:hAnsi="宋体" w:eastAsia="宋体" w:cs="宋体"/>
          <w:color w:val="000000"/>
          <w:kern w:val="0"/>
          <w:sz w:val="24"/>
          <w:szCs w:val="24"/>
          <w:highlight w:val="none"/>
          <w:u w:val="none" w:color="000000"/>
          <w:lang w:val="en-US" w:eastAsia="zh-CN"/>
        </w:rPr>
      </w:pPr>
      <w:r>
        <w:rPr>
          <w:rFonts w:hint="eastAsia" w:ascii="宋体" w:hAnsi="宋体" w:eastAsia="宋体" w:cs="宋体"/>
          <w:color w:val="000000"/>
          <w:kern w:val="0"/>
          <w:sz w:val="24"/>
          <w:szCs w:val="24"/>
          <w:highlight w:val="none"/>
          <w:u w:val="none" w:color="000000"/>
          <w:lang w:val="en-US" w:eastAsia="zh-CN"/>
        </w:rPr>
        <w:t>4.运维人员按月输出运维报告，分析总结运维工作。</w:t>
      </w:r>
      <w:bookmarkEnd w:id="31"/>
    </w:p>
    <w:p w14:paraId="355D9E98">
      <w:pPr>
        <w:pageBreakBefore w:val="0"/>
        <w:kinsoku/>
        <w:wordWrap/>
        <w:overflowPunct/>
        <w:topLinePunct w:val="0"/>
        <w:bidi w:val="0"/>
        <w:spacing w:beforeAutospacing="0" w:line="400" w:lineRule="exact"/>
        <w:ind w:left="0" w:leftChars="0" w:firstLine="482" w:firstLineChars="200"/>
        <w:textAlignment w:val="auto"/>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五、</w:t>
      </w:r>
      <w:r>
        <w:rPr>
          <w:rFonts w:hint="eastAsia" w:ascii="宋体" w:hAnsi="宋体" w:eastAsia="宋体"/>
          <w:b/>
          <w:color w:val="auto"/>
          <w:sz w:val="24"/>
          <w:szCs w:val="18"/>
          <w:highlight w:val="none"/>
        </w:rPr>
        <w:t>报价要求</w:t>
      </w:r>
      <w:bookmarkEnd w:id="29"/>
      <w:bookmarkEnd w:id="30"/>
    </w:p>
    <w:p w14:paraId="29284991">
      <w:pPr>
        <w:pageBreakBefore w:val="0"/>
        <w:kinsoku/>
        <w:wordWrap/>
        <w:overflowPunct/>
        <w:topLinePunct w:val="0"/>
        <w:bidi w:val="0"/>
        <w:spacing w:beforeAutospacing="0" w:line="400" w:lineRule="exact"/>
        <w:ind w:left="0" w:leftChars="0" w:firstLine="480" w:firstLineChars="200"/>
        <w:textAlignment w:val="auto"/>
        <w:outlineLvl w:val="2"/>
        <w:rPr>
          <w:rFonts w:hint="default" w:ascii="宋体" w:hAnsi="宋体" w:eastAsia="宋体"/>
          <w:b/>
          <w:color w:val="auto"/>
          <w:sz w:val="24"/>
          <w:szCs w:val="18"/>
          <w:highlight w:val="none"/>
          <w:lang w:val="en-US" w:eastAsia="zh-CN"/>
        </w:rPr>
      </w:pPr>
      <w:bookmarkStart w:id="32" w:name="_Toc3530"/>
      <w:bookmarkStart w:id="33" w:name="_Toc23590"/>
      <w:r>
        <w:rPr>
          <w:rFonts w:hint="eastAsia" w:ascii="宋体" w:hAnsi="宋体" w:eastAsia="宋体"/>
          <w:bCs/>
          <w:color w:val="auto"/>
          <w:sz w:val="24"/>
          <w:szCs w:val="18"/>
          <w:highlight w:val="none"/>
        </w:rPr>
        <w:t>本项目为总价包干，供应商的报价应含有服务、利润、税金、政策性文件规定及合同包含的所有风险、责任、义务等，即为完成磋商文件要求的服务内容所包含的一切应有费用，其组成包括国家对中标单位征收的各种税费等所有一切费用，成交价格今后将不作任何调整，采购人后期不再追加费用，供应商自行考虑报价风险。</w:t>
      </w:r>
      <w:bookmarkEnd w:id="32"/>
      <w:bookmarkEnd w:id="33"/>
    </w:p>
    <w:bookmarkEnd w:id="24"/>
    <w:p w14:paraId="2E03D57B">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B878400">
      <w:pPr>
        <w:spacing w:line="360" w:lineRule="auto"/>
        <w:jc w:val="center"/>
        <w:outlineLvl w:val="0"/>
        <w:rPr>
          <w:rFonts w:hint="eastAsia" w:asciiTheme="minorEastAsia" w:hAnsiTheme="minorEastAsia" w:eastAsiaTheme="minorEastAsia"/>
          <w:b/>
          <w:color w:val="auto"/>
          <w:sz w:val="28"/>
          <w:highlight w:val="none"/>
        </w:rPr>
      </w:pPr>
      <w:bookmarkStart w:id="34" w:name="_Toc17554"/>
      <w:bookmarkStart w:id="35" w:name="_Toc8668"/>
      <w:r>
        <w:rPr>
          <w:rFonts w:hint="eastAsia" w:asciiTheme="minorEastAsia" w:hAnsiTheme="minorEastAsia" w:eastAsiaTheme="minorEastAsia"/>
          <w:b/>
          <w:color w:val="auto"/>
          <w:sz w:val="28"/>
          <w:highlight w:val="none"/>
        </w:rPr>
        <w:t>第四章  评审方法和标准</w:t>
      </w:r>
      <w:bookmarkEnd w:id="34"/>
      <w:bookmarkEnd w:id="35"/>
    </w:p>
    <w:p w14:paraId="47CDFF3C">
      <w:pPr>
        <w:spacing w:line="360" w:lineRule="auto"/>
        <w:ind w:firstLine="437"/>
        <w:outlineLvl w:val="1"/>
        <w:rPr>
          <w:rFonts w:hint="eastAsia" w:asciiTheme="minorEastAsia" w:hAnsiTheme="minorEastAsia" w:eastAsiaTheme="minorEastAsia"/>
          <w:b/>
          <w:color w:val="auto"/>
          <w:sz w:val="24"/>
          <w:highlight w:val="none"/>
        </w:rPr>
      </w:pPr>
      <w:bookmarkStart w:id="36" w:name="_Toc21211"/>
      <w:bookmarkStart w:id="37" w:name="_Toc12199"/>
      <w:r>
        <w:rPr>
          <w:rFonts w:hint="eastAsia" w:asciiTheme="minorEastAsia" w:hAnsiTheme="minorEastAsia" w:eastAsiaTheme="minorEastAsia"/>
          <w:b/>
          <w:color w:val="auto"/>
          <w:sz w:val="24"/>
          <w:highlight w:val="none"/>
        </w:rPr>
        <w:t>一、总则</w:t>
      </w:r>
      <w:bookmarkEnd w:id="36"/>
      <w:bookmarkEnd w:id="37"/>
    </w:p>
    <w:p w14:paraId="63CD0C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C2AC823">
      <w:pPr>
        <w:spacing w:line="360" w:lineRule="auto"/>
        <w:ind w:firstLine="437"/>
        <w:outlineLvl w:val="1"/>
        <w:rPr>
          <w:rFonts w:hint="eastAsia" w:asciiTheme="minorEastAsia" w:hAnsiTheme="minorEastAsia" w:eastAsiaTheme="minorEastAsia"/>
          <w:b/>
          <w:color w:val="auto"/>
          <w:sz w:val="24"/>
          <w:highlight w:val="none"/>
        </w:rPr>
      </w:pPr>
      <w:bookmarkStart w:id="38" w:name="_Toc13039"/>
      <w:bookmarkStart w:id="39" w:name="_Toc16885"/>
      <w:r>
        <w:rPr>
          <w:rFonts w:hint="eastAsia" w:asciiTheme="minorEastAsia" w:hAnsiTheme="minorEastAsia" w:eastAsiaTheme="minorEastAsia"/>
          <w:b/>
          <w:color w:val="auto"/>
          <w:sz w:val="24"/>
          <w:highlight w:val="none"/>
        </w:rPr>
        <w:t>二、评审方法</w:t>
      </w:r>
      <w:bookmarkEnd w:id="38"/>
      <w:bookmarkEnd w:id="39"/>
    </w:p>
    <w:p w14:paraId="4D51CEC4">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D9DE14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651"/>
        <w:gridCol w:w="4556"/>
        <w:gridCol w:w="1934"/>
      </w:tblGrid>
      <w:tr w14:paraId="1D924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1A3AC2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初审表</w:t>
            </w:r>
          </w:p>
        </w:tc>
      </w:tr>
      <w:tr w14:paraId="3C6E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63BC089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0547CB34">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00" w:type="pct"/>
            <w:tcBorders>
              <w:bottom w:val="single" w:color="auto" w:sz="4" w:space="0"/>
            </w:tcBorders>
            <w:vAlign w:val="center"/>
          </w:tcPr>
          <w:p w14:paraId="0A53490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103" w:type="pct"/>
            <w:tcBorders>
              <w:bottom w:val="single" w:color="auto" w:sz="4" w:space="0"/>
            </w:tcBorders>
            <w:vAlign w:val="center"/>
          </w:tcPr>
          <w:p w14:paraId="0A8AC7FE">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4F7D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54" w:type="pct"/>
            <w:tcBorders>
              <w:bottom w:val="single" w:color="auto" w:sz="4" w:space="0"/>
            </w:tcBorders>
            <w:vAlign w:val="center"/>
          </w:tcPr>
          <w:p w14:paraId="16CF3D4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186D311F">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31EAF66C">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default"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p w14:paraId="44E49132">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hint="default"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供有效的事业单位法人证书；</w:t>
            </w:r>
          </w:p>
          <w:p w14:paraId="7EA7F249">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hint="default"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hint="default" w:ascii="宋体" w:hAnsi="宋体" w:eastAsia="宋体" w:cs="宋体"/>
                <w:color w:val="auto"/>
                <w:sz w:val="24"/>
                <w:szCs w:val="24"/>
                <w:highlight w:val="none"/>
              </w:rPr>
              <w:t>登记证书等证明文件；</w:t>
            </w:r>
          </w:p>
          <w:p w14:paraId="6D30B3E2">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hint="default"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供有效的个体工商户营业执照；</w:t>
            </w:r>
          </w:p>
          <w:p w14:paraId="54F4B8AC">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hint="default"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供有效的自然人身份证明。</w:t>
            </w:r>
          </w:p>
        </w:tc>
        <w:tc>
          <w:tcPr>
            <w:tcW w:w="1103" w:type="pct"/>
            <w:vAlign w:val="center"/>
          </w:tcPr>
          <w:p w14:paraId="4D280D59">
            <w:pPr>
              <w:keepNext w:val="0"/>
              <w:keepLines w:val="0"/>
              <w:suppressLineNumbers w:val="0"/>
              <w:spacing w:before="0" w:beforeAutospacing="0" w:after="0" w:afterAutospacing="0" w:line="360" w:lineRule="auto"/>
              <w:ind w:left="0" w:right="0"/>
              <w:jc w:val="left"/>
              <w:rPr>
                <w:rFonts w:hint="eastAsia" w:ascii="宋体" w:hAnsi="宋体" w:eastAsia="宋体"/>
                <w:color w:val="auto"/>
                <w:sz w:val="24"/>
                <w:szCs w:val="20"/>
                <w:highlight w:val="none"/>
              </w:rPr>
            </w:pPr>
            <w:r>
              <w:rPr>
                <w:rFonts w:hint="eastAsia" w:ascii="宋体" w:hAnsi="宋体" w:eastAsia="宋体" w:cs="宋体"/>
                <w:color w:val="auto"/>
                <w:sz w:val="24"/>
                <w:szCs w:val="24"/>
                <w:highlight w:val="none"/>
              </w:rPr>
              <w:t>提供材料扫描件或电子证照，应完整的体现出材料或电子证照全部内容。联合体磋商的联合体各方均须提供。</w:t>
            </w:r>
          </w:p>
        </w:tc>
      </w:tr>
      <w:tr w14:paraId="5ADE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54" w:type="pct"/>
            <w:tcBorders>
              <w:bottom w:val="single" w:color="auto" w:sz="4" w:space="0"/>
            </w:tcBorders>
            <w:vAlign w:val="center"/>
          </w:tcPr>
          <w:p w14:paraId="35DF3E4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2" w:type="pct"/>
            <w:tcBorders>
              <w:bottom w:val="single" w:color="auto" w:sz="4" w:space="0"/>
            </w:tcBorders>
            <w:vAlign w:val="center"/>
          </w:tcPr>
          <w:p w14:paraId="4A5AC6F7">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600" w:type="pct"/>
            <w:tcBorders>
              <w:bottom w:val="single" w:color="auto" w:sz="4" w:space="0"/>
            </w:tcBorders>
            <w:vAlign w:val="center"/>
          </w:tcPr>
          <w:p w14:paraId="05584DFF">
            <w:pPr>
              <w:keepNext w:val="0"/>
              <w:keepLines w:val="0"/>
              <w:suppressLineNumbers w:val="0"/>
              <w:spacing w:before="0" w:beforeAutospacing="0" w:after="50" w:afterAutospacing="0" w:line="360" w:lineRule="auto"/>
              <w:ind w:left="0" w:right="-1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磋商</w:t>
            </w:r>
            <w:r>
              <w:rPr>
                <w:rFonts w:hint="default"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hint="default"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103" w:type="pct"/>
            <w:vAlign w:val="center"/>
          </w:tcPr>
          <w:p w14:paraId="738CE43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详见第六章响应文件格式。</w:t>
            </w:r>
          </w:p>
        </w:tc>
      </w:tr>
      <w:tr w14:paraId="2400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0AD3E5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2" w:type="pct"/>
            <w:tcBorders>
              <w:bottom w:val="single" w:color="auto" w:sz="4" w:space="0"/>
            </w:tcBorders>
            <w:vAlign w:val="center"/>
          </w:tcPr>
          <w:p w14:paraId="517A83A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供应商</w:t>
            </w:r>
            <w:r>
              <w:rPr>
                <w:rFonts w:hint="eastAsia" w:ascii="宋体" w:hAnsi="宋体" w:eastAsia="宋体" w:cs="宋体"/>
                <w:color w:val="auto"/>
                <w:sz w:val="24"/>
                <w:szCs w:val="24"/>
                <w:highlight w:val="none"/>
              </w:rPr>
              <w:t>信用记录</w:t>
            </w:r>
          </w:p>
        </w:tc>
        <w:tc>
          <w:tcPr>
            <w:tcW w:w="2600" w:type="pct"/>
            <w:tcBorders>
              <w:bottom w:val="single" w:color="auto" w:sz="4" w:space="0"/>
            </w:tcBorders>
            <w:vAlign w:val="center"/>
          </w:tcPr>
          <w:p w14:paraId="344CBAB8">
            <w:pPr>
              <w:keepNext w:val="0"/>
              <w:keepLines w:val="0"/>
              <w:suppressLineNumbers w:val="0"/>
              <w:spacing w:before="0" w:beforeAutospacing="0" w:after="50" w:afterAutospacing="0" w:line="360" w:lineRule="auto"/>
              <w:ind w:left="0" w:right="-10"/>
              <w:jc w:val="left"/>
              <w:rPr>
                <w:rFonts w:hint="eastAsia"/>
                <w:color w:val="auto"/>
                <w:szCs w:val="20"/>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磋商</w:t>
            </w:r>
            <w:r>
              <w:rPr>
                <w:rFonts w:hint="eastAsia" w:ascii="宋体" w:hAnsi="宋体" w:eastAsia="宋体" w:cs="宋体"/>
                <w:color w:val="auto"/>
                <w:sz w:val="24"/>
                <w:szCs w:val="24"/>
                <w:highlight w:val="none"/>
                <w:lang w:val="zh-CN"/>
              </w:rPr>
              <w:t>邀请第4条信誉要求和</w:t>
            </w: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103" w:type="pct"/>
            <w:tcBorders>
              <w:bottom w:val="single" w:color="auto" w:sz="4" w:space="0"/>
            </w:tcBorders>
            <w:vAlign w:val="center"/>
          </w:tcPr>
          <w:p w14:paraId="366FC0B0">
            <w:pPr>
              <w:keepNext w:val="0"/>
              <w:keepLines w:val="0"/>
              <w:suppressLineNumbers w:val="0"/>
              <w:spacing w:before="0" w:beforeAutospacing="0" w:after="0" w:afterAutospacing="0" w:line="360" w:lineRule="auto"/>
              <w:ind w:left="0" w:right="0"/>
              <w:jc w:val="left"/>
              <w:rPr>
                <w:rFonts w:hint="eastAsia"/>
                <w:color w:val="auto"/>
                <w:szCs w:val="20"/>
                <w:highlight w:val="none"/>
              </w:rPr>
            </w:pPr>
            <w:r>
              <w:rPr>
                <w:rFonts w:hint="eastAsia" w:ascii="宋体" w:hAnsi="宋体" w:eastAsia="宋体" w:cs="宋体"/>
                <w:color w:val="auto"/>
                <w:sz w:val="24"/>
                <w:szCs w:val="24"/>
                <w:highlight w:val="none"/>
              </w:rPr>
              <w:t>无须供应商提供，由采购人或采购代理机构查询。</w:t>
            </w:r>
          </w:p>
        </w:tc>
      </w:tr>
      <w:tr w14:paraId="48A3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1581939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42" w:type="pct"/>
            <w:tcBorders>
              <w:bottom w:val="single" w:color="auto" w:sz="4" w:space="0"/>
            </w:tcBorders>
            <w:vAlign w:val="center"/>
          </w:tcPr>
          <w:p w14:paraId="22EA139E">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18"/>
                <w:highlight w:val="none"/>
              </w:rPr>
            </w:pPr>
            <w:r>
              <w:rPr>
                <w:rFonts w:hint="eastAsia" w:ascii="宋体" w:hAnsi="宋体" w:eastAsia="宋体"/>
                <w:color w:val="auto"/>
                <w:sz w:val="24"/>
                <w:szCs w:val="18"/>
                <w:highlight w:val="none"/>
              </w:rPr>
              <w:t>中小企业证明文件</w:t>
            </w:r>
          </w:p>
        </w:tc>
        <w:tc>
          <w:tcPr>
            <w:tcW w:w="2600" w:type="pct"/>
            <w:tcBorders>
              <w:bottom w:val="single" w:color="auto" w:sz="4" w:space="0"/>
            </w:tcBorders>
            <w:vAlign w:val="center"/>
          </w:tcPr>
          <w:p w14:paraId="5C0254DE">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符合申请人的资格要求中落实政府采购政策需满足的资格要求：</w:t>
            </w:r>
          </w:p>
          <w:p w14:paraId="68B6DD33">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（1）专门面向中小企业采购的，供应商应提供《中小企业声明函》或《残疾人福利性单位声明函》或由省级以上监狱管理局、戒毒管理局（含新疆 生产建设兵团）出具的属于监狱企业的证明文件。</w:t>
            </w:r>
          </w:p>
          <w:p w14:paraId="797F3146">
            <w:pPr>
              <w:keepNext w:val="0"/>
              <w:keepLines w:val="0"/>
              <w:suppressLineNumbers w:val="0"/>
              <w:spacing w:before="0" w:beforeAutospacing="0" w:after="50" w:afterAutospacing="0" w:line="360" w:lineRule="auto"/>
              <w:ind w:left="0" w:right="-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磋商文件关于预留份额的要求。</w:t>
            </w:r>
          </w:p>
        </w:tc>
        <w:tc>
          <w:tcPr>
            <w:tcW w:w="1103" w:type="pct"/>
            <w:tcBorders>
              <w:bottom w:val="single" w:color="auto" w:sz="4" w:space="0"/>
            </w:tcBorders>
            <w:vAlign w:val="center"/>
          </w:tcPr>
          <w:p w14:paraId="3CB7E5B2">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详见第六章响应文件格式。</w:t>
            </w:r>
          </w:p>
        </w:tc>
      </w:tr>
      <w:tr w14:paraId="6716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62AC90E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942" w:type="pct"/>
            <w:tcBorders>
              <w:bottom w:val="single" w:color="auto" w:sz="4" w:space="0"/>
            </w:tcBorders>
            <w:shd w:val="clear" w:color="auto" w:fill="auto"/>
            <w:vAlign w:val="center"/>
          </w:tcPr>
          <w:p w14:paraId="5E148EBB">
            <w:pPr>
              <w:keepNext w:val="0"/>
              <w:keepLines w:val="0"/>
              <w:suppressLineNumbers w:val="0"/>
              <w:spacing w:before="0" w:beforeAutospacing="0" w:after="50" w:afterAutospacing="0" w:line="360" w:lineRule="auto"/>
              <w:ind w:left="0" w:leftChars="0" w:right="-10" w:rightChars="0"/>
              <w:rPr>
                <w:rFonts w:hint="default"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pacing w:val="10"/>
                <w:sz w:val="24"/>
                <w:szCs w:val="24"/>
                <w:highlight w:val="none"/>
                <w:lang w:val="en-US" w:eastAsia="zh-CN"/>
              </w:rPr>
              <w:t>诚信响应承诺书</w:t>
            </w:r>
          </w:p>
        </w:tc>
        <w:tc>
          <w:tcPr>
            <w:tcW w:w="2600" w:type="pct"/>
            <w:tcBorders>
              <w:bottom w:val="single" w:color="auto" w:sz="4" w:space="0"/>
            </w:tcBorders>
            <w:shd w:val="clear" w:color="auto" w:fill="auto"/>
            <w:vAlign w:val="center"/>
          </w:tcPr>
          <w:p w14:paraId="060E0954">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rPr>
              <w:t>格式、填写要求符合磋商文件规定并加盖供应商电子签章</w:t>
            </w:r>
          </w:p>
        </w:tc>
        <w:tc>
          <w:tcPr>
            <w:tcW w:w="1103" w:type="pct"/>
            <w:tcBorders>
              <w:bottom w:val="single" w:color="auto" w:sz="4" w:space="0"/>
            </w:tcBorders>
            <w:shd w:val="clear" w:color="auto" w:fill="auto"/>
            <w:vAlign w:val="center"/>
          </w:tcPr>
          <w:p w14:paraId="7734BE9A">
            <w:pPr>
              <w:keepNext w:val="0"/>
              <w:keepLines w:val="0"/>
              <w:suppressLineNumbers w:val="0"/>
              <w:spacing w:before="0" w:beforeAutospacing="0" w:after="50" w:afterAutospacing="0" w:line="360" w:lineRule="auto"/>
              <w:ind w:left="0" w:leftChars="0" w:right="-10" w:right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spacing w:val="10"/>
                <w:sz w:val="24"/>
                <w:szCs w:val="24"/>
                <w:highlight w:val="none"/>
              </w:rPr>
              <w:t>详见第六章响应文件格式。</w:t>
            </w:r>
          </w:p>
        </w:tc>
      </w:tr>
      <w:tr w14:paraId="5819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1B2DEA0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6</w:t>
            </w:r>
          </w:p>
        </w:tc>
        <w:tc>
          <w:tcPr>
            <w:tcW w:w="942" w:type="pct"/>
            <w:tcBorders>
              <w:bottom w:val="single" w:color="auto" w:sz="4" w:space="0"/>
            </w:tcBorders>
            <w:shd w:val="clear" w:color="auto" w:fill="auto"/>
            <w:vAlign w:val="center"/>
          </w:tcPr>
          <w:p w14:paraId="61BEC6E1">
            <w:pPr>
              <w:keepNext w:val="0"/>
              <w:keepLines w:val="0"/>
              <w:suppressLineNumbers w:val="0"/>
              <w:spacing w:before="0" w:beforeAutospacing="0" w:after="50" w:afterAutospacing="0" w:line="360" w:lineRule="auto"/>
              <w:ind w:left="0" w:leftChars="0" w:right="-10" w:rightChars="0"/>
              <w:rPr>
                <w:rFonts w:hint="default" w:ascii="宋体" w:hAnsi="宋体" w:eastAsia="宋体" w:cs="宋体"/>
                <w:color w:val="auto"/>
                <w:spacing w:val="10"/>
                <w:sz w:val="24"/>
                <w:szCs w:val="24"/>
                <w:highlight w:val="none"/>
              </w:rPr>
            </w:pPr>
            <w:r>
              <w:rPr>
                <w:rFonts w:hint="default" w:ascii="宋体" w:hAnsi="宋体" w:eastAsia="宋体" w:cs="宋体"/>
                <w:color w:val="auto"/>
                <w:spacing w:val="10"/>
                <w:sz w:val="24"/>
                <w:szCs w:val="24"/>
                <w:highlight w:val="none"/>
              </w:rPr>
              <w:t>其他特定资格要求</w:t>
            </w:r>
          </w:p>
          <w:p w14:paraId="755E432E">
            <w:pPr>
              <w:keepNext w:val="0"/>
              <w:keepLines w:val="0"/>
              <w:suppressLineNumbers w:val="0"/>
              <w:spacing w:before="0" w:beforeAutospacing="0" w:after="50" w:afterAutospacing="0" w:line="360" w:lineRule="auto"/>
              <w:ind w:left="0" w:leftChars="0" w:right="-10" w:rightChars="0"/>
              <w:rPr>
                <w:rFonts w:hint="eastAsia" w:ascii="宋体" w:hAnsi="宋体" w:eastAsia="宋体" w:cs="宋体"/>
                <w:color w:val="auto"/>
                <w:spacing w:val="10"/>
                <w:kern w:val="2"/>
                <w:sz w:val="24"/>
                <w:szCs w:val="24"/>
                <w:highlight w:val="none"/>
                <w:lang w:val="en-US" w:eastAsia="zh-CN" w:bidi="ar-SA"/>
              </w:rPr>
            </w:pPr>
            <w:r>
              <w:rPr>
                <w:rFonts w:hint="default" w:ascii="宋体" w:hAnsi="宋体" w:eastAsia="宋体" w:cs="宋体"/>
                <w:color w:val="auto"/>
                <w:spacing w:val="10"/>
                <w:sz w:val="24"/>
                <w:szCs w:val="24"/>
                <w:highlight w:val="none"/>
              </w:rPr>
              <w:t>（本项目不适用）</w:t>
            </w:r>
          </w:p>
        </w:tc>
        <w:tc>
          <w:tcPr>
            <w:tcW w:w="2600" w:type="pct"/>
            <w:tcBorders>
              <w:bottom w:val="single" w:color="auto" w:sz="4" w:space="0"/>
            </w:tcBorders>
            <w:shd w:val="clear" w:color="auto" w:fill="auto"/>
            <w:vAlign w:val="center"/>
          </w:tcPr>
          <w:p w14:paraId="38CABF32">
            <w:pPr>
              <w:keepNext w:val="0"/>
              <w:keepLines w:val="0"/>
              <w:suppressLineNumbers w:val="0"/>
              <w:spacing w:before="0" w:beforeAutospacing="0" w:after="50" w:afterAutospacing="0" w:line="360" w:lineRule="auto"/>
              <w:ind w:left="0" w:leftChars="0" w:right="-10" w:rightChars="0"/>
              <w:rPr>
                <w:rFonts w:hint="eastAsia" w:ascii="宋体" w:hAnsi="宋体" w:eastAsia="宋体" w:cs="宋体"/>
                <w:color w:val="auto"/>
                <w:spacing w:val="10"/>
                <w:kern w:val="2"/>
                <w:sz w:val="24"/>
                <w:szCs w:val="24"/>
                <w:highlight w:val="none"/>
                <w:lang w:val="en-US" w:eastAsia="zh-CN" w:bidi="ar-SA"/>
              </w:rPr>
            </w:pPr>
            <w:r>
              <w:rPr>
                <w:rFonts w:hint="default" w:ascii="宋体" w:hAnsi="宋体" w:eastAsia="宋体" w:cs="宋体"/>
                <w:color w:val="auto"/>
                <w:spacing w:val="10"/>
                <w:sz w:val="24"/>
                <w:szCs w:val="24"/>
                <w:highlight w:val="none"/>
              </w:rPr>
              <w:t>见第一章《</w:t>
            </w:r>
            <w:r>
              <w:rPr>
                <w:rFonts w:hint="eastAsia" w:ascii="宋体" w:hAnsi="宋体" w:eastAsia="宋体" w:cs="宋体"/>
                <w:color w:val="auto"/>
                <w:spacing w:val="10"/>
                <w:sz w:val="24"/>
                <w:szCs w:val="24"/>
                <w:highlight w:val="none"/>
              </w:rPr>
              <w:t>磋商</w:t>
            </w:r>
            <w:r>
              <w:rPr>
                <w:rFonts w:hint="default" w:ascii="宋体" w:hAnsi="宋体" w:eastAsia="宋体" w:cs="宋体"/>
                <w:color w:val="auto"/>
                <w:spacing w:val="10"/>
                <w:sz w:val="24"/>
                <w:szCs w:val="24"/>
                <w:highlight w:val="none"/>
              </w:rPr>
              <w:t>邀请》</w:t>
            </w:r>
          </w:p>
        </w:tc>
        <w:tc>
          <w:tcPr>
            <w:tcW w:w="1103" w:type="pct"/>
            <w:tcBorders>
              <w:bottom w:val="single" w:color="auto" w:sz="4" w:space="0"/>
            </w:tcBorders>
            <w:shd w:val="clear" w:color="auto" w:fill="auto"/>
            <w:vAlign w:val="center"/>
          </w:tcPr>
          <w:p w14:paraId="79672034">
            <w:pPr>
              <w:keepNext w:val="0"/>
              <w:keepLines w:val="0"/>
              <w:suppressLineNumbers w:val="0"/>
              <w:spacing w:before="0" w:beforeAutospacing="0" w:after="50" w:afterAutospacing="0" w:line="360" w:lineRule="auto"/>
              <w:ind w:left="0" w:leftChars="0" w:right="-10" w:rightChars="0"/>
              <w:rPr>
                <w:rFonts w:hint="default" w:ascii="宋体" w:hAnsi="宋体" w:eastAsia="宋体" w:cs="宋体"/>
                <w:color w:val="auto"/>
                <w:spacing w:val="10"/>
                <w:kern w:val="2"/>
                <w:sz w:val="24"/>
                <w:szCs w:val="24"/>
                <w:highlight w:val="none"/>
                <w:lang w:val="en-US" w:eastAsia="zh-CN" w:bidi="ar-SA"/>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4F00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2848D1C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942" w:type="pct"/>
            <w:tcBorders>
              <w:bottom w:val="single" w:color="auto" w:sz="4" w:space="0"/>
            </w:tcBorders>
            <w:shd w:val="clear" w:color="auto" w:fill="auto"/>
            <w:vAlign w:val="center"/>
          </w:tcPr>
          <w:p w14:paraId="4B66BC67">
            <w:pPr>
              <w:keepNext w:val="0"/>
              <w:keepLines w:val="0"/>
              <w:suppressLineNumbers w:val="0"/>
              <w:spacing w:before="0" w:beforeAutospacing="0" w:after="50" w:afterAutospacing="0" w:line="360" w:lineRule="auto"/>
              <w:ind w:left="0" w:leftChars="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磋商响应函</w:t>
            </w:r>
          </w:p>
        </w:tc>
        <w:tc>
          <w:tcPr>
            <w:tcW w:w="2600" w:type="pct"/>
            <w:tcBorders>
              <w:bottom w:val="single" w:color="auto" w:sz="4" w:space="0"/>
            </w:tcBorders>
            <w:shd w:val="clear" w:color="auto" w:fill="auto"/>
            <w:vAlign w:val="center"/>
          </w:tcPr>
          <w:p w14:paraId="18C13AEE">
            <w:pPr>
              <w:keepNext w:val="0"/>
              <w:keepLines w:val="0"/>
              <w:suppressLineNumbers w:val="0"/>
              <w:spacing w:before="0" w:beforeAutospacing="0" w:after="50" w:afterAutospacing="0" w:line="360" w:lineRule="auto"/>
              <w:ind w:left="0" w:leftChars="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格式、填写要求符合磋商文件规定并加盖供应商电子签章</w:t>
            </w:r>
          </w:p>
        </w:tc>
        <w:tc>
          <w:tcPr>
            <w:tcW w:w="1103" w:type="pct"/>
            <w:tcBorders>
              <w:bottom w:val="single" w:color="auto" w:sz="4" w:space="0"/>
            </w:tcBorders>
            <w:shd w:val="clear" w:color="auto" w:fill="auto"/>
            <w:vAlign w:val="center"/>
          </w:tcPr>
          <w:p w14:paraId="2444D6FC">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宋体" w:hAnsi="宋体" w:eastAsia="宋体"/>
                <w:color w:val="auto"/>
                <w:sz w:val="24"/>
                <w:szCs w:val="20"/>
                <w:highlight w:val="none"/>
              </w:rPr>
              <w:t>详见第六章响应文件格式。</w:t>
            </w:r>
          </w:p>
        </w:tc>
      </w:tr>
      <w:tr w14:paraId="1455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6DEF789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8</w:t>
            </w:r>
          </w:p>
        </w:tc>
        <w:tc>
          <w:tcPr>
            <w:tcW w:w="942" w:type="pct"/>
            <w:tcBorders>
              <w:bottom w:val="single" w:color="auto" w:sz="4" w:space="0"/>
            </w:tcBorders>
            <w:shd w:val="clear" w:color="auto" w:fill="auto"/>
            <w:vAlign w:val="center"/>
          </w:tcPr>
          <w:p w14:paraId="0F6CCA64">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授权书</w:t>
            </w:r>
          </w:p>
        </w:tc>
        <w:tc>
          <w:tcPr>
            <w:tcW w:w="2600" w:type="pct"/>
            <w:tcBorders>
              <w:bottom w:val="single" w:color="auto" w:sz="4" w:space="0"/>
            </w:tcBorders>
            <w:shd w:val="clear" w:color="auto" w:fill="auto"/>
            <w:vAlign w:val="center"/>
          </w:tcPr>
          <w:p w14:paraId="651E1B3D">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0"/>
                <w:highlight w:val="none"/>
              </w:rPr>
              <w:t>供应商</w:t>
            </w:r>
            <w:r>
              <w:rPr>
                <w:rFonts w:hint="eastAsia" w:asciiTheme="minorEastAsia" w:hAnsiTheme="minorEastAsia" w:eastAsiaTheme="minorEastAsia"/>
                <w:color w:val="auto"/>
                <w:sz w:val="24"/>
                <w:szCs w:val="28"/>
                <w:highlight w:val="none"/>
              </w:rPr>
              <w:t>电子签章</w:t>
            </w:r>
          </w:p>
        </w:tc>
        <w:tc>
          <w:tcPr>
            <w:tcW w:w="1103" w:type="pct"/>
            <w:tcBorders>
              <w:bottom w:val="single" w:color="auto" w:sz="4" w:space="0"/>
            </w:tcBorders>
            <w:shd w:val="clear" w:color="auto" w:fill="auto"/>
            <w:vAlign w:val="center"/>
          </w:tcPr>
          <w:p w14:paraId="5EEE3107">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rPr>
              <w:t>法定代表人参加磋商的无需此件，提供身份证明即可。详见第六章响应文件格式。</w:t>
            </w:r>
          </w:p>
        </w:tc>
      </w:tr>
      <w:tr w14:paraId="166F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tcBorders>
              <w:bottom w:val="single" w:color="auto" w:sz="4" w:space="0"/>
            </w:tcBorders>
            <w:vAlign w:val="center"/>
          </w:tcPr>
          <w:p w14:paraId="034A747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9</w:t>
            </w:r>
          </w:p>
        </w:tc>
        <w:tc>
          <w:tcPr>
            <w:tcW w:w="942" w:type="pct"/>
            <w:tcBorders>
              <w:bottom w:val="single" w:color="auto" w:sz="4" w:space="0"/>
            </w:tcBorders>
            <w:shd w:val="clear" w:color="auto" w:fill="auto"/>
            <w:vAlign w:val="center"/>
          </w:tcPr>
          <w:p w14:paraId="54735A7F">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磋商报价</w:t>
            </w:r>
          </w:p>
        </w:tc>
        <w:tc>
          <w:tcPr>
            <w:tcW w:w="2600" w:type="pct"/>
            <w:tcBorders>
              <w:bottom w:val="single" w:color="auto" w:sz="4" w:space="0"/>
            </w:tcBorders>
            <w:shd w:val="clear" w:color="auto" w:fill="auto"/>
            <w:vAlign w:val="center"/>
          </w:tcPr>
          <w:p w14:paraId="50C3D7BA">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rPr>
              <w:t>磋商</w:t>
            </w:r>
            <w:r>
              <w:rPr>
                <w:rFonts w:hint="eastAsia" w:asciiTheme="minorEastAsia" w:hAnsiTheme="minorEastAsia" w:eastAsiaTheme="minorEastAsia"/>
                <w:color w:val="auto"/>
                <w:sz w:val="24"/>
                <w:szCs w:val="20"/>
                <w:highlight w:val="none"/>
              </w:rPr>
              <w:t>文件供应商须知正文第9条要求</w:t>
            </w:r>
          </w:p>
        </w:tc>
        <w:tc>
          <w:tcPr>
            <w:tcW w:w="1103" w:type="pct"/>
            <w:tcBorders>
              <w:bottom w:val="single" w:color="auto" w:sz="4" w:space="0"/>
            </w:tcBorders>
            <w:shd w:val="clear" w:color="auto" w:fill="auto"/>
            <w:vAlign w:val="center"/>
          </w:tcPr>
          <w:p w14:paraId="4EF48618">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olor w:val="auto"/>
                <w:sz w:val="24"/>
                <w:szCs w:val="20"/>
                <w:highlight w:val="none"/>
              </w:rPr>
              <w:t>详见第六章响应文件格式。</w:t>
            </w:r>
          </w:p>
        </w:tc>
      </w:tr>
      <w:tr w14:paraId="23D4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2D47CCD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10</w:t>
            </w:r>
          </w:p>
        </w:tc>
        <w:tc>
          <w:tcPr>
            <w:tcW w:w="942" w:type="pct"/>
            <w:shd w:val="clear" w:color="auto" w:fill="auto"/>
            <w:vAlign w:val="center"/>
          </w:tcPr>
          <w:p w14:paraId="68A4A793">
            <w:pPr>
              <w:keepNext w:val="0"/>
              <w:keepLines w:val="0"/>
              <w:suppressLineNumbers w:val="0"/>
              <w:spacing w:before="0" w:beforeAutospacing="0" w:after="50" w:afterAutospacing="0" w:line="360" w:lineRule="auto"/>
              <w:ind w:left="0" w:leftChars="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商务响应情况</w:t>
            </w:r>
          </w:p>
        </w:tc>
        <w:tc>
          <w:tcPr>
            <w:tcW w:w="2600" w:type="pct"/>
            <w:shd w:val="clear" w:color="auto" w:fill="auto"/>
            <w:vAlign w:val="center"/>
          </w:tcPr>
          <w:p w14:paraId="05E835E6">
            <w:pPr>
              <w:keepNext w:val="0"/>
              <w:keepLines w:val="0"/>
              <w:suppressLineNumbers w:val="0"/>
              <w:spacing w:before="0" w:beforeAutospacing="0" w:after="50" w:afterAutospacing="0" w:line="360" w:lineRule="auto"/>
              <w:ind w:left="0" w:leftChars="0" w:right="-10" w:rightChars="0"/>
              <w:jc w:val="center"/>
              <w:rPr>
                <w:rFonts w:hint="eastAsia" w:cs="@仿宋_GB2312" w:asciiTheme="minorEastAsia" w:hAnsiTheme="minorEastAsia" w:eastAsiaTheme="minorEastAsia"/>
                <w:color w:val="auto"/>
                <w:kern w:val="2"/>
                <w:sz w:val="24"/>
                <w:szCs w:val="28"/>
                <w:highlight w:val="none"/>
                <w:lang w:val="en-US" w:eastAsia="zh-CN" w:bidi="ar-SA"/>
              </w:rPr>
            </w:pPr>
            <w:r>
              <w:rPr>
                <w:rFonts w:hint="eastAsia" w:asciiTheme="minorEastAsia" w:hAnsiTheme="minorEastAsia" w:eastAsiaTheme="minorEastAsia"/>
                <w:color w:val="auto"/>
                <w:sz w:val="24"/>
                <w:szCs w:val="28"/>
                <w:highlight w:val="none"/>
              </w:rPr>
              <w:t>符合磋商文件采购需求中对付款方式、服务地点、服务期限等实质性要求</w:t>
            </w:r>
          </w:p>
        </w:tc>
        <w:tc>
          <w:tcPr>
            <w:tcW w:w="1103" w:type="pct"/>
            <w:shd w:val="clear" w:color="auto" w:fill="auto"/>
            <w:vAlign w:val="center"/>
          </w:tcPr>
          <w:p w14:paraId="00FE2FEF">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cs="@仿宋_GB2312" w:asciiTheme="minorEastAsia" w:hAnsiTheme="minorEastAsia" w:eastAsiaTheme="minorEastAsia"/>
                <w:color w:val="auto"/>
                <w:kern w:val="2"/>
                <w:sz w:val="24"/>
                <w:szCs w:val="20"/>
                <w:highlight w:val="none"/>
                <w:lang w:val="en-US" w:eastAsia="zh-CN" w:bidi="ar-SA"/>
              </w:rPr>
            </w:pPr>
            <w:r>
              <w:rPr>
                <w:rFonts w:hint="eastAsia" w:asciiTheme="minorEastAsia" w:hAnsiTheme="minorEastAsia" w:eastAsiaTheme="minorEastAsia"/>
                <w:color w:val="auto"/>
                <w:sz w:val="24"/>
                <w:szCs w:val="20"/>
                <w:highlight w:val="none"/>
              </w:rPr>
              <w:t>详见第六章响应文件格式。</w:t>
            </w:r>
          </w:p>
        </w:tc>
      </w:tr>
      <w:tr w14:paraId="0643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4" w:type="pct"/>
            <w:vAlign w:val="center"/>
          </w:tcPr>
          <w:p w14:paraId="3112A31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11</w:t>
            </w:r>
          </w:p>
        </w:tc>
        <w:tc>
          <w:tcPr>
            <w:tcW w:w="942" w:type="pct"/>
            <w:shd w:val="clear" w:color="auto" w:fill="auto"/>
            <w:vAlign w:val="center"/>
          </w:tcPr>
          <w:p w14:paraId="25C7B5D1">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其他要求</w:t>
            </w:r>
          </w:p>
        </w:tc>
        <w:tc>
          <w:tcPr>
            <w:tcW w:w="2600" w:type="pct"/>
            <w:shd w:val="clear" w:color="auto" w:fill="auto"/>
            <w:vAlign w:val="center"/>
          </w:tcPr>
          <w:p w14:paraId="7CAB6B3D">
            <w:pPr>
              <w:keepNext w:val="0"/>
              <w:keepLines w:val="0"/>
              <w:suppressLineNumbers w:val="0"/>
              <w:spacing w:before="0" w:beforeAutospacing="0" w:after="50" w:afterAutospacing="0" w:line="360" w:lineRule="auto"/>
              <w:ind w:left="0" w:leftChars="0" w:right="-10" w:rightChars="0"/>
              <w:jc w:val="center"/>
              <w:rPr>
                <w:rFonts w:hint="eastAsia" w:ascii="宋体" w:hAnsi="宋体" w:eastAsia="宋体" w:cs="宋体"/>
                <w:color w:val="auto"/>
                <w:spacing w:val="10"/>
                <w:kern w:val="2"/>
                <w:sz w:val="24"/>
                <w:szCs w:val="24"/>
                <w:highlight w:val="none"/>
                <w:lang w:val="en-US" w:eastAsia="zh-CN" w:bidi="ar-SA"/>
              </w:rPr>
            </w:pPr>
            <w:r>
              <w:rPr>
                <w:rFonts w:hint="eastAsia" w:asciiTheme="minorEastAsia" w:hAnsiTheme="minorEastAsia" w:eastAsiaTheme="minorEastAsia"/>
                <w:color w:val="auto"/>
                <w:sz w:val="24"/>
                <w:szCs w:val="28"/>
                <w:highlight w:val="none"/>
              </w:rPr>
              <w:t>符合法律、行政法规规定的其他条件或磋商文件列明的其他实质性要求</w:t>
            </w:r>
          </w:p>
        </w:tc>
        <w:tc>
          <w:tcPr>
            <w:tcW w:w="1103" w:type="pct"/>
            <w:shd w:val="clear" w:color="auto" w:fill="auto"/>
            <w:vAlign w:val="center"/>
          </w:tcPr>
          <w:p w14:paraId="648DC626">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Theme="minorEastAsia" w:hAnsiTheme="minorEastAsia" w:eastAsiaTheme="minorEastAsia"/>
                <w:color w:val="auto"/>
                <w:sz w:val="24"/>
                <w:szCs w:val="20"/>
                <w:highlight w:val="none"/>
              </w:rPr>
            </w:pPr>
          </w:p>
        </w:tc>
      </w:tr>
    </w:tbl>
    <w:p w14:paraId="30D2C7C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1DC7A7ED">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2.2综合评分</w:t>
      </w:r>
    </w:p>
    <w:p w14:paraId="3C60EB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75EB889E">
      <w:pPr>
        <w:spacing w:line="360" w:lineRule="auto"/>
        <w:ind w:firstLine="435"/>
        <w:rPr>
          <w:rFonts w:hint="eastAsia"/>
          <w:color w:val="auto"/>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89</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w:t>
      </w:r>
      <w:r>
        <w:rPr>
          <w:rFonts w:hint="eastAsia" w:asciiTheme="minorEastAsia" w:hAnsiTheme="minorEastAsia" w:eastAsiaTheme="minorEastAsia"/>
          <w:color w:val="auto"/>
          <w:sz w:val="24"/>
          <w:highlight w:val="none"/>
          <w:u w:val="single"/>
          <w:lang w:val="en-US" w:eastAsia="zh-CN"/>
        </w:rPr>
        <w:t>1</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26"/>
        <w:tblW w:w="55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1183"/>
        <w:gridCol w:w="5802"/>
        <w:gridCol w:w="1239"/>
      </w:tblGrid>
      <w:tr w14:paraId="1F32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18" w:type="pct"/>
            <w:tcBorders>
              <w:top w:val="single" w:color="auto" w:sz="4" w:space="0"/>
              <w:left w:val="single" w:color="auto" w:sz="4" w:space="0"/>
              <w:bottom w:val="single" w:color="auto" w:sz="4" w:space="0"/>
              <w:right w:val="single" w:color="auto" w:sz="4" w:space="0"/>
            </w:tcBorders>
            <w:vAlign w:val="center"/>
          </w:tcPr>
          <w:p w14:paraId="1D2A8B0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类别</w:t>
            </w:r>
          </w:p>
        </w:tc>
        <w:tc>
          <w:tcPr>
            <w:tcW w:w="630" w:type="pct"/>
            <w:tcBorders>
              <w:top w:val="single" w:color="auto" w:sz="4" w:space="0"/>
              <w:left w:val="single" w:color="auto" w:sz="4" w:space="0"/>
              <w:bottom w:val="single" w:color="auto" w:sz="4" w:space="0"/>
              <w:right w:val="single" w:color="auto" w:sz="4" w:space="0"/>
            </w:tcBorders>
            <w:vAlign w:val="center"/>
          </w:tcPr>
          <w:p w14:paraId="56BC154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评分内容</w:t>
            </w:r>
          </w:p>
        </w:tc>
        <w:tc>
          <w:tcPr>
            <w:tcW w:w="3091" w:type="pct"/>
            <w:tcBorders>
              <w:top w:val="single" w:color="auto" w:sz="4" w:space="0"/>
              <w:left w:val="single" w:color="auto" w:sz="4" w:space="0"/>
              <w:bottom w:val="single" w:color="auto" w:sz="4" w:space="0"/>
              <w:right w:val="single" w:color="auto" w:sz="4" w:space="0"/>
            </w:tcBorders>
            <w:vAlign w:val="center"/>
          </w:tcPr>
          <w:p w14:paraId="40CB569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评分标准</w:t>
            </w:r>
          </w:p>
        </w:tc>
        <w:tc>
          <w:tcPr>
            <w:tcW w:w="659" w:type="pct"/>
            <w:tcBorders>
              <w:top w:val="single" w:color="auto" w:sz="4" w:space="0"/>
              <w:left w:val="single" w:color="auto" w:sz="4" w:space="0"/>
              <w:bottom w:val="single" w:color="auto" w:sz="4" w:space="0"/>
              <w:right w:val="single" w:color="auto" w:sz="4" w:space="0"/>
            </w:tcBorders>
            <w:vAlign w:val="center"/>
          </w:tcPr>
          <w:p w14:paraId="66BDCE4E">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分值范围</w:t>
            </w:r>
          </w:p>
        </w:tc>
      </w:tr>
      <w:tr w14:paraId="0FF2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restart"/>
            <w:tcBorders>
              <w:top w:val="single" w:color="auto" w:sz="4" w:space="0"/>
              <w:left w:val="single" w:color="auto" w:sz="4" w:space="0"/>
              <w:right w:val="single" w:color="auto" w:sz="4" w:space="0"/>
            </w:tcBorders>
            <w:vAlign w:val="center"/>
          </w:tcPr>
          <w:p w14:paraId="0F75F8E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技术资信分</w:t>
            </w:r>
          </w:p>
          <w:p w14:paraId="43B2361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u w:val="single"/>
              </w:rPr>
              <w:t xml:space="preserve"> </w:t>
            </w:r>
            <w:r>
              <w:rPr>
                <w:rFonts w:hint="eastAsia" w:asciiTheme="minorEastAsia" w:hAnsiTheme="minorEastAsia" w:eastAsiaTheme="minorEastAsia"/>
                <w:color w:val="auto"/>
                <w:sz w:val="24"/>
                <w:szCs w:val="20"/>
                <w:highlight w:val="none"/>
                <w:u w:val="single"/>
                <w:lang w:val="en-US" w:eastAsia="zh-CN"/>
              </w:rPr>
              <w:t>89</w:t>
            </w:r>
            <w:r>
              <w:rPr>
                <w:rFonts w:hint="eastAsia" w:asciiTheme="minorEastAsia" w:hAnsiTheme="minorEastAsia" w:eastAsiaTheme="minorEastAsia"/>
                <w:color w:val="auto"/>
                <w:sz w:val="24"/>
                <w:szCs w:val="20"/>
                <w:highlight w:val="none"/>
                <w:u w:val="single"/>
              </w:rPr>
              <w:t xml:space="preserve"> </w:t>
            </w:r>
            <w:r>
              <w:rPr>
                <w:rFonts w:hint="eastAsia" w:asciiTheme="minorEastAsia" w:hAnsiTheme="minorEastAsia" w:eastAsiaTheme="minorEastAsia"/>
                <w:color w:val="auto"/>
                <w:sz w:val="24"/>
                <w:szCs w:val="20"/>
                <w:highlight w:val="none"/>
              </w:rPr>
              <w:t>分）</w:t>
            </w:r>
          </w:p>
        </w:tc>
        <w:tc>
          <w:tcPr>
            <w:tcW w:w="4381" w:type="pct"/>
            <w:gridSpan w:val="3"/>
            <w:tcBorders>
              <w:top w:val="single" w:color="auto" w:sz="4" w:space="0"/>
              <w:left w:val="single" w:color="auto" w:sz="4" w:space="0"/>
              <w:bottom w:val="single" w:color="auto" w:sz="4" w:space="0"/>
              <w:right w:val="single" w:color="auto" w:sz="4" w:space="0"/>
            </w:tcBorders>
            <w:vAlign w:val="center"/>
          </w:tcPr>
          <w:p w14:paraId="6AEE41F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资信部分（</w:t>
            </w:r>
            <w:r>
              <w:rPr>
                <w:rFonts w:hint="eastAsia" w:asciiTheme="minorEastAsia" w:hAnsiTheme="minorEastAsia" w:eastAsiaTheme="minorEastAsia"/>
                <w:b/>
                <w:bCs/>
                <w:color w:val="auto"/>
                <w:sz w:val="24"/>
                <w:szCs w:val="20"/>
                <w:highlight w:val="none"/>
                <w:lang w:val="en-US" w:eastAsia="zh-CN"/>
              </w:rPr>
              <w:t>34</w:t>
            </w:r>
            <w:r>
              <w:rPr>
                <w:rFonts w:hint="eastAsia" w:asciiTheme="minorEastAsia" w:hAnsiTheme="minorEastAsia" w:eastAsiaTheme="minorEastAsia"/>
                <w:b/>
                <w:bCs/>
                <w:color w:val="auto"/>
                <w:sz w:val="24"/>
                <w:szCs w:val="20"/>
                <w:highlight w:val="none"/>
              </w:rPr>
              <w:t>分）</w:t>
            </w:r>
          </w:p>
        </w:tc>
      </w:tr>
      <w:tr w14:paraId="6C94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04ADEAD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612D4F7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供应商业绩</w:t>
            </w:r>
          </w:p>
        </w:tc>
        <w:tc>
          <w:tcPr>
            <w:tcW w:w="3091" w:type="pct"/>
            <w:tcBorders>
              <w:top w:val="single" w:color="auto" w:sz="4" w:space="0"/>
              <w:left w:val="single" w:color="auto" w:sz="4" w:space="0"/>
              <w:bottom w:val="single" w:color="auto" w:sz="4" w:space="0"/>
              <w:right w:val="single" w:color="auto" w:sz="4" w:space="0"/>
            </w:tcBorders>
            <w:shd w:val="clear" w:color="auto" w:fill="auto"/>
            <w:vAlign w:val="center"/>
          </w:tcPr>
          <w:p w14:paraId="23F13FA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自2020年1月1日至今（以合同签订日期为准），供应商具有双公示或信用体系建设运营或信用体系建设保障服务等信用类服务项目业绩的，每提供一个得2分，本项满分4分。</w:t>
            </w:r>
          </w:p>
          <w:p w14:paraId="2A3B0C9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备注：</w:t>
            </w:r>
          </w:p>
          <w:p w14:paraId="383EA00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①响应文件中须提供合同扫描件，如合同中无法体现签订时间、项目内容等关键评审因素的，须同时提供业主（合同甲方）证明材料，未提供或提供不全的不得分。</w:t>
            </w:r>
          </w:p>
          <w:p w14:paraId="680BCF0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lang w:val="en-US" w:eastAsia="zh-CN"/>
              </w:rPr>
              <w:t>②同一业绩合同不重复计分。</w:t>
            </w:r>
          </w:p>
          <w:p w14:paraId="7263FB56">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lang w:val="en-US" w:eastAsia="zh-CN"/>
              </w:rPr>
              <w:t>③供应商投标时只须提供2个评审业绩，若供应商提供业绩个数超过2个，则按照排列顺序从首个业绩开始评审至对应数量（2个），超出部分业绩不进行评审。对应数量（2个）内业绩不符合招标文件要求不得分的，不再补充评审超出部分业绩</w:t>
            </w:r>
            <w:r>
              <w:rPr>
                <w:rFonts w:hint="eastAsia" w:asciiTheme="minorEastAsia" w:hAnsiTheme="minorEastAsia" w:eastAsiaTheme="minorEastAsia"/>
                <w:bCs/>
                <w:color w:val="auto"/>
                <w:sz w:val="24"/>
                <w:szCs w:val="20"/>
                <w:highlight w:val="none"/>
              </w:rPr>
              <w:t>。</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624F885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0-</w:t>
            </w:r>
            <w:r>
              <w:rPr>
                <w:rFonts w:hint="eastAsia" w:asciiTheme="minorEastAsia" w:hAnsiTheme="minorEastAsia" w:eastAsiaTheme="minorEastAsia"/>
                <w:b/>
                <w:bCs/>
                <w:color w:val="auto"/>
                <w:sz w:val="24"/>
                <w:szCs w:val="20"/>
                <w:highlight w:val="none"/>
                <w:lang w:val="en-US" w:eastAsia="zh-CN"/>
              </w:rPr>
              <w:t>4</w:t>
            </w:r>
            <w:r>
              <w:rPr>
                <w:rFonts w:hint="eastAsia" w:asciiTheme="minorEastAsia" w:hAnsiTheme="minorEastAsia" w:eastAsiaTheme="minorEastAsia"/>
                <w:b/>
                <w:bCs/>
                <w:color w:val="auto"/>
                <w:sz w:val="24"/>
                <w:szCs w:val="20"/>
                <w:highlight w:val="none"/>
              </w:rPr>
              <w:t>分</w:t>
            </w:r>
          </w:p>
        </w:tc>
      </w:tr>
      <w:tr w14:paraId="4DC6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8" w:type="pct"/>
            <w:vMerge w:val="continue"/>
            <w:tcBorders>
              <w:left w:val="single" w:color="auto" w:sz="4" w:space="0"/>
              <w:right w:val="single" w:color="auto" w:sz="4" w:space="0"/>
            </w:tcBorders>
            <w:vAlign w:val="center"/>
          </w:tcPr>
          <w:p w14:paraId="620FD94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41C9BA2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供应商</w:t>
            </w:r>
            <w:r>
              <w:rPr>
                <w:rFonts w:hint="eastAsia" w:asciiTheme="minorEastAsia" w:hAnsiTheme="minorEastAsia" w:eastAsiaTheme="minorEastAsia"/>
                <w:bCs/>
                <w:color w:val="auto"/>
                <w:sz w:val="24"/>
                <w:szCs w:val="20"/>
                <w:highlight w:val="none"/>
                <w:lang w:val="en-US" w:eastAsia="zh-CN"/>
              </w:rPr>
              <w:t>综合</w:t>
            </w:r>
            <w:r>
              <w:rPr>
                <w:rFonts w:hint="eastAsia" w:asciiTheme="minorEastAsia" w:hAnsiTheme="minorEastAsia" w:eastAsiaTheme="minorEastAsia"/>
                <w:bCs/>
                <w:color w:val="auto"/>
                <w:sz w:val="24"/>
                <w:szCs w:val="20"/>
                <w:highlight w:val="none"/>
              </w:rPr>
              <w:t>实力</w:t>
            </w:r>
          </w:p>
        </w:tc>
        <w:tc>
          <w:tcPr>
            <w:tcW w:w="3091" w:type="pct"/>
            <w:tcBorders>
              <w:top w:val="single" w:color="auto" w:sz="4" w:space="0"/>
              <w:left w:val="single" w:color="auto" w:sz="4" w:space="0"/>
              <w:bottom w:val="single" w:color="auto" w:sz="4" w:space="0"/>
              <w:right w:val="single" w:color="auto" w:sz="4" w:space="0"/>
            </w:tcBorders>
            <w:shd w:val="clear" w:color="auto" w:fill="auto"/>
            <w:vAlign w:val="center"/>
          </w:tcPr>
          <w:p w14:paraId="5FCA475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供应商具有以下软件著作权登记证书的，每</w:t>
            </w:r>
            <w:r>
              <w:rPr>
                <w:rFonts w:hint="eastAsia" w:asciiTheme="minorEastAsia" w:hAnsiTheme="minorEastAsia" w:eastAsiaTheme="minorEastAsia"/>
                <w:bCs/>
                <w:color w:val="auto"/>
                <w:sz w:val="24"/>
                <w:szCs w:val="20"/>
                <w:highlight w:val="none"/>
                <w:lang w:val="en-US" w:eastAsia="zh-CN"/>
              </w:rPr>
              <w:t>类</w:t>
            </w:r>
            <w:r>
              <w:rPr>
                <w:rFonts w:hint="eastAsia" w:asciiTheme="minorEastAsia" w:hAnsiTheme="minorEastAsia" w:eastAsiaTheme="minorEastAsia"/>
                <w:bCs/>
                <w:color w:val="auto"/>
                <w:sz w:val="24"/>
                <w:szCs w:val="20"/>
                <w:highlight w:val="none"/>
              </w:rPr>
              <w:t>得</w:t>
            </w:r>
            <w:r>
              <w:rPr>
                <w:rFonts w:hint="eastAsia" w:asciiTheme="minorEastAsia" w:hAnsiTheme="minorEastAsia" w:eastAsiaTheme="minorEastAsia"/>
                <w:bCs/>
                <w:color w:val="auto"/>
                <w:sz w:val="24"/>
                <w:szCs w:val="20"/>
                <w:highlight w:val="none"/>
                <w:lang w:val="en-US" w:eastAsia="zh-CN"/>
              </w:rPr>
              <w:t>2</w:t>
            </w:r>
            <w:r>
              <w:rPr>
                <w:rFonts w:hint="eastAsia" w:asciiTheme="minorEastAsia" w:hAnsiTheme="minorEastAsia" w:eastAsiaTheme="minorEastAsia"/>
                <w:bCs/>
                <w:color w:val="auto"/>
                <w:sz w:val="24"/>
                <w:szCs w:val="20"/>
                <w:highlight w:val="none"/>
              </w:rPr>
              <w:t>分，本项满分</w:t>
            </w:r>
            <w:r>
              <w:rPr>
                <w:rFonts w:hint="eastAsia" w:asciiTheme="minorEastAsia" w:hAnsiTheme="minorEastAsia" w:eastAsiaTheme="minorEastAsia"/>
                <w:bCs/>
                <w:color w:val="auto"/>
                <w:sz w:val="24"/>
                <w:szCs w:val="20"/>
                <w:highlight w:val="none"/>
                <w:lang w:val="en-US" w:eastAsia="zh-CN"/>
              </w:rPr>
              <w:t>16</w:t>
            </w:r>
            <w:r>
              <w:rPr>
                <w:rFonts w:hint="eastAsia" w:asciiTheme="minorEastAsia" w:hAnsiTheme="minorEastAsia" w:eastAsiaTheme="minorEastAsia"/>
                <w:bCs/>
                <w:color w:val="auto"/>
                <w:sz w:val="24"/>
                <w:szCs w:val="20"/>
                <w:highlight w:val="none"/>
              </w:rPr>
              <w:t>分，没有不得分。</w:t>
            </w:r>
          </w:p>
          <w:p w14:paraId="6FCD7EE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rPr>
              <w:t>①</w:t>
            </w:r>
            <w:r>
              <w:rPr>
                <w:rFonts w:hint="eastAsia" w:asciiTheme="minorEastAsia" w:hAnsiTheme="minorEastAsia" w:eastAsiaTheme="minorEastAsia"/>
                <w:bCs/>
                <w:color w:val="auto"/>
                <w:sz w:val="24"/>
                <w:szCs w:val="20"/>
                <w:highlight w:val="none"/>
                <w:lang w:eastAsia="zh-CN"/>
              </w:rPr>
              <w:t>信用风险分析类；</w:t>
            </w:r>
          </w:p>
          <w:p w14:paraId="6CFD00C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lang w:eastAsia="zh-CN"/>
              </w:rPr>
              <w:t>②信用信息服务类；</w:t>
            </w:r>
          </w:p>
          <w:p w14:paraId="6DB7698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lang w:eastAsia="zh-CN"/>
              </w:rPr>
              <w:t>③大数据信用评级类；</w:t>
            </w:r>
          </w:p>
          <w:p w14:paraId="25B580EC">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lang w:eastAsia="zh-CN"/>
              </w:rPr>
              <w:t>④</w:t>
            </w:r>
            <w:r>
              <w:rPr>
                <w:rFonts w:hint="eastAsia" w:asciiTheme="minorEastAsia" w:hAnsiTheme="minorEastAsia" w:eastAsiaTheme="minorEastAsia"/>
                <w:bCs/>
                <w:color w:val="auto"/>
                <w:sz w:val="24"/>
                <w:szCs w:val="20"/>
                <w:highlight w:val="none"/>
                <w:lang w:val="en-US" w:eastAsia="zh-CN"/>
              </w:rPr>
              <w:t>信用信息管控类</w:t>
            </w:r>
            <w:r>
              <w:rPr>
                <w:rFonts w:hint="eastAsia" w:asciiTheme="minorEastAsia" w:hAnsiTheme="minorEastAsia" w:eastAsiaTheme="minorEastAsia"/>
                <w:bCs/>
                <w:color w:val="auto"/>
                <w:sz w:val="24"/>
                <w:szCs w:val="20"/>
                <w:highlight w:val="none"/>
                <w:lang w:eastAsia="zh-CN"/>
              </w:rPr>
              <w:t>；</w:t>
            </w:r>
          </w:p>
          <w:p w14:paraId="653C94D7">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⑤双公示智能上报类；</w:t>
            </w:r>
          </w:p>
          <w:p w14:paraId="483C646D">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lang w:val="en-US" w:eastAsia="zh-CN"/>
              </w:rPr>
              <w:t>⑥</w:t>
            </w:r>
            <w:r>
              <w:rPr>
                <w:rFonts w:hint="eastAsia" w:asciiTheme="minorEastAsia" w:hAnsiTheme="minorEastAsia" w:eastAsiaTheme="minorEastAsia"/>
                <w:bCs/>
                <w:color w:val="auto"/>
                <w:sz w:val="24"/>
                <w:szCs w:val="20"/>
                <w:highlight w:val="none"/>
                <w:lang w:eastAsia="zh-CN"/>
              </w:rPr>
              <w:t>统一数据管理类；</w:t>
            </w:r>
          </w:p>
          <w:p w14:paraId="376A0C5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eastAsia="zh-CN"/>
              </w:rPr>
              <w:t>⑦信用核查管理</w:t>
            </w:r>
            <w:r>
              <w:rPr>
                <w:rFonts w:hint="eastAsia" w:asciiTheme="minorEastAsia" w:hAnsiTheme="minorEastAsia" w:eastAsiaTheme="minorEastAsia"/>
                <w:bCs/>
                <w:color w:val="auto"/>
                <w:sz w:val="24"/>
                <w:szCs w:val="20"/>
                <w:highlight w:val="none"/>
                <w:lang w:val="en-US" w:eastAsia="zh-CN"/>
              </w:rPr>
              <w:t>类；</w:t>
            </w:r>
          </w:p>
          <w:p w14:paraId="159D436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⑧数据征集管理类；</w:t>
            </w:r>
          </w:p>
          <w:p w14:paraId="65973A1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lang w:val="en-US" w:eastAsia="zh-CN"/>
              </w:rPr>
              <w:t>⑨信用修复服务类</w:t>
            </w:r>
            <w:r>
              <w:rPr>
                <w:rFonts w:hint="eastAsia" w:asciiTheme="minorEastAsia" w:hAnsiTheme="minorEastAsia" w:eastAsiaTheme="minorEastAsia"/>
                <w:bCs/>
                <w:color w:val="auto"/>
                <w:sz w:val="24"/>
                <w:szCs w:val="20"/>
                <w:highlight w:val="none"/>
              </w:rPr>
              <w:t>；</w:t>
            </w:r>
          </w:p>
          <w:p w14:paraId="51CB2C8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注：需提供证书扫描件。</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303ECA92">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0-</w:t>
            </w:r>
            <w:r>
              <w:rPr>
                <w:rFonts w:hint="eastAsia" w:asciiTheme="minorEastAsia" w:hAnsiTheme="minorEastAsia" w:eastAsiaTheme="minorEastAsia"/>
                <w:b/>
                <w:bCs/>
                <w:color w:val="auto"/>
                <w:sz w:val="24"/>
                <w:szCs w:val="20"/>
                <w:highlight w:val="none"/>
                <w:lang w:val="en-US" w:eastAsia="zh-CN"/>
              </w:rPr>
              <w:t>16</w:t>
            </w:r>
            <w:r>
              <w:rPr>
                <w:rFonts w:hint="eastAsia" w:asciiTheme="minorEastAsia" w:hAnsiTheme="minorEastAsia" w:eastAsiaTheme="minorEastAsia"/>
                <w:b/>
                <w:bCs/>
                <w:color w:val="auto"/>
                <w:sz w:val="24"/>
                <w:szCs w:val="20"/>
                <w:highlight w:val="none"/>
              </w:rPr>
              <w:t>分</w:t>
            </w:r>
          </w:p>
        </w:tc>
      </w:tr>
      <w:tr w14:paraId="568A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38380EE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630" w:type="pct"/>
            <w:tcBorders>
              <w:top w:val="single" w:color="auto" w:sz="4" w:space="0"/>
              <w:left w:val="single" w:color="auto" w:sz="4" w:space="0"/>
              <w:bottom w:val="single" w:color="auto" w:sz="4" w:space="0"/>
              <w:right w:val="single" w:color="auto" w:sz="4" w:space="0"/>
            </w:tcBorders>
            <w:shd w:val="clear" w:color="auto" w:fill="auto"/>
            <w:vAlign w:val="center"/>
          </w:tcPr>
          <w:p w14:paraId="668D7E0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服务团队</w:t>
            </w:r>
          </w:p>
        </w:tc>
        <w:tc>
          <w:tcPr>
            <w:tcW w:w="3091" w:type="pct"/>
            <w:tcBorders>
              <w:top w:val="single" w:color="auto" w:sz="4" w:space="0"/>
              <w:left w:val="single" w:color="auto" w:sz="4" w:space="0"/>
              <w:bottom w:val="single" w:color="auto" w:sz="4" w:space="0"/>
              <w:right w:val="single" w:color="auto" w:sz="4" w:space="0"/>
            </w:tcBorders>
            <w:shd w:val="clear" w:color="auto" w:fill="auto"/>
            <w:vAlign w:val="center"/>
          </w:tcPr>
          <w:p w14:paraId="04B53022">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拟投入本项目的项目服务团队人员：</w:t>
            </w:r>
          </w:p>
          <w:p w14:paraId="6AA0040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rPr>
              <w:t>1.项目负责人</w:t>
            </w:r>
            <w:r>
              <w:rPr>
                <w:rFonts w:hint="eastAsia" w:asciiTheme="minorEastAsia" w:hAnsiTheme="minorEastAsia" w:eastAsiaTheme="minorEastAsia"/>
                <w:bCs/>
                <w:color w:val="auto"/>
                <w:sz w:val="24"/>
                <w:szCs w:val="20"/>
                <w:highlight w:val="none"/>
                <w:lang w:eastAsia="zh-CN"/>
              </w:rPr>
              <w:t>（</w:t>
            </w:r>
            <w:r>
              <w:rPr>
                <w:rFonts w:hint="eastAsia" w:asciiTheme="minorEastAsia" w:hAnsiTheme="minorEastAsia" w:eastAsiaTheme="minorEastAsia"/>
                <w:bCs/>
                <w:color w:val="auto"/>
                <w:sz w:val="24"/>
                <w:szCs w:val="20"/>
                <w:highlight w:val="none"/>
                <w:lang w:val="en-US" w:eastAsia="zh-CN"/>
              </w:rPr>
              <w:t>4分</w:t>
            </w:r>
            <w:r>
              <w:rPr>
                <w:rFonts w:hint="eastAsia" w:asciiTheme="minorEastAsia" w:hAnsiTheme="minorEastAsia" w:eastAsiaTheme="minorEastAsia"/>
                <w:bCs/>
                <w:color w:val="auto"/>
                <w:sz w:val="24"/>
                <w:szCs w:val="20"/>
                <w:highlight w:val="none"/>
                <w:lang w:eastAsia="zh-CN"/>
              </w:rPr>
              <w:t>）：</w:t>
            </w:r>
          </w:p>
          <w:p w14:paraId="0CD2832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（1）具有人社部门、工业和信息化部门颁发的信息系统项目管理师证书，得2分,没有不得分；</w:t>
            </w:r>
          </w:p>
          <w:p w14:paraId="6C16882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（2）具有中国信息安全测评中心颁发的注册信息安全专业人员cisp证书,得2分，没有不得分；</w:t>
            </w:r>
          </w:p>
          <w:p w14:paraId="0DBA86EB">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rPr>
              <w:t>本项最高得4分。</w:t>
            </w:r>
          </w:p>
          <w:p w14:paraId="5C87934E">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2.服务团队成员（项目负责人除外），每具有一个下列证书的得2分，满分10分（注：本项同一人员不重复计分；同一证书不重复计分）：</w:t>
            </w:r>
          </w:p>
          <w:p w14:paraId="50D2CD1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（1）具有人社部门、工业和信息化部门颁发的信息系统项目管理师证书，得2分,没有不得分；</w:t>
            </w:r>
          </w:p>
          <w:p w14:paraId="11312355">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（2）具有人社部门、工业和信息化部门颁发的软件评测师证书，得2分，没有不得分；</w:t>
            </w:r>
          </w:p>
          <w:p w14:paraId="6D30C37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（3）具有人社部门、工业和信息化部门颁发的数据库系统工程师证书，得2分，没有不得分；</w:t>
            </w:r>
          </w:p>
          <w:p w14:paraId="031607D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（4）具有人社部门、工业和信息化部门颁发的网络工程师证书，得2分，没有不得分；</w:t>
            </w:r>
          </w:p>
          <w:p w14:paraId="53070760">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bCs/>
                <w:color w:val="auto"/>
                <w:sz w:val="24"/>
                <w:szCs w:val="20"/>
                <w:highlight w:val="none"/>
                <w:lang w:val="en-US" w:eastAsia="zh-CN"/>
              </w:rPr>
            </w:pPr>
            <w:r>
              <w:rPr>
                <w:rFonts w:hint="eastAsia" w:asciiTheme="minorEastAsia" w:hAnsiTheme="minorEastAsia" w:eastAsiaTheme="minorEastAsia"/>
                <w:bCs/>
                <w:color w:val="auto"/>
                <w:sz w:val="24"/>
                <w:szCs w:val="20"/>
                <w:highlight w:val="none"/>
                <w:lang w:val="en-US" w:eastAsia="zh-CN"/>
              </w:rPr>
              <w:t>（5）具有中国信息安全测评中心颁发的注册信息安全专业人员cisp证书，每证计2分，没有不得分。</w:t>
            </w:r>
          </w:p>
          <w:p w14:paraId="27DED284">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
                <w:bCs w:val="0"/>
                <w:color w:val="auto"/>
                <w:sz w:val="24"/>
                <w:szCs w:val="20"/>
                <w:highlight w:val="none"/>
                <w:lang w:eastAsia="zh-CN"/>
              </w:rPr>
              <w:t>注：响应文件中同时提供以下证明材料，不符合要求或未提供的不得分：</w:t>
            </w:r>
          </w:p>
          <w:p w14:paraId="0085FDC1">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lang w:val="en-US" w:eastAsia="zh-CN"/>
              </w:rPr>
              <w:t>①上述</w:t>
            </w:r>
            <w:r>
              <w:rPr>
                <w:rFonts w:hint="eastAsia" w:asciiTheme="minorEastAsia" w:hAnsiTheme="minorEastAsia" w:eastAsiaTheme="minorEastAsia"/>
                <w:bCs/>
                <w:color w:val="auto"/>
                <w:sz w:val="24"/>
                <w:szCs w:val="20"/>
                <w:highlight w:val="none"/>
                <w:lang w:eastAsia="zh-CN"/>
              </w:rPr>
              <w:t>人员名单，格式自拟；</w:t>
            </w:r>
          </w:p>
          <w:p w14:paraId="40B24419">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lang w:eastAsia="zh-CN"/>
              </w:rPr>
            </w:pPr>
            <w:r>
              <w:rPr>
                <w:rFonts w:hint="eastAsia" w:asciiTheme="minorEastAsia" w:hAnsiTheme="minorEastAsia" w:eastAsiaTheme="minorEastAsia"/>
                <w:bCs/>
                <w:color w:val="auto"/>
                <w:sz w:val="24"/>
                <w:szCs w:val="20"/>
                <w:highlight w:val="none"/>
                <w:lang w:eastAsia="zh-CN"/>
              </w:rPr>
              <w:t>②上述人员有效身份证（含正反页）、证书扫描件；</w:t>
            </w:r>
          </w:p>
          <w:p w14:paraId="27C25EBF">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bCs/>
                <w:color w:val="auto"/>
                <w:sz w:val="24"/>
                <w:szCs w:val="20"/>
                <w:highlight w:val="none"/>
              </w:rPr>
            </w:pPr>
            <w:r>
              <w:rPr>
                <w:rFonts w:hint="eastAsia" w:asciiTheme="minorEastAsia" w:hAnsiTheme="minorEastAsia" w:eastAsiaTheme="minorEastAsia"/>
                <w:bCs/>
                <w:color w:val="auto"/>
                <w:sz w:val="24"/>
                <w:szCs w:val="20"/>
                <w:highlight w:val="none"/>
                <w:lang w:val="en-US" w:eastAsia="zh-CN"/>
              </w:rPr>
              <w:t>③</w:t>
            </w:r>
            <w:r>
              <w:rPr>
                <w:rFonts w:hint="eastAsia" w:asciiTheme="minorEastAsia" w:hAnsiTheme="minorEastAsia" w:eastAsiaTheme="minorEastAsia"/>
                <w:bCs/>
                <w:color w:val="auto"/>
                <w:sz w:val="24"/>
                <w:szCs w:val="20"/>
                <w:highlight w:val="none"/>
                <w:lang w:eastAsia="zh-CN"/>
              </w:rPr>
              <w:t>上述人员社保部门出具的本单位为其缴纳的响应文件提交截止时间</w:t>
            </w:r>
            <w:r>
              <w:rPr>
                <w:rFonts w:hint="eastAsia" w:asciiTheme="minorEastAsia" w:hAnsiTheme="minorEastAsia" w:eastAsiaTheme="minorEastAsia"/>
                <w:bCs/>
                <w:color w:val="auto"/>
                <w:sz w:val="24"/>
                <w:szCs w:val="20"/>
                <w:highlight w:val="none"/>
                <w:lang w:val="en-US" w:eastAsia="zh-CN"/>
              </w:rPr>
              <w:t>前</w:t>
            </w:r>
            <w:r>
              <w:rPr>
                <w:rFonts w:hint="eastAsia" w:asciiTheme="minorEastAsia" w:hAnsiTheme="minorEastAsia" w:eastAsiaTheme="minorEastAsia"/>
                <w:bCs/>
                <w:color w:val="auto"/>
                <w:sz w:val="24"/>
                <w:szCs w:val="20"/>
                <w:highlight w:val="none"/>
                <w:lang w:eastAsia="zh-CN"/>
              </w:rPr>
              <w:t>近3个月（任意一个月）的社保证明或供应商已为上述人员缴纳社保的承诺书（格式自拟）</w:t>
            </w:r>
            <w:r>
              <w:rPr>
                <w:rFonts w:hint="eastAsia" w:asciiTheme="minorEastAsia" w:hAnsiTheme="minorEastAsia" w:eastAsiaTheme="minorEastAsia"/>
                <w:bCs/>
                <w:color w:val="auto"/>
                <w:sz w:val="24"/>
                <w:szCs w:val="20"/>
                <w:highlight w:val="none"/>
              </w:rPr>
              <w:t>。</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250BD8C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0-</w:t>
            </w:r>
            <w:r>
              <w:rPr>
                <w:rFonts w:hint="eastAsia" w:asciiTheme="minorEastAsia" w:hAnsiTheme="minorEastAsia" w:eastAsiaTheme="minorEastAsia"/>
                <w:b/>
                <w:bCs/>
                <w:color w:val="auto"/>
                <w:sz w:val="24"/>
                <w:szCs w:val="20"/>
                <w:highlight w:val="none"/>
                <w:lang w:val="en-US" w:eastAsia="zh-CN"/>
              </w:rPr>
              <w:t>14</w:t>
            </w:r>
            <w:r>
              <w:rPr>
                <w:rFonts w:hint="eastAsia" w:asciiTheme="minorEastAsia" w:hAnsiTheme="minorEastAsia" w:eastAsiaTheme="minorEastAsia"/>
                <w:b/>
                <w:bCs/>
                <w:color w:val="auto"/>
                <w:sz w:val="24"/>
                <w:szCs w:val="20"/>
                <w:highlight w:val="none"/>
              </w:rPr>
              <w:t>分</w:t>
            </w:r>
          </w:p>
        </w:tc>
      </w:tr>
      <w:tr w14:paraId="64E6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60E23AD2">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4381" w:type="pct"/>
            <w:gridSpan w:val="3"/>
            <w:tcBorders>
              <w:top w:val="single" w:color="auto" w:sz="4" w:space="0"/>
              <w:left w:val="single" w:color="auto" w:sz="4" w:space="0"/>
              <w:bottom w:val="single" w:color="auto" w:sz="4" w:space="0"/>
              <w:right w:val="single" w:color="auto" w:sz="4" w:space="0"/>
            </w:tcBorders>
            <w:vAlign w:val="center"/>
          </w:tcPr>
          <w:p w14:paraId="2C84A2E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技术部分（</w:t>
            </w:r>
            <w:r>
              <w:rPr>
                <w:rFonts w:hint="eastAsia" w:asciiTheme="minorEastAsia" w:hAnsiTheme="minorEastAsia" w:eastAsiaTheme="minorEastAsia"/>
                <w:b/>
                <w:bCs/>
                <w:color w:val="auto"/>
                <w:sz w:val="24"/>
                <w:szCs w:val="20"/>
                <w:highlight w:val="none"/>
                <w:lang w:val="en-US" w:eastAsia="zh-CN"/>
              </w:rPr>
              <w:t>55</w:t>
            </w:r>
            <w:r>
              <w:rPr>
                <w:rFonts w:hint="eastAsia" w:asciiTheme="minorEastAsia" w:hAnsiTheme="minorEastAsia" w:eastAsiaTheme="minorEastAsia"/>
                <w:b/>
                <w:bCs/>
                <w:color w:val="auto"/>
                <w:sz w:val="24"/>
                <w:szCs w:val="20"/>
                <w:highlight w:val="none"/>
              </w:rPr>
              <w:t>分）</w:t>
            </w:r>
          </w:p>
        </w:tc>
      </w:tr>
      <w:tr w14:paraId="56A6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7329877D">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restart"/>
            <w:tcBorders>
              <w:top w:val="single" w:color="auto" w:sz="4" w:space="0"/>
              <w:left w:val="single" w:color="auto" w:sz="4" w:space="0"/>
              <w:right w:val="single" w:color="auto" w:sz="4" w:space="0"/>
            </w:tcBorders>
            <w:vAlign w:val="center"/>
          </w:tcPr>
          <w:p w14:paraId="4C2F99B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技术服务方案</w:t>
            </w:r>
          </w:p>
        </w:tc>
        <w:tc>
          <w:tcPr>
            <w:tcW w:w="3091" w:type="pct"/>
            <w:tcBorders>
              <w:top w:val="single" w:color="auto" w:sz="4" w:space="0"/>
              <w:left w:val="single" w:color="auto" w:sz="4" w:space="0"/>
              <w:bottom w:val="single" w:color="auto" w:sz="4" w:space="0"/>
              <w:right w:val="single" w:color="auto" w:sz="4" w:space="0"/>
            </w:tcBorders>
            <w:vAlign w:val="center"/>
          </w:tcPr>
          <w:p w14:paraId="2D293D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1.供应商对滁州市公共信用信息共享服务平台项目现状进行充分阐述，磋商小组对各供应商提供的方案进行综合评审:</w:t>
            </w:r>
          </w:p>
          <w:p w14:paraId="60F21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（1）对本项目现状了解透彻，方案表述完整详细，完全贴合项目采购需求，得5分；</w:t>
            </w:r>
          </w:p>
          <w:p w14:paraId="339B2C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（2）对本项目现状有一定了解，方案表述完整，与项目采购需求对应，得3分；</w:t>
            </w:r>
          </w:p>
          <w:p w14:paraId="5DEB06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（3）对本项目现状了解不足，方案表述简单，有待提高，得1分； </w:t>
            </w:r>
          </w:p>
          <w:p w14:paraId="1ADF01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（4）未提供不得分。</w:t>
            </w:r>
          </w:p>
        </w:tc>
        <w:tc>
          <w:tcPr>
            <w:tcW w:w="659" w:type="pct"/>
            <w:tcBorders>
              <w:top w:val="single" w:color="auto" w:sz="4" w:space="0"/>
              <w:left w:val="single" w:color="auto" w:sz="4" w:space="0"/>
              <w:bottom w:val="single" w:color="auto" w:sz="4" w:space="0"/>
              <w:right w:val="single" w:color="auto" w:sz="4" w:space="0"/>
            </w:tcBorders>
            <w:vAlign w:val="center"/>
          </w:tcPr>
          <w:p w14:paraId="086C57A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lang w:val="en-US" w:eastAsia="zh-CN"/>
              </w:rPr>
              <w:t>0-5</w:t>
            </w:r>
            <w:r>
              <w:rPr>
                <w:rFonts w:hint="eastAsia" w:asciiTheme="minorEastAsia" w:hAnsiTheme="minorEastAsia" w:eastAsiaTheme="minorEastAsia"/>
                <w:b/>
                <w:bCs/>
                <w:color w:val="auto"/>
                <w:sz w:val="24"/>
                <w:szCs w:val="20"/>
                <w:highlight w:val="none"/>
              </w:rPr>
              <w:t>分</w:t>
            </w:r>
          </w:p>
        </w:tc>
      </w:tr>
      <w:tr w14:paraId="099F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142CC915">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6E1746B9">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3091" w:type="pct"/>
            <w:tcBorders>
              <w:top w:val="single" w:color="auto" w:sz="4" w:space="0"/>
              <w:left w:val="single" w:color="auto" w:sz="4" w:space="0"/>
              <w:bottom w:val="single" w:color="auto" w:sz="4" w:space="0"/>
              <w:right w:val="single" w:color="auto" w:sz="4" w:space="0"/>
            </w:tcBorders>
            <w:vAlign w:val="center"/>
          </w:tcPr>
          <w:p w14:paraId="7C6079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2.供应商对滁州市公共信用信息共享服务平台项目必要性进行充分阐述，磋商小组对各供应商提供的方案进行综合评审:</w:t>
            </w:r>
          </w:p>
          <w:p w14:paraId="42BEF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（1）对本项目背景调查深入，方案清晰完整，内容详细，必要性阐述充分，得5分；</w:t>
            </w:r>
          </w:p>
          <w:p w14:paraId="3C9972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（2）对本项目背景调查简单，方案内容完整，必要性阐述简单，得3分；</w:t>
            </w:r>
          </w:p>
          <w:p w14:paraId="7050E0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 xml:space="preserve">（3）对本项目背景调查有待深入，方案内容表述逻辑不清，必要性阐述不足，需进一步完善，得1分； </w:t>
            </w:r>
          </w:p>
          <w:p w14:paraId="3A5928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（4）未提供不得分。</w:t>
            </w:r>
          </w:p>
        </w:tc>
        <w:tc>
          <w:tcPr>
            <w:tcW w:w="659" w:type="pct"/>
            <w:tcBorders>
              <w:top w:val="single" w:color="auto" w:sz="4" w:space="0"/>
              <w:left w:val="single" w:color="auto" w:sz="4" w:space="0"/>
              <w:bottom w:val="single" w:color="auto" w:sz="4" w:space="0"/>
              <w:right w:val="single" w:color="auto" w:sz="4" w:space="0"/>
            </w:tcBorders>
            <w:vAlign w:val="center"/>
          </w:tcPr>
          <w:p w14:paraId="291BBAD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47EBE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640F0400">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65648B58">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3091" w:type="pct"/>
            <w:tcBorders>
              <w:top w:val="single" w:color="auto" w:sz="4" w:space="0"/>
              <w:left w:val="single" w:color="auto" w:sz="4" w:space="0"/>
              <w:bottom w:val="single" w:color="auto" w:sz="4" w:space="0"/>
              <w:right w:val="single" w:color="auto" w:sz="4" w:space="0"/>
            </w:tcBorders>
            <w:vAlign w:val="center"/>
          </w:tcPr>
          <w:p w14:paraId="1815A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w:t>
            </w:r>
            <w:r>
              <w:rPr>
                <w:rFonts w:hint="default" w:asciiTheme="minorEastAsia" w:hAnsiTheme="minorEastAsia" w:eastAsiaTheme="minorEastAsia"/>
                <w:color w:val="auto"/>
                <w:sz w:val="24"/>
                <w:szCs w:val="20"/>
                <w:highlight w:val="none"/>
                <w:lang w:val="en-US" w:eastAsia="zh-CN"/>
              </w:rPr>
              <w:t>供应商对滁州市公共信息共享服务平台运维服务需求分析进行详细阐述，磋商小组对各供应商提供的方案进行综合评审:</w:t>
            </w:r>
          </w:p>
          <w:p w14:paraId="46BAA3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default" w:asciiTheme="minorEastAsia" w:hAnsiTheme="minorEastAsia" w:eastAsiaTheme="minorEastAsia"/>
                <w:color w:val="auto"/>
                <w:sz w:val="24"/>
                <w:szCs w:val="20"/>
                <w:highlight w:val="none"/>
                <w:lang w:val="en-US" w:eastAsia="zh-CN"/>
              </w:rPr>
              <w:t>（1）对本项目运维服务需求</w:t>
            </w:r>
            <w:r>
              <w:rPr>
                <w:rFonts w:hint="eastAsia" w:asciiTheme="minorEastAsia" w:hAnsiTheme="minorEastAsia" w:eastAsiaTheme="minorEastAsia"/>
                <w:color w:val="auto"/>
                <w:sz w:val="24"/>
                <w:szCs w:val="20"/>
                <w:highlight w:val="none"/>
                <w:lang w:val="en-US" w:eastAsia="zh-CN"/>
              </w:rPr>
              <w:t>理</w:t>
            </w:r>
            <w:r>
              <w:rPr>
                <w:rFonts w:hint="default" w:asciiTheme="minorEastAsia" w:hAnsiTheme="minorEastAsia" w:eastAsiaTheme="minorEastAsia"/>
                <w:color w:val="auto"/>
                <w:sz w:val="24"/>
                <w:szCs w:val="20"/>
                <w:highlight w:val="none"/>
                <w:lang w:val="en-US" w:eastAsia="zh-CN"/>
              </w:rPr>
              <w:t>解分析完整详细，内容描述准确</w:t>
            </w:r>
            <w:r>
              <w:rPr>
                <w:rFonts w:hint="eastAsia" w:asciiTheme="minorEastAsia" w:hAnsiTheme="minorEastAsia" w:eastAsiaTheme="minorEastAsia"/>
                <w:color w:val="auto"/>
                <w:sz w:val="24"/>
                <w:szCs w:val="20"/>
                <w:highlight w:val="none"/>
                <w:lang w:val="en-US" w:eastAsia="zh-CN"/>
              </w:rPr>
              <w:t>、</w:t>
            </w:r>
            <w:r>
              <w:rPr>
                <w:rFonts w:hint="default" w:asciiTheme="minorEastAsia" w:hAnsiTheme="minorEastAsia" w:eastAsiaTheme="minorEastAsia"/>
                <w:color w:val="auto"/>
                <w:sz w:val="24"/>
                <w:szCs w:val="20"/>
                <w:highlight w:val="none"/>
                <w:lang w:val="en-US" w:eastAsia="zh-CN"/>
              </w:rPr>
              <w:t>清晰明了，针对性</w:t>
            </w:r>
            <w:r>
              <w:rPr>
                <w:rFonts w:hint="eastAsia" w:asciiTheme="minorEastAsia" w:hAnsiTheme="minorEastAsia" w:eastAsiaTheme="minorEastAsia"/>
                <w:color w:val="auto"/>
                <w:sz w:val="24"/>
                <w:szCs w:val="20"/>
                <w:highlight w:val="none"/>
                <w:lang w:val="en-US" w:eastAsia="zh-CN"/>
              </w:rPr>
              <w:t>高</w:t>
            </w:r>
            <w:r>
              <w:rPr>
                <w:rFonts w:hint="default" w:asciiTheme="minorEastAsia" w:hAnsiTheme="minorEastAsia" w:eastAsiaTheme="minorEastAsia"/>
                <w:color w:val="auto"/>
                <w:sz w:val="24"/>
                <w:szCs w:val="20"/>
                <w:highlight w:val="none"/>
                <w:lang w:val="en-US" w:eastAsia="zh-CN"/>
              </w:rPr>
              <w:t>，得5分；</w:t>
            </w:r>
          </w:p>
          <w:p w14:paraId="78D419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default" w:asciiTheme="minorEastAsia" w:hAnsiTheme="minorEastAsia" w:eastAsiaTheme="minorEastAsia"/>
                <w:color w:val="auto"/>
                <w:sz w:val="24"/>
                <w:szCs w:val="20"/>
                <w:highlight w:val="none"/>
                <w:lang w:val="en-US" w:eastAsia="zh-CN"/>
              </w:rPr>
              <w:t>（2）对本项目运维服务需求理解分析</w:t>
            </w:r>
            <w:r>
              <w:rPr>
                <w:rFonts w:hint="eastAsia" w:asciiTheme="minorEastAsia" w:hAnsiTheme="minorEastAsia" w:eastAsiaTheme="minorEastAsia"/>
                <w:color w:val="auto"/>
                <w:sz w:val="24"/>
                <w:szCs w:val="20"/>
                <w:highlight w:val="none"/>
                <w:lang w:val="en-US" w:eastAsia="zh-CN"/>
              </w:rPr>
              <w:t>清晰，内容描述清简单</w:t>
            </w:r>
            <w:r>
              <w:rPr>
                <w:rFonts w:hint="default" w:asciiTheme="minorEastAsia" w:hAnsiTheme="minorEastAsia" w:eastAsiaTheme="minorEastAsia"/>
                <w:color w:val="auto"/>
                <w:sz w:val="24"/>
                <w:szCs w:val="20"/>
                <w:highlight w:val="none"/>
                <w:lang w:val="en-US" w:eastAsia="zh-CN"/>
              </w:rPr>
              <w:t>，</w:t>
            </w:r>
            <w:r>
              <w:rPr>
                <w:rFonts w:hint="eastAsia" w:asciiTheme="minorEastAsia" w:hAnsiTheme="minorEastAsia" w:eastAsiaTheme="minorEastAsia"/>
                <w:color w:val="auto"/>
                <w:sz w:val="24"/>
                <w:szCs w:val="20"/>
                <w:highlight w:val="none"/>
                <w:lang w:val="en-US" w:eastAsia="zh-CN"/>
              </w:rPr>
              <w:t>具有针对性</w:t>
            </w:r>
            <w:r>
              <w:rPr>
                <w:rFonts w:hint="default" w:asciiTheme="minorEastAsia" w:hAnsiTheme="minorEastAsia" w:eastAsiaTheme="minorEastAsia"/>
                <w:color w:val="auto"/>
                <w:sz w:val="24"/>
                <w:szCs w:val="20"/>
                <w:highlight w:val="none"/>
                <w:lang w:val="en-US" w:eastAsia="zh-CN"/>
              </w:rPr>
              <w:t>，得</w:t>
            </w:r>
            <w:r>
              <w:rPr>
                <w:rFonts w:hint="eastAsia" w:asciiTheme="minorEastAsia" w:hAnsiTheme="minorEastAsia" w:eastAsiaTheme="minorEastAsia"/>
                <w:color w:val="auto"/>
                <w:sz w:val="24"/>
                <w:szCs w:val="20"/>
                <w:highlight w:val="none"/>
                <w:lang w:val="en-US" w:eastAsia="zh-CN"/>
              </w:rPr>
              <w:t>3</w:t>
            </w:r>
            <w:r>
              <w:rPr>
                <w:rFonts w:hint="default" w:asciiTheme="minorEastAsia" w:hAnsiTheme="minorEastAsia" w:eastAsiaTheme="minorEastAsia"/>
                <w:color w:val="auto"/>
                <w:sz w:val="24"/>
                <w:szCs w:val="20"/>
                <w:highlight w:val="none"/>
                <w:lang w:val="en-US" w:eastAsia="zh-CN"/>
              </w:rPr>
              <w:t>分；</w:t>
            </w:r>
          </w:p>
          <w:p w14:paraId="3C69DD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default" w:asciiTheme="minorEastAsia" w:hAnsiTheme="minorEastAsia" w:eastAsiaTheme="minorEastAsia"/>
                <w:color w:val="auto"/>
                <w:sz w:val="24"/>
                <w:szCs w:val="20"/>
                <w:highlight w:val="none"/>
                <w:lang w:val="en-US" w:eastAsia="zh-CN"/>
              </w:rPr>
              <w:t>（3）对本项目运维服务需求理解分析</w:t>
            </w:r>
            <w:r>
              <w:rPr>
                <w:rFonts w:hint="eastAsia" w:asciiTheme="minorEastAsia" w:hAnsiTheme="minorEastAsia" w:eastAsiaTheme="minorEastAsia"/>
                <w:color w:val="auto"/>
                <w:sz w:val="24"/>
                <w:szCs w:val="20"/>
                <w:highlight w:val="none"/>
                <w:lang w:val="en-US" w:eastAsia="zh-CN"/>
              </w:rPr>
              <w:t>不足</w:t>
            </w:r>
            <w:r>
              <w:rPr>
                <w:rFonts w:hint="default" w:asciiTheme="minorEastAsia" w:hAnsiTheme="minorEastAsia" w:eastAsiaTheme="minorEastAsia"/>
                <w:color w:val="auto"/>
                <w:sz w:val="24"/>
                <w:szCs w:val="20"/>
                <w:highlight w:val="none"/>
                <w:lang w:val="en-US" w:eastAsia="zh-CN"/>
              </w:rPr>
              <w:t>，内容描述不</w:t>
            </w:r>
            <w:r>
              <w:rPr>
                <w:rFonts w:hint="eastAsia" w:asciiTheme="minorEastAsia" w:hAnsiTheme="minorEastAsia" w:eastAsiaTheme="minorEastAsia"/>
                <w:color w:val="auto"/>
                <w:sz w:val="24"/>
                <w:szCs w:val="20"/>
                <w:highlight w:val="none"/>
                <w:lang w:val="en-US" w:eastAsia="zh-CN"/>
              </w:rPr>
              <w:t>足</w:t>
            </w:r>
            <w:r>
              <w:rPr>
                <w:rFonts w:hint="default" w:asciiTheme="minorEastAsia" w:hAnsiTheme="minorEastAsia" w:eastAsiaTheme="minorEastAsia"/>
                <w:color w:val="auto"/>
                <w:sz w:val="24"/>
                <w:szCs w:val="20"/>
                <w:highlight w:val="none"/>
                <w:lang w:val="en-US" w:eastAsia="zh-CN"/>
              </w:rPr>
              <w:t>，有待改善</w:t>
            </w:r>
            <w:r>
              <w:rPr>
                <w:rFonts w:hint="eastAsia" w:asciiTheme="minorEastAsia" w:hAnsiTheme="minorEastAsia" w:eastAsiaTheme="minorEastAsia"/>
                <w:color w:val="auto"/>
                <w:sz w:val="24"/>
                <w:szCs w:val="20"/>
                <w:highlight w:val="none"/>
                <w:lang w:val="en-US" w:eastAsia="zh-CN"/>
              </w:rPr>
              <w:t>，</w:t>
            </w:r>
            <w:r>
              <w:rPr>
                <w:rFonts w:hint="default" w:asciiTheme="minorEastAsia" w:hAnsiTheme="minorEastAsia" w:eastAsiaTheme="minorEastAsia"/>
                <w:color w:val="auto"/>
                <w:sz w:val="24"/>
                <w:szCs w:val="20"/>
                <w:highlight w:val="none"/>
                <w:lang w:val="en-US" w:eastAsia="zh-CN"/>
              </w:rPr>
              <w:t>得</w:t>
            </w:r>
            <w:r>
              <w:rPr>
                <w:rFonts w:hint="eastAsia" w:asciiTheme="minorEastAsia" w:hAnsiTheme="minorEastAsia" w:eastAsiaTheme="minorEastAsia"/>
                <w:color w:val="auto"/>
                <w:sz w:val="24"/>
                <w:szCs w:val="20"/>
                <w:highlight w:val="none"/>
                <w:lang w:val="en-US" w:eastAsia="zh-CN"/>
              </w:rPr>
              <w:t>1</w:t>
            </w:r>
            <w:r>
              <w:rPr>
                <w:rFonts w:hint="default" w:asciiTheme="minorEastAsia" w:hAnsiTheme="minorEastAsia" w:eastAsiaTheme="minorEastAsia"/>
                <w:color w:val="auto"/>
                <w:sz w:val="24"/>
                <w:szCs w:val="20"/>
                <w:highlight w:val="none"/>
                <w:lang w:val="en-US" w:eastAsia="zh-CN"/>
              </w:rPr>
              <w:t>分；</w:t>
            </w:r>
          </w:p>
          <w:p w14:paraId="22FBB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default" w:asciiTheme="minorEastAsia" w:hAnsiTheme="minorEastAsia" w:eastAsiaTheme="minorEastAsia"/>
                <w:color w:val="auto"/>
                <w:sz w:val="24"/>
                <w:szCs w:val="20"/>
                <w:highlight w:val="none"/>
                <w:lang w:val="en-US" w:eastAsia="zh-CN"/>
              </w:rPr>
              <w:t>（4）未提供的不得分。</w:t>
            </w:r>
          </w:p>
        </w:tc>
        <w:tc>
          <w:tcPr>
            <w:tcW w:w="659" w:type="pct"/>
            <w:tcBorders>
              <w:top w:val="single" w:color="auto" w:sz="4" w:space="0"/>
              <w:left w:val="single" w:color="auto" w:sz="4" w:space="0"/>
              <w:bottom w:val="single" w:color="auto" w:sz="4" w:space="0"/>
              <w:right w:val="single" w:color="auto" w:sz="4" w:space="0"/>
            </w:tcBorders>
            <w:vAlign w:val="center"/>
          </w:tcPr>
          <w:p w14:paraId="6CBD1E2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0-</w:t>
            </w:r>
            <w:r>
              <w:rPr>
                <w:rFonts w:hint="eastAsia" w:asciiTheme="minorEastAsia" w:hAnsiTheme="minorEastAsia" w:eastAsiaTheme="minorEastAsia"/>
                <w:b/>
                <w:bCs/>
                <w:color w:val="auto"/>
                <w:sz w:val="24"/>
                <w:szCs w:val="20"/>
                <w:highlight w:val="none"/>
                <w:lang w:val="en-US" w:eastAsia="zh-CN"/>
              </w:rPr>
              <w:t>5</w:t>
            </w:r>
            <w:r>
              <w:rPr>
                <w:rFonts w:hint="eastAsia" w:asciiTheme="minorEastAsia" w:hAnsiTheme="minorEastAsia" w:eastAsiaTheme="minorEastAsia"/>
                <w:b/>
                <w:bCs/>
                <w:color w:val="auto"/>
                <w:sz w:val="24"/>
                <w:szCs w:val="20"/>
                <w:highlight w:val="none"/>
              </w:rPr>
              <w:t>分</w:t>
            </w:r>
          </w:p>
        </w:tc>
      </w:tr>
      <w:tr w14:paraId="4223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18" w:type="pct"/>
            <w:vMerge w:val="continue"/>
            <w:tcBorders>
              <w:left w:val="single" w:color="auto" w:sz="4" w:space="0"/>
              <w:right w:val="single" w:color="auto" w:sz="4" w:space="0"/>
            </w:tcBorders>
            <w:vAlign w:val="center"/>
          </w:tcPr>
          <w:p w14:paraId="502F77C0">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793F360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3091" w:type="pct"/>
            <w:tcBorders>
              <w:top w:val="single" w:color="auto" w:sz="4" w:space="0"/>
              <w:left w:val="single" w:color="auto" w:sz="4" w:space="0"/>
              <w:bottom w:val="single" w:color="auto" w:sz="4" w:space="0"/>
              <w:right w:val="single" w:color="auto" w:sz="4" w:space="0"/>
            </w:tcBorders>
            <w:vAlign w:val="center"/>
          </w:tcPr>
          <w:p w14:paraId="60E011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olor w:val="auto"/>
                <w:sz w:val="24"/>
                <w:szCs w:val="20"/>
                <w:highlight w:val="none"/>
              </w:rPr>
              <w:t>供应商对滁州市公共信用信息共享服务平台总体业务流程进行详细阐述，磋商小组对各供应商提供的方案进行综合评审：</w:t>
            </w:r>
          </w:p>
          <w:p w14:paraId="4A1766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（1）方案内容描述清晰明了，业务流程</w:t>
            </w:r>
            <w:r>
              <w:rPr>
                <w:rFonts w:hint="eastAsia" w:asciiTheme="minorEastAsia" w:hAnsiTheme="minorEastAsia" w:eastAsiaTheme="minorEastAsia"/>
                <w:color w:val="auto"/>
                <w:sz w:val="24"/>
                <w:szCs w:val="20"/>
                <w:highlight w:val="none"/>
                <w:lang w:val="en-US" w:eastAsia="zh-CN"/>
              </w:rPr>
              <w:t>全面</w:t>
            </w:r>
            <w:r>
              <w:rPr>
                <w:rFonts w:hint="eastAsia" w:asciiTheme="minorEastAsia" w:hAnsiTheme="minorEastAsia" w:eastAsiaTheme="minorEastAsia"/>
                <w:color w:val="auto"/>
                <w:sz w:val="24"/>
                <w:szCs w:val="20"/>
                <w:highlight w:val="none"/>
              </w:rPr>
              <w:t>，便于使用，能够完全满足或优于项目实施要求，得5分；</w:t>
            </w:r>
          </w:p>
          <w:p w14:paraId="25A9F6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（2）方案内容描述清楚，业务流程</w:t>
            </w:r>
            <w:r>
              <w:rPr>
                <w:rFonts w:hint="eastAsia" w:asciiTheme="minorEastAsia" w:hAnsiTheme="minorEastAsia" w:eastAsiaTheme="minorEastAsia"/>
                <w:color w:val="auto"/>
                <w:sz w:val="24"/>
                <w:szCs w:val="20"/>
                <w:highlight w:val="none"/>
                <w:lang w:val="en-US" w:eastAsia="zh-CN"/>
              </w:rPr>
              <w:t>完整</w:t>
            </w:r>
            <w:r>
              <w:rPr>
                <w:rFonts w:hint="eastAsia" w:asciiTheme="minorEastAsia" w:hAnsiTheme="minorEastAsia" w:eastAsiaTheme="minorEastAsia"/>
                <w:color w:val="auto"/>
                <w:sz w:val="24"/>
                <w:szCs w:val="20"/>
                <w:highlight w:val="none"/>
              </w:rPr>
              <w:t>，能满足磋商文件要求，得</w:t>
            </w: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rPr>
              <w:t>分；</w:t>
            </w:r>
          </w:p>
          <w:p w14:paraId="68FA5A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（3）方案内容描述简单，有相关业务流程，但不齐全，存在偏差的，得</w:t>
            </w: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分；</w:t>
            </w:r>
          </w:p>
          <w:p w14:paraId="63A8C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（4）未提供的不得分。</w:t>
            </w:r>
          </w:p>
        </w:tc>
        <w:tc>
          <w:tcPr>
            <w:tcW w:w="659" w:type="pct"/>
            <w:tcBorders>
              <w:top w:val="single" w:color="auto" w:sz="4" w:space="0"/>
              <w:left w:val="single" w:color="auto" w:sz="4" w:space="0"/>
              <w:bottom w:val="single" w:color="auto" w:sz="4" w:space="0"/>
              <w:right w:val="single" w:color="auto" w:sz="4" w:space="0"/>
            </w:tcBorders>
            <w:vAlign w:val="center"/>
          </w:tcPr>
          <w:p w14:paraId="2886FE71">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2192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18" w:type="pct"/>
            <w:vMerge w:val="continue"/>
            <w:tcBorders>
              <w:left w:val="single" w:color="auto" w:sz="4" w:space="0"/>
              <w:right w:val="single" w:color="auto" w:sz="4" w:space="0"/>
            </w:tcBorders>
            <w:vAlign w:val="center"/>
          </w:tcPr>
          <w:p w14:paraId="60339852">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12A74480">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en-US" w:eastAsia="zh-CN"/>
              </w:rPr>
            </w:pPr>
          </w:p>
        </w:tc>
        <w:tc>
          <w:tcPr>
            <w:tcW w:w="3091" w:type="pct"/>
            <w:tcBorders>
              <w:top w:val="single" w:color="auto" w:sz="4" w:space="0"/>
              <w:left w:val="single" w:color="auto" w:sz="4" w:space="0"/>
              <w:bottom w:val="single" w:color="auto" w:sz="4" w:space="0"/>
              <w:right w:val="single" w:color="auto" w:sz="4" w:space="0"/>
            </w:tcBorders>
            <w:vAlign w:val="center"/>
          </w:tcPr>
          <w:p w14:paraId="3310F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r>
              <w:rPr>
                <w:rFonts w:hint="eastAsia" w:asciiTheme="minorEastAsia" w:hAnsiTheme="minorEastAsia" w:eastAsiaTheme="minorEastAsia"/>
                <w:color w:val="auto"/>
                <w:sz w:val="24"/>
                <w:szCs w:val="20"/>
                <w:highlight w:val="none"/>
              </w:rPr>
              <w:t>供应商针对本项目实际，对本项目远程运维服务方案进行详细阐述</w:t>
            </w:r>
            <w:r>
              <w:rPr>
                <w:rFonts w:hint="eastAsia" w:asciiTheme="minorEastAsia" w:hAnsiTheme="minorEastAsia" w:eastAsiaTheme="minorEastAsia"/>
                <w:color w:val="auto"/>
                <w:sz w:val="24"/>
                <w:szCs w:val="20"/>
                <w:highlight w:val="none"/>
                <w:lang w:eastAsia="zh-CN"/>
              </w:rPr>
              <w:t>，</w:t>
            </w:r>
            <w:r>
              <w:rPr>
                <w:rFonts w:hint="eastAsia" w:asciiTheme="minorEastAsia" w:hAnsiTheme="minorEastAsia" w:eastAsiaTheme="minorEastAsia"/>
                <w:color w:val="auto"/>
                <w:sz w:val="24"/>
                <w:szCs w:val="20"/>
                <w:highlight w:val="none"/>
              </w:rPr>
              <w:t>磋商小组对各供应商提供的方案进行综合评审</w:t>
            </w:r>
            <w:r>
              <w:rPr>
                <w:rFonts w:hint="eastAsia" w:asciiTheme="minorEastAsia" w:hAnsiTheme="minorEastAsia" w:eastAsiaTheme="minorEastAsia"/>
                <w:color w:val="auto"/>
                <w:sz w:val="24"/>
                <w:szCs w:val="20"/>
                <w:highlight w:val="none"/>
                <w:lang w:eastAsia="zh-CN"/>
              </w:rPr>
              <w:t>：</w:t>
            </w:r>
          </w:p>
          <w:p w14:paraId="3FA46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（1）远程运维方案内容详尽，方案可行性、实用性突出，能够完全满足或优于项目实施要求，得5分；</w:t>
            </w:r>
          </w:p>
          <w:p w14:paraId="16B1D1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 xml:space="preserve">（2）远程运维方案内容完善，方案具有可行性、实用性，能满足磋商文件要求，得3分； </w:t>
            </w:r>
          </w:p>
          <w:p w14:paraId="5DAC74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（3）远程运维方案内容简单，可行性及实用性存在不足，需进一步完善，得</w:t>
            </w: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分；</w:t>
            </w:r>
          </w:p>
          <w:p w14:paraId="154CD2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（4）未提供的不得分。</w:t>
            </w:r>
          </w:p>
        </w:tc>
        <w:tc>
          <w:tcPr>
            <w:tcW w:w="659" w:type="pct"/>
            <w:tcBorders>
              <w:top w:val="single" w:color="auto" w:sz="4" w:space="0"/>
              <w:left w:val="single" w:color="auto" w:sz="4" w:space="0"/>
              <w:bottom w:val="single" w:color="auto" w:sz="4" w:space="0"/>
              <w:right w:val="single" w:color="auto" w:sz="4" w:space="0"/>
            </w:tcBorders>
            <w:vAlign w:val="center"/>
          </w:tcPr>
          <w:p w14:paraId="07975DF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4024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18" w:type="pct"/>
            <w:vMerge w:val="continue"/>
            <w:tcBorders>
              <w:left w:val="single" w:color="auto" w:sz="4" w:space="0"/>
              <w:right w:val="single" w:color="auto" w:sz="4" w:space="0"/>
            </w:tcBorders>
            <w:vAlign w:val="center"/>
          </w:tcPr>
          <w:p w14:paraId="6CA93588">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4C45C0A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en-US" w:eastAsia="zh-CN"/>
              </w:rPr>
            </w:pPr>
          </w:p>
        </w:tc>
        <w:tc>
          <w:tcPr>
            <w:tcW w:w="3091" w:type="pct"/>
            <w:tcBorders>
              <w:top w:val="single" w:color="auto" w:sz="4" w:space="0"/>
              <w:left w:val="single" w:color="auto" w:sz="4" w:space="0"/>
              <w:bottom w:val="single" w:color="auto" w:sz="4" w:space="0"/>
              <w:right w:val="single" w:color="auto" w:sz="4" w:space="0"/>
            </w:tcBorders>
            <w:vAlign w:val="center"/>
          </w:tcPr>
          <w:p w14:paraId="37E4FA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6.</w:t>
            </w:r>
            <w:r>
              <w:rPr>
                <w:rFonts w:hint="eastAsia" w:asciiTheme="minorEastAsia" w:hAnsiTheme="minorEastAsia" w:eastAsiaTheme="minorEastAsia"/>
                <w:color w:val="auto"/>
                <w:sz w:val="24"/>
                <w:szCs w:val="20"/>
                <w:highlight w:val="none"/>
              </w:rPr>
              <w:t>供应商针对本项目实际，对本项目现场运维服务方案进行详细阐述，磋商小组对各供应商提供的方案进行综合评审：</w:t>
            </w:r>
          </w:p>
          <w:p w14:paraId="6B134C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（1）现场运维方案内容全面丰富，保障措施明确，可行性、针对性突出，得5分；</w:t>
            </w:r>
          </w:p>
          <w:p w14:paraId="7803D3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（2）现场运维方案内容完善，内容完整，保障措施适合本项目采购需求，具有可行性，得</w:t>
            </w: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rPr>
              <w:t xml:space="preserve">分； </w:t>
            </w:r>
          </w:p>
          <w:p w14:paraId="2B7FA7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（3）现场运维方案内容简单，保障措施与项目需求有偏差，细节有待改善，得</w:t>
            </w: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 xml:space="preserve">分； </w:t>
            </w:r>
          </w:p>
          <w:p w14:paraId="2E7F9F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（4）未提供的不得分。</w:t>
            </w:r>
          </w:p>
        </w:tc>
        <w:tc>
          <w:tcPr>
            <w:tcW w:w="659" w:type="pct"/>
            <w:tcBorders>
              <w:top w:val="single" w:color="auto" w:sz="4" w:space="0"/>
              <w:left w:val="single" w:color="auto" w:sz="4" w:space="0"/>
              <w:bottom w:val="single" w:color="auto" w:sz="4" w:space="0"/>
              <w:right w:val="single" w:color="auto" w:sz="4" w:space="0"/>
            </w:tcBorders>
            <w:vAlign w:val="center"/>
          </w:tcPr>
          <w:p w14:paraId="01F5FEA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2C754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18" w:type="pct"/>
            <w:vMerge w:val="continue"/>
            <w:tcBorders>
              <w:left w:val="single" w:color="auto" w:sz="4" w:space="0"/>
              <w:right w:val="single" w:color="auto" w:sz="4" w:space="0"/>
            </w:tcBorders>
            <w:vAlign w:val="center"/>
          </w:tcPr>
          <w:p w14:paraId="614E2310">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3A136E5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lang w:val="en-US" w:eastAsia="zh-CN"/>
              </w:rPr>
            </w:pPr>
          </w:p>
        </w:tc>
        <w:tc>
          <w:tcPr>
            <w:tcW w:w="3091" w:type="pct"/>
            <w:tcBorders>
              <w:top w:val="single" w:color="auto" w:sz="4" w:space="0"/>
              <w:left w:val="single" w:color="auto" w:sz="4" w:space="0"/>
              <w:bottom w:val="single" w:color="auto" w:sz="4" w:space="0"/>
              <w:right w:val="single" w:color="auto" w:sz="4" w:space="0"/>
            </w:tcBorders>
            <w:vAlign w:val="center"/>
          </w:tcPr>
          <w:p w14:paraId="576BC2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7.</w:t>
            </w:r>
            <w:r>
              <w:rPr>
                <w:rFonts w:hint="eastAsia" w:asciiTheme="minorEastAsia" w:hAnsiTheme="minorEastAsia" w:eastAsiaTheme="minorEastAsia"/>
                <w:color w:val="auto"/>
                <w:sz w:val="24"/>
                <w:szCs w:val="20"/>
                <w:highlight w:val="none"/>
              </w:rPr>
              <w:t>供应商提供详细的数据加工治理服务方案，方案中对信用数据征集、征集工作培训、信用数据处理、数据对接上报等内容有详细阐述，磋商小组对各供应商提供的方案进行综合评审：</w:t>
            </w:r>
          </w:p>
          <w:p w14:paraId="26D22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（1）方案内容</w:t>
            </w:r>
            <w:r>
              <w:rPr>
                <w:rFonts w:hint="eastAsia" w:asciiTheme="minorEastAsia" w:hAnsiTheme="minorEastAsia" w:eastAsiaTheme="minorEastAsia"/>
                <w:color w:val="auto"/>
                <w:sz w:val="24"/>
                <w:szCs w:val="20"/>
                <w:highlight w:val="none"/>
                <w:lang w:val="en-US" w:eastAsia="zh-CN"/>
              </w:rPr>
              <w:t>全面</w:t>
            </w:r>
            <w:r>
              <w:rPr>
                <w:rFonts w:hint="eastAsia" w:asciiTheme="minorEastAsia" w:hAnsiTheme="minorEastAsia" w:eastAsiaTheme="minorEastAsia"/>
                <w:color w:val="auto"/>
                <w:sz w:val="24"/>
                <w:szCs w:val="20"/>
                <w:highlight w:val="none"/>
              </w:rPr>
              <w:t>详尽，方案可行性、实用性突出，能够完全满足或优于项目实施要求，得5分；</w:t>
            </w:r>
          </w:p>
          <w:p w14:paraId="791630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（2）方案内容完整，方案具有可行性、实用性，能满足磋商文件要求，得</w:t>
            </w: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rPr>
              <w:t>分；</w:t>
            </w:r>
          </w:p>
          <w:p w14:paraId="13012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（3）方案内容简单，可行性及实用性存在不足，有待提高，得</w:t>
            </w: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分；</w:t>
            </w:r>
          </w:p>
          <w:p w14:paraId="433815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（4）未提供的不得分。</w:t>
            </w:r>
          </w:p>
        </w:tc>
        <w:tc>
          <w:tcPr>
            <w:tcW w:w="659" w:type="pct"/>
            <w:tcBorders>
              <w:top w:val="single" w:color="auto" w:sz="4" w:space="0"/>
              <w:left w:val="single" w:color="auto" w:sz="4" w:space="0"/>
              <w:bottom w:val="single" w:color="auto" w:sz="4" w:space="0"/>
              <w:right w:val="single" w:color="auto" w:sz="4" w:space="0"/>
            </w:tcBorders>
            <w:vAlign w:val="center"/>
          </w:tcPr>
          <w:p w14:paraId="70782A6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41B1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63608165">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433B88AC">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3091" w:type="pct"/>
            <w:tcBorders>
              <w:top w:val="single" w:color="auto" w:sz="4" w:space="0"/>
              <w:left w:val="single" w:color="auto" w:sz="4" w:space="0"/>
              <w:bottom w:val="single" w:color="auto" w:sz="4" w:space="0"/>
              <w:right w:val="single" w:color="auto" w:sz="4" w:space="0"/>
            </w:tcBorders>
            <w:vAlign w:val="center"/>
          </w:tcPr>
          <w:p w14:paraId="734B62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8.供应商针对本项目提供详细的应急响应方案，包括应急事件分类、应急响应机制、应急响应程序，针对网络攻击、信息破坏、网络故障、服务器故障、软件故障、灾害性事件等各种突发事件有完整应急预案，磋商小组对各供应商提供的方案进行综合评审：</w:t>
            </w:r>
          </w:p>
          <w:p w14:paraId="193714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（1）应急响应方案及相关保障措施内容详细完善，有明确的保障措施，针对性、实用性高，完全满足本项目实施需求，得5分；</w:t>
            </w:r>
          </w:p>
          <w:p w14:paraId="78FFA3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（2）应急响应方案及相关保障措施内容完整，具有针对性和可实施性，贴合本项目实施需求，得3分；</w:t>
            </w:r>
          </w:p>
          <w:p w14:paraId="53C1B4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（3）应急响应方案及相关保障措施内容简单，完整性欠缺，可实施性有待改善，得1分；</w:t>
            </w:r>
          </w:p>
          <w:p w14:paraId="201AA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（4）未提供不得分。</w:t>
            </w:r>
          </w:p>
        </w:tc>
        <w:tc>
          <w:tcPr>
            <w:tcW w:w="659" w:type="pct"/>
            <w:tcBorders>
              <w:top w:val="single" w:color="auto" w:sz="4" w:space="0"/>
              <w:left w:val="single" w:color="auto" w:sz="4" w:space="0"/>
              <w:bottom w:val="single" w:color="auto" w:sz="4" w:space="0"/>
              <w:right w:val="single" w:color="auto" w:sz="4" w:space="0"/>
            </w:tcBorders>
            <w:vAlign w:val="center"/>
          </w:tcPr>
          <w:p w14:paraId="715B38F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5A96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21820F7E">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769F369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3091" w:type="pct"/>
            <w:tcBorders>
              <w:top w:val="single" w:color="auto" w:sz="4" w:space="0"/>
              <w:left w:val="single" w:color="auto" w:sz="4" w:space="0"/>
              <w:bottom w:val="single" w:color="auto" w:sz="4" w:space="0"/>
              <w:right w:val="single" w:color="auto" w:sz="4" w:space="0"/>
            </w:tcBorders>
            <w:vAlign w:val="center"/>
          </w:tcPr>
          <w:p w14:paraId="0A28E1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9.供应商针对本项目日常运维有专业的技术服务团队，对管理制度是否内容齐全、职责划分是否明确、工作规范是否可行、监管措施是否得力、工作流程是否清晰、奖惩措施是否可行、项目组人员分工等进行阐述，磋商小组对各供应商提供的方案进行综合评审：</w:t>
            </w:r>
          </w:p>
          <w:p w14:paraId="302C67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（1）方案内容全面详尽，管理制度紧密贴合实际，针对性、可行性高，得5分；</w:t>
            </w:r>
          </w:p>
          <w:p w14:paraId="49BEB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（2）方案内容完整，管理制度符合实际要求，具有针对性、可行性，得3分；</w:t>
            </w:r>
          </w:p>
          <w:p w14:paraId="72BF0E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（3）有管理制度的内容，针对性、可行性不足，需进一步完善，得1分；</w:t>
            </w:r>
          </w:p>
          <w:p w14:paraId="453B2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（4）未提供不得分。</w:t>
            </w:r>
          </w:p>
        </w:tc>
        <w:tc>
          <w:tcPr>
            <w:tcW w:w="659" w:type="pct"/>
            <w:tcBorders>
              <w:top w:val="single" w:color="auto" w:sz="4" w:space="0"/>
              <w:left w:val="single" w:color="auto" w:sz="4" w:space="0"/>
              <w:bottom w:val="single" w:color="auto" w:sz="4" w:space="0"/>
              <w:right w:val="single" w:color="auto" w:sz="4" w:space="0"/>
            </w:tcBorders>
            <w:vAlign w:val="center"/>
          </w:tcPr>
          <w:p w14:paraId="437D532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7E16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45F3F9A7">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right w:val="single" w:color="auto" w:sz="4" w:space="0"/>
            </w:tcBorders>
            <w:vAlign w:val="center"/>
          </w:tcPr>
          <w:p w14:paraId="006168F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3091" w:type="pct"/>
            <w:tcBorders>
              <w:top w:val="single" w:color="auto" w:sz="4" w:space="0"/>
              <w:left w:val="single" w:color="auto" w:sz="4" w:space="0"/>
              <w:bottom w:val="single" w:color="auto" w:sz="4" w:space="0"/>
              <w:right w:val="single" w:color="auto" w:sz="4" w:space="0"/>
            </w:tcBorders>
            <w:vAlign w:val="center"/>
          </w:tcPr>
          <w:p w14:paraId="385610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10.供应商针对本项目制定项目培训服务规划方案，包括培训工作安排、确定培训对象、确定培训内容、制定培训计划、明确培训方式等，磋商小组对各供应商提供的方案进行综合评审：</w:t>
            </w:r>
          </w:p>
          <w:p w14:paraId="58C2E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（1）培训方案详尽完善，培训内容丰富，重点突出，培训计划详尽，可实施性强，得5分；</w:t>
            </w:r>
          </w:p>
          <w:p w14:paraId="13A817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（2）方案内容完整，有培训重点，培训计划清晰，具有可操作性，得3分；</w:t>
            </w:r>
          </w:p>
          <w:p w14:paraId="1725B1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（3）方案内容简单，培训计划流程逻辑不通，存在不足，得1分；</w:t>
            </w:r>
          </w:p>
          <w:p w14:paraId="23260F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（4）未提供不得分。</w:t>
            </w:r>
          </w:p>
        </w:tc>
        <w:tc>
          <w:tcPr>
            <w:tcW w:w="659" w:type="pct"/>
            <w:tcBorders>
              <w:top w:val="single" w:color="auto" w:sz="4" w:space="0"/>
              <w:left w:val="single" w:color="auto" w:sz="4" w:space="0"/>
              <w:bottom w:val="single" w:color="auto" w:sz="4" w:space="0"/>
              <w:right w:val="single" w:color="auto" w:sz="4" w:space="0"/>
            </w:tcBorders>
            <w:vAlign w:val="center"/>
          </w:tcPr>
          <w:p w14:paraId="342AC96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0"/>
                <w:highlight w:val="none"/>
                <w:lang w:val="en-US" w:eastAsia="zh-CN"/>
              </w:rPr>
            </w:pPr>
            <w:r>
              <w:rPr>
                <w:rFonts w:hint="eastAsia" w:asciiTheme="minorEastAsia" w:hAnsiTheme="minorEastAsia" w:eastAsiaTheme="minorEastAsia"/>
                <w:b/>
                <w:bCs/>
                <w:color w:val="auto"/>
                <w:sz w:val="24"/>
                <w:szCs w:val="20"/>
                <w:highlight w:val="none"/>
                <w:lang w:val="en-US" w:eastAsia="zh-CN"/>
              </w:rPr>
              <w:t>0-5分</w:t>
            </w:r>
          </w:p>
        </w:tc>
      </w:tr>
      <w:tr w14:paraId="7A3A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vMerge w:val="continue"/>
            <w:tcBorders>
              <w:left w:val="single" w:color="auto" w:sz="4" w:space="0"/>
              <w:right w:val="single" w:color="auto" w:sz="4" w:space="0"/>
            </w:tcBorders>
            <w:vAlign w:val="center"/>
          </w:tcPr>
          <w:p w14:paraId="70E37454">
            <w:pPr>
              <w:keepNext w:val="0"/>
              <w:keepLines w:val="0"/>
              <w:suppressLineNumbers w:val="0"/>
              <w:spacing w:before="0" w:beforeAutospacing="0" w:after="0" w:afterAutospacing="0" w:line="360" w:lineRule="auto"/>
              <w:ind w:left="0" w:right="0" w:firstLine="435"/>
              <w:jc w:val="center"/>
              <w:rPr>
                <w:rFonts w:hint="eastAsia" w:asciiTheme="minorEastAsia" w:hAnsiTheme="minorEastAsia" w:eastAsiaTheme="minorEastAsia"/>
                <w:b/>
                <w:bCs/>
                <w:color w:val="auto"/>
                <w:sz w:val="24"/>
                <w:szCs w:val="20"/>
                <w:highlight w:val="none"/>
              </w:rPr>
            </w:pPr>
          </w:p>
        </w:tc>
        <w:tc>
          <w:tcPr>
            <w:tcW w:w="630" w:type="pct"/>
            <w:vMerge w:val="continue"/>
            <w:tcBorders>
              <w:left w:val="single" w:color="auto" w:sz="4" w:space="0"/>
              <w:bottom w:val="single" w:color="auto" w:sz="4" w:space="0"/>
              <w:right w:val="single" w:color="auto" w:sz="4" w:space="0"/>
            </w:tcBorders>
            <w:vAlign w:val="center"/>
          </w:tcPr>
          <w:p w14:paraId="6FCC73B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p>
        </w:tc>
        <w:tc>
          <w:tcPr>
            <w:tcW w:w="3091" w:type="pct"/>
            <w:tcBorders>
              <w:top w:val="single" w:color="auto" w:sz="4" w:space="0"/>
              <w:left w:val="single" w:color="auto" w:sz="4" w:space="0"/>
              <w:bottom w:val="single" w:color="auto" w:sz="4" w:space="0"/>
              <w:right w:val="single" w:color="auto" w:sz="4" w:space="0"/>
            </w:tcBorders>
            <w:vAlign w:val="center"/>
          </w:tcPr>
          <w:p w14:paraId="7DDA2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11.</w:t>
            </w:r>
            <w:r>
              <w:rPr>
                <w:rFonts w:hint="eastAsia" w:asciiTheme="minorEastAsia" w:hAnsiTheme="minorEastAsia" w:eastAsiaTheme="minorEastAsia"/>
                <w:color w:val="auto"/>
                <w:sz w:val="24"/>
                <w:szCs w:val="20"/>
                <w:highlight w:val="none"/>
              </w:rPr>
              <w:t>供应商提供详细的售后服务方案，明确售后服务时间、服务流程、服务体系、服务方式、服务保障措施等内容，磋商小组对各供应商提供的方案进行综合评审：</w:t>
            </w:r>
          </w:p>
          <w:p w14:paraId="77591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售后服务保证体系、售后服务措施方案内容全面，服务措施齐全，技术支持能力强，完全满足采购人全部售后需求的，得</w:t>
            </w:r>
            <w:r>
              <w:rPr>
                <w:rFonts w:hint="eastAsia" w:asciiTheme="minorEastAsia" w:hAnsiTheme="minorEastAsia" w:eastAsiaTheme="minorEastAsia"/>
                <w:color w:val="auto"/>
                <w:sz w:val="24"/>
                <w:szCs w:val="20"/>
                <w:highlight w:val="none"/>
                <w:lang w:val="en-US" w:eastAsia="zh-CN"/>
              </w:rPr>
              <w:t>5</w:t>
            </w:r>
            <w:r>
              <w:rPr>
                <w:rFonts w:hint="eastAsia" w:asciiTheme="minorEastAsia" w:hAnsiTheme="minorEastAsia" w:eastAsiaTheme="minorEastAsia"/>
                <w:color w:val="auto"/>
                <w:sz w:val="24"/>
                <w:szCs w:val="20"/>
                <w:highlight w:val="none"/>
              </w:rPr>
              <w:t>分；</w:t>
            </w:r>
          </w:p>
          <w:p w14:paraId="6E8EA6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（2）</w:t>
            </w:r>
            <w:r>
              <w:rPr>
                <w:rFonts w:hint="eastAsia" w:asciiTheme="minorEastAsia" w:hAnsiTheme="minorEastAsia" w:eastAsiaTheme="minorEastAsia"/>
                <w:color w:val="auto"/>
                <w:sz w:val="24"/>
                <w:szCs w:val="20"/>
                <w:highlight w:val="none"/>
              </w:rPr>
              <w:t>售后服务保证体系、售后服务措施方案片面，具有技术支持能力，</w:t>
            </w:r>
            <w:r>
              <w:rPr>
                <w:rFonts w:hint="eastAsia" w:asciiTheme="minorEastAsia" w:hAnsiTheme="minorEastAsia" w:eastAsiaTheme="minorEastAsia"/>
                <w:color w:val="auto"/>
                <w:sz w:val="24"/>
                <w:szCs w:val="20"/>
                <w:highlight w:val="none"/>
                <w:lang w:val="en-US" w:eastAsia="zh-CN"/>
              </w:rPr>
              <w:t>贴合</w:t>
            </w:r>
            <w:r>
              <w:rPr>
                <w:rFonts w:hint="eastAsia" w:asciiTheme="minorEastAsia" w:hAnsiTheme="minorEastAsia" w:eastAsiaTheme="minorEastAsia"/>
                <w:color w:val="auto"/>
                <w:sz w:val="24"/>
                <w:szCs w:val="20"/>
                <w:highlight w:val="none"/>
              </w:rPr>
              <w:t>需求</w:t>
            </w:r>
            <w:r>
              <w:rPr>
                <w:rFonts w:hint="eastAsia" w:asciiTheme="minorEastAsia" w:hAnsiTheme="minorEastAsia" w:eastAsiaTheme="minorEastAsia"/>
                <w:color w:val="auto"/>
                <w:sz w:val="24"/>
                <w:szCs w:val="20"/>
                <w:highlight w:val="none"/>
                <w:lang w:eastAsia="zh-CN"/>
              </w:rPr>
              <w:t>的，</w:t>
            </w:r>
            <w:r>
              <w:rPr>
                <w:rFonts w:hint="eastAsia" w:asciiTheme="minorEastAsia" w:hAnsiTheme="minorEastAsia" w:eastAsiaTheme="minorEastAsia"/>
                <w:color w:val="auto"/>
                <w:sz w:val="24"/>
                <w:szCs w:val="20"/>
                <w:highlight w:val="none"/>
              </w:rPr>
              <w:t>得</w:t>
            </w: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rPr>
              <w:t>分；</w:t>
            </w:r>
          </w:p>
          <w:p w14:paraId="38276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（3）</w:t>
            </w:r>
            <w:r>
              <w:rPr>
                <w:rFonts w:hint="eastAsia" w:asciiTheme="minorEastAsia" w:hAnsiTheme="minorEastAsia" w:eastAsiaTheme="minorEastAsia"/>
                <w:color w:val="auto"/>
                <w:sz w:val="24"/>
                <w:szCs w:val="20"/>
                <w:highlight w:val="none"/>
              </w:rPr>
              <w:t>售后服务保证体系、售后服务措施方案有待提升、技术支持能力措施不全或存在不足的，得</w:t>
            </w:r>
            <w:r>
              <w:rPr>
                <w:rFonts w:hint="eastAsia" w:asciiTheme="minorEastAsia" w:hAnsiTheme="minorEastAsia" w:eastAsiaTheme="minorEastAsia"/>
                <w:color w:val="auto"/>
                <w:sz w:val="24"/>
                <w:szCs w:val="20"/>
                <w:highlight w:val="none"/>
                <w:lang w:val="en-US" w:eastAsia="zh-CN"/>
              </w:rPr>
              <w:t>1</w:t>
            </w:r>
            <w:r>
              <w:rPr>
                <w:rFonts w:hint="eastAsia" w:asciiTheme="minorEastAsia" w:hAnsiTheme="minorEastAsia" w:eastAsiaTheme="minorEastAsia"/>
                <w:color w:val="auto"/>
                <w:sz w:val="24"/>
                <w:szCs w:val="20"/>
                <w:highlight w:val="none"/>
              </w:rPr>
              <w:t>分；</w:t>
            </w:r>
          </w:p>
          <w:p w14:paraId="7E1D6A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lang w:val="en-US" w:eastAsia="zh-CN"/>
              </w:rPr>
              <w:t>（4）</w:t>
            </w:r>
            <w:r>
              <w:rPr>
                <w:rFonts w:hint="eastAsia" w:asciiTheme="minorEastAsia" w:hAnsiTheme="minorEastAsia" w:eastAsiaTheme="minorEastAsia"/>
                <w:color w:val="auto"/>
                <w:sz w:val="24"/>
                <w:szCs w:val="20"/>
                <w:highlight w:val="none"/>
              </w:rPr>
              <w:t>未提供不得分。</w:t>
            </w:r>
          </w:p>
        </w:tc>
        <w:tc>
          <w:tcPr>
            <w:tcW w:w="659" w:type="pct"/>
            <w:tcBorders>
              <w:top w:val="single" w:color="auto" w:sz="4" w:space="0"/>
              <w:left w:val="single" w:color="auto" w:sz="4" w:space="0"/>
              <w:bottom w:val="single" w:color="auto" w:sz="4" w:space="0"/>
              <w:right w:val="single" w:color="auto" w:sz="4" w:space="0"/>
            </w:tcBorders>
            <w:vAlign w:val="center"/>
          </w:tcPr>
          <w:p w14:paraId="383BC42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b/>
                <w:bCs/>
                <w:color w:val="auto"/>
                <w:sz w:val="24"/>
                <w:szCs w:val="20"/>
                <w:highlight w:val="none"/>
              </w:rPr>
              <w:t>0-</w:t>
            </w:r>
            <w:r>
              <w:rPr>
                <w:rFonts w:hint="eastAsia" w:asciiTheme="minorEastAsia" w:hAnsiTheme="minorEastAsia" w:eastAsiaTheme="minorEastAsia"/>
                <w:b/>
                <w:bCs/>
                <w:color w:val="auto"/>
                <w:sz w:val="24"/>
                <w:szCs w:val="20"/>
                <w:highlight w:val="none"/>
                <w:lang w:val="en-US" w:eastAsia="zh-CN"/>
              </w:rPr>
              <w:t>5</w:t>
            </w:r>
            <w:r>
              <w:rPr>
                <w:rFonts w:hint="eastAsia" w:asciiTheme="minorEastAsia" w:hAnsiTheme="minorEastAsia" w:eastAsiaTheme="minorEastAsia"/>
                <w:b/>
                <w:bCs/>
                <w:color w:val="auto"/>
                <w:sz w:val="24"/>
                <w:szCs w:val="20"/>
                <w:highlight w:val="none"/>
              </w:rPr>
              <w:t>分</w:t>
            </w:r>
          </w:p>
        </w:tc>
      </w:tr>
      <w:tr w14:paraId="7EED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pct"/>
            <w:tcBorders>
              <w:left w:val="single" w:color="auto" w:sz="4" w:space="0"/>
              <w:right w:val="single" w:color="auto" w:sz="4" w:space="0"/>
            </w:tcBorders>
            <w:vAlign w:val="center"/>
          </w:tcPr>
          <w:p w14:paraId="56AE415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w:t>
            </w:r>
          </w:p>
          <w:p w14:paraId="0F8719C6">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0"/>
                <w:highlight w:val="none"/>
              </w:rPr>
            </w:pPr>
            <w:r>
              <w:rPr>
                <w:rFonts w:hint="eastAsia" w:asciiTheme="minorEastAsia" w:hAnsiTheme="minorEastAsia" w:eastAsiaTheme="minorEastAsia"/>
                <w:color w:val="auto"/>
                <w:sz w:val="24"/>
                <w:szCs w:val="20"/>
                <w:highlight w:val="none"/>
              </w:rPr>
              <w:t>（</w:t>
            </w:r>
            <w:r>
              <w:rPr>
                <w:rFonts w:hint="eastAsia" w:asciiTheme="minorEastAsia" w:hAnsiTheme="minorEastAsia" w:eastAsiaTheme="minorEastAsia"/>
                <w:color w:val="auto"/>
                <w:sz w:val="24"/>
                <w:szCs w:val="20"/>
                <w:highlight w:val="none"/>
                <w:u w:val="single"/>
              </w:rPr>
              <w:t xml:space="preserve"> 1</w:t>
            </w:r>
            <w:r>
              <w:rPr>
                <w:rFonts w:hint="eastAsia" w:asciiTheme="minorEastAsia" w:hAnsiTheme="minorEastAsia" w:eastAsiaTheme="minorEastAsia"/>
                <w:color w:val="auto"/>
                <w:sz w:val="24"/>
                <w:szCs w:val="20"/>
                <w:highlight w:val="none"/>
                <w:u w:val="single"/>
                <w:lang w:val="en-US" w:eastAsia="zh-CN"/>
              </w:rPr>
              <w:t>1</w:t>
            </w:r>
            <w:r>
              <w:rPr>
                <w:rFonts w:hint="eastAsia" w:asciiTheme="minorEastAsia" w:hAnsiTheme="minorEastAsia" w:eastAsiaTheme="minorEastAsia"/>
                <w:color w:val="auto"/>
                <w:sz w:val="24"/>
                <w:szCs w:val="20"/>
                <w:highlight w:val="none"/>
                <w:u w:val="single"/>
              </w:rPr>
              <w:t xml:space="preserve"> </w:t>
            </w:r>
            <w:r>
              <w:rPr>
                <w:rFonts w:hint="eastAsia" w:asciiTheme="minorEastAsia" w:hAnsiTheme="minorEastAsia" w:eastAsiaTheme="minorEastAsia"/>
                <w:color w:val="auto"/>
                <w:sz w:val="24"/>
                <w:szCs w:val="20"/>
                <w:highlight w:val="none"/>
              </w:rPr>
              <w:t>分）</w:t>
            </w:r>
          </w:p>
        </w:tc>
        <w:tc>
          <w:tcPr>
            <w:tcW w:w="4381" w:type="pct"/>
            <w:gridSpan w:val="3"/>
            <w:tcBorders>
              <w:top w:val="single" w:color="auto" w:sz="4" w:space="0"/>
              <w:left w:val="single" w:color="auto" w:sz="4" w:space="0"/>
              <w:bottom w:val="single" w:color="auto" w:sz="4" w:space="0"/>
              <w:right w:val="single" w:color="auto" w:sz="4" w:space="0"/>
            </w:tcBorders>
            <w:vAlign w:val="center"/>
          </w:tcPr>
          <w:p w14:paraId="03B5B56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价格分统一采用低价优先法，即满足磋商文件要求且最后报价最低的供应商的价格为磋商基准价，其价格分为满分</w:t>
            </w:r>
            <w:r>
              <w:rPr>
                <w:rFonts w:hint="eastAsia" w:asciiTheme="minorEastAsia" w:hAnsiTheme="minorEastAsia" w:eastAsiaTheme="minorEastAsia"/>
                <w:color w:val="auto"/>
                <w:sz w:val="24"/>
                <w:szCs w:val="20"/>
                <w:highlight w:val="none"/>
                <w:u w:val="single"/>
              </w:rPr>
              <w:t xml:space="preserve"> 1</w:t>
            </w:r>
            <w:r>
              <w:rPr>
                <w:rFonts w:hint="eastAsia" w:asciiTheme="minorEastAsia" w:hAnsiTheme="minorEastAsia" w:eastAsiaTheme="minorEastAsia"/>
                <w:color w:val="auto"/>
                <w:sz w:val="24"/>
                <w:szCs w:val="20"/>
                <w:highlight w:val="none"/>
                <w:u w:val="single"/>
                <w:lang w:val="en-US" w:eastAsia="zh-CN"/>
              </w:rPr>
              <w:t>1</w:t>
            </w:r>
            <w:r>
              <w:rPr>
                <w:rFonts w:hint="eastAsia" w:asciiTheme="minorEastAsia" w:hAnsiTheme="minorEastAsia" w:eastAsiaTheme="minorEastAsia"/>
                <w:color w:val="auto"/>
                <w:sz w:val="24"/>
                <w:szCs w:val="20"/>
                <w:highlight w:val="none"/>
                <w:u w:val="single"/>
              </w:rPr>
              <w:t xml:space="preserve"> </w:t>
            </w:r>
            <w:r>
              <w:rPr>
                <w:rFonts w:hint="eastAsia" w:asciiTheme="minorEastAsia" w:hAnsiTheme="minorEastAsia" w:eastAsiaTheme="minorEastAsia"/>
                <w:color w:val="auto"/>
                <w:sz w:val="24"/>
                <w:szCs w:val="20"/>
                <w:highlight w:val="none"/>
              </w:rPr>
              <w:t>分。其他供应商的价格分统一按照下列公式计算：</w:t>
            </w:r>
          </w:p>
          <w:p w14:paraId="21D5E27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磋商报价得分＝（磋商基准价/</w:t>
            </w:r>
            <w:r>
              <w:rPr>
                <w:rFonts w:hint="eastAsia" w:ascii="宋体" w:hAnsi="宋体" w:eastAsia="宋体"/>
                <w:color w:val="auto"/>
                <w:sz w:val="24"/>
                <w:szCs w:val="20"/>
                <w:highlight w:val="none"/>
              </w:rPr>
              <w:t>最后磋商</w:t>
            </w:r>
            <w:r>
              <w:rPr>
                <w:rFonts w:hint="eastAsia" w:asciiTheme="minorEastAsia" w:hAnsiTheme="minorEastAsia" w:eastAsiaTheme="minorEastAsia"/>
                <w:color w:val="auto"/>
                <w:sz w:val="24"/>
                <w:szCs w:val="20"/>
                <w:highlight w:val="none"/>
              </w:rPr>
              <w:t>报价）×</w:t>
            </w:r>
            <w:r>
              <w:rPr>
                <w:rFonts w:hint="eastAsia" w:asciiTheme="minorEastAsia" w:hAnsiTheme="minorEastAsia" w:eastAsiaTheme="minorEastAsia"/>
                <w:color w:val="auto"/>
                <w:sz w:val="24"/>
                <w:szCs w:val="20"/>
                <w:highlight w:val="none"/>
                <w:u w:val="single"/>
              </w:rPr>
              <w:t xml:space="preserve"> </w:t>
            </w:r>
            <w:r>
              <w:rPr>
                <w:rFonts w:hint="eastAsia" w:asciiTheme="minorEastAsia" w:hAnsiTheme="minorEastAsia" w:eastAsiaTheme="minorEastAsia"/>
                <w:color w:val="auto"/>
                <w:sz w:val="24"/>
                <w:szCs w:val="20"/>
                <w:highlight w:val="none"/>
                <w:u w:val="single"/>
                <w:lang w:val="en-US" w:eastAsia="zh-CN"/>
              </w:rPr>
              <w:t>11</w:t>
            </w:r>
            <w:r>
              <w:rPr>
                <w:rFonts w:hint="eastAsia" w:asciiTheme="minorEastAsia" w:hAnsiTheme="minorEastAsia" w:eastAsiaTheme="minorEastAsia"/>
                <w:color w:val="auto"/>
                <w:sz w:val="24"/>
                <w:szCs w:val="20"/>
                <w:highlight w:val="none"/>
                <w:u w:val="single"/>
              </w:rPr>
              <w:t xml:space="preserve"> </w:t>
            </w:r>
            <w:r>
              <w:rPr>
                <w:rFonts w:hint="eastAsia" w:asciiTheme="minorEastAsia" w:hAnsiTheme="minorEastAsia" w:eastAsiaTheme="minorEastAsia"/>
                <w:color w:val="auto"/>
                <w:sz w:val="24"/>
                <w:szCs w:val="20"/>
                <w:highlight w:val="none"/>
              </w:rPr>
              <w:t>％×100</w:t>
            </w:r>
          </w:p>
        </w:tc>
      </w:tr>
    </w:tbl>
    <w:p w14:paraId="14997610">
      <w:pPr>
        <w:keepNext w:val="0"/>
        <w:keepLines w:val="0"/>
        <w:widowControl w:val="0"/>
        <w:suppressLineNumbers w:val="0"/>
        <w:autoSpaceDE w:val="0"/>
        <w:autoSpaceDN/>
        <w:spacing w:before="0" w:beforeAutospacing="0" w:after="0" w:afterAutospacing="0" w:line="400" w:lineRule="exact"/>
        <w:ind w:left="0" w:right="0" w:firstLine="437"/>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2</w:t>
      </w:r>
      <w:r>
        <w:rPr>
          <w:rFonts w:hint="eastAsia" w:ascii="宋体" w:hAnsi="宋体" w:eastAsia="宋体" w:cs="@仿宋_GB2312"/>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2</w:t>
      </w:r>
      <w:r>
        <w:rPr>
          <w:rFonts w:hint="eastAsia" w:ascii="宋体" w:hAnsi="宋体" w:eastAsia="宋体" w:cs="@仿宋_GB2312"/>
          <w:kern w:val="2"/>
          <w:sz w:val="24"/>
          <w:szCs w:val="24"/>
          <w:highlight w:val="none"/>
          <w:lang w:val="en-US" w:eastAsia="zh-CN" w:bidi="ar"/>
        </w:rPr>
        <w:t>.3</w:t>
      </w:r>
      <w:r>
        <w:rPr>
          <w:rFonts w:hint="eastAsia" w:ascii="宋体" w:hAnsi="宋体" w:eastAsia="宋体" w:cs="宋体"/>
          <w:kern w:val="2"/>
          <w:sz w:val="24"/>
          <w:szCs w:val="24"/>
          <w:highlight w:val="none"/>
          <w:lang w:val="en-US" w:eastAsia="zh-CN" w:bidi="ar"/>
        </w:rPr>
        <w:t>分值汇总</w:t>
      </w:r>
    </w:p>
    <w:p w14:paraId="727A1473">
      <w:pPr>
        <w:keepNext w:val="0"/>
        <w:keepLines w:val="0"/>
        <w:widowControl w:val="0"/>
        <w:suppressLineNumbers w:val="0"/>
        <w:autoSpaceDE w:val="0"/>
        <w:autoSpaceDN/>
        <w:spacing w:before="0" w:beforeAutospacing="0" w:after="0" w:afterAutospacing="0" w:line="400" w:lineRule="exact"/>
        <w:ind w:left="0" w:right="0" w:firstLine="437"/>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仿宋_GB2312"/>
          <w:kern w:val="2"/>
          <w:sz w:val="24"/>
          <w:szCs w:val="24"/>
          <w:highlight w:val="none"/>
          <w:lang w:val="en-US" w:eastAsia="zh-CN" w:bidi="ar"/>
        </w:rPr>
        <w:t>1）磋商小组各成员应当独立对每个有效响应的文件进行评价、打分，然后汇总每个供应商每项评分因素的得分，再取各位评委评分之平均值，四舍五入保留至小数点后两位数，得到该供应商的技术资信分。</w:t>
      </w:r>
    </w:p>
    <w:p w14:paraId="0991AF8C">
      <w:pPr>
        <w:keepNext w:val="0"/>
        <w:keepLines w:val="0"/>
        <w:widowControl w:val="0"/>
        <w:suppressLineNumbers w:val="0"/>
        <w:autoSpaceDE w:val="0"/>
        <w:autoSpaceDN/>
        <w:spacing w:before="0" w:beforeAutospacing="0" w:after="0" w:afterAutospacing="0" w:line="400" w:lineRule="exact"/>
        <w:ind w:left="0" w:right="0" w:firstLine="437"/>
        <w:jc w:val="both"/>
        <w:rPr>
          <w:rFonts w:hint="eastAsia" w:ascii="宋体" w:hAnsi="宋体" w:eastAsia="宋体" w:cs="@仿宋_GB2312"/>
          <w:kern w:val="2"/>
          <w:sz w:val="24"/>
          <w:szCs w:val="24"/>
          <w:highlight w:val="none"/>
        </w:rPr>
      </w:pPr>
      <w:r>
        <w:rPr>
          <w:rFonts w:hint="eastAsia" w:ascii="宋体" w:hAnsi="宋体" w:eastAsia="宋体" w:cs="宋体"/>
          <w:kern w:val="2"/>
          <w:sz w:val="24"/>
          <w:szCs w:val="24"/>
          <w:highlight w:val="none"/>
          <w:lang w:val="en-US" w:eastAsia="zh-CN" w:bidi="ar"/>
        </w:rPr>
        <w:t>（</w:t>
      </w:r>
      <w:r>
        <w:rPr>
          <w:rFonts w:hint="eastAsia" w:ascii="宋体" w:hAnsi="宋体" w:eastAsia="宋体" w:cs="@仿宋_GB2312"/>
          <w:kern w:val="2"/>
          <w:sz w:val="24"/>
          <w:szCs w:val="24"/>
          <w:highlight w:val="none"/>
          <w:lang w:val="en-US" w:eastAsia="zh-CN" w:bidi="ar"/>
        </w:rPr>
        <w:t>2）将每个供应商的技术资信分加上根据上述标准计算出的价格分，即为该供应商的综合总得分</w:t>
      </w:r>
      <w:r>
        <w:rPr>
          <w:rFonts w:hint="eastAsia" w:ascii="宋体" w:hAnsi="宋体" w:eastAsia="宋体" w:cs="宋体"/>
          <w:kern w:val="2"/>
          <w:sz w:val="24"/>
          <w:szCs w:val="24"/>
          <w:highlight w:val="none"/>
          <w:lang w:val="en-US" w:eastAsia="zh-CN" w:bidi="ar"/>
        </w:rPr>
        <w:t>。</w:t>
      </w:r>
    </w:p>
    <w:p w14:paraId="127BA017">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p>
    <w:p w14:paraId="410905AA">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三、无效条款</w:t>
      </w:r>
    </w:p>
    <w:p w14:paraId="4D830D89">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027ADF60">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（1）未在提交首次响应文件截止时间前通过网上招标投标系统递交有效电子响应文件的，网上开标系统不予接收。出现上述情况的，响应将被拒绝。</w:t>
      </w:r>
    </w:p>
    <w:p w14:paraId="5D81C154">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须在规定时间内解密。因供应商自身原因导致响应文件在规定时间内未能解密、解密失败或解密超时，响应文件无效；解密时间：从本项目响应文件提交截止时间开始计时，至完成响应文件解密时间，不得超过60分钟，否则响应文件将被拒绝。</w:t>
      </w:r>
    </w:p>
    <w:p w14:paraId="1878004C">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8.2供应商有下列情形之一的,资格审查后其投标作无效响应处理：</w:t>
      </w:r>
    </w:p>
    <w:p w14:paraId="4A598DEF">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（1）为本项目提供采购代理服务的；</w:t>
      </w:r>
    </w:p>
    <w:p w14:paraId="5D376D72">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7FF7ECCD">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（3）磋商公告写明专门面向中小企业采购，供应商提供的服务非中小企业承接的；</w:t>
      </w:r>
    </w:p>
    <w:p w14:paraId="08B25455">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（4）要求供应商以联合体形式参加采购活动，供应商非联合体或者联合协议中中小企业合同金额未达到应当达到的比例；</w:t>
      </w:r>
    </w:p>
    <w:p w14:paraId="368A1A96">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(5)要求获得采购合同的供应商向中小企业分包，供应商未提供分包意向协议或者分包意向协议中中小企业合同金额未达到应当达到的比例；</w:t>
      </w:r>
    </w:p>
    <w:p w14:paraId="733E00A1">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(6)评标专家无法查看并检验电子响应文件中相关资料的；</w:t>
      </w:r>
    </w:p>
    <w:p w14:paraId="5749684D">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(7)联合体投标未提交联合体协议的；</w:t>
      </w:r>
    </w:p>
    <w:p w14:paraId="36D69C53">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(8)被责令停产停业的；</w:t>
      </w:r>
    </w:p>
    <w:p w14:paraId="708776AC">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(9)被暂停或取消参与政府采购项目资格的；</w:t>
      </w:r>
    </w:p>
    <w:p w14:paraId="5150174B">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(10)供应商单位负责人为同一人或者存在直接控股、管理关系的不同单位的；</w:t>
      </w:r>
    </w:p>
    <w:p w14:paraId="423B7B22">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(11)供应商基本资格条件和特定资格条件中有一项及以上不符合要求的；</w:t>
      </w:r>
    </w:p>
    <w:p w14:paraId="73E0F115">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(12)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 </w:t>
      </w:r>
    </w:p>
    <w:p w14:paraId="7E5F2533">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(13)供应商投标MAC地址或供应商联系人或联系电话相同的，由磋商小组否决其响应，并报告监管部门作不良行为处理和进一步调查； </w:t>
      </w:r>
    </w:p>
    <w:p w14:paraId="6336C988">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(14)供应商单方面出现其他供应商材料的； </w:t>
      </w:r>
    </w:p>
    <w:p w14:paraId="5729E4E0">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(15)其它情形，经磋商小组提出按无效响应处理，并经公共资源交易监督部门核准的；</w:t>
      </w:r>
    </w:p>
    <w:p w14:paraId="7ECC01BB">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(16)磋商文件规定的其它无效响应情形。</w:t>
      </w:r>
    </w:p>
    <w:p w14:paraId="5EDA9557">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 供应商有下列情形之一的,符合性审查后其投标按无效响应处理：</w:t>
      </w:r>
    </w:p>
    <w:p w14:paraId="4BB64698">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（1）响应文件签章不全，经磋商小组一致认定对开评标内容有实质性影响并经公共资源交易监督部门核准的；</w:t>
      </w:r>
    </w:p>
    <w:p w14:paraId="33B1FC94">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（2）未按规定的格式填写导致实质性内容不全以及实质上不响应，或者关键字迹模糊、无法辨认；经公共资源交易监督部门核准的；</w:t>
      </w:r>
    </w:p>
    <w:p w14:paraId="1204761A">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（3）同一供应商提交两个以上不同的响应文件或者响应报价，但磋商文件规定提交备选方案的除外；</w:t>
      </w:r>
    </w:p>
    <w:p w14:paraId="08F94B0F">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（4）响应文件没有对磋商文件的实质性要求和条件作出响应；</w:t>
      </w:r>
    </w:p>
    <w:p w14:paraId="7D58D4A3">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（5）报价超出规定的最高限价或公布的采购预算的或供应商的报价各项单价高于磋商文件给定的单价最高限价；</w:t>
      </w:r>
    </w:p>
    <w:p w14:paraId="50043FDB">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（6）不按磋商小组要求澄清、说明或补正的，或者措施小组根据磋商文件的规定对响应文件的计算错误进行修正后，供应商不接受修正的报价的。</w:t>
      </w:r>
    </w:p>
    <w:p w14:paraId="79EF4D10">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（7）其它情形，经磋商小组提出按无效响应处理，并经公共资源交易监督部门核准的；</w:t>
      </w:r>
    </w:p>
    <w:p w14:paraId="345316EA">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0757555">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（9）磋商文件规定的其它无效响应情形。</w:t>
      </w:r>
    </w:p>
    <w:p w14:paraId="5CCD1A96">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8.4 供应商有下列情形之一的, 详细评审后其投标按无效响应处理：</w:t>
      </w:r>
    </w:p>
    <w:p w14:paraId="462652B9">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5CBDC0AB">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（2）供应商有串通投标、弄虚作假、行贿等违法行为；</w:t>
      </w:r>
    </w:p>
    <w:p w14:paraId="3AEE3783">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37334333">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13E0B145">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（5）拒不确认磋商小组评审修正的投标无效；</w:t>
      </w:r>
    </w:p>
    <w:p w14:paraId="2F385AF4">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（6）其它情形，经磋商小组提出按无效响应处理，并经公共资源交易监督部门核准的；</w:t>
      </w:r>
    </w:p>
    <w:p w14:paraId="640A4266">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（7）磋商文件规定的其它无效响应情形。</w:t>
      </w:r>
    </w:p>
    <w:p w14:paraId="124E5954">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3ADC634">
      <w:pPr>
        <w:spacing w:line="360" w:lineRule="auto"/>
        <w:jc w:val="center"/>
        <w:outlineLvl w:val="0"/>
        <w:rPr>
          <w:rFonts w:hint="eastAsia" w:asciiTheme="minorEastAsia" w:hAnsiTheme="minorEastAsia" w:eastAsiaTheme="minorEastAsia"/>
          <w:b/>
          <w:color w:val="auto"/>
          <w:sz w:val="28"/>
          <w:highlight w:val="none"/>
        </w:rPr>
      </w:pPr>
      <w:bookmarkStart w:id="40" w:name="_Toc6037"/>
      <w:bookmarkStart w:id="41" w:name="_Toc17167"/>
      <w:bookmarkStart w:id="42" w:name="_Toc63440929"/>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40"/>
      <w:bookmarkEnd w:id="41"/>
      <w:bookmarkEnd w:id="42"/>
    </w:p>
    <w:p w14:paraId="74C037B9">
      <w:pPr>
        <w:keepNext w:val="0"/>
        <w:keepLines w:val="0"/>
        <w:pageBreakBefore w:val="0"/>
        <w:widowControl w:val="0"/>
        <w:kinsoku/>
        <w:wordWrap/>
        <w:overflowPunct/>
        <w:topLinePunct w:val="0"/>
        <w:autoSpaceDE/>
        <w:autoSpaceDN/>
        <w:bidi w:val="0"/>
        <w:adjustRightInd/>
        <w:snapToGrid/>
        <w:spacing w:line="400" w:lineRule="exact"/>
        <w:ind w:firstLine="437"/>
        <w:textAlignment w:val="auto"/>
        <w:rPr>
          <w:rFonts w:hint="eastAsia" w:asciiTheme="minorEastAsia" w:hAnsiTheme="minorEastAsia" w:eastAsiaTheme="minorEastAsia"/>
          <w:color w:val="auto"/>
          <w:sz w:val="24"/>
          <w:highlight w:val="none"/>
        </w:rPr>
      </w:pPr>
      <w:bookmarkStart w:id="43" w:name="_Toc9456"/>
    </w:p>
    <w:p w14:paraId="2E098913">
      <w:pPr>
        <w:spacing w:line="480" w:lineRule="auto"/>
        <w:jc w:val="center"/>
        <w:outlineLvl w:val="1"/>
        <w:rPr>
          <w:rFonts w:asciiTheme="minorEastAsia" w:hAnsiTheme="minorEastAsia" w:eastAsiaTheme="minorEastAsia"/>
          <w:b/>
          <w:color w:val="auto"/>
          <w:sz w:val="32"/>
          <w:szCs w:val="32"/>
          <w:highlight w:val="none"/>
        </w:rPr>
      </w:pPr>
    </w:p>
    <w:p w14:paraId="036D5A43">
      <w:pPr>
        <w:spacing w:line="480" w:lineRule="auto"/>
        <w:jc w:val="center"/>
        <w:outlineLvl w:val="1"/>
        <w:rPr>
          <w:rFonts w:hint="eastAsia" w:asciiTheme="minorEastAsia" w:hAnsiTheme="minorEastAsia" w:eastAsiaTheme="minorEastAsia"/>
          <w:b/>
          <w:color w:val="auto"/>
          <w:sz w:val="32"/>
          <w:szCs w:val="32"/>
          <w:highlight w:val="none"/>
        </w:rPr>
      </w:pPr>
      <w:r>
        <w:rPr>
          <w:rFonts w:asciiTheme="minorEastAsia" w:hAnsiTheme="minorEastAsia" w:eastAsiaTheme="minorEastAsia"/>
          <w:b/>
          <w:color w:val="auto"/>
          <w:sz w:val="32"/>
          <w:szCs w:val="32"/>
          <w:highlight w:val="none"/>
        </w:rPr>
        <w:t>政府采购合同</w:t>
      </w:r>
      <w:r>
        <w:rPr>
          <w:rFonts w:hint="eastAsia" w:asciiTheme="minorEastAsia" w:hAnsiTheme="minorEastAsia" w:eastAsiaTheme="minorEastAsia"/>
          <w:b/>
          <w:color w:val="auto"/>
          <w:sz w:val="32"/>
          <w:szCs w:val="32"/>
          <w:highlight w:val="none"/>
        </w:rPr>
        <w:t>参考范本</w:t>
      </w:r>
      <w:bookmarkEnd w:id="43"/>
    </w:p>
    <w:p w14:paraId="21F385C7">
      <w:pPr>
        <w:spacing w:line="480" w:lineRule="auto"/>
        <w:jc w:val="center"/>
        <w:outlineLvl w:val="1"/>
        <w:rPr>
          <w:rFonts w:hint="eastAsia" w:asciiTheme="minorEastAsia" w:hAnsiTheme="minorEastAsia" w:eastAsiaTheme="minorEastAsia"/>
          <w:b/>
          <w:color w:val="auto"/>
          <w:sz w:val="32"/>
          <w:szCs w:val="32"/>
          <w:highlight w:val="none"/>
        </w:rPr>
      </w:pPr>
      <w:bookmarkStart w:id="44" w:name="_Toc26618"/>
      <w:r>
        <w:rPr>
          <w:rFonts w:hint="eastAsia" w:asciiTheme="minorEastAsia" w:hAnsiTheme="minorEastAsia" w:eastAsiaTheme="minorEastAsia"/>
          <w:b/>
          <w:color w:val="auto"/>
          <w:sz w:val="32"/>
          <w:szCs w:val="32"/>
          <w:highlight w:val="none"/>
        </w:rPr>
        <w:t>（服务类）</w:t>
      </w:r>
      <w:bookmarkEnd w:id="44"/>
    </w:p>
    <w:p w14:paraId="38B39A91">
      <w:pPr>
        <w:spacing w:line="480" w:lineRule="auto"/>
        <w:jc w:val="center"/>
        <w:rPr>
          <w:rFonts w:hint="eastAsia" w:asciiTheme="minorEastAsia" w:hAnsiTheme="minorEastAsia" w:eastAsiaTheme="minorEastAsia"/>
          <w:b/>
          <w:color w:val="auto"/>
          <w:sz w:val="24"/>
          <w:highlight w:val="none"/>
        </w:rPr>
      </w:pPr>
    </w:p>
    <w:p w14:paraId="446870A2">
      <w:pPr>
        <w:spacing w:line="480" w:lineRule="auto"/>
        <w:jc w:val="center"/>
        <w:rPr>
          <w:rFonts w:hint="eastAsia" w:asciiTheme="minorEastAsia" w:hAnsiTheme="minorEastAsia" w:eastAsiaTheme="minorEastAsia"/>
          <w:b/>
          <w:color w:val="auto"/>
          <w:sz w:val="24"/>
          <w:highlight w:val="none"/>
        </w:rPr>
      </w:pPr>
    </w:p>
    <w:p w14:paraId="202A293D">
      <w:pPr>
        <w:spacing w:line="360" w:lineRule="auto"/>
        <w:jc w:val="center"/>
        <w:outlineLvl w:val="1"/>
        <w:rPr>
          <w:rFonts w:hint="eastAsia" w:asciiTheme="minorEastAsia" w:hAnsiTheme="minorEastAsia" w:eastAsiaTheme="minorEastAsia"/>
          <w:b/>
          <w:color w:val="auto"/>
          <w:sz w:val="24"/>
          <w:highlight w:val="none"/>
        </w:rPr>
      </w:pPr>
      <w:bookmarkStart w:id="45" w:name="_Toc18055"/>
      <w:r>
        <w:rPr>
          <w:rFonts w:hint="eastAsia" w:asciiTheme="minorEastAsia" w:hAnsiTheme="minorEastAsia" w:eastAsiaTheme="minorEastAsia"/>
          <w:b/>
          <w:color w:val="auto"/>
          <w:sz w:val="24"/>
          <w:highlight w:val="none"/>
        </w:rPr>
        <w:t>第一部分 合同书</w:t>
      </w:r>
      <w:bookmarkEnd w:id="45"/>
    </w:p>
    <w:p w14:paraId="2CB40900">
      <w:pPr>
        <w:spacing w:line="480" w:lineRule="auto"/>
        <w:jc w:val="center"/>
        <w:rPr>
          <w:rFonts w:hint="eastAsia" w:asciiTheme="minorEastAsia" w:hAnsiTheme="minorEastAsia" w:eastAsiaTheme="minorEastAsia"/>
          <w:b/>
          <w:color w:val="auto"/>
          <w:sz w:val="24"/>
          <w:highlight w:val="none"/>
        </w:rPr>
      </w:pPr>
    </w:p>
    <w:p w14:paraId="207CB4FF">
      <w:pPr>
        <w:spacing w:line="480" w:lineRule="auto"/>
        <w:jc w:val="center"/>
        <w:rPr>
          <w:rFonts w:hint="eastAsia" w:asciiTheme="minorEastAsia" w:hAnsiTheme="minorEastAsia" w:eastAsiaTheme="minorEastAsia"/>
          <w:b/>
          <w:color w:val="auto"/>
          <w:sz w:val="24"/>
          <w:highlight w:val="none"/>
        </w:rPr>
      </w:pPr>
    </w:p>
    <w:p w14:paraId="41A08944">
      <w:pPr>
        <w:spacing w:line="480" w:lineRule="auto"/>
        <w:jc w:val="center"/>
        <w:rPr>
          <w:rFonts w:hint="eastAsia" w:asciiTheme="minorEastAsia" w:hAnsiTheme="minorEastAsia" w:eastAsiaTheme="minorEastAsia"/>
          <w:b/>
          <w:color w:val="auto"/>
          <w:sz w:val="24"/>
          <w:highlight w:val="none"/>
        </w:rPr>
      </w:pPr>
    </w:p>
    <w:p w14:paraId="629A9DC0">
      <w:pPr>
        <w:spacing w:before="120" w:line="480" w:lineRule="auto"/>
        <w:ind w:left="96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u w:val="single"/>
        </w:rPr>
        <w:t xml:space="preserve">                                    </w:t>
      </w:r>
    </w:p>
    <w:p w14:paraId="4B2AA576">
      <w:pPr>
        <w:spacing w:before="120" w:line="480" w:lineRule="auto"/>
        <w:ind w:left="96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u w:val="single"/>
        </w:rPr>
        <w:t xml:space="preserve">                                    </w:t>
      </w:r>
    </w:p>
    <w:p w14:paraId="76E1EDC0">
      <w:pPr>
        <w:spacing w:before="120" w:line="480" w:lineRule="auto"/>
        <w:ind w:left="96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甲方（采购人）：</w:t>
      </w:r>
      <w:r>
        <w:rPr>
          <w:rFonts w:hint="eastAsia" w:asciiTheme="minorEastAsia" w:hAnsiTheme="minorEastAsia" w:eastAsiaTheme="minorEastAsia"/>
          <w:color w:val="auto"/>
          <w:sz w:val="24"/>
          <w:highlight w:val="none"/>
          <w:u w:val="single"/>
        </w:rPr>
        <w:t xml:space="preserve">                              </w:t>
      </w:r>
    </w:p>
    <w:p w14:paraId="3179E9EC">
      <w:pPr>
        <w:spacing w:before="120" w:line="480" w:lineRule="auto"/>
        <w:ind w:left="96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乙方（成交供应商）：</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1E94BE44">
      <w:pPr>
        <w:spacing w:before="120" w:line="480" w:lineRule="auto"/>
        <w:ind w:firstLine="960" w:firstLineChars="400"/>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签订地：</w:t>
      </w:r>
      <w:r>
        <w:rPr>
          <w:rFonts w:hint="eastAsia" w:asciiTheme="minorEastAsia" w:hAnsiTheme="minorEastAsia" w:eastAsiaTheme="minorEastAsia"/>
          <w:color w:val="auto"/>
          <w:sz w:val="24"/>
          <w:highlight w:val="none"/>
          <w:u w:val="single"/>
        </w:rPr>
        <w:t xml:space="preserve">                                      </w:t>
      </w:r>
    </w:p>
    <w:p w14:paraId="4645CD72">
      <w:pPr>
        <w:spacing w:before="120" w:line="480" w:lineRule="auto"/>
        <w:ind w:firstLine="960" w:firstLineChars="4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签订日期：</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年</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月</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w:t>
      </w:r>
    </w:p>
    <w:p w14:paraId="1DE337E1">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DA19F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以下简称：甲方</w:t>
      </w:r>
      <w:r>
        <w:rPr>
          <w:rFonts w:hint="eastAsia"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组织的竞争性磋商方式采购活动，经磋商小组评定，</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zh-CN"/>
        </w:rPr>
        <w:t>以下简称：乙方</w:t>
      </w:r>
      <w:r>
        <w:rPr>
          <w:rFonts w:hint="eastAsia" w:asciiTheme="minorEastAsia" w:hAnsiTheme="minorEastAsia" w:eastAsiaTheme="minorEastAsia"/>
          <w:color w:val="auto"/>
          <w:sz w:val="24"/>
          <w:highlight w:val="none"/>
        </w:rPr>
        <w:t>）为本项目成交供应商，现按照采购文件确定的事项签订本合同。</w:t>
      </w:r>
    </w:p>
    <w:p w14:paraId="1DC5DA32">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CDD797D">
      <w:pPr>
        <w:spacing w:line="360" w:lineRule="auto"/>
        <w:ind w:firstLine="437"/>
        <w:outlineLvl w:val="2"/>
        <w:rPr>
          <w:rFonts w:hint="eastAsia" w:asciiTheme="minorEastAsia" w:hAnsiTheme="minorEastAsia" w:eastAsiaTheme="minorEastAsia"/>
          <w:b/>
          <w:bCs/>
          <w:color w:val="auto"/>
          <w:sz w:val="24"/>
          <w:highlight w:val="none"/>
          <w:lang w:val="zh-CN"/>
        </w:rPr>
      </w:pPr>
      <w:bookmarkStart w:id="46" w:name="_Toc3029"/>
      <w:bookmarkStart w:id="47" w:name="_Toc2232"/>
      <w:bookmarkStart w:id="48" w:name="_Toc24059"/>
      <w:r>
        <w:rPr>
          <w:rFonts w:hint="eastAsia" w:asciiTheme="minorEastAsia" w:hAnsiTheme="minorEastAsia" w:eastAsiaTheme="minorEastAsia"/>
          <w:b/>
          <w:bCs/>
          <w:color w:val="auto"/>
          <w:sz w:val="24"/>
          <w:highlight w:val="none"/>
          <w:lang w:val="zh-CN"/>
        </w:rPr>
        <w:t>1.1</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合同组成部分</w:t>
      </w:r>
      <w:bookmarkEnd w:id="46"/>
      <w:bookmarkEnd w:id="47"/>
      <w:bookmarkEnd w:id="48"/>
    </w:p>
    <w:p w14:paraId="0776C71A">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2B085E6">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1.1.1本合同及其补充合同、变更协议；</w:t>
      </w:r>
    </w:p>
    <w:p w14:paraId="5850D887">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1.1.2成交通知书；</w:t>
      </w:r>
    </w:p>
    <w:p w14:paraId="42AA7EDF">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1.1.3响应文件（含澄清或者说明文件）；</w:t>
      </w:r>
    </w:p>
    <w:p w14:paraId="757F892D">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1.1.4磋商文件（含澄清或者修改文件）；</w:t>
      </w:r>
    </w:p>
    <w:p w14:paraId="010E0091">
      <w:pPr>
        <w:spacing w:line="360" w:lineRule="auto"/>
        <w:ind w:firstLine="435"/>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1.1.5其他相关采购文件。</w:t>
      </w:r>
    </w:p>
    <w:p w14:paraId="609F943C">
      <w:pPr>
        <w:spacing w:line="360" w:lineRule="auto"/>
        <w:ind w:firstLine="437"/>
        <w:outlineLvl w:val="2"/>
        <w:rPr>
          <w:rFonts w:hint="eastAsia" w:asciiTheme="minorEastAsia" w:hAnsiTheme="minorEastAsia" w:eastAsiaTheme="minorEastAsia"/>
          <w:b/>
          <w:bCs/>
          <w:color w:val="auto"/>
          <w:sz w:val="24"/>
          <w:highlight w:val="none"/>
          <w:lang w:val="zh-CN"/>
        </w:rPr>
      </w:pPr>
      <w:bookmarkStart w:id="49" w:name="_Toc27126"/>
      <w:bookmarkStart w:id="50" w:name="_Toc21295"/>
      <w:bookmarkStart w:id="51" w:name="_Toc24300"/>
      <w:r>
        <w:rPr>
          <w:rFonts w:hint="eastAsia" w:asciiTheme="minorEastAsia" w:hAnsiTheme="minorEastAsia" w:eastAsiaTheme="minorEastAsia"/>
          <w:b/>
          <w:bCs/>
          <w:color w:val="auto"/>
          <w:sz w:val="24"/>
          <w:highlight w:val="none"/>
          <w:lang w:val="zh-CN"/>
        </w:rPr>
        <w:t>1.2</w:t>
      </w:r>
      <w:r>
        <w:rPr>
          <w:rFonts w:asciiTheme="minorEastAsia" w:hAnsiTheme="minorEastAsia" w:eastAsiaTheme="minorEastAsia"/>
          <w:b/>
          <w:bCs/>
          <w:color w:val="auto"/>
          <w:sz w:val="24"/>
          <w:highlight w:val="none"/>
          <w:lang w:val="zh-CN"/>
        </w:rPr>
        <w:t xml:space="preserve"> </w:t>
      </w:r>
      <w:bookmarkEnd w:id="49"/>
      <w:bookmarkEnd w:id="50"/>
      <w:bookmarkEnd w:id="51"/>
      <w:r>
        <w:rPr>
          <w:rFonts w:hint="eastAsia" w:asciiTheme="minorEastAsia" w:hAnsiTheme="minorEastAsia" w:eastAsiaTheme="minorEastAsia"/>
          <w:b/>
          <w:bCs/>
          <w:color w:val="auto"/>
          <w:sz w:val="24"/>
          <w:highlight w:val="none"/>
          <w:lang w:val="zh-CN"/>
        </w:rPr>
        <w:t>服务</w:t>
      </w:r>
    </w:p>
    <w:p w14:paraId="39B90F6F">
      <w:pPr>
        <w:spacing w:line="360" w:lineRule="auto"/>
        <w:ind w:firstLine="435"/>
        <w:rPr>
          <w:rFonts w:hint="eastAsia" w:ascii="宋体" w:hAnsi="宋体" w:eastAsia="宋体" w:cs="Times New Roman"/>
          <w:color w:val="auto"/>
          <w:sz w:val="24"/>
          <w:szCs w:val="24"/>
          <w:highlight w:val="none"/>
          <w:u w:val="single"/>
        </w:rPr>
      </w:pPr>
      <w:bookmarkStart w:id="52" w:name="_Toc21631"/>
      <w:bookmarkStart w:id="53" w:name="_Toc21551"/>
      <w:bookmarkStart w:id="54" w:name="_Toc23292"/>
      <w:r>
        <w:rPr>
          <w:rFonts w:hint="eastAsia" w:ascii="宋体" w:hAnsi="宋体" w:eastAsia="宋体" w:cs="宋体"/>
          <w:color w:val="auto"/>
          <w:sz w:val="24"/>
          <w:szCs w:val="24"/>
          <w:highlight w:val="none"/>
          <w:lang w:bidi="ar"/>
        </w:rPr>
        <w:t>1.2.1服务名称：</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0E1A5480">
      <w:pPr>
        <w:spacing w:line="360" w:lineRule="auto"/>
        <w:ind w:firstLine="435"/>
        <w:rPr>
          <w:rFonts w:hint="eastAsia" w:ascii="宋体" w:hAnsi="宋体" w:eastAsia="宋体" w:cs="Times New Roman"/>
          <w:color w:val="auto"/>
          <w:sz w:val="24"/>
          <w:szCs w:val="24"/>
          <w:highlight w:val="none"/>
          <w:u w:val="single"/>
        </w:rPr>
      </w:pPr>
      <w:r>
        <w:rPr>
          <w:rFonts w:hint="eastAsia" w:ascii="宋体" w:hAnsi="宋体" w:eastAsia="宋体" w:cs="宋体"/>
          <w:color w:val="auto"/>
          <w:sz w:val="24"/>
          <w:szCs w:val="24"/>
          <w:highlight w:val="none"/>
          <w:lang w:bidi="ar"/>
        </w:rPr>
        <w:t>1.2.2服务内容：</w:t>
      </w:r>
      <w:r>
        <w:rPr>
          <w:rFonts w:hint="eastAsia" w:ascii="宋体" w:hAnsi="宋体" w:eastAsia="宋体" w:cs="Times New Roman"/>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0E85FB6C">
      <w:pPr>
        <w:spacing w:line="360" w:lineRule="auto"/>
        <w:ind w:firstLine="435"/>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1.2.3服务质量：</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7543B0EC">
      <w:pPr>
        <w:spacing w:line="360" w:lineRule="auto"/>
        <w:ind w:firstLine="437"/>
        <w:outlineLvl w:val="2"/>
        <w:rPr>
          <w:rFonts w:hint="eastAsia" w:asciiTheme="minorEastAsia" w:hAnsiTheme="minorEastAsia" w:eastAsiaTheme="minorEastAsia"/>
          <w:b/>
          <w:bCs/>
          <w:color w:val="auto"/>
          <w:sz w:val="24"/>
          <w:highlight w:val="none"/>
          <w:lang w:val="zh-CN"/>
        </w:rPr>
      </w:pPr>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3 </w:t>
      </w:r>
      <w:r>
        <w:rPr>
          <w:rFonts w:hint="eastAsia" w:asciiTheme="minorEastAsia" w:hAnsiTheme="minorEastAsia" w:eastAsiaTheme="minorEastAsia"/>
          <w:b/>
          <w:bCs/>
          <w:color w:val="auto"/>
          <w:sz w:val="24"/>
          <w:highlight w:val="none"/>
          <w:lang w:val="zh-CN"/>
        </w:rPr>
        <w:t>价款</w:t>
      </w:r>
      <w:bookmarkEnd w:id="52"/>
      <w:bookmarkEnd w:id="53"/>
      <w:bookmarkEnd w:id="54"/>
    </w:p>
    <w:p w14:paraId="35C4E0A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本合同总价为</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元</w:t>
      </w:r>
      <w:r>
        <w:rPr>
          <w:rFonts w:hint="eastAsia" w:asciiTheme="minorEastAsia" w:hAnsiTheme="minorEastAsia" w:eastAsiaTheme="minorEastAsia"/>
          <w:color w:val="auto"/>
          <w:sz w:val="24"/>
          <w:highlight w:val="none"/>
        </w:rPr>
        <w:t>（大写：人民币</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元）</w:t>
      </w:r>
      <w:r>
        <w:rPr>
          <w:rFonts w:asciiTheme="minorEastAsia" w:hAnsiTheme="minorEastAsia" w:eastAsiaTheme="minorEastAsia"/>
          <w:color w:val="auto"/>
          <w:sz w:val="24"/>
          <w:highlight w:val="none"/>
        </w:rPr>
        <w:t>。</w:t>
      </w:r>
    </w:p>
    <w:p w14:paraId="14C41020">
      <w:pPr>
        <w:spacing w:line="360" w:lineRule="auto"/>
        <w:ind w:firstLine="435"/>
        <w:rPr>
          <w:rFonts w:hint="eastAsia" w:asciiTheme="minorEastAsia" w:hAnsiTheme="minorEastAsia" w:eastAsiaTheme="minorEastAsia"/>
          <w:color w:val="auto"/>
          <w:sz w:val="24"/>
          <w:highlight w:val="none"/>
          <w:u w:val="single"/>
        </w:rPr>
      </w:pPr>
      <w:r>
        <w:rPr>
          <w:rFonts w:asciiTheme="minorEastAsia" w:hAnsiTheme="minorEastAsia" w:eastAsiaTheme="minorEastAsia"/>
          <w:color w:val="auto"/>
          <w:sz w:val="24"/>
          <w:highlight w:val="none"/>
        </w:rPr>
        <w:t>分项价格：</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3969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3C6BB7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zh-CN"/>
              </w:rPr>
            </w:pPr>
            <w:r>
              <w:rPr>
                <w:rFonts w:hint="default" w:asciiTheme="minorEastAsia" w:hAnsiTheme="minorEastAsia" w:eastAsiaTheme="minorEastAsia"/>
                <w:color w:val="auto"/>
                <w:sz w:val="24"/>
                <w:szCs w:val="20"/>
                <w:highlight w:val="none"/>
                <w:lang w:val="zh-CN"/>
              </w:rPr>
              <w:t>序号</w:t>
            </w:r>
          </w:p>
        </w:tc>
        <w:tc>
          <w:tcPr>
            <w:tcW w:w="2532" w:type="pct"/>
            <w:vAlign w:val="center"/>
          </w:tcPr>
          <w:p w14:paraId="23DDF0D3">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分项名称</w:t>
            </w:r>
          </w:p>
        </w:tc>
        <w:tc>
          <w:tcPr>
            <w:tcW w:w="1899" w:type="pct"/>
            <w:gridSpan w:val="2"/>
            <w:vAlign w:val="center"/>
          </w:tcPr>
          <w:p w14:paraId="44D806A7">
            <w:pPr>
              <w:pStyle w:val="57"/>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4"/>
                <w:highlight w:val="none"/>
              </w:rPr>
            </w:pPr>
            <w:r>
              <w:rPr>
                <w:rFonts w:hint="default" w:asciiTheme="minorEastAsia" w:hAnsiTheme="minorEastAsia" w:eastAsiaTheme="minorEastAsia"/>
                <w:color w:val="auto"/>
                <w:sz w:val="24"/>
                <w:szCs w:val="24"/>
                <w:highlight w:val="none"/>
              </w:rPr>
              <w:t>分项价格</w:t>
            </w:r>
          </w:p>
        </w:tc>
      </w:tr>
      <w:tr w14:paraId="75FC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E85163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zh-CN"/>
              </w:rPr>
            </w:pPr>
            <w:r>
              <w:rPr>
                <w:rFonts w:hint="eastAsia" w:asciiTheme="minorEastAsia" w:hAnsiTheme="minorEastAsia" w:eastAsiaTheme="minorEastAsia"/>
                <w:color w:val="auto"/>
                <w:sz w:val="24"/>
                <w:szCs w:val="20"/>
                <w:highlight w:val="none"/>
                <w:lang w:val="zh-CN"/>
              </w:rPr>
              <w:t>1</w:t>
            </w:r>
          </w:p>
        </w:tc>
        <w:tc>
          <w:tcPr>
            <w:tcW w:w="2532" w:type="pct"/>
            <w:vAlign w:val="center"/>
          </w:tcPr>
          <w:p w14:paraId="11C1E235">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c>
          <w:tcPr>
            <w:tcW w:w="1899" w:type="pct"/>
            <w:gridSpan w:val="2"/>
            <w:vAlign w:val="center"/>
          </w:tcPr>
          <w:p w14:paraId="51B15900">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r>
      <w:tr w14:paraId="356E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380DC45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zh-CN"/>
              </w:rPr>
            </w:pPr>
            <w:r>
              <w:rPr>
                <w:rFonts w:hint="eastAsia" w:asciiTheme="minorEastAsia" w:hAnsiTheme="minorEastAsia" w:eastAsiaTheme="minorEastAsia"/>
                <w:color w:val="auto"/>
                <w:sz w:val="24"/>
                <w:szCs w:val="20"/>
                <w:highlight w:val="none"/>
                <w:lang w:val="zh-CN"/>
              </w:rPr>
              <w:t>2</w:t>
            </w:r>
          </w:p>
        </w:tc>
        <w:tc>
          <w:tcPr>
            <w:tcW w:w="2532" w:type="pct"/>
            <w:vAlign w:val="center"/>
          </w:tcPr>
          <w:p w14:paraId="52C9747A">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c>
          <w:tcPr>
            <w:tcW w:w="1899" w:type="pct"/>
            <w:gridSpan w:val="2"/>
            <w:vAlign w:val="center"/>
          </w:tcPr>
          <w:p w14:paraId="09A48510">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r>
      <w:tr w14:paraId="65F2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2A86E15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zh-CN"/>
              </w:rPr>
            </w:pPr>
            <w:r>
              <w:rPr>
                <w:rFonts w:hint="default" w:asciiTheme="minorEastAsia" w:hAnsiTheme="minorEastAsia" w:eastAsiaTheme="minorEastAsia"/>
                <w:color w:val="auto"/>
                <w:sz w:val="24"/>
                <w:szCs w:val="20"/>
                <w:highlight w:val="none"/>
                <w:lang w:val="zh-CN"/>
              </w:rPr>
              <w:t>3</w:t>
            </w:r>
          </w:p>
        </w:tc>
        <w:tc>
          <w:tcPr>
            <w:tcW w:w="2532" w:type="pct"/>
            <w:vAlign w:val="center"/>
          </w:tcPr>
          <w:p w14:paraId="180D7982">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c>
          <w:tcPr>
            <w:tcW w:w="1899" w:type="pct"/>
            <w:gridSpan w:val="2"/>
            <w:vAlign w:val="center"/>
          </w:tcPr>
          <w:p w14:paraId="5C9BE7D8">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r>
      <w:tr w14:paraId="5B61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56B85DF">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lang w:val="zh-CN"/>
              </w:rPr>
            </w:pPr>
            <w:r>
              <w:rPr>
                <w:rFonts w:hint="eastAsia" w:asciiTheme="minorEastAsia" w:hAnsiTheme="minorEastAsia" w:eastAsiaTheme="minorEastAsia"/>
                <w:color w:val="auto"/>
                <w:sz w:val="24"/>
                <w:szCs w:val="20"/>
                <w:highlight w:val="none"/>
                <w:lang w:val="zh-CN"/>
              </w:rPr>
              <w:t>……</w:t>
            </w:r>
          </w:p>
        </w:tc>
        <w:tc>
          <w:tcPr>
            <w:tcW w:w="2532" w:type="pct"/>
            <w:vAlign w:val="center"/>
          </w:tcPr>
          <w:p w14:paraId="213FDAAE">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c>
          <w:tcPr>
            <w:tcW w:w="1899" w:type="pct"/>
            <w:gridSpan w:val="2"/>
            <w:vAlign w:val="center"/>
          </w:tcPr>
          <w:p w14:paraId="2EE76C40">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r>
      <w:tr w14:paraId="46C8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23789E63">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总价</w:t>
            </w:r>
          </w:p>
        </w:tc>
        <w:tc>
          <w:tcPr>
            <w:tcW w:w="1899" w:type="pct"/>
            <w:gridSpan w:val="2"/>
            <w:vAlign w:val="center"/>
          </w:tcPr>
          <w:p w14:paraId="2D9A0DDD">
            <w:pPr>
              <w:pStyle w:val="57"/>
              <w:keepNext w:val="0"/>
              <w:keepLines w:val="0"/>
              <w:suppressLineNumbers w:val="0"/>
              <w:spacing w:before="0" w:beforeAutospacing="0" w:after="0" w:afterAutospacing="0"/>
              <w:ind w:left="0" w:right="0" w:firstLine="200"/>
              <w:jc w:val="center"/>
              <w:rPr>
                <w:rFonts w:hint="eastAsia" w:asciiTheme="minorEastAsia" w:hAnsiTheme="minorEastAsia" w:eastAsiaTheme="minorEastAsia"/>
                <w:color w:val="auto"/>
                <w:sz w:val="24"/>
                <w:szCs w:val="24"/>
                <w:highlight w:val="none"/>
              </w:rPr>
            </w:pPr>
          </w:p>
        </w:tc>
      </w:tr>
    </w:tbl>
    <w:p w14:paraId="6A145AB0">
      <w:pPr>
        <w:spacing w:line="360" w:lineRule="auto"/>
        <w:ind w:firstLine="437"/>
        <w:outlineLvl w:val="2"/>
        <w:rPr>
          <w:rFonts w:hint="eastAsia" w:asciiTheme="minorEastAsia" w:hAnsiTheme="minorEastAsia" w:eastAsiaTheme="minorEastAsia"/>
          <w:b/>
          <w:bCs/>
          <w:color w:val="auto"/>
          <w:sz w:val="24"/>
          <w:highlight w:val="none"/>
          <w:lang w:val="zh-CN"/>
        </w:rPr>
      </w:pPr>
      <w:bookmarkStart w:id="55" w:name="_Toc1814"/>
      <w:bookmarkStart w:id="56" w:name="_Toc22618"/>
      <w:bookmarkStart w:id="57" w:name="_Toc10340"/>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4 付款方式和发票开具方式</w:t>
      </w:r>
      <w:bookmarkEnd w:id="55"/>
      <w:bookmarkEnd w:id="56"/>
      <w:bookmarkEnd w:id="57"/>
    </w:p>
    <w:p w14:paraId="468803F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w:t>
      </w:r>
      <w:r>
        <w:rPr>
          <w:rFonts w:asciiTheme="minorEastAsia" w:hAnsiTheme="minorEastAsia" w:eastAsiaTheme="minorEastAsia"/>
          <w:color w:val="auto"/>
          <w:sz w:val="24"/>
          <w:highlight w:val="none"/>
        </w:rPr>
        <w:t>付款方式：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2178CF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1.4.2发票开具方式：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4F25EBF">
      <w:pPr>
        <w:spacing w:line="360" w:lineRule="auto"/>
        <w:ind w:firstLine="437"/>
        <w:outlineLvl w:val="2"/>
        <w:rPr>
          <w:rFonts w:hint="eastAsia" w:asciiTheme="minorEastAsia" w:hAnsiTheme="minorEastAsia" w:eastAsiaTheme="minorEastAsia"/>
          <w:b/>
          <w:bCs/>
          <w:color w:val="auto"/>
          <w:sz w:val="24"/>
          <w:highlight w:val="none"/>
          <w:lang w:val="zh-CN"/>
        </w:rPr>
      </w:pPr>
      <w:bookmarkStart w:id="58" w:name="_Toc32071"/>
      <w:bookmarkStart w:id="59" w:name="_Toc19304"/>
      <w:bookmarkStart w:id="60" w:name="_Toc2846"/>
      <w:r>
        <w:rPr>
          <w:rFonts w:hint="eastAsia" w:asciiTheme="minorEastAsia" w:hAnsiTheme="minorEastAsia" w:eastAsiaTheme="minorEastAsia"/>
          <w:b/>
          <w:bCs/>
          <w:color w:val="auto"/>
          <w:sz w:val="24"/>
          <w:highlight w:val="none"/>
          <w:lang w:val="zh-CN"/>
        </w:rPr>
        <w:t>1.</w:t>
      </w:r>
      <w:r>
        <w:rPr>
          <w:rFonts w:asciiTheme="minorEastAsia" w:hAnsiTheme="minorEastAsia" w:eastAsiaTheme="minorEastAsia"/>
          <w:b/>
          <w:bCs/>
          <w:color w:val="auto"/>
          <w:sz w:val="24"/>
          <w:highlight w:val="none"/>
          <w:lang w:val="zh-CN"/>
        </w:rPr>
        <w:t xml:space="preserve">5 </w:t>
      </w:r>
      <w:bookmarkEnd w:id="58"/>
      <w:bookmarkEnd w:id="59"/>
      <w:bookmarkEnd w:id="60"/>
      <w:r>
        <w:rPr>
          <w:rFonts w:hint="eastAsia" w:asciiTheme="minorEastAsia" w:hAnsiTheme="minorEastAsia" w:eastAsiaTheme="minorEastAsia"/>
          <w:b/>
          <w:bCs/>
          <w:color w:val="auto"/>
          <w:sz w:val="24"/>
          <w:highlight w:val="none"/>
          <w:lang w:val="zh-CN"/>
        </w:rPr>
        <w:t>服务期限、地点和方式</w:t>
      </w:r>
    </w:p>
    <w:p w14:paraId="3FEB16B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1.5.1服务期限：</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55A8A60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1.5.2服务地点：</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78EB6D7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1.5.3服务方式：</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14:paraId="0BAC77DC">
      <w:pPr>
        <w:spacing w:line="360" w:lineRule="auto"/>
        <w:ind w:firstLine="437"/>
        <w:outlineLvl w:val="2"/>
        <w:rPr>
          <w:rFonts w:hint="eastAsia" w:asciiTheme="minorEastAsia" w:hAnsiTheme="minorEastAsia" w:eastAsiaTheme="minorEastAsia"/>
          <w:b/>
          <w:bCs/>
          <w:color w:val="auto"/>
          <w:sz w:val="24"/>
          <w:highlight w:val="none"/>
          <w:lang w:val="zh-CN"/>
        </w:rPr>
      </w:pPr>
      <w:bookmarkStart w:id="61" w:name="_Toc27250"/>
      <w:bookmarkStart w:id="62" w:name="_Toc19554"/>
      <w:bookmarkStart w:id="63" w:name="_Toc21423"/>
      <w:r>
        <w:rPr>
          <w:rFonts w:hint="eastAsia" w:asciiTheme="minorEastAsia" w:hAnsiTheme="minorEastAsia" w:eastAsiaTheme="minorEastAsia"/>
          <w:b/>
          <w:bCs/>
          <w:color w:val="auto"/>
          <w:sz w:val="24"/>
          <w:highlight w:val="none"/>
          <w:lang w:val="zh-CN"/>
        </w:rPr>
        <w:t>1.6 违约责任</w:t>
      </w:r>
      <w:bookmarkEnd w:id="61"/>
      <w:bookmarkEnd w:id="62"/>
      <w:bookmarkEnd w:id="63"/>
    </w:p>
    <w:p w14:paraId="6FD8077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olor w:val="auto"/>
          <w:sz w:val="24"/>
          <w:highlight w:val="none"/>
          <w:u w:val="single"/>
        </w:rPr>
        <w:t xml:space="preserve">  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10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；迟延履行的违约金计算数额达到前述最高限额之日起，甲方有权在要求乙方支付违约金的同时，书面通知乙方解除本合同；</w:t>
      </w:r>
    </w:p>
    <w:p w14:paraId="198F88D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1.6.2除不可抗力外，如果甲方没有按照本合同约定的付款方式付款，那么乙方可要求甲方支付违约金，违约金按每迟延付款一日的应付而未付款</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u w:val="single"/>
        </w:rPr>
        <w:t xml:space="preserve"> 0.1  </w:t>
      </w:r>
      <w:r>
        <w:rPr>
          <w:rFonts w:asciiTheme="minorEastAsia" w:hAnsiTheme="minorEastAsia" w:eastAsiaTheme="minorEastAsia"/>
          <w:color w:val="auto"/>
          <w:sz w:val="24"/>
          <w:highlight w:val="none"/>
        </w:rPr>
        <w:t>%计算</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最高限额为</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合同总价的</w:t>
      </w:r>
      <w:r>
        <w:rPr>
          <w:rFonts w:hint="eastAsia" w:asciiTheme="minorEastAsia" w:hAnsiTheme="minorEastAsia" w:eastAsiaTheme="minorEastAsia"/>
          <w:color w:val="auto"/>
          <w:sz w:val="24"/>
          <w:highlight w:val="none"/>
          <w:u w:val="single"/>
        </w:rPr>
        <w:t xml:space="preserve"> 1  </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；迟延付款的违约金计算数额达到前述最高限额之日起，乙方有权在要求甲方支付违约金的同时，书面通知甲方解除本合同；</w:t>
      </w:r>
    </w:p>
    <w:p w14:paraId="6406A3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ED562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92F4C9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7C2BD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1D7DB0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cs="Times New Roman" w:asciiTheme="minorEastAsia" w:hAnsiTheme="minorEastAsia" w:eastAsiaTheme="minorEastAsia"/>
          <w:color w:val="auto"/>
          <w:sz w:val="24"/>
          <w:szCs w:val="24"/>
          <w:highlight w:val="none"/>
        </w:rPr>
        <w:t>。</w:t>
      </w:r>
    </w:p>
    <w:p w14:paraId="3A21B247">
      <w:pPr>
        <w:spacing w:line="360" w:lineRule="auto"/>
        <w:ind w:firstLine="437"/>
        <w:outlineLvl w:val="2"/>
        <w:rPr>
          <w:rFonts w:hint="eastAsia" w:asciiTheme="minorEastAsia" w:hAnsiTheme="minorEastAsia" w:eastAsiaTheme="minorEastAsia"/>
          <w:b/>
          <w:bCs/>
          <w:color w:val="auto"/>
          <w:sz w:val="24"/>
          <w:highlight w:val="none"/>
          <w:lang w:val="zh-CN"/>
        </w:rPr>
      </w:pPr>
      <w:bookmarkStart w:id="64" w:name="_Toc15583"/>
      <w:bookmarkStart w:id="65" w:name="_Toc16021"/>
      <w:bookmarkStart w:id="66" w:name="_Toc28375"/>
      <w:r>
        <w:rPr>
          <w:rFonts w:hint="eastAsia" w:asciiTheme="minorEastAsia" w:hAnsiTheme="minorEastAsia" w:eastAsiaTheme="minorEastAsia"/>
          <w:b/>
          <w:bCs/>
          <w:color w:val="auto"/>
          <w:sz w:val="24"/>
          <w:highlight w:val="none"/>
          <w:lang w:val="zh-CN"/>
        </w:rPr>
        <w:t>1.7</w:t>
      </w:r>
      <w:r>
        <w:rPr>
          <w:rFonts w:asciiTheme="minorEastAsia" w:hAnsiTheme="minorEastAsia" w:eastAsiaTheme="minorEastAsia"/>
          <w:b/>
          <w:bCs/>
          <w:color w:val="auto"/>
          <w:sz w:val="24"/>
          <w:highlight w:val="none"/>
          <w:lang w:val="zh-CN"/>
        </w:rPr>
        <w:t xml:space="preserve"> </w:t>
      </w:r>
      <w:r>
        <w:rPr>
          <w:rFonts w:hint="eastAsia" w:asciiTheme="minorEastAsia" w:hAnsiTheme="minorEastAsia" w:eastAsiaTheme="minorEastAsia"/>
          <w:b/>
          <w:bCs/>
          <w:color w:val="auto"/>
          <w:sz w:val="24"/>
          <w:highlight w:val="none"/>
          <w:lang w:val="zh-CN"/>
        </w:rPr>
        <w:t>合同</w:t>
      </w:r>
      <w:r>
        <w:rPr>
          <w:rFonts w:asciiTheme="minorEastAsia" w:hAnsiTheme="minorEastAsia" w:eastAsiaTheme="minorEastAsia"/>
          <w:b/>
          <w:bCs/>
          <w:color w:val="auto"/>
          <w:sz w:val="24"/>
          <w:highlight w:val="none"/>
          <w:lang w:val="zh-CN"/>
        </w:rPr>
        <w:t>争议的解决</w:t>
      </w:r>
      <w:bookmarkEnd w:id="64"/>
      <w:bookmarkEnd w:id="65"/>
      <w:bookmarkEnd w:id="66"/>
    </w:p>
    <w:p w14:paraId="2D356F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本合</w:t>
      </w:r>
      <w:r>
        <w:rPr>
          <w:rFonts w:asciiTheme="minorEastAsia" w:hAnsiTheme="minorEastAsia" w:eastAsiaTheme="minorEastAsia"/>
          <w:color w:val="auto"/>
          <w:sz w:val="24"/>
          <w:highlight w:val="none"/>
        </w:rPr>
        <w:t>同履行过程中发生的任何争议，双方当事人均可</w:t>
      </w:r>
      <w:r>
        <w:rPr>
          <w:rFonts w:hint="eastAsia" w:asciiTheme="minorEastAsia" w:hAnsiTheme="minorEastAsia" w:eastAsiaTheme="minorEastAsia"/>
          <w:color w:val="auto"/>
          <w:sz w:val="24"/>
          <w:highlight w:val="none"/>
        </w:rPr>
        <w:t>通过和解或者调解解决；不愿和解、调解或者和解、调解不成的，可以选择下列第</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种方式解决：</w:t>
      </w:r>
    </w:p>
    <w:p w14:paraId="53FBBF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1.7.1将争议提交</w:t>
      </w:r>
      <w:r>
        <w:rPr>
          <w:rFonts w:hint="eastAsia" w:asciiTheme="minorEastAsia" w:hAnsiTheme="minorEastAsia" w:eastAsiaTheme="minorEastAsia"/>
          <w:color w:val="auto"/>
          <w:sz w:val="24"/>
          <w:highlight w:val="none"/>
          <w:u w:val="single"/>
        </w:rPr>
        <w:t xml:space="preserve">  滁州 </w:t>
      </w:r>
      <w:r>
        <w:rPr>
          <w:rFonts w:hint="eastAsia" w:asciiTheme="minorEastAsia" w:hAnsiTheme="minorEastAsia" w:eastAsiaTheme="minorEastAsia"/>
          <w:color w:val="auto"/>
          <w:sz w:val="24"/>
          <w:highlight w:val="none"/>
        </w:rPr>
        <w:t>仲裁委员会依申请仲裁时其现行有效的仲裁规则裁决；</w:t>
      </w:r>
    </w:p>
    <w:p w14:paraId="573D5F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1.7.2向</w:t>
      </w:r>
      <w:r>
        <w:rPr>
          <w:rFonts w:hint="eastAsia" w:asciiTheme="minorEastAsia" w:hAnsiTheme="minorEastAsia" w:eastAsiaTheme="minorEastAsia"/>
          <w:color w:val="auto"/>
          <w:sz w:val="24"/>
          <w:highlight w:val="none"/>
          <w:u w:val="single"/>
        </w:rPr>
        <w:t xml:space="preserve">  甲方（采购人）所在地</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人民法院起诉。</w:t>
      </w:r>
    </w:p>
    <w:p w14:paraId="37E90AB3">
      <w:pPr>
        <w:spacing w:line="360" w:lineRule="auto"/>
        <w:ind w:firstLine="437"/>
        <w:outlineLvl w:val="2"/>
        <w:rPr>
          <w:rFonts w:hint="eastAsia" w:asciiTheme="minorEastAsia" w:hAnsiTheme="minorEastAsia" w:eastAsiaTheme="minorEastAsia"/>
          <w:b/>
          <w:bCs/>
          <w:color w:val="auto"/>
          <w:sz w:val="24"/>
          <w:highlight w:val="none"/>
          <w:lang w:val="zh-CN"/>
        </w:rPr>
      </w:pPr>
      <w:bookmarkStart w:id="67" w:name="_Toc11173"/>
      <w:bookmarkStart w:id="68" w:name="_Toc7245"/>
      <w:bookmarkStart w:id="69" w:name="_Toc15322"/>
      <w:r>
        <w:rPr>
          <w:rFonts w:hint="eastAsia" w:asciiTheme="minorEastAsia" w:hAnsiTheme="minorEastAsia" w:eastAsiaTheme="minorEastAsia"/>
          <w:b/>
          <w:bCs/>
          <w:color w:val="auto"/>
          <w:sz w:val="24"/>
          <w:highlight w:val="none"/>
          <w:lang w:val="zh-CN"/>
        </w:rPr>
        <w:t>1.8</w:t>
      </w:r>
      <w:r>
        <w:rPr>
          <w:rFonts w:asciiTheme="minorEastAsia" w:hAnsiTheme="minorEastAsia" w:eastAsiaTheme="minorEastAsia"/>
          <w:b/>
          <w:bCs/>
          <w:color w:val="auto"/>
          <w:sz w:val="24"/>
          <w:highlight w:val="none"/>
          <w:lang w:val="zh-CN"/>
        </w:rPr>
        <w:t xml:space="preserve"> 合同生效</w:t>
      </w:r>
      <w:bookmarkEnd w:id="67"/>
      <w:bookmarkEnd w:id="68"/>
      <w:bookmarkEnd w:id="69"/>
    </w:p>
    <w:p w14:paraId="202D731B">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本合同自</w:t>
      </w:r>
      <w:r>
        <w:rPr>
          <w:rFonts w:hint="eastAsia" w:asciiTheme="minorEastAsia" w:hAnsiTheme="minorEastAsia" w:eastAsiaTheme="minorEastAsia"/>
          <w:color w:val="auto"/>
          <w:sz w:val="24"/>
          <w:highlight w:val="none"/>
        </w:rPr>
        <w:t>双方当事人盖章时</w:t>
      </w:r>
      <w:r>
        <w:rPr>
          <w:rFonts w:asciiTheme="minorEastAsia" w:hAnsiTheme="minorEastAsia" w:eastAsiaTheme="minorEastAsia"/>
          <w:color w:val="auto"/>
          <w:sz w:val="24"/>
          <w:highlight w:val="none"/>
        </w:rPr>
        <w:t>生效。</w:t>
      </w:r>
    </w:p>
    <w:p w14:paraId="3AAAEDDD">
      <w:pPr>
        <w:autoSpaceDE w:val="0"/>
        <w:autoSpaceDN w:val="0"/>
        <w:adjustRightInd w:val="0"/>
        <w:spacing w:line="560" w:lineRule="exact"/>
        <w:rPr>
          <w:rFonts w:hint="eastAsia" w:asciiTheme="minorEastAsia" w:hAnsiTheme="minorEastAsia" w:eastAsiaTheme="minorEastAsia"/>
          <w:color w:val="auto"/>
          <w:sz w:val="24"/>
          <w:highlight w:val="none"/>
          <w:lang w:val="zh-CN"/>
        </w:rPr>
      </w:pPr>
    </w:p>
    <w:p w14:paraId="44074569">
      <w:pPr>
        <w:autoSpaceDE w:val="0"/>
        <w:autoSpaceDN w:val="0"/>
        <w:adjustRightInd w:val="0"/>
        <w:spacing w:line="560" w:lineRule="exact"/>
        <w:rPr>
          <w:rFonts w:hint="eastAsia" w:asciiTheme="minorEastAsia" w:hAnsiTheme="minorEastAsia" w:eastAsiaTheme="minorEastAsia"/>
          <w:color w:val="auto"/>
          <w:sz w:val="24"/>
          <w:highlight w:val="none"/>
          <w:lang w:val="zh-CN"/>
        </w:rPr>
      </w:pPr>
    </w:p>
    <w:p w14:paraId="6135457C">
      <w:pPr>
        <w:autoSpaceDE w:val="0"/>
        <w:autoSpaceDN w:val="0"/>
        <w:adjustRightInd w:val="0"/>
        <w:spacing w:line="560" w:lineRule="exact"/>
        <w:rPr>
          <w:rFonts w:hint="eastAsia" w:cs="Times New Roman" w:asciiTheme="minorEastAsia" w:hAnsiTheme="minorEastAsia" w:eastAsiaTheme="minorEastAsia"/>
          <w:bCs/>
          <w:color w:val="auto"/>
          <w:sz w:val="24"/>
          <w:szCs w:val="24"/>
          <w:highlight w:val="none"/>
          <w:lang w:val="zh-CN"/>
        </w:rPr>
      </w:pPr>
      <w:bookmarkStart w:id="70" w:name="_Toc331685783"/>
      <w:r>
        <w:rPr>
          <w:rFonts w:hint="eastAsia" w:cs="Times New Roman" w:asciiTheme="minorEastAsia" w:hAnsiTheme="minorEastAsia" w:eastAsiaTheme="minorEastAsia"/>
          <w:bCs/>
          <w:color w:val="auto"/>
          <w:sz w:val="24"/>
          <w:szCs w:val="24"/>
          <w:highlight w:val="none"/>
          <w:lang w:val="zh-CN"/>
        </w:rPr>
        <w:t xml:space="preserve">甲 </w:t>
      </w:r>
      <w:r>
        <w:rPr>
          <w:rFonts w:cs="Times New Roman" w:asciiTheme="minorEastAsia" w:hAnsiTheme="minorEastAsia" w:eastAsiaTheme="minorEastAsia"/>
          <w:bCs/>
          <w:color w:val="auto"/>
          <w:sz w:val="24"/>
          <w:szCs w:val="24"/>
          <w:highlight w:val="none"/>
          <w:lang w:val="zh-CN"/>
        </w:rPr>
        <w:t xml:space="preserve">   </w:t>
      </w:r>
      <w:r>
        <w:rPr>
          <w:rFonts w:hint="eastAsia" w:cs="Times New Roman" w:asciiTheme="minorEastAsia" w:hAnsiTheme="minorEastAsia" w:eastAsiaTheme="minorEastAsia"/>
          <w:bCs/>
          <w:color w:val="auto"/>
          <w:sz w:val="24"/>
          <w:szCs w:val="24"/>
          <w:highlight w:val="none"/>
          <w:lang w:val="zh-CN"/>
        </w:rPr>
        <w:t>方：</w:t>
      </w:r>
      <w:r>
        <w:rPr>
          <w:rFonts w:hint="eastAsia" w:cs="Times New Roman" w:asciiTheme="minorEastAsia" w:hAnsiTheme="minorEastAsia" w:eastAsiaTheme="minorEastAsia"/>
          <w:bCs/>
          <w:color w:val="auto"/>
          <w:sz w:val="24"/>
          <w:szCs w:val="24"/>
          <w:highlight w:val="none"/>
          <w:u w:val="single"/>
          <w:lang w:val="zh-CN"/>
        </w:rPr>
        <w:t xml:space="preserve">    （单位盖章）     </w:t>
      </w:r>
      <w:r>
        <w:rPr>
          <w:rFonts w:hint="eastAsia" w:cs="Times New Roman" w:asciiTheme="minorEastAsia" w:hAnsiTheme="minorEastAsia" w:eastAsiaTheme="minorEastAsia"/>
          <w:bCs/>
          <w:color w:val="auto"/>
          <w:sz w:val="24"/>
          <w:szCs w:val="24"/>
          <w:highlight w:val="none"/>
          <w:lang w:val="zh-CN"/>
        </w:rPr>
        <w:t xml:space="preserve">          乙方：</w:t>
      </w:r>
      <w:r>
        <w:rPr>
          <w:rFonts w:hint="eastAsia" w:cs="Times New Roman" w:asciiTheme="minorEastAsia" w:hAnsiTheme="minorEastAsia" w:eastAsiaTheme="minorEastAsia"/>
          <w:bCs/>
          <w:color w:val="auto"/>
          <w:sz w:val="24"/>
          <w:szCs w:val="24"/>
          <w:highlight w:val="none"/>
          <w:u w:val="single"/>
          <w:lang w:val="zh-CN"/>
        </w:rPr>
        <w:t xml:space="preserve">    （单位盖章）     </w:t>
      </w:r>
    </w:p>
    <w:p w14:paraId="24FAAC66">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 xml:space="preserve">法定代表人                             </w:t>
      </w:r>
      <w:r>
        <w:rPr>
          <w:rFonts w:cs="Times New Roman" w:asciiTheme="minorEastAsia" w:hAnsiTheme="minorEastAsia" w:eastAsiaTheme="minorEastAsia"/>
          <w:color w:val="auto"/>
          <w:sz w:val="24"/>
          <w:szCs w:val="24"/>
          <w:highlight w:val="none"/>
          <w:lang w:val="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04086E14">
      <w:pPr>
        <w:autoSpaceDE w:val="0"/>
        <w:autoSpaceDN w:val="0"/>
        <w:adjustRightInd w:val="0"/>
        <w:spacing w:line="560" w:lineRule="exact"/>
        <w:rPr>
          <w:rFonts w:hint="eastAsia"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                      或授权代表（签字）：</w:t>
      </w:r>
    </w:p>
    <w:p w14:paraId="6C3567E1">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               时间：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u w:val="single"/>
        </w:rPr>
        <w:t xml:space="preserve"> </w:t>
      </w:r>
      <w:r>
        <w:rPr>
          <w:rFonts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u w:val="single"/>
        </w:rPr>
        <w:t xml:space="preserve">  </w:t>
      </w:r>
      <w:r>
        <w:rPr>
          <w:rFonts w:hint="eastAsia" w:cs="Times New Roman" w:asciiTheme="minorEastAsia" w:hAnsiTheme="minorEastAsia" w:eastAsiaTheme="minorEastAsia"/>
          <w:bCs/>
          <w:color w:val="auto"/>
          <w:sz w:val="24"/>
          <w:szCs w:val="24"/>
          <w:highlight w:val="none"/>
        </w:rPr>
        <w:t>日</w:t>
      </w:r>
    </w:p>
    <w:p w14:paraId="3E5D795D">
      <w:pPr>
        <w:widowControl/>
        <w:spacing w:line="560" w:lineRule="exact"/>
        <w:jc w:val="left"/>
        <w:rPr>
          <w:rFonts w:hint="eastAsia" w:cs="Times New Roman" w:asciiTheme="minorEastAsia" w:hAnsiTheme="minorEastAsia" w:eastAsiaTheme="minorEastAsia"/>
          <w:bCs/>
          <w:color w:val="auto"/>
          <w:sz w:val="24"/>
          <w:szCs w:val="24"/>
          <w:highlight w:val="none"/>
        </w:rPr>
      </w:pPr>
      <w:r>
        <w:rPr>
          <w:rFonts w:hint="eastAsia" w:cs="Times New Roman" w:asciiTheme="minorEastAsia" w:hAnsiTheme="minorEastAsia" w:eastAsiaTheme="minorEastAsia"/>
          <w:bCs/>
          <w:color w:val="auto"/>
          <w:sz w:val="24"/>
          <w:szCs w:val="24"/>
          <w:highlight w:val="none"/>
        </w:rPr>
        <w:t xml:space="preserve">                                        乙方账户信息</w:t>
      </w:r>
    </w:p>
    <w:p w14:paraId="789D3E80">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户名：</w:t>
      </w:r>
      <w:r>
        <w:rPr>
          <w:rFonts w:hint="eastAsia" w:cs="Times New Roman" w:asciiTheme="minorEastAsia" w:hAnsiTheme="minorEastAsia" w:eastAsiaTheme="minorEastAsia"/>
          <w:bCs/>
          <w:color w:val="auto"/>
          <w:sz w:val="24"/>
          <w:szCs w:val="24"/>
          <w:highlight w:val="none"/>
          <w:u w:val="single"/>
        </w:rPr>
        <w:t xml:space="preserve">                    </w:t>
      </w:r>
    </w:p>
    <w:p w14:paraId="69DB43DE">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账号：</w:t>
      </w:r>
      <w:r>
        <w:rPr>
          <w:rFonts w:hint="eastAsia" w:cs="Times New Roman" w:asciiTheme="minorEastAsia" w:hAnsiTheme="minorEastAsia" w:eastAsiaTheme="minorEastAsia"/>
          <w:bCs/>
          <w:color w:val="auto"/>
          <w:sz w:val="24"/>
          <w:szCs w:val="24"/>
          <w:highlight w:val="none"/>
          <w:u w:val="single"/>
        </w:rPr>
        <w:t xml:space="preserve">                    </w:t>
      </w:r>
    </w:p>
    <w:p w14:paraId="7A8F8BC6">
      <w:pPr>
        <w:widowControl/>
        <w:spacing w:line="560" w:lineRule="exact"/>
        <w:jc w:val="left"/>
        <w:rPr>
          <w:rFonts w:hint="eastAsia" w:cs="Times New Roman" w:asciiTheme="minorEastAsia" w:hAnsiTheme="minorEastAsia" w:eastAsiaTheme="minorEastAsia"/>
          <w:bCs/>
          <w:color w:val="auto"/>
          <w:sz w:val="24"/>
          <w:szCs w:val="24"/>
          <w:highlight w:val="none"/>
          <w:u w:val="single"/>
        </w:rPr>
      </w:pPr>
      <w:r>
        <w:rPr>
          <w:rFonts w:hint="eastAsia" w:cs="Times New Roman" w:asciiTheme="minorEastAsia" w:hAnsiTheme="minorEastAsia" w:eastAsiaTheme="minorEastAsia"/>
          <w:bCs/>
          <w:color w:val="auto"/>
          <w:sz w:val="24"/>
          <w:szCs w:val="24"/>
          <w:highlight w:val="none"/>
        </w:rPr>
        <w:t xml:space="preserve">                                        开户银行：</w:t>
      </w:r>
      <w:r>
        <w:rPr>
          <w:rFonts w:hint="eastAsia" w:cs="Times New Roman" w:asciiTheme="minorEastAsia" w:hAnsiTheme="minorEastAsia" w:eastAsiaTheme="minorEastAsia"/>
          <w:bCs/>
          <w:color w:val="auto"/>
          <w:sz w:val="24"/>
          <w:szCs w:val="24"/>
          <w:highlight w:val="none"/>
          <w:u w:val="single"/>
        </w:rPr>
        <w:t xml:space="preserve">                </w:t>
      </w:r>
    </w:p>
    <w:p w14:paraId="00BE5F20">
      <w:pPr>
        <w:widowControl/>
        <w:jc w:val="lef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7B6D291">
      <w:pPr>
        <w:spacing w:line="360" w:lineRule="auto"/>
        <w:jc w:val="center"/>
        <w:outlineLvl w:val="1"/>
        <w:rPr>
          <w:rFonts w:hint="eastAsia" w:asciiTheme="minorEastAsia" w:hAnsiTheme="minorEastAsia" w:eastAsiaTheme="minorEastAsia"/>
          <w:b/>
          <w:color w:val="auto"/>
          <w:sz w:val="24"/>
          <w:highlight w:val="none"/>
        </w:rPr>
      </w:pPr>
      <w:bookmarkStart w:id="71" w:name="_Toc20177"/>
      <w:r>
        <w:rPr>
          <w:rFonts w:hint="eastAsia" w:asciiTheme="minorEastAsia" w:hAnsiTheme="minorEastAsia" w:eastAsiaTheme="minorEastAsia"/>
          <w:b/>
          <w:color w:val="auto"/>
          <w:sz w:val="24"/>
          <w:highlight w:val="none"/>
        </w:rPr>
        <w:t>第二部分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合同一般条款</w:t>
      </w:r>
      <w:bookmarkEnd w:id="70"/>
      <w:bookmarkEnd w:id="71"/>
    </w:p>
    <w:p w14:paraId="0CC1FC0C">
      <w:pPr>
        <w:spacing w:line="360" w:lineRule="auto"/>
        <w:ind w:firstLine="437"/>
        <w:outlineLvl w:val="2"/>
        <w:rPr>
          <w:rFonts w:hint="eastAsia" w:asciiTheme="minorEastAsia" w:hAnsiTheme="minorEastAsia" w:eastAsiaTheme="minorEastAsia"/>
          <w:b/>
          <w:bCs/>
          <w:color w:val="auto"/>
          <w:sz w:val="24"/>
          <w:highlight w:val="none"/>
          <w:lang w:val="zh-CN"/>
        </w:rPr>
      </w:pPr>
      <w:bookmarkStart w:id="72" w:name="_Ref467379109"/>
      <w:bookmarkStart w:id="73" w:name="_Toc19614"/>
      <w:bookmarkStart w:id="74" w:name="_Ref467378404"/>
      <w:bookmarkStart w:id="75" w:name="_Ref467379195"/>
      <w:bookmarkStart w:id="76" w:name="_Ref467379205"/>
      <w:bookmarkStart w:id="77" w:name="_Ref467378499"/>
      <w:bookmarkStart w:id="78" w:name="_Toc16917"/>
      <w:bookmarkStart w:id="79" w:name="_Ref467379214"/>
      <w:bookmarkStart w:id="80" w:name="_Toc259093669"/>
      <w:bookmarkStart w:id="81" w:name="_Toc279701240"/>
      <w:bookmarkStart w:id="82" w:name="_Ref467378463"/>
      <w:bookmarkStart w:id="83" w:name="_Toc487900349"/>
      <w:bookmarkStart w:id="84" w:name="_Ref467379101"/>
      <w:bookmarkStart w:id="85" w:name="_Toc28763"/>
      <w:bookmarkStart w:id="86" w:name="_Ref467379225"/>
      <w:bookmarkStart w:id="87" w:name="_Ref467379094"/>
      <w:r>
        <w:rPr>
          <w:rFonts w:hint="eastAsia" w:asciiTheme="minorEastAsia" w:hAnsiTheme="minorEastAsia" w:eastAsiaTheme="minorEastAsia"/>
          <w:b/>
          <w:bCs/>
          <w:color w:val="auto"/>
          <w:sz w:val="24"/>
          <w:highlight w:val="none"/>
          <w:lang w:val="zh-CN"/>
        </w:rPr>
        <w:t>2.1</w:t>
      </w:r>
      <w:r>
        <w:rPr>
          <w:rFonts w:asciiTheme="minorEastAsia" w:hAnsiTheme="minorEastAsia" w:eastAsiaTheme="minorEastAsia"/>
          <w:b/>
          <w:bCs/>
          <w:color w:val="auto"/>
          <w:sz w:val="24"/>
          <w:highlight w:val="none"/>
          <w:lang w:val="zh-CN"/>
        </w:rPr>
        <w:t xml:space="preserve"> 定义</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0057DAF5">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w:t>
      </w:r>
      <w:bookmarkStart w:id="88" w:name="_Ref467379436"/>
      <w:r>
        <w:rPr>
          <w:rFonts w:hint="eastAsia" w:asciiTheme="minorEastAsia" w:hAnsiTheme="minorEastAsia" w:eastAsiaTheme="minorEastAsia"/>
          <w:color w:val="auto"/>
          <w:sz w:val="24"/>
          <w:highlight w:val="none"/>
        </w:rPr>
        <w:t>合同中的下列词语应按以下内容进行解释：</w:t>
      </w:r>
    </w:p>
    <w:p w14:paraId="3EA763D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2.1.1“合同”系指采购人和中标人签订的载明双方当事人所达成的协议，并包括所有的附件、附录和构成合同的其他文件。</w:t>
      </w:r>
    </w:p>
    <w:p w14:paraId="3AC53E1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2.1.2“合同价”系指根据合同约定，中标人在完全履行合同义务后，采购人应支付给中标人的价格。</w:t>
      </w:r>
    </w:p>
    <w:p w14:paraId="2D251D7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2.1.3“服务”系指中标人根据合同约定应向采购人履行的除货物和工程以外的其他政府采购对象，包括采购人自身需要的服务和向社会公众提供的公共服务。</w:t>
      </w:r>
    </w:p>
    <w:p w14:paraId="7CB55A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2.1.4“甲方”系指与中标人签署合同的采购人；采购人委托采购代理机构代表其与乙方签订合同的，采购人的授权委托书作为合同附件。</w:t>
      </w:r>
    </w:p>
    <w:p w14:paraId="3F15ECC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9D19BF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2.1.6“现场”系指合同约定提供服务的地点</w:t>
      </w:r>
      <w:r>
        <w:rPr>
          <w:rFonts w:asciiTheme="minorEastAsia" w:hAnsiTheme="minorEastAsia" w:eastAsiaTheme="minorEastAsia"/>
          <w:color w:val="auto"/>
          <w:sz w:val="24"/>
          <w:highlight w:val="none"/>
        </w:rPr>
        <w:t>。</w:t>
      </w:r>
      <w:bookmarkEnd w:id="88"/>
    </w:p>
    <w:p w14:paraId="32834E79">
      <w:pPr>
        <w:spacing w:line="360" w:lineRule="auto"/>
        <w:ind w:firstLine="437"/>
        <w:outlineLvl w:val="2"/>
        <w:rPr>
          <w:rFonts w:hint="eastAsia" w:asciiTheme="minorEastAsia" w:hAnsiTheme="minorEastAsia" w:eastAsiaTheme="minorEastAsia"/>
          <w:b/>
          <w:bCs/>
          <w:color w:val="auto"/>
          <w:sz w:val="24"/>
          <w:highlight w:val="none"/>
          <w:lang w:val="zh-CN"/>
        </w:rPr>
      </w:pPr>
      <w:bookmarkStart w:id="89" w:name="_Toc27635"/>
      <w:bookmarkStart w:id="90" w:name="_Toc279701241"/>
      <w:bookmarkStart w:id="91" w:name="_Toc13336"/>
      <w:bookmarkStart w:id="92" w:name="_Toc487900350"/>
      <w:bookmarkStart w:id="93" w:name="_Toc32504"/>
      <w:bookmarkStart w:id="94" w:name="_Toc259093670"/>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2 技术规范</w:t>
      </w:r>
      <w:bookmarkEnd w:id="89"/>
      <w:bookmarkEnd w:id="90"/>
      <w:bookmarkEnd w:id="91"/>
      <w:bookmarkEnd w:id="92"/>
      <w:bookmarkEnd w:id="93"/>
      <w:bookmarkEnd w:id="94"/>
    </w:p>
    <w:p w14:paraId="541B4CF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货</w:t>
      </w:r>
      <w:r>
        <w:rPr>
          <w:rFonts w:hint="eastAsia" w:asciiTheme="minorEastAsia" w:hAnsiTheme="minorEastAsia" w:eastAsiaTheme="minorEastAsia"/>
          <w:color w:val="auto"/>
          <w:sz w:val="24"/>
          <w:highlight w:val="none"/>
        </w:rPr>
        <w:t>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r>
        <w:rPr>
          <w:rFonts w:asciiTheme="minorEastAsia" w:hAnsiTheme="minorEastAsia" w:eastAsiaTheme="minorEastAsia"/>
          <w:color w:val="auto"/>
          <w:sz w:val="24"/>
          <w:highlight w:val="none"/>
        </w:rPr>
        <w:t>。</w:t>
      </w:r>
    </w:p>
    <w:p w14:paraId="28839E69">
      <w:pPr>
        <w:spacing w:line="360" w:lineRule="auto"/>
        <w:ind w:firstLine="437"/>
        <w:outlineLvl w:val="2"/>
        <w:rPr>
          <w:rFonts w:hint="eastAsia" w:asciiTheme="minorEastAsia" w:hAnsiTheme="minorEastAsia" w:eastAsiaTheme="minorEastAsia"/>
          <w:b/>
          <w:bCs/>
          <w:color w:val="auto"/>
          <w:sz w:val="24"/>
          <w:highlight w:val="none"/>
          <w:lang w:val="zh-CN"/>
        </w:rPr>
      </w:pPr>
      <w:bookmarkStart w:id="95" w:name="_Toc27853"/>
      <w:bookmarkStart w:id="96" w:name="_Toc279701242"/>
      <w:bookmarkStart w:id="97" w:name="_Toc487900351"/>
      <w:bookmarkStart w:id="98" w:name="_Toc9829"/>
      <w:bookmarkStart w:id="99" w:name="_Toc31634"/>
      <w:bookmarkStart w:id="100" w:name="_Toc259093671"/>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3 知识产权</w:t>
      </w:r>
      <w:bookmarkEnd w:id="95"/>
      <w:bookmarkEnd w:id="96"/>
      <w:bookmarkEnd w:id="97"/>
      <w:bookmarkEnd w:id="98"/>
      <w:bookmarkEnd w:id="99"/>
      <w:bookmarkEnd w:id="100"/>
    </w:p>
    <w:p w14:paraId="2034B19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317A43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2.3.2具有知识产权的计算机软件等货物的知识产权归属，详</w:t>
      </w:r>
      <w:r>
        <w:rPr>
          <w:rFonts w:asciiTheme="minorEastAsia" w:hAnsiTheme="minorEastAsia" w:eastAsiaTheme="minorEastAsia"/>
          <w:color w:val="auto"/>
          <w:sz w:val="24"/>
          <w:highlight w:val="none"/>
        </w:rPr>
        <w:t>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498A41C4">
      <w:pPr>
        <w:spacing w:line="360" w:lineRule="auto"/>
        <w:ind w:firstLine="437"/>
        <w:outlineLvl w:val="2"/>
        <w:rPr>
          <w:rFonts w:hint="eastAsia" w:asciiTheme="minorEastAsia" w:hAnsiTheme="minorEastAsia" w:eastAsiaTheme="minorEastAsia"/>
          <w:b/>
          <w:color w:val="auto"/>
          <w:sz w:val="24"/>
          <w:highlight w:val="none"/>
        </w:rPr>
      </w:pPr>
      <w:bookmarkStart w:id="101" w:name="_Toc11932"/>
      <w:bookmarkStart w:id="102" w:name="_Toc4194"/>
      <w:bookmarkStart w:id="103" w:name="_Toc29149"/>
      <w:r>
        <w:rPr>
          <w:rFonts w:hint="eastAsia" w:asciiTheme="minorEastAsia" w:hAnsiTheme="minorEastAsia" w:eastAsiaTheme="minorEastAsia"/>
          <w:b/>
          <w:bCs/>
          <w:color w:val="auto"/>
          <w:sz w:val="24"/>
          <w:highlight w:val="none"/>
          <w:lang w:val="zh-CN"/>
        </w:rPr>
        <w:t>2.4</w:t>
      </w:r>
      <w:r>
        <w:rPr>
          <w:rFonts w:asciiTheme="minorEastAsia" w:hAnsiTheme="minorEastAsia" w:eastAsiaTheme="minorEastAsia"/>
          <w:b/>
          <w:bCs/>
          <w:color w:val="auto"/>
          <w:sz w:val="24"/>
          <w:highlight w:val="none"/>
          <w:lang w:val="zh-CN"/>
        </w:rPr>
        <w:t xml:space="preserve"> </w:t>
      </w:r>
      <w:bookmarkEnd w:id="101"/>
      <w:bookmarkEnd w:id="102"/>
      <w:bookmarkEnd w:id="103"/>
      <w:r>
        <w:rPr>
          <w:rFonts w:hint="eastAsia" w:asciiTheme="minorEastAsia" w:hAnsiTheme="minorEastAsia" w:eastAsiaTheme="minorEastAsia"/>
          <w:b/>
          <w:bCs/>
          <w:color w:val="auto"/>
          <w:sz w:val="24"/>
          <w:highlight w:val="none"/>
          <w:lang w:val="zh-CN"/>
        </w:rPr>
        <w:t>履约检查和问题反馈</w:t>
      </w:r>
    </w:p>
    <w:p w14:paraId="6408A70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1ED837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2.4.2合同履行期间，甲方有权将履行过程中出现的问题反馈给乙方，双方当事人应以书面形式约定需要完善和改进的内容。</w:t>
      </w:r>
    </w:p>
    <w:p w14:paraId="41FEF3E5">
      <w:pPr>
        <w:spacing w:line="360" w:lineRule="auto"/>
        <w:ind w:firstLine="437"/>
        <w:outlineLvl w:val="2"/>
        <w:rPr>
          <w:rFonts w:hint="eastAsia" w:asciiTheme="minorEastAsia" w:hAnsiTheme="minorEastAsia" w:eastAsiaTheme="minorEastAsia"/>
          <w:b/>
          <w:bCs/>
          <w:color w:val="auto"/>
          <w:sz w:val="24"/>
          <w:highlight w:val="none"/>
          <w:lang w:val="zh-CN"/>
        </w:rPr>
      </w:pPr>
      <w:bookmarkStart w:id="104" w:name="_Ref467378541"/>
      <w:bookmarkStart w:id="105" w:name="_Ref467379527"/>
      <w:bookmarkStart w:id="106" w:name="_Toc279701245"/>
      <w:bookmarkStart w:id="107" w:name="_Ref467379542"/>
      <w:bookmarkStart w:id="108" w:name="_Toc487900354"/>
      <w:bookmarkStart w:id="109" w:name="_Ref467379536"/>
      <w:bookmarkStart w:id="110" w:name="_Ref467378591"/>
      <w:bookmarkStart w:id="111" w:name="_Toc259093674"/>
      <w:bookmarkStart w:id="112" w:name="_Toc19074"/>
      <w:bookmarkStart w:id="113" w:name="_Toc30272"/>
      <w:bookmarkStart w:id="114" w:name="_Toc26182"/>
      <w:r>
        <w:rPr>
          <w:rFonts w:hint="eastAsia" w:asciiTheme="minorEastAsia" w:hAnsiTheme="minorEastAsia" w:eastAsiaTheme="minorEastAsia"/>
          <w:b/>
          <w:bCs/>
          <w:color w:val="auto"/>
          <w:sz w:val="24"/>
          <w:highlight w:val="none"/>
          <w:lang w:val="zh-CN"/>
        </w:rPr>
        <w:t>2.</w:t>
      </w:r>
      <w:bookmarkEnd w:id="104"/>
      <w:bookmarkEnd w:id="105"/>
      <w:bookmarkEnd w:id="106"/>
      <w:bookmarkEnd w:id="107"/>
      <w:bookmarkEnd w:id="108"/>
      <w:bookmarkEnd w:id="109"/>
      <w:bookmarkEnd w:id="110"/>
      <w:bookmarkEnd w:id="111"/>
      <w:r>
        <w:rPr>
          <w:rFonts w:hint="eastAsia" w:asciiTheme="minorEastAsia" w:hAnsiTheme="minorEastAsia" w:eastAsiaTheme="minorEastAsia"/>
          <w:b/>
          <w:bCs/>
          <w:color w:val="auto"/>
          <w:sz w:val="24"/>
          <w:highlight w:val="none"/>
          <w:lang w:val="zh-CN"/>
        </w:rPr>
        <w:t>5</w:t>
      </w:r>
      <w:r>
        <w:rPr>
          <w:rFonts w:asciiTheme="minorEastAsia" w:hAnsiTheme="minorEastAsia" w:eastAsiaTheme="minorEastAsia"/>
          <w:b/>
          <w:bCs/>
          <w:color w:val="auto"/>
          <w:sz w:val="24"/>
          <w:highlight w:val="none"/>
          <w:lang w:val="zh-CN"/>
        </w:rPr>
        <w:t xml:space="preserve"> </w:t>
      </w:r>
      <w:bookmarkEnd w:id="112"/>
      <w:bookmarkEnd w:id="113"/>
      <w:bookmarkEnd w:id="114"/>
      <w:bookmarkStart w:id="115" w:name="_Toc28451"/>
      <w:bookmarkStart w:id="116" w:name="_Toc19219"/>
      <w:bookmarkStart w:id="117" w:name="_Ref467379807"/>
      <w:bookmarkStart w:id="118" w:name="_Ref467379793"/>
      <w:bookmarkStart w:id="119" w:name="_Toc279701247"/>
      <w:bookmarkStart w:id="120" w:name="_Toc259093676"/>
      <w:bookmarkStart w:id="121" w:name="_Toc7836"/>
      <w:bookmarkStart w:id="122" w:name="_Toc487900357"/>
      <w:r>
        <w:rPr>
          <w:rFonts w:asciiTheme="minorEastAsia" w:hAnsiTheme="minorEastAsia" w:eastAsiaTheme="minorEastAsia"/>
          <w:b/>
          <w:bCs/>
          <w:color w:val="auto"/>
          <w:sz w:val="24"/>
          <w:highlight w:val="none"/>
          <w:lang w:val="zh-CN"/>
        </w:rPr>
        <w:t>结算方式和付款条件</w:t>
      </w:r>
      <w:bookmarkEnd w:id="115"/>
      <w:bookmarkEnd w:id="116"/>
      <w:bookmarkEnd w:id="117"/>
      <w:bookmarkEnd w:id="118"/>
      <w:bookmarkEnd w:id="119"/>
      <w:bookmarkEnd w:id="120"/>
      <w:bookmarkEnd w:id="121"/>
      <w:bookmarkEnd w:id="122"/>
    </w:p>
    <w:p w14:paraId="121106F6">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详见</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w:t>
      </w:r>
    </w:p>
    <w:p w14:paraId="026AB6EE">
      <w:pPr>
        <w:spacing w:line="360" w:lineRule="auto"/>
        <w:ind w:firstLine="437"/>
        <w:outlineLvl w:val="2"/>
        <w:rPr>
          <w:rFonts w:hint="eastAsia" w:asciiTheme="minorEastAsia" w:hAnsiTheme="minorEastAsia" w:eastAsiaTheme="minorEastAsia"/>
          <w:b/>
          <w:bCs/>
          <w:color w:val="auto"/>
          <w:sz w:val="24"/>
          <w:highlight w:val="none"/>
          <w:lang w:val="zh-CN"/>
        </w:rPr>
      </w:pPr>
      <w:bookmarkStart w:id="123" w:name="_Ref467379923"/>
      <w:bookmarkStart w:id="124" w:name="_Ref467379852"/>
      <w:bookmarkStart w:id="125" w:name="_Toc279701248"/>
      <w:bookmarkStart w:id="126" w:name="_Ref467379863"/>
      <w:bookmarkStart w:id="127" w:name="_Toc259093677"/>
      <w:bookmarkStart w:id="128" w:name="_Toc487900358"/>
      <w:bookmarkStart w:id="129" w:name="_Toc3225"/>
      <w:bookmarkStart w:id="130" w:name="_Toc774"/>
      <w:bookmarkStart w:id="131" w:name="_Toc16110"/>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6</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技术资料</w:t>
      </w:r>
      <w:bookmarkEnd w:id="123"/>
      <w:bookmarkEnd w:id="124"/>
      <w:bookmarkEnd w:id="125"/>
      <w:bookmarkEnd w:id="126"/>
      <w:bookmarkEnd w:id="127"/>
      <w:bookmarkEnd w:id="128"/>
      <w:r>
        <w:rPr>
          <w:rFonts w:asciiTheme="minorEastAsia" w:hAnsiTheme="minorEastAsia" w:eastAsiaTheme="minorEastAsia"/>
          <w:b/>
          <w:bCs/>
          <w:color w:val="auto"/>
          <w:sz w:val="24"/>
          <w:highlight w:val="none"/>
          <w:lang w:val="zh-CN"/>
        </w:rPr>
        <w:t>和保密义务</w:t>
      </w:r>
      <w:bookmarkEnd w:id="129"/>
      <w:bookmarkEnd w:id="130"/>
      <w:bookmarkEnd w:id="131"/>
    </w:p>
    <w:p w14:paraId="66E9A9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2.6.1乙方有权依据合同约定和项目需要，向甲方了解有关情况，调阅有关资料等，甲方应予积极配合；</w:t>
      </w:r>
    </w:p>
    <w:p w14:paraId="04636E4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2.6.2乙方有义务妥善保管和保护由甲方提供的前款信息和资料等；</w:t>
      </w:r>
    </w:p>
    <w:p w14:paraId="66AFE3F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43C1B78">
      <w:pPr>
        <w:spacing w:line="360" w:lineRule="auto"/>
        <w:ind w:firstLine="437"/>
        <w:outlineLvl w:val="2"/>
        <w:rPr>
          <w:rFonts w:hint="eastAsia" w:asciiTheme="minorEastAsia" w:hAnsiTheme="minorEastAsia" w:eastAsiaTheme="minorEastAsia"/>
          <w:b/>
          <w:bCs/>
          <w:color w:val="auto"/>
          <w:sz w:val="24"/>
          <w:highlight w:val="none"/>
          <w:lang w:val="zh-CN"/>
        </w:rPr>
      </w:pPr>
      <w:bookmarkStart w:id="132" w:name="_Toc7860"/>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7</w:t>
      </w:r>
      <w:r>
        <w:rPr>
          <w:rFonts w:asciiTheme="minorEastAsia" w:hAnsiTheme="minorEastAsia" w:eastAsiaTheme="minorEastAsia"/>
          <w:b/>
          <w:bCs/>
          <w:color w:val="auto"/>
          <w:sz w:val="24"/>
          <w:highlight w:val="none"/>
          <w:lang w:val="zh-CN"/>
        </w:rPr>
        <w:t xml:space="preserve"> 质量保证</w:t>
      </w:r>
      <w:bookmarkEnd w:id="132"/>
    </w:p>
    <w:p w14:paraId="6BBB1D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2.7.1乙方应建立和完善履行合同的内部质量保证体系，并提供相关内部规章制度给甲方，以便甲方进行监督检查；</w:t>
      </w:r>
    </w:p>
    <w:p w14:paraId="3A14E7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2.7.2乙方应保证履行合同的人员数量和素质、软件和硬件设备的配置、场地、环境和设施等满足全面履行合同的要求</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保证完全满足甲方采购需求</w:t>
      </w:r>
      <w:r>
        <w:rPr>
          <w:rFonts w:hint="eastAsia" w:asciiTheme="minorEastAsia" w:hAnsiTheme="minorEastAsia" w:eastAsiaTheme="minorEastAsia"/>
          <w:color w:val="auto"/>
          <w:sz w:val="24"/>
          <w:highlight w:val="none"/>
        </w:rPr>
        <w:t>，并应接受甲方的监督检查。</w:t>
      </w:r>
    </w:p>
    <w:p w14:paraId="391D1B22">
      <w:pPr>
        <w:spacing w:line="360" w:lineRule="auto"/>
        <w:ind w:firstLine="437"/>
        <w:outlineLvl w:val="2"/>
        <w:rPr>
          <w:rFonts w:hint="eastAsia" w:asciiTheme="minorEastAsia" w:hAnsiTheme="minorEastAsia" w:eastAsiaTheme="minorEastAsia"/>
          <w:b/>
          <w:bCs/>
          <w:color w:val="auto"/>
          <w:sz w:val="24"/>
          <w:highlight w:val="none"/>
          <w:lang w:val="zh-CN"/>
        </w:rPr>
      </w:pPr>
      <w:bookmarkStart w:id="133" w:name="_Toc259093681"/>
      <w:bookmarkStart w:id="134" w:name="_Toc487900362"/>
      <w:bookmarkStart w:id="135" w:name="_Toc279701252"/>
      <w:bookmarkStart w:id="136" w:name="_Toc17244"/>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8</w:t>
      </w:r>
      <w:r>
        <w:rPr>
          <w:rFonts w:asciiTheme="minorEastAsia" w:hAnsiTheme="minorEastAsia" w:eastAsiaTheme="minorEastAsia"/>
          <w:b/>
          <w:bCs/>
          <w:color w:val="auto"/>
          <w:sz w:val="24"/>
          <w:highlight w:val="none"/>
          <w:lang w:val="zh-CN"/>
        </w:rPr>
        <w:t xml:space="preserve"> </w:t>
      </w:r>
      <w:bookmarkEnd w:id="133"/>
      <w:bookmarkEnd w:id="134"/>
      <w:bookmarkEnd w:id="135"/>
      <w:bookmarkEnd w:id="136"/>
      <w:r>
        <w:rPr>
          <w:rFonts w:hint="eastAsia" w:asciiTheme="minorEastAsia" w:hAnsiTheme="minorEastAsia" w:eastAsiaTheme="minorEastAsia"/>
          <w:b/>
          <w:bCs/>
          <w:color w:val="auto"/>
          <w:sz w:val="24"/>
          <w:highlight w:val="none"/>
          <w:lang w:val="zh-CN"/>
        </w:rPr>
        <w:t>延迟履行</w:t>
      </w:r>
    </w:p>
    <w:p w14:paraId="0CED393B">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rPr>
        <w:t>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r>
        <w:rPr>
          <w:rFonts w:asciiTheme="minorEastAsia" w:hAnsiTheme="minorEastAsia" w:eastAsiaTheme="minorEastAsia"/>
          <w:color w:val="auto"/>
          <w:sz w:val="24"/>
          <w:highlight w:val="none"/>
        </w:rPr>
        <w:t>。</w:t>
      </w:r>
    </w:p>
    <w:p w14:paraId="6EE74531">
      <w:pPr>
        <w:spacing w:line="360" w:lineRule="auto"/>
        <w:ind w:firstLine="437"/>
        <w:outlineLvl w:val="2"/>
        <w:rPr>
          <w:rFonts w:hint="eastAsia" w:asciiTheme="minorEastAsia" w:hAnsiTheme="minorEastAsia" w:eastAsiaTheme="minorEastAsia"/>
          <w:b/>
          <w:bCs/>
          <w:color w:val="auto"/>
          <w:sz w:val="24"/>
          <w:highlight w:val="none"/>
          <w:lang w:val="zh-CN"/>
        </w:rPr>
      </w:pPr>
      <w:bookmarkStart w:id="137" w:name="_Toc7502"/>
      <w:bookmarkStart w:id="138" w:name="_Toc259093683"/>
      <w:bookmarkStart w:id="139" w:name="_Toc279701254"/>
      <w:bookmarkStart w:id="140" w:name="_Ref467378121"/>
      <w:bookmarkStart w:id="141" w:name="_Toc487900364"/>
      <w:r>
        <w:rPr>
          <w:rFonts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9</w:t>
      </w:r>
      <w:r>
        <w:rPr>
          <w:rFonts w:asciiTheme="minorEastAsia" w:hAnsiTheme="minorEastAsia" w:eastAsiaTheme="minorEastAsia"/>
          <w:b/>
          <w:bCs/>
          <w:color w:val="auto"/>
          <w:sz w:val="24"/>
          <w:highlight w:val="none"/>
          <w:lang w:val="zh-CN"/>
        </w:rPr>
        <w:t xml:space="preserve"> 合同变更</w:t>
      </w:r>
      <w:bookmarkEnd w:id="137"/>
    </w:p>
    <w:p w14:paraId="56450E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2.9.1双方当事人协商一致，可以签订书面补充合同的形式变更合同，但不得违背采购文件确定的事项；</w:t>
      </w:r>
    </w:p>
    <w:p w14:paraId="35C790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42" w:name="_Toc259093688"/>
      <w:bookmarkStart w:id="143" w:name="_Toc487900369"/>
      <w:bookmarkStart w:id="144" w:name="_Toc279701259"/>
    </w:p>
    <w:p w14:paraId="11295159">
      <w:pPr>
        <w:spacing w:line="360" w:lineRule="auto"/>
        <w:ind w:firstLine="437"/>
        <w:outlineLvl w:val="2"/>
        <w:rPr>
          <w:rFonts w:hint="eastAsia" w:asciiTheme="minorEastAsia" w:hAnsiTheme="minorEastAsia" w:eastAsiaTheme="minorEastAsia"/>
          <w:b/>
          <w:bCs/>
          <w:color w:val="auto"/>
          <w:sz w:val="24"/>
          <w:highlight w:val="none"/>
          <w:lang w:val="zh-CN"/>
        </w:rPr>
      </w:pPr>
      <w:bookmarkStart w:id="145" w:name="_Toc10366"/>
      <w:bookmarkStart w:id="146" w:name="_Toc15237"/>
      <w:bookmarkStart w:id="147" w:name="_Toc22955"/>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0</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合同转让</w:t>
      </w:r>
      <w:bookmarkEnd w:id="142"/>
      <w:bookmarkEnd w:id="143"/>
      <w:bookmarkEnd w:id="144"/>
      <w:r>
        <w:rPr>
          <w:rFonts w:asciiTheme="minorEastAsia" w:hAnsiTheme="minorEastAsia" w:eastAsiaTheme="minorEastAsia"/>
          <w:b/>
          <w:bCs/>
          <w:color w:val="auto"/>
          <w:sz w:val="24"/>
          <w:highlight w:val="none"/>
          <w:lang w:val="zh-CN"/>
        </w:rPr>
        <w:t>和分包</w:t>
      </w:r>
      <w:bookmarkEnd w:id="145"/>
      <w:bookmarkEnd w:id="146"/>
      <w:bookmarkEnd w:id="147"/>
    </w:p>
    <w:p w14:paraId="6D53415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w:t>
      </w:r>
      <w:r>
        <w:rPr>
          <w:rFonts w:hint="eastAsia" w:asciiTheme="minorEastAsia" w:hAnsiTheme="minorEastAsia" w:eastAsiaTheme="minorEastAsia"/>
          <w:color w:val="auto"/>
          <w:sz w:val="24"/>
          <w:highlight w:val="none"/>
        </w:rPr>
        <w:t>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F7BB0D8">
      <w:pPr>
        <w:spacing w:line="360" w:lineRule="auto"/>
        <w:ind w:firstLine="437"/>
        <w:outlineLvl w:val="2"/>
        <w:rPr>
          <w:rFonts w:hint="eastAsia" w:asciiTheme="minorEastAsia" w:hAnsiTheme="minorEastAsia" w:eastAsiaTheme="minorEastAsia"/>
          <w:b/>
          <w:bCs/>
          <w:color w:val="auto"/>
          <w:sz w:val="24"/>
          <w:highlight w:val="none"/>
          <w:lang w:val="zh-CN"/>
        </w:rPr>
      </w:pPr>
      <w:bookmarkStart w:id="148" w:name="_Toc16508"/>
      <w:bookmarkStart w:id="149" w:name="_Toc13566"/>
      <w:bookmarkStart w:id="150" w:name="_Toc14066"/>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1</w:t>
      </w:r>
      <w:r>
        <w:rPr>
          <w:rFonts w:asciiTheme="minorEastAsia" w:hAnsiTheme="minorEastAsia" w:eastAsiaTheme="minorEastAsia"/>
          <w:b/>
          <w:bCs/>
          <w:color w:val="auto"/>
          <w:sz w:val="24"/>
          <w:highlight w:val="none"/>
          <w:lang w:val="zh-CN"/>
        </w:rPr>
        <w:t xml:space="preserve"> 不可抗力</w:t>
      </w:r>
      <w:bookmarkEnd w:id="148"/>
      <w:bookmarkEnd w:id="149"/>
      <w:bookmarkEnd w:id="150"/>
    </w:p>
    <w:p w14:paraId="197559E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2.11.1如果任何一方遭遇法律规定的不可抗力，致使合同履行受阻时，履行合同的期限应予延长，延长的期限应相当于不可抗力所影响的时间；</w:t>
      </w:r>
    </w:p>
    <w:p w14:paraId="3C4D00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2.11.2因不可抗力致使不能实现合同目的的，当事人可以解除合同；</w:t>
      </w:r>
    </w:p>
    <w:p w14:paraId="67849A5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2.11.3因</w:t>
      </w:r>
      <w:r>
        <w:rPr>
          <w:rFonts w:asciiTheme="minorEastAsia" w:hAnsiTheme="minorEastAsia" w:eastAsiaTheme="minorEastAsia"/>
          <w:color w:val="auto"/>
          <w:sz w:val="24"/>
          <w:highlight w:val="none"/>
        </w:rPr>
        <w:t>不可抗力致使合同有变更必要的，双方当事人应在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约定时间内以书面形式变更合同</w:t>
      </w:r>
      <w:r>
        <w:rPr>
          <w:rFonts w:hint="eastAsia" w:asciiTheme="minorEastAsia" w:hAnsiTheme="minorEastAsia" w:eastAsiaTheme="minorEastAsia"/>
          <w:color w:val="auto"/>
          <w:sz w:val="24"/>
          <w:highlight w:val="none"/>
        </w:rPr>
        <w:t>；</w:t>
      </w:r>
    </w:p>
    <w:p w14:paraId="4712FCF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受</w:t>
      </w:r>
      <w:r>
        <w:rPr>
          <w:rFonts w:hint="eastAsia" w:asciiTheme="minorEastAsia" w:hAnsiTheme="minorEastAsia" w:eastAsiaTheme="minorEastAsia"/>
          <w:color w:val="auto"/>
          <w:sz w:val="24"/>
          <w:highlight w:val="none"/>
        </w:rPr>
        <w:t>不可抗力</w:t>
      </w:r>
      <w:r>
        <w:rPr>
          <w:rFonts w:asciiTheme="minorEastAsia" w:hAnsiTheme="minorEastAsia" w:eastAsiaTheme="minorEastAsia"/>
          <w:color w:val="auto"/>
          <w:sz w:val="24"/>
          <w:highlight w:val="none"/>
        </w:rPr>
        <w:t>影响的一方在不可抗力发生后</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约定时间内以书面形式通知</w:t>
      </w:r>
      <w:r>
        <w:rPr>
          <w:rFonts w:hint="eastAsia" w:asciiTheme="minorEastAsia" w:hAnsiTheme="minorEastAsia" w:eastAsiaTheme="minorEastAsia"/>
          <w:color w:val="auto"/>
          <w:sz w:val="24"/>
          <w:highlight w:val="none"/>
        </w:rPr>
        <w:t>对</w:t>
      </w:r>
      <w:r>
        <w:rPr>
          <w:rFonts w:asciiTheme="minorEastAsia" w:hAnsiTheme="minorEastAsia" w:eastAsiaTheme="minorEastAsia"/>
          <w:color w:val="auto"/>
          <w:sz w:val="24"/>
          <w:highlight w:val="none"/>
        </w:rPr>
        <w:t>方当事人，并在</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约定时间内，将有关部门出具的证明文件送达</w:t>
      </w:r>
      <w:r>
        <w:rPr>
          <w:rFonts w:hint="eastAsia" w:asciiTheme="minorEastAsia" w:hAnsiTheme="minorEastAsia" w:eastAsiaTheme="minorEastAsia"/>
          <w:color w:val="auto"/>
          <w:sz w:val="24"/>
          <w:highlight w:val="none"/>
        </w:rPr>
        <w:t>对方当事人</w:t>
      </w:r>
      <w:r>
        <w:rPr>
          <w:rFonts w:asciiTheme="minorEastAsia" w:hAnsiTheme="minorEastAsia" w:eastAsiaTheme="minorEastAsia"/>
          <w:color w:val="auto"/>
          <w:sz w:val="24"/>
          <w:highlight w:val="none"/>
        </w:rPr>
        <w:t>。</w:t>
      </w:r>
    </w:p>
    <w:p w14:paraId="4C0DEECE">
      <w:pPr>
        <w:spacing w:line="360" w:lineRule="auto"/>
        <w:ind w:firstLine="437"/>
        <w:outlineLvl w:val="2"/>
        <w:rPr>
          <w:rFonts w:hint="eastAsia" w:asciiTheme="minorEastAsia" w:hAnsiTheme="minorEastAsia" w:eastAsiaTheme="minorEastAsia"/>
          <w:b/>
          <w:bCs/>
          <w:color w:val="auto"/>
          <w:sz w:val="24"/>
          <w:highlight w:val="none"/>
          <w:lang w:val="zh-CN"/>
        </w:rPr>
      </w:pPr>
      <w:bookmarkStart w:id="151" w:name="_Toc689"/>
      <w:bookmarkStart w:id="152" w:name="_Toc259093684"/>
      <w:bookmarkStart w:id="153" w:name="_Toc487900365"/>
      <w:bookmarkStart w:id="154" w:name="_Toc6969"/>
      <w:bookmarkStart w:id="155" w:name="_Toc279701255"/>
      <w:bookmarkStart w:id="156" w:name="_Toc30676"/>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rPr>
        <w:t>2</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税费</w:t>
      </w:r>
      <w:bookmarkEnd w:id="151"/>
      <w:bookmarkEnd w:id="152"/>
      <w:bookmarkEnd w:id="153"/>
      <w:bookmarkEnd w:id="154"/>
      <w:bookmarkEnd w:id="155"/>
      <w:bookmarkEnd w:id="156"/>
    </w:p>
    <w:p w14:paraId="1C1491B8">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与</w:t>
      </w:r>
      <w:r>
        <w:rPr>
          <w:rFonts w:hint="eastAsia" w:asciiTheme="minorEastAsia" w:hAnsiTheme="minorEastAsia" w:eastAsiaTheme="minorEastAsia"/>
          <w:color w:val="auto"/>
          <w:sz w:val="24"/>
          <w:highlight w:val="none"/>
        </w:rPr>
        <w:t>合同有关的一切税费，均按照中华人民共和国法律的相关规定缴纳</w:t>
      </w:r>
      <w:r>
        <w:rPr>
          <w:rFonts w:asciiTheme="minorEastAsia" w:hAnsiTheme="minorEastAsia" w:eastAsiaTheme="minorEastAsia"/>
          <w:color w:val="auto"/>
          <w:sz w:val="24"/>
          <w:highlight w:val="none"/>
        </w:rPr>
        <w:t>。</w:t>
      </w:r>
    </w:p>
    <w:p w14:paraId="48073D43">
      <w:pPr>
        <w:spacing w:line="360" w:lineRule="auto"/>
        <w:ind w:firstLine="437"/>
        <w:outlineLvl w:val="2"/>
        <w:rPr>
          <w:rFonts w:hint="eastAsia" w:asciiTheme="minorEastAsia" w:hAnsiTheme="minorEastAsia" w:eastAsiaTheme="minorEastAsia"/>
          <w:b/>
          <w:bCs/>
          <w:color w:val="auto"/>
          <w:sz w:val="24"/>
          <w:highlight w:val="none"/>
          <w:lang w:val="zh-CN"/>
        </w:rPr>
      </w:pPr>
      <w:bookmarkStart w:id="157" w:name="_Toc487900368"/>
      <w:bookmarkStart w:id="158" w:name="_Toc8298"/>
      <w:bookmarkStart w:id="159" w:name="_Toc7102"/>
      <w:bookmarkStart w:id="160" w:name="_Toc259093687"/>
      <w:bookmarkStart w:id="161" w:name="_Toc279701258"/>
      <w:bookmarkStart w:id="162" w:name="_Toc16959"/>
      <w:r>
        <w:rPr>
          <w:rFonts w:hint="eastAsia" w:asciiTheme="minorEastAsia" w:hAnsiTheme="minorEastAsia" w:eastAsiaTheme="minorEastAsia"/>
          <w:b/>
          <w:bCs/>
          <w:color w:val="auto"/>
          <w:sz w:val="24"/>
          <w:highlight w:val="none"/>
          <w:lang w:val="zh-CN"/>
        </w:rPr>
        <w:t>2.</w:t>
      </w:r>
      <w:r>
        <w:rPr>
          <w:rFonts w:asciiTheme="minorEastAsia" w:hAnsiTheme="minorEastAsia" w:eastAsiaTheme="minorEastAsia"/>
          <w:b/>
          <w:bCs/>
          <w:color w:val="auto"/>
          <w:sz w:val="24"/>
          <w:highlight w:val="none"/>
          <w:lang w:val="zh-CN"/>
        </w:rPr>
        <w:t>1</w:t>
      </w:r>
      <w:r>
        <w:rPr>
          <w:rFonts w:hint="eastAsia" w:asciiTheme="minorEastAsia" w:hAnsiTheme="minorEastAsia" w:eastAsiaTheme="minorEastAsia"/>
          <w:b/>
          <w:bCs/>
          <w:color w:val="auto"/>
          <w:sz w:val="24"/>
          <w:highlight w:val="none"/>
        </w:rPr>
        <w:t>3</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乙方破产</w:t>
      </w:r>
      <w:bookmarkEnd w:id="157"/>
      <w:bookmarkEnd w:id="158"/>
      <w:bookmarkEnd w:id="159"/>
      <w:bookmarkEnd w:id="160"/>
      <w:bookmarkEnd w:id="161"/>
      <w:bookmarkEnd w:id="162"/>
    </w:p>
    <w:p w14:paraId="1142BBEA">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w:t>
      </w:r>
      <w:r>
        <w:rPr>
          <w:rFonts w:hint="eastAsia" w:asciiTheme="minorEastAsia" w:hAnsiTheme="minorEastAsia" w:eastAsiaTheme="minorEastAsia"/>
          <w:color w:val="auto"/>
          <w:sz w:val="24"/>
          <w:highlight w:val="none"/>
        </w:rPr>
        <w:t>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6C000DC">
      <w:pPr>
        <w:spacing w:line="360" w:lineRule="auto"/>
        <w:ind w:firstLine="437"/>
        <w:outlineLvl w:val="2"/>
        <w:rPr>
          <w:rFonts w:hint="eastAsia" w:asciiTheme="minorEastAsia" w:hAnsiTheme="minorEastAsia" w:eastAsiaTheme="minorEastAsia"/>
          <w:b/>
          <w:color w:val="auto"/>
          <w:sz w:val="24"/>
          <w:highlight w:val="none"/>
        </w:rPr>
      </w:pPr>
      <w:bookmarkStart w:id="163" w:name="_Toc15387"/>
      <w:bookmarkStart w:id="164" w:name="_Toc6134"/>
      <w:bookmarkStart w:id="165" w:name="_Toc29333"/>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4</w:t>
      </w:r>
      <w:r>
        <w:rPr>
          <w:rFonts w:hint="eastAsia" w:asciiTheme="minorEastAsia" w:hAnsiTheme="minorEastAsia" w:eastAsiaTheme="minorEastAsia"/>
          <w:b/>
          <w:bCs/>
          <w:color w:val="auto"/>
          <w:sz w:val="24"/>
          <w:highlight w:val="none"/>
          <w:lang w:val="zh-CN"/>
        </w:rPr>
        <w:t xml:space="preserve"> 合同中止、终止</w:t>
      </w:r>
      <w:bookmarkEnd w:id="163"/>
      <w:bookmarkEnd w:id="164"/>
      <w:bookmarkEnd w:id="165"/>
    </w:p>
    <w:p w14:paraId="235A4F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2.14.1双方当事人不得擅自中止或者终止合同；</w:t>
      </w:r>
    </w:p>
    <w:p w14:paraId="11C4AB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736820C1">
      <w:pPr>
        <w:spacing w:line="360" w:lineRule="auto"/>
        <w:ind w:firstLine="437"/>
        <w:outlineLvl w:val="2"/>
        <w:rPr>
          <w:rFonts w:hint="eastAsia" w:asciiTheme="minorEastAsia" w:hAnsiTheme="minorEastAsia" w:eastAsiaTheme="minorEastAsia"/>
          <w:b/>
          <w:bCs/>
          <w:color w:val="auto"/>
          <w:sz w:val="24"/>
          <w:highlight w:val="none"/>
          <w:lang w:val="zh-CN"/>
        </w:rPr>
      </w:pPr>
      <w:bookmarkStart w:id="166" w:name="_Toc6596"/>
      <w:bookmarkStart w:id="167" w:name="_Toc1125"/>
      <w:bookmarkStart w:id="168" w:name="_Toc14563"/>
      <w:r>
        <w:rPr>
          <w:rFonts w:hint="eastAsia" w:asciiTheme="minorEastAsia" w:hAnsiTheme="minorEastAsia" w:eastAsiaTheme="minorEastAsia"/>
          <w:b/>
          <w:bCs/>
          <w:color w:val="auto"/>
          <w:sz w:val="24"/>
          <w:highlight w:val="none"/>
          <w:lang w:val="zh-CN"/>
        </w:rPr>
        <w:t>2.1</w:t>
      </w:r>
      <w:r>
        <w:rPr>
          <w:rFonts w:hint="eastAsia" w:asciiTheme="minorEastAsia" w:hAnsiTheme="minorEastAsia" w:eastAsiaTheme="minorEastAsia"/>
          <w:b/>
          <w:bCs/>
          <w:color w:val="auto"/>
          <w:sz w:val="24"/>
          <w:highlight w:val="none"/>
        </w:rPr>
        <w:t>5</w:t>
      </w:r>
      <w:r>
        <w:rPr>
          <w:rFonts w:hint="eastAsia" w:asciiTheme="minorEastAsia" w:hAnsiTheme="minorEastAsia" w:eastAsiaTheme="minorEastAsia"/>
          <w:b/>
          <w:bCs/>
          <w:color w:val="auto"/>
          <w:sz w:val="24"/>
          <w:highlight w:val="none"/>
          <w:lang w:val="zh-CN"/>
        </w:rPr>
        <w:t xml:space="preserve"> 检验和验收</w:t>
      </w:r>
      <w:bookmarkEnd w:id="166"/>
      <w:bookmarkEnd w:id="167"/>
      <w:bookmarkEnd w:id="168"/>
    </w:p>
    <w:p w14:paraId="024340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1乙方按照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的约定，定期提交服务报告，甲方按照</w:t>
      </w:r>
      <w:r>
        <w:rPr>
          <w:rFonts w:hint="eastAsia"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color w:val="auto"/>
          <w:sz w:val="24"/>
          <w:highlight w:val="none"/>
        </w:rPr>
        <w:t>的约定进行定期验收；</w:t>
      </w:r>
    </w:p>
    <w:p w14:paraId="04B0775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BF899E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2.15.3检验和验收标准、程序等具体内容以及前述验收书的效力详见</w:t>
      </w:r>
      <w:r>
        <w:rPr>
          <w:rFonts w:asciiTheme="minorEastAsia" w:hAnsiTheme="minorEastAsia" w:eastAsiaTheme="minorEastAsia"/>
          <w:b/>
          <w:i/>
          <w:color w:val="auto"/>
          <w:sz w:val="24"/>
          <w:highlight w:val="none"/>
          <w:u w:val="single"/>
        </w:rPr>
        <w:t>合同专用条款</w:t>
      </w:r>
      <w:r>
        <w:rPr>
          <w:rFonts w:hint="eastAsia" w:asciiTheme="minorEastAsia" w:hAnsiTheme="minorEastAsia" w:eastAsiaTheme="minorEastAsia"/>
          <w:i/>
          <w:color w:val="auto"/>
          <w:sz w:val="24"/>
          <w:highlight w:val="none"/>
        </w:rPr>
        <w:t>。</w:t>
      </w:r>
    </w:p>
    <w:bookmarkEnd w:id="138"/>
    <w:bookmarkEnd w:id="139"/>
    <w:bookmarkEnd w:id="140"/>
    <w:bookmarkEnd w:id="141"/>
    <w:p w14:paraId="1BD8928F">
      <w:pPr>
        <w:spacing w:line="360" w:lineRule="auto"/>
        <w:ind w:firstLine="437"/>
        <w:outlineLvl w:val="2"/>
        <w:rPr>
          <w:rFonts w:hint="eastAsia" w:asciiTheme="minorEastAsia" w:hAnsiTheme="minorEastAsia" w:eastAsiaTheme="minorEastAsia"/>
          <w:b/>
          <w:bCs/>
          <w:color w:val="auto"/>
          <w:sz w:val="24"/>
          <w:highlight w:val="none"/>
        </w:rPr>
      </w:pPr>
      <w:bookmarkStart w:id="169" w:name="_Toc18540"/>
      <w:bookmarkStart w:id="170" w:name="_Toc259093691"/>
      <w:bookmarkStart w:id="171" w:name="_Toc30599"/>
      <w:bookmarkStart w:id="172" w:name="_Toc279701262"/>
      <w:bookmarkStart w:id="173" w:name="_Toc4355"/>
      <w:bookmarkStart w:id="174" w:name="_Toc487900372"/>
      <w:r>
        <w:rPr>
          <w:rFonts w:hint="eastAsia" w:asciiTheme="minorEastAsia" w:hAnsiTheme="minorEastAsia" w:eastAsiaTheme="minorEastAsia"/>
          <w:b/>
          <w:bCs/>
          <w:color w:val="auto"/>
          <w:sz w:val="24"/>
          <w:highlight w:val="none"/>
        </w:rPr>
        <w:t>2.1</w:t>
      </w:r>
      <w:bookmarkEnd w:id="169"/>
      <w:bookmarkEnd w:id="170"/>
      <w:bookmarkEnd w:id="171"/>
      <w:bookmarkEnd w:id="172"/>
      <w:bookmarkEnd w:id="173"/>
      <w:bookmarkEnd w:id="174"/>
      <w:bookmarkStart w:id="175" w:name="_Toc259093692"/>
      <w:bookmarkStart w:id="176" w:name="_Toc279701263"/>
      <w:bookmarkStart w:id="177" w:name="_Toc487900373"/>
      <w:bookmarkStart w:id="178" w:name="_Toc18567"/>
      <w:bookmarkStart w:id="179" w:name="_Toc12773"/>
      <w:bookmarkStart w:id="180" w:name="_Toc10330"/>
      <w:r>
        <w:rPr>
          <w:rFonts w:hint="eastAsia" w:asciiTheme="minorEastAsia" w:hAnsiTheme="minorEastAsia" w:eastAsiaTheme="minorEastAsia"/>
          <w:b/>
          <w:bCs/>
          <w:color w:val="auto"/>
          <w:sz w:val="24"/>
          <w:highlight w:val="none"/>
        </w:rPr>
        <w:t xml:space="preserve">6 </w:t>
      </w:r>
      <w:r>
        <w:rPr>
          <w:rFonts w:hint="eastAsia" w:asciiTheme="minorEastAsia" w:hAnsiTheme="minorEastAsia" w:eastAsiaTheme="minorEastAsia"/>
          <w:b/>
          <w:bCs/>
          <w:color w:val="auto"/>
          <w:sz w:val="24"/>
          <w:highlight w:val="none"/>
          <w:lang w:val="zh-CN"/>
        </w:rPr>
        <w:t>合同使用的文字和</w:t>
      </w:r>
      <w:r>
        <w:rPr>
          <w:rFonts w:asciiTheme="minorEastAsia" w:hAnsiTheme="minorEastAsia" w:eastAsiaTheme="minorEastAsia"/>
          <w:b/>
          <w:bCs/>
          <w:color w:val="auto"/>
          <w:sz w:val="24"/>
          <w:highlight w:val="none"/>
          <w:lang w:val="zh-CN"/>
        </w:rPr>
        <w:t>适用的法律</w:t>
      </w:r>
      <w:bookmarkEnd w:id="175"/>
      <w:bookmarkEnd w:id="176"/>
      <w:bookmarkEnd w:id="177"/>
      <w:bookmarkEnd w:id="178"/>
      <w:bookmarkEnd w:id="179"/>
      <w:bookmarkEnd w:id="180"/>
    </w:p>
    <w:p w14:paraId="280B102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2.16.1合同使用汉语书就、变更和解释；</w:t>
      </w:r>
    </w:p>
    <w:p w14:paraId="4001DCF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2.16.2合同适用中华人民共和国法律</w:t>
      </w:r>
      <w:r>
        <w:rPr>
          <w:rFonts w:asciiTheme="minorEastAsia" w:hAnsiTheme="minorEastAsia" w:eastAsiaTheme="minorEastAsia"/>
          <w:color w:val="auto"/>
          <w:sz w:val="24"/>
          <w:highlight w:val="none"/>
        </w:rPr>
        <w:t>。</w:t>
      </w:r>
    </w:p>
    <w:p w14:paraId="02551FB6">
      <w:pPr>
        <w:spacing w:line="360" w:lineRule="auto"/>
        <w:ind w:firstLine="437"/>
        <w:outlineLvl w:val="2"/>
        <w:rPr>
          <w:rFonts w:hint="eastAsia" w:asciiTheme="minorEastAsia" w:hAnsiTheme="minorEastAsia" w:eastAsiaTheme="minorEastAsia"/>
          <w:b/>
          <w:color w:val="auto"/>
          <w:sz w:val="24"/>
          <w:highlight w:val="none"/>
        </w:rPr>
      </w:pPr>
      <w:bookmarkStart w:id="181" w:name="_Toc16673"/>
      <w:bookmarkStart w:id="182" w:name="_Toc279701264"/>
      <w:bookmarkStart w:id="183" w:name="_Toc12004"/>
      <w:bookmarkStart w:id="184" w:name="_Toc259093693"/>
      <w:bookmarkStart w:id="185" w:name="_Toc3148"/>
      <w:bookmarkStart w:id="186" w:name="_Toc487900374"/>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17</w:t>
      </w:r>
      <w:r>
        <w:rPr>
          <w:rFonts w:hint="eastAsia" w:asciiTheme="minorEastAsia" w:hAnsiTheme="minorEastAsia" w:eastAsiaTheme="minorEastAsia"/>
          <w:b/>
          <w:bCs/>
          <w:color w:val="auto"/>
          <w:sz w:val="24"/>
          <w:highlight w:val="none"/>
          <w:lang w:val="zh-CN"/>
        </w:rPr>
        <w:t xml:space="preserve"> </w:t>
      </w:r>
      <w:r>
        <w:rPr>
          <w:rFonts w:asciiTheme="minorEastAsia" w:hAnsiTheme="minorEastAsia" w:eastAsiaTheme="minorEastAsia"/>
          <w:b/>
          <w:bCs/>
          <w:color w:val="auto"/>
          <w:sz w:val="24"/>
          <w:highlight w:val="none"/>
          <w:lang w:val="zh-CN"/>
        </w:rPr>
        <w:t>履约保证金</w:t>
      </w:r>
      <w:bookmarkEnd w:id="181"/>
      <w:bookmarkEnd w:id="182"/>
      <w:bookmarkEnd w:id="183"/>
      <w:bookmarkEnd w:id="184"/>
      <w:bookmarkEnd w:id="185"/>
    </w:p>
    <w:p w14:paraId="479E0B6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2.17.1采购文件要求乙方提交履约保证金的，乙方</w:t>
      </w:r>
      <w:r>
        <w:rPr>
          <w:rFonts w:asciiTheme="minorEastAsia" w:hAnsiTheme="minorEastAsia" w:eastAsiaTheme="minorEastAsia"/>
          <w:color w:val="auto"/>
          <w:sz w:val="24"/>
          <w:highlight w:val="none"/>
        </w:rPr>
        <w:t>应按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约定的方式</w:t>
      </w:r>
      <w:r>
        <w:rPr>
          <w:rFonts w:hint="eastAsia" w:asciiTheme="minorEastAsia" w:hAnsiTheme="minorEastAsia" w:eastAsiaTheme="minorEastAsia"/>
          <w:color w:val="auto"/>
          <w:sz w:val="24"/>
          <w:highlight w:val="none"/>
        </w:rPr>
        <w:t>，以支票、汇票、本票或者金融机构、担保机构出具的保函等非现金形式提交；</w:t>
      </w:r>
    </w:p>
    <w:p w14:paraId="2EE7F76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w:t>
      </w:r>
      <w:r>
        <w:rPr>
          <w:rFonts w:asciiTheme="minorEastAsia" w:hAnsiTheme="minorEastAsia" w:eastAsiaTheme="minorEastAsia"/>
          <w:color w:val="auto"/>
          <w:sz w:val="24"/>
          <w:highlight w:val="none"/>
        </w:rPr>
        <w:t>.2</w:t>
      </w:r>
      <w:r>
        <w:rPr>
          <w:rFonts w:cs="Times New Roman" w:asciiTheme="minorEastAsia" w:hAnsiTheme="minorEastAsia" w:eastAsiaTheme="minorEastAsia"/>
          <w:color w:val="auto"/>
          <w:sz w:val="24"/>
          <w:szCs w:val="24"/>
          <w:highlight w:val="none"/>
        </w:rPr>
        <w:t>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u w:val="single"/>
        </w:rPr>
        <w:t xml:space="preserve">  </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rPr>
        <w:t>，甲方逾期退还履约保证金应承担违约责任。</w:t>
      </w:r>
    </w:p>
    <w:p w14:paraId="78933F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6"/>
    <w:p w14:paraId="3F03CAAC">
      <w:pPr>
        <w:spacing w:line="360" w:lineRule="auto"/>
        <w:ind w:firstLine="437"/>
        <w:outlineLvl w:val="2"/>
        <w:rPr>
          <w:rFonts w:hint="eastAsia" w:asciiTheme="minorEastAsia" w:hAnsiTheme="minorEastAsia" w:eastAsiaTheme="minorEastAsia"/>
          <w:b/>
          <w:color w:val="auto"/>
          <w:sz w:val="24"/>
          <w:highlight w:val="none"/>
        </w:rPr>
      </w:pPr>
      <w:bookmarkStart w:id="187" w:name="_Toc19890"/>
      <w:bookmarkStart w:id="188" w:name="_Toc6885"/>
      <w:bookmarkStart w:id="189" w:name="_Toc14001"/>
      <w:r>
        <w:rPr>
          <w:rFonts w:hint="eastAsia" w:asciiTheme="minorEastAsia" w:hAnsiTheme="minorEastAsia" w:eastAsiaTheme="minorEastAsia"/>
          <w:b/>
          <w:bCs/>
          <w:color w:val="auto"/>
          <w:sz w:val="24"/>
          <w:highlight w:val="none"/>
          <w:lang w:val="zh-CN"/>
        </w:rPr>
        <w:t>2.</w:t>
      </w:r>
      <w:r>
        <w:rPr>
          <w:rFonts w:hint="eastAsia" w:asciiTheme="minorEastAsia" w:hAnsiTheme="minorEastAsia" w:eastAsiaTheme="minorEastAsia"/>
          <w:b/>
          <w:bCs/>
          <w:color w:val="auto"/>
          <w:sz w:val="24"/>
          <w:highlight w:val="none"/>
        </w:rPr>
        <w:t>18</w:t>
      </w:r>
      <w:r>
        <w:rPr>
          <w:rFonts w:hint="eastAsia" w:asciiTheme="minorEastAsia" w:hAnsiTheme="minorEastAsia" w:eastAsiaTheme="minorEastAsia"/>
          <w:b/>
          <w:bCs/>
          <w:color w:val="auto"/>
          <w:sz w:val="24"/>
          <w:highlight w:val="none"/>
          <w:lang w:val="zh-CN"/>
        </w:rPr>
        <w:t xml:space="preserve"> 合同份数</w:t>
      </w:r>
      <w:bookmarkEnd w:id="187"/>
      <w:bookmarkEnd w:id="188"/>
      <w:bookmarkEnd w:id="189"/>
    </w:p>
    <w:p w14:paraId="6BC3480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合同份数按</w:t>
      </w:r>
      <w:r>
        <w:rPr>
          <w:rFonts w:asciiTheme="minorEastAsia" w:hAnsiTheme="minorEastAsia" w:eastAsiaTheme="minorEastAsia"/>
          <w:b/>
          <w:i/>
          <w:color w:val="auto"/>
          <w:sz w:val="24"/>
          <w:highlight w:val="none"/>
          <w:u w:val="single"/>
        </w:rPr>
        <w:t>合同专用条款</w:t>
      </w:r>
      <w:r>
        <w:rPr>
          <w:rFonts w:asciiTheme="minorEastAsia" w:hAnsiTheme="minorEastAsia" w:eastAsiaTheme="minorEastAsia"/>
          <w:color w:val="auto"/>
          <w:sz w:val="24"/>
          <w:highlight w:val="none"/>
        </w:rPr>
        <w:t>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每份均具有同等法律效力</w:t>
      </w:r>
      <w:r>
        <w:rPr>
          <w:rFonts w:hint="eastAsia" w:asciiTheme="minorEastAsia" w:hAnsiTheme="minorEastAsia" w:eastAsiaTheme="minorEastAsia"/>
          <w:color w:val="auto"/>
          <w:sz w:val="24"/>
          <w:highlight w:val="none"/>
        </w:rPr>
        <w:t>。</w:t>
      </w:r>
    </w:p>
    <w:p w14:paraId="294E1C8A">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bookmarkStart w:id="190" w:name="_Toc331685784"/>
      <w:bookmarkStart w:id="191" w:name="_Toc14669"/>
      <w:r>
        <w:rPr>
          <w:rFonts w:hint="eastAsia" w:asciiTheme="minorEastAsia" w:hAnsiTheme="minorEastAsia" w:eastAsiaTheme="minorEastAsia"/>
          <w:b/>
          <w:color w:val="auto"/>
          <w:sz w:val="24"/>
          <w:highlight w:val="none"/>
        </w:rPr>
        <w:t>第三部分</w:t>
      </w:r>
      <w:r>
        <w:rPr>
          <w:rFonts w:asciiTheme="minorEastAsia" w:hAnsiTheme="minorEastAsia" w:eastAsiaTheme="minorEastAsia"/>
          <w:b/>
          <w:color w:val="auto"/>
          <w:sz w:val="24"/>
          <w:highlight w:val="none"/>
        </w:rPr>
        <w:t xml:space="preserve"> </w:t>
      </w:r>
      <w:r>
        <w:rPr>
          <w:rFonts w:hint="eastAsia" w:asciiTheme="minorEastAsia" w:hAnsiTheme="minorEastAsia" w:eastAsiaTheme="minorEastAsia"/>
          <w:b/>
          <w:color w:val="auto"/>
          <w:sz w:val="24"/>
          <w:highlight w:val="none"/>
        </w:rPr>
        <w:t>合同专用条款</w:t>
      </w:r>
      <w:bookmarkEnd w:id="190"/>
      <w:bookmarkEnd w:id="191"/>
    </w:p>
    <w:p w14:paraId="1649DDC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本部分</w:t>
      </w:r>
      <w:r>
        <w:rPr>
          <w:rFonts w:asciiTheme="minorEastAsia" w:hAnsiTheme="minorEastAsia" w:eastAsiaTheme="minorEastAsia"/>
          <w:color w:val="auto"/>
          <w:sz w:val="24"/>
          <w:highlight w:val="none"/>
        </w:rPr>
        <w:t>是对</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部分的补充和修改</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如果</w:t>
      </w:r>
      <w:r>
        <w:rPr>
          <w:rFonts w:hint="eastAsia" w:asciiTheme="minorEastAsia" w:hAnsiTheme="minorEastAsia" w:eastAsiaTheme="minorEastAsia"/>
          <w:color w:val="auto"/>
          <w:sz w:val="24"/>
          <w:highlight w:val="none"/>
        </w:rPr>
        <w:t>前两</w:t>
      </w:r>
      <w:r>
        <w:rPr>
          <w:rFonts w:asciiTheme="minorEastAsia" w:hAnsiTheme="minorEastAsia" w:eastAsiaTheme="minorEastAsia"/>
          <w:color w:val="auto"/>
          <w:sz w:val="24"/>
          <w:highlight w:val="none"/>
        </w:rPr>
        <w:t>部分和本部分的约定不一致</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应以本部分的约定为准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本部分的条款号应与</w:t>
      </w:r>
      <w:r>
        <w:rPr>
          <w:rFonts w:hint="eastAsia" w:asciiTheme="minorEastAsia" w:hAnsiTheme="minorEastAsia" w:eastAsiaTheme="minorEastAsia"/>
          <w:color w:val="auto"/>
          <w:sz w:val="24"/>
          <w:highlight w:val="none"/>
        </w:rPr>
        <w:t>前两部分</w:t>
      </w:r>
      <w:r>
        <w:rPr>
          <w:rFonts w:asciiTheme="minorEastAsia" w:hAnsiTheme="minorEastAsia" w:eastAsiaTheme="minorEastAsia"/>
          <w:color w:val="auto"/>
          <w:sz w:val="24"/>
          <w:highlight w:val="none"/>
        </w:rPr>
        <w:t>的条款号保持对应</w:t>
      </w:r>
      <w:r>
        <w:rPr>
          <w:rFonts w:hint="eastAsia" w:asciiTheme="minorEastAsia" w:hAnsiTheme="minorEastAsia" w:eastAsiaTheme="minorEastAsia"/>
          <w:color w:val="auto"/>
          <w:sz w:val="24"/>
          <w:highlight w:val="none"/>
        </w:rPr>
        <w:t>；与前两部分</w:t>
      </w:r>
      <w:r>
        <w:rPr>
          <w:rFonts w:asciiTheme="minorEastAsia" w:hAnsiTheme="minorEastAsia" w:eastAsiaTheme="minorEastAsia"/>
          <w:color w:val="auto"/>
          <w:sz w:val="24"/>
          <w:highlight w:val="none"/>
        </w:rPr>
        <w:t>无对应关系的内容可另行编制条款号</w:t>
      </w:r>
      <w:r>
        <w:rPr>
          <w:rFonts w:hint="eastAsia" w:asciiTheme="minorEastAsia" w:hAnsiTheme="minorEastAsia" w:eastAsiaTheme="minorEastAsia"/>
          <w:color w:val="auto"/>
          <w:sz w:val="24"/>
          <w:highlight w:val="none"/>
        </w:rPr>
        <w:t>。</w:t>
      </w:r>
    </w:p>
    <w:tbl>
      <w:tblPr>
        <w:tblStyle w:val="2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3"/>
        <w:gridCol w:w="7569"/>
      </w:tblGrid>
      <w:tr w14:paraId="714224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4" w:type="pct"/>
            <w:tcBorders>
              <w:left w:val="single" w:color="auto" w:sz="4" w:space="0"/>
            </w:tcBorders>
            <w:vAlign w:val="center"/>
          </w:tcPr>
          <w:p w14:paraId="3CAEC857">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rPr>
            </w:pPr>
            <w:r>
              <w:rPr>
                <w:rFonts w:hint="default" w:asciiTheme="minorEastAsia" w:hAnsiTheme="minorEastAsia" w:eastAsiaTheme="minorEastAsia"/>
                <w:b/>
                <w:color w:val="auto"/>
                <w:sz w:val="24"/>
                <w:szCs w:val="20"/>
                <w:highlight w:val="none"/>
              </w:rPr>
              <w:t>条款号</w:t>
            </w:r>
          </w:p>
        </w:tc>
        <w:tc>
          <w:tcPr>
            <w:tcW w:w="4525" w:type="pct"/>
            <w:vAlign w:val="center"/>
          </w:tcPr>
          <w:p w14:paraId="2C68BA2D">
            <w:pPr>
              <w:keepNext w:val="0"/>
              <w:keepLines w:val="0"/>
              <w:suppressLineNumbers w:val="0"/>
              <w:spacing w:before="0" w:beforeAutospacing="0" w:after="0" w:afterAutospacing="0"/>
              <w:ind w:left="0" w:right="0"/>
              <w:jc w:val="center"/>
              <w:rPr>
                <w:rFonts w:hint="eastAsia" w:asciiTheme="minorEastAsia" w:hAnsiTheme="minorEastAsia" w:eastAsiaTheme="minorEastAsia"/>
                <w:b/>
                <w:color w:val="auto"/>
                <w:sz w:val="24"/>
                <w:szCs w:val="20"/>
                <w:highlight w:val="none"/>
              </w:rPr>
            </w:pPr>
            <w:r>
              <w:rPr>
                <w:rFonts w:hint="default" w:asciiTheme="minorEastAsia" w:hAnsiTheme="minorEastAsia" w:eastAsiaTheme="minorEastAsia"/>
                <w:b/>
                <w:color w:val="auto"/>
                <w:sz w:val="24"/>
                <w:szCs w:val="20"/>
                <w:highlight w:val="none"/>
              </w:rPr>
              <w:t>约定内容</w:t>
            </w:r>
          </w:p>
        </w:tc>
      </w:tr>
      <w:tr w14:paraId="634B5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4" w:type="pct"/>
            <w:tcBorders>
              <w:left w:val="single" w:color="auto" w:sz="4" w:space="0"/>
            </w:tcBorders>
            <w:vAlign w:val="center"/>
          </w:tcPr>
          <w:p w14:paraId="6F3331FC">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rPr>
            </w:pPr>
          </w:p>
        </w:tc>
        <w:tc>
          <w:tcPr>
            <w:tcW w:w="4525" w:type="pct"/>
            <w:vAlign w:val="center"/>
          </w:tcPr>
          <w:p w14:paraId="4DBBE6CF">
            <w:pPr>
              <w:keepNext w:val="0"/>
              <w:keepLines w:val="0"/>
              <w:suppressLineNumbers w:val="0"/>
              <w:spacing w:before="0" w:beforeAutospacing="0" w:after="0" w:afterAutospacing="0" w:line="360" w:lineRule="auto"/>
              <w:ind w:left="0" w:right="0" w:firstLine="435"/>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eastAsia="zh-CN"/>
              </w:rPr>
              <w:t>项目</w:t>
            </w:r>
            <w:r>
              <w:rPr>
                <w:rFonts w:hint="eastAsia" w:asciiTheme="minorEastAsia" w:hAnsiTheme="minorEastAsia" w:eastAsiaTheme="minorEastAsia"/>
                <w:color w:val="auto"/>
                <w:sz w:val="24"/>
                <w:szCs w:val="20"/>
                <w:highlight w:val="none"/>
                <w:lang w:val="en-US" w:eastAsia="zh-CN"/>
              </w:rPr>
              <w:t>负责人</w:t>
            </w:r>
            <w:r>
              <w:rPr>
                <w:rFonts w:hint="eastAsia" w:asciiTheme="minorEastAsia" w:hAnsiTheme="minorEastAsia" w:eastAsiaTheme="minorEastAsia"/>
                <w:color w:val="auto"/>
                <w:sz w:val="24"/>
                <w:szCs w:val="20"/>
                <w:highlight w:val="none"/>
                <w:lang w:eastAsia="zh-CN"/>
              </w:rPr>
              <w:t>及团队成员</w:t>
            </w:r>
            <w:r>
              <w:rPr>
                <w:rFonts w:hint="eastAsia" w:asciiTheme="minorEastAsia" w:hAnsiTheme="minorEastAsia" w:eastAsiaTheme="minorEastAsia"/>
                <w:color w:val="auto"/>
                <w:sz w:val="24"/>
                <w:szCs w:val="20"/>
                <w:highlight w:val="none"/>
                <w:lang w:val="en-US" w:eastAsia="zh-CN"/>
              </w:rPr>
              <w:t>在服务期</w:t>
            </w:r>
            <w:r>
              <w:rPr>
                <w:rFonts w:hint="eastAsia" w:asciiTheme="minorEastAsia" w:hAnsiTheme="minorEastAsia" w:eastAsiaTheme="minorEastAsia"/>
                <w:color w:val="auto"/>
                <w:sz w:val="24"/>
                <w:szCs w:val="20"/>
                <w:highlight w:val="none"/>
                <w:lang w:eastAsia="zh-CN"/>
              </w:rPr>
              <w:t>内，如有任何变更需经招标单位同意后由同等职称、资历的人员替换，否则按</w:t>
            </w:r>
            <w:r>
              <w:rPr>
                <w:rFonts w:hint="eastAsia" w:asciiTheme="minorEastAsia" w:hAnsiTheme="minorEastAsia" w:eastAsiaTheme="minorEastAsia"/>
                <w:color w:val="auto"/>
                <w:sz w:val="24"/>
                <w:szCs w:val="20"/>
                <w:highlight w:val="none"/>
                <w:lang w:val="en-US" w:eastAsia="zh-CN"/>
              </w:rPr>
              <w:t>1人次扣除合同款5%违约金计算</w:t>
            </w:r>
            <w:r>
              <w:rPr>
                <w:rFonts w:hint="eastAsia" w:asciiTheme="minorEastAsia" w:hAnsiTheme="minorEastAsia" w:eastAsiaTheme="minorEastAsia"/>
                <w:color w:val="auto"/>
                <w:sz w:val="24"/>
                <w:szCs w:val="20"/>
                <w:highlight w:val="none"/>
                <w:lang w:eastAsia="zh-CN"/>
              </w:rPr>
              <w:t>。</w:t>
            </w:r>
          </w:p>
        </w:tc>
      </w:tr>
      <w:tr w14:paraId="472FD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3116E2CF">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rPr>
            </w:pPr>
          </w:p>
        </w:tc>
        <w:tc>
          <w:tcPr>
            <w:tcW w:w="4525" w:type="pct"/>
            <w:vAlign w:val="center"/>
          </w:tcPr>
          <w:p w14:paraId="4D289B7A">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lang w:val="en-US" w:eastAsia="zh-CN"/>
              </w:rPr>
            </w:pPr>
          </w:p>
        </w:tc>
      </w:tr>
      <w:tr w14:paraId="2D43F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04E92411">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rPr>
            </w:pPr>
          </w:p>
        </w:tc>
        <w:tc>
          <w:tcPr>
            <w:tcW w:w="4525" w:type="pct"/>
            <w:vAlign w:val="center"/>
          </w:tcPr>
          <w:p w14:paraId="7CBBA615">
            <w:pPr>
              <w:keepNext w:val="0"/>
              <w:keepLines w:val="0"/>
              <w:suppressLineNumbers w:val="0"/>
              <w:spacing w:before="0" w:beforeAutospacing="0" w:after="0" w:afterAutospacing="0" w:line="360" w:lineRule="auto"/>
              <w:ind w:left="0" w:right="0" w:firstLine="435"/>
              <w:rPr>
                <w:rFonts w:hint="default" w:asciiTheme="minorEastAsia" w:hAnsiTheme="minorEastAsia" w:eastAsiaTheme="minorEastAsia"/>
                <w:color w:val="auto"/>
                <w:sz w:val="24"/>
                <w:szCs w:val="20"/>
                <w:highlight w:val="none"/>
                <w:lang w:val="en-US" w:eastAsia="zh-CN"/>
              </w:rPr>
            </w:pPr>
          </w:p>
        </w:tc>
      </w:tr>
      <w:tr w14:paraId="23FEE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74" w:type="pct"/>
            <w:tcBorders>
              <w:left w:val="single" w:color="auto" w:sz="4" w:space="0"/>
            </w:tcBorders>
            <w:vAlign w:val="center"/>
          </w:tcPr>
          <w:p w14:paraId="38F5F9C7">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lang w:val="en-US" w:eastAsia="zh-CN"/>
              </w:rPr>
            </w:pPr>
          </w:p>
        </w:tc>
        <w:tc>
          <w:tcPr>
            <w:tcW w:w="4525" w:type="pct"/>
            <w:vAlign w:val="center"/>
          </w:tcPr>
          <w:p w14:paraId="70C8A844">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lang w:val="en-US" w:eastAsia="zh-CN"/>
              </w:rPr>
            </w:pPr>
          </w:p>
        </w:tc>
      </w:tr>
      <w:tr w14:paraId="588BC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4" w:type="pct"/>
            <w:tcBorders>
              <w:left w:val="single" w:color="auto" w:sz="4" w:space="0"/>
            </w:tcBorders>
            <w:vAlign w:val="center"/>
          </w:tcPr>
          <w:p w14:paraId="7452D392">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rPr>
            </w:pPr>
          </w:p>
        </w:tc>
        <w:tc>
          <w:tcPr>
            <w:tcW w:w="4525" w:type="pct"/>
            <w:vAlign w:val="center"/>
          </w:tcPr>
          <w:p w14:paraId="3FF33750">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lang w:val="en-US" w:eastAsia="zh-CN"/>
              </w:rPr>
            </w:pPr>
          </w:p>
        </w:tc>
      </w:tr>
      <w:tr w14:paraId="57F24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6010C42D">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rPr>
            </w:pPr>
          </w:p>
        </w:tc>
        <w:tc>
          <w:tcPr>
            <w:tcW w:w="4525" w:type="pct"/>
            <w:vAlign w:val="center"/>
          </w:tcPr>
          <w:p w14:paraId="681EFF3D">
            <w:pPr>
              <w:keepNext w:val="0"/>
              <w:keepLines w:val="0"/>
              <w:suppressLineNumbers w:val="0"/>
              <w:spacing w:before="0" w:beforeAutospacing="0" w:after="0" w:afterAutospacing="0" w:line="360" w:lineRule="auto"/>
              <w:ind w:left="0" w:right="0" w:firstLine="435"/>
              <w:rPr>
                <w:rFonts w:hint="eastAsia" w:asciiTheme="minorEastAsia" w:hAnsiTheme="minorEastAsia" w:eastAsiaTheme="minorEastAsia"/>
                <w:color w:val="auto"/>
                <w:sz w:val="24"/>
                <w:szCs w:val="20"/>
                <w:highlight w:val="none"/>
              </w:rPr>
            </w:pPr>
          </w:p>
        </w:tc>
      </w:tr>
      <w:tr w14:paraId="5089C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5A658F8E">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c>
          <w:tcPr>
            <w:tcW w:w="4525" w:type="pct"/>
            <w:vAlign w:val="center"/>
          </w:tcPr>
          <w:p w14:paraId="51CE9708">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r>
      <w:tr w14:paraId="381CD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left w:val="single" w:color="auto" w:sz="4" w:space="0"/>
            </w:tcBorders>
            <w:vAlign w:val="center"/>
          </w:tcPr>
          <w:p w14:paraId="3848651A">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c>
          <w:tcPr>
            <w:tcW w:w="4525" w:type="pct"/>
            <w:vAlign w:val="center"/>
          </w:tcPr>
          <w:p w14:paraId="30FDBE16">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r>
      <w:tr w14:paraId="0A79D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0DEE63A7">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2E31F7A2">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r>
      <w:tr w14:paraId="21854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4" w:type="pct"/>
            <w:tcBorders>
              <w:top w:val="single" w:color="auto" w:sz="6" w:space="0"/>
              <w:left w:val="single" w:color="auto" w:sz="4" w:space="0"/>
              <w:bottom w:val="single" w:color="auto" w:sz="6" w:space="0"/>
              <w:right w:val="single" w:color="auto" w:sz="6" w:space="0"/>
            </w:tcBorders>
            <w:vAlign w:val="center"/>
          </w:tcPr>
          <w:p w14:paraId="6D6CB1D7">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6B2E3F92">
            <w:pPr>
              <w:keepNext w:val="0"/>
              <w:keepLines w:val="0"/>
              <w:suppressLineNumbers w:val="0"/>
              <w:spacing w:before="0" w:beforeAutospacing="0" w:after="0" w:afterAutospacing="0" w:line="560" w:lineRule="exact"/>
              <w:ind w:left="0" w:right="0"/>
              <w:rPr>
                <w:rFonts w:hint="eastAsia" w:asciiTheme="minorEastAsia" w:hAnsiTheme="minorEastAsia" w:eastAsiaTheme="minorEastAsia"/>
                <w:color w:val="auto"/>
                <w:sz w:val="24"/>
                <w:szCs w:val="20"/>
                <w:highlight w:val="none"/>
              </w:rPr>
            </w:pPr>
          </w:p>
        </w:tc>
      </w:tr>
    </w:tbl>
    <w:p w14:paraId="0FB626CD">
      <w:pPr>
        <w:spacing w:line="360" w:lineRule="auto"/>
        <w:rPr>
          <w:rFonts w:hint="eastAsia"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47C169C5">
      <w:pPr>
        <w:spacing w:line="360" w:lineRule="auto"/>
        <w:jc w:val="center"/>
        <w:outlineLvl w:val="0"/>
        <w:rPr>
          <w:rFonts w:hint="eastAsia" w:asciiTheme="minorEastAsia" w:hAnsiTheme="minorEastAsia" w:eastAsiaTheme="minorEastAsia"/>
          <w:b/>
          <w:color w:val="auto"/>
          <w:sz w:val="28"/>
          <w:highlight w:val="none"/>
        </w:rPr>
      </w:pPr>
      <w:bookmarkStart w:id="192" w:name="_Toc16475"/>
      <w:bookmarkStart w:id="193" w:name="_Toc2430"/>
      <w:bookmarkStart w:id="194" w:name="_Toc25148"/>
      <w:r>
        <w:rPr>
          <w:rFonts w:hint="eastAsia" w:asciiTheme="minorEastAsia" w:hAnsiTheme="minorEastAsia" w:eastAsiaTheme="minorEastAsia"/>
          <w:b/>
          <w:color w:val="auto"/>
          <w:sz w:val="28"/>
          <w:highlight w:val="none"/>
        </w:rPr>
        <w:t>第六章  响应文件格式</w:t>
      </w:r>
      <w:bookmarkEnd w:id="192"/>
      <w:bookmarkEnd w:id="193"/>
      <w:bookmarkEnd w:id="194"/>
    </w:p>
    <w:p w14:paraId="1702D69D">
      <w:pPr>
        <w:spacing w:line="900" w:lineRule="exact"/>
        <w:jc w:val="center"/>
        <w:rPr>
          <w:rFonts w:hint="eastAsia" w:asciiTheme="minorEastAsia" w:hAnsiTheme="minorEastAsia" w:eastAsiaTheme="minorEastAsia"/>
          <w:b/>
          <w:color w:val="auto"/>
          <w:sz w:val="72"/>
          <w:highlight w:val="none"/>
        </w:rPr>
      </w:pPr>
    </w:p>
    <w:p w14:paraId="6D5E1364">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12755D99">
      <w:pPr>
        <w:spacing w:line="900" w:lineRule="exact"/>
        <w:jc w:val="center"/>
        <w:rPr>
          <w:rFonts w:hint="eastAsia" w:asciiTheme="minorEastAsia" w:hAnsiTheme="minorEastAsia" w:eastAsiaTheme="minorEastAsia"/>
          <w:b/>
          <w:color w:val="auto"/>
          <w:sz w:val="72"/>
          <w:highlight w:val="none"/>
        </w:rPr>
      </w:pPr>
    </w:p>
    <w:p w14:paraId="79A25EB0">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400CA1B6">
      <w:pPr>
        <w:spacing w:line="900" w:lineRule="exact"/>
        <w:jc w:val="center"/>
        <w:rPr>
          <w:rFonts w:hint="eastAsia" w:asciiTheme="minorEastAsia" w:hAnsiTheme="minorEastAsia" w:eastAsiaTheme="minorEastAsia"/>
          <w:b/>
          <w:color w:val="auto"/>
          <w:sz w:val="72"/>
          <w:highlight w:val="none"/>
        </w:rPr>
      </w:pPr>
    </w:p>
    <w:p w14:paraId="55A98F19">
      <w:pPr>
        <w:spacing w:line="900" w:lineRule="exact"/>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1117B576">
      <w:pPr>
        <w:spacing w:line="900" w:lineRule="exact"/>
        <w:jc w:val="center"/>
        <w:rPr>
          <w:rFonts w:hint="eastAsia" w:asciiTheme="minorEastAsia" w:hAnsiTheme="minorEastAsia" w:eastAsiaTheme="minorEastAsia"/>
          <w:b/>
          <w:color w:val="auto"/>
          <w:sz w:val="72"/>
          <w:highlight w:val="none"/>
        </w:rPr>
      </w:pPr>
    </w:p>
    <w:p w14:paraId="5D03CC19">
      <w:pPr>
        <w:jc w:val="center"/>
        <w:outlineLvl w:val="2"/>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76BEB80C">
      <w:pPr>
        <w:spacing w:after="156" w:afterLines="50"/>
        <w:jc w:val="center"/>
        <w:rPr>
          <w:rFonts w:hint="eastAsia" w:asciiTheme="minorEastAsia" w:hAnsiTheme="minorEastAsia" w:eastAsiaTheme="minorEastAsia"/>
          <w:b/>
          <w:color w:val="auto"/>
          <w:sz w:val="72"/>
          <w:highlight w:val="none"/>
        </w:rPr>
      </w:pPr>
    </w:p>
    <w:p w14:paraId="05EF35F4">
      <w:pPr>
        <w:pStyle w:val="10"/>
        <w:spacing w:after="0" w:line="360" w:lineRule="auto"/>
        <w:ind w:firstLine="640" w:firstLineChars="200"/>
        <w:jc w:val="center"/>
        <w:rPr>
          <w:rFonts w:hint="eastAsia" w:ascii="宋体" w:hAnsi="宋体" w:eastAsia="宋体"/>
          <w:color w:val="auto"/>
          <w:sz w:val="32"/>
          <w:szCs w:val="32"/>
          <w:highlight w:val="none"/>
          <w:lang w:val="en-US"/>
        </w:rPr>
      </w:pPr>
    </w:p>
    <w:p w14:paraId="740EFB3B">
      <w:pPr>
        <w:spacing w:after="156" w:afterLines="50" w:line="500" w:lineRule="exact"/>
        <w:rPr>
          <w:rFonts w:hint="eastAsia" w:asciiTheme="minorEastAsia" w:hAnsiTheme="minorEastAsia" w:eastAsiaTheme="minorEastAsia"/>
          <w:b/>
          <w:color w:val="auto"/>
          <w:sz w:val="72"/>
          <w:highlight w:val="none"/>
        </w:rPr>
      </w:pPr>
    </w:p>
    <w:p w14:paraId="127881F6">
      <w:pPr>
        <w:spacing w:after="156" w:afterLines="50" w:line="500" w:lineRule="exact"/>
        <w:jc w:val="center"/>
        <w:rPr>
          <w:rFonts w:hint="eastAsia" w:asciiTheme="minorEastAsia" w:hAnsiTheme="minorEastAsia" w:eastAsiaTheme="minorEastAsia"/>
          <w:b/>
          <w:color w:val="auto"/>
          <w:sz w:val="28"/>
          <w:szCs w:val="28"/>
          <w:highlight w:val="none"/>
        </w:rPr>
      </w:pPr>
    </w:p>
    <w:p w14:paraId="1EB9DA85">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20CC53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43D0AC7E">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B925C2D">
      <w:pPr>
        <w:spacing w:after="156" w:afterLines="50" w:line="500" w:lineRule="exact"/>
        <w:jc w:val="center"/>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5"/>
    </w:p>
    <w:p w14:paraId="145F0114">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5E649C72">
      <w:pPr>
        <w:spacing w:line="360" w:lineRule="auto"/>
        <w:jc w:val="center"/>
        <w:outlineLvl w:val="1"/>
        <w:rPr>
          <w:rFonts w:hint="eastAsia" w:asciiTheme="minorEastAsia" w:hAnsiTheme="minorEastAsia" w:eastAsiaTheme="minorEastAsia"/>
          <w:b/>
          <w:color w:val="auto"/>
          <w:sz w:val="24"/>
          <w:highlight w:val="none"/>
        </w:rPr>
      </w:pPr>
      <w:bookmarkStart w:id="196" w:name="_Toc461056631"/>
      <w:bookmarkStart w:id="197" w:name="_Toc461053086"/>
      <w:bookmarkStart w:id="198" w:name="_Toc520983587"/>
      <w:bookmarkStart w:id="199" w:name="_Toc26791"/>
      <w:bookmarkStart w:id="200" w:name="_Toc5881"/>
      <w:r>
        <w:rPr>
          <w:rFonts w:hint="eastAsia" w:asciiTheme="minorEastAsia" w:hAnsiTheme="minorEastAsia" w:eastAsiaTheme="minorEastAsia"/>
          <w:b/>
          <w:color w:val="auto"/>
          <w:sz w:val="24"/>
          <w:highlight w:val="none"/>
        </w:rPr>
        <w:t>一</w:t>
      </w:r>
      <w:bookmarkEnd w:id="196"/>
      <w:bookmarkEnd w:id="197"/>
      <w:r>
        <w:rPr>
          <w:rFonts w:hint="eastAsia" w:asciiTheme="minorEastAsia" w:hAnsiTheme="minorEastAsia" w:eastAsiaTheme="minorEastAsia"/>
          <w:b/>
          <w:color w:val="auto"/>
          <w:sz w:val="24"/>
          <w:highlight w:val="none"/>
        </w:rPr>
        <w:t>、报价表格式</w:t>
      </w:r>
      <w:bookmarkEnd w:id="198"/>
      <w:bookmarkEnd w:id="199"/>
      <w:bookmarkEnd w:id="200"/>
    </w:p>
    <w:p w14:paraId="5B153C97">
      <w:pPr>
        <w:spacing w:before="156" w:beforeLines="50" w:after="156" w:afterLines="50" w:line="360" w:lineRule="auto"/>
        <w:jc w:val="left"/>
        <w:outlineLvl w:val="2"/>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04CB9A7A">
      <w:pPr>
        <w:snapToGrid w:val="0"/>
        <w:spacing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5732E7F0">
      <w:pPr>
        <w:snapToGrid w:val="0"/>
        <w:spacing w:after="156" w:afterLines="50" w:line="360" w:lineRule="auto"/>
        <w:jc w:val="left"/>
        <w:rPr>
          <w:rFonts w:hint="eastAsia"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2D0C7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80AA30E">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供应商名称</w:t>
            </w:r>
          </w:p>
        </w:tc>
        <w:tc>
          <w:tcPr>
            <w:tcW w:w="3557" w:type="pct"/>
            <w:tcBorders>
              <w:left w:val="single" w:color="auto" w:sz="4" w:space="0"/>
            </w:tcBorders>
          </w:tcPr>
          <w:p w14:paraId="60DB2F10">
            <w:pPr>
              <w:keepNext w:val="0"/>
              <w:keepLines w:val="0"/>
              <w:suppressLineNumbers w:val="0"/>
              <w:spacing w:before="0" w:beforeAutospacing="0" w:after="0" w:afterAutospacing="0" w:line="360" w:lineRule="auto"/>
              <w:ind w:left="0" w:right="0"/>
              <w:rPr>
                <w:rFonts w:hint="eastAsia" w:ascii="宋体" w:hAnsi="宋体" w:eastAsia="宋体"/>
                <w:b/>
                <w:color w:val="auto"/>
                <w:sz w:val="24"/>
                <w:szCs w:val="20"/>
                <w:highlight w:val="none"/>
              </w:rPr>
            </w:pPr>
          </w:p>
        </w:tc>
      </w:tr>
      <w:tr w14:paraId="796B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7C1167C">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磋商范围</w:t>
            </w:r>
          </w:p>
        </w:tc>
        <w:tc>
          <w:tcPr>
            <w:tcW w:w="3557" w:type="pct"/>
            <w:tcBorders>
              <w:left w:val="single" w:color="auto" w:sz="4" w:space="0"/>
            </w:tcBorders>
            <w:vAlign w:val="center"/>
          </w:tcPr>
          <w:p w14:paraId="59F752FA">
            <w:pPr>
              <w:keepNext w:val="0"/>
              <w:keepLines w:val="0"/>
              <w:widowControl/>
              <w:suppressLineNumbers w:val="0"/>
              <w:spacing w:before="0" w:beforeAutospacing="0" w:after="0" w:afterAutospacing="0" w:line="360" w:lineRule="exact"/>
              <w:ind w:left="0" w:right="0"/>
              <w:rPr>
                <w:rFonts w:hint="eastAsia" w:ascii="宋体" w:hAnsi="宋体" w:eastAsia="宋体"/>
                <w:b/>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67AB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554B5D8">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报价</w:t>
            </w:r>
          </w:p>
          <w:p w14:paraId="75EAF72F">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（详见备注说明）</w:t>
            </w:r>
          </w:p>
        </w:tc>
        <w:tc>
          <w:tcPr>
            <w:tcW w:w="3557" w:type="pct"/>
            <w:vAlign w:val="center"/>
          </w:tcPr>
          <w:p w14:paraId="1B510D6E">
            <w:pPr>
              <w:keepNext w:val="0"/>
              <w:keepLines w:val="0"/>
              <w:suppressLineNumbers w:val="0"/>
              <w:snapToGrid w:val="0"/>
              <w:spacing w:before="0" w:beforeAutospacing="0" w:after="0" w:afterAutospacing="0" w:line="360" w:lineRule="auto"/>
              <w:ind w:left="0" w:right="0"/>
              <w:rPr>
                <w:rFonts w:hint="eastAsia" w:ascii="宋体" w:hAnsi="宋体" w:eastAsia="宋体"/>
                <w:color w:val="auto"/>
                <w:sz w:val="24"/>
                <w:szCs w:val="28"/>
                <w:highlight w:val="none"/>
              </w:rPr>
            </w:pPr>
          </w:p>
          <w:p w14:paraId="3A21E752">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5C4DCB2">
            <w:pPr>
              <w:keepNext w:val="0"/>
              <w:keepLines w:val="0"/>
              <w:suppressLineNumbers w:val="0"/>
              <w:spacing w:before="0" w:beforeAutospacing="0" w:after="0" w:afterAutospacing="0" w:line="360" w:lineRule="auto"/>
              <w:ind w:left="0" w:right="-670"/>
              <w:rPr>
                <w:rFonts w:hint="eastAsia" w:asciiTheme="minorEastAsia" w:hAnsiTheme="minorEastAsia" w:eastAsiaTheme="minorEastAsia"/>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元/年 </w:t>
            </w:r>
            <w:r>
              <w:rPr>
                <w:rFonts w:hint="eastAsia" w:ascii="宋体" w:hAnsi="宋体" w:eastAsia="宋体" w:cs="宋体"/>
                <w:bCs/>
                <w:color w:val="auto"/>
                <w:sz w:val="24"/>
                <w:szCs w:val="24"/>
                <w:highlight w:val="none"/>
                <w:u w:val="single"/>
              </w:rPr>
              <w:t xml:space="preserve"> </w:t>
            </w:r>
          </w:p>
          <w:p w14:paraId="53FFF352">
            <w:pPr>
              <w:keepNext w:val="0"/>
              <w:keepLines w:val="0"/>
              <w:suppressLineNumbers w:val="0"/>
              <w:snapToGrid w:val="0"/>
              <w:spacing w:before="0" w:beforeAutospacing="0" w:after="0" w:afterAutospacing="0" w:line="360" w:lineRule="auto"/>
              <w:ind w:left="0" w:right="0"/>
              <w:rPr>
                <w:rFonts w:hint="eastAsia" w:ascii="宋体" w:hAnsi="宋体" w:eastAsia="宋体"/>
                <w:b/>
                <w:color w:val="auto"/>
                <w:sz w:val="24"/>
                <w:szCs w:val="20"/>
                <w:highlight w:val="none"/>
              </w:rPr>
            </w:pPr>
          </w:p>
        </w:tc>
      </w:tr>
      <w:tr w14:paraId="01E3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94EE647">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备注说明</w:t>
            </w:r>
          </w:p>
        </w:tc>
        <w:tc>
          <w:tcPr>
            <w:tcW w:w="3557" w:type="pct"/>
          </w:tcPr>
          <w:p w14:paraId="21F6C2CD">
            <w:pPr>
              <w:keepNext w:val="0"/>
              <w:keepLines w:val="0"/>
              <w:suppressLineNumbers w:val="0"/>
              <w:spacing w:before="0" w:beforeAutospacing="0" w:after="0" w:afterAutospacing="0" w:line="360" w:lineRule="auto"/>
              <w:ind w:left="0" w:right="0"/>
              <w:rPr>
                <w:rFonts w:hint="eastAsia" w:ascii="宋体" w:hAnsi="宋体" w:eastAsia="宋体"/>
                <w:b/>
                <w:color w:val="auto"/>
                <w:sz w:val="24"/>
                <w:szCs w:val="20"/>
                <w:highlight w:val="none"/>
              </w:rPr>
            </w:pPr>
          </w:p>
        </w:tc>
      </w:tr>
    </w:tbl>
    <w:p w14:paraId="4B1C05F4">
      <w:pPr>
        <w:spacing w:line="360" w:lineRule="auto"/>
        <w:ind w:firstLine="4800" w:firstLineChars="2000"/>
        <w:rPr>
          <w:rFonts w:hint="eastAsia"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9070A4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805386F">
      <w:pPr>
        <w:adjustRightInd w:val="0"/>
        <w:snapToGrid w:val="0"/>
        <w:spacing w:line="360" w:lineRule="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33F8BB97">
      <w:pPr>
        <w:adjustRightInd w:val="0"/>
        <w:snapToGrid w:val="0"/>
        <w:spacing w:line="360" w:lineRule="auto"/>
        <w:ind w:firstLine="482" w:firstLineChars="200"/>
        <w:rPr>
          <w:rFonts w:hint="eastAsia"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服务及其配套的设计、采购、制造、检测、试验、运输、保险、仓储、税费以及现场落地、安装及安装耗损、调试、培训、技术服务（包括技术资料、图纸的提供）质保期内的售后服务保障等所有费用。</w:t>
      </w:r>
    </w:p>
    <w:p w14:paraId="290BA178">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5421EDEE">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3.表中大写金额与小写金额不一致的，以大写金额为准。</w:t>
      </w:r>
    </w:p>
    <w:p w14:paraId="15D2538C">
      <w:pPr>
        <w:widowControl/>
        <w:jc w:val="left"/>
        <w:rPr>
          <w:rFonts w:hint="eastAsia"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54FAE03">
      <w:pPr>
        <w:spacing w:before="156" w:beforeLines="50" w:after="156" w:afterLines="50" w:line="360" w:lineRule="auto"/>
        <w:jc w:val="left"/>
        <w:outlineLvl w:val="2"/>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p w14:paraId="77E13325">
      <w:pPr>
        <w:spacing w:line="360" w:lineRule="auto"/>
        <w:ind w:firstLine="435"/>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（仅供参考，供应商可自行制作格式）</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14:paraId="5774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14:paraId="45D6D19D">
            <w:pPr>
              <w:keepNext w:val="0"/>
              <w:keepLines w:val="0"/>
              <w:suppressLineNumbers w:val="0"/>
              <w:spacing w:before="0" w:beforeAutospacing="0" w:after="0" w:afterAutospacing="0"/>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序号</w:t>
            </w:r>
          </w:p>
        </w:tc>
        <w:tc>
          <w:tcPr>
            <w:tcW w:w="1824" w:type="pct"/>
            <w:vAlign w:val="center"/>
          </w:tcPr>
          <w:p w14:paraId="43C4D199">
            <w:pPr>
              <w:keepNext w:val="0"/>
              <w:keepLines w:val="0"/>
              <w:suppressLineNumbers w:val="0"/>
              <w:spacing w:before="0" w:beforeAutospacing="0" w:after="0" w:afterAutospacing="0"/>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服务内容</w:t>
            </w:r>
          </w:p>
        </w:tc>
        <w:tc>
          <w:tcPr>
            <w:tcW w:w="796" w:type="pct"/>
            <w:vAlign w:val="center"/>
          </w:tcPr>
          <w:p w14:paraId="7BD86FE6">
            <w:pPr>
              <w:keepNext w:val="0"/>
              <w:keepLines w:val="0"/>
              <w:suppressLineNumbers w:val="0"/>
              <w:spacing w:before="0" w:beforeAutospacing="0" w:after="0" w:afterAutospacing="0"/>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项</w:t>
            </w:r>
          </w:p>
        </w:tc>
        <w:tc>
          <w:tcPr>
            <w:tcW w:w="996" w:type="pct"/>
            <w:vAlign w:val="center"/>
          </w:tcPr>
          <w:p w14:paraId="78291685">
            <w:pPr>
              <w:keepNext w:val="0"/>
              <w:keepLines w:val="0"/>
              <w:suppressLineNumbers w:val="0"/>
              <w:spacing w:before="0" w:beforeAutospacing="0" w:after="0" w:afterAutospacing="0"/>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单价</w:t>
            </w:r>
          </w:p>
        </w:tc>
        <w:tc>
          <w:tcPr>
            <w:tcW w:w="920" w:type="pct"/>
            <w:vAlign w:val="center"/>
          </w:tcPr>
          <w:p w14:paraId="36C28888">
            <w:pPr>
              <w:keepNext w:val="0"/>
              <w:keepLines w:val="0"/>
              <w:suppressLineNumbers w:val="0"/>
              <w:spacing w:before="0" w:beforeAutospacing="0" w:after="0" w:afterAutospacing="0"/>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小计金额（元）</w:t>
            </w:r>
          </w:p>
        </w:tc>
      </w:tr>
      <w:tr w14:paraId="3AA3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14:paraId="234F88C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824" w:type="pct"/>
            <w:vAlign w:val="center"/>
          </w:tcPr>
          <w:p w14:paraId="11D7B737">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796" w:type="pct"/>
            <w:vAlign w:val="center"/>
          </w:tcPr>
          <w:p w14:paraId="591651BF">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96" w:type="pct"/>
            <w:vAlign w:val="center"/>
          </w:tcPr>
          <w:p w14:paraId="2A0B3FF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20" w:type="pct"/>
            <w:vAlign w:val="center"/>
          </w:tcPr>
          <w:p w14:paraId="3169F83D">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r>
      <w:tr w14:paraId="4DD4A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0E3B1FC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824" w:type="pct"/>
            <w:vAlign w:val="center"/>
          </w:tcPr>
          <w:p w14:paraId="5E685310">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796" w:type="pct"/>
            <w:vAlign w:val="center"/>
          </w:tcPr>
          <w:p w14:paraId="35B9EAE7">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96" w:type="pct"/>
            <w:vAlign w:val="center"/>
          </w:tcPr>
          <w:p w14:paraId="0E50187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20" w:type="pct"/>
            <w:vAlign w:val="center"/>
          </w:tcPr>
          <w:p w14:paraId="52586504">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r>
      <w:tr w14:paraId="0B63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5DEE08AA">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824" w:type="pct"/>
            <w:vAlign w:val="center"/>
          </w:tcPr>
          <w:p w14:paraId="14450EDA">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796" w:type="pct"/>
            <w:vAlign w:val="center"/>
          </w:tcPr>
          <w:p w14:paraId="4E58544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96" w:type="pct"/>
            <w:vAlign w:val="center"/>
          </w:tcPr>
          <w:p w14:paraId="472A32EC">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20" w:type="pct"/>
            <w:vAlign w:val="center"/>
          </w:tcPr>
          <w:p w14:paraId="586EFAD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r>
      <w:tr w14:paraId="59B0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1AD7640C">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default" w:ascii="宋体" w:hAnsi="宋体" w:eastAsia="宋体"/>
                <w:color w:val="auto"/>
                <w:sz w:val="24"/>
                <w:szCs w:val="20"/>
                <w:highlight w:val="none"/>
              </w:rPr>
              <w:t>…</w:t>
            </w:r>
          </w:p>
        </w:tc>
        <w:tc>
          <w:tcPr>
            <w:tcW w:w="1824" w:type="pct"/>
            <w:vAlign w:val="center"/>
          </w:tcPr>
          <w:p w14:paraId="61B5F6D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796" w:type="pct"/>
            <w:vAlign w:val="center"/>
          </w:tcPr>
          <w:p w14:paraId="07469B9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96" w:type="pct"/>
            <w:vAlign w:val="center"/>
          </w:tcPr>
          <w:p w14:paraId="6E86818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20" w:type="pct"/>
            <w:vAlign w:val="center"/>
          </w:tcPr>
          <w:p w14:paraId="1668B2F5">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r>
      <w:tr w14:paraId="11D0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79D7DF58">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1824" w:type="pct"/>
            <w:vAlign w:val="center"/>
          </w:tcPr>
          <w:p w14:paraId="0F044DE6">
            <w:pPr>
              <w:pStyle w:val="52"/>
              <w:keepNext w:val="0"/>
              <w:keepLines w:val="0"/>
              <w:suppressLineNumbers w:val="0"/>
              <w:spacing w:before="0" w:beforeAutospacing="0" w:after="0" w:afterAutospacing="0"/>
              <w:ind w:left="-108" w:right="0"/>
              <w:jc w:val="center"/>
              <w:rPr>
                <w:rFonts w:hint="eastAsia" w:ascii="宋体" w:hAnsi="宋体"/>
                <w:color w:val="auto"/>
                <w:szCs w:val="20"/>
                <w:highlight w:val="none"/>
              </w:rPr>
            </w:pPr>
            <w:r>
              <w:rPr>
                <w:rFonts w:hint="eastAsia" w:ascii="宋体" w:hAnsi="宋体"/>
                <w:color w:val="auto"/>
                <w:szCs w:val="20"/>
                <w:highlight w:val="none"/>
              </w:rPr>
              <w:t>其他费用</w:t>
            </w:r>
          </w:p>
        </w:tc>
        <w:tc>
          <w:tcPr>
            <w:tcW w:w="796" w:type="pct"/>
            <w:vAlign w:val="center"/>
          </w:tcPr>
          <w:p w14:paraId="2F6ECC99">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96" w:type="pct"/>
            <w:vAlign w:val="center"/>
          </w:tcPr>
          <w:p w14:paraId="63D3AF4F">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20" w:type="pct"/>
            <w:vAlign w:val="center"/>
          </w:tcPr>
          <w:p w14:paraId="43031028">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r>
      <w:tr w14:paraId="116E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14:paraId="394D9DB3">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1824" w:type="pct"/>
            <w:vAlign w:val="center"/>
          </w:tcPr>
          <w:p w14:paraId="3F852A1B">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default" w:ascii="宋体" w:hAnsi="宋体" w:eastAsia="宋体"/>
                <w:color w:val="auto"/>
                <w:sz w:val="24"/>
                <w:szCs w:val="20"/>
                <w:highlight w:val="none"/>
              </w:rPr>
              <w:t>……</w:t>
            </w:r>
          </w:p>
        </w:tc>
        <w:tc>
          <w:tcPr>
            <w:tcW w:w="796" w:type="pct"/>
            <w:vAlign w:val="center"/>
          </w:tcPr>
          <w:p w14:paraId="7D34EF28">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96" w:type="pct"/>
            <w:vAlign w:val="center"/>
          </w:tcPr>
          <w:p w14:paraId="3597DAF8">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c>
          <w:tcPr>
            <w:tcW w:w="920" w:type="pct"/>
            <w:vAlign w:val="center"/>
          </w:tcPr>
          <w:p w14:paraId="61EC167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r>
      <w:tr w14:paraId="1506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14:paraId="59562F8E">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b/>
                <w:color w:val="auto"/>
                <w:sz w:val="24"/>
                <w:szCs w:val="20"/>
                <w:highlight w:val="none"/>
              </w:rPr>
              <w:t>合计金额（元）</w:t>
            </w:r>
          </w:p>
        </w:tc>
        <w:tc>
          <w:tcPr>
            <w:tcW w:w="920" w:type="pct"/>
            <w:vAlign w:val="center"/>
          </w:tcPr>
          <w:p w14:paraId="63F7884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p>
        </w:tc>
      </w:tr>
    </w:tbl>
    <w:p w14:paraId="1F9FFCF3">
      <w:pPr>
        <w:spacing w:line="360" w:lineRule="auto"/>
        <w:ind w:firstLine="4800" w:firstLineChars="2000"/>
        <w:rPr>
          <w:rFonts w:hint="eastAsia"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B4E9BF0">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F035A3E">
      <w:pPr>
        <w:adjustRightInd w:val="0"/>
        <w:snapToGrid w:val="0"/>
        <w:spacing w:line="360" w:lineRule="auto"/>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520A5279">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表中所列服务为对应本项目需求的全部服务内容。如有漏项或缺项，供应商承担全部责任。</w:t>
      </w:r>
    </w:p>
    <w:p w14:paraId="0801CBB8">
      <w:pPr>
        <w:widowControl/>
        <w:jc w:val="left"/>
        <w:rPr>
          <w:rFonts w:hint="eastAsia"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4012389D">
      <w:pPr>
        <w:spacing w:line="360" w:lineRule="auto"/>
        <w:jc w:val="center"/>
        <w:outlineLvl w:val="1"/>
        <w:rPr>
          <w:rFonts w:hint="eastAsia" w:asciiTheme="minorEastAsia" w:hAnsiTheme="minorEastAsia" w:eastAsiaTheme="minorEastAsia"/>
          <w:b/>
          <w:color w:val="auto"/>
          <w:sz w:val="24"/>
          <w:highlight w:val="none"/>
        </w:rPr>
      </w:pPr>
      <w:bookmarkStart w:id="201" w:name="_Toc461053087"/>
      <w:bookmarkStart w:id="202" w:name="_Toc461056632"/>
      <w:bookmarkStart w:id="203" w:name="_Toc32436"/>
      <w:bookmarkStart w:id="204" w:name="_Toc28695"/>
      <w:bookmarkStart w:id="205" w:name="_Toc520983588"/>
      <w:r>
        <w:rPr>
          <w:rFonts w:hint="eastAsia" w:asciiTheme="minorEastAsia" w:hAnsiTheme="minorEastAsia" w:eastAsiaTheme="minorEastAsia"/>
          <w:b/>
          <w:color w:val="auto"/>
          <w:sz w:val="24"/>
          <w:highlight w:val="none"/>
        </w:rPr>
        <w:t>二</w:t>
      </w:r>
      <w:bookmarkEnd w:id="201"/>
      <w:bookmarkEnd w:id="202"/>
      <w:r>
        <w:rPr>
          <w:rFonts w:hint="eastAsia" w:asciiTheme="minorEastAsia" w:hAnsiTheme="minorEastAsia" w:eastAsiaTheme="minorEastAsia"/>
          <w:b/>
          <w:color w:val="auto"/>
          <w:sz w:val="24"/>
          <w:highlight w:val="none"/>
        </w:rPr>
        <w:t>、最后承诺报价表</w:t>
      </w:r>
      <w:bookmarkEnd w:id="203"/>
      <w:bookmarkEnd w:id="204"/>
      <w:bookmarkEnd w:id="205"/>
    </w:p>
    <w:p w14:paraId="6CB2ECBF">
      <w:pPr>
        <w:spacing w:before="156" w:beforeLines="50" w:after="156" w:afterLines="50" w:line="360" w:lineRule="auto"/>
        <w:ind w:firstLine="236" w:firstLineChars="98"/>
        <w:jc w:val="center"/>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A65F832">
      <w:pPr>
        <w:snapToGrid w:val="0"/>
        <w:spacing w:line="360" w:lineRule="auto"/>
        <w:jc w:val="left"/>
        <w:rPr>
          <w:rFonts w:hint="eastAsia"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06EE8BC5">
      <w:pPr>
        <w:snapToGrid w:val="0"/>
        <w:spacing w:after="156" w:afterLines="50" w:line="360" w:lineRule="auto"/>
        <w:jc w:val="left"/>
        <w:rPr>
          <w:rFonts w:hint="eastAsia"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69F1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BC07A2D">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供应商名称</w:t>
            </w:r>
          </w:p>
        </w:tc>
        <w:tc>
          <w:tcPr>
            <w:tcW w:w="3557" w:type="pct"/>
            <w:tcBorders>
              <w:left w:val="single" w:color="auto" w:sz="4" w:space="0"/>
            </w:tcBorders>
          </w:tcPr>
          <w:p w14:paraId="7565570A">
            <w:pPr>
              <w:keepNext w:val="0"/>
              <w:keepLines w:val="0"/>
              <w:suppressLineNumbers w:val="0"/>
              <w:spacing w:before="0" w:beforeAutospacing="0" w:after="0" w:afterAutospacing="0" w:line="360" w:lineRule="auto"/>
              <w:ind w:left="0" w:right="0"/>
              <w:rPr>
                <w:rFonts w:hint="eastAsia" w:ascii="宋体" w:hAnsi="宋体" w:eastAsia="宋体"/>
                <w:b/>
                <w:color w:val="auto"/>
                <w:sz w:val="24"/>
                <w:szCs w:val="20"/>
                <w:highlight w:val="none"/>
              </w:rPr>
            </w:pPr>
          </w:p>
        </w:tc>
      </w:tr>
      <w:tr w14:paraId="0B59A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D1FCD0">
            <w:pPr>
              <w:keepNext w:val="0"/>
              <w:keepLines w:val="0"/>
              <w:suppressLineNumbers w:val="0"/>
              <w:spacing w:before="0" w:beforeAutospacing="0" w:after="0" w:afterAutospacing="0" w:line="360" w:lineRule="exact"/>
              <w:ind w:left="0" w:right="0"/>
              <w:jc w:val="center"/>
              <w:rPr>
                <w:rFonts w:hint="eastAsia" w:ascii="宋体" w:hAnsi="宋体" w:eastAsia="宋体"/>
                <w:b/>
                <w:color w:val="auto"/>
                <w:sz w:val="24"/>
                <w:szCs w:val="20"/>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szCs w:val="20"/>
                <w:highlight w:val="none"/>
              </w:rPr>
              <w:t>范围</w:t>
            </w:r>
          </w:p>
        </w:tc>
        <w:tc>
          <w:tcPr>
            <w:tcW w:w="3557" w:type="pct"/>
            <w:tcBorders>
              <w:left w:val="single" w:color="auto" w:sz="4" w:space="0"/>
            </w:tcBorders>
            <w:vAlign w:val="center"/>
          </w:tcPr>
          <w:p w14:paraId="4E0F8772">
            <w:pPr>
              <w:keepNext w:val="0"/>
              <w:keepLines w:val="0"/>
              <w:widowControl/>
              <w:suppressLineNumbers w:val="0"/>
              <w:spacing w:before="0" w:beforeAutospacing="0" w:after="0" w:afterAutospacing="0" w:line="360" w:lineRule="exact"/>
              <w:ind w:left="0" w:right="0"/>
              <w:rPr>
                <w:rFonts w:hint="eastAsia" w:ascii="宋体" w:hAnsi="宋体" w:eastAsia="宋体"/>
                <w:b/>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1CB01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F6DB92D">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bCs/>
                <w:color w:val="auto"/>
                <w:sz w:val="24"/>
                <w:szCs w:val="28"/>
                <w:highlight w:val="none"/>
              </w:rPr>
              <w:t>最后报价</w:t>
            </w:r>
          </w:p>
          <w:p w14:paraId="4F98EBE5">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（详见备注说明）</w:t>
            </w:r>
          </w:p>
        </w:tc>
        <w:tc>
          <w:tcPr>
            <w:tcW w:w="3557" w:type="pct"/>
            <w:vAlign w:val="center"/>
          </w:tcPr>
          <w:p w14:paraId="5C1AE9F8">
            <w:pPr>
              <w:keepNext w:val="0"/>
              <w:keepLines w:val="0"/>
              <w:suppressLineNumbers w:val="0"/>
              <w:snapToGrid w:val="0"/>
              <w:spacing w:before="0" w:beforeAutospacing="0" w:after="0" w:afterAutospacing="0" w:line="360" w:lineRule="auto"/>
              <w:ind w:left="0" w:right="0"/>
              <w:rPr>
                <w:rFonts w:hint="eastAsia" w:ascii="宋体" w:hAnsi="宋体" w:eastAsia="宋体"/>
                <w:color w:val="auto"/>
                <w:sz w:val="24"/>
                <w:szCs w:val="28"/>
                <w:highlight w:val="none"/>
              </w:rPr>
            </w:pPr>
          </w:p>
          <w:p w14:paraId="560ADE1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727352BA">
            <w:pPr>
              <w:keepNext w:val="0"/>
              <w:keepLines w:val="0"/>
              <w:suppressLineNumbers w:val="0"/>
              <w:spacing w:before="0" w:beforeAutospacing="0" w:after="0" w:afterAutospacing="0" w:line="360" w:lineRule="auto"/>
              <w:ind w:left="0" w:right="-670"/>
              <w:rPr>
                <w:rFonts w:hint="eastAsia" w:ascii="宋体" w:hAnsi="宋体" w:eastAsia="宋体"/>
                <w:b/>
                <w:color w:val="auto"/>
                <w:sz w:val="24"/>
                <w:szCs w:val="20"/>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4907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779FADCE">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color w:val="auto"/>
                <w:sz w:val="24"/>
                <w:szCs w:val="20"/>
                <w:highlight w:val="none"/>
              </w:rPr>
              <w:t>备注说明</w:t>
            </w:r>
          </w:p>
        </w:tc>
        <w:tc>
          <w:tcPr>
            <w:tcW w:w="3557" w:type="pct"/>
          </w:tcPr>
          <w:p w14:paraId="1E0ADAD3">
            <w:pPr>
              <w:keepNext w:val="0"/>
              <w:keepLines w:val="0"/>
              <w:suppressLineNumbers w:val="0"/>
              <w:spacing w:before="0" w:beforeAutospacing="0" w:after="0" w:afterAutospacing="0" w:line="360" w:lineRule="auto"/>
              <w:ind w:left="0" w:right="0"/>
              <w:rPr>
                <w:rFonts w:hint="eastAsia" w:ascii="宋体" w:hAnsi="宋体" w:eastAsia="宋体"/>
                <w:b/>
                <w:color w:val="auto"/>
                <w:sz w:val="24"/>
                <w:szCs w:val="20"/>
                <w:highlight w:val="none"/>
              </w:rPr>
            </w:pPr>
            <w:r>
              <w:rPr>
                <w:rFonts w:hint="eastAsia" w:ascii="宋体" w:hAnsi="宋体" w:eastAsia="宋体"/>
                <w:b/>
                <w:i/>
                <w:color w:val="auto"/>
                <w:sz w:val="24"/>
                <w:szCs w:val="20"/>
                <w:highlight w:val="none"/>
              </w:rPr>
              <w:t>（此处可补充磋商小组根据与供应商磋商情况变动的磋商文件的内容，包括采购需求中的技术、服务要求以及合同草案条款。）</w:t>
            </w:r>
          </w:p>
        </w:tc>
      </w:tr>
      <w:tr w14:paraId="7665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BC92BD2">
            <w:pPr>
              <w:keepNext w:val="0"/>
              <w:keepLines w:val="0"/>
              <w:suppressLineNumbers w:val="0"/>
              <w:spacing w:before="0" w:beforeAutospacing="0" w:after="0" w:afterAutospacing="0" w:line="360" w:lineRule="auto"/>
              <w:ind w:left="0" w:right="0"/>
              <w:jc w:val="center"/>
              <w:rPr>
                <w:rFonts w:hint="eastAsia" w:ascii="宋体" w:hAnsi="宋体" w:eastAsia="宋体"/>
                <w:b/>
                <w:color w:val="auto"/>
                <w:sz w:val="24"/>
                <w:szCs w:val="20"/>
                <w:highlight w:val="none"/>
              </w:rPr>
            </w:pPr>
            <w:r>
              <w:rPr>
                <w:rFonts w:hint="eastAsia" w:ascii="宋体" w:hAnsi="宋体" w:eastAsia="宋体"/>
                <w:b/>
                <w:bCs/>
                <w:color w:val="auto"/>
                <w:sz w:val="24"/>
                <w:szCs w:val="28"/>
                <w:highlight w:val="none"/>
              </w:rPr>
              <w:t>磋商小组</w:t>
            </w:r>
            <w:r>
              <w:rPr>
                <w:rFonts w:hint="default" w:ascii="宋体" w:hAnsi="宋体" w:eastAsia="宋体"/>
                <w:b/>
                <w:bCs/>
                <w:color w:val="auto"/>
                <w:sz w:val="24"/>
                <w:szCs w:val="28"/>
                <w:highlight w:val="none"/>
              </w:rPr>
              <w:t>签字</w:t>
            </w:r>
          </w:p>
        </w:tc>
        <w:tc>
          <w:tcPr>
            <w:tcW w:w="3557" w:type="pct"/>
          </w:tcPr>
          <w:p w14:paraId="79132AE1">
            <w:pPr>
              <w:keepNext w:val="0"/>
              <w:keepLines w:val="0"/>
              <w:suppressLineNumbers w:val="0"/>
              <w:spacing w:before="0" w:beforeAutospacing="0" w:after="0" w:afterAutospacing="0" w:line="360" w:lineRule="auto"/>
              <w:ind w:left="0" w:right="0"/>
              <w:rPr>
                <w:rFonts w:hint="eastAsia" w:ascii="宋体" w:hAnsi="宋体" w:eastAsia="宋体"/>
                <w:b/>
                <w:color w:val="auto"/>
                <w:sz w:val="24"/>
                <w:szCs w:val="20"/>
                <w:highlight w:val="none"/>
              </w:rPr>
            </w:pPr>
          </w:p>
        </w:tc>
      </w:tr>
    </w:tbl>
    <w:p w14:paraId="0E04E6C8">
      <w:pPr>
        <w:spacing w:line="360" w:lineRule="auto"/>
        <w:ind w:firstLine="3600" w:firstLineChars="1500"/>
        <w:jc w:val="left"/>
        <w:rPr>
          <w:rFonts w:hint="eastAsia"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1CFA34E3">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D1721F3">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7118CDD1">
      <w:pPr>
        <w:spacing w:line="360" w:lineRule="auto"/>
        <w:ind w:firstLine="482" w:firstLineChars="200"/>
        <w:jc w:val="left"/>
        <w:rPr>
          <w:rFonts w:hint="eastAsia" w:ascii="宋体" w:hAnsi="宋体" w:eastAsia="宋体"/>
          <w:bCs/>
          <w:color w:val="auto"/>
          <w:sz w:val="24"/>
          <w:highlight w:val="none"/>
        </w:rPr>
      </w:pPr>
      <w:r>
        <w:rPr>
          <w:rFonts w:hint="eastAsia" w:ascii="宋体" w:hAnsi="宋体" w:eastAsia="宋体"/>
          <w:b/>
          <w:bCs/>
          <w:color w:val="auto"/>
          <w:sz w:val="24"/>
          <w:highlight w:val="none"/>
        </w:rPr>
        <w:t>1.本页《报价表》由供应商在接到报价通知后依据磋商情况填写,并在规定时间内提交。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特定分项优惠除外），而不考虑措施项目清单和规费税金清单的金额改变。</w:t>
      </w:r>
      <w:r>
        <w:rPr>
          <w:rFonts w:hint="eastAsia" w:ascii="宋体" w:hAnsi="宋体" w:eastAsia="宋体"/>
          <w:bCs/>
          <w:color w:val="auto"/>
          <w:sz w:val="24"/>
          <w:highlight w:val="none"/>
        </w:rPr>
        <w:t>此优惠率调整原则适用于合同内价格的计算及项目增减、变更时价格的计算。</w:t>
      </w:r>
    </w:p>
    <w:p w14:paraId="0A0782B7">
      <w:pPr>
        <w:adjustRightInd w:val="0"/>
        <w:snapToGrid w:val="0"/>
        <w:spacing w:line="360" w:lineRule="auto"/>
        <w:ind w:firstLine="482" w:firstLineChars="200"/>
        <w:rPr>
          <w:rFonts w:hint="eastAsia" w:ascii="宋体" w:hAnsi="宋体" w:eastAsia="宋体"/>
          <w:bCs/>
          <w:color w:val="auto"/>
          <w:sz w:val="24"/>
          <w:highlight w:val="none"/>
        </w:rPr>
      </w:pPr>
      <w:r>
        <w:rPr>
          <w:rFonts w:hint="eastAsia" w:ascii="宋体" w:hAnsi="宋体" w:eastAsia="宋体"/>
          <w:b/>
          <w:bCs/>
          <w:color w:val="auto"/>
          <w:sz w:val="24"/>
          <w:szCs w:val="28"/>
          <w:highlight w:val="none"/>
        </w:rPr>
        <w:t>2.表中大写金额与小写金额不一致的，以大写金额为准。</w:t>
      </w:r>
    </w:p>
    <w:p w14:paraId="1C1B92D4">
      <w:pPr>
        <w:widowControl/>
        <w:jc w:val="left"/>
        <w:rPr>
          <w:rFonts w:hint="eastAsia" w:ascii="宋体" w:hAnsi="宋体" w:eastAsia="宋体"/>
          <w:bCs/>
          <w:color w:val="auto"/>
          <w:sz w:val="24"/>
          <w:highlight w:val="none"/>
        </w:rPr>
      </w:pPr>
      <w:r>
        <w:rPr>
          <w:rFonts w:ascii="宋体" w:hAnsi="宋体" w:eastAsia="宋体"/>
          <w:bCs/>
          <w:color w:val="auto"/>
          <w:sz w:val="24"/>
          <w:highlight w:val="none"/>
        </w:rPr>
        <w:br w:type="page"/>
      </w:r>
    </w:p>
    <w:p w14:paraId="46E1B934">
      <w:pPr>
        <w:spacing w:line="360" w:lineRule="auto"/>
        <w:jc w:val="center"/>
        <w:outlineLvl w:val="1"/>
        <w:rPr>
          <w:rFonts w:hint="eastAsia" w:asciiTheme="minorEastAsia" w:hAnsiTheme="minorEastAsia" w:eastAsiaTheme="minorEastAsia"/>
          <w:b/>
          <w:color w:val="auto"/>
          <w:sz w:val="24"/>
          <w:highlight w:val="none"/>
        </w:rPr>
      </w:pPr>
      <w:bookmarkStart w:id="206" w:name="_Toc520983591"/>
      <w:bookmarkStart w:id="207" w:name="_Toc11500"/>
      <w:bookmarkStart w:id="208" w:name="_Toc32385"/>
      <w:r>
        <w:rPr>
          <w:rFonts w:hint="eastAsia" w:asciiTheme="minorEastAsia" w:hAnsiTheme="minorEastAsia" w:eastAsiaTheme="minorEastAsia"/>
          <w:b/>
          <w:color w:val="auto"/>
          <w:sz w:val="24"/>
          <w:highlight w:val="none"/>
        </w:rPr>
        <w:t>三、磋商响应函</w:t>
      </w:r>
      <w:bookmarkEnd w:id="206"/>
      <w:bookmarkEnd w:id="207"/>
      <w:bookmarkEnd w:id="208"/>
    </w:p>
    <w:p w14:paraId="06CB5158">
      <w:pPr>
        <w:pStyle w:val="15"/>
        <w:spacing w:line="360" w:lineRule="auto"/>
        <w:rPr>
          <w:rFonts w:hint="eastAsia" w:ascii="宋体" w:hAnsi="宋体"/>
          <w:color w:val="auto"/>
          <w:sz w:val="24"/>
          <w:highlight w:val="none"/>
        </w:rPr>
      </w:pPr>
      <w:r>
        <w:rPr>
          <w:rFonts w:hint="eastAsia" w:ascii="宋体" w:hAnsi="宋体"/>
          <w:color w:val="auto"/>
          <w:sz w:val="24"/>
          <w:highlight w:val="none"/>
        </w:rPr>
        <w:t>致：采购人</w:t>
      </w:r>
    </w:p>
    <w:p w14:paraId="4635947C">
      <w:pPr>
        <w:spacing w:line="360" w:lineRule="auto"/>
        <w:ind w:firstLine="480" w:firstLineChars="200"/>
        <w:rPr>
          <w:rFonts w:hint="eastAsia" w:ascii="宋体" w:hAnsi="宋体" w:eastAsia="宋体"/>
          <w:dstrike/>
          <w:color w:val="auto"/>
          <w:sz w:val="24"/>
          <w:highlight w:val="none"/>
        </w:rPr>
      </w:pPr>
      <w:r>
        <w:rPr>
          <w:rFonts w:hint="eastAsia" w:ascii="宋体" w:hAnsi="宋体" w:eastAsia="宋体"/>
          <w:color w:val="auto"/>
          <w:sz w:val="24"/>
          <w:highlight w:val="none"/>
        </w:rPr>
        <w:t>根据贵方的</w:t>
      </w:r>
      <w:bookmarkStart w:id="209" w:name="_Hlk44287543"/>
      <w:r>
        <w:rPr>
          <w:rFonts w:hint="eastAsia" w:ascii="宋体" w:hAnsi="宋体" w:eastAsia="宋体"/>
          <w:color w:val="auto"/>
          <w:sz w:val="24"/>
          <w:highlight w:val="none"/>
        </w:rPr>
        <w:t>竞争性磋商公告和磋商邀请</w:t>
      </w:r>
      <w:bookmarkEnd w:id="209"/>
      <w:r>
        <w:rPr>
          <w:rFonts w:hint="eastAsia" w:ascii="宋体" w:hAnsi="宋体" w:eastAsia="宋体"/>
          <w:color w:val="auto"/>
          <w:sz w:val="24"/>
          <w:highlight w:val="none"/>
        </w:rPr>
        <w:t>，我方兹宣布同意如下：</w:t>
      </w:r>
    </w:p>
    <w:p w14:paraId="5D60AB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我方根据磋商文件的规定，严格履行合同的责任和义务,并保证于买方要求的日期内完成，并通过买方验收。</w:t>
      </w:r>
    </w:p>
    <w:p w14:paraId="048DAF0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2.我方已详细审核全部磋商文件，包括磋商文件附件及更正公告（如有），我方正式认可并遵守本次磋商文件，并对磋商文件各项条款、规定及要求均无异议。</w:t>
      </w:r>
    </w:p>
    <w:p w14:paraId="5272CC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3.我方同意从磋商文件规定的磋商日期起遵循本磋商文件，并在磋商文件规定的磋商有效期之前均具有约束力。</w:t>
      </w:r>
    </w:p>
    <w:p w14:paraId="41BC37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磋商有关的任何证据、数据或资料。</w:t>
      </w:r>
    </w:p>
    <w:p w14:paraId="35563024">
      <w:pPr>
        <w:spacing w:line="360" w:lineRule="auto"/>
        <w:ind w:firstLine="480" w:firstLineChars="200"/>
        <w:rPr>
          <w:rFonts w:hint="eastAsia" w:ascii="宋体" w:hAnsi="宋体" w:eastAsia="宋体"/>
          <w:color w:val="auto"/>
          <w:sz w:val="24"/>
          <w:highlight w:val="none"/>
        </w:rPr>
      </w:pPr>
    </w:p>
    <w:p w14:paraId="092DC83C">
      <w:pPr>
        <w:spacing w:line="360" w:lineRule="auto"/>
        <w:ind w:firstLine="4800" w:firstLineChars="2000"/>
        <w:rPr>
          <w:rFonts w:hint="eastAsia"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0A7AB65">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D8F9270">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5DBBEB27">
      <w:pPr>
        <w:spacing w:line="360" w:lineRule="auto"/>
        <w:jc w:val="center"/>
        <w:outlineLvl w:val="1"/>
        <w:rPr>
          <w:rFonts w:hint="eastAsia" w:asciiTheme="minorEastAsia" w:hAnsiTheme="minorEastAsia" w:eastAsiaTheme="minorEastAsia"/>
          <w:b/>
          <w:color w:val="auto"/>
          <w:sz w:val="24"/>
          <w:highlight w:val="none"/>
        </w:rPr>
      </w:pPr>
      <w:bookmarkStart w:id="210" w:name="_Toc21328"/>
      <w:r>
        <w:rPr>
          <w:rFonts w:hint="eastAsia" w:asciiTheme="minorEastAsia" w:hAnsiTheme="minorEastAsia" w:eastAsiaTheme="minorEastAsia"/>
          <w:b/>
          <w:color w:val="auto"/>
          <w:sz w:val="24"/>
          <w:highlight w:val="none"/>
        </w:rPr>
        <w:t>四、供应商资格声明书</w:t>
      </w:r>
      <w:bookmarkEnd w:id="210"/>
    </w:p>
    <w:p w14:paraId="226E7486">
      <w:pPr>
        <w:pStyle w:val="15"/>
        <w:spacing w:line="360" w:lineRule="auto"/>
        <w:rPr>
          <w:rFonts w:hint="eastAsia" w:asciiTheme="minorEastAsia" w:hAnsiTheme="minorEastAsia" w:cstheme="minorEastAsia"/>
          <w:color w:val="auto"/>
          <w:sz w:val="24"/>
          <w:szCs w:val="24"/>
          <w:highlight w:val="none"/>
        </w:rPr>
      </w:pPr>
      <w:r>
        <w:rPr>
          <w:rFonts w:hint="eastAsia" w:ascii="宋体" w:hAnsi="宋体"/>
          <w:color w:val="auto"/>
          <w:sz w:val="24"/>
          <w:highlight w:val="none"/>
        </w:rPr>
        <w:t>致：采购人</w:t>
      </w:r>
    </w:p>
    <w:p w14:paraId="7FD3759D">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在参与本次项目磋商中，我单位承诺：</w:t>
      </w:r>
    </w:p>
    <w:p w14:paraId="7523C602">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2E21FBC8">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0F80817F">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544A75DA">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7BAD8C5">
      <w:pPr>
        <w:widowControl/>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6CD15F9C">
      <w:pPr>
        <w:widowControl/>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6B68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0E314EE1">
            <w:pPr>
              <w:keepNext w:val="0"/>
              <w:keepLines w:val="0"/>
              <w:widowControl/>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4501" w:type="dxa"/>
          </w:tcPr>
          <w:p w14:paraId="584D9D51">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681" w:type="dxa"/>
          </w:tcPr>
          <w:p w14:paraId="1449C04B">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1F24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6DF6AC66">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4501" w:type="dxa"/>
          </w:tcPr>
          <w:p w14:paraId="2610C173">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p>
        </w:tc>
        <w:tc>
          <w:tcPr>
            <w:tcW w:w="2681" w:type="dxa"/>
          </w:tcPr>
          <w:p w14:paraId="53988F92">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p>
        </w:tc>
      </w:tr>
      <w:tr w14:paraId="50EC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4B3B6255">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4501" w:type="dxa"/>
          </w:tcPr>
          <w:p w14:paraId="157875BE">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p>
        </w:tc>
        <w:tc>
          <w:tcPr>
            <w:tcW w:w="2681" w:type="dxa"/>
          </w:tcPr>
          <w:p w14:paraId="5E4F4355">
            <w:pPr>
              <w:pStyle w:val="10"/>
              <w:keepNext w:val="0"/>
              <w:keepLines w:val="0"/>
              <w:suppressLineNumbers w:val="0"/>
              <w:spacing w:before="0" w:beforeAutospacing="0" w:afterAutospacing="0"/>
              <w:ind w:left="0" w:right="0"/>
              <w:jc w:val="center"/>
              <w:rPr>
                <w:rFonts w:hint="eastAsia" w:asciiTheme="minorEastAsia" w:hAnsiTheme="minorEastAsia" w:eastAsiaTheme="minorEastAsia" w:cstheme="minorEastAsia"/>
                <w:color w:val="auto"/>
                <w:kern w:val="0"/>
                <w:sz w:val="24"/>
                <w:highlight w:val="none"/>
                <w:lang w:val="en-US" w:bidi="ar"/>
              </w:rPr>
            </w:pPr>
          </w:p>
        </w:tc>
      </w:tr>
    </w:tbl>
    <w:p w14:paraId="5043092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293CD9D7">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BA8F2DC">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9ADF549">
      <w:pPr>
        <w:spacing w:line="440" w:lineRule="exact"/>
        <w:ind w:firstLine="4800" w:firstLineChars="2000"/>
        <w:rPr>
          <w:rFonts w:hint="eastAsia" w:ascii="宋体" w:hAnsi="宋体" w:eastAsia="宋体"/>
          <w:color w:val="auto"/>
          <w:sz w:val="24"/>
          <w:szCs w:val="24"/>
          <w:highlight w:val="none"/>
          <w:u w:val="single"/>
        </w:rPr>
      </w:pPr>
    </w:p>
    <w:p w14:paraId="796033F1">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2F00E57F">
      <w:pPr>
        <w:spacing w:line="360" w:lineRule="auto"/>
        <w:jc w:val="center"/>
        <w:outlineLvl w:val="1"/>
        <w:rPr>
          <w:rFonts w:hint="eastAsia" w:asciiTheme="minorEastAsia" w:hAnsiTheme="minorEastAsia" w:eastAsiaTheme="minorEastAsia"/>
          <w:b/>
          <w:color w:val="auto"/>
          <w:sz w:val="24"/>
          <w:highlight w:val="none"/>
        </w:rPr>
      </w:pPr>
      <w:bookmarkStart w:id="211" w:name="_Toc26922"/>
      <w:bookmarkStart w:id="212" w:name="_Toc121626298"/>
      <w:bookmarkStart w:id="213" w:name="_Toc520983594"/>
      <w:bookmarkStart w:id="214" w:name="_Toc31518"/>
      <w:bookmarkStart w:id="215" w:name="_Toc204594911"/>
      <w:bookmarkStart w:id="216" w:name="_Toc516969106"/>
      <w:r>
        <w:rPr>
          <w:rFonts w:hint="eastAsia" w:asciiTheme="minorEastAsia" w:hAnsiTheme="minorEastAsia" w:eastAsiaTheme="minorEastAsia"/>
          <w:b/>
          <w:color w:val="auto"/>
          <w:sz w:val="24"/>
          <w:highlight w:val="none"/>
        </w:rPr>
        <w:t>五、授权书</w:t>
      </w:r>
      <w:bookmarkEnd w:id="211"/>
      <w:bookmarkEnd w:id="212"/>
      <w:bookmarkEnd w:id="213"/>
      <w:bookmarkEnd w:id="214"/>
      <w:bookmarkEnd w:id="215"/>
      <w:bookmarkEnd w:id="216"/>
    </w:p>
    <w:p w14:paraId="58FFE2AD">
      <w:pPr>
        <w:spacing w:line="360" w:lineRule="auto"/>
        <w:jc w:val="center"/>
        <w:rPr>
          <w:rFonts w:hint="eastAsia" w:asciiTheme="minorEastAsia" w:hAnsiTheme="minorEastAsia" w:eastAsiaTheme="minorEastAsia"/>
          <w:b/>
          <w:color w:val="auto"/>
          <w:sz w:val="24"/>
          <w:highlight w:val="none"/>
        </w:rPr>
      </w:pPr>
    </w:p>
    <w:p w14:paraId="613F6ADE">
      <w:pPr>
        <w:pStyle w:val="14"/>
        <w:snapToGrid w:val="0"/>
        <w:spacing w:line="360" w:lineRule="auto"/>
        <w:ind w:firstLine="480" w:firstLineChars="200"/>
        <w:jc w:val="left"/>
        <w:rPr>
          <w:rFonts w:hint="eastAsia"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1EFF57CE">
      <w:pPr>
        <w:pStyle w:val="14"/>
        <w:snapToGrid w:val="0"/>
        <w:spacing w:line="360" w:lineRule="auto"/>
        <w:ind w:firstLine="480" w:firstLineChars="200"/>
        <w:jc w:val="left"/>
        <w:rPr>
          <w:rFonts w:hint="eastAsia"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EB8486B">
      <w:pPr>
        <w:pStyle w:val="14"/>
        <w:snapToGrid w:val="0"/>
        <w:spacing w:line="360" w:lineRule="auto"/>
        <w:ind w:firstLine="480" w:firstLineChars="200"/>
        <w:jc w:val="left"/>
        <w:rPr>
          <w:rFonts w:hint="eastAsia"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50C8003">
      <w:pPr>
        <w:pStyle w:val="14"/>
        <w:snapToGrid w:val="0"/>
        <w:spacing w:line="360" w:lineRule="auto"/>
        <w:ind w:firstLine="480" w:firstLineChars="200"/>
        <w:jc w:val="left"/>
        <w:rPr>
          <w:rFonts w:hint="eastAsia" w:hAnsi="宋体" w:eastAsia="宋体"/>
          <w:color w:val="auto"/>
          <w:sz w:val="24"/>
          <w:highlight w:val="none"/>
        </w:rPr>
      </w:pPr>
    </w:p>
    <w:p w14:paraId="37570981">
      <w:pPr>
        <w:pStyle w:val="14"/>
        <w:snapToGrid w:val="0"/>
        <w:spacing w:line="360" w:lineRule="auto"/>
        <w:ind w:firstLine="480" w:firstLineChars="200"/>
        <w:jc w:val="left"/>
        <w:rPr>
          <w:rFonts w:hint="eastAsia" w:hAnsi="宋体" w:eastAsia="宋体"/>
          <w:color w:val="auto"/>
          <w:sz w:val="24"/>
          <w:highlight w:val="none"/>
        </w:rPr>
      </w:pPr>
    </w:p>
    <w:p w14:paraId="7F74D675">
      <w:pPr>
        <w:pStyle w:val="14"/>
        <w:snapToGrid w:val="0"/>
        <w:spacing w:line="360" w:lineRule="auto"/>
        <w:ind w:firstLine="480" w:firstLineChars="200"/>
        <w:jc w:val="left"/>
        <w:rPr>
          <w:rFonts w:hint="eastAsia" w:hAnsi="宋体" w:eastAsia="宋体"/>
          <w:color w:val="auto"/>
          <w:sz w:val="24"/>
          <w:highlight w:val="none"/>
        </w:rPr>
      </w:pPr>
    </w:p>
    <w:p w14:paraId="37D484AB">
      <w:pPr>
        <w:pStyle w:val="14"/>
        <w:snapToGrid w:val="0"/>
        <w:spacing w:line="360" w:lineRule="auto"/>
        <w:ind w:firstLine="480" w:firstLineChars="200"/>
        <w:jc w:val="left"/>
        <w:rPr>
          <w:rFonts w:hint="eastAsia" w:hAnsi="宋体" w:eastAsia="宋体"/>
          <w:color w:val="auto"/>
          <w:sz w:val="24"/>
          <w:highlight w:val="none"/>
        </w:rPr>
      </w:pPr>
    </w:p>
    <w:p w14:paraId="18984925">
      <w:pPr>
        <w:pStyle w:val="14"/>
        <w:snapToGrid w:val="0"/>
        <w:spacing w:line="360" w:lineRule="auto"/>
        <w:ind w:firstLine="480" w:firstLineChars="200"/>
        <w:jc w:val="left"/>
        <w:rPr>
          <w:rFonts w:hint="eastAsia"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5E89E2A2">
      <w:pPr>
        <w:pStyle w:val="14"/>
        <w:snapToGrid w:val="0"/>
        <w:spacing w:line="360" w:lineRule="auto"/>
        <w:ind w:firstLine="480" w:firstLineChars="200"/>
        <w:jc w:val="left"/>
        <w:rPr>
          <w:rFonts w:hint="eastAsia" w:hAnsi="宋体" w:eastAsia="宋体"/>
          <w:color w:val="auto"/>
          <w:sz w:val="24"/>
          <w:szCs w:val="28"/>
          <w:highlight w:val="none"/>
        </w:rPr>
      </w:pPr>
    </w:p>
    <w:p w14:paraId="41D4A85F">
      <w:pPr>
        <w:spacing w:line="360" w:lineRule="auto"/>
        <w:ind w:firstLine="360" w:firstLineChars="15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4429344D">
      <w:pPr>
        <w:spacing w:line="360" w:lineRule="auto"/>
        <w:rPr>
          <w:rFonts w:hint="eastAsia" w:ascii="宋体" w:hAnsi="宋体" w:eastAsia="宋体"/>
          <w:color w:val="auto"/>
          <w:sz w:val="24"/>
          <w:szCs w:val="28"/>
          <w:highlight w:val="none"/>
        </w:rPr>
      </w:pPr>
    </w:p>
    <w:p w14:paraId="4666A0FD">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DD3F6CD">
      <w:pPr>
        <w:tabs>
          <w:tab w:val="left" w:pos="630"/>
        </w:tabs>
        <w:spacing w:line="360" w:lineRule="auto"/>
        <w:ind w:firstLine="4800" w:firstLineChars="2000"/>
        <w:rPr>
          <w:rFonts w:hint="eastAsia"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7F7A47E">
      <w:pPr>
        <w:spacing w:line="360" w:lineRule="auto"/>
        <w:rPr>
          <w:rFonts w:hint="eastAsia" w:ascii="宋体" w:hAnsi="宋体" w:eastAsia="宋体"/>
          <w:color w:val="auto"/>
          <w:sz w:val="24"/>
          <w:szCs w:val="28"/>
          <w:highlight w:val="none"/>
        </w:rPr>
      </w:pPr>
    </w:p>
    <w:p w14:paraId="18DCFB96">
      <w:pPr>
        <w:spacing w:line="360" w:lineRule="auto"/>
        <w:rPr>
          <w:rFonts w:hint="eastAsia" w:ascii="宋体" w:hAnsi="宋体" w:eastAsia="宋体"/>
          <w:color w:val="auto"/>
          <w:sz w:val="24"/>
          <w:szCs w:val="28"/>
          <w:highlight w:val="none"/>
        </w:rPr>
      </w:pPr>
    </w:p>
    <w:p w14:paraId="06A06665">
      <w:pPr>
        <w:pStyle w:val="14"/>
        <w:snapToGrid w:val="0"/>
        <w:spacing w:line="360" w:lineRule="auto"/>
        <w:jc w:val="left"/>
        <w:rPr>
          <w:rFonts w:hint="eastAsia" w:hAnsi="宋体" w:eastAsia="宋体"/>
          <w:color w:val="auto"/>
          <w:sz w:val="24"/>
          <w:szCs w:val="28"/>
          <w:highlight w:val="none"/>
        </w:rPr>
      </w:pPr>
      <w:r>
        <w:rPr>
          <w:rFonts w:hint="eastAsia" w:hAnsi="宋体" w:eastAsia="宋体"/>
          <w:color w:val="auto"/>
          <w:sz w:val="24"/>
          <w:szCs w:val="28"/>
          <w:highlight w:val="none"/>
        </w:rPr>
        <w:t>注：</w:t>
      </w:r>
    </w:p>
    <w:p w14:paraId="433D7209">
      <w:pPr>
        <w:pStyle w:val="14"/>
        <w:snapToGrid w:val="0"/>
        <w:spacing w:line="360" w:lineRule="auto"/>
        <w:jc w:val="left"/>
        <w:rPr>
          <w:rFonts w:hint="eastAsia"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66164519">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484BD233">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14:paraId="5EFC0FC6">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217" w:name="_Toc28033"/>
      <w:bookmarkStart w:id="218" w:name="_Toc22233"/>
      <w:r>
        <w:rPr>
          <w:rFonts w:hint="eastAsia" w:asciiTheme="minorEastAsia" w:hAnsiTheme="minorEastAsia" w:eastAsiaTheme="minorEastAsia"/>
          <w:b/>
          <w:color w:val="auto"/>
          <w:sz w:val="24"/>
          <w:highlight w:val="none"/>
        </w:rPr>
        <w:t>六、</w:t>
      </w:r>
      <w:r>
        <w:rPr>
          <w:rFonts w:hint="eastAsia" w:ascii="宋体" w:hAnsi="宋体" w:eastAsia="宋体" w:cs="宋体"/>
          <w:b/>
          <w:bCs w:val="0"/>
          <w:color w:val="auto"/>
          <w:kern w:val="2"/>
          <w:sz w:val="24"/>
          <w:szCs w:val="24"/>
          <w:highlight w:val="none"/>
          <w:lang w:val="en-US" w:eastAsia="zh-CN" w:bidi="ar"/>
        </w:rPr>
        <w:t>诚信响应承诺书</w:t>
      </w:r>
    </w:p>
    <w:p w14:paraId="310D416A">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本人以企业法定代表人的身份郑重承诺：</w:t>
      </w:r>
    </w:p>
    <w:p w14:paraId="76AE8BC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一、将遵循公开、公正和诚实信用的原则自愿参加</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项目的磋商响应，所提供的一切材料都是真实、有效、合法的；</w:t>
      </w:r>
    </w:p>
    <w:p w14:paraId="7227AB9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2024500">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三、不出借、转让资质证书，不让他人挂靠投标，不以他人名义投标或者以其他方式弄虚作假，骗取成交；</w:t>
      </w:r>
    </w:p>
    <w:p w14:paraId="076E3B1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四、不与其他供应商相互串通响应报价，不排挤其他供应商的公平竞争、损害采购人的合法权益；</w:t>
      </w:r>
    </w:p>
    <w:p w14:paraId="1654BBA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五、不与采购人、采购代理机构或其他供应商串通响应，损害国家利益、社会公共利益或者他人的合法权益；</w:t>
      </w:r>
    </w:p>
    <w:p w14:paraId="29052E2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 xml:space="preserve">       （企业名称）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6B68409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七、严格遵守会议现场纪律，服从监管人员管理；</w:t>
      </w:r>
    </w:p>
    <w:p w14:paraId="2C8A816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八、保证成交后不转包，若有分包征得采购人同意；</w:t>
      </w:r>
    </w:p>
    <w:p w14:paraId="0A50CB85">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九、保证成交之后，按照响应文件要求提供相关后续服务；</w:t>
      </w:r>
    </w:p>
    <w:p w14:paraId="114DCDE6">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十、保证企业及所属相关人员在本次响应中无行贿等犯罪行为；</w:t>
      </w:r>
    </w:p>
    <w:p w14:paraId="33EFD65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7D4E5F">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上内容我已仔细阅读，本公司若有违反承诺内容的行为，自愿接受取消投标或者中标（成交）资格、中标（成交）无效、记入不良行为记录等有关处理，愿意承担法律责任，给采购人人造成损失的，依法承担赔偿责任。</w:t>
      </w:r>
    </w:p>
    <w:p w14:paraId="103A4CF9">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85AB487">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7283A53E">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开户银行：                        基本账户：</w:t>
      </w:r>
    </w:p>
    <w:p w14:paraId="00B02B8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供应商（签章）：                   法定代表人（签章）：</w:t>
      </w:r>
    </w:p>
    <w:p w14:paraId="3A2779D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23B390F">
      <w:pPr>
        <w:keepNext w:val="0"/>
        <w:keepLines w:val="0"/>
        <w:widowControl w:val="0"/>
        <w:suppressLineNumbers w:val="0"/>
        <w:spacing w:before="0" w:beforeAutospacing="0" w:after="0" w:afterAutospacing="0" w:line="560" w:lineRule="exact"/>
        <w:ind w:left="0" w:right="0"/>
        <w:jc w:val="right"/>
        <w:rPr>
          <w:rFonts w:hint="eastAsia" w:ascii="仿宋_GB2312" w:hAnsi="@仿宋_GB2312" w:eastAsia="仿宋_GB2312" w:cs="仿宋_GB2312"/>
          <w:color w:val="auto"/>
          <w:kern w:val="2"/>
          <w:sz w:val="32"/>
          <w:szCs w:val="32"/>
          <w:highlight w:val="none"/>
        </w:rPr>
      </w:pPr>
      <w:r>
        <w:rPr>
          <w:rFonts w:hint="eastAsia" w:ascii="宋体" w:hAnsi="宋体" w:eastAsia="宋体" w:cs="宋体"/>
          <w:color w:val="auto"/>
          <w:kern w:val="2"/>
          <w:sz w:val="21"/>
          <w:szCs w:val="21"/>
          <w:highlight w:val="none"/>
          <w:lang w:val="en-US" w:eastAsia="zh-CN" w:bidi="ar"/>
        </w:rPr>
        <w:t>日期：</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年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月 </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5047348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5ED3BC4A">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p>
    <w:p w14:paraId="1C1F7273">
      <w:pPr>
        <w:spacing w:line="360" w:lineRule="auto"/>
        <w:jc w:val="center"/>
        <w:outlineLvl w:val="1"/>
        <w:rPr>
          <w:rFonts w:hint="eastAsia" w:asciiTheme="minorEastAsia" w:hAnsiTheme="minorEastAsia" w:eastAsiaTheme="minorEastAsia"/>
          <w:b/>
          <w:color w:val="auto"/>
          <w:sz w:val="24"/>
          <w:highlight w:val="none"/>
        </w:rPr>
      </w:pPr>
    </w:p>
    <w:p w14:paraId="7940812B">
      <w:pPr>
        <w:spacing w:line="360" w:lineRule="auto"/>
        <w:jc w:val="center"/>
        <w:outlineLvl w:val="1"/>
        <w:rPr>
          <w:rFonts w:hint="eastAsia" w:asciiTheme="minorEastAsia" w:hAnsiTheme="minorEastAsia" w:eastAsiaTheme="minorEastAsia"/>
          <w:b/>
          <w:color w:val="auto"/>
          <w:sz w:val="24"/>
          <w:highlight w:val="none"/>
        </w:rPr>
      </w:pPr>
    </w:p>
    <w:p w14:paraId="408840ED">
      <w:pPr>
        <w:spacing w:line="360" w:lineRule="auto"/>
        <w:jc w:val="center"/>
        <w:outlineLvl w:val="1"/>
        <w:rPr>
          <w:rFonts w:hint="eastAsia" w:asciiTheme="minorEastAsia" w:hAnsiTheme="minorEastAsia" w:eastAsiaTheme="minorEastAsia"/>
          <w:b/>
          <w:color w:val="auto"/>
          <w:sz w:val="24"/>
          <w:highlight w:val="none"/>
        </w:rPr>
      </w:pPr>
    </w:p>
    <w:p w14:paraId="229E0CF2">
      <w:pPr>
        <w:spacing w:line="360" w:lineRule="auto"/>
        <w:jc w:val="center"/>
        <w:outlineLvl w:val="1"/>
        <w:rPr>
          <w:rFonts w:hint="eastAsia" w:asciiTheme="minorEastAsia" w:hAnsiTheme="minorEastAsia" w:eastAsiaTheme="minorEastAsia"/>
          <w:b/>
          <w:color w:val="auto"/>
          <w:sz w:val="24"/>
          <w:highlight w:val="none"/>
        </w:rPr>
      </w:pPr>
    </w:p>
    <w:p w14:paraId="729264E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1FCA3FD4">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磋商响应表</w:t>
      </w:r>
      <w:bookmarkEnd w:id="217"/>
      <w:bookmarkEnd w:id="218"/>
    </w:p>
    <w:p w14:paraId="20D6EB71">
      <w:pPr>
        <w:spacing w:line="360" w:lineRule="auto"/>
        <w:ind w:firstLine="435"/>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79E1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AB836EA">
            <w:pPr>
              <w:pStyle w:val="14"/>
              <w:keepNext w:val="0"/>
              <w:keepLines w:val="0"/>
              <w:suppressLineNumbers w:val="0"/>
              <w:spacing w:before="0" w:beforeAutospacing="0" w:after="0" w:afterAutospacing="0"/>
              <w:ind w:left="0" w:right="0"/>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67315846">
            <w:pPr>
              <w:pStyle w:val="14"/>
              <w:keepNext w:val="0"/>
              <w:keepLines w:val="0"/>
              <w:suppressLineNumbers w:val="0"/>
              <w:spacing w:before="0" w:beforeAutospacing="0" w:after="0" w:afterAutospacing="0"/>
              <w:ind w:left="0" w:right="0"/>
              <w:jc w:val="center"/>
              <w:rPr>
                <w:rFonts w:hint="eastAsia"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6597C699">
            <w:pPr>
              <w:pStyle w:val="14"/>
              <w:keepNext w:val="0"/>
              <w:keepLines w:val="0"/>
              <w:suppressLineNumbers w:val="0"/>
              <w:spacing w:before="0" w:beforeAutospacing="0" w:after="0" w:afterAutospacing="0"/>
              <w:ind w:left="0" w:right="0"/>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1510" w:type="pct"/>
            <w:vAlign w:val="center"/>
          </w:tcPr>
          <w:p w14:paraId="7EA09895">
            <w:pPr>
              <w:pStyle w:val="14"/>
              <w:keepNext w:val="0"/>
              <w:keepLines w:val="0"/>
              <w:suppressLineNumbers w:val="0"/>
              <w:spacing w:before="0" w:beforeAutospacing="0" w:after="0" w:afterAutospacing="0"/>
              <w:ind w:left="0" w:right="0"/>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13AD0F24">
            <w:pPr>
              <w:pStyle w:val="14"/>
              <w:keepNext w:val="0"/>
              <w:keepLines w:val="0"/>
              <w:suppressLineNumbers w:val="0"/>
              <w:spacing w:before="0" w:beforeAutospacing="0" w:after="0" w:afterAutospacing="0"/>
              <w:ind w:left="0" w:right="0"/>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60D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B1BA77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1</w:t>
            </w:r>
          </w:p>
        </w:tc>
        <w:tc>
          <w:tcPr>
            <w:tcW w:w="1124" w:type="pct"/>
            <w:vAlign w:val="center"/>
          </w:tcPr>
          <w:p w14:paraId="7B4DCB8F">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default" w:asciiTheme="minorEastAsia" w:hAnsiTheme="minorEastAsia" w:eastAsiaTheme="minorEastAsia"/>
                <w:color w:val="auto"/>
                <w:sz w:val="24"/>
                <w:szCs w:val="20"/>
                <w:highlight w:val="none"/>
              </w:rPr>
              <w:t>付款方式</w:t>
            </w:r>
          </w:p>
        </w:tc>
        <w:tc>
          <w:tcPr>
            <w:tcW w:w="1465" w:type="pct"/>
            <w:vAlign w:val="center"/>
          </w:tcPr>
          <w:p w14:paraId="2A02785B">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c>
          <w:tcPr>
            <w:tcW w:w="1510" w:type="pct"/>
            <w:vAlign w:val="center"/>
          </w:tcPr>
          <w:p w14:paraId="0016568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c>
          <w:tcPr>
            <w:tcW w:w="475" w:type="pct"/>
            <w:vAlign w:val="center"/>
          </w:tcPr>
          <w:p w14:paraId="4138C8F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r>
      <w:tr w14:paraId="12EEC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F9B25ED">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124" w:type="pct"/>
            <w:vAlign w:val="center"/>
          </w:tcPr>
          <w:p w14:paraId="101DE526">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服务地点</w:t>
            </w:r>
          </w:p>
        </w:tc>
        <w:tc>
          <w:tcPr>
            <w:tcW w:w="1465" w:type="pct"/>
            <w:vAlign w:val="center"/>
          </w:tcPr>
          <w:p w14:paraId="59767DE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c>
          <w:tcPr>
            <w:tcW w:w="1510" w:type="pct"/>
            <w:vAlign w:val="center"/>
          </w:tcPr>
          <w:p w14:paraId="5D8D712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c>
          <w:tcPr>
            <w:tcW w:w="475" w:type="pct"/>
            <w:vAlign w:val="center"/>
          </w:tcPr>
          <w:p w14:paraId="244C2455">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r>
      <w:tr w14:paraId="29A0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61644D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3</w:t>
            </w:r>
          </w:p>
        </w:tc>
        <w:tc>
          <w:tcPr>
            <w:tcW w:w="1124" w:type="pct"/>
            <w:vAlign w:val="center"/>
          </w:tcPr>
          <w:p w14:paraId="2F2A9491">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服务期限</w:t>
            </w:r>
          </w:p>
        </w:tc>
        <w:tc>
          <w:tcPr>
            <w:tcW w:w="1465" w:type="pct"/>
            <w:vAlign w:val="center"/>
          </w:tcPr>
          <w:p w14:paraId="2D5311FE">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c>
          <w:tcPr>
            <w:tcW w:w="1510" w:type="pct"/>
            <w:vAlign w:val="center"/>
          </w:tcPr>
          <w:p w14:paraId="4DF58F7F">
            <w:pPr>
              <w:pStyle w:val="52"/>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0"/>
                <w:highlight w:val="none"/>
              </w:rPr>
            </w:pPr>
          </w:p>
        </w:tc>
        <w:tc>
          <w:tcPr>
            <w:tcW w:w="475" w:type="pct"/>
            <w:vAlign w:val="center"/>
          </w:tcPr>
          <w:p w14:paraId="6253736D">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r>
      <w:tr w14:paraId="7F25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5A4721C">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124" w:type="pct"/>
            <w:vAlign w:val="center"/>
          </w:tcPr>
          <w:p w14:paraId="78631AC2">
            <w:pPr>
              <w:keepNext w:val="0"/>
              <w:keepLines w:val="0"/>
              <w:suppressLineNumbers w:val="0"/>
              <w:spacing w:before="0" w:beforeAutospacing="0" w:after="0" w:afterAutospacing="0"/>
              <w:ind w:left="0" w:right="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“采购需求”所列的所有内容</w:t>
            </w:r>
          </w:p>
        </w:tc>
        <w:tc>
          <w:tcPr>
            <w:tcW w:w="1465" w:type="pct"/>
            <w:vAlign w:val="center"/>
          </w:tcPr>
          <w:p w14:paraId="6D2A263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c>
          <w:tcPr>
            <w:tcW w:w="1510" w:type="pct"/>
            <w:vAlign w:val="center"/>
          </w:tcPr>
          <w:p w14:paraId="3511A42B">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c>
          <w:tcPr>
            <w:tcW w:w="475" w:type="pct"/>
            <w:vAlign w:val="center"/>
          </w:tcPr>
          <w:p w14:paraId="64575DE3">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 w:val="24"/>
                <w:szCs w:val="20"/>
                <w:highlight w:val="none"/>
              </w:rPr>
            </w:pPr>
          </w:p>
        </w:tc>
      </w:tr>
    </w:tbl>
    <w:p w14:paraId="12949105">
      <w:pPr>
        <w:spacing w:line="360" w:lineRule="auto"/>
        <w:ind w:firstLine="4800" w:firstLineChars="2000"/>
        <w:rPr>
          <w:rFonts w:hint="eastAsia" w:ascii="宋体" w:hAnsi="宋体" w:eastAsia="宋体"/>
          <w:color w:val="auto"/>
          <w:sz w:val="24"/>
          <w:highlight w:val="none"/>
        </w:rPr>
      </w:pPr>
    </w:p>
    <w:p w14:paraId="67461D2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9CAD4E9">
      <w:pPr>
        <w:tabs>
          <w:tab w:val="left" w:pos="630"/>
        </w:tabs>
        <w:spacing w:line="360" w:lineRule="auto"/>
        <w:ind w:firstLine="4800" w:firstLineChars="2000"/>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50FDD085">
      <w:pPr>
        <w:pStyle w:val="15"/>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9B2717B">
      <w:pPr>
        <w:spacing w:line="360" w:lineRule="auto"/>
        <w:jc w:val="center"/>
        <w:outlineLvl w:val="1"/>
        <w:rPr>
          <w:rFonts w:hint="eastAsia" w:asciiTheme="minorEastAsia" w:hAnsiTheme="minorEastAsia" w:eastAsiaTheme="minorEastAsia"/>
          <w:b/>
          <w:color w:val="auto"/>
          <w:sz w:val="24"/>
          <w:highlight w:val="none"/>
        </w:rPr>
      </w:pPr>
      <w:bookmarkStart w:id="219" w:name="_Toc11260"/>
      <w:bookmarkStart w:id="220" w:name="_Toc29455"/>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w:t>
      </w:r>
      <w:bookmarkEnd w:id="219"/>
      <w:bookmarkEnd w:id="220"/>
      <w:bookmarkStart w:id="221" w:name="_Toc6445"/>
      <w:bookmarkStart w:id="222" w:name="_Toc17888"/>
      <w:bookmarkStart w:id="223" w:name="_Hlk60608597"/>
      <w:r>
        <w:rPr>
          <w:rFonts w:hint="eastAsia" w:asciiTheme="minorEastAsia" w:hAnsiTheme="minorEastAsia" w:eastAsiaTheme="minorEastAsia"/>
          <w:b/>
          <w:color w:val="auto"/>
          <w:sz w:val="24"/>
          <w:highlight w:val="none"/>
        </w:rPr>
        <w:t>中小企业声明函</w:t>
      </w:r>
      <w:bookmarkEnd w:id="221"/>
      <w:bookmarkEnd w:id="222"/>
    </w:p>
    <w:p w14:paraId="25C45B7F">
      <w:pPr>
        <w:pStyle w:val="10"/>
        <w:jc w:val="center"/>
        <w:rPr>
          <w:rFonts w:hint="eastAsia" w:ascii="宋体" w:hAnsi="宋体" w:eastAsia="宋体"/>
          <w:i/>
          <w:color w:val="auto"/>
          <w:sz w:val="24"/>
          <w:highlight w:val="none"/>
          <w:lang w:val="en-US"/>
        </w:rPr>
      </w:pPr>
      <w:r>
        <w:rPr>
          <w:rFonts w:hint="eastAsia" w:ascii="宋体" w:hAnsi="宋体" w:eastAsia="宋体"/>
          <w:i/>
          <w:color w:val="auto"/>
          <w:sz w:val="24"/>
          <w:highlight w:val="none"/>
          <w:lang w:val="en-US"/>
        </w:rPr>
        <w:t>（</w:t>
      </w:r>
      <w:r>
        <w:rPr>
          <w:rFonts w:hint="eastAsia" w:ascii="宋体" w:hAnsi="宋体" w:eastAsia="宋体"/>
          <w:i/>
          <w:color w:val="auto"/>
          <w:sz w:val="24"/>
          <w:highlight w:val="none"/>
        </w:rPr>
        <w:t>非中小企业</w:t>
      </w:r>
      <w:r>
        <w:rPr>
          <w:rFonts w:hint="eastAsia" w:ascii="宋体" w:hAnsi="宋体" w:eastAsia="宋体"/>
          <w:i/>
          <w:color w:val="auto"/>
          <w:sz w:val="24"/>
          <w:highlight w:val="none"/>
          <w:lang w:val="en-US"/>
        </w:rPr>
        <w:t>磋商，不需此件，请删去“中小企业声明函”）</w:t>
      </w:r>
    </w:p>
    <w:p w14:paraId="76A1F583">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3E804ABA">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120C1BFD">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5B82C05F">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0FC2BA38">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0610FEB2">
      <w:pPr>
        <w:spacing w:line="360" w:lineRule="auto"/>
        <w:ind w:firstLine="435"/>
        <w:rPr>
          <w:rFonts w:hint="eastAsia"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59FAFD8D">
      <w:pPr>
        <w:spacing w:line="360" w:lineRule="auto"/>
        <w:ind w:firstLine="435"/>
        <w:rPr>
          <w:rFonts w:hint="eastAsia" w:asciiTheme="minorEastAsia" w:hAnsiTheme="minorEastAsia" w:eastAsiaTheme="minorEastAsia"/>
          <w:color w:val="auto"/>
          <w:sz w:val="24"/>
          <w:szCs w:val="24"/>
          <w:highlight w:val="none"/>
        </w:rPr>
      </w:pPr>
    </w:p>
    <w:p w14:paraId="71E5C508">
      <w:pPr>
        <w:spacing w:line="360" w:lineRule="auto"/>
        <w:ind w:firstLine="435"/>
        <w:rPr>
          <w:rFonts w:hint="eastAsia" w:asciiTheme="minorEastAsia" w:hAnsiTheme="minorEastAsia" w:eastAsiaTheme="minorEastAsia"/>
          <w:color w:val="auto"/>
          <w:sz w:val="24"/>
          <w:szCs w:val="24"/>
          <w:highlight w:val="none"/>
        </w:rPr>
      </w:pPr>
    </w:p>
    <w:p w14:paraId="7AD81969">
      <w:pPr>
        <w:spacing w:line="360" w:lineRule="auto"/>
        <w:ind w:firstLine="4228" w:firstLineChars="176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33F20302">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4C91B3B9">
      <w:pPr>
        <w:tabs>
          <w:tab w:val="left" w:pos="4620"/>
        </w:tabs>
        <w:spacing w:line="360" w:lineRule="auto"/>
        <w:jc w:val="left"/>
        <w:rPr>
          <w:rFonts w:hint="eastAsia" w:asciiTheme="minorEastAsia" w:hAnsiTheme="minorEastAsia" w:eastAsiaTheme="minorEastAsia"/>
          <w:color w:val="auto"/>
          <w:sz w:val="24"/>
          <w:szCs w:val="24"/>
          <w:highlight w:val="none"/>
        </w:rPr>
      </w:pPr>
    </w:p>
    <w:p w14:paraId="2EED00FB">
      <w:pPr>
        <w:tabs>
          <w:tab w:val="left" w:pos="4620"/>
        </w:tabs>
        <w:spacing w:line="360" w:lineRule="auto"/>
        <w:jc w:val="left"/>
        <w:rPr>
          <w:rFonts w:hint="eastAsia" w:asciiTheme="minorEastAsia" w:hAnsiTheme="minorEastAsia" w:eastAsiaTheme="minorEastAsia"/>
          <w:color w:val="auto"/>
          <w:sz w:val="24"/>
          <w:szCs w:val="24"/>
          <w:highlight w:val="none"/>
        </w:rPr>
      </w:pPr>
    </w:p>
    <w:p w14:paraId="3E8941C8">
      <w:pPr>
        <w:tabs>
          <w:tab w:val="left" w:pos="4620"/>
        </w:tabs>
        <w:spacing w:line="360" w:lineRule="auto"/>
        <w:jc w:val="left"/>
        <w:rPr>
          <w:rFonts w:hint="eastAsia" w:asciiTheme="minorEastAsia" w:hAnsiTheme="minorEastAsia" w:eastAsiaTheme="minorEastAsia"/>
          <w:color w:val="auto"/>
          <w:sz w:val="24"/>
          <w:szCs w:val="24"/>
          <w:highlight w:val="none"/>
        </w:rPr>
      </w:pPr>
    </w:p>
    <w:p w14:paraId="51B0912C">
      <w:pPr>
        <w:tabs>
          <w:tab w:val="left" w:pos="4620"/>
        </w:tabs>
        <w:spacing w:line="360" w:lineRule="auto"/>
        <w:jc w:val="left"/>
        <w:rPr>
          <w:rFonts w:hint="eastAsia" w:asciiTheme="minorEastAsia" w:hAnsiTheme="minorEastAsia" w:eastAsiaTheme="minorEastAsia"/>
          <w:color w:val="auto"/>
          <w:sz w:val="24"/>
          <w:szCs w:val="24"/>
          <w:highlight w:val="none"/>
        </w:rPr>
      </w:pPr>
    </w:p>
    <w:bookmarkEnd w:id="223"/>
    <w:p w14:paraId="263F489C">
      <w:pPr>
        <w:tabs>
          <w:tab w:val="left" w:pos="4620"/>
        </w:tabs>
        <w:spacing w:line="360" w:lineRule="auto"/>
        <w:jc w:val="left"/>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注：</w:t>
      </w:r>
    </w:p>
    <w:p w14:paraId="0B9A0402">
      <w:pPr>
        <w:tabs>
          <w:tab w:val="left" w:pos="4620"/>
        </w:tabs>
        <w:spacing w:line="360" w:lineRule="auto"/>
        <w:jc w:val="left"/>
        <w:rPr>
          <w:rFonts w:hint="eastAsia"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01D56FF7">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6069561F">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91310B8">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2AC8F5E3">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0626181">
      <w:pPr>
        <w:tabs>
          <w:tab w:val="left" w:pos="4620"/>
        </w:tabs>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1E2894C">
      <w:pPr>
        <w:spacing w:line="360" w:lineRule="auto"/>
        <w:jc w:val="center"/>
        <w:outlineLvl w:val="1"/>
        <w:rPr>
          <w:rFonts w:hint="eastAsia" w:asciiTheme="minorEastAsia" w:hAnsiTheme="minorEastAsia" w:eastAsiaTheme="minorEastAsia"/>
          <w:b/>
          <w:color w:val="auto"/>
          <w:sz w:val="24"/>
          <w:highlight w:val="none"/>
        </w:rPr>
      </w:pPr>
      <w:bookmarkStart w:id="224" w:name="_Toc17713"/>
      <w:bookmarkStart w:id="225" w:name="_Toc5908"/>
      <w:bookmarkStart w:id="226" w:name="_Hlk60608725"/>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、残疾人福利性单位声明函</w:t>
      </w:r>
      <w:bookmarkEnd w:id="224"/>
      <w:bookmarkEnd w:id="225"/>
    </w:p>
    <w:p w14:paraId="3AF46D55">
      <w:pPr>
        <w:pStyle w:val="10"/>
        <w:jc w:val="center"/>
        <w:rPr>
          <w:rFonts w:hint="eastAsia" w:asciiTheme="minorEastAsia" w:hAnsiTheme="minorEastAsia" w:eastAsiaTheme="minorEastAsia"/>
          <w:color w:val="auto"/>
          <w:spacing w:val="6"/>
          <w:sz w:val="24"/>
          <w:highlight w:val="none"/>
        </w:rPr>
      </w:pPr>
      <w:r>
        <w:rPr>
          <w:rFonts w:hint="eastAsia" w:ascii="宋体" w:hAnsi="宋体" w:eastAsia="宋体"/>
          <w:i/>
          <w:color w:val="auto"/>
          <w:sz w:val="24"/>
          <w:highlight w:val="none"/>
          <w:lang w:val="en-US"/>
        </w:rPr>
        <w:t>（非残疾人福利性单位磋商，请删去“残疾人福利性单位声明函”）</w:t>
      </w:r>
    </w:p>
    <w:p w14:paraId="1FE9DBC1">
      <w:pPr>
        <w:spacing w:line="360" w:lineRule="auto"/>
        <w:ind w:firstLine="435"/>
        <w:rPr>
          <w:rFonts w:hint="eastAsia"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5A4CB4BD">
      <w:pPr>
        <w:spacing w:line="360" w:lineRule="auto"/>
        <w:ind w:firstLine="435"/>
        <w:rPr>
          <w:rFonts w:hint="eastAsia"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880B21E">
      <w:pPr>
        <w:spacing w:line="360" w:lineRule="auto"/>
        <w:ind w:firstLine="4228" w:firstLineChars="1762"/>
        <w:rPr>
          <w:rFonts w:hint="eastAsia" w:asciiTheme="minorEastAsia" w:hAnsiTheme="minorEastAsia" w:eastAsiaTheme="minorEastAsia"/>
          <w:color w:val="auto"/>
          <w:sz w:val="24"/>
          <w:szCs w:val="24"/>
          <w:highlight w:val="none"/>
        </w:rPr>
      </w:pPr>
    </w:p>
    <w:p w14:paraId="359A0CDC">
      <w:pPr>
        <w:spacing w:line="360" w:lineRule="auto"/>
        <w:ind w:firstLine="4228" w:firstLineChars="1762"/>
        <w:rPr>
          <w:rFonts w:hint="eastAsia" w:asciiTheme="minorEastAsia" w:hAnsiTheme="minorEastAsia" w:eastAsiaTheme="minorEastAsia"/>
          <w:color w:val="auto"/>
          <w:sz w:val="24"/>
          <w:szCs w:val="24"/>
          <w:highlight w:val="none"/>
        </w:rPr>
      </w:pPr>
    </w:p>
    <w:p w14:paraId="1B299153">
      <w:pPr>
        <w:spacing w:line="360" w:lineRule="auto"/>
        <w:ind w:firstLine="4228" w:firstLineChars="176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70BEC827">
      <w:pPr>
        <w:tabs>
          <w:tab w:val="left" w:pos="4620"/>
        </w:tabs>
        <w:spacing w:line="360" w:lineRule="auto"/>
        <w:ind w:firstLine="4252" w:firstLineChars="1772"/>
        <w:rPr>
          <w:rFonts w:hint="eastAsia"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26"/>
    <w:p w14:paraId="5AC31C19">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85C0147">
      <w:pPr>
        <w:spacing w:line="360" w:lineRule="auto"/>
        <w:jc w:val="center"/>
        <w:outlineLvl w:val="1"/>
        <w:rPr>
          <w:rFonts w:hint="eastAsia" w:asciiTheme="minorEastAsia" w:hAnsiTheme="minorEastAsia" w:eastAsiaTheme="minorEastAsia"/>
          <w:b/>
          <w:color w:val="auto"/>
          <w:sz w:val="24"/>
          <w:highlight w:val="none"/>
        </w:rPr>
      </w:pPr>
      <w:bookmarkStart w:id="227" w:name="_Toc20592"/>
      <w:bookmarkStart w:id="228" w:name="_Toc2278"/>
      <w:bookmarkStart w:id="229" w:name="_Hlk44283088"/>
      <w:r>
        <w:rPr>
          <w:rFonts w:hint="eastAsia" w:asciiTheme="minorEastAsia" w:hAnsiTheme="minorEastAsia" w:eastAsiaTheme="minorEastAsia"/>
          <w:b/>
          <w:color w:val="auto"/>
          <w:sz w:val="24"/>
          <w:highlight w:val="none"/>
          <w:lang w:val="en-US" w:eastAsia="zh-CN"/>
        </w:rPr>
        <w:t>十</w:t>
      </w:r>
      <w:r>
        <w:rPr>
          <w:rFonts w:hint="eastAsia" w:asciiTheme="minorEastAsia" w:hAnsiTheme="minorEastAsia" w:eastAsiaTheme="minorEastAsia"/>
          <w:b/>
          <w:color w:val="auto"/>
          <w:sz w:val="24"/>
          <w:highlight w:val="none"/>
        </w:rPr>
        <w:t>、诚信履约承诺函</w:t>
      </w:r>
      <w:bookmarkEnd w:id="227"/>
      <w:bookmarkEnd w:id="228"/>
    </w:p>
    <w:p w14:paraId="0A90A773">
      <w:pPr>
        <w:spacing w:line="360" w:lineRule="auto"/>
        <w:rPr>
          <w:rFonts w:hint="eastAsia" w:asciiTheme="minorEastAsia" w:hAnsiTheme="minorEastAsia" w:eastAsiaTheme="minorEastAsia"/>
          <w:b/>
          <w:bCs/>
          <w:color w:val="auto"/>
          <w:sz w:val="24"/>
          <w:highlight w:val="none"/>
        </w:rPr>
      </w:pPr>
    </w:p>
    <w:p w14:paraId="3AEAA34D">
      <w:pPr>
        <w:spacing w:line="360" w:lineRule="auto"/>
        <w:rPr>
          <w:rFonts w:hint="eastAsia"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致：采购人</w:t>
      </w:r>
    </w:p>
    <w:p w14:paraId="1EA9099E">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61FF506E">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24A21B75">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4A506454">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603E96C7">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C577020">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E6C0363">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3E0E978">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本承诺声明：</w:t>
      </w:r>
      <w:r>
        <w:rPr>
          <w:rFonts w:hint="eastAsia" w:asciiTheme="minorEastAsia" w:hAnsiTheme="minorEastAsia" w:eastAsiaTheme="minorEastAsia"/>
          <w:bCs/>
          <w:color w:val="auto"/>
          <w:sz w:val="24"/>
          <w:highlight w:val="none"/>
          <w:u w:val="single"/>
        </w:rPr>
        <w:t xml:space="preserve">                   （供应商名称）</w:t>
      </w:r>
      <w:r>
        <w:rPr>
          <w:rFonts w:hint="eastAsia" w:asciiTheme="minorEastAsia" w:hAnsiTheme="minorEastAsia" w:eastAsiaTheme="minorEastAsia"/>
          <w:bCs/>
          <w:color w:val="auto"/>
          <w:sz w:val="24"/>
          <w:highlight w:val="none"/>
        </w:rPr>
        <w:t>对本招标文件的相关要求完全响应。若有幸成交将严格按照</w:t>
      </w:r>
      <w:r>
        <w:rPr>
          <w:rFonts w:hint="eastAsia" w:asciiTheme="minorEastAsia" w:hAnsiTheme="minorEastAsia" w:eastAsiaTheme="minorEastAsia"/>
          <w:bCs/>
          <w:color w:val="auto"/>
          <w:sz w:val="24"/>
          <w:highlight w:val="none"/>
          <w:lang w:val="en-US" w:eastAsia="zh-CN"/>
        </w:rPr>
        <w:t>采购文件及采购人要求</w:t>
      </w:r>
      <w:r>
        <w:rPr>
          <w:rFonts w:hint="eastAsia" w:asciiTheme="minorEastAsia" w:hAnsiTheme="minorEastAsia" w:eastAsiaTheme="minorEastAsia"/>
          <w:bCs/>
          <w:color w:val="auto"/>
          <w:sz w:val="24"/>
          <w:highlight w:val="none"/>
        </w:rPr>
        <w:t>进行服务。</w:t>
      </w:r>
    </w:p>
    <w:p w14:paraId="0D255B86">
      <w:pPr>
        <w:spacing w:line="360" w:lineRule="auto"/>
        <w:rPr>
          <w:rFonts w:hint="eastAsia" w:asciiTheme="minorEastAsia" w:hAnsiTheme="minorEastAsia" w:eastAsiaTheme="minorEastAsia"/>
          <w:bCs/>
          <w:color w:val="auto"/>
          <w:sz w:val="24"/>
          <w:highlight w:val="none"/>
        </w:rPr>
      </w:pPr>
    </w:p>
    <w:p w14:paraId="61828BBF">
      <w:pPr>
        <w:spacing w:line="360" w:lineRule="auto"/>
        <w:ind w:firstLine="4320" w:firstLineChars="1800"/>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1F9760C">
      <w:pPr>
        <w:spacing w:line="360" w:lineRule="auto"/>
        <w:ind w:firstLine="4320" w:firstLineChars="18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1C4A458">
      <w:pPr>
        <w:widowControl/>
        <w:jc w:val="left"/>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29"/>
    <w:p w14:paraId="153ED922">
      <w:pPr>
        <w:spacing w:line="360" w:lineRule="auto"/>
        <w:jc w:val="center"/>
        <w:outlineLvl w:val="1"/>
        <w:rPr>
          <w:rFonts w:hint="eastAsia" w:asciiTheme="minorEastAsia" w:hAnsiTheme="minorEastAsia" w:eastAsiaTheme="minorEastAsia"/>
          <w:b/>
          <w:color w:val="auto"/>
          <w:sz w:val="24"/>
          <w:highlight w:val="none"/>
        </w:rPr>
      </w:pPr>
      <w:bookmarkStart w:id="230" w:name="_Toc3826"/>
      <w:bookmarkStart w:id="231" w:name="_Toc7807"/>
      <w:r>
        <w:rPr>
          <w:rFonts w:hint="eastAsia" w:asciiTheme="minorEastAsia" w:hAnsiTheme="minorEastAsia" w:eastAsiaTheme="minorEastAsia"/>
          <w:b/>
          <w:color w:val="auto"/>
          <w:sz w:val="24"/>
          <w:highlight w:val="none"/>
          <w:lang w:val="en-US" w:eastAsia="zh-CN"/>
        </w:rPr>
        <w:t>十一、</w:t>
      </w:r>
      <w:r>
        <w:rPr>
          <w:rFonts w:hint="eastAsia" w:asciiTheme="minorEastAsia" w:hAnsiTheme="minorEastAsia" w:eastAsiaTheme="minorEastAsia"/>
          <w:b/>
          <w:color w:val="auto"/>
          <w:sz w:val="24"/>
          <w:highlight w:val="none"/>
        </w:rPr>
        <w:t>其他相关证明材料</w:t>
      </w:r>
      <w:bookmarkEnd w:id="230"/>
      <w:bookmarkEnd w:id="231"/>
    </w:p>
    <w:p w14:paraId="0C97F07A">
      <w:pPr>
        <w:tabs>
          <w:tab w:val="left" w:pos="4620"/>
        </w:tabs>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3E91713A">
      <w:pPr>
        <w:spacing w:line="360" w:lineRule="auto"/>
        <w:ind w:firstLine="435"/>
        <w:rPr>
          <w:rFonts w:hint="eastAsia" w:asciiTheme="minorEastAsia" w:hAnsiTheme="minorEastAsia" w:eastAsiaTheme="minorEastAsia"/>
          <w:color w:val="auto"/>
          <w:sz w:val="24"/>
          <w:highlight w:val="none"/>
        </w:rPr>
      </w:pPr>
    </w:p>
    <w:p w14:paraId="5F37D0B8">
      <w:pPr>
        <w:spacing w:line="360" w:lineRule="auto"/>
        <w:ind w:firstLine="480" w:firstLineChars="200"/>
        <w:rPr>
          <w:rFonts w:hint="eastAsia" w:asciiTheme="minorEastAsia" w:hAnsiTheme="minorEastAsia" w:eastAsiaTheme="minorEastAsia"/>
          <w:color w:val="auto"/>
          <w:sz w:val="24"/>
          <w:highlight w:val="none"/>
        </w:rPr>
      </w:pPr>
    </w:p>
    <w:p w14:paraId="01F0385C">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47EF702F">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供应商在响应文件制作时可在此栏内上传磋商文件要求上传的证明资料，如营业执照、证书等，应将上述证明材料制作成扫描件上传。</w:t>
      </w:r>
    </w:p>
    <w:p w14:paraId="76660ECC">
      <w:pPr>
        <w:spacing w:line="360" w:lineRule="auto"/>
        <w:jc w:val="center"/>
        <w:rPr>
          <w:rFonts w:hint="eastAsia" w:asciiTheme="minorEastAsia" w:hAnsiTheme="minorEastAsia" w:eastAsiaTheme="minorEastAsia"/>
          <w:b/>
          <w:color w:val="auto"/>
          <w:sz w:val="24"/>
          <w:highlight w:val="none"/>
        </w:rPr>
      </w:pPr>
    </w:p>
    <w:p w14:paraId="24D490CF">
      <w:pPr>
        <w:rPr>
          <w:rFonts w:hint="eastAsia" w:ascii="宋体" w:hAnsi="宋体" w:eastAsia="宋体"/>
          <w:b/>
          <w:bCs/>
          <w:color w:val="auto"/>
          <w:sz w:val="28"/>
          <w:highlight w:val="none"/>
        </w:rPr>
      </w:pPr>
      <w:bookmarkStart w:id="232" w:name="_Toc63440924"/>
      <w:bookmarkStart w:id="233" w:name="_Toc19418"/>
      <w:r>
        <w:rPr>
          <w:rFonts w:hint="eastAsia" w:ascii="宋体" w:hAnsi="宋体" w:eastAsia="宋体"/>
          <w:b/>
          <w:bCs/>
          <w:color w:val="auto"/>
          <w:sz w:val="28"/>
          <w:highlight w:val="none"/>
        </w:rPr>
        <w:br w:type="page"/>
      </w:r>
    </w:p>
    <w:p w14:paraId="6652D1A2">
      <w:pPr>
        <w:spacing w:line="360" w:lineRule="auto"/>
        <w:jc w:val="center"/>
        <w:outlineLvl w:val="0"/>
        <w:rPr>
          <w:rFonts w:hint="eastAsia" w:ascii="宋体" w:hAnsi="宋体" w:eastAsia="宋体"/>
          <w:b/>
          <w:bCs/>
          <w:color w:val="auto"/>
          <w:sz w:val="28"/>
          <w:highlight w:val="none"/>
        </w:rPr>
      </w:pPr>
      <w:bookmarkStart w:id="234" w:name="_Toc7345"/>
      <w:r>
        <w:rPr>
          <w:rFonts w:hint="eastAsia" w:ascii="宋体" w:hAnsi="宋体" w:eastAsia="宋体"/>
          <w:b/>
          <w:bCs/>
          <w:color w:val="auto"/>
          <w:sz w:val="28"/>
          <w:highlight w:val="none"/>
        </w:rPr>
        <w:t>第七章  政府采购</w:t>
      </w:r>
      <w:bookmarkEnd w:id="232"/>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33"/>
      <w:bookmarkEnd w:id="234"/>
    </w:p>
    <w:p w14:paraId="60545DE7">
      <w:pPr>
        <w:spacing w:line="360" w:lineRule="auto"/>
        <w:jc w:val="center"/>
        <w:outlineLvl w:val="1"/>
        <w:rPr>
          <w:rFonts w:hint="eastAsia" w:ascii="仿宋" w:hAnsi="仿宋" w:eastAsia="仿宋" w:cs="仿宋"/>
          <w:b/>
          <w:bCs/>
          <w:color w:val="auto"/>
          <w:sz w:val="32"/>
          <w:szCs w:val="44"/>
          <w:highlight w:val="none"/>
        </w:rPr>
      </w:pPr>
      <w:bookmarkStart w:id="235" w:name="_Toc2142"/>
      <w:bookmarkStart w:id="236" w:name="_Toc8735"/>
      <w:r>
        <w:rPr>
          <w:rFonts w:hint="eastAsia" w:ascii="仿宋" w:hAnsi="仿宋" w:eastAsia="仿宋" w:cs="仿宋"/>
          <w:b/>
          <w:bCs/>
          <w:color w:val="auto"/>
          <w:sz w:val="32"/>
          <w:szCs w:val="44"/>
          <w:highlight w:val="none"/>
        </w:rPr>
        <w:t>询问函范本</w:t>
      </w:r>
      <w:bookmarkEnd w:id="235"/>
      <w:bookmarkEnd w:id="236"/>
    </w:p>
    <w:p w14:paraId="273F2DA1">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483120B5">
      <w:pPr>
        <w:adjustRightInd w:val="0"/>
        <w:snapToGrid w:val="0"/>
        <w:spacing w:line="360" w:lineRule="auto"/>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6DEE622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701FF284">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bookmarkStart w:id="237" w:name="_Toc9092"/>
      <w:bookmarkStart w:id="238" w:name="_Toc26386"/>
      <w:r>
        <w:rPr>
          <w:rFonts w:hint="eastAsia" w:cs="仿宋" w:asciiTheme="minorEastAsia" w:hAnsiTheme="minorEastAsia" w:eastAsiaTheme="minorEastAsia"/>
          <w:color w:val="auto"/>
          <w:sz w:val="24"/>
          <w:szCs w:val="24"/>
          <w:highlight w:val="none"/>
        </w:rPr>
        <w:t>一、(事项一)</w:t>
      </w:r>
      <w:bookmarkEnd w:id="237"/>
      <w:bookmarkEnd w:id="238"/>
    </w:p>
    <w:p w14:paraId="29771558">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5CDE9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62D804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0CC3099E">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bookmarkStart w:id="239" w:name="_Toc9273"/>
      <w:bookmarkStart w:id="240" w:name="_Toc17582"/>
      <w:r>
        <w:rPr>
          <w:rFonts w:hint="eastAsia" w:cs="仿宋" w:asciiTheme="minorEastAsia" w:hAnsiTheme="minorEastAsia" w:eastAsiaTheme="minorEastAsia"/>
          <w:color w:val="auto"/>
          <w:sz w:val="24"/>
          <w:szCs w:val="24"/>
          <w:highlight w:val="none"/>
        </w:rPr>
        <w:t>二、(事项二)</w:t>
      </w:r>
      <w:bookmarkEnd w:id="239"/>
      <w:bookmarkEnd w:id="240"/>
    </w:p>
    <w:p w14:paraId="2DB1490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7BE2623">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954F9DB">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8DABAD6">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68F02A71">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FF78FCD">
      <w:pPr>
        <w:rPr>
          <w:rFonts w:hint="eastAsia"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4C328C22">
      <w:pPr>
        <w:jc w:val="center"/>
        <w:outlineLvl w:val="1"/>
        <w:rPr>
          <w:rFonts w:hint="eastAsia" w:ascii="仿宋" w:hAnsi="仿宋" w:eastAsia="仿宋" w:cs="仿宋"/>
          <w:b/>
          <w:bCs/>
          <w:color w:val="auto"/>
          <w:sz w:val="32"/>
          <w:szCs w:val="44"/>
          <w:highlight w:val="none"/>
        </w:rPr>
      </w:pPr>
      <w:bookmarkStart w:id="241" w:name="_Toc6990"/>
      <w:bookmarkStart w:id="242" w:name="_Toc26673"/>
      <w:r>
        <w:rPr>
          <w:rFonts w:hint="eastAsia" w:ascii="仿宋" w:hAnsi="仿宋" w:eastAsia="仿宋" w:cs="仿宋"/>
          <w:b/>
          <w:bCs/>
          <w:color w:val="auto"/>
          <w:sz w:val="32"/>
          <w:szCs w:val="44"/>
          <w:highlight w:val="none"/>
        </w:rPr>
        <w:t>质疑函范本</w:t>
      </w:r>
      <w:bookmarkEnd w:id="241"/>
      <w:bookmarkEnd w:id="242"/>
    </w:p>
    <w:p w14:paraId="7E055A3B">
      <w:pPr>
        <w:adjustRightInd w:val="0"/>
        <w:snapToGrid w:val="0"/>
        <w:spacing w:before="312" w:beforeLines="100" w:line="360" w:lineRule="auto"/>
        <w:outlineLvl w:val="1"/>
        <w:rPr>
          <w:rFonts w:hint="eastAsia" w:cs="仿宋" w:asciiTheme="minorEastAsia" w:hAnsiTheme="minorEastAsia" w:eastAsiaTheme="minorEastAsia"/>
          <w:b/>
          <w:bCs/>
          <w:color w:val="auto"/>
          <w:sz w:val="24"/>
          <w:szCs w:val="24"/>
          <w:highlight w:val="none"/>
        </w:rPr>
      </w:pPr>
      <w:bookmarkStart w:id="243" w:name="_Toc29510"/>
      <w:bookmarkStart w:id="244" w:name="_Toc2994"/>
      <w:r>
        <w:rPr>
          <w:rFonts w:hint="eastAsia" w:cs="仿宋" w:asciiTheme="minorEastAsia" w:hAnsiTheme="minorEastAsia" w:eastAsiaTheme="minorEastAsia"/>
          <w:b/>
          <w:bCs/>
          <w:color w:val="auto"/>
          <w:sz w:val="24"/>
          <w:szCs w:val="24"/>
          <w:highlight w:val="none"/>
        </w:rPr>
        <w:t>一、质疑供应商基本信息</w:t>
      </w:r>
      <w:bookmarkEnd w:id="243"/>
      <w:bookmarkEnd w:id="244"/>
    </w:p>
    <w:p w14:paraId="059AD56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D2888DB">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BF0DA32">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784F982E">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12C8DE5">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FAB5E4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024B95C">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45" w:name="_Toc28130"/>
      <w:bookmarkStart w:id="246" w:name="_Toc31042"/>
      <w:r>
        <w:rPr>
          <w:rFonts w:hint="eastAsia" w:cs="仿宋" w:asciiTheme="minorEastAsia" w:hAnsiTheme="minorEastAsia" w:eastAsiaTheme="minorEastAsia"/>
          <w:b/>
          <w:bCs/>
          <w:color w:val="auto"/>
          <w:sz w:val="24"/>
          <w:szCs w:val="24"/>
          <w:highlight w:val="none"/>
        </w:rPr>
        <w:t>二、质疑项目基本情况</w:t>
      </w:r>
      <w:bookmarkEnd w:id="245"/>
      <w:bookmarkEnd w:id="246"/>
    </w:p>
    <w:p w14:paraId="74F1162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614D25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3F4402A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574BEED">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291FD04B">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47" w:name="_Toc6486"/>
      <w:bookmarkStart w:id="248" w:name="_Toc20587"/>
      <w:r>
        <w:rPr>
          <w:rFonts w:hint="eastAsia" w:cs="仿宋" w:asciiTheme="minorEastAsia" w:hAnsiTheme="minorEastAsia" w:eastAsiaTheme="minorEastAsia"/>
          <w:b/>
          <w:bCs/>
          <w:color w:val="auto"/>
          <w:sz w:val="24"/>
          <w:szCs w:val="24"/>
          <w:highlight w:val="none"/>
        </w:rPr>
        <w:t>三、质疑事项具体内容</w:t>
      </w:r>
      <w:bookmarkEnd w:id="247"/>
      <w:bookmarkEnd w:id="248"/>
    </w:p>
    <w:p w14:paraId="2522F78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A1490E1">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122842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BC19369">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0B4670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33B16C2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E6B3C9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CE5ABFA">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bookmarkStart w:id="249" w:name="_Toc32755"/>
      <w:bookmarkStart w:id="250" w:name="_Toc20470"/>
      <w:r>
        <w:rPr>
          <w:rFonts w:hint="eastAsia" w:cs="仿宋" w:asciiTheme="minorEastAsia" w:hAnsiTheme="minorEastAsia" w:eastAsiaTheme="minorEastAsia"/>
          <w:b/>
          <w:bCs/>
          <w:color w:val="auto"/>
          <w:sz w:val="24"/>
          <w:szCs w:val="24"/>
          <w:highlight w:val="none"/>
        </w:rPr>
        <w:t>四、与质疑事项相关的质疑请求</w:t>
      </w:r>
      <w:bookmarkEnd w:id="249"/>
      <w:bookmarkEnd w:id="250"/>
    </w:p>
    <w:p w14:paraId="22ED7FC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758BB732">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03CF47B">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65D36695">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7D186EC4">
      <w:pPr>
        <w:outlineLvl w:val="0"/>
        <w:rPr>
          <w:rFonts w:hint="eastAsia" w:asciiTheme="minorEastAsia" w:hAnsiTheme="minorEastAsia" w:eastAsiaTheme="minorEastAsia"/>
          <w:b/>
          <w:color w:val="auto"/>
          <w:sz w:val="28"/>
          <w:szCs w:val="32"/>
          <w:highlight w:val="none"/>
        </w:rPr>
      </w:pPr>
      <w:bookmarkStart w:id="251" w:name="_Toc21667"/>
      <w:bookmarkStart w:id="252" w:name="_Toc8368"/>
      <w:bookmarkStart w:id="253" w:name="_Toc20635"/>
      <w:r>
        <w:rPr>
          <w:rFonts w:hint="eastAsia" w:asciiTheme="minorEastAsia" w:hAnsiTheme="minorEastAsia" w:eastAsiaTheme="minorEastAsia"/>
          <w:b/>
          <w:color w:val="auto"/>
          <w:sz w:val="28"/>
          <w:szCs w:val="32"/>
          <w:highlight w:val="none"/>
        </w:rPr>
        <w:t>质疑函制作说明：</w:t>
      </w:r>
      <w:bookmarkEnd w:id="251"/>
      <w:bookmarkEnd w:id="252"/>
      <w:bookmarkEnd w:id="253"/>
    </w:p>
    <w:p w14:paraId="193957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1543953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0399C0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E1FBBF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849E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16FC9FF3">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heme="minorEastAsia" w:hAnsiTheme="minorEastAsia" w:eastAsiaTheme="minorEastAsia"/>
          <w:color w:val="auto"/>
          <w:sz w:val="24"/>
          <w:highlight w:val="none"/>
          <w:lang w:eastAsia="zh-CN"/>
        </w:rPr>
        <w:t>。</w:t>
      </w:r>
    </w:p>
    <w:p w14:paraId="032EE016">
      <w:pPr>
        <w:spacing w:line="360" w:lineRule="auto"/>
        <w:ind w:firstLine="435"/>
        <w:rPr>
          <w:rFonts w:hint="eastAsia" w:asciiTheme="minorEastAsia" w:hAnsiTheme="minorEastAsia" w:eastAsiaTheme="minorEastAsia"/>
          <w:color w:val="auto"/>
          <w:sz w:val="24"/>
          <w:highlight w:val="none"/>
          <w:lang w:eastAsia="zh-CN"/>
        </w:rPr>
      </w:pPr>
    </w:p>
    <w:p w14:paraId="3E4AD7C2">
      <w:pPr>
        <w:spacing w:line="360" w:lineRule="auto"/>
        <w:ind w:firstLine="435"/>
        <w:rPr>
          <w:rFonts w:hint="eastAsia" w:asciiTheme="minorEastAsia" w:hAnsiTheme="minorEastAsia" w:eastAsiaTheme="minorEastAsia"/>
          <w:color w:val="auto"/>
          <w:sz w:val="24"/>
          <w:highlight w:val="none"/>
          <w:lang w:eastAsia="zh-CN"/>
        </w:rPr>
      </w:pPr>
    </w:p>
    <w:p w14:paraId="1C68EB12">
      <w:pPr>
        <w:spacing w:line="360" w:lineRule="auto"/>
        <w:ind w:firstLine="435"/>
        <w:rPr>
          <w:rFonts w:hint="eastAsia" w:asciiTheme="minorEastAsia" w:hAnsiTheme="minorEastAsia" w:eastAsiaTheme="minorEastAsia"/>
          <w:color w:val="auto"/>
          <w:sz w:val="24"/>
          <w:highlight w:val="none"/>
          <w:lang w:eastAsia="zh-CN"/>
        </w:rPr>
      </w:pPr>
    </w:p>
    <w:p w14:paraId="74A1D78D">
      <w:pPr>
        <w:rPr>
          <w:rFonts w:hint="eastAsia" w:ascii="宋体" w:hAnsi="宋体" w:eastAsia="宋体" w:cs="宋体"/>
          <w:b/>
          <w:bCs w:val="0"/>
          <w:kern w:val="2"/>
          <w:sz w:val="28"/>
          <w:szCs w:val="28"/>
          <w:lang w:val="en-US" w:eastAsia="zh-CN" w:bidi="ar"/>
        </w:rPr>
      </w:pPr>
      <w:bookmarkStart w:id="254" w:name="_Toc11016"/>
      <w:bookmarkEnd w:id="254"/>
      <w:r>
        <w:rPr>
          <w:rFonts w:hint="eastAsia" w:ascii="宋体" w:hAnsi="宋体" w:eastAsia="宋体" w:cs="宋体"/>
          <w:b/>
          <w:bCs w:val="0"/>
          <w:kern w:val="2"/>
          <w:sz w:val="28"/>
          <w:szCs w:val="28"/>
          <w:lang w:val="en-US" w:eastAsia="zh-CN" w:bidi="ar"/>
        </w:rPr>
        <w:br w:type="page"/>
      </w:r>
    </w:p>
    <w:p w14:paraId="4206BA2A">
      <w:pPr>
        <w:keepNext w:val="0"/>
        <w:keepLines w:val="0"/>
        <w:widowControl w:val="0"/>
        <w:suppressLineNumbers w:val="0"/>
        <w:spacing w:before="0" w:beforeAutospacing="0" w:after="0" w:afterAutospacing="0"/>
        <w:ind w:left="0" w:right="0"/>
        <w:jc w:val="both"/>
        <w:outlineLvl w:val="0"/>
        <w:rPr>
          <w:rFonts w:hint="eastAsia" w:ascii="宋体" w:hAnsi="宋体" w:eastAsia="宋体" w:cs="宋体"/>
          <w:kern w:val="2"/>
          <w:sz w:val="28"/>
          <w:szCs w:val="28"/>
        </w:rPr>
      </w:pPr>
      <w:r>
        <w:rPr>
          <w:rFonts w:hint="eastAsia" w:ascii="宋体" w:hAnsi="宋体" w:eastAsia="宋体" w:cs="宋体"/>
          <w:b/>
          <w:bCs w:val="0"/>
          <w:kern w:val="2"/>
          <w:sz w:val="28"/>
          <w:szCs w:val="28"/>
          <w:lang w:val="en-US" w:eastAsia="zh-CN" w:bidi="ar"/>
        </w:rPr>
        <w:t>附件</w:t>
      </w:r>
      <w:r>
        <w:rPr>
          <w:rFonts w:hint="default" w:ascii="Times New Roman" w:hAnsi="Times New Roman" w:eastAsia="宋体" w:cs="Times New Roman"/>
          <w:b/>
          <w:bCs w:val="0"/>
          <w:kern w:val="2"/>
          <w:sz w:val="28"/>
          <w:szCs w:val="28"/>
          <w:lang w:val="en-US" w:eastAsia="zh-CN" w:bidi="ar"/>
        </w:rPr>
        <w:t>1</w:t>
      </w:r>
    </w:p>
    <w:p w14:paraId="5074BAE4">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b/>
          <w:bCs w:val="0"/>
          <w:kern w:val="2"/>
          <w:sz w:val="30"/>
          <w:szCs w:val="30"/>
        </w:rPr>
      </w:pPr>
      <w:r>
        <w:rPr>
          <w:rFonts w:hint="eastAsia" w:ascii="黑体" w:hAnsi="宋体" w:eastAsia="黑体" w:cs="黑体"/>
          <w:b/>
          <w:bCs w:val="0"/>
          <w:kern w:val="2"/>
          <w:sz w:val="30"/>
          <w:szCs w:val="30"/>
          <w:lang w:val="en-US" w:eastAsia="zh-CN" w:bidi="ar"/>
        </w:rPr>
        <w:t>关于联合惩戒失信行为 加强信用查询管理的通知</w:t>
      </w:r>
    </w:p>
    <w:p w14:paraId="64360C69">
      <w:pPr>
        <w:keepNext w:val="0"/>
        <w:keepLines w:val="0"/>
        <w:widowControl w:val="0"/>
        <w:suppressLineNumbers w:val="0"/>
        <w:autoSpaceDE w:val="0"/>
        <w:autoSpaceDN/>
        <w:spacing w:before="0" w:beforeAutospacing="0" w:after="0" w:afterAutospacing="0" w:line="480" w:lineRule="exact"/>
        <w:ind w:left="0" w:right="0" w:firstLine="482" w:firstLineChars="20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一、失信行为联合惩戒的范围和查询渠道</w:t>
      </w:r>
    </w:p>
    <w:p w14:paraId="0BD356BA">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0"/>
          <w:sz w:val="24"/>
          <w:szCs w:val="24"/>
          <w:vertAlign w:val="baseline"/>
          <w:lang w:val="en-US" w:eastAsia="zh-CN" w:bidi="ar"/>
        </w:rPr>
        <w:t>在我市公共资源交易活动中对存在下列失信行为的投标人、法定代表人及其项目经理（建造师）实施联合惩戒，禁止参与我市公共资源交易活动。</w:t>
      </w:r>
    </w:p>
    <w:p w14:paraId="60579D17">
      <w:pPr>
        <w:keepNext w:val="0"/>
        <w:keepLines w:val="0"/>
        <w:widowControl/>
        <w:suppressLineNumbers w:val="0"/>
        <w:autoSpaceDE w:val="0"/>
        <w:autoSpaceDN/>
        <w:spacing w:before="0" w:beforeAutospacing="0" w:after="0" w:afterAutospacing="0" w:line="480" w:lineRule="exact"/>
        <w:ind w:left="0" w:right="0" w:firstLine="482" w:firstLineChars="200"/>
        <w:jc w:val="both"/>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（一）工程建设项目</w:t>
      </w:r>
    </w:p>
    <w:p w14:paraId="48A47E50">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1、“信用中国”网站（www.creditchina.gov.cn）查询投标人、法定代表人及其项目经理(建造师)以下失信行为：</w:t>
      </w:r>
    </w:p>
    <w:p w14:paraId="609E7CFB">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①被列入“失信被执行人”的;</w:t>
      </w:r>
    </w:p>
    <w:p w14:paraId="234383C5">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②被列入“重大税收违法失信主体”的；</w:t>
      </w:r>
    </w:p>
    <w:p w14:paraId="6A9E3529">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③被列入“拖欠农民工工资失信联合惩戒对象名单”的；</w:t>
      </w:r>
    </w:p>
    <w:p w14:paraId="451B1A3A">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④被列入 “严重失信主体名单”的；</w:t>
      </w:r>
    </w:p>
    <w:p w14:paraId="715595B5">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⑤在“信用中国”网站上披露的仍在公示期的严重失信行为(具体行为类别及判定依据见附件2)的。</w:t>
      </w:r>
    </w:p>
    <w:p w14:paraId="75A4BB06">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2、国家企业信用信息公示系统网站（www.gsxt.gov.cn）查询投标人以下失信行为：</w:t>
      </w:r>
    </w:p>
    <w:p w14:paraId="0D3079D6">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①被列入“经营异常名录”或者“严重违法失信名单”的。</w:t>
      </w:r>
    </w:p>
    <w:p w14:paraId="7FF650F8">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3、由投标人、法定代表人及其项目经理(建造师)进行承诺，不进行现场网上信用查询的失信行为：</w:t>
      </w:r>
    </w:p>
    <w:p w14:paraId="29141659">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①前三年有行贿犯罪行为的单位和个人；</w:t>
      </w:r>
    </w:p>
    <w:p w14:paraId="49EF5D17">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②被滁州市县两级公管部门取消在一定期限内的投标资格且在取消期限内的；</w:t>
      </w:r>
    </w:p>
    <w:p w14:paraId="5911B2A0">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③被滁州市县两级各行业主管部门取消在一定期限内的投标资格且在取消期限内的；</w:t>
      </w:r>
    </w:p>
    <w:p w14:paraId="58B5C7AA">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④因拖欠农民工工资被县级及以上有关行政主管部门限制投标资格且在限制期限内的；</w:t>
      </w:r>
    </w:p>
    <w:p w14:paraId="001834B1">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0"/>
          <w:sz w:val="24"/>
          <w:szCs w:val="24"/>
          <w:vertAlign w:val="baseli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CB35077">
      <w:pPr>
        <w:keepNext w:val="0"/>
        <w:keepLines w:val="0"/>
        <w:widowControl/>
        <w:suppressLineNumbers w:val="0"/>
        <w:autoSpaceDE w:val="0"/>
        <w:autoSpaceDN/>
        <w:spacing w:before="0" w:beforeAutospacing="0" w:after="0" w:afterAutospacing="0" w:line="480" w:lineRule="exact"/>
        <w:ind w:left="0" w:right="0" w:firstLine="482" w:firstLineChars="200"/>
        <w:jc w:val="both"/>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（二）政府采购项目</w:t>
      </w:r>
    </w:p>
    <w:p w14:paraId="78C7BD27">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1、“信用中国”网站（www.creditchina.gov.cn）查询供应商、法定代表人及其项目负责人以下失信行为：</w:t>
      </w:r>
    </w:p>
    <w:p w14:paraId="6FC09C1A">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①被列入“失信被执行人”的;</w:t>
      </w:r>
    </w:p>
    <w:p w14:paraId="3E9A02E0">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②被列入“重大税收违法失信主体”的；</w:t>
      </w:r>
    </w:p>
    <w:p w14:paraId="2DCCEECD">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③被列入 “严重失信主体名单”的；</w:t>
      </w:r>
    </w:p>
    <w:p w14:paraId="13E3F0B2">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④在“信用中国”网站上披露的仍在公示期的严重失信行为(具体行为类别及判定依据见附件2)的。</w:t>
      </w:r>
    </w:p>
    <w:p w14:paraId="7E984C96">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2、国家企业信用信息公示系统网站（</w:t>
      </w:r>
      <w:r>
        <w:rPr>
          <w:rFonts w:hint="eastAsia" w:ascii="宋体" w:hAnsi="宋体" w:eastAsia="宋体" w:cs="宋体"/>
          <w:bCs/>
          <w:color w:val="auto"/>
          <w:kern w:val="0"/>
          <w:sz w:val="24"/>
          <w:szCs w:val="24"/>
          <w:u w:val="none"/>
          <w:vertAlign w:val="baseline"/>
        </w:rPr>
        <w:t>www.gsxt.gov.cn）</w:t>
      </w:r>
      <w:r>
        <w:rPr>
          <w:rFonts w:hint="eastAsia" w:ascii="宋体" w:hAnsi="宋体" w:eastAsia="宋体" w:cs="宋体"/>
          <w:bCs/>
          <w:kern w:val="0"/>
          <w:sz w:val="24"/>
          <w:szCs w:val="24"/>
          <w:vertAlign w:val="baseline"/>
          <w:lang w:val="en-US" w:eastAsia="zh-CN" w:bidi="ar"/>
        </w:rPr>
        <w:t>查询供应商以下失信行为：</w:t>
      </w:r>
    </w:p>
    <w:p w14:paraId="617C4095">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①</w:t>
      </w:r>
      <w:bookmarkStart w:id="255" w:name="OLE_LINK102"/>
      <w:bookmarkEnd w:id="255"/>
      <w:bookmarkStart w:id="256" w:name="OLE_LINK100"/>
      <w:bookmarkEnd w:id="256"/>
      <w:bookmarkStart w:id="257" w:name="OLE_LINK101"/>
      <w:r>
        <w:rPr>
          <w:rFonts w:hint="eastAsia" w:ascii="宋体" w:hAnsi="宋体" w:eastAsia="宋体" w:cs="宋体"/>
          <w:bCs/>
          <w:kern w:val="0"/>
          <w:sz w:val="24"/>
          <w:szCs w:val="24"/>
          <w:vertAlign w:val="baseline"/>
          <w:lang w:val="en-US" w:eastAsia="zh-CN" w:bidi="ar"/>
        </w:rPr>
        <w:t>被列入“经营异常名录”或者“严重违法失信名单”的</w:t>
      </w:r>
      <w:bookmarkEnd w:id="257"/>
      <w:r>
        <w:rPr>
          <w:rFonts w:hint="eastAsia" w:ascii="宋体" w:hAnsi="宋体" w:eastAsia="宋体" w:cs="宋体"/>
          <w:bCs/>
          <w:kern w:val="0"/>
          <w:sz w:val="24"/>
          <w:szCs w:val="24"/>
          <w:vertAlign w:val="baseline"/>
          <w:lang w:val="en-US" w:eastAsia="zh-CN" w:bidi="ar"/>
        </w:rPr>
        <w:t>。</w:t>
      </w:r>
    </w:p>
    <w:p w14:paraId="07E286B5">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3、中国政府采购网站（</w:t>
      </w:r>
      <w:bookmarkStart w:id="258" w:name="OLE_LINK95"/>
      <w:bookmarkEnd w:id="258"/>
      <w:r>
        <w:rPr>
          <w:rFonts w:hint="eastAsia" w:ascii="宋体" w:hAnsi="宋体" w:eastAsia="宋体" w:cs="宋体"/>
          <w:bCs/>
          <w:color w:val="auto"/>
          <w:kern w:val="0"/>
          <w:sz w:val="24"/>
          <w:szCs w:val="24"/>
          <w:u w:val="none"/>
          <w:vertAlign w:val="baseline"/>
        </w:rPr>
        <w:t>www.ccgp.gov.cn</w:t>
      </w:r>
      <w:r>
        <w:rPr>
          <w:rFonts w:hint="eastAsia" w:ascii="宋体" w:hAnsi="宋体" w:eastAsia="宋体" w:cs="宋体"/>
          <w:bCs/>
          <w:kern w:val="0"/>
          <w:sz w:val="24"/>
          <w:szCs w:val="24"/>
          <w:vertAlign w:val="baseline"/>
          <w:lang w:val="en-US" w:eastAsia="zh-CN" w:bidi="ar"/>
        </w:rPr>
        <w:t>）查询以下失信行为：</w:t>
      </w:r>
    </w:p>
    <w:p w14:paraId="4BC27783">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①</w:t>
      </w:r>
      <w:bookmarkStart w:id="259" w:name="OLE_LINK104"/>
      <w:bookmarkEnd w:id="259"/>
      <w:bookmarkStart w:id="260" w:name="OLE_LINK105"/>
      <w:bookmarkEnd w:id="260"/>
      <w:bookmarkStart w:id="261" w:name="OLE_LINK106"/>
      <w:r>
        <w:rPr>
          <w:rFonts w:hint="eastAsia" w:ascii="宋体" w:hAnsi="宋体" w:eastAsia="宋体" w:cs="宋体"/>
          <w:bCs/>
          <w:kern w:val="0"/>
          <w:sz w:val="24"/>
          <w:szCs w:val="24"/>
          <w:vertAlign w:val="baseline"/>
          <w:lang w:val="en-US" w:eastAsia="zh-CN" w:bidi="ar"/>
        </w:rPr>
        <w:t>被列入“政府采购严重违法失信行为信息记录”的</w:t>
      </w:r>
      <w:bookmarkEnd w:id="261"/>
      <w:r>
        <w:rPr>
          <w:rFonts w:hint="eastAsia" w:ascii="宋体" w:hAnsi="宋体" w:eastAsia="宋体" w:cs="宋体"/>
          <w:bCs/>
          <w:kern w:val="0"/>
          <w:sz w:val="24"/>
          <w:szCs w:val="24"/>
          <w:vertAlign w:val="baseline"/>
          <w:lang w:val="en-US" w:eastAsia="zh-CN" w:bidi="ar"/>
        </w:rPr>
        <w:t>。</w:t>
      </w:r>
    </w:p>
    <w:p w14:paraId="56A0F882">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4、由竞争主体进行承诺，不进行现场网上信用查询的失信行为：</w:t>
      </w:r>
    </w:p>
    <w:p w14:paraId="4A294FC4">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0"/>
          <w:sz w:val="24"/>
          <w:szCs w:val="24"/>
          <w:vertAlign w:val="baseline"/>
          <w:lang w:val="en-US" w:eastAsia="zh-CN" w:bidi="ar"/>
        </w:rPr>
        <w:t>①前三年有行贿犯罪行为的单位和个人。</w:t>
      </w:r>
    </w:p>
    <w:p w14:paraId="5679392F">
      <w:pPr>
        <w:keepNext w:val="0"/>
        <w:keepLines w:val="0"/>
        <w:widowControl/>
        <w:suppressLineNumbers w:val="0"/>
        <w:autoSpaceDE w:val="0"/>
        <w:autoSpaceDN/>
        <w:spacing w:before="0" w:beforeAutospacing="0" w:after="0" w:afterAutospacing="0" w:line="480" w:lineRule="exact"/>
        <w:ind w:left="0" w:right="0" w:firstLine="482" w:firstLineChars="200"/>
        <w:jc w:val="both"/>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二、在开评标活动中的查询程序</w:t>
      </w:r>
    </w:p>
    <w:p w14:paraId="2653EBD6">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66B3D32A">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1E4CCDC">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0"/>
          <w:sz w:val="24"/>
          <w:szCs w:val="24"/>
          <w:vertAlign w:val="baseline"/>
          <w:lang w:val="en-US" w:eastAsia="zh-CN" w:bidi="ar"/>
        </w:rPr>
        <w:t>3、项目单位及其委托的代理机构应当做好信用查询结果截图和记录留存。</w:t>
      </w:r>
    </w:p>
    <w:p w14:paraId="7219D442">
      <w:pPr>
        <w:keepNext w:val="0"/>
        <w:keepLines w:val="0"/>
        <w:widowControl/>
        <w:suppressLineNumbers w:val="0"/>
        <w:autoSpaceDE w:val="0"/>
        <w:autoSpaceDN/>
        <w:spacing w:before="0" w:beforeAutospacing="0" w:after="0" w:afterAutospacing="0" w:line="480" w:lineRule="exact"/>
        <w:ind w:left="0" w:right="0" w:firstLine="482" w:firstLineChars="200"/>
        <w:jc w:val="both"/>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三、相关要求</w:t>
      </w:r>
    </w:p>
    <w:p w14:paraId="2D195C34">
      <w:pPr>
        <w:keepNext w:val="0"/>
        <w:keepLines w:val="0"/>
        <w:widowControl/>
        <w:suppressLineNumbers w:val="0"/>
        <w:wordWrap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2BAD1760">
      <w:pPr>
        <w:keepNext w:val="0"/>
        <w:keepLines w:val="0"/>
        <w:widowControl/>
        <w:suppressLineNumbers w:val="0"/>
        <w:wordWrap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DCCCB85">
      <w:pPr>
        <w:keepNext w:val="0"/>
        <w:keepLines w:val="0"/>
        <w:widowControl/>
        <w:suppressLineNumbers w:val="0"/>
        <w:wordWrap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2"/>
          <w:sz w:val="24"/>
          <w:szCs w:val="24"/>
          <w:vertAlign w:val="baseline"/>
        </w:rPr>
      </w:pPr>
      <w:r>
        <w:rPr>
          <w:rFonts w:hint="eastAsia" w:ascii="宋体" w:hAnsi="宋体" w:eastAsia="宋体" w:cs="宋体"/>
          <w:bCs/>
          <w:kern w:val="0"/>
          <w:sz w:val="24"/>
          <w:szCs w:val="24"/>
          <w:vertAlign w:val="baseline"/>
          <w:lang w:val="en-US" w:eastAsia="zh-CN" w:bidi="ar"/>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0425A076">
      <w:pPr>
        <w:keepNext w:val="0"/>
        <w:keepLines w:val="0"/>
        <w:widowControl/>
        <w:suppressLineNumbers w:val="0"/>
        <w:autoSpaceDE w:val="0"/>
        <w:autoSpaceDN/>
        <w:spacing w:before="0" w:beforeAutospacing="0" w:after="0" w:afterAutospacing="0" w:line="480" w:lineRule="exact"/>
        <w:ind w:left="0" w:right="0" w:firstLine="482" w:firstLineChars="200"/>
        <w:jc w:val="both"/>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2、“信用中国”查询的严重失信行为判定依据为各行业主管部门下发的联合惩戒文件中规定的行为（按附件2执行）。</w:t>
      </w:r>
    </w:p>
    <w:p w14:paraId="0C973E93">
      <w:pPr>
        <w:keepNext w:val="0"/>
        <w:keepLines w:val="0"/>
        <w:widowControl/>
        <w:suppressLineNumbers w:val="0"/>
        <w:autoSpaceDE w:val="0"/>
        <w:autoSpaceDN/>
        <w:spacing w:before="0" w:beforeAutospacing="0" w:after="0" w:afterAutospacing="0" w:line="480" w:lineRule="exact"/>
        <w:ind w:left="0" w:right="0" w:firstLine="480" w:firstLineChars="200"/>
        <w:jc w:val="both"/>
        <w:textAlignment w:val="baseline"/>
        <w:rPr>
          <w:rFonts w:hint="eastAsia" w:ascii="宋体" w:hAnsi="宋体" w:eastAsia="宋体" w:cs="宋体"/>
          <w:bCs/>
          <w:kern w:val="0"/>
          <w:sz w:val="24"/>
          <w:szCs w:val="24"/>
          <w:vertAlign w:val="baseline"/>
        </w:rPr>
      </w:pPr>
      <w:r>
        <w:rPr>
          <w:rFonts w:hint="eastAsia" w:ascii="宋体" w:hAnsi="宋体" w:eastAsia="宋体" w:cs="宋体"/>
          <w:bCs/>
          <w:kern w:val="0"/>
          <w:sz w:val="24"/>
          <w:szCs w:val="24"/>
          <w:vertAlign w:val="baseline"/>
          <w:lang w:val="en-US" w:eastAsia="zh-CN" w:bidi="ar"/>
        </w:rPr>
        <w:t>3、资格预审的项目以递交资格预审申请文件截止时间查询为准；资格后审的项目以递交投标文件截止时间查询为准。</w:t>
      </w:r>
    </w:p>
    <w:p w14:paraId="00A1475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318B4B26">
      <w:pPr>
        <w:pStyle w:val="22"/>
        <w:keepNext w:val="0"/>
        <w:keepLines w:val="0"/>
        <w:widowControl/>
        <w:suppressLineNumbers w:val="0"/>
        <w:spacing w:before="0" w:beforeAutospacing="0" w:after="120" w:afterAutospacing="0" w:line="360" w:lineRule="auto"/>
        <w:ind w:left="420" w:leftChars="200" w:right="0" w:firstLine="420" w:firstLineChars="20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225B0F2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br w:type="page"/>
      </w:r>
      <w:r>
        <w:rPr>
          <w:rFonts w:hint="eastAsia" w:ascii="宋体" w:hAnsi="宋体" w:eastAsia="宋体" w:cs="宋体"/>
          <w:b/>
          <w:bCs w:val="0"/>
          <w:kern w:val="2"/>
          <w:sz w:val="24"/>
          <w:szCs w:val="24"/>
          <w:lang w:val="en-US" w:eastAsia="zh-CN" w:bidi="ar"/>
        </w:rPr>
        <w:t>附件</w:t>
      </w:r>
      <w:r>
        <w:rPr>
          <w:rFonts w:hint="default" w:ascii="Times New Roman" w:hAnsi="Times New Roman" w:eastAsia="宋体" w:cs="Times New Roman"/>
          <w:b/>
          <w:bCs w:val="0"/>
          <w:kern w:val="2"/>
          <w:sz w:val="24"/>
          <w:szCs w:val="24"/>
          <w:lang w:val="en-US" w:eastAsia="zh-CN" w:bidi="ar"/>
        </w:rPr>
        <w:t>2</w:t>
      </w:r>
    </w:p>
    <w:p w14:paraId="0538494C">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“信用中国”查询的严重失信行为类别及判定依据</w:t>
      </w:r>
    </w:p>
    <w:p w14:paraId="4B0817D5">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
          <w:bCs w:val="0"/>
          <w:kern w:val="2"/>
          <w:sz w:val="24"/>
          <w:szCs w:val="24"/>
        </w:rPr>
      </w:pPr>
      <w:r>
        <w:rPr>
          <w:rFonts w:hint="eastAsia" w:ascii="宋体" w:hAnsi="宋体" w:eastAsia="宋体" w:cs="宋体"/>
          <w:b/>
          <w:bCs w:val="0"/>
          <w:kern w:val="2"/>
          <w:sz w:val="24"/>
          <w:szCs w:val="24"/>
          <w:lang w:val="en-US" w:eastAsia="zh-CN" w:bidi="ar"/>
        </w:rPr>
        <w:t xml:space="preserve"> </w:t>
      </w:r>
    </w:p>
    <w:p w14:paraId="323D8AB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2"/>
          <w:sz w:val="24"/>
          <w:szCs w:val="24"/>
          <w:vertAlign w:val="baseline"/>
        </w:rPr>
      </w:pPr>
      <w:r>
        <w:rPr>
          <w:rFonts w:hint="eastAsia" w:ascii="宋体" w:hAnsi="宋体" w:eastAsia="宋体" w:cs="宋体"/>
          <w:kern w:val="0"/>
          <w:sz w:val="24"/>
          <w:szCs w:val="24"/>
          <w:vertAlign w:val="baseline"/>
          <w:lang w:val="en-US" w:eastAsia="zh-CN" w:bidi="ar"/>
        </w:rPr>
        <w:t>“信用中国”查询的严重失信行为判定依据为各行业主管部门下发的联合惩戒文件中规定的行为。下面将部分类别的严重失信行为列举如下：</w:t>
      </w:r>
    </w:p>
    <w:p w14:paraId="5571374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kern w:val="2"/>
          <w:sz w:val="24"/>
          <w:szCs w:val="24"/>
          <w:vertAlign w:val="baseline"/>
        </w:rPr>
      </w:pPr>
      <w:r>
        <w:rPr>
          <w:rFonts w:hint="eastAsia" w:ascii="宋体" w:hAnsi="宋体" w:eastAsia="宋体" w:cs="宋体"/>
          <w:b/>
          <w:bCs/>
          <w:kern w:val="0"/>
          <w:sz w:val="24"/>
          <w:szCs w:val="24"/>
          <w:vertAlign w:val="baseline"/>
          <w:lang w:val="en-US" w:eastAsia="zh-CN" w:bidi="ar"/>
        </w:rPr>
        <w:t>一、安全生产领域严重失信行为：</w:t>
      </w:r>
    </w:p>
    <w:p w14:paraId="0166233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（一）下列发生生产安全事故的生产经营单位及其有关人员应当列入严重失信主体名单：</w:t>
      </w:r>
    </w:p>
    <w:p w14:paraId="488E88B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1、发生特别重大、重大生产安全事故的生产经营单位及其主要负责人，以及经调查认定对该事故发生负有责任，应当列入名单的其他单位和人员；</w:t>
      </w:r>
    </w:p>
    <w:p w14:paraId="05C075C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2、12个月内累计发生2起以上较大生产安全事故的生产经营单位及其主要负责人；</w:t>
      </w:r>
    </w:p>
    <w:p w14:paraId="0B6D28C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56C2B51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4、瞒报、谎报生产安全事故的生产经营单位及其有关责任人员；</w:t>
      </w:r>
    </w:p>
    <w:p w14:paraId="7847F69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5、发生生产安全事故后，不立即组织抢救或者在事故调查处理期间擅离职守或者逃匿的生产经营单位主要负责人。</w:t>
      </w:r>
    </w:p>
    <w:p w14:paraId="1C47DB2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（二）下列未发生生产安全事故，但因安全生产违法行为，受到行政处罚的生产经营单位或者机构及其有关人员，应当列入严重失信主体名单：</w:t>
      </w:r>
    </w:p>
    <w:p w14:paraId="4F48B85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1、未依法取得安全生产相关许可或者许可被暂扣、吊销期间从事相关生产经营活动的生产经营单位及其主要负责人；</w:t>
      </w:r>
    </w:p>
    <w:p w14:paraId="0DCDD7A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2、承担安全评价、认证、检测、检验职责的机构及其直接责任人员租借资质、挂靠、出具虚假报告或者证书的；</w:t>
      </w:r>
    </w:p>
    <w:p w14:paraId="488E281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3、在应急管理部门作出行政处罚后，有执行能力拒不执行或者逃避执行的生产经营单位及其主要负责人；</w:t>
      </w:r>
    </w:p>
    <w:p w14:paraId="1262C18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2"/>
          <w:sz w:val="24"/>
          <w:szCs w:val="24"/>
          <w:vertAlign w:val="baseline"/>
        </w:rPr>
      </w:pPr>
      <w:r>
        <w:rPr>
          <w:rFonts w:hint="eastAsia" w:ascii="宋体" w:hAnsi="宋体" w:eastAsia="宋体" w:cs="宋体"/>
          <w:kern w:val="0"/>
          <w:sz w:val="24"/>
          <w:szCs w:val="24"/>
          <w:vertAlign w:val="baseline"/>
          <w:lang w:val="en-US" w:eastAsia="zh-CN" w:bidi="ar"/>
        </w:rPr>
        <w:t>4、其他违反安全生产法律法规受到行政处罚，且性质恶劣、情节严重的。</w:t>
      </w:r>
    </w:p>
    <w:p w14:paraId="7EB90D41">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依据：《安全生产严重失信主体名单管理办法》（2023年8月8日应急管理部令第11号）</w:t>
      </w:r>
    </w:p>
    <w:p w14:paraId="0D795E3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kern w:val="2"/>
          <w:sz w:val="24"/>
          <w:szCs w:val="24"/>
          <w:vertAlign w:val="baseline"/>
        </w:rPr>
      </w:pPr>
      <w:r>
        <w:rPr>
          <w:rFonts w:hint="eastAsia" w:ascii="宋体" w:hAnsi="宋体" w:eastAsia="宋体" w:cs="Times New Roman"/>
          <w:b/>
          <w:bCs/>
          <w:kern w:val="0"/>
          <w:sz w:val="24"/>
          <w:szCs w:val="24"/>
          <w:vertAlign w:val="baseline"/>
          <w:lang w:val="en-US" w:eastAsia="zh-CN" w:bidi="ar"/>
        </w:rPr>
        <w:t xml:space="preserve"> </w:t>
      </w:r>
    </w:p>
    <w:p w14:paraId="5D66EF48">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kern w:val="2"/>
          <w:sz w:val="24"/>
          <w:szCs w:val="24"/>
          <w:vertAlign w:val="baseline"/>
        </w:rPr>
      </w:pPr>
      <w:r>
        <w:rPr>
          <w:rFonts w:hint="eastAsia" w:ascii="宋体" w:hAnsi="宋体" w:eastAsia="宋体" w:cs="宋体"/>
          <w:b/>
          <w:bCs/>
          <w:kern w:val="0"/>
          <w:sz w:val="24"/>
          <w:szCs w:val="24"/>
          <w:vertAlign w:val="baseline"/>
          <w:lang w:val="en-US" w:eastAsia="zh-CN" w:bidi="ar"/>
        </w:rPr>
        <w:t>二、环境保护领域严重失信行为：</w:t>
      </w:r>
    </w:p>
    <w:p w14:paraId="4040BE3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（一）因为环境违法构成环境犯罪的；</w:t>
      </w:r>
    </w:p>
    <w:p w14:paraId="002FB7B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（二）建设项目环境影响评价文件未按规定通过审批，擅自开工建设的；</w:t>
      </w:r>
    </w:p>
    <w:p w14:paraId="6660364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（三）建设项目环保设施未建成、环保措施未落实、未通过竣工环保验收或者验收不合格，主体工程正式投入生产或者使用的；</w:t>
      </w:r>
    </w:p>
    <w:p w14:paraId="66AC647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（四）建设项目性质、规模、地点、采用的生产工艺或者防治污染、防止生态破坏的措施发生重大变动，未重新报批环境影响评价文件，擅自投入生产或者使用的；</w:t>
      </w:r>
    </w:p>
    <w:p w14:paraId="711E5CE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（五）主要污染物排放总量超过控制指标的；</w:t>
      </w:r>
    </w:p>
    <w:p w14:paraId="62419BC8">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（六）私设暗管或者利用渗井、渗坑、裂隙、溶洞等排放、倾倒、处置水污染物，或者通过私设旁路排放大气污染物的；</w:t>
      </w:r>
    </w:p>
    <w:p w14:paraId="606195A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（七）非法排放、倾倒、处置危险废物，或者向无经营许可证或者超出经营许可范围的单位或个人提供或者委托其收集、贮存、利用、处置危险废物的；</w:t>
      </w:r>
    </w:p>
    <w:p w14:paraId="651D686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（八）环境违法行为造成集中式生活饮用水水源取水中断的；</w:t>
      </w:r>
    </w:p>
    <w:p w14:paraId="1E58FB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（九）环境违法行为对生活饮用水水源保护区、自然保护区、国家重点生态功能区、风景名胜区、居住功能区、基本农田保护区等环境敏感区造成重大不利影响的；</w:t>
      </w:r>
    </w:p>
    <w:p w14:paraId="78EB7F7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（十）违法从事自然资源开发、交通基础设施建设，以及其他开发建设活动，造成严重生态破坏的；</w:t>
      </w:r>
    </w:p>
    <w:p w14:paraId="65A6646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（十一）发生较大及以上突发环境事件的；</w:t>
      </w:r>
    </w:p>
    <w:p w14:paraId="367346B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（十二）被环保部门挂牌督办，整改逾期未完成的；</w:t>
      </w:r>
    </w:p>
    <w:p w14:paraId="30D535D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（十三）以暴力、威胁等方式拒绝、阻挠环保部门工作人员现场检查的；</w:t>
      </w:r>
    </w:p>
    <w:p w14:paraId="406E37D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2"/>
          <w:sz w:val="24"/>
          <w:szCs w:val="24"/>
          <w:vertAlign w:val="baseline"/>
        </w:rPr>
      </w:pPr>
      <w:r>
        <w:rPr>
          <w:rFonts w:hint="eastAsia" w:ascii="宋体" w:hAnsi="宋体" w:eastAsia="宋体" w:cs="宋体"/>
          <w:kern w:val="0"/>
          <w:sz w:val="24"/>
          <w:szCs w:val="24"/>
          <w:vertAlign w:val="baseline"/>
          <w:lang w:val="en-US" w:eastAsia="zh-CN" w:bidi="ar"/>
        </w:rPr>
        <w:t>（十四）违反重污染天气应急预案有关规定，对重污染天气响应不力的。</w:t>
      </w:r>
    </w:p>
    <w:p w14:paraId="015556E8">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依据：《关于对环境保护领域失信生产经营单位及其有关人员开展联合惩戒的合作备忘录》、《企业环境信用评价办法（试行）》（环发〔2013〕150号）</w:t>
      </w:r>
    </w:p>
    <w:p w14:paraId="6459F731">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kern w:val="2"/>
          <w:sz w:val="24"/>
          <w:szCs w:val="24"/>
          <w:vertAlign w:val="baseline"/>
        </w:rPr>
      </w:pPr>
      <w:r>
        <w:rPr>
          <w:rFonts w:hint="eastAsia" w:ascii="宋体" w:hAnsi="宋体" w:eastAsia="宋体" w:cs="Times New Roman"/>
          <w:b/>
          <w:bCs/>
          <w:kern w:val="0"/>
          <w:sz w:val="24"/>
          <w:szCs w:val="24"/>
          <w:vertAlign w:val="baseline"/>
          <w:lang w:val="en-US" w:eastAsia="zh-CN" w:bidi="ar"/>
        </w:rPr>
        <w:t xml:space="preserve"> </w:t>
      </w:r>
    </w:p>
    <w:p w14:paraId="1D8D3039">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kern w:val="2"/>
          <w:sz w:val="24"/>
          <w:szCs w:val="24"/>
          <w:vertAlign w:val="baseline"/>
        </w:rPr>
      </w:pPr>
      <w:r>
        <w:rPr>
          <w:rFonts w:hint="eastAsia" w:ascii="宋体" w:hAnsi="宋体" w:eastAsia="宋体" w:cs="宋体"/>
          <w:b/>
          <w:bCs/>
          <w:kern w:val="0"/>
          <w:sz w:val="24"/>
          <w:szCs w:val="24"/>
          <w:vertAlign w:val="baseline"/>
          <w:lang w:val="en-US" w:eastAsia="zh-CN" w:bidi="ar"/>
        </w:rPr>
        <w:t>三、公共资源交易领域严重失信行为</w:t>
      </w:r>
    </w:p>
    <w:p w14:paraId="12A86F1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（一）违反法律规定，必须进行招标的项目而不招标的，将必须进行招标的项目化整为零或者以其他任何方式规避招标的； </w:t>
      </w:r>
    </w:p>
    <w:p w14:paraId="7B39621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（二）招标代理机构违反法律规定，泄露应当保密的与招标投标活动有关的情况和资料的，或者与招标人、投标人串通损害 国家利益、社会公共利益或者他人合法权益的；</w:t>
      </w:r>
    </w:p>
    <w:p w14:paraId="0B078FA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（三）招标人以不合理的条件限制或者排斥潜在投标人的，对潜在投标人实行歧视待遇的，强制要求投标人组成联合体共同 投标的，或者限制投标人之间竞争的；</w:t>
      </w:r>
    </w:p>
    <w:p w14:paraId="1BFA52B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（四）依法必须进行招标的项目的招标人向他人透露已获取招标文件的潜在投标人的名称、数量或者可能影响公平竞争的有 关招标投标的其他情况的，或者泄露标底的；</w:t>
      </w:r>
    </w:p>
    <w:p w14:paraId="0172204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（五）投标人相互串通投标或者与招标人串通投标的，投标人以向招标人或者评标委员会成员行贿的手段谋取中标的； </w:t>
      </w:r>
    </w:p>
    <w:p w14:paraId="17F65DC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（六）投标人以他人名义投标或者以其他方式弄虚作假，骗取中标的；</w:t>
      </w:r>
    </w:p>
    <w:p w14:paraId="6EF4968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（七）依法必须进行招标的项目，招标人违反法律规定，与投标人就投标价格、投标方案等实质性内容进行谈判的；</w:t>
      </w:r>
    </w:p>
    <w:p w14:paraId="568DD0F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2D6648E">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（九）招标人在评标委员会依法推荐的中标候选人以外确定中标人的，依法必须进行招标的项目在所有投标被评标委员会否 决后自行确定中标人的； </w:t>
      </w:r>
    </w:p>
    <w:p w14:paraId="09D035A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18D9BE17">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（十一）招标人与中标人不按照招标文件和中标人的投标文件订立合同的，或者招标人、中标人订立背离合同实质性内容的 协议的； </w:t>
      </w:r>
    </w:p>
    <w:p w14:paraId="1E7F4BC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（十二）中标人不按照与招标人订立的合同履行义务，情节严重的； </w:t>
      </w:r>
    </w:p>
    <w:p w14:paraId="75D4000B">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611DC5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7AA276D">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（十五）采购人对应当实行集中采购的政府采购项目，不委托集中采购机构实行集中采购的； </w:t>
      </w:r>
    </w:p>
    <w:p w14:paraId="7EF7A51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（十六）采购人、采购代理机构违反法律规定隐匿、销毁应当保存的采购文件或者伪造、变造采购文件的； </w:t>
      </w:r>
    </w:p>
    <w:p w14:paraId="176CFB3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3C96A12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（十八）疫苗生产企业向县级疾病预防控制机构以外的单位或者个人销售第二类疫苗的； </w:t>
      </w:r>
    </w:p>
    <w:p w14:paraId="6E10423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Times New Roman"/>
          <w:kern w:val="2"/>
          <w:sz w:val="24"/>
          <w:szCs w:val="24"/>
          <w:vertAlign w:val="baseline"/>
        </w:rPr>
      </w:pPr>
      <w:r>
        <w:rPr>
          <w:rFonts w:hint="eastAsia" w:ascii="宋体" w:hAnsi="宋体" w:eastAsia="宋体" w:cs="宋体"/>
          <w:kern w:val="0"/>
          <w:sz w:val="24"/>
          <w:szCs w:val="24"/>
          <w:vertAlign w:val="baseline"/>
          <w:lang w:val="en-US" w:eastAsia="zh-CN" w:bidi="ar"/>
        </w:rPr>
        <w:t>（十九）存在其他违反公共资源交易法律法规行为的。</w:t>
      </w:r>
    </w:p>
    <w:p w14:paraId="419B50CA">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依据：《关于对公共资源交易领域严重失信主体开展联合惩戒的备忘录》（发改法规〔2018〕457号）</w:t>
      </w:r>
    </w:p>
    <w:p w14:paraId="2D8A2B3C">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0"/>
          <w:sz w:val="24"/>
          <w:szCs w:val="24"/>
          <w:vertAlign w:val="baseline"/>
          <w:lang w:val="en-US" w:eastAsia="zh-CN" w:bidi="ar"/>
        </w:rPr>
        <w:t xml:space="preserve"> </w:t>
      </w:r>
    </w:p>
    <w:p w14:paraId="283B640F">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0"/>
          <w:sz w:val="24"/>
          <w:szCs w:val="24"/>
          <w:vertAlign w:val="baseline"/>
          <w:lang w:val="en-US" w:eastAsia="zh-CN" w:bidi="ar"/>
        </w:rPr>
        <w:t>四、社会保险领域严重失信行为</w:t>
      </w:r>
    </w:p>
    <w:p w14:paraId="5736DEA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（一）用人单位未按相关规定参加社会保险且拒不整改的； </w:t>
      </w:r>
    </w:p>
    <w:p w14:paraId="3191ACA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（二）用人单位未如实申报社会保险缴费基数且拒不整改的； </w:t>
      </w:r>
    </w:p>
    <w:p w14:paraId="19452D82">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（三）应缴纳社会保险费却拒不缴纳的； </w:t>
      </w:r>
    </w:p>
    <w:p w14:paraId="74117151">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（四）隐匿、转移、侵占、挪用社会保险费款、基金或者违规投资运营的；</w:t>
      </w:r>
    </w:p>
    <w:p w14:paraId="7BE0436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（五）以欺诈、伪造证明材料或者其他手段参加、申报社会保险和骗取社会保险基金支出或社会保险待遇的； </w:t>
      </w:r>
    </w:p>
    <w:p w14:paraId="4D012D2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（六）非法获取、出售或变相交易社会保险个人权益数据的； </w:t>
      </w:r>
    </w:p>
    <w:p w14:paraId="4E7F7C8C">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（七）社会保险服务机构违反服务协议或相关规定的； </w:t>
      </w:r>
    </w:p>
    <w:p w14:paraId="0CB3206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24373B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2"/>
          <w:sz w:val="24"/>
          <w:szCs w:val="24"/>
          <w:vertAlign w:val="baseline"/>
        </w:rPr>
      </w:pPr>
      <w:r>
        <w:rPr>
          <w:rFonts w:hint="eastAsia" w:ascii="宋体" w:hAnsi="宋体" w:eastAsia="宋体" w:cs="宋体"/>
          <w:kern w:val="0"/>
          <w:sz w:val="24"/>
          <w:szCs w:val="24"/>
          <w:vertAlign w:val="baseline"/>
          <w:lang w:val="en-US" w:eastAsia="zh-CN" w:bidi="ar"/>
        </w:rPr>
        <w:t>（九）其他违反法律法规规定的。</w:t>
      </w:r>
    </w:p>
    <w:p w14:paraId="72AAA5E6">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依据：《关于对社会保险领域严重失信企业及其有关人员实施联合惩戒的合作备忘录》（发改财金〔2018〕1704号）</w:t>
      </w:r>
    </w:p>
    <w:p w14:paraId="63803436">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0"/>
          <w:sz w:val="24"/>
          <w:szCs w:val="24"/>
          <w:vertAlign w:val="baseline"/>
          <w:lang w:val="en-US" w:eastAsia="zh-CN" w:bidi="ar"/>
        </w:rPr>
        <w:t xml:space="preserve"> </w:t>
      </w:r>
    </w:p>
    <w:p w14:paraId="614007D7">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0"/>
          <w:sz w:val="24"/>
          <w:szCs w:val="24"/>
          <w:vertAlign w:val="baseline"/>
          <w:lang w:val="en-US" w:eastAsia="zh-CN" w:bidi="ar"/>
        </w:rPr>
        <w:t>五、建筑市场领域严重失信行为</w:t>
      </w:r>
    </w:p>
    <w:p w14:paraId="1399C9DA">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（一）利用虚假材料、以欺骗手段取得企业资质的；</w:t>
      </w:r>
    </w:p>
    <w:p w14:paraId="5BAF7425">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（二）发生转包、出借资质，受到行政处罚的；</w:t>
      </w:r>
    </w:p>
    <w:p w14:paraId="5FBAAC00">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742C5604">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（四）经法院判决或仲裁机构裁决，认定为拖欠工程款,且拒不履行生效法律文书确定的义务的。</w:t>
      </w:r>
    </w:p>
    <w:p w14:paraId="7174AC7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2"/>
          <w:sz w:val="24"/>
          <w:szCs w:val="24"/>
          <w:vertAlign w:val="baseline"/>
        </w:rPr>
      </w:pPr>
      <w:r>
        <w:rPr>
          <w:rFonts w:hint="eastAsia" w:ascii="宋体" w:hAnsi="宋体" w:eastAsia="宋体" w:cs="宋体"/>
          <w:kern w:val="0"/>
          <w:sz w:val="24"/>
          <w:szCs w:val="24"/>
          <w:vertAlign w:val="baseline"/>
          <w:lang w:val="en-US" w:eastAsia="zh-CN" w:bidi="ar"/>
        </w:rPr>
        <w:t>各级住房城乡建设主管部门应当参照建筑市场主体“黑名单”，对被人力资源社会保障行政部门列入拖欠农民工工资“黑名单”的建筑市场各方主体加强监管。</w:t>
      </w:r>
    </w:p>
    <w:p w14:paraId="7BA294DB">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kern w:val="2"/>
          <w:sz w:val="24"/>
          <w:szCs w:val="24"/>
          <w:vertAlign w:val="baseline"/>
        </w:rPr>
      </w:pPr>
      <w:r>
        <w:rPr>
          <w:rFonts w:hint="eastAsia" w:ascii="宋体" w:hAnsi="宋体" w:eastAsia="宋体" w:cs="宋体"/>
          <w:b/>
          <w:bCs w:val="0"/>
          <w:kern w:val="0"/>
          <w:sz w:val="24"/>
          <w:szCs w:val="24"/>
          <w:vertAlign w:val="baseline"/>
          <w:lang w:val="en-US" w:eastAsia="zh-CN" w:bidi="ar"/>
        </w:rPr>
        <w:t>依据：《建筑市场信用管理暂行办法》（建市〔2017〕241号）</w:t>
      </w:r>
    </w:p>
    <w:p w14:paraId="2261B2D6">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0"/>
          <w:sz w:val="24"/>
          <w:szCs w:val="24"/>
          <w:vertAlign w:val="baseline"/>
          <w:lang w:val="en-US" w:eastAsia="zh-CN" w:bidi="ar"/>
        </w:rPr>
        <w:t xml:space="preserve"> </w:t>
      </w:r>
    </w:p>
    <w:p w14:paraId="0DD3026B">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kern w:val="2"/>
          <w:sz w:val="24"/>
          <w:szCs w:val="24"/>
          <w:vertAlign w:val="baseline"/>
        </w:rPr>
      </w:pPr>
      <w:r>
        <w:rPr>
          <w:rFonts w:hint="eastAsia" w:ascii="宋体" w:hAnsi="宋体" w:eastAsia="宋体" w:cs="宋体"/>
          <w:b/>
          <w:bCs/>
          <w:kern w:val="0"/>
          <w:sz w:val="24"/>
          <w:szCs w:val="24"/>
          <w:vertAlign w:val="baseline"/>
          <w:lang w:val="en-US" w:eastAsia="zh-CN" w:bidi="ar"/>
        </w:rPr>
        <w:t>六、政府采购严重失信行为</w:t>
      </w:r>
    </w:p>
    <w:p w14:paraId="30DB15D3">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供应商、采购代理机构在三年内受到财政部门作出下列情形之一的行政处罚，列入政府采购严重违法失信行为记录名单。</w:t>
      </w:r>
    </w:p>
    <w:p w14:paraId="515F2376">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（一）三万元以上罚款；</w:t>
      </w:r>
    </w:p>
    <w:p w14:paraId="16B08ED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（二）在一至三年内禁止参加政府采购活动（处罚期限届满的除外）；</w:t>
      </w:r>
    </w:p>
    <w:p w14:paraId="00495429">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宋体"/>
          <w:kern w:val="0"/>
          <w:sz w:val="24"/>
          <w:szCs w:val="24"/>
          <w:vertAlign w:val="baseline"/>
        </w:rPr>
      </w:pPr>
      <w:r>
        <w:rPr>
          <w:rFonts w:hint="eastAsia" w:ascii="宋体" w:hAnsi="宋体" w:eastAsia="宋体" w:cs="宋体"/>
          <w:kern w:val="0"/>
          <w:sz w:val="24"/>
          <w:szCs w:val="24"/>
          <w:vertAlign w:val="baseline"/>
          <w:lang w:val="en-US" w:eastAsia="zh-CN" w:bidi="ar"/>
        </w:rPr>
        <w:t>（三）在一至三年内禁止代理政府采购业务（处罚期限届满的除外）；</w:t>
      </w:r>
    </w:p>
    <w:p w14:paraId="47AC1F8F">
      <w:pPr>
        <w:keepNext w:val="0"/>
        <w:keepLines w:val="0"/>
        <w:widowControl/>
        <w:suppressLineNumbers w:val="0"/>
        <w:spacing w:before="0" w:beforeAutospacing="0" w:after="0" w:afterAutospacing="0" w:line="480" w:lineRule="exact"/>
        <w:ind w:left="0" w:right="0" w:firstLine="480" w:firstLineChars="200"/>
        <w:jc w:val="left"/>
        <w:textAlignment w:val="baseline"/>
        <w:rPr>
          <w:rFonts w:hint="eastAsia" w:ascii="宋体" w:hAnsi="宋体" w:eastAsia="宋体" w:cs="Times New Roman"/>
          <w:kern w:val="2"/>
          <w:sz w:val="24"/>
          <w:szCs w:val="24"/>
          <w:vertAlign w:val="baseline"/>
        </w:rPr>
      </w:pPr>
      <w:r>
        <w:rPr>
          <w:rFonts w:hint="eastAsia" w:ascii="宋体" w:hAnsi="宋体" w:eastAsia="宋体" w:cs="宋体"/>
          <w:kern w:val="0"/>
          <w:sz w:val="24"/>
          <w:szCs w:val="24"/>
          <w:vertAlign w:val="baseline"/>
          <w:lang w:val="en-US" w:eastAsia="zh-CN" w:bidi="ar"/>
        </w:rPr>
        <w:t>（四）撤销政府采购代理机构资格（仅针对《政府采购法》第78条修改前作出的处罚决定）。</w:t>
      </w:r>
    </w:p>
    <w:p w14:paraId="2CB02100">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Times New Roman"/>
          <w:b/>
          <w:bCs w:val="0"/>
          <w:kern w:val="2"/>
          <w:sz w:val="24"/>
          <w:szCs w:val="24"/>
          <w:vertAlign w:val="baseline"/>
        </w:rPr>
      </w:pPr>
      <w:r>
        <w:rPr>
          <w:rFonts w:hint="eastAsia" w:ascii="宋体" w:hAnsi="宋体" w:eastAsia="宋体" w:cs="宋体"/>
          <w:b/>
          <w:bCs w:val="0"/>
          <w:kern w:val="0"/>
          <w:sz w:val="24"/>
          <w:szCs w:val="24"/>
          <w:vertAlign w:val="baseline"/>
          <w:lang w:val="en-US" w:eastAsia="zh-CN" w:bidi="ar"/>
        </w:rPr>
        <w:t>依据：《关于报送政府采购严重违法失信行为信息记录的通知》（财办库〔2014〕526号）</w:t>
      </w:r>
    </w:p>
    <w:p w14:paraId="1802CD12">
      <w:pPr>
        <w:keepNext w:val="0"/>
        <w:keepLines w:val="0"/>
        <w:widowControl/>
        <w:suppressLineNumbers w:val="0"/>
        <w:spacing w:before="0" w:beforeAutospacing="0" w:after="0" w:afterAutospacing="0" w:line="480" w:lineRule="exact"/>
        <w:ind w:left="0" w:right="0" w:firstLine="480" w:firstLineChars="200"/>
        <w:jc w:val="both"/>
        <w:textAlignment w:val="baseline"/>
        <w:rPr>
          <w:rFonts w:hint="eastAsia" w:ascii="宋体" w:hAnsi="宋体" w:eastAsia="宋体" w:cs="宋体"/>
          <w:kern w:val="2"/>
          <w:sz w:val="24"/>
          <w:szCs w:val="24"/>
          <w:vertAlign w:val="baseline"/>
        </w:rPr>
      </w:pPr>
      <w:r>
        <w:rPr>
          <w:rFonts w:hint="eastAsia" w:ascii="宋体" w:hAnsi="宋体" w:eastAsia="宋体" w:cs="宋体"/>
          <w:kern w:val="0"/>
          <w:sz w:val="24"/>
          <w:szCs w:val="24"/>
          <w:vertAlign w:val="baseline"/>
          <w:lang w:val="en-US" w:eastAsia="zh-CN" w:bidi="ar"/>
        </w:rPr>
        <w:t xml:space="preserve"> </w:t>
      </w:r>
    </w:p>
    <w:p w14:paraId="14BAA5BA">
      <w:pPr>
        <w:keepNext w:val="0"/>
        <w:keepLines w:val="0"/>
        <w:widowControl/>
        <w:suppressLineNumbers w:val="0"/>
        <w:spacing w:before="0" w:beforeAutospacing="0" w:after="0" w:afterAutospacing="0" w:line="480" w:lineRule="exact"/>
        <w:ind w:left="0" w:right="0" w:firstLine="482" w:firstLineChars="200"/>
        <w:jc w:val="left"/>
        <w:textAlignment w:val="baseline"/>
        <w:rPr>
          <w:rFonts w:hint="eastAsia" w:ascii="宋体" w:hAnsi="宋体" w:eastAsia="宋体" w:cs="宋体"/>
          <w:b/>
          <w:bCs w:val="0"/>
          <w:kern w:val="0"/>
          <w:sz w:val="24"/>
          <w:szCs w:val="24"/>
          <w:vertAlign w:val="baseline"/>
        </w:rPr>
      </w:pPr>
      <w:r>
        <w:rPr>
          <w:rFonts w:hint="eastAsia" w:ascii="宋体" w:hAnsi="宋体" w:eastAsia="宋体" w:cs="宋体"/>
          <w:b/>
          <w:bCs w:val="0"/>
          <w:kern w:val="0"/>
          <w:sz w:val="24"/>
          <w:szCs w:val="24"/>
          <w:vertAlign w:val="baseline"/>
          <w:lang w:val="en-US" w:eastAsia="zh-CN" w:bidi="ar"/>
        </w:rPr>
        <w:t>未列出的其他类别严重失信行为，由招标人（代理机构）根据各类别行业主管部门下发的联合惩戒文件进行判断。</w:t>
      </w:r>
    </w:p>
    <w:p w14:paraId="49CED4A7">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仿宋_GB2312"/>
          <w:b/>
          <w:bCs/>
          <w:kern w:val="2"/>
          <w:sz w:val="28"/>
          <w:szCs w:val="28"/>
        </w:rPr>
      </w:pPr>
      <w:r>
        <w:rPr>
          <w:rFonts w:hint="eastAsia" w:ascii="宋体" w:hAnsi="宋体" w:eastAsia="宋体" w:cs="@仿宋_GB2312"/>
          <w:b/>
          <w:bCs/>
          <w:kern w:val="2"/>
          <w:sz w:val="28"/>
          <w:szCs w:val="28"/>
          <w:lang w:val="en-US" w:eastAsia="zh-CN" w:bidi="ar"/>
        </w:rPr>
        <w:t xml:space="preserve"> </w:t>
      </w:r>
    </w:p>
    <w:p w14:paraId="5DB35FBA">
      <w:pPr>
        <w:keepNext w:val="0"/>
        <w:keepLines w:val="0"/>
        <w:widowControl w:val="0"/>
        <w:suppressLineNumbers w:val="0"/>
        <w:spacing w:before="0" w:beforeAutospacing="0" w:after="0" w:afterAutospacing="0" w:line="360" w:lineRule="auto"/>
        <w:ind w:left="0" w:right="0"/>
        <w:jc w:val="center"/>
        <w:outlineLvl w:val="0"/>
        <w:rPr>
          <w:rFonts w:hint="eastAsia" w:ascii="宋体" w:hAnsi="宋体" w:eastAsia="宋体" w:cs="@仿宋_GB2312"/>
          <w:b/>
          <w:bCs/>
          <w:kern w:val="2"/>
          <w:sz w:val="28"/>
          <w:szCs w:val="28"/>
        </w:rPr>
      </w:pPr>
    </w:p>
    <w:p w14:paraId="5F0FC5F9">
      <w:pPr>
        <w:spacing w:line="360" w:lineRule="auto"/>
        <w:ind w:firstLine="435"/>
        <w:rPr>
          <w:rFonts w:hint="eastAsia" w:asciiTheme="minorEastAsia" w:hAnsiTheme="minorEastAsia" w:eastAsiaTheme="minorEastAsia"/>
          <w:color w:val="auto"/>
          <w:sz w:val="24"/>
          <w:highlight w:val="none"/>
          <w:lang w:eastAsia="zh-CN"/>
        </w:rPr>
      </w:pPr>
    </w:p>
    <w:p w14:paraId="63DB22EC">
      <w:pPr>
        <w:spacing w:line="360" w:lineRule="auto"/>
        <w:ind w:firstLine="435"/>
        <w:rPr>
          <w:rFonts w:hint="eastAsia" w:asciiTheme="minorEastAsia" w:hAnsiTheme="minorEastAsia" w:eastAsiaTheme="minorEastAsia"/>
          <w:color w:val="auto"/>
          <w:sz w:val="24"/>
          <w:highlight w:val="none"/>
        </w:rPr>
      </w:pPr>
    </w:p>
    <w:p w14:paraId="12BE1486">
      <w:pPr>
        <w:spacing w:line="360" w:lineRule="auto"/>
        <w:ind w:firstLine="435"/>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84ACB">
    <w:pPr>
      <w:pStyle w:val="18"/>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67673">
    <w:pPr>
      <w:pStyle w:val="18"/>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2157730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D9B31">
                          <w:pPr>
                            <w:pStyle w:val="18"/>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69.9pt;margin-top:0pt;height:144pt;width:144pt;mso-position-horizontal-relative:margin;mso-wrap-style:none;z-index:251659264;mso-width-relative:page;mso-height-relative:page;" filled="f" stroked="f" coordsize="21600,21600" o:gfxdata="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cAboDVAAAACAEAAA8AAAAAAAAAAQAgAAAAIgAAAGRycy9kb3ducmV2LnhtbFBLAQIUABQA&#10;AAAIAIdO4kAXDIm4LAIAAFUEAAAOAAAAAAAAAAEAIAAAACQBAABkcnMvZTJvRG9jLnhtbFBLBQYA&#10;AAAABgAGAFkBAADCBQAAAAA=&#10;">
              <v:fill on="f" focussize="0,0"/>
              <v:stroke on="f" weight="0.5pt"/>
              <v:imagedata o:title=""/>
              <o:lock v:ext="edit" aspectratio="f"/>
              <v:textbox inset="0mm,0mm,0mm,0mm" style="mso-fit-shape-to-text:t;">
                <w:txbxContent>
                  <w:p w14:paraId="018D9B31">
                    <w:pPr>
                      <w:pStyle w:val="18"/>
                      <w:rPr>
                        <w:rFonts w:hint="eastAsia"/>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41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54</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F1E23">
    <w:pPr>
      <w:pStyle w:val="19"/>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F7D72">
    <w:pPr>
      <w:pStyle w:val="19"/>
      <w:pBdr>
        <w:bottom w:val="none" w:color="auto" w:sz="0" w:space="1"/>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753"/>
    <w:rsid w:val="00040C25"/>
    <w:rsid w:val="00042139"/>
    <w:rsid w:val="00042B14"/>
    <w:rsid w:val="00044F49"/>
    <w:rsid w:val="000450C3"/>
    <w:rsid w:val="00046753"/>
    <w:rsid w:val="00050A3F"/>
    <w:rsid w:val="00052F95"/>
    <w:rsid w:val="00054AA3"/>
    <w:rsid w:val="00056ECB"/>
    <w:rsid w:val="00057B40"/>
    <w:rsid w:val="000648D2"/>
    <w:rsid w:val="00070E0E"/>
    <w:rsid w:val="0007146E"/>
    <w:rsid w:val="00076C8C"/>
    <w:rsid w:val="00076DB7"/>
    <w:rsid w:val="00080640"/>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5D1"/>
    <w:rsid w:val="00132F4D"/>
    <w:rsid w:val="001333E7"/>
    <w:rsid w:val="00133EA0"/>
    <w:rsid w:val="00137249"/>
    <w:rsid w:val="00140687"/>
    <w:rsid w:val="00146421"/>
    <w:rsid w:val="001517A3"/>
    <w:rsid w:val="00153B20"/>
    <w:rsid w:val="00155F64"/>
    <w:rsid w:val="00157856"/>
    <w:rsid w:val="00160729"/>
    <w:rsid w:val="00160B4F"/>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2B1C"/>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86CEC"/>
    <w:rsid w:val="002A14D1"/>
    <w:rsid w:val="002A1A1D"/>
    <w:rsid w:val="002A28AD"/>
    <w:rsid w:val="002B04FD"/>
    <w:rsid w:val="002B5318"/>
    <w:rsid w:val="002B6D27"/>
    <w:rsid w:val="002B7A09"/>
    <w:rsid w:val="002C060C"/>
    <w:rsid w:val="002C078A"/>
    <w:rsid w:val="002C2E8A"/>
    <w:rsid w:val="002D05DD"/>
    <w:rsid w:val="002D0E4D"/>
    <w:rsid w:val="002D2965"/>
    <w:rsid w:val="002D3D02"/>
    <w:rsid w:val="002D4CB5"/>
    <w:rsid w:val="002D5900"/>
    <w:rsid w:val="002D684B"/>
    <w:rsid w:val="002D6B22"/>
    <w:rsid w:val="002E2D3A"/>
    <w:rsid w:val="002E3B26"/>
    <w:rsid w:val="002E4AB8"/>
    <w:rsid w:val="002E7FC4"/>
    <w:rsid w:val="002E7FFD"/>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21F"/>
    <w:rsid w:val="003903BB"/>
    <w:rsid w:val="0039195E"/>
    <w:rsid w:val="00392627"/>
    <w:rsid w:val="003934C8"/>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6F76"/>
    <w:rsid w:val="003F7528"/>
    <w:rsid w:val="004011AA"/>
    <w:rsid w:val="0040202C"/>
    <w:rsid w:val="00404A8F"/>
    <w:rsid w:val="00406508"/>
    <w:rsid w:val="004110F6"/>
    <w:rsid w:val="004134F8"/>
    <w:rsid w:val="0041456E"/>
    <w:rsid w:val="004148E3"/>
    <w:rsid w:val="00414F7E"/>
    <w:rsid w:val="004164F8"/>
    <w:rsid w:val="00422224"/>
    <w:rsid w:val="00426F05"/>
    <w:rsid w:val="00431009"/>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3FFB"/>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477"/>
    <w:rsid w:val="005616B5"/>
    <w:rsid w:val="00566690"/>
    <w:rsid w:val="005679A4"/>
    <w:rsid w:val="00574CE6"/>
    <w:rsid w:val="005801CF"/>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2F28"/>
    <w:rsid w:val="00613177"/>
    <w:rsid w:val="00613F7C"/>
    <w:rsid w:val="00614BF2"/>
    <w:rsid w:val="0061557C"/>
    <w:rsid w:val="00623DE2"/>
    <w:rsid w:val="00627601"/>
    <w:rsid w:val="006300D0"/>
    <w:rsid w:val="00632012"/>
    <w:rsid w:val="00634694"/>
    <w:rsid w:val="00636517"/>
    <w:rsid w:val="00636EE7"/>
    <w:rsid w:val="00637690"/>
    <w:rsid w:val="00640E1E"/>
    <w:rsid w:val="006435FB"/>
    <w:rsid w:val="0064389A"/>
    <w:rsid w:val="00645442"/>
    <w:rsid w:val="006525CD"/>
    <w:rsid w:val="00653F7F"/>
    <w:rsid w:val="00662DCD"/>
    <w:rsid w:val="00662EE8"/>
    <w:rsid w:val="00663813"/>
    <w:rsid w:val="00664AFD"/>
    <w:rsid w:val="00667567"/>
    <w:rsid w:val="0067391A"/>
    <w:rsid w:val="00674173"/>
    <w:rsid w:val="0067534F"/>
    <w:rsid w:val="00677D87"/>
    <w:rsid w:val="0068203D"/>
    <w:rsid w:val="0068245E"/>
    <w:rsid w:val="006834FA"/>
    <w:rsid w:val="00690DB1"/>
    <w:rsid w:val="00693404"/>
    <w:rsid w:val="006953D9"/>
    <w:rsid w:val="006A1269"/>
    <w:rsid w:val="006A1F48"/>
    <w:rsid w:val="006A5803"/>
    <w:rsid w:val="006A69C3"/>
    <w:rsid w:val="006A7C15"/>
    <w:rsid w:val="006B1242"/>
    <w:rsid w:val="006B1DBC"/>
    <w:rsid w:val="006B3712"/>
    <w:rsid w:val="006B65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6F69A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5404"/>
    <w:rsid w:val="00766A36"/>
    <w:rsid w:val="007757CF"/>
    <w:rsid w:val="007769F6"/>
    <w:rsid w:val="00780F9D"/>
    <w:rsid w:val="0078128F"/>
    <w:rsid w:val="0078143C"/>
    <w:rsid w:val="007819D9"/>
    <w:rsid w:val="0078683C"/>
    <w:rsid w:val="00790EDB"/>
    <w:rsid w:val="00791538"/>
    <w:rsid w:val="0079326E"/>
    <w:rsid w:val="00796EDE"/>
    <w:rsid w:val="007973B2"/>
    <w:rsid w:val="007A5A58"/>
    <w:rsid w:val="007B1C56"/>
    <w:rsid w:val="007B2EDC"/>
    <w:rsid w:val="007B75A1"/>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238A"/>
    <w:rsid w:val="00825E35"/>
    <w:rsid w:val="00830A4E"/>
    <w:rsid w:val="008334F8"/>
    <w:rsid w:val="00835FFD"/>
    <w:rsid w:val="0084381F"/>
    <w:rsid w:val="00843E35"/>
    <w:rsid w:val="00851EFD"/>
    <w:rsid w:val="008524CE"/>
    <w:rsid w:val="00857633"/>
    <w:rsid w:val="0086440C"/>
    <w:rsid w:val="008674ED"/>
    <w:rsid w:val="00874EE6"/>
    <w:rsid w:val="00876659"/>
    <w:rsid w:val="0087734C"/>
    <w:rsid w:val="00882141"/>
    <w:rsid w:val="00886BD4"/>
    <w:rsid w:val="008876EC"/>
    <w:rsid w:val="008922A8"/>
    <w:rsid w:val="008923AD"/>
    <w:rsid w:val="00895BD5"/>
    <w:rsid w:val="00897F9D"/>
    <w:rsid w:val="008A16C4"/>
    <w:rsid w:val="008A4A27"/>
    <w:rsid w:val="008A649F"/>
    <w:rsid w:val="008A6FED"/>
    <w:rsid w:val="008B39C5"/>
    <w:rsid w:val="008B51AA"/>
    <w:rsid w:val="008B560E"/>
    <w:rsid w:val="008C67F2"/>
    <w:rsid w:val="008D064A"/>
    <w:rsid w:val="008D2537"/>
    <w:rsid w:val="008D2B0F"/>
    <w:rsid w:val="008D633C"/>
    <w:rsid w:val="008E449E"/>
    <w:rsid w:val="008E4BDD"/>
    <w:rsid w:val="008E770C"/>
    <w:rsid w:val="008F187F"/>
    <w:rsid w:val="008F372E"/>
    <w:rsid w:val="008F402F"/>
    <w:rsid w:val="008F76E8"/>
    <w:rsid w:val="00904508"/>
    <w:rsid w:val="009078A1"/>
    <w:rsid w:val="0091038B"/>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52EE"/>
    <w:rsid w:val="00966C7B"/>
    <w:rsid w:val="009701DC"/>
    <w:rsid w:val="009715D8"/>
    <w:rsid w:val="009749AB"/>
    <w:rsid w:val="009811A8"/>
    <w:rsid w:val="0098698F"/>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5EA"/>
    <w:rsid w:val="009E3A0A"/>
    <w:rsid w:val="009F1936"/>
    <w:rsid w:val="009F3E91"/>
    <w:rsid w:val="00A008DA"/>
    <w:rsid w:val="00A00C93"/>
    <w:rsid w:val="00A0571E"/>
    <w:rsid w:val="00A07656"/>
    <w:rsid w:val="00A13A27"/>
    <w:rsid w:val="00A1499B"/>
    <w:rsid w:val="00A170D8"/>
    <w:rsid w:val="00A20C07"/>
    <w:rsid w:val="00A23FCA"/>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52D"/>
    <w:rsid w:val="00B33E8F"/>
    <w:rsid w:val="00B33E95"/>
    <w:rsid w:val="00B3720B"/>
    <w:rsid w:val="00B45D0B"/>
    <w:rsid w:val="00B52FA0"/>
    <w:rsid w:val="00B5558A"/>
    <w:rsid w:val="00B56513"/>
    <w:rsid w:val="00B61B64"/>
    <w:rsid w:val="00B631E4"/>
    <w:rsid w:val="00B64376"/>
    <w:rsid w:val="00B6570C"/>
    <w:rsid w:val="00B65A40"/>
    <w:rsid w:val="00B6790B"/>
    <w:rsid w:val="00B7401F"/>
    <w:rsid w:val="00B769CF"/>
    <w:rsid w:val="00B806C3"/>
    <w:rsid w:val="00B80D6F"/>
    <w:rsid w:val="00B82EDD"/>
    <w:rsid w:val="00B84FCA"/>
    <w:rsid w:val="00B9089F"/>
    <w:rsid w:val="00B91826"/>
    <w:rsid w:val="00B91AEE"/>
    <w:rsid w:val="00B9395B"/>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25CFA"/>
    <w:rsid w:val="00C26E0E"/>
    <w:rsid w:val="00C30182"/>
    <w:rsid w:val="00C31FC9"/>
    <w:rsid w:val="00C37830"/>
    <w:rsid w:val="00C37A63"/>
    <w:rsid w:val="00C42248"/>
    <w:rsid w:val="00C46A36"/>
    <w:rsid w:val="00C47037"/>
    <w:rsid w:val="00C50235"/>
    <w:rsid w:val="00C509E3"/>
    <w:rsid w:val="00C53625"/>
    <w:rsid w:val="00C548BA"/>
    <w:rsid w:val="00C5679D"/>
    <w:rsid w:val="00C5733A"/>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0F8"/>
    <w:rsid w:val="00CA31EA"/>
    <w:rsid w:val="00CA5446"/>
    <w:rsid w:val="00CB14E5"/>
    <w:rsid w:val="00CB218D"/>
    <w:rsid w:val="00CB5625"/>
    <w:rsid w:val="00CB5797"/>
    <w:rsid w:val="00CC1C17"/>
    <w:rsid w:val="00CC4F7F"/>
    <w:rsid w:val="00CC5D70"/>
    <w:rsid w:val="00CD09E1"/>
    <w:rsid w:val="00CE1780"/>
    <w:rsid w:val="00CE4913"/>
    <w:rsid w:val="00CE66BD"/>
    <w:rsid w:val="00CE6FBC"/>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33F26"/>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77E3D"/>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24FA"/>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776"/>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550C"/>
    <w:rsid w:val="00F569DE"/>
    <w:rsid w:val="00F57205"/>
    <w:rsid w:val="00F634AD"/>
    <w:rsid w:val="00F63677"/>
    <w:rsid w:val="00F70658"/>
    <w:rsid w:val="00F7417E"/>
    <w:rsid w:val="00F75B81"/>
    <w:rsid w:val="00F761CA"/>
    <w:rsid w:val="00F804C4"/>
    <w:rsid w:val="00F80C7E"/>
    <w:rsid w:val="00F82F83"/>
    <w:rsid w:val="00F83ED1"/>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01237C"/>
    <w:rsid w:val="011F4DC6"/>
    <w:rsid w:val="01364A6D"/>
    <w:rsid w:val="01565C22"/>
    <w:rsid w:val="015873C5"/>
    <w:rsid w:val="015C4E83"/>
    <w:rsid w:val="01635C49"/>
    <w:rsid w:val="016A3C27"/>
    <w:rsid w:val="01722E9F"/>
    <w:rsid w:val="0174163C"/>
    <w:rsid w:val="01915CC2"/>
    <w:rsid w:val="019F4757"/>
    <w:rsid w:val="01C963F3"/>
    <w:rsid w:val="020B6DEF"/>
    <w:rsid w:val="02100CC6"/>
    <w:rsid w:val="02247ACE"/>
    <w:rsid w:val="022A0E81"/>
    <w:rsid w:val="024C2B81"/>
    <w:rsid w:val="027E7BBC"/>
    <w:rsid w:val="02C94D19"/>
    <w:rsid w:val="02EB0203"/>
    <w:rsid w:val="033835B9"/>
    <w:rsid w:val="0365214C"/>
    <w:rsid w:val="038F71C9"/>
    <w:rsid w:val="03EC461B"/>
    <w:rsid w:val="043438CC"/>
    <w:rsid w:val="043F299D"/>
    <w:rsid w:val="04467040"/>
    <w:rsid w:val="046C3066"/>
    <w:rsid w:val="04877EA0"/>
    <w:rsid w:val="048953CF"/>
    <w:rsid w:val="048F66B0"/>
    <w:rsid w:val="04B36EE7"/>
    <w:rsid w:val="04F80D9E"/>
    <w:rsid w:val="050E40CA"/>
    <w:rsid w:val="05113F0C"/>
    <w:rsid w:val="05A8641E"/>
    <w:rsid w:val="05C64E5C"/>
    <w:rsid w:val="062F6A41"/>
    <w:rsid w:val="06377E97"/>
    <w:rsid w:val="06763BE5"/>
    <w:rsid w:val="068F0ACF"/>
    <w:rsid w:val="06954AF6"/>
    <w:rsid w:val="06AE129F"/>
    <w:rsid w:val="06B17456"/>
    <w:rsid w:val="07061550"/>
    <w:rsid w:val="072D11D3"/>
    <w:rsid w:val="072D20A4"/>
    <w:rsid w:val="07337B36"/>
    <w:rsid w:val="073B420D"/>
    <w:rsid w:val="07611BEA"/>
    <w:rsid w:val="07D71DC7"/>
    <w:rsid w:val="07E15B19"/>
    <w:rsid w:val="08397703"/>
    <w:rsid w:val="083E2F6B"/>
    <w:rsid w:val="08566507"/>
    <w:rsid w:val="08702488"/>
    <w:rsid w:val="08A334E0"/>
    <w:rsid w:val="08C21BDB"/>
    <w:rsid w:val="08C77405"/>
    <w:rsid w:val="08D062B9"/>
    <w:rsid w:val="08F31FA8"/>
    <w:rsid w:val="09012917"/>
    <w:rsid w:val="092B7994"/>
    <w:rsid w:val="0966396D"/>
    <w:rsid w:val="099164BE"/>
    <w:rsid w:val="09A909AA"/>
    <w:rsid w:val="09AB081C"/>
    <w:rsid w:val="09C61C99"/>
    <w:rsid w:val="09DD2324"/>
    <w:rsid w:val="0A052B89"/>
    <w:rsid w:val="0A295A60"/>
    <w:rsid w:val="0A31618B"/>
    <w:rsid w:val="0A3D35AB"/>
    <w:rsid w:val="0A415C80"/>
    <w:rsid w:val="0A542106"/>
    <w:rsid w:val="0A6C4667"/>
    <w:rsid w:val="0AB43C0C"/>
    <w:rsid w:val="0AC97464"/>
    <w:rsid w:val="0AEE686E"/>
    <w:rsid w:val="0B9544C5"/>
    <w:rsid w:val="0B9C06D5"/>
    <w:rsid w:val="0BA61553"/>
    <w:rsid w:val="0BBE711B"/>
    <w:rsid w:val="0BD47173"/>
    <w:rsid w:val="0BD654AC"/>
    <w:rsid w:val="0BE502CE"/>
    <w:rsid w:val="0BE5418E"/>
    <w:rsid w:val="0C1B47F2"/>
    <w:rsid w:val="0C363E2E"/>
    <w:rsid w:val="0C3A308B"/>
    <w:rsid w:val="0C4264AA"/>
    <w:rsid w:val="0C6157E5"/>
    <w:rsid w:val="0C7041F5"/>
    <w:rsid w:val="0C8D2585"/>
    <w:rsid w:val="0D2A5C47"/>
    <w:rsid w:val="0D474670"/>
    <w:rsid w:val="0D8458C4"/>
    <w:rsid w:val="0DB63633"/>
    <w:rsid w:val="0DE847DF"/>
    <w:rsid w:val="0DED346A"/>
    <w:rsid w:val="0E582D88"/>
    <w:rsid w:val="0E6B152D"/>
    <w:rsid w:val="0E812471"/>
    <w:rsid w:val="0F44355D"/>
    <w:rsid w:val="0FE64614"/>
    <w:rsid w:val="10090F42"/>
    <w:rsid w:val="101C3B92"/>
    <w:rsid w:val="105921EF"/>
    <w:rsid w:val="10607C4F"/>
    <w:rsid w:val="106E6418"/>
    <w:rsid w:val="10945E1E"/>
    <w:rsid w:val="10EF12A7"/>
    <w:rsid w:val="11323C4E"/>
    <w:rsid w:val="114710E3"/>
    <w:rsid w:val="116021A5"/>
    <w:rsid w:val="116B3023"/>
    <w:rsid w:val="11A726EA"/>
    <w:rsid w:val="11E45716"/>
    <w:rsid w:val="11FF376C"/>
    <w:rsid w:val="12675D51"/>
    <w:rsid w:val="127F6859"/>
    <w:rsid w:val="12A44A97"/>
    <w:rsid w:val="12D71D5F"/>
    <w:rsid w:val="12E66E96"/>
    <w:rsid w:val="13082AF4"/>
    <w:rsid w:val="13147343"/>
    <w:rsid w:val="132536A6"/>
    <w:rsid w:val="13260202"/>
    <w:rsid w:val="13385187"/>
    <w:rsid w:val="143E759B"/>
    <w:rsid w:val="144A4784"/>
    <w:rsid w:val="14787805"/>
    <w:rsid w:val="149B009F"/>
    <w:rsid w:val="14C645B6"/>
    <w:rsid w:val="151B7FB7"/>
    <w:rsid w:val="156F6E5A"/>
    <w:rsid w:val="157749A9"/>
    <w:rsid w:val="159A3459"/>
    <w:rsid w:val="15AF54A9"/>
    <w:rsid w:val="15BE6552"/>
    <w:rsid w:val="16536158"/>
    <w:rsid w:val="167B43FD"/>
    <w:rsid w:val="167B6427"/>
    <w:rsid w:val="16915C08"/>
    <w:rsid w:val="1695469E"/>
    <w:rsid w:val="16B27D38"/>
    <w:rsid w:val="16C555A8"/>
    <w:rsid w:val="172865B7"/>
    <w:rsid w:val="178564C1"/>
    <w:rsid w:val="17C4413B"/>
    <w:rsid w:val="17FF6697"/>
    <w:rsid w:val="183268D3"/>
    <w:rsid w:val="1840688C"/>
    <w:rsid w:val="1881137E"/>
    <w:rsid w:val="18860743"/>
    <w:rsid w:val="18A963FE"/>
    <w:rsid w:val="1930691F"/>
    <w:rsid w:val="19317A1B"/>
    <w:rsid w:val="193D5EF2"/>
    <w:rsid w:val="19440709"/>
    <w:rsid w:val="194515E3"/>
    <w:rsid w:val="199158FC"/>
    <w:rsid w:val="19BF2F2D"/>
    <w:rsid w:val="19F647DD"/>
    <w:rsid w:val="19FB2A6A"/>
    <w:rsid w:val="1A352420"/>
    <w:rsid w:val="1A622AE9"/>
    <w:rsid w:val="1A6528FE"/>
    <w:rsid w:val="1A835004"/>
    <w:rsid w:val="1A9E31F3"/>
    <w:rsid w:val="1AD339E7"/>
    <w:rsid w:val="1B196182"/>
    <w:rsid w:val="1B3C6949"/>
    <w:rsid w:val="1BA61F6F"/>
    <w:rsid w:val="1C0155CC"/>
    <w:rsid w:val="1C071B9A"/>
    <w:rsid w:val="1C2D0D45"/>
    <w:rsid w:val="1C63029E"/>
    <w:rsid w:val="1C6963B1"/>
    <w:rsid w:val="1C6B037B"/>
    <w:rsid w:val="1C6D719E"/>
    <w:rsid w:val="1C715A71"/>
    <w:rsid w:val="1C7F7983"/>
    <w:rsid w:val="1CC921E7"/>
    <w:rsid w:val="1D1C4205"/>
    <w:rsid w:val="1D444EB6"/>
    <w:rsid w:val="1D5515B0"/>
    <w:rsid w:val="1D6D1ED1"/>
    <w:rsid w:val="1D7E7C3A"/>
    <w:rsid w:val="1DA840EB"/>
    <w:rsid w:val="1DBE44DB"/>
    <w:rsid w:val="1DF83E22"/>
    <w:rsid w:val="1E1D38F7"/>
    <w:rsid w:val="1E1D46AD"/>
    <w:rsid w:val="1E2E3EF1"/>
    <w:rsid w:val="1E351CEA"/>
    <w:rsid w:val="1E390005"/>
    <w:rsid w:val="1EA96F39"/>
    <w:rsid w:val="1EDC01F5"/>
    <w:rsid w:val="1EF87EC0"/>
    <w:rsid w:val="1F2E743E"/>
    <w:rsid w:val="1F751511"/>
    <w:rsid w:val="1F9900FB"/>
    <w:rsid w:val="1FB137B2"/>
    <w:rsid w:val="201A2AFF"/>
    <w:rsid w:val="20586E69"/>
    <w:rsid w:val="208539D6"/>
    <w:rsid w:val="20A83338"/>
    <w:rsid w:val="20C16461"/>
    <w:rsid w:val="20FF5536"/>
    <w:rsid w:val="21240AF9"/>
    <w:rsid w:val="21350F58"/>
    <w:rsid w:val="21367194"/>
    <w:rsid w:val="21384498"/>
    <w:rsid w:val="2216693F"/>
    <w:rsid w:val="222C2E94"/>
    <w:rsid w:val="222D348C"/>
    <w:rsid w:val="226F2197"/>
    <w:rsid w:val="22737F8A"/>
    <w:rsid w:val="2274785E"/>
    <w:rsid w:val="22816C88"/>
    <w:rsid w:val="229677D4"/>
    <w:rsid w:val="229A49AD"/>
    <w:rsid w:val="22C5630B"/>
    <w:rsid w:val="23146520"/>
    <w:rsid w:val="231B4EC7"/>
    <w:rsid w:val="23205778"/>
    <w:rsid w:val="23290648"/>
    <w:rsid w:val="232F0744"/>
    <w:rsid w:val="23403BE4"/>
    <w:rsid w:val="23585502"/>
    <w:rsid w:val="23596C26"/>
    <w:rsid w:val="239767DA"/>
    <w:rsid w:val="23A00271"/>
    <w:rsid w:val="23DB14C5"/>
    <w:rsid w:val="24042E63"/>
    <w:rsid w:val="24355539"/>
    <w:rsid w:val="2452597D"/>
    <w:rsid w:val="24577437"/>
    <w:rsid w:val="24635A04"/>
    <w:rsid w:val="24747DB5"/>
    <w:rsid w:val="2492046F"/>
    <w:rsid w:val="24C369EE"/>
    <w:rsid w:val="24E0567E"/>
    <w:rsid w:val="252A68FA"/>
    <w:rsid w:val="255D409B"/>
    <w:rsid w:val="25981AB5"/>
    <w:rsid w:val="25C12DBA"/>
    <w:rsid w:val="262D78EB"/>
    <w:rsid w:val="263F3C7D"/>
    <w:rsid w:val="26EB3CAB"/>
    <w:rsid w:val="272D447F"/>
    <w:rsid w:val="276500BD"/>
    <w:rsid w:val="27A01DF3"/>
    <w:rsid w:val="27CA60F4"/>
    <w:rsid w:val="27E85AF1"/>
    <w:rsid w:val="27F41D74"/>
    <w:rsid w:val="28C17575"/>
    <w:rsid w:val="28C929C1"/>
    <w:rsid w:val="2900094D"/>
    <w:rsid w:val="29253660"/>
    <w:rsid w:val="295220BC"/>
    <w:rsid w:val="296C6A09"/>
    <w:rsid w:val="296F6CB0"/>
    <w:rsid w:val="29745033"/>
    <w:rsid w:val="29934A6D"/>
    <w:rsid w:val="29C05B95"/>
    <w:rsid w:val="29DA6B0B"/>
    <w:rsid w:val="2A093B18"/>
    <w:rsid w:val="2A24600D"/>
    <w:rsid w:val="2A51629A"/>
    <w:rsid w:val="2A524929"/>
    <w:rsid w:val="2A5A37DD"/>
    <w:rsid w:val="2A7A6782"/>
    <w:rsid w:val="2A8D7B4E"/>
    <w:rsid w:val="2AA52955"/>
    <w:rsid w:val="2ABD245A"/>
    <w:rsid w:val="2ADB2A24"/>
    <w:rsid w:val="2AEF03C9"/>
    <w:rsid w:val="2AFA0B1C"/>
    <w:rsid w:val="2B334FBF"/>
    <w:rsid w:val="2B412386"/>
    <w:rsid w:val="2B724D12"/>
    <w:rsid w:val="2BA271EA"/>
    <w:rsid w:val="2BB34FD2"/>
    <w:rsid w:val="2BB46F1D"/>
    <w:rsid w:val="2BC55F53"/>
    <w:rsid w:val="2C6C5774"/>
    <w:rsid w:val="2C701E9B"/>
    <w:rsid w:val="2CDF4518"/>
    <w:rsid w:val="2CEA687B"/>
    <w:rsid w:val="2D1633EB"/>
    <w:rsid w:val="2D4421B3"/>
    <w:rsid w:val="2D636E4D"/>
    <w:rsid w:val="2D7428AD"/>
    <w:rsid w:val="2DBB0A37"/>
    <w:rsid w:val="2DE16C1F"/>
    <w:rsid w:val="2DFB7085"/>
    <w:rsid w:val="2E027D31"/>
    <w:rsid w:val="2E1B2EA1"/>
    <w:rsid w:val="2E4A5917"/>
    <w:rsid w:val="2E63511A"/>
    <w:rsid w:val="2E8345C3"/>
    <w:rsid w:val="2EB35320"/>
    <w:rsid w:val="2EE6563F"/>
    <w:rsid w:val="2F111D48"/>
    <w:rsid w:val="2F317872"/>
    <w:rsid w:val="2F3D369E"/>
    <w:rsid w:val="2F3F0C54"/>
    <w:rsid w:val="2F4615DA"/>
    <w:rsid w:val="2F7C19BF"/>
    <w:rsid w:val="2F897465"/>
    <w:rsid w:val="2FB40713"/>
    <w:rsid w:val="2FDB378B"/>
    <w:rsid w:val="30705B08"/>
    <w:rsid w:val="30863273"/>
    <w:rsid w:val="3086532C"/>
    <w:rsid w:val="30ED2B9B"/>
    <w:rsid w:val="30F71D86"/>
    <w:rsid w:val="31197749"/>
    <w:rsid w:val="31374878"/>
    <w:rsid w:val="316A69FC"/>
    <w:rsid w:val="31752C3B"/>
    <w:rsid w:val="3176795B"/>
    <w:rsid w:val="31774C75"/>
    <w:rsid w:val="31CD174F"/>
    <w:rsid w:val="321409FA"/>
    <w:rsid w:val="324A2389"/>
    <w:rsid w:val="324A6920"/>
    <w:rsid w:val="324E251E"/>
    <w:rsid w:val="32562ADC"/>
    <w:rsid w:val="32655415"/>
    <w:rsid w:val="3267118D"/>
    <w:rsid w:val="32691053"/>
    <w:rsid w:val="32851956"/>
    <w:rsid w:val="32A538A5"/>
    <w:rsid w:val="32D558F6"/>
    <w:rsid w:val="3301230A"/>
    <w:rsid w:val="330E360D"/>
    <w:rsid w:val="331D1E21"/>
    <w:rsid w:val="334A08C9"/>
    <w:rsid w:val="33746DD8"/>
    <w:rsid w:val="33A810C6"/>
    <w:rsid w:val="33B37D2E"/>
    <w:rsid w:val="345D372E"/>
    <w:rsid w:val="34B33D14"/>
    <w:rsid w:val="34E94EEA"/>
    <w:rsid w:val="352620DC"/>
    <w:rsid w:val="352C3FC8"/>
    <w:rsid w:val="35A32FC2"/>
    <w:rsid w:val="35E5310F"/>
    <w:rsid w:val="36581519"/>
    <w:rsid w:val="3661430F"/>
    <w:rsid w:val="369D587E"/>
    <w:rsid w:val="36A64493"/>
    <w:rsid w:val="36AD6992"/>
    <w:rsid w:val="36CF1D5D"/>
    <w:rsid w:val="36E17625"/>
    <w:rsid w:val="370F3BF6"/>
    <w:rsid w:val="374943E9"/>
    <w:rsid w:val="37B564F7"/>
    <w:rsid w:val="37D42E21"/>
    <w:rsid w:val="37F0752F"/>
    <w:rsid w:val="383B07C1"/>
    <w:rsid w:val="387C7014"/>
    <w:rsid w:val="38966328"/>
    <w:rsid w:val="38A2353F"/>
    <w:rsid w:val="38AC5B4C"/>
    <w:rsid w:val="38D33919"/>
    <w:rsid w:val="39293004"/>
    <w:rsid w:val="39553AED"/>
    <w:rsid w:val="395A3541"/>
    <w:rsid w:val="39882115"/>
    <w:rsid w:val="39DA600C"/>
    <w:rsid w:val="39E10D60"/>
    <w:rsid w:val="3A541FF7"/>
    <w:rsid w:val="3A6F5083"/>
    <w:rsid w:val="3A756463"/>
    <w:rsid w:val="3A960861"/>
    <w:rsid w:val="3ADC54E1"/>
    <w:rsid w:val="3AF72EE5"/>
    <w:rsid w:val="3B7B35B3"/>
    <w:rsid w:val="3B8B7C9A"/>
    <w:rsid w:val="3BFC5E74"/>
    <w:rsid w:val="3C0059BB"/>
    <w:rsid w:val="3C2C6CFD"/>
    <w:rsid w:val="3C577B7C"/>
    <w:rsid w:val="3C5F3E33"/>
    <w:rsid w:val="3D540B55"/>
    <w:rsid w:val="3D8D69A3"/>
    <w:rsid w:val="3E131C81"/>
    <w:rsid w:val="3E260C27"/>
    <w:rsid w:val="3E320C4C"/>
    <w:rsid w:val="3E682515"/>
    <w:rsid w:val="3E691C6B"/>
    <w:rsid w:val="3E7156D6"/>
    <w:rsid w:val="3E741EC9"/>
    <w:rsid w:val="3E8545B5"/>
    <w:rsid w:val="3EAE3AD2"/>
    <w:rsid w:val="3ED43706"/>
    <w:rsid w:val="3EED2A1A"/>
    <w:rsid w:val="3EF618CF"/>
    <w:rsid w:val="3F5D36FC"/>
    <w:rsid w:val="3F5E4365"/>
    <w:rsid w:val="3F87786E"/>
    <w:rsid w:val="3F984734"/>
    <w:rsid w:val="3F9D36D7"/>
    <w:rsid w:val="3FAB5528"/>
    <w:rsid w:val="400242A3"/>
    <w:rsid w:val="400F7F20"/>
    <w:rsid w:val="402D02A4"/>
    <w:rsid w:val="403A2DAC"/>
    <w:rsid w:val="405A5E8D"/>
    <w:rsid w:val="407E7DCE"/>
    <w:rsid w:val="40B07B1C"/>
    <w:rsid w:val="40C94DC1"/>
    <w:rsid w:val="40CB0B39"/>
    <w:rsid w:val="40E439A9"/>
    <w:rsid w:val="40FF07E3"/>
    <w:rsid w:val="415470E2"/>
    <w:rsid w:val="416E38FB"/>
    <w:rsid w:val="41967F08"/>
    <w:rsid w:val="41AF5742"/>
    <w:rsid w:val="41B617E9"/>
    <w:rsid w:val="41BB759E"/>
    <w:rsid w:val="41EF3F17"/>
    <w:rsid w:val="4208360A"/>
    <w:rsid w:val="421F6DEE"/>
    <w:rsid w:val="42336996"/>
    <w:rsid w:val="425608D6"/>
    <w:rsid w:val="42B20BAE"/>
    <w:rsid w:val="42B740A7"/>
    <w:rsid w:val="4321601B"/>
    <w:rsid w:val="432602A9"/>
    <w:rsid w:val="4353477A"/>
    <w:rsid w:val="437A5885"/>
    <w:rsid w:val="439E42E3"/>
    <w:rsid w:val="43C05511"/>
    <w:rsid w:val="43F03C00"/>
    <w:rsid w:val="442E7746"/>
    <w:rsid w:val="445D419E"/>
    <w:rsid w:val="445D7CFA"/>
    <w:rsid w:val="446B6021"/>
    <w:rsid w:val="447B63D2"/>
    <w:rsid w:val="447C53F1"/>
    <w:rsid w:val="448977F8"/>
    <w:rsid w:val="448B0D0B"/>
    <w:rsid w:val="44D9323B"/>
    <w:rsid w:val="454A2974"/>
    <w:rsid w:val="456F23DB"/>
    <w:rsid w:val="4595695A"/>
    <w:rsid w:val="45E5269D"/>
    <w:rsid w:val="45FC7108"/>
    <w:rsid w:val="464F3993"/>
    <w:rsid w:val="4665733A"/>
    <w:rsid w:val="46B008FB"/>
    <w:rsid w:val="46B53E1D"/>
    <w:rsid w:val="46BD7ED2"/>
    <w:rsid w:val="473A7BED"/>
    <w:rsid w:val="473D3E13"/>
    <w:rsid w:val="4755115C"/>
    <w:rsid w:val="47863A67"/>
    <w:rsid w:val="478F71C4"/>
    <w:rsid w:val="47A80F1E"/>
    <w:rsid w:val="47B71E17"/>
    <w:rsid w:val="47B9793D"/>
    <w:rsid w:val="481E0F47"/>
    <w:rsid w:val="4821786A"/>
    <w:rsid w:val="4825146D"/>
    <w:rsid w:val="48482A6F"/>
    <w:rsid w:val="48545A7F"/>
    <w:rsid w:val="48855546"/>
    <w:rsid w:val="48DF6925"/>
    <w:rsid w:val="48E4632D"/>
    <w:rsid w:val="49057186"/>
    <w:rsid w:val="494D637F"/>
    <w:rsid w:val="49A253DB"/>
    <w:rsid w:val="49A55875"/>
    <w:rsid w:val="49BA510F"/>
    <w:rsid w:val="49E17E09"/>
    <w:rsid w:val="4A25208E"/>
    <w:rsid w:val="4A6169D0"/>
    <w:rsid w:val="4A68502F"/>
    <w:rsid w:val="4A8A5EAB"/>
    <w:rsid w:val="4A9F385A"/>
    <w:rsid w:val="4AB07692"/>
    <w:rsid w:val="4ACB6250"/>
    <w:rsid w:val="4AD021E6"/>
    <w:rsid w:val="4AD304E7"/>
    <w:rsid w:val="4AF31677"/>
    <w:rsid w:val="4B014864"/>
    <w:rsid w:val="4B064D19"/>
    <w:rsid w:val="4B3B24B9"/>
    <w:rsid w:val="4B954E7C"/>
    <w:rsid w:val="4BD034A7"/>
    <w:rsid w:val="4C055307"/>
    <w:rsid w:val="4C066EC9"/>
    <w:rsid w:val="4C5365B2"/>
    <w:rsid w:val="4CE47AF5"/>
    <w:rsid w:val="4D0A2F51"/>
    <w:rsid w:val="4D2E027D"/>
    <w:rsid w:val="4D3E64AE"/>
    <w:rsid w:val="4DC8085E"/>
    <w:rsid w:val="4DDE1EAC"/>
    <w:rsid w:val="4E4F4B57"/>
    <w:rsid w:val="4E6B046C"/>
    <w:rsid w:val="4E6C5709"/>
    <w:rsid w:val="4E707289"/>
    <w:rsid w:val="4E8929D8"/>
    <w:rsid w:val="4E9E4717"/>
    <w:rsid w:val="4EEA3D40"/>
    <w:rsid w:val="4F00728A"/>
    <w:rsid w:val="4F254211"/>
    <w:rsid w:val="4F334C29"/>
    <w:rsid w:val="4F3F6AB1"/>
    <w:rsid w:val="4F5D071B"/>
    <w:rsid w:val="4F9B688F"/>
    <w:rsid w:val="4FA42C81"/>
    <w:rsid w:val="4FE15C83"/>
    <w:rsid w:val="500075C0"/>
    <w:rsid w:val="501E4134"/>
    <w:rsid w:val="504712EB"/>
    <w:rsid w:val="507C775A"/>
    <w:rsid w:val="50F11EF6"/>
    <w:rsid w:val="511D0F3D"/>
    <w:rsid w:val="51622A55"/>
    <w:rsid w:val="517C428D"/>
    <w:rsid w:val="51B744F2"/>
    <w:rsid w:val="51F64E25"/>
    <w:rsid w:val="525200CA"/>
    <w:rsid w:val="52550769"/>
    <w:rsid w:val="52AB14EE"/>
    <w:rsid w:val="52BC3CB1"/>
    <w:rsid w:val="52C00858"/>
    <w:rsid w:val="52DD09D8"/>
    <w:rsid w:val="52FE4D9E"/>
    <w:rsid w:val="535F6698"/>
    <w:rsid w:val="536C7F5A"/>
    <w:rsid w:val="53B042EA"/>
    <w:rsid w:val="53C04E1C"/>
    <w:rsid w:val="53D855EF"/>
    <w:rsid w:val="53E50E28"/>
    <w:rsid w:val="54087D99"/>
    <w:rsid w:val="540A4AB9"/>
    <w:rsid w:val="542D76E9"/>
    <w:rsid w:val="543213BA"/>
    <w:rsid w:val="546A4420"/>
    <w:rsid w:val="546D3F89"/>
    <w:rsid w:val="548B440F"/>
    <w:rsid w:val="54995606"/>
    <w:rsid w:val="54A22B48"/>
    <w:rsid w:val="54A72003"/>
    <w:rsid w:val="54B66854"/>
    <w:rsid w:val="54BE2A37"/>
    <w:rsid w:val="54CD0150"/>
    <w:rsid w:val="54F654D2"/>
    <w:rsid w:val="54FE7E42"/>
    <w:rsid w:val="559D43FA"/>
    <w:rsid w:val="55C27DF9"/>
    <w:rsid w:val="56023921"/>
    <w:rsid w:val="56520564"/>
    <w:rsid w:val="569D042A"/>
    <w:rsid w:val="56FB0FB3"/>
    <w:rsid w:val="56FD7708"/>
    <w:rsid w:val="572B436A"/>
    <w:rsid w:val="575B3CE0"/>
    <w:rsid w:val="576451BB"/>
    <w:rsid w:val="57684EDC"/>
    <w:rsid w:val="577B0634"/>
    <w:rsid w:val="57803BF0"/>
    <w:rsid w:val="57A71560"/>
    <w:rsid w:val="57B41ECF"/>
    <w:rsid w:val="57E75E01"/>
    <w:rsid w:val="5809250B"/>
    <w:rsid w:val="58115AE4"/>
    <w:rsid w:val="581A3E7B"/>
    <w:rsid w:val="585F5F02"/>
    <w:rsid w:val="58605D6A"/>
    <w:rsid w:val="58D72319"/>
    <w:rsid w:val="59C363FA"/>
    <w:rsid w:val="59D10B16"/>
    <w:rsid w:val="59E50FC3"/>
    <w:rsid w:val="59E720E8"/>
    <w:rsid w:val="5A220000"/>
    <w:rsid w:val="5A3617D9"/>
    <w:rsid w:val="5A480284"/>
    <w:rsid w:val="5A533C21"/>
    <w:rsid w:val="5A5607C3"/>
    <w:rsid w:val="5A737E20"/>
    <w:rsid w:val="5A7F6B6C"/>
    <w:rsid w:val="5A847F27"/>
    <w:rsid w:val="5A9B1124"/>
    <w:rsid w:val="5ABB06FB"/>
    <w:rsid w:val="5ADB4394"/>
    <w:rsid w:val="5AE63F31"/>
    <w:rsid w:val="5AFB613D"/>
    <w:rsid w:val="5B884B20"/>
    <w:rsid w:val="5BA5225B"/>
    <w:rsid w:val="5BAC159B"/>
    <w:rsid w:val="5BC0556E"/>
    <w:rsid w:val="5BC81C40"/>
    <w:rsid w:val="5BE354F8"/>
    <w:rsid w:val="5C1949F7"/>
    <w:rsid w:val="5C3B3338"/>
    <w:rsid w:val="5C4708E2"/>
    <w:rsid w:val="5C763BF7"/>
    <w:rsid w:val="5C9A78E6"/>
    <w:rsid w:val="5CAE501B"/>
    <w:rsid w:val="5CC22998"/>
    <w:rsid w:val="5CC85EE7"/>
    <w:rsid w:val="5CD33EA4"/>
    <w:rsid w:val="5CE609DA"/>
    <w:rsid w:val="5CFC0822"/>
    <w:rsid w:val="5D0A3648"/>
    <w:rsid w:val="5D200BF3"/>
    <w:rsid w:val="5D3309DE"/>
    <w:rsid w:val="5D372852"/>
    <w:rsid w:val="5D77518E"/>
    <w:rsid w:val="5D7A09BD"/>
    <w:rsid w:val="5D7F6ADB"/>
    <w:rsid w:val="5D8972C7"/>
    <w:rsid w:val="5D8B01B4"/>
    <w:rsid w:val="5DA327CA"/>
    <w:rsid w:val="5DDE7CA6"/>
    <w:rsid w:val="5DEB0B1F"/>
    <w:rsid w:val="5DF254FF"/>
    <w:rsid w:val="5E0B5482"/>
    <w:rsid w:val="5E4C4EAF"/>
    <w:rsid w:val="5E6301AB"/>
    <w:rsid w:val="5E72647F"/>
    <w:rsid w:val="5E775B46"/>
    <w:rsid w:val="5EA104AD"/>
    <w:rsid w:val="5EB034DE"/>
    <w:rsid w:val="5ED300C5"/>
    <w:rsid w:val="5EE33737"/>
    <w:rsid w:val="5F295B30"/>
    <w:rsid w:val="5F865FED"/>
    <w:rsid w:val="5FBF7663"/>
    <w:rsid w:val="5FD74633"/>
    <w:rsid w:val="60092FA9"/>
    <w:rsid w:val="60344E6C"/>
    <w:rsid w:val="605D3F2A"/>
    <w:rsid w:val="607246D5"/>
    <w:rsid w:val="60885CA7"/>
    <w:rsid w:val="60E412C0"/>
    <w:rsid w:val="614B7400"/>
    <w:rsid w:val="61581B1D"/>
    <w:rsid w:val="615C160D"/>
    <w:rsid w:val="615D19B1"/>
    <w:rsid w:val="61747DE2"/>
    <w:rsid w:val="619F14FA"/>
    <w:rsid w:val="61AD1DFA"/>
    <w:rsid w:val="61E323AE"/>
    <w:rsid w:val="621E2CF8"/>
    <w:rsid w:val="622B0FE0"/>
    <w:rsid w:val="623331AC"/>
    <w:rsid w:val="62467BC8"/>
    <w:rsid w:val="625772C4"/>
    <w:rsid w:val="631321A0"/>
    <w:rsid w:val="631657EC"/>
    <w:rsid w:val="633220A8"/>
    <w:rsid w:val="633D546F"/>
    <w:rsid w:val="636F3034"/>
    <w:rsid w:val="639933C3"/>
    <w:rsid w:val="63A064A2"/>
    <w:rsid w:val="63C642D3"/>
    <w:rsid w:val="63C93B5E"/>
    <w:rsid w:val="63CB4828"/>
    <w:rsid w:val="64175CC0"/>
    <w:rsid w:val="64444E34"/>
    <w:rsid w:val="648570CD"/>
    <w:rsid w:val="64E831B8"/>
    <w:rsid w:val="650516A8"/>
    <w:rsid w:val="65330581"/>
    <w:rsid w:val="65647C8D"/>
    <w:rsid w:val="657605B4"/>
    <w:rsid w:val="65830E72"/>
    <w:rsid w:val="65DF2C20"/>
    <w:rsid w:val="65E805D7"/>
    <w:rsid w:val="663D12E2"/>
    <w:rsid w:val="66961DF9"/>
    <w:rsid w:val="66DE04FB"/>
    <w:rsid w:val="66E81280"/>
    <w:rsid w:val="66F607A6"/>
    <w:rsid w:val="672524A2"/>
    <w:rsid w:val="67377D3B"/>
    <w:rsid w:val="678C42CF"/>
    <w:rsid w:val="679118E5"/>
    <w:rsid w:val="67BF46A4"/>
    <w:rsid w:val="68437083"/>
    <w:rsid w:val="68A67612"/>
    <w:rsid w:val="68A94E4C"/>
    <w:rsid w:val="6903359D"/>
    <w:rsid w:val="69110DD3"/>
    <w:rsid w:val="691D526F"/>
    <w:rsid w:val="69640879"/>
    <w:rsid w:val="69676D3F"/>
    <w:rsid w:val="69BA3375"/>
    <w:rsid w:val="6A040A94"/>
    <w:rsid w:val="6A2E3597"/>
    <w:rsid w:val="6A3D6A04"/>
    <w:rsid w:val="6A894DD0"/>
    <w:rsid w:val="6AC326FD"/>
    <w:rsid w:val="6ACE65A7"/>
    <w:rsid w:val="6B286A04"/>
    <w:rsid w:val="6B2D47E7"/>
    <w:rsid w:val="6B8E2CAD"/>
    <w:rsid w:val="6B973A42"/>
    <w:rsid w:val="6BC26511"/>
    <w:rsid w:val="6C50659D"/>
    <w:rsid w:val="6C8C6B1F"/>
    <w:rsid w:val="6C8D150C"/>
    <w:rsid w:val="6C964502"/>
    <w:rsid w:val="6CE35249"/>
    <w:rsid w:val="6D1E3C1B"/>
    <w:rsid w:val="6D2B1474"/>
    <w:rsid w:val="6D57537F"/>
    <w:rsid w:val="6D6C08BF"/>
    <w:rsid w:val="6D95780D"/>
    <w:rsid w:val="6DC37FC8"/>
    <w:rsid w:val="6E0E2601"/>
    <w:rsid w:val="6E39711A"/>
    <w:rsid w:val="6E997D6C"/>
    <w:rsid w:val="6EF616F6"/>
    <w:rsid w:val="6F0E021D"/>
    <w:rsid w:val="6F130A71"/>
    <w:rsid w:val="6F5D575B"/>
    <w:rsid w:val="6F602E8B"/>
    <w:rsid w:val="700A66D9"/>
    <w:rsid w:val="702A4611"/>
    <w:rsid w:val="70844E65"/>
    <w:rsid w:val="7084648B"/>
    <w:rsid w:val="708D72E6"/>
    <w:rsid w:val="70B53840"/>
    <w:rsid w:val="70B5458A"/>
    <w:rsid w:val="70BB1D85"/>
    <w:rsid w:val="70D13822"/>
    <w:rsid w:val="711D7258"/>
    <w:rsid w:val="71467526"/>
    <w:rsid w:val="71614A1E"/>
    <w:rsid w:val="7173169D"/>
    <w:rsid w:val="719E2F30"/>
    <w:rsid w:val="72111FA0"/>
    <w:rsid w:val="721F7DEC"/>
    <w:rsid w:val="7256642E"/>
    <w:rsid w:val="72824C4C"/>
    <w:rsid w:val="72834520"/>
    <w:rsid w:val="729E3D32"/>
    <w:rsid w:val="72D354A8"/>
    <w:rsid w:val="73A17354"/>
    <w:rsid w:val="73B13A3B"/>
    <w:rsid w:val="73DC2E8B"/>
    <w:rsid w:val="74031DBD"/>
    <w:rsid w:val="743B50B2"/>
    <w:rsid w:val="74A563F0"/>
    <w:rsid w:val="74CB28DA"/>
    <w:rsid w:val="74D35E48"/>
    <w:rsid w:val="74FC2405"/>
    <w:rsid w:val="75140B16"/>
    <w:rsid w:val="75260D1D"/>
    <w:rsid w:val="752860C7"/>
    <w:rsid w:val="753019CD"/>
    <w:rsid w:val="754058DD"/>
    <w:rsid w:val="75466405"/>
    <w:rsid w:val="75491A51"/>
    <w:rsid w:val="759E16C4"/>
    <w:rsid w:val="76410B7F"/>
    <w:rsid w:val="764D41DD"/>
    <w:rsid w:val="76976BFF"/>
    <w:rsid w:val="76AE5798"/>
    <w:rsid w:val="771A04F8"/>
    <w:rsid w:val="77332AA0"/>
    <w:rsid w:val="77997BC5"/>
    <w:rsid w:val="780E50F0"/>
    <w:rsid w:val="782D15D9"/>
    <w:rsid w:val="784A4B73"/>
    <w:rsid w:val="785C7C92"/>
    <w:rsid w:val="786924FD"/>
    <w:rsid w:val="786C6182"/>
    <w:rsid w:val="7894419D"/>
    <w:rsid w:val="78A3591C"/>
    <w:rsid w:val="78B83176"/>
    <w:rsid w:val="7924080B"/>
    <w:rsid w:val="79436D5F"/>
    <w:rsid w:val="79850A5C"/>
    <w:rsid w:val="7995454B"/>
    <w:rsid w:val="799B26EC"/>
    <w:rsid w:val="79B0209F"/>
    <w:rsid w:val="79D02741"/>
    <w:rsid w:val="79FC05FF"/>
    <w:rsid w:val="7A230A80"/>
    <w:rsid w:val="7A5B3FA8"/>
    <w:rsid w:val="7A9B3AB3"/>
    <w:rsid w:val="7A9B4AFD"/>
    <w:rsid w:val="7AE91FA6"/>
    <w:rsid w:val="7AF366E7"/>
    <w:rsid w:val="7AF91823"/>
    <w:rsid w:val="7B1072CF"/>
    <w:rsid w:val="7B8D596A"/>
    <w:rsid w:val="7BA174E1"/>
    <w:rsid w:val="7BA20B12"/>
    <w:rsid w:val="7BB00A0E"/>
    <w:rsid w:val="7BB340C8"/>
    <w:rsid w:val="7BB50301"/>
    <w:rsid w:val="7BC04FC3"/>
    <w:rsid w:val="7BE6624C"/>
    <w:rsid w:val="7C162EAA"/>
    <w:rsid w:val="7C663BFC"/>
    <w:rsid w:val="7C6D3506"/>
    <w:rsid w:val="7C7B2E38"/>
    <w:rsid w:val="7C8F01D8"/>
    <w:rsid w:val="7C9006F1"/>
    <w:rsid w:val="7CA3413D"/>
    <w:rsid w:val="7CA72746"/>
    <w:rsid w:val="7CE0713F"/>
    <w:rsid w:val="7CE71376"/>
    <w:rsid w:val="7D0D7808"/>
    <w:rsid w:val="7D52739A"/>
    <w:rsid w:val="7D87580C"/>
    <w:rsid w:val="7DC33C3F"/>
    <w:rsid w:val="7DD07EF4"/>
    <w:rsid w:val="7DEB2D2E"/>
    <w:rsid w:val="7E6B3CDD"/>
    <w:rsid w:val="7E877EF0"/>
    <w:rsid w:val="7EA0293B"/>
    <w:rsid w:val="7EA81A90"/>
    <w:rsid w:val="7EC34622"/>
    <w:rsid w:val="7ECD0F35"/>
    <w:rsid w:val="7EDE145C"/>
    <w:rsid w:val="7EFF31E7"/>
    <w:rsid w:val="7F2B14FE"/>
    <w:rsid w:val="7F5D4A77"/>
    <w:rsid w:val="7F625BE9"/>
    <w:rsid w:val="7F7818B1"/>
    <w:rsid w:val="7F7A3A4D"/>
    <w:rsid w:val="7FC60B98"/>
    <w:rsid w:val="7FF06011"/>
    <w:rsid w:val="E9FE0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9"/>
    <w:pPr>
      <w:keepNext/>
      <w:keepLines/>
      <w:widowControl w:val="0"/>
      <w:suppressLineNumbers w:val="0"/>
      <w:spacing w:before="120" w:beforeAutospacing="0" w:after="120" w:afterAutospacing="0" w:line="360" w:lineRule="auto"/>
      <w:ind w:left="0" w:firstLine="0" w:firstLineChars="0"/>
      <w:jc w:val="left"/>
      <w:outlineLvl w:val="4"/>
    </w:pPr>
    <w:rPr>
      <w:rFonts w:hint="default" w:ascii="Times New Roman" w:hAnsi="Times New Roman" w:eastAsia="宋体" w:cs="仿宋_GB2312"/>
      <w:b/>
      <w:bCs/>
      <w:color w:val="000000"/>
      <w:kern w:val="2"/>
      <w:sz w:val="24"/>
      <w:szCs w:val="24"/>
      <w:lang w:val="en-US" w:eastAsia="zh-CN" w:bidi="ar"/>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qFormat/>
    <w:uiPriority w:val="39"/>
    <w:pPr>
      <w:ind w:left="1260"/>
      <w:jc w:val="left"/>
    </w:pPr>
    <w:rPr>
      <w:sz w:val="18"/>
      <w:szCs w:val="18"/>
    </w:rPr>
  </w:style>
  <w:style w:type="paragraph" w:styleId="8">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9"/>
    <w:qFormat/>
    <w:uiPriority w:val="0"/>
    <w:pPr>
      <w:jc w:val="left"/>
    </w:pPr>
    <w:rPr>
      <w:rFonts w:ascii="Arial" w:hAnsi="Arial" w:eastAsia="黑体" w:cs="Arial"/>
    </w:rPr>
  </w:style>
  <w:style w:type="paragraph" w:styleId="10">
    <w:name w:val="Body Text"/>
    <w:basedOn w:val="1"/>
    <w:link w:val="68"/>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qFormat/>
    <w:uiPriority w:val="0"/>
    <w:pPr>
      <w:spacing w:after="120"/>
      <w:ind w:left="420" w:leftChars="200"/>
    </w:pPr>
    <w:rPr>
      <w:rFonts w:ascii="Times New Roman" w:hAnsi="Times New Roman" w:eastAsia="宋体"/>
      <w:szCs w:val="24"/>
    </w:rPr>
  </w:style>
  <w:style w:type="paragraph" w:styleId="12">
    <w:name w:val="envelope return"/>
    <w:basedOn w:val="1"/>
    <w:next w:val="7"/>
    <w:qFormat/>
    <w:uiPriority w:val="0"/>
    <w:pPr>
      <w:snapToGrid w:val="0"/>
    </w:pPr>
    <w:rPr>
      <w:rFonts w:ascii="Arial" w:hAnsi="Arial"/>
    </w:rPr>
  </w:style>
  <w:style w:type="paragraph" w:styleId="13">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48"/>
    <w:qFormat/>
    <w:uiPriority w:val="99"/>
    <w:rPr>
      <w:rFonts w:ascii="宋体" w:hAnsi="Courier New" w:eastAsiaTheme="minorEastAsia" w:cstheme="minorBidi"/>
      <w:szCs w:val="22"/>
    </w:rPr>
  </w:style>
  <w:style w:type="paragraph" w:styleId="15">
    <w:name w:val="Date"/>
    <w:basedOn w:val="1"/>
    <w:next w:val="1"/>
    <w:link w:val="55"/>
    <w:qFormat/>
    <w:uiPriority w:val="0"/>
    <w:rPr>
      <w:rFonts w:ascii="Arial" w:hAnsi="Arial" w:eastAsia="宋体" w:cs="Arial"/>
      <w:b/>
      <w:sz w:val="28"/>
    </w:rPr>
  </w:style>
  <w:style w:type="paragraph" w:styleId="16">
    <w:name w:val="Body Text Indent 2"/>
    <w:basedOn w:val="1"/>
    <w:semiHidden/>
    <w:unhideWhenUsed/>
    <w:qFormat/>
    <w:uiPriority w:val="99"/>
    <w:pPr>
      <w:keepNext w:val="0"/>
      <w:keepLines w:val="0"/>
      <w:widowControl w:val="0"/>
      <w:suppressLineNumbers w:val="0"/>
      <w:spacing w:after="120" w:afterLines="0" w:afterAutospacing="0" w:line="480" w:lineRule="auto"/>
      <w:ind w:left="420" w:leftChars="200" w:firstLine="200" w:firstLineChars="200"/>
      <w:jc w:val="both"/>
    </w:pPr>
    <w:rPr>
      <w:rFonts w:hint="eastAsia" w:ascii="仿宋" w:hAnsi="仿宋" w:eastAsia="宋体" w:cs="仿宋_GB2312"/>
      <w:kern w:val="2"/>
      <w:sz w:val="24"/>
      <w:szCs w:val="24"/>
      <w:lang w:val="en-US" w:eastAsia="zh-CN" w:bidi="ar"/>
    </w:rPr>
  </w:style>
  <w:style w:type="paragraph" w:styleId="17">
    <w:name w:val="Balloon Text"/>
    <w:basedOn w:val="1"/>
    <w:link w:val="42"/>
    <w:semiHidden/>
    <w:unhideWhenUsed/>
    <w:qFormat/>
    <w:uiPriority w:val="99"/>
    <w:rPr>
      <w:sz w:val="18"/>
      <w:szCs w:val="18"/>
    </w:rPr>
  </w:style>
  <w:style w:type="paragraph" w:styleId="18">
    <w:name w:val="footer"/>
    <w:basedOn w:val="1"/>
    <w:link w:val="47"/>
    <w:unhideWhenUsed/>
    <w:qFormat/>
    <w:uiPriority w:val="99"/>
    <w:pPr>
      <w:tabs>
        <w:tab w:val="center" w:pos="4153"/>
        <w:tab w:val="right" w:pos="8306"/>
      </w:tabs>
      <w:snapToGrid w:val="0"/>
      <w:jc w:val="left"/>
    </w:pPr>
    <w:rPr>
      <w:sz w:val="18"/>
      <w:szCs w:val="18"/>
    </w:rPr>
  </w:style>
  <w:style w:type="paragraph" w:styleId="19">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1">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Body Text First Indent"/>
    <w:basedOn w:val="10"/>
    <w:unhideWhenUsed/>
    <w:qFormat/>
    <w:uiPriority w:val="99"/>
    <w:pPr>
      <w:ind w:firstLine="420" w:firstLineChars="100"/>
    </w:pPr>
  </w:style>
  <w:style w:type="paragraph" w:styleId="25">
    <w:name w:val="Body Text First Indent 2"/>
    <w:basedOn w:val="11"/>
    <w:next w:val="1"/>
    <w:qFormat/>
    <w:uiPriority w:val="0"/>
    <w:pPr>
      <w:spacing w:line="360" w:lineRule="auto"/>
      <w:ind w:firstLine="200" w:firstLineChars="200"/>
    </w:pPr>
    <w:rPr>
      <w:rFonts w:ascii="宋体"/>
      <w:szCs w:val="20"/>
    </w:rPr>
  </w:style>
  <w:style w:type="table" w:styleId="27">
    <w:name w:val="Table Grid"/>
    <w:basedOn w:val="2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FollowedHyperlink"/>
    <w:basedOn w:val="28"/>
    <w:semiHidden/>
    <w:unhideWhenUsed/>
    <w:qFormat/>
    <w:uiPriority w:val="99"/>
    <w:rPr>
      <w:color w:val="800080"/>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正文 New"/>
    <w:qFormat/>
    <w:uiPriority w:val="0"/>
    <w:pPr>
      <w:widowControl w:val="0"/>
      <w:spacing w:line="440" w:lineRule="exact"/>
      <w:ind w:left="357" w:hanging="357"/>
      <w:jc w:val="both"/>
    </w:pPr>
    <w:rPr>
      <w:rFonts w:ascii="Times New Roman" w:hAnsi="Times New Roman" w:eastAsia="宋体" w:cs="Times New Roman"/>
      <w:kern w:val="2"/>
      <w:sz w:val="21"/>
      <w:szCs w:val="22"/>
      <w:lang w:val="en-US" w:eastAsia="zh-CN" w:bidi="ar-SA"/>
    </w:rPr>
  </w:style>
  <w:style w:type="character" w:customStyle="1" w:styleId="42">
    <w:name w:val="批注框文本 字符"/>
    <w:basedOn w:val="28"/>
    <w:link w:val="17"/>
    <w:semiHidden/>
    <w:qFormat/>
    <w:uiPriority w:val="99"/>
    <w:rPr>
      <w:rFonts w:ascii="@仿宋_GB2312" w:hAnsi="@仿宋_GB2312" w:eastAsia="@仿宋_GB2312" w:cs="@仿宋_GB2312"/>
      <w:sz w:val="18"/>
      <w:szCs w:val="18"/>
    </w:rPr>
  </w:style>
  <w:style w:type="paragraph" w:customStyle="1" w:styleId="43">
    <w:name w:val="正文（缩进）"/>
    <w:basedOn w:val="1"/>
    <w:qFormat/>
    <w:uiPriority w:val="0"/>
    <w:pPr>
      <w:widowControl/>
      <w:spacing w:before="156" w:after="156"/>
      <w:ind w:firstLine="480" w:firstLineChars="200"/>
      <w:jc w:val="left"/>
    </w:pPr>
    <w:rPr>
      <w:kern w:val="0"/>
      <w:sz w:val="24"/>
      <w:szCs w:val="24"/>
    </w:rPr>
  </w:style>
  <w:style w:type="paragraph" w:customStyle="1" w:styleId="44">
    <w:name w:val="xl31"/>
    <w:basedOn w:val="1"/>
    <w:qFormat/>
    <w:uiPriority w:val="0"/>
    <w:pPr>
      <w:widowControl/>
      <w:spacing w:before="100" w:beforeAutospacing="1" w:after="100" w:afterAutospacing="1"/>
      <w:jc w:val="center"/>
    </w:pPr>
    <w:rPr>
      <w:b/>
      <w:bCs/>
      <w:kern w:val="0"/>
      <w:sz w:val="28"/>
      <w:szCs w:val="28"/>
    </w:rPr>
  </w:style>
  <w:style w:type="paragraph" w:customStyle="1" w:styleId="4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9"/>
    <w:qFormat/>
    <w:uiPriority w:val="0"/>
    <w:rPr>
      <w:rFonts w:ascii="@仿宋_GB2312" w:hAnsi="@仿宋_GB2312" w:eastAsia="@仿宋_GB2312" w:cs="@仿宋_GB2312"/>
      <w:sz w:val="18"/>
      <w:szCs w:val="18"/>
    </w:rPr>
  </w:style>
  <w:style w:type="character" w:customStyle="1" w:styleId="47">
    <w:name w:val="页脚 字符"/>
    <w:basedOn w:val="28"/>
    <w:link w:val="18"/>
    <w:qFormat/>
    <w:uiPriority w:val="99"/>
    <w:rPr>
      <w:rFonts w:ascii="@仿宋_GB2312" w:hAnsi="@仿宋_GB2312" w:eastAsia="@仿宋_GB2312" w:cs="@仿宋_GB2312"/>
      <w:sz w:val="18"/>
      <w:szCs w:val="18"/>
    </w:rPr>
  </w:style>
  <w:style w:type="character" w:customStyle="1" w:styleId="48">
    <w:name w:val="纯文本 字符"/>
    <w:link w:val="14"/>
    <w:qFormat/>
    <w:uiPriority w:val="0"/>
    <w:rPr>
      <w:rFonts w:ascii="宋体" w:hAnsi="Courier New"/>
    </w:rPr>
  </w:style>
  <w:style w:type="character" w:customStyle="1" w:styleId="49">
    <w:name w:val="纯文本 字符1"/>
    <w:basedOn w:val="28"/>
    <w:semiHidden/>
    <w:qFormat/>
    <w:uiPriority w:val="99"/>
    <w:rPr>
      <w:rFonts w:hAnsi="Courier New" w:cs="Courier New" w:asciiTheme="minorEastAsia"/>
      <w:szCs w:val="20"/>
    </w:rPr>
  </w:style>
  <w:style w:type="character" w:customStyle="1" w:styleId="50">
    <w:name w:val="未处理的提及1"/>
    <w:basedOn w:val="28"/>
    <w:semiHidden/>
    <w:unhideWhenUsed/>
    <w:qFormat/>
    <w:uiPriority w:val="99"/>
    <w:rPr>
      <w:color w:val="605E5C"/>
      <w:shd w:val="clear" w:color="auto" w:fill="E1DFDD"/>
    </w:rPr>
  </w:style>
  <w:style w:type="paragraph" w:styleId="51">
    <w:name w:val="List Paragraph"/>
    <w:basedOn w:val="1"/>
    <w:qFormat/>
    <w:uiPriority w:val="34"/>
    <w:pPr>
      <w:ind w:firstLine="420" w:firstLineChars="200"/>
    </w:pPr>
  </w:style>
  <w:style w:type="paragraph" w:customStyle="1" w:styleId="52">
    <w:name w:val="Char Char Char Char Char Char Char1 Char"/>
    <w:basedOn w:val="1"/>
    <w:qFormat/>
    <w:uiPriority w:val="0"/>
    <w:rPr>
      <w:rFonts w:ascii="Arial" w:hAnsi="Arial" w:eastAsia="宋体" w:cs="Arial"/>
      <w:sz w:val="24"/>
    </w:rPr>
  </w:style>
  <w:style w:type="table" w:customStyle="1" w:styleId="53">
    <w:name w:val="网格表 1 浅色1"/>
    <w:basedOn w:val="2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semiHidden/>
    <w:qFormat/>
    <w:uiPriority w:val="99"/>
    <w:rPr>
      <w:rFonts w:ascii="@仿宋_GB2312" w:hAnsi="@仿宋_GB2312" w:eastAsia="@仿宋_GB2312" w:cs="@仿宋_GB2312"/>
      <w:szCs w:val="20"/>
    </w:rPr>
  </w:style>
  <w:style w:type="character" w:customStyle="1" w:styleId="55">
    <w:name w:val="日期 字符1"/>
    <w:link w:val="15"/>
    <w:qFormat/>
    <w:uiPriority w:val="0"/>
    <w:rPr>
      <w:rFonts w:ascii="Arial" w:hAnsi="Arial" w:eastAsia="宋体" w:cs="Arial"/>
      <w:b/>
      <w:sz w:val="28"/>
      <w:szCs w:val="20"/>
    </w:rPr>
  </w:style>
  <w:style w:type="character" w:customStyle="1" w:styleId="56">
    <w:name w:val="纯文本 Char1"/>
    <w:link w:val="57"/>
    <w:qFormat/>
    <w:locked/>
    <w:uiPriority w:val="0"/>
    <w:rPr>
      <w:rFonts w:ascii="Arial" w:hAnsi="Arial" w:eastAsia="Arial"/>
      <w:kern w:val="2"/>
      <w:sz w:val="21"/>
      <w:lang w:val="en-US" w:eastAsia="zh-CN" w:bidi="ar-SA"/>
    </w:rPr>
  </w:style>
  <w:style w:type="paragraph" w:customStyle="1" w:styleId="57">
    <w:name w:val="纯文本1"/>
    <w:basedOn w:val="1"/>
    <w:link w:val="56"/>
    <w:qFormat/>
    <w:uiPriority w:val="0"/>
    <w:rPr>
      <w:rFonts w:ascii="Arial" w:hAnsi="Arial" w:eastAsia="Arial" w:cstheme="minorBidi"/>
    </w:rPr>
  </w:style>
  <w:style w:type="character" w:customStyle="1" w:styleId="58">
    <w:name w:val="批注文字 Char"/>
    <w:basedOn w:val="28"/>
    <w:semiHidden/>
    <w:qFormat/>
    <w:uiPriority w:val="99"/>
    <w:rPr>
      <w:rFonts w:ascii="@仿宋_GB2312" w:hAnsi="@仿宋_GB2312" w:eastAsia="@仿宋_GB2312" w:cs="@仿宋_GB2312"/>
      <w:szCs w:val="20"/>
    </w:rPr>
  </w:style>
  <w:style w:type="character" w:customStyle="1" w:styleId="59">
    <w:name w:val="批注文字 字符"/>
    <w:link w:val="9"/>
    <w:qFormat/>
    <w:uiPriority w:val="0"/>
    <w:rPr>
      <w:rFonts w:ascii="Arial" w:hAnsi="Arial" w:eastAsia="黑体" w:cs="Arial"/>
      <w:szCs w:val="20"/>
    </w:rPr>
  </w:style>
  <w:style w:type="character" w:customStyle="1" w:styleId="60">
    <w:name w:val="标题 1 字符"/>
    <w:basedOn w:val="28"/>
    <w:link w:val="2"/>
    <w:qFormat/>
    <w:uiPriority w:val="9"/>
    <w:rPr>
      <w:rFonts w:ascii="@仿宋_GB2312" w:hAnsi="@仿宋_GB2312" w:eastAsia="@仿宋_GB2312" w:cs="@仿宋_GB2312"/>
      <w:b/>
      <w:bCs/>
      <w:kern w:val="44"/>
      <w:sz w:val="44"/>
      <w:szCs w:val="44"/>
    </w:rPr>
  </w:style>
  <w:style w:type="paragraph" w:customStyle="1" w:styleId="6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8"/>
    <w:link w:val="4"/>
    <w:semiHidden/>
    <w:qFormat/>
    <w:uiPriority w:val="9"/>
    <w:rPr>
      <w:rFonts w:ascii="@仿宋_GB2312" w:hAnsi="@仿宋_GB2312" w:eastAsia="@仿宋_GB2312" w:cs="@仿宋_GB2312"/>
      <w:b/>
      <w:bCs/>
      <w:sz w:val="32"/>
      <w:szCs w:val="32"/>
    </w:rPr>
  </w:style>
  <w:style w:type="character" w:customStyle="1" w:styleId="63">
    <w:name w:val="fontstyle01"/>
    <w:basedOn w:val="28"/>
    <w:qFormat/>
    <w:uiPriority w:val="0"/>
    <w:rPr>
      <w:rFonts w:hint="eastAsia" w:ascii="宋体" w:hAnsi="宋体" w:eastAsia="宋体"/>
      <w:color w:val="000000"/>
      <w:sz w:val="22"/>
      <w:szCs w:val="22"/>
    </w:rPr>
  </w:style>
  <w:style w:type="character" w:customStyle="1" w:styleId="64">
    <w:name w:val="fontstyle21"/>
    <w:basedOn w:val="28"/>
    <w:qFormat/>
    <w:uiPriority w:val="0"/>
    <w:rPr>
      <w:rFonts w:hint="default" w:ascii="TimesNewRomanPSMT" w:hAnsi="TimesNewRomanPSMT"/>
      <w:color w:val="000000"/>
      <w:sz w:val="22"/>
      <w:szCs w:val="22"/>
    </w:rPr>
  </w:style>
  <w:style w:type="character" w:customStyle="1" w:styleId="65">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8"/>
    <w:semiHidden/>
    <w:qFormat/>
    <w:uiPriority w:val="9"/>
    <w:rPr>
      <w:rFonts w:asciiTheme="majorHAnsi" w:hAnsiTheme="majorHAnsi" w:eastAsiaTheme="majorEastAsia" w:cstheme="majorBidi"/>
      <w:b/>
      <w:bCs/>
      <w:sz w:val="28"/>
      <w:szCs w:val="28"/>
    </w:rPr>
  </w:style>
  <w:style w:type="character" w:customStyle="1" w:styleId="67">
    <w:name w:val="标题 4 字符1"/>
    <w:link w:val="5"/>
    <w:qFormat/>
    <w:uiPriority w:val="0"/>
    <w:rPr>
      <w:rFonts w:ascii="@仿宋_GB2312" w:hAnsi="@仿宋_GB2312" w:eastAsia="@仿宋_GB2312" w:cs="@仿宋_GB2312"/>
      <w:b/>
      <w:bCs/>
      <w:sz w:val="28"/>
      <w:szCs w:val="28"/>
    </w:rPr>
  </w:style>
  <w:style w:type="character" w:customStyle="1" w:styleId="68">
    <w:name w:val="正文文本 字符"/>
    <w:basedOn w:val="28"/>
    <w:link w:val="10"/>
    <w:qFormat/>
    <w:uiPriority w:val="0"/>
    <w:rPr>
      <w:rFonts w:ascii="@微软简标宋" w:hAnsi="@微软简标宋" w:eastAsia="@微软简标宋" w:cs="@微软简标宋"/>
      <w:szCs w:val="24"/>
      <w:lang w:val="zh-CN" w:eastAsia="zh-CN"/>
    </w:rPr>
  </w:style>
  <w:style w:type="table" w:customStyle="1" w:styleId="69">
    <w:name w:val="网格型1"/>
    <w:basedOn w:val="2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Table Text"/>
    <w:basedOn w:val="1"/>
    <w:semiHidden/>
    <w:qFormat/>
    <w:uiPriority w:val="0"/>
    <w:rPr>
      <w:rFonts w:ascii="Arial" w:hAnsi="Arial" w:eastAsia="Arial" w:cs="Arial"/>
      <w:szCs w:val="21"/>
      <w:lang w:eastAsia="en-US"/>
    </w:rPr>
  </w:style>
  <w:style w:type="paragraph" w:customStyle="1" w:styleId="72">
    <w:name w:val="表格"/>
    <w:basedOn w:val="1"/>
    <w:link w:val="73"/>
    <w:qFormat/>
    <w:uiPriority w:val="0"/>
    <w:pPr>
      <w:spacing w:line="320" w:lineRule="exact"/>
    </w:pPr>
    <w:rPr>
      <w:rFonts w:ascii="Times New Roman" w:hAnsi="Times New Roman" w:eastAsia="仿宋_GB2312" w:cstheme="minorBidi"/>
      <w:szCs w:val="24"/>
      <w14:ligatures w14:val="standardContextual"/>
    </w:rPr>
  </w:style>
  <w:style w:type="character" w:customStyle="1" w:styleId="73">
    <w:name w:val="表格 字符"/>
    <w:basedOn w:val="28"/>
    <w:link w:val="72"/>
    <w:qFormat/>
    <w:uiPriority w:val="0"/>
    <w:rPr>
      <w:rFonts w:eastAsia="仿宋_GB2312" w:cstheme="minorBidi"/>
      <w:kern w:val="2"/>
      <w:sz w:val="21"/>
      <w:szCs w:val="24"/>
      <w14:ligatures w14:val="standardContextual"/>
    </w:rPr>
  </w:style>
  <w:style w:type="character" w:customStyle="1" w:styleId="74">
    <w:name w:val="hover"/>
    <w:basedOn w:val="28"/>
    <w:qFormat/>
    <w:uiPriority w:val="0"/>
  </w:style>
  <w:style w:type="character" w:customStyle="1" w:styleId="75">
    <w:name w:val="hover1"/>
    <w:basedOn w:val="28"/>
    <w:qFormat/>
    <w:uiPriority w:val="0"/>
    <w:rPr>
      <w:color w:val="2590EB"/>
    </w:rPr>
  </w:style>
  <w:style w:type="character" w:customStyle="1" w:styleId="76">
    <w:name w:val="hover2"/>
    <w:basedOn w:val="28"/>
    <w:qFormat/>
    <w:uiPriority w:val="0"/>
    <w:rPr>
      <w:color w:val="2590EB"/>
    </w:rPr>
  </w:style>
  <w:style w:type="character" w:customStyle="1" w:styleId="77">
    <w:name w:val="hover3"/>
    <w:basedOn w:val="28"/>
    <w:qFormat/>
    <w:uiPriority w:val="0"/>
    <w:rPr>
      <w:color w:val="2590EB"/>
      <w:shd w:val="clear" w:fill="E9F4FD"/>
    </w:rPr>
  </w:style>
  <w:style w:type="paragraph" w:customStyle="1" w:styleId="78">
    <w:name w:val="cz表格内容"/>
    <w:basedOn w:val="79"/>
    <w:qFormat/>
    <w:uiPriority w:val="0"/>
    <w:pPr>
      <w:spacing w:line="360" w:lineRule="auto"/>
      <w:jc w:val="left"/>
    </w:pPr>
    <w:rPr>
      <w:rFonts w:ascii="Times New Roman" w:hAnsi="Times New Roman" w:eastAsia="仿宋"/>
      <w:sz w:val="24"/>
    </w:rPr>
  </w:style>
  <w:style w:type="paragraph" w:customStyle="1" w:styleId="79">
    <w:name w:val="Normal_19"/>
    <w:qFormat/>
    <w:uiPriority w:val="0"/>
    <w:pPr>
      <w:widowControl w:val="0"/>
      <w:jc w:val="both"/>
    </w:pPr>
    <w:rPr>
      <w:rFonts w:ascii="Calibri" w:hAnsi="Calibri" w:eastAsia="宋体" w:cs="Times New Roman"/>
      <w:lang w:val="en-US" w:eastAsia="zh-CN" w:bidi="ar-SA"/>
    </w:rPr>
  </w:style>
  <w:style w:type="paragraph" w:customStyle="1" w:styleId="80">
    <w:name w:val="cz 正文"/>
    <w:basedOn w:val="1"/>
    <w:qFormat/>
    <w:uiPriority w:val="0"/>
    <w:pPr>
      <w:keepNext w:val="0"/>
      <w:keepLines w:val="0"/>
      <w:widowControl w:val="0"/>
      <w:suppressLineNumbers w:val="0"/>
      <w:spacing w:before="0" w:beforeAutospacing="0" w:after="0" w:afterAutospacing="0" w:line="360" w:lineRule="auto"/>
      <w:ind w:left="0" w:right="0" w:firstLine="200" w:firstLineChars="200"/>
      <w:jc w:val="left"/>
    </w:pPr>
    <w:rPr>
      <w:rFonts w:hint="eastAsia" w:ascii="宋体" w:hAnsi="宋体" w:eastAsia="等线" w:cs="仿宋_GB2312"/>
      <w:kern w:val="2"/>
      <w:sz w:val="24"/>
      <w:szCs w:val="24"/>
      <w:lang w:val="en-US" w:eastAsia="zh-CN" w:bidi="ar"/>
    </w:rPr>
  </w:style>
  <w:style w:type="paragraph" w:customStyle="1" w:styleId="81">
    <w:name w:val="可研正文"/>
    <w:basedOn w:val="1"/>
    <w:qFormat/>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eastAsia" w:ascii="仿宋" w:hAnsi="仿宋" w:eastAsia="仿宋" w:cs="仿宋_GB2312"/>
      <w:kern w:val="2"/>
      <w:sz w:val="24"/>
      <w:szCs w:val="24"/>
      <w:lang w:val="en-US" w:eastAsia="zh-CN" w:bidi="ar"/>
    </w:rPr>
  </w:style>
  <w:style w:type="paragraph" w:customStyle="1" w:styleId="82">
    <w:name w:val="cz正文"/>
    <w:basedOn w:val="1"/>
    <w:qFormat/>
    <w:uiPriority w:val="0"/>
    <w:pPr>
      <w:keepNext w:val="0"/>
      <w:keepLines w:val="0"/>
      <w:widowControl w:val="0"/>
      <w:suppressLineNumbers w:val="0"/>
      <w:spacing w:before="0" w:beforeAutospacing="0" w:after="0" w:afterAutospacing="0" w:line="360" w:lineRule="auto"/>
      <w:ind w:left="0" w:right="0" w:firstLine="200" w:firstLineChars="200"/>
      <w:jc w:val="left"/>
    </w:pPr>
    <w:rPr>
      <w:rFonts w:hint="eastAsia" w:ascii="仿宋" w:hAnsi="仿宋" w:eastAsia="仿宋" w:cs="仿宋_GB2312"/>
      <w:kern w:val="2"/>
      <w:sz w:val="24"/>
      <w:szCs w:val="24"/>
      <w:lang w:val="en-US" w:eastAsia="zh-CN" w:bidi="ar"/>
    </w:rPr>
  </w:style>
  <w:style w:type="paragraph" w:customStyle="1" w:styleId="83">
    <w:name w:val="列出段落1"/>
    <w:basedOn w:val="1"/>
    <w:qFormat/>
    <w:uiPriority w:val="0"/>
    <w:pPr>
      <w:ind w:firstLine="420" w:firstLineChars="200"/>
    </w:pPr>
    <w:rPr>
      <w:szCs w:val="20"/>
    </w:rPr>
  </w:style>
  <w:style w:type="character" w:customStyle="1" w:styleId="84">
    <w:name w:val="hover4"/>
    <w:basedOn w:val="28"/>
    <w:qFormat/>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74</Pages>
  <Words>2252</Words>
  <Characters>2588</Characters>
  <Lines>1</Lines>
  <Paragraphs>1</Paragraphs>
  <TotalTime>39</TotalTime>
  <ScaleCrop>false</ScaleCrop>
  <LinksUpToDate>false</LinksUpToDate>
  <CharactersWithSpaces>2701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2019-05-07T06:32:00Z</dcterms:created>
  <dc:creator>Anakin</dc:creator>
  <cp:lastModifiedBy>这不科学</cp:lastModifiedBy>
  <cp:lastPrinted>2025-01-23T01:11:00Z</cp:lastPrinted>
  <dcterms:modified xsi:type="dcterms:W3CDTF">2025-11-27T02:42:58Z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563F7F5F454F4F7099675FD50A4934C1_13</vt:lpwstr>
  </property>
  <property fmtid="{D5CDD505-2E9C-101B-9397-08002B2CF9AE}" pid="4" name="KSOTemplateDocerSaveRecord">
    <vt:lpwstr>eyJoZGlkIjoiZmI5ZDY5ZDNjMmE2ZDcxYTFkMDY0Zjg5Mjg3YTE0YTgiLCJ1c2VySWQiOiI1MDM3MjkwOTMifQ==</vt:lpwstr>
  </property>
</Properties>
</file>