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EB2879">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sz w:val="52"/>
          <w:szCs w:val="52"/>
          <w:highlight w:val="none"/>
        </w:rPr>
      </w:pPr>
    </w:p>
    <w:p w14:paraId="20538FC7">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sz w:val="52"/>
          <w:szCs w:val="52"/>
          <w:highlight w:val="none"/>
        </w:rPr>
      </w:pPr>
    </w:p>
    <w:p w14:paraId="7288107A">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sz w:val="52"/>
          <w:szCs w:val="52"/>
          <w:highlight w:val="none"/>
        </w:rPr>
      </w:pPr>
    </w:p>
    <w:p w14:paraId="61512CC3">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sz w:val="52"/>
          <w:szCs w:val="52"/>
          <w:highlight w:val="none"/>
        </w:rPr>
      </w:pPr>
      <w:bookmarkStart w:id="298" w:name="_GoBack"/>
      <w:bookmarkEnd w:id="298"/>
      <w:bookmarkStart w:id="0" w:name="_Hlk9544796"/>
      <w:r>
        <w:rPr>
          <w:rFonts w:hint="eastAsia" w:ascii="宋体" w:hAnsi="宋体" w:eastAsia="宋体" w:cs="宋体"/>
          <w:b/>
          <w:bCs/>
          <w:sz w:val="52"/>
          <w:szCs w:val="52"/>
          <w:highlight w:val="none"/>
        </w:rPr>
        <w:t>安徽省政府采购项目</w:t>
      </w:r>
    </w:p>
    <w:p w14:paraId="239A2FF0">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sz w:val="52"/>
          <w:szCs w:val="52"/>
          <w:highlight w:val="none"/>
        </w:rPr>
      </w:pPr>
      <w:r>
        <w:rPr>
          <w:rFonts w:hint="eastAsia" w:ascii="宋体" w:hAnsi="宋体" w:eastAsia="宋体" w:cs="宋体"/>
          <w:b/>
          <w:bCs/>
          <w:sz w:val="52"/>
          <w:szCs w:val="52"/>
          <w:highlight w:val="none"/>
        </w:rPr>
        <w:t>公开招标文件示范文本</w:t>
      </w:r>
      <w:bookmarkEnd w:id="0"/>
      <w:r>
        <w:rPr>
          <w:rFonts w:hint="eastAsia" w:ascii="宋体" w:hAnsi="宋体" w:eastAsia="宋体" w:cs="宋体"/>
          <w:b/>
          <w:bCs/>
          <w:sz w:val="52"/>
          <w:szCs w:val="52"/>
          <w:highlight w:val="none"/>
        </w:rPr>
        <w:t>（服务类）</w:t>
      </w:r>
    </w:p>
    <w:p w14:paraId="7AD7C926">
      <w:pPr>
        <w:widowControl/>
        <w:jc w:val="center"/>
        <w:rPr>
          <w:rFonts w:hint="eastAsia" w:ascii="宋体" w:hAnsi="宋体" w:eastAsia="宋体" w:cs="宋体"/>
          <w:highlight w:val="none"/>
        </w:rPr>
      </w:pPr>
      <w:r>
        <w:rPr>
          <w:rFonts w:hint="eastAsia" w:ascii="宋体" w:hAnsi="宋体" w:eastAsia="宋体" w:cs="宋体"/>
          <w:b/>
          <w:bCs/>
          <w:color w:val="000000"/>
          <w:kern w:val="0"/>
          <w:sz w:val="52"/>
          <w:szCs w:val="52"/>
          <w:highlight w:val="none"/>
          <w:lang w:bidi="ar"/>
        </w:rPr>
        <w:t>（2024年版）</w:t>
      </w:r>
    </w:p>
    <w:p w14:paraId="1978A298">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sz w:val="44"/>
          <w:szCs w:val="44"/>
          <w:highlight w:val="none"/>
        </w:rPr>
      </w:pPr>
    </w:p>
    <w:p w14:paraId="4BA85AF9">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sz w:val="44"/>
          <w:szCs w:val="44"/>
          <w:highlight w:val="none"/>
        </w:rPr>
      </w:pPr>
    </w:p>
    <w:p w14:paraId="35B90EA4">
      <w:pPr>
        <w:tabs>
          <w:tab w:val="left" w:pos="315"/>
          <w:tab w:val="left" w:pos="8820"/>
        </w:tabs>
        <w:spacing w:before="312" w:beforeLines="100" w:after="156" w:afterLines="50" w:line="500" w:lineRule="exact"/>
        <w:ind w:right="267" w:rightChars="127"/>
        <w:jc w:val="both"/>
        <w:rPr>
          <w:rFonts w:hint="eastAsia" w:ascii="宋体" w:hAnsi="宋体" w:eastAsia="宋体" w:cs="宋体"/>
          <w:b/>
          <w:bCs/>
          <w:sz w:val="44"/>
          <w:szCs w:val="44"/>
          <w:highlight w:val="none"/>
        </w:rPr>
      </w:pPr>
    </w:p>
    <w:p w14:paraId="10D5AC0A">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sz w:val="44"/>
          <w:szCs w:val="44"/>
          <w:highlight w:val="none"/>
        </w:rPr>
      </w:pPr>
    </w:p>
    <w:p w14:paraId="4FC822C1">
      <w:pPr>
        <w:tabs>
          <w:tab w:val="left" w:pos="2410"/>
        </w:tabs>
        <w:autoSpaceDE w:val="0"/>
        <w:autoSpaceDN w:val="0"/>
        <w:adjustRightInd w:val="0"/>
        <w:snapToGrid w:val="0"/>
        <w:spacing w:line="360" w:lineRule="auto"/>
        <w:ind w:firstLine="723" w:firstLineChars="200"/>
        <w:jc w:val="center"/>
        <w:rPr>
          <w:rFonts w:hint="eastAsia" w:ascii="宋体" w:hAnsi="宋体" w:eastAsia="宋体" w:cs="宋体"/>
          <w:b/>
          <w:spacing w:val="20"/>
          <w:kern w:val="0"/>
          <w:sz w:val="32"/>
          <w:szCs w:val="32"/>
          <w:highlight w:val="none"/>
          <w:lang w:eastAsia="zh-CN"/>
        </w:rPr>
      </w:pPr>
      <w:r>
        <w:rPr>
          <w:rFonts w:hint="eastAsia" w:ascii="宋体" w:hAnsi="宋体" w:eastAsia="宋体" w:cs="宋体"/>
          <w:b/>
          <w:spacing w:val="20"/>
          <w:kern w:val="0"/>
          <w:sz w:val="32"/>
          <w:szCs w:val="32"/>
          <w:highlight w:val="none"/>
        </w:rPr>
        <w:t>项目名称：</w:t>
      </w:r>
      <w:r>
        <w:rPr>
          <w:rFonts w:hint="eastAsia" w:ascii="宋体" w:hAnsi="宋体" w:eastAsia="宋体" w:cs="宋体"/>
          <w:b/>
          <w:spacing w:val="20"/>
          <w:kern w:val="0"/>
          <w:sz w:val="32"/>
          <w:szCs w:val="32"/>
          <w:highlight w:val="none"/>
          <w:u w:val="single"/>
          <w:lang w:eastAsia="zh-CN"/>
        </w:rPr>
        <w:t>滁州市2025年普通国省干线公路技术状况评定项目</w:t>
      </w:r>
    </w:p>
    <w:p w14:paraId="3196A576">
      <w:pPr>
        <w:tabs>
          <w:tab w:val="left" w:pos="2410"/>
        </w:tabs>
        <w:autoSpaceDE w:val="0"/>
        <w:autoSpaceDN w:val="0"/>
        <w:adjustRightInd w:val="0"/>
        <w:snapToGrid w:val="0"/>
        <w:spacing w:line="360" w:lineRule="auto"/>
        <w:ind w:firstLine="723" w:firstLineChars="200"/>
        <w:rPr>
          <w:rFonts w:hint="eastAsia" w:ascii="宋体" w:hAnsi="宋体" w:eastAsia="宋体" w:cs="宋体"/>
          <w:b/>
          <w:spacing w:val="20"/>
          <w:kern w:val="0"/>
          <w:sz w:val="32"/>
          <w:szCs w:val="32"/>
          <w:highlight w:val="none"/>
          <w:u w:val="single"/>
          <w:lang w:eastAsia="zh-CN"/>
        </w:rPr>
      </w:pPr>
      <w:r>
        <w:rPr>
          <w:rFonts w:hint="eastAsia" w:ascii="宋体" w:hAnsi="宋体" w:eastAsia="宋体" w:cs="宋体"/>
          <w:b/>
          <w:spacing w:val="20"/>
          <w:kern w:val="0"/>
          <w:sz w:val="32"/>
          <w:szCs w:val="32"/>
          <w:highlight w:val="none"/>
        </w:rPr>
        <w:t>项目编号：</w:t>
      </w:r>
      <w:r>
        <w:rPr>
          <w:rFonts w:hint="eastAsia" w:ascii="宋体" w:hAnsi="宋体" w:eastAsia="宋体" w:cs="宋体"/>
          <w:b/>
          <w:spacing w:val="20"/>
          <w:kern w:val="0"/>
          <w:sz w:val="32"/>
          <w:szCs w:val="32"/>
          <w:highlight w:val="none"/>
          <w:u w:val="single"/>
          <w:lang w:eastAsia="zh-CN"/>
        </w:rPr>
        <w:t>czsjcg202507-058</w:t>
      </w:r>
    </w:p>
    <w:p w14:paraId="3F30DF67">
      <w:pPr>
        <w:tabs>
          <w:tab w:val="left" w:pos="2410"/>
        </w:tabs>
        <w:autoSpaceDE w:val="0"/>
        <w:autoSpaceDN w:val="0"/>
        <w:adjustRightInd w:val="0"/>
        <w:snapToGrid w:val="0"/>
        <w:spacing w:line="360" w:lineRule="auto"/>
        <w:ind w:firstLine="723" w:firstLineChars="200"/>
        <w:rPr>
          <w:rFonts w:hint="eastAsia" w:ascii="宋体" w:hAnsi="宋体" w:eastAsia="宋体" w:cs="宋体"/>
          <w:b/>
          <w:spacing w:val="20"/>
          <w:kern w:val="0"/>
          <w:sz w:val="32"/>
          <w:szCs w:val="32"/>
          <w:highlight w:val="none"/>
          <w:lang w:eastAsia="zh-CN"/>
        </w:rPr>
      </w:pPr>
      <w:r>
        <w:rPr>
          <w:rFonts w:hint="eastAsia" w:ascii="宋体" w:hAnsi="宋体" w:eastAsia="宋体" w:cs="宋体"/>
          <w:b/>
          <w:spacing w:val="20"/>
          <w:kern w:val="0"/>
          <w:sz w:val="32"/>
          <w:szCs w:val="32"/>
          <w:highlight w:val="none"/>
        </w:rPr>
        <w:t>采 购 人：</w:t>
      </w:r>
      <w:r>
        <w:rPr>
          <w:rFonts w:hint="eastAsia" w:ascii="宋体" w:hAnsi="宋体" w:eastAsia="宋体" w:cs="宋体"/>
          <w:b/>
          <w:spacing w:val="20"/>
          <w:kern w:val="0"/>
          <w:sz w:val="32"/>
          <w:szCs w:val="32"/>
          <w:highlight w:val="none"/>
          <w:u w:val="single"/>
          <w:lang w:eastAsia="zh-CN"/>
        </w:rPr>
        <w:t>滁州市公路管理服务中心</w:t>
      </w:r>
    </w:p>
    <w:p w14:paraId="65A8C86D">
      <w:pPr>
        <w:tabs>
          <w:tab w:val="left" w:pos="2410"/>
        </w:tabs>
        <w:autoSpaceDE w:val="0"/>
        <w:autoSpaceDN w:val="0"/>
        <w:adjustRightInd w:val="0"/>
        <w:snapToGrid w:val="0"/>
        <w:spacing w:line="360" w:lineRule="auto"/>
        <w:ind w:firstLine="723" w:firstLineChars="200"/>
        <w:rPr>
          <w:rFonts w:hint="eastAsia" w:ascii="宋体" w:hAnsi="宋体" w:eastAsia="宋体" w:cs="宋体"/>
          <w:b/>
          <w:spacing w:val="20"/>
          <w:kern w:val="0"/>
          <w:sz w:val="32"/>
          <w:szCs w:val="32"/>
          <w:highlight w:val="none"/>
          <w:u w:val="single"/>
        </w:rPr>
      </w:pPr>
      <w:r>
        <w:rPr>
          <w:rFonts w:hint="eastAsia" w:ascii="宋体" w:hAnsi="宋体" w:eastAsia="宋体" w:cs="宋体"/>
          <w:b/>
          <w:spacing w:val="20"/>
          <w:kern w:val="0"/>
          <w:sz w:val="32"/>
          <w:szCs w:val="32"/>
          <w:highlight w:val="none"/>
        </w:rPr>
        <w:t>采购代理机构：</w:t>
      </w:r>
      <w:r>
        <w:rPr>
          <w:rFonts w:hint="eastAsia" w:ascii="宋体" w:hAnsi="宋体" w:eastAsia="宋体" w:cs="宋体"/>
          <w:b/>
          <w:spacing w:val="20"/>
          <w:kern w:val="0"/>
          <w:sz w:val="32"/>
          <w:szCs w:val="32"/>
          <w:highlight w:val="none"/>
          <w:u w:val="single"/>
        </w:rPr>
        <w:t>滁州市城投工程咨询管理有限公司</w:t>
      </w:r>
    </w:p>
    <w:p w14:paraId="000D61A4">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sz w:val="44"/>
          <w:szCs w:val="44"/>
          <w:highlight w:val="none"/>
        </w:rPr>
      </w:pPr>
    </w:p>
    <w:p w14:paraId="211BF104">
      <w:pPr>
        <w:tabs>
          <w:tab w:val="left" w:pos="2410"/>
        </w:tabs>
        <w:autoSpaceDE w:val="0"/>
        <w:autoSpaceDN w:val="0"/>
        <w:adjustRightInd w:val="0"/>
        <w:snapToGrid w:val="0"/>
        <w:spacing w:line="360" w:lineRule="auto"/>
        <w:jc w:val="center"/>
        <w:rPr>
          <w:rFonts w:hint="eastAsia" w:ascii="宋体" w:hAnsi="宋体" w:eastAsia="宋体" w:cs="宋体"/>
          <w:b/>
          <w:sz w:val="36"/>
          <w:highlight w:val="none"/>
        </w:rPr>
      </w:pPr>
      <w:r>
        <w:rPr>
          <w:rFonts w:hint="eastAsia" w:ascii="宋体" w:hAnsi="宋体" w:eastAsia="宋体" w:cs="宋体"/>
          <w:b/>
          <w:sz w:val="36"/>
          <w:highlight w:val="none"/>
          <w:u w:val="single"/>
        </w:rPr>
        <w:t>202</w:t>
      </w:r>
      <w:r>
        <w:rPr>
          <w:rFonts w:hint="eastAsia" w:ascii="宋体" w:hAnsi="宋体" w:eastAsia="宋体" w:cs="宋体"/>
          <w:b/>
          <w:sz w:val="36"/>
          <w:highlight w:val="none"/>
          <w:u w:val="single"/>
          <w:lang w:val="en-US" w:eastAsia="zh-CN"/>
        </w:rPr>
        <w:t>5</w:t>
      </w:r>
      <w:r>
        <w:rPr>
          <w:rFonts w:hint="eastAsia" w:ascii="宋体" w:hAnsi="宋体" w:eastAsia="宋体" w:cs="宋体"/>
          <w:b/>
          <w:sz w:val="36"/>
          <w:highlight w:val="none"/>
        </w:rPr>
        <w:t>年</w:t>
      </w:r>
      <w:r>
        <w:rPr>
          <w:rFonts w:hint="eastAsia" w:ascii="宋体" w:hAnsi="宋体" w:eastAsia="宋体" w:cs="宋体"/>
          <w:b/>
          <w:sz w:val="36"/>
          <w:highlight w:val="none"/>
          <w:u w:val="single"/>
          <w:lang w:val="en-US" w:eastAsia="zh-CN"/>
        </w:rPr>
        <w:t>7</w:t>
      </w:r>
      <w:r>
        <w:rPr>
          <w:rFonts w:hint="eastAsia" w:ascii="宋体" w:hAnsi="宋体" w:eastAsia="宋体" w:cs="宋体"/>
          <w:b/>
          <w:sz w:val="36"/>
          <w:highlight w:val="none"/>
        </w:rPr>
        <w:t>月</w:t>
      </w:r>
      <w:r>
        <w:rPr>
          <w:rFonts w:hint="eastAsia" w:ascii="宋体" w:hAnsi="宋体" w:eastAsia="宋体" w:cs="宋体"/>
          <w:b/>
          <w:sz w:val="36"/>
          <w:highlight w:val="none"/>
        </w:rPr>
        <w:br w:type="page"/>
      </w:r>
    </w:p>
    <w:p w14:paraId="7DA2030E">
      <w:pPr>
        <w:tabs>
          <w:tab w:val="left" w:pos="2410"/>
        </w:tabs>
        <w:autoSpaceDE w:val="0"/>
        <w:autoSpaceDN w:val="0"/>
        <w:adjustRightInd w:val="0"/>
        <w:snapToGrid w:val="0"/>
        <w:spacing w:line="360" w:lineRule="auto"/>
        <w:jc w:val="center"/>
        <w:rPr>
          <w:rFonts w:hint="eastAsia" w:ascii="宋体" w:hAnsi="宋体" w:eastAsia="宋体" w:cs="宋体"/>
          <w:b/>
          <w:sz w:val="28"/>
          <w:highlight w:val="none"/>
        </w:rPr>
      </w:pPr>
    </w:p>
    <w:p w14:paraId="69A8DAD6">
      <w:pPr>
        <w:tabs>
          <w:tab w:val="left" w:pos="2410"/>
        </w:tabs>
        <w:autoSpaceDE w:val="0"/>
        <w:autoSpaceDN w:val="0"/>
        <w:adjustRightInd w:val="0"/>
        <w:snapToGrid w:val="0"/>
        <w:spacing w:line="600" w:lineRule="exact"/>
        <w:jc w:val="center"/>
        <w:rPr>
          <w:rFonts w:hint="eastAsia" w:ascii="宋体" w:hAnsi="宋体" w:eastAsia="宋体" w:cs="宋体"/>
          <w:b/>
          <w:sz w:val="28"/>
          <w:highlight w:val="none"/>
        </w:rPr>
      </w:pPr>
      <w:r>
        <w:rPr>
          <w:rFonts w:hint="eastAsia" w:ascii="宋体" w:hAnsi="宋体" w:eastAsia="宋体" w:cs="宋体"/>
          <w:b/>
          <w:sz w:val="28"/>
          <w:highlight w:val="none"/>
        </w:rPr>
        <w:t>目  录</w:t>
      </w:r>
    </w:p>
    <w:p w14:paraId="2A4BDD4F">
      <w:pPr>
        <w:pStyle w:val="22"/>
        <w:tabs>
          <w:tab w:val="right" w:leader="dot" w:pos="9638"/>
        </w:tabs>
        <w:rPr>
          <w:rFonts w:hint="eastAsia" w:ascii="宋体" w:hAnsi="宋体" w:eastAsia="宋体" w:cs="宋体"/>
        </w:rPr>
      </w:pPr>
      <w:r>
        <w:rPr>
          <w:rFonts w:hint="eastAsia" w:ascii="宋体" w:hAnsi="宋体" w:eastAsia="宋体" w:cs="宋体"/>
          <w:b/>
          <w:sz w:val="24"/>
          <w:szCs w:val="24"/>
          <w:highlight w:val="none"/>
        </w:rPr>
        <w:fldChar w:fldCharType="begin"/>
      </w:r>
      <w:r>
        <w:rPr>
          <w:rFonts w:hint="eastAsia" w:ascii="宋体" w:hAnsi="宋体" w:eastAsia="宋体" w:cs="宋体"/>
          <w:b/>
          <w:sz w:val="24"/>
          <w:szCs w:val="24"/>
          <w:highlight w:val="none"/>
        </w:rPr>
        <w:instrText xml:space="preserve"> TOC \o "1-2" \h \z \u </w:instrText>
      </w:r>
      <w:r>
        <w:rPr>
          <w:rFonts w:hint="eastAsia" w:ascii="宋体" w:hAnsi="宋体" w:eastAsia="宋体" w:cs="宋体"/>
          <w:b/>
          <w:sz w:val="24"/>
          <w:szCs w:val="24"/>
          <w:highlight w:val="none"/>
        </w:rPr>
        <w:fldChar w:fldCharType="separate"/>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_Toc31491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第一章  投标邀请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_Toc31491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4"/>
          <w:highlight w:val="none"/>
        </w:rPr>
        <w:fldChar w:fldCharType="end"/>
      </w:r>
    </w:p>
    <w:p w14:paraId="40B677B7">
      <w:pPr>
        <w:pStyle w:val="22"/>
        <w:tabs>
          <w:tab w:val="right" w:leader="dot" w:pos="9638"/>
        </w:tabs>
        <w:rPr>
          <w:rFonts w:hint="eastAsia" w:ascii="宋体" w:hAnsi="宋体" w:eastAsia="宋体" w:cs="宋体"/>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_Toc13994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第二章  投标人须知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_Toc13994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24"/>
          <w:highlight w:val="none"/>
        </w:rPr>
        <w:fldChar w:fldCharType="end"/>
      </w:r>
    </w:p>
    <w:p w14:paraId="432FCE1B">
      <w:pPr>
        <w:pStyle w:val="22"/>
        <w:tabs>
          <w:tab w:val="right" w:leader="dot" w:pos="9638"/>
        </w:tabs>
        <w:rPr>
          <w:rFonts w:hint="eastAsia" w:ascii="宋体" w:hAnsi="宋体" w:eastAsia="宋体" w:cs="宋体"/>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_Toc28615 </w:instrText>
      </w:r>
      <w:r>
        <w:rPr>
          <w:rFonts w:hint="eastAsia" w:ascii="宋体" w:hAnsi="宋体" w:eastAsia="宋体" w:cs="宋体"/>
          <w:szCs w:val="24"/>
          <w:highlight w:val="none"/>
        </w:rPr>
        <w:fldChar w:fldCharType="separate"/>
      </w:r>
      <w:r>
        <w:rPr>
          <w:rFonts w:hint="eastAsia" w:ascii="宋体" w:hAnsi="宋体" w:eastAsia="宋体" w:cs="宋体"/>
        </w:rPr>
        <w:t xml:space="preserve">第三章 </w:t>
      </w:r>
      <w:r>
        <w:rPr>
          <w:rFonts w:hint="eastAsia" w:ascii="宋体" w:hAnsi="宋体" w:eastAsia="宋体" w:cs="宋体"/>
          <w:highlight w:val="none"/>
        </w:rPr>
        <w:t>采购需求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_Toc28615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szCs w:val="24"/>
          <w:highlight w:val="none"/>
        </w:rPr>
        <w:fldChar w:fldCharType="end"/>
      </w:r>
    </w:p>
    <w:p w14:paraId="29A7AD04">
      <w:pPr>
        <w:pStyle w:val="22"/>
        <w:tabs>
          <w:tab w:val="right" w:leader="dot" w:pos="9638"/>
        </w:tabs>
        <w:rPr>
          <w:rFonts w:hint="eastAsia" w:ascii="宋体" w:hAnsi="宋体" w:eastAsia="宋体" w:cs="宋体"/>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_Toc25399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第四章  评标方法和标准（</w:t>
      </w:r>
      <w:r>
        <w:rPr>
          <w:rFonts w:hint="eastAsia" w:ascii="宋体" w:hAnsi="宋体" w:eastAsia="宋体" w:cs="宋体"/>
          <w:highlight w:val="none"/>
          <w:lang w:val="en-US" w:eastAsia="zh-CN"/>
        </w:rPr>
        <w:t>综合评分法</w:t>
      </w:r>
      <w:r>
        <w:rPr>
          <w:rFonts w:hint="eastAsia" w:ascii="宋体" w:hAnsi="宋体" w:eastAsia="宋体" w:cs="宋体"/>
          <w:highlight w:val="none"/>
        </w:rPr>
        <w: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_Toc25399 \h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szCs w:val="24"/>
          <w:highlight w:val="none"/>
        </w:rPr>
        <w:fldChar w:fldCharType="end"/>
      </w:r>
    </w:p>
    <w:p w14:paraId="213B6655">
      <w:pPr>
        <w:pStyle w:val="22"/>
        <w:tabs>
          <w:tab w:val="right" w:leader="dot" w:pos="9638"/>
        </w:tabs>
        <w:rPr>
          <w:rFonts w:hint="eastAsia" w:ascii="宋体" w:hAnsi="宋体" w:eastAsia="宋体" w:cs="宋体"/>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_Toc13856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第五章  政府采购合同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_Toc13856 \h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r>
        <w:rPr>
          <w:rFonts w:hint="eastAsia" w:ascii="宋体" w:hAnsi="宋体" w:eastAsia="宋体" w:cs="宋体"/>
          <w:szCs w:val="24"/>
          <w:highlight w:val="none"/>
        </w:rPr>
        <w:fldChar w:fldCharType="end"/>
      </w:r>
    </w:p>
    <w:p w14:paraId="2BE52AE6">
      <w:pPr>
        <w:pStyle w:val="22"/>
        <w:tabs>
          <w:tab w:val="right" w:leader="dot" w:pos="9638"/>
        </w:tabs>
        <w:rPr>
          <w:rFonts w:hint="eastAsia" w:ascii="宋体" w:hAnsi="宋体" w:eastAsia="宋体" w:cs="宋体"/>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_Toc21522 </w:instrText>
      </w:r>
      <w:r>
        <w:rPr>
          <w:rFonts w:hint="eastAsia" w:ascii="宋体" w:hAnsi="宋体" w:eastAsia="宋体" w:cs="宋体"/>
          <w:szCs w:val="24"/>
          <w:highlight w:val="none"/>
        </w:rPr>
        <w:fldChar w:fldCharType="separate"/>
      </w:r>
      <w:r>
        <w:rPr>
          <w:rFonts w:hint="eastAsia" w:ascii="宋体" w:hAnsi="宋体" w:eastAsia="宋体" w:cs="宋体"/>
        </w:rPr>
        <w:t xml:space="preserve">第六章 </w:t>
      </w:r>
      <w:r>
        <w:rPr>
          <w:rFonts w:hint="eastAsia" w:ascii="宋体" w:hAnsi="宋体" w:eastAsia="宋体" w:cs="宋体"/>
          <w:highlight w:val="none"/>
        </w:rPr>
        <w:t>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_Toc21522 \h </w:instrText>
      </w:r>
      <w:r>
        <w:rPr>
          <w:rFonts w:hint="eastAsia" w:ascii="宋体" w:hAnsi="宋体" w:eastAsia="宋体" w:cs="宋体"/>
        </w:rPr>
        <w:fldChar w:fldCharType="separate"/>
      </w:r>
      <w:r>
        <w:rPr>
          <w:rFonts w:hint="eastAsia" w:ascii="宋体" w:hAnsi="宋体" w:eastAsia="宋体" w:cs="宋体"/>
        </w:rPr>
        <w:t>45</w:t>
      </w:r>
      <w:r>
        <w:rPr>
          <w:rFonts w:hint="eastAsia" w:ascii="宋体" w:hAnsi="宋体" w:eastAsia="宋体" w:cs="宋体"/>
        </w:rPr>
        <w:fldChar w:fldCharType="end"/>
      </w:r>
      <w:r>
        <w:rPr>
          <w:rFonts w:hint="eastAsia" w:ascii="宋体" w:hAnsi="宋体" w:eastAsia="宋体" w:cs="宋体"/>
          <w:szCs w:val="24"/>
          <w:highlight w:val="none"/>
        </w:rPr>
        <w:fldChar w:fldCharType="end"/>
      </w:r>
    </w:p>
    <w:p w14:paraId="0E4643E0">
      <w:pPr>
        <w:pStyle w:val="22"/>
        <w:tabs>
          <w:tab w:val="right" w:leader="dot" w:pos="9638"/>
        </w:tabs>
        <w:rPr>
          <w:rFonts w:hint="eastAsia" w:ascii="宋体" w:hAnsi="宋体" w:eastAsia="宋体" w:cs="宋体"/>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_Toc16620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第七章</w:t>
      </w:r>
      <w:r>
        <w:rPr>
          <w:rFonts w:hint="eastAsia" w:ascii="宋体" w:hAnsi="宋体" w:eastAsia="宋体" w:cs="宋体"/>
          <w:bCs/>
          <w:highlight w:val="none"/>
        </w:rPr>
        <w:t xml:space="preserve">  政府采购</w:t>
      </w:r>
      <w:r>
        <w:rPr>
          <w:rFonts w:hint="eastAsia" w:ascii="宋体" w:hAnsi="宋体" w:eastAsia="宋体" w:cs="宋体"/>
          <w:highlight w:val="none"/>
        </w:rPr>
        <w:t>供应</w:t>
      </w:r>
      <w:r>
        <w:rPr>
          <w:rFonts w:hint="eastAsia" w:ascii="宋体" w:hAnsi="宋体" w:eastAsia="宋体" w:cs="宋体"/>
          <w:bCs/>
          <w:highlight w:val="none"/>
        </w:rPr>
        <w:t>商询问函和质疑函范本</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_Toc16620 \h </w:instrText>
      </w:r>
      <w:r>
        <w:rPr>
          <w:rFonts w:hint="eastAsia" w:ascii="宋体" w:hAnsi="宋体" w:eastAsia="宋体" w:cs="宋体"/>
        </w:rPr>
        <w:fldChar w:fldCharType="separate"/>
      </w:r>
      <w:r>
        <w:rPr>
          <w:rFonts w:hint="eastAsia" w:ascii="宋体" w:hAnsi="宋体" w:eastAsia="宋体" w:cs="宋体"/>
        </w:rPr>
        <w:t>45</w:t>
      </w:r>
      <w:r>
        <w:rPr>
          <w:rFonts w:hint="eastAsia" w:ascii="宋体" w:hAnsi="宋体" w:eastAsia="宋体" w:cs="宋体"/>
        </w:rPr>
        <w:fldChar w:fldCharType="end"/>
      </w:r>
      <w:r>
        <w:rPr>
          <w:rFonts w:hint="eastAsia" w:ascii="宋体" w:hAnsi="宋体" w:eastAsia="宋体" w:cs="宋体"/>
          <w:szCs w:val="24"/>
          <w:highlight w:val="none"/>
        </w:rPr>
        <w:fldChar w:fldCharType="end"/>
      </w:r>
    </w:p>
    <w:p w14:paraId="07316038">
      <w:pPr>
        <w:pStyle w:val="22"/>
        <w:tabs>
          <w:tab w:val="right" w:leader="dot" w:pos="8306"/>
        </w:tabs>
        <w:rPr>
          <w:rFonts w:hint="eastAsia" w:ascii="宋体" w:hAnsi="宋体" w:eastAsia="宋体" w:cs="宋体"/>
          <w:b/>
          <w:sz w:val="32"/>
          <w:highlight w:val="none"/>
        </w:rPr>
      </w:pPr>
      <w:r>
        <w:rPr>
          <w:rFonts w:hint="eastAsia" w:ascii="宋体" w:hAnsi="宋体" w:eastAsia="宋体" w:cs="宋体"/>
          <w:szCs w:val="24"/>
          <w:highlight w:val="none"/>
        </w:rPr>
        <w:fldChar w:fldCharType="end"/>
      </w:r>
    </w:p>
    <w:p w14:paraId="262FA9F0">
      <w:pPr>
        <w:spacing w:line="360" w:lineRule="auto"/>
        <w:rPr>
          <w:rFonts w:hint="eastAsia" w:ascii="宋体" w:hAnsi="宋体" w:eastAsia="宋体" w:cs="宋体"/>
          <w:b/>
          <w:sz w:val="32"/>
          <w:highlight w:val="none"/>
        </w:rPr>
      </w:pPr>
    </w:p>
    <w:p w14:paraId="2C2B00AA">
      <w:pPr>
        <w:spacing w:line="360" w:lineRule="auto"/>
        <w:jc w:val="center"/>
        <w:outlineLvl w:val="1"/>
        <w:rPr>
          <w:rFonts w:hint="eastAsia" w:ascii="宋体" w:hAnsi="宋体" w:eastAsia="宋体" w:cs="宋体"/>
          <w:b/>
          <w:sz w:val="28"/>
          <w:highlight w:val="none"/>
        </w:rPr>
        <w:sectPr>
          <w:headerReference r:id="rId3" w:type="default"/>
          <w:footerReference r:id="rId4" w:type="default"/>
          <w:pgSz w:w="11906" w:h="16838"/>
          <w:pgMar w:top="1134" w:right="1134" w:bottom="1134" w:left="1134" w:header="851" w:footer="992" w:gutter="0"/>
          <w:cols w:space="425" w:num="1"/>
          <w:docGrid w:type="lines" w:linePitch="312" w:charSpace="0"/>
        </w:sectPr>
      </w:pPr>
    </w:p>
    <w:p w14:paraId="553F22DC">
      <w:pPr>
        <w:pStyle w:val="5"/>
        <w:pageBreakBefore w:val="0"/>
        <w:tabs>
          <w:tab w:val="left" w:pos="0"/>
          <w:tab w:val="left" w:pos="3165"/>
          <w:tab w:val="center" w:pos="4153"/>
        </w:tabs>
        <w:kinsoku/>
        <w:overflowPunct/>
        <w:topLinePunct w:val="0"/>
        <w:autoSpaceDE w:val="0"/>
        <w:autoSpaceDN w:val="0"/>
        <w:bidi w:val="0"/>
        <w:adjustRightInd w:val="0"/>
        <w:snapToGrid/>
        <w:spacing w:before="0" w:after="0" w:line="360" w:lineRule="auto"/>
        <w:jc w:val="center"/>
        <w:textAlignment w:val="auto"/>
        <w:rPr>
          <w:rFonts w:hint="eastAsia" w:ascii="宋体" w:hAnsi="宋体" w:eastAsia="宋体" w:cs="宋体"/>
          <w:sz w:val="28"/>
          <w:highlight w:val="none"/>
        </w:rPr>
      </w:pPr>
      <w:bookmarkStart w:id="1" w:name="_Toc31491"/>
      <w:r>
        <w:rPr>
          <w:rFonts w:hint="eastAsia" w:ascii="宋体" w:hAnsi="宋体" w:eastAsia="宋体" w:cs="宋体"/>
          <w:sz w:val="28"/>
          <w:highlight w:val="none"/>
        </w:rPr>
        <w:t xml:space="preserve">第一章  </w:t>
      </w:r>
      <w:bookmarkStart w:id="2" w:name="_Toc35393621"/>
      <w:bookmarkStart w:id="3" w:name="_Toc28359079"/>
      <w:bookmarkStart w:id="4" w:name="_Toc28359002"/>
      <w:bookmarkStart w:id="5" w:name="_Toc35393790"/>
      <w:bookmarkStart w:id="6" w:name="_Hlk24379207"/>
      <w:r>
        <w:rPr>
          <w:rFonts w:hint="eastAsia" w:ascii="宋体" w:hAnsi="宋体" w:eastAsia="宋体" w:cs="宋体"/>
          <w:sz w:val="28"/>
          <w:highlight w:val="none"/>
        </w:rPr>
        <w:t>投标邀请</w:t>
      </w:r>
      <w:bookmarkEnd w:id="1"/>
    </w:p>
    <w:p w14:paraId="77AD9E8F">
      <w:pPr>
        <w:keepNext/>
        <w:keepLines/>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400832C6">
      <w:pPr>
        <w:keepNext/>
        <w:keepLines/>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滁州市2025年普通国省干线公路技术状况评定项目</w:t>
      </w:r>
      <w:r>
        <w:rPr>
          <w:rFonts w:hint="eastAsia" w:ascii="宋体" w:hAnsi="宋体" w:eastAsia="宋体" w:cs="宋体"/>
          <w:sz w:val="24"/>
          <w:szCs w:val="24"/>
          <w:highlight w:val="none"/>
        </w:rPr>
        <w:t>的潜在供应商应在滁州市公共资源交易中心网（http：//ggzy.chuzhou.gov.cn/）获取招标文件，并于</w:t>
      </w:r>
      <w:r>
        <w:rPr>
          <w:rFonts w:hint="eastAsia" w:ascii="宋体" w:hAnsi="宋体" w:eastAsia="宋体" w:cs="宋体"/>
          <w:sz w:val="24"/>
          <w:szCs w:val="24"/>
          <w:highlight w:val="none"/>
          <w:lang w:eastAsia="zh-CN"/>
        </w:rPr>
        <w:t>2025年8月</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rPr>
        <w:t>8点00分（北京时间）前递交投标文件。</w:t>
      </w:r>
    </w:p>
    <w:p w14:paraId="460D8BEC">
      <w:pPr>
        <w:pageBreakBefore w:val="0"/>
        <w:kinsoku/>
        <w:overflowPunct/>
        <w:topLinePunct w:val="0"/>
        <w:bidi w:val="0"/>
        <w:snapToGrid/>
        <w:spacing w:line="360" w:lineRule="auto"/>
        <w:ind w:firstLine="437"/>
        <w:textAlignment w:val="auto"/>
        <w:outlineLvl w:val="1"/>
        <w:rPr>
          <w:rFonts w:hint="eastAsia" w:ascii="宋体" w:hAnsi="宋体" w:eastAsia="宋体" w:cs="宋体"/>
          <w:b/>
          <w:bCs/>
          <w:sz w:val="24"/>
          <w:szCs w:val="24"/>
          <w:highlight w:val="none"/>
        </w:rPr>
      </w:pPr>
      <w:bookmarkStart w:id="7" w:name="_Toc24990"/>
      <w:r>
        <w:rPr>
          <w:rFonts w:hint="eastAsia" w:ascii="宋体" w:hAnsi="宋体" w:eastAsia="宋体" w:cs="宋体"/>
          <w:b/>
          <w:bCs/>
          <w:sz w:val="24"/>
          <w:szCs w:val="24"/>
          <w:highlight w:val="none"/>
        </w:rPr>
        <w:t>一、项目基本情况</w:t>
      </w:r>
      <w:bookmarkEnd w:id="2"/>
      <w:bookmarkEnd w:id="3"/>
      <w:bookmarkEnd w:id="4"/>
      <w:bookmarkEnd w:id="5"/>
      <w:bookmarkEnd w:id="7"/>
    </w:p>
    <w:p w14:paraId="32E816C1">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lang w:eastAsia="zh-CN"/>
        </w:rPr>
        <w:t>czsjcg202507-058</w:t>
      </w:r>
    </w:p>
    <w:p w14:paraId="511827FA">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项目名称：</w:t>
      </w:r>
      <w:bookmarkEnd w:id="6"/>
      <w:r>
        <w:rPr>
          <w:rFonts w:hint="eastAsia" w:ascii="宋体" w:hAnsi="宋体" w:eastAsia="宋体" w:cs="宋体"/>
          <w:sz w:val="24"/>
          <w:szCs w:val="24"/>
          <w:highlight w:val="none"/>
          <w:lang w:eastAsia="zh-CN"/>
        </w:rPr>
        <w:t>滁州市2025年普通国省干线公路技术状况评定项目</w:t>
      </w:r>
    </w:p>
    <w:p w14:paraId="0F0184C8">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预算金额：</w:t>
      </w:r>
      <w:r>
        <w:rPr>
          <w:rFonts w:hint="eastAsia" w:ascii="宋体" w:hAnsi="宋体" w:eastAsia="宋体" w:cs="宋体"/>
          <w:sz w:val="24"/>
          <w:szCs w:val="24"/>
          <w:highlight w:val="none"/>
          <w:lang w:val="en-US" w:eastAsia="zh-CN"/>
        </w:rPr>
        <w:t>400000.00元</w:t>
      </w:r>
    </w:p>
    <w:p w14:paraId="10B0E00C">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最高限价：</w:t>
      </w:r>
      <w:r>
        <w:rPr>
          <w:rFonts w:hint="eastAsia" w:ascii="宋体" w:hAnsi="宋体" w:eastAsia="宋体" w:cs="宋体"/>
          <w:sz w:val="24"/>
          <w:szCs w:val="24"/>
          <w:highlight w:val="none"/>
          <w:lang w:eastAsia="zh-CN"/>
        </w:rPr>
        <w:t>400000.00元</w:t>
      </w:r>
      <w:r>
        <w:rPr>
          <w:rFonts w:hint="eastAsia" w:ascii="宋体" w:hAnsi="宋体" w:eastAsia="宋体" w:cs="宋体"/>
          <w:sz w:val="24"/>
          <w:szCs w:val="24"/>
          <w:highlight w:val="none"/>
        </w:rPr>
        <w:t>，投标报价高于最高限价的，其投标文件按无效投标处理。</w:t>
      </w:r>
    </w:p>
    <w:p w14:paraId="7C3E12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采购需求：</w:t>
      </w:r>
      <w:r>
        <w:rPr>
          <w:rFonts w:hint="eastAsia" w:ascii="宋体" w:hAnsi="宋体" w:eastAsia="宋体" w:cs="宋体"/>
          <w:sz w:val="24"/>
          <w:szCs w:val="24"/>
          <w:highlight w:val="none"/>
          <w:lang w:val="en-US" w:eastAsia="zh-CN"/>
        </w:rPr>
        <w:t>公路技术状况检测评定；</w:t>
      </w:r>
    </w:p>
    <w:p w14:paraId="13A4F2D2">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w:t>
      </w:r>
      <w:r>
        <w:rPr>
          <w:rFonts w:hint="eastAsia" w:ascii="宋体" w:hAnsi="宋体" w:eastAsia="宋体" w:cs="宋体"/>
          <w:sz w:val="24"/>
          <w:szCs w:val="24"/>
          <w:highlight w:val="none"/>
          <w:lang w:val="en-US" w:eastAsia="zh-CN"/>
        </w:rPr>
        <w:t>自合同签订之日起一年</w:t>
      </w:r>
      <w:r>
        <w:rPr>
          <w:rFonts w:hint="eastAsia" w:ascii="宋体" w:hAnsi="宋体" w:eastAsia="宋体" w:cs="宋体"/>
          <w:sz w:val="24"/>
          <w:szCs w:val="24"/>
          <w:highlight w:val="none"/>
        </w:rPr>
        <w:t>。</w:t>
      </w:r>
    </w:p>
    <w:p w14:paraId="35AE6458">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本项目不接受联合体投标。</w:t>
      </w:r>
    </w:p>
    <w:p w14:paraId="1B3FF56E">
      <w:pPr>
        <w:pageBreakBefore w:val="0"/>
        <w:kinsoku/>
        <w:overflowPunct/>
        <w:topLinePunct w:val="0"/>
        <w:bidi w:val="0"/>
        <w:snapToGrid/>
        <w:spacing w:line="360" w:lineRule="auto"/>
        <w:ind w:firstLine="437"/>
        <w:textAlignment w:val="auto"/>
        <w:outlineLvl w:val="1"/>
        <w:rPr>
          <w:rFonts w:hint="eastAsia" w:ascii="宋体" w:hAnsi="宋体" w:eastAsia="宋体" w:cs="宋体"/>
          <w:b/>
          <w:bCs/>
          <w:sz w:val="24"/>
          <w:szCs w:val="24"/>
          <w:highlight w:val="none"/>
        </w:rPr>
      </w:pPr>
      <w:bookmarkStart w:id="8" w:name="_Toc28359003"/>
      <w:bookmarkStart w:id="9" w:name="_Toc28039"/>
      <w:bookmarkStart w:id="10" w:name="_Toc28359080"/>
      <w:bookmarkStart w:id="11" w:name="_Toc35393622"/>
      <w:bookmarkStart w:id="12" w:name="_Toc35393791"/>
      <w:r>
        <w:rPr>
          <w:rFonts w:hint="eastAsia" w:ascii="宋体" w:hAnsi="宋体" w:eastAsia="宋体" w:cs="宋体"/>
          <w:b/>
          <w:bCs/>
          <w:sz w:val="24"/>
          <w:szCs w:val="24"/>
          <w:highlight w:val="none"/>
        </w:rPr>
        <w:t>二、申请人的资格要求：</w:t>
      </w:r>
      <w:bookmarkEnd w:id="8"/>
      <w:bookmarkEnd w:id="9"/>
      <w:bookmarkEnd w:id="10"/>
      <w:bookmarkEnd w:id="11"/>
      <w:bookmarkEnd w:id="12"/>
    </w:p>
    <w:p w14:paraId="42B9F0B4">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w:t>
      </w:r>
    </w:p>
    <w:p w14:paraId="305400FF">
      <w:pPr>
        <w:pStyle w:val="25"/>
        <w:pageBreakBefore w:val="0"/>
        <w:kinsoku/>
        <w:overflowPunct/>
        <w:topLinePunct w:val="0"/>
        <w:bidi w:val="0"/>
        <w:snapToGrid/>
        <w:spacing w:before="0" w:beforeAutospacing="0" w:after="0" w:afterAutospacing="0" w:line="360" w:lineRule="auto"/>
        <w:ind w:firstLine="480" w:firstLineChars="200"/>
        <w:textAlignment w:val="auto"/>
        <w:rPr>
          <w:rFonts w:hint="eastAsia" w:ascii="宋体" w:hAnsi="宋体" w:eastAsia="宋体" w:cs="宋体"/>
          <w:kern w:val="2"/>
          <w:szCs w:val="24"/>
          <w:highlight w:val="none"/>
          <w:lang w:eastAsia="zh-CN"/>
        </w:rPr>
      </w:pPr>
      <w:bookmarkStart w:id="13" w:name="_Toc28359081"/>
      <w:bookmarkStart w:id="14" w:name="_Toc28359004"/>
      <w:r>
        <w:rPr>
          <w:rFonts w:hint="eastAsia" w:ascii="宋体" w:hAnsi="宋体" w:eastAsia="宋体" w:cs="宋体"/>
          <w:szCs w:val="24"/>
          <w:highlight w:val="none"/>
        </w:rPr>
        <w:t>2.落实政府采购政策需满足的资格要求：</w:t>
      </w:r>
      <w:r>
        <w:rPr>
          <w:rFonts w:hint="eastAsia" w:ascii="宋体" w:hAnsi="宋体" w:eastAsia="宋体" w:cs="宋体"/>
          <w:kern w:val="2"/>
          <w:szCs w:val="24"/>
          <w:highlight w:val="none"/>
          <w:lang w:eastAsia="zh-CN"/>
        </w:rPr>
        <w:t>本项目符合财政部、工业和信息化部制定的《政府采购促进中小企业发展管理办法》第六条第三款之规定，为非专门面向中小企业采购项目。具体原因如下：按照本办法规定预留采购份额无法确保充分供应、充分竞争，或者存在可能影响政府采购目标实现的情形。若中小企业对此有质疑，可按以下渠道递交质疑：①以书面材料递交至采购人或采购代理机构处；②在滁州市公共资源交易中心网电子交易系统中进行质疑，具体操作步骤和程序请参见服务指南&gt;交易须知&gt;在线异议、质疑和投诉操作手册；</w:t>
      </w:r>
    </w:p>
    <w:p w14:paraId="067E2BC7">
      <w:pPr>
        <w:pageBreakBefore w:val="0"/>
        <w:kinsoku/>
        <w:overflowPunct/>
        <w:topLinePunct w:val="0"/>
        <w:bidi w:val="0"/>
        <w:snapToGrid/>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3.本项目的特定资格要求：投标人具有公路工程（综合）甲级检测资格证书。拟派的项目负责人具备公路相关专业试验检测师或检测工程师证书。</w:t>
      </w:r>
    </w:p>
    <w:p w14:paraId="168353DC">
      <w:pPr>
        <w:pageBreakBefore w:val="0"/>
        <w:kinsoku/>
        <w:overflowPunct/>
        <w:topLinePunct w:val="0"/>
        <w:bidi w:val="0"/>
        <w:snapToGrid/>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4.信誉要求：投标人不得存在以下情形：</w:t>
      </w:r>
    </w:p>
    <w:p w14:paraId="3C53A371">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bookmarkStart w:id="15" w:name="_Toc35393792"/>
      <w:bookmarkStart w:id="16" w:name="_Toc35393623"/>
      <w:r>
        <w:rPr>
          <w:rFonts w:hint="eastAsia" w:ascii="宋体" w:hAnsi="宋体" w:eastAsia="宋体" w:cs="宋体"/>
          <w:sz w:val="24"/>
          <w:szCs w:val="24"/>
          <w:highlight w:val="none"/>
        </w:rPr>
        <w:t>①被列入“信用中国”网站“失信被执行人”的；</w:t>
      </w:r>
    </w:p>
    <w:p w14:paraId="0A8C1766">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②被列入“信用中国”网站“重大税收违法失信主体”的；</w:t>
      </w:r>
    </w:p>
    <w:p w14:paraId="1F0068A8">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③被列入“信用中国”网站 “严重失信主体名单”的；</w:t>
      </w:r>
    </w:p>
    <w:p w14:paraId="4D2964CF">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④在“信用中国”网站上披露的仍在公示期的严重失信行为(具体行为类别及判定依据见“信用中国”查询的严重失信行为类别及判定依据)的；</w:t>
      </w:r>
    </w:p>
    <w:p w14:paraId="30A2E274">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⑤被列入国家企业信用信息公示系统网站“经营异常名录”或者“严重违法失信名单”的。</w:t>
      </w:r>
    </w:p>
    <w:p w14:paraId="091037A6">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⑥被列入中国政府采购网站“政府采购严重违法失信行为信息记录”的；</w:t>
      </w:r>
    </w:p>
    <w:p w14:paraId="525C4F2E">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⑦前三年有行贿犯罪行为的单位和个人。</w:t>
      </w:r>
    </w:p>
    <w:p w14:paraId="3B96244B">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5.投标人所属分公司、办事处等分支机构存在第4款信誉要求①-⑦项情形之一的，接受投标人参加本项目。</w:t>
      </w:r>
    </w:p>
    <w:p w14:paraId="2DBA2571">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备注：第4、5条按照“关于联合惩戒失信行为加强信用查询管理的通知”查询或承诺。</w:t>
      </w:r>
    </w:p>
    <w:p w14:paraId="197328E7">
      <w:pPr>
        <w:pageBreakBefore w:val="0"/>
        <w:kinsoku/>
        <w:overflowPunct/>
        <w:topLinePunct w:val="0"/>
        <w:bidi w:val="0"/>
        <w:snapToGrid/>
        <w:spacing w:line="360" w:lineRule="auto"/>
        <w:ind w:firstLine="437"/>
        <w:textAlignment w:val="auto"/>
        <w:outlineLvl w:val="1"/>
        <w:rPr>
          <w:rFonts w:hint="eastAsia" w:ascii="宋体" w:hAnsi="宋体" w:eastAsia="宋体" w:cs="宋体"/>
          <w:b/>
          <w:bCs/>
          <w:sz w:val="24"/>
          <w:szCs w:val="24"/>
          <w:highlight w:val="none"/>
        </w:rPr>
      </w:pPr>
      <w:bookmarkStart w:id="17" w:name="_Toc1934"/>
      <w:r>
        <w:rPr>
          <w:rFonts w:hint="eastAsia" w:ascii="宋体" w:hAnsi="宋体" w:eastAsia="宋体" w:cs="宋体"/>
          <w:b/>
          <w:bCs/>
          <w:sz w:val="24"/>
          <w:szCs w:val="24"/>
          <w:highlight w:val="none"/>
        </w:rPr>
        <w:t>三、获取招标文件</w:t>
      </w:r>
      <w:bookmarkEnd w:id="13"/>
      <w:bookmarkEnd w:id="14"/>
      <w:bookmarkEnd w:id="15"/>
      <w:bookmarkEnd w:id="16"/>
      <w:bookmarkEnd w:id="17"/>
    </w:p>
    <w:p w14:paraId="0F90724D">
      <w:pPr>
        <w:pageBreakBefore w:val="0"/>
        <w:kinsoku/>
        <w:overflowPunct/>
        <w:topLinePunct w:val="0"/>
        <w:bidi w:val="0"/>
        <w:snapToGrid/>
        <w:spacing w:line="360" w:lineRule="auto"/>
        <w:ind w:firstLine="480" w:firstLineChars="200"/>
        <w:textAlignment w:val="auto"/>
        <w:rPr>
          <w:rFonts w:hint="eastAsia" w:ascii="宋体" w:hAnsi="宋体" w:eastAsia="宋体" w:cs="宋体"/>
          <w:iCs/>
          <w:sz w:val="24"/>
          <w:szCs w:val="24"/>
          <w:highlight w:val="none"/>
        </w:rPr>
      </w:pPr>
      <w:r>
        <w:rPr>
          <w:rFonts w:hint="eastAsia" w:ascii="宋体" w:hAnsi="宋体" w:eastAsia="宋体" w:cs="宋体"/>
          <w:sz w:val="24"/>
          <w:szCs w:val="24"/>
          <w:highlight w:val="none"/>
        </w:rPr>
        <w:t>时间：</w:t>
      </w:r>
      <w:r>
        <w:rPr>
          <w:rFonts w:hint="eastAsia" w:ascii="宋体" w:hAnsi="宋体" w:eastAsia="宋体" w:cs="宋体"/>
          <w:sz w:val="24"/>
          <w:szCs w:val="24"/>
          <w:highlight w:val="none"/>
          <w:u w:val="single"/>
          <w:lang w:eastAsia="zh-CN"/>
        </w:rPr>
        <w:t>2025年7月</w:t>
      </w:r>
      <w:r>
        <w:rPr>
          <w:rFonts w:hint="eastAsia" w:ascii="宋体" w:hAnsi="宋体" w:eastAsia="宋体" w:cs="宋体"/>
          <w:sz w:val="24"/>
          <w:szCs w:val="24"/>
          <w:highlight w:val="none"/>
          <w:u w:val="single"/>
          <w:lang w:val="en-US" w:eastAsia="zh-CN"/>
        </w:rPr>
        <w:t>21</w:t>
      </w:r>
      <w:r>
        <w:rPr>
          <w:rFonts w:hint="eastAsia" w:ascii="宋体" w:hAnsi="宋体" w:eastAsia="宋体" w:cs="宋体"/>
          <w:sz w:val="24"/>
          <w:szCs w:val="24"/>
          <w:highlight w:val="none"/>
          <w:u w:val="single"/>
          <w:lang w:eastAsia="zh-CN"/>
        </w:rPr>
        <w:t>日</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lang w:eastAsia="zh-CN"/>
        </w:rPr>
        <w:t>2025年8月</w:t>
      </w:r>
      <w:r>
        <w:rPr>
          <w:rFonts w:hint="eastAsia" w:ascii="宋体" w:hAnsi="宋体" w:eastAsia="宋体" w:cs="宋体"/>
          <w:sz w:val="24"/>
          <w:szCs w:val="24"/>
          <w:highlight w:val="none"/>
          <w:u w:val="single"/>
          <w:lang w:val="en-US" w:eastAsia="zh-CN"/>
        </w:rPr>
        <w:t>11</w:t>
      </w:r>
      <w:r>
        <w:rPr>
          <w:rFonts w:hint="eastAsia" w:ascii="宋体" w:hAnsi="宋体" w:eastAsia="宋体" w:cs="宋体"/>
          <w:sz w:val="24"/>
          <w:szCs w:val="24"/>
          <w:highlight w:val="none"/>
          <w:u w:val="single"/>
          <w:lang w:eastAsia="zh-CN"/>
        </w:rPr>
        <w:t>日</w:t>
      </w:r>
      <w:r>
        <w:rPr>
          <w:rFonts w:hint="eastAsia" w:ascii="宋体" w:hAnsi="宋体" w:eastAsia="宋体" w:cs="宋体"/>
          <w:iCs/>
          <w:sz w:val="24"/>
          <w:szCs w:val="24"/>
          <w:highlight w:val="none"/>
          <w:u w:val="single"/>
        </w:rPr>
        <w:t>（提供期限自本公告发布之日起不得少于5个工作日）</w:t>
      </w:r>
    </w:p>
    <w:p w14:paraId="6854BAF7">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地点：滁州市公共资源交易中心网</w:t>
      </w:r>
    </w:p>
    <w:p w14:paraId="125EF3D1">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方式：网上下载</w:t>
      </w:r>
    </w:p>
    <w:p w14:paraId="5B037AF6">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售价：0元</w:t>
      </w:r>
    </w:p>
    <w:p w14:paraId="5BB2F990">
      <w:pPr>
        <w:pageBreakBefore w:val="0"/>
        <w:kinsoku/>
        <w:overflowPunct/>
        <w:topLinePunct w:val="0"/>
        <w:bidi w:val="0"/>
        <w:snapToGrid/>
        <w:spacing w:line="360" w:lineRule="auto"/>
        <w:ind w:firstLine="437"/>
        <w:textAlignment w:val="auto"/>
        <w:outlineLvl w:val="1"/>
        <w:rPr>
          <w:rFonts w:hint="eastAsia" w:ascii="宋体" w:hAnsi="宋体" w:eastAsia="宋体" w:cs="宋体"/>
          <w:b/>
          <w:bCs/>
          <w:sz w:val="24"/>
          <w:szCs w:val="24"/>
          <w:highlight w:val="none"/>
        </w:rPr>
      </w:pPr>
      <w:bookmarkStart w:id="18" w:name="_Toc28359082"/>
      <w:bookmarkStart w:id="19" w:name="_Toc28359005"/>
      <w:bookmarkStart w:id="20" w:name="_Toc35393793"/>
      <w:bookmarkStart w:id="21" w:name="_Toc35393624"/>
      <w:bookmarkStart w:id="22" w:name="_Toc18791"/>
      <w:r>
        <w:rPr>
          <w:rFonts w:hint="eastAsia" w:ascii="宋体" w:hAnsi="宋体" w:eastAsia="宋体" w:cs="宋体"/>
          <w:b/>
          <w:bCs/>
          <w:sz w:val="24"/>
          <w:szCs w:val="24"/>
          <w:highlight w:val="none"/>
        </w:rPr>
        <w:t>四、提交投标文件</w:t>
      </w:r>
      <w:bookmarkEnd w:id="18"/>
      <w:bookmarkEnd w:id="19"/>
      <w:r>
        <w:rPr>
          <w:rFonts w:hint="eastAsia" w:ascii="宋体" w:hAnsi="宋体" w:eastAsia="宋体" w:cs="宋体"/>
          <w:b/>
          <w:bCs/>
          <w:sz w:val="24"/>
          <w:szCs w:val="24"/>
          <w:highlight w:val="none"/>
        </w:rPr>
        <w:t>截止时间、开标时间和地点</w:t>
      </w:r>
      <w:bookmarkEnd w:id="20"/>
      <w:bookmarkEnd w:id="21"/>
      <w:bookmarkEnd w:id="22"/>
    </w:p>
    <w:p w14:paraId="06C60789">
      <w:pPr>
        <w:pageBreakBefore w:val="0"/>
        <w:kinsoku/>
        <w:overflowPunct/>
        <w:topLinePunct w:val="0"/>
        <w:bidi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u w:val="single"/>
          <w:lang w:eastAsia="zh-CN"/>
        </w:rPr>
        <w:t>2025年8月</w:t>
      </w:r>
      <w:r>
        <w:rPr>
          <w:rFonts w:hint="eastAsia" w:ascii="宋体" w:hAnsi="宋体" w:eastAsia="宋体" w:cs="宋体"/>
          <w:sz w:val="24"/>
          <w:szCs w:val="24"/>
          <w:highlight w:val="none"/>
          <w:u w:val="single"/>
          <w:lang w:val="en-US" w:eastAsia="zh-CN"/>
        </w:rPr>
        <w:t>11</w:t>
      </w:r>
      <w:r>
        <w:rPr>
          <w:rFonts w:hint="eastAsia" w:ascii="宋体" w:hAnsi="宋体" w:eastAsia="宋体" w:cs="宋体"/>
          <w:sz w:val="24"/>
          <w:szCs w:val="24"/>
          <w:highlight w:val="none"/>
          <w:u w:val="single"/>
          <w:lang w:eastAsia="zh-CN"/>
        </w:rPr>
        <w:t>日</w:t>
      </w:r>
      <w:r>
        <w:rPr>
          <w:rFonts w:hint="eastAsia" w:ascii="宋体" w:hAnsi="宋体" w:eastAsia="宋体" w:cs="宋体"/>
          <w:bCs/>
          <w:sz w:val="24"/>
          <w:szCs w:val="24"/>
          <w:highlight w:val="none"/>
          <w:u w:val="single"/>
        </w:rPr>
        <w:t>08点00分</w:t>
      </w:r>
      <w:r>
        <w:rPr>
          <w:rFonts w:hint="eastAsia" w:ascii="宋体" w:hAnsi="宋体" w:eastAsia="宋体" w:cs="宋体"/>
          <w:bCs/>
          <w:sz w:val="24"/>
          <w:szCs w:val="24"/>
          <w:highlight w:val="none"/>
        </w:rPr>
        <w:t>（北京时间）</w:t>
      </w:r>
      <w:r>
        <w:rPr>
          <w:rFonts w:hint="eastAsia" w:ascii="宋体" w:hAnsi="宋体" w:eastAsia="宋体" w:cs="宋体"/>
          <w:iCs/>
          <w:sz w:val="24"/>
          <w:szCs w:val="24"/>
          <w:highlight w:val="none"/>
          <w:u w:val="single"/>
        </w:rPr>
        <w:t>（自招标文件开始发出之日起至供应商提交投标文件截止之日止，不得少于20日）</w:t>
      </w:r>
    </w:p>
    <w:p w14:paraId="6D49C86F">
      <w:pPr>
        <w:pageBreakBefore w:val="0"/>
        <w:kinsoku/>
        <w:overflowPunct/>
        <w:topLinePunct w:val="0"/>
        <w:bidi w:val="0"/>
        <w:snapToGrid/>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地点：</w:t>
      </w:r>
      <w:r>
        <w:rPr>
          <w:rFonts w:hint="eastAsia" w:ascii="宋体" w:hAnsi="宋体" w:eastAsia="宋体" w:cs="宋体"/>
          <w:sz w:val="24"/>
          <w:szCs w:val="24"/>
          <w:highlight w:val="none"/>
        </w:rPr>
        <w:t>滁州市公共资源交易中心网</w:t>
      </w:r>
    </w:p>
    <w:p w14:paraId="0E97FCB7">
      <w:pPr>
        <w:pageBreakBefore w:val="0"/>
        <w:kinsoku/>
        <w:overflowPunct/>
        <w:topLinePunct w:val="0"/>
        <w:bidi w:val="0"/>
        <w:snapToGrid/>
        <w:spacing w:line="360" w:lineRule="auto"/>
        <w:ind w:firstLine="437"/>
        <w:textAlignment w:val="auto"/>
        <w:outlineLvl w:val="1"/>
        <w:rPr>
          <w:rFonts w:hint="eastAsia" w:ascii="宋体" w:hAnsi="宋体" w:eastAsia="宋体" w:cs="宋体"/>
          <w:b/>
          <w:bCs/>
          <w:sz w:val="24"/>
          <w:szCs w:val="24"/>
          <w:highlight w:val="none"/>
        </w:rPr>
      </w:pPr>
      <w:bookmarkStart w:id="23" w:name="_Toc35393794"/>
      <w:bookmarkStart w:id="24" w:name="_Toc35393625"/>
      <w:bookmarkStart w:id="25" w:name="_Toc28359007"/>
      <w:bookmarkStart w:id="26" w:name="_Toc28359084"/>
      <w:bookmarkStart w:id="27" w:name="_Toc14464"/>
      <w:r>
        <w:rPr>
          <w:rFonts w:hint="eastAsia" w:ascii="宋体" w:hAnsi="宋体" w:eastAsia="宋体" w:cs="宋体"/>
          <w:b/>
          <w:bCs/>
          <w:sz w:val="24"/>
          <w:szCs w:val="24"/>
          <w:highlight w:val="none"/>
        </w:rPr>
        <w:t>五、公告期限</w:t>
      </w:r>
      <w:bookmarkEnd w:id="23"/>
      <w:bookmarkEnd w:id="24"/>
      <w:bookmarkEnd w:id="25"/>
      <w:bookmarkEnd w:id="26"/>
      <w:bookmarkEnd w:id="27"/>
    </w:p>
    <w:p w14:paraId="08E66F8F">
      <w:pPr>
        <w:pageBreakBefore w:val="0"/>
        <w:kinsoku/>
        <w:overflowPunct/>
        <w:topLinePunct w:val="0"/>
        <w:bidi w:val="0"/>
        <w:snapToGrid/>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自本公告发布之日起5个工作日。</w:t>
      </w:r>
    </w:p>
    <w:p w14:paraId="69A40173">
      <w:pPr>
        <w:pageBreakBefore w:val="0"/>
        <w:kinsoku/>
        <w:overflowPunct/>
        <w:topLinePunct w:val="0"/>
        <w:bidi w:val="0"/>
        <w:snapToGrid/>
        <w:spacing w:line="360" w:lineRule="auto"/>
        <w:ind w:firstLine="437"/>
        <w:textAlignment w:val="auto"/>
        <w:outlineLvl w:val="1"/>
        <w:rPr>
          <w:rFonts w:hint="eastAsia" w:ascii="宋体" w:hAnsi="宋体" w:eastAsia="宋体" w:cs="宋体"/>
          <w:b/>
          <w:bCs/>
          <w:sz w:val="24"/>
          <w:szCs w:val="24"/>
          <w:highlight w:val="none"/>
        </w:rPr>
      </w:pPr>
      <w:bookmarkStart w:id="28" w:name="_Toc24565"/>
      <w:r>
        <w:rPr>
          <w:rFonts w:hint="eastAsia" w:ascii="宋体" w:hAnsi="宋体" w:eastAsia="宋体" w:cs="宋体"/>
          <w:b/>
          <w:bCs/>
          <w:sz w:val="24"/>
          <w:szCs w:val="24"/>
          <w:highlight w:val="none"/>
        </w:rPr>
        <w:t>六、投标保证金金额及缴纳账户</w:t>
      </w:r>
      <w:bookmarkEnd w:id="28"/>
    </w:p>
    <w:p w14:paraId="27C1E764">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bookmarkStart w:id="29" w:name="_Toc35393626"/>
      <w:bookmarkStart w:id="30" w:name="_Toc35393795"/>
      <w:r>
        <w:rPr>
          <w:rFonts w:hint="eastAsia" w:ascii="宋体" w:hAnsi="宋体" w:eastAsia="宋体" w:cs="宋体"/>
          <w:sz w:val="24"/>
          <w:szCs w:val="24"/>
          <w:highlight w:val="none"/>
        </w:rPr>
        <w:t>是否要求投标人提交投标保证金：不要求。</w:t>
      </w:r>
    </w:p>
    <w:p w14:paraId="2E6F842E">
      <w:pPr>
        <w:pageBreakBefore w:val="0"/>
        <w:kinsoku/>
        <w:overflowPunct/>
        <w:topLinePunct w:val="0"/>
        <w:bidi w:val="0"/>
        <w:snapToGrid/>
        <w:spacing w:line="360" w:lineRule="auto"/>
        <w:ind w:firstLine="437"/>
        <w:textAlignment w:val="auto"/>
        <w:outlineLvl w:val="1"/>
        <w:rPr>
          <w:rFonts w:hint="eastAsia" w:ascii="宋体" w:hAnsi="宋体" w:eastAsia="宋体" w:cs="宋体"/>
          <w:b/>
          <w:bCs/>
          <w:sz w:val="24"/>
          <w:szCs w:val="24"/>
          <w:highlight w:val="none"/>
        </w:rPr>
      </w:pPr>
      <w:bookmarkStart w:id="31" w:name="_Toc4931"/>
      <w:r>
        <w:rPr>
          <w:rFonts w:hint="eastAsia" w:ascii="宋体" w:hAnsi="宋体" w:eastAsia="宋体" w:cs="宋体"/>
          <w:b/>
          <w:bCs/>
          <w:sz w:val="24"/>
          <w:szCs w:val="24"/>
          <w:highlight w:val="none"/>
        </w:rPr>
        <w:t>七、其他补充事宜</w:t>
      </w:r>
      <w:bookmarkEnd w:id="29"/>
      <w:bookmarkEnd w:id="30"/>
      <w:bookmarkEnd w:id="31"/>
    </w:p>
    <w:p w14:paraId="25D4D1ED">
      <w:pPr>
        <w:pageBreakBefore w:val="0"/>
        <w:kinsoku/>
        <w:wordWrap w:val="0"/>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w:t>
      </w:r>
    </w:p>
    <w:p w14:paraId="5967F04D">
      <w:pPr>
        <w:pageBreakBefore w:val="0"/>
        <w:kinsoku/>
        <w:wordWrap w:val="0"/>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相关服务电话：①安徽省公共资源交易市场主体库使用相关问题（系统登录、信息登记、录入及提交、数字证书关联等）：010-86483801转5-2；②CA数字证书有关问题：安徽CA客服400-880-4959、0550-3019013（工作日），CFCA客服025-66085508 、0550-3801669（工作日）；③市场主体招标环节和投标环节系统使用问题：400-998-0000（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2C365DD2">
      <w:pPr>
        <w:pageBreakBefore w:val="0"/>
        <w:kinsoku/>
        <w:wordWrap w:val="0"/>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2.请投标人登录滁州市公共资源交易中心网站查看参加本项目的程序（具体操作步骤和程序请参见服务指南&lt;交易须知&gt;投标人填写投标信息、下载文件及网上提问操作手册）。</w:t>
      </w:r>
    </w:p>
    <w:p w14:paraId="0D079F12">
      <w:pPr>
        <w:pageBreakBefore w:val="0"/>
        <w:kinsoku/>
        <w:wordWrap w:val="0"/>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以本项目网上招投标系统解密倒计时为准，至完成投标文件解密时间，不得超过60分钟，否则投标文件将被拒绝。</w:t>
      </w:r>
    </w:p>
    <w:p w14:paraId="5F4F282D">
      <w:pPr>
        <w:pageBreakBefore w:val="0"/>
        <w:kinsoku/>
        <w:wordWrap w:val="0"/>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投标人接到远程解密指令后，须在规定时间内解密。因投标人自身原因导致投标文件在规定时间内未能解密、解密失败或解密超时，投标文件无效；因采购代理机构原因或网上平台发生故障，导致无法按时完成投标文件解密的，经采购代理机构申请后可延迟解密时间。</w:t>
      </w:r>
    </w:p>
    <w:p w14:paraId="7F400EB3">
      <w:pPr>
        <w:pageBreakBefore w:val="0"/>
        <w:kinsoku/>
        <w:overflowPunct/>
        <w:topLinePunct w:val="0"/>
        <w:bidi w:val="0"/>
        <w:snapToGrid/>
        <w:spacing w:line="360" w:lineRule="auto"/>
        <w:ind w:firstLine="437"/>
        <w:textAlignment w:val="auto"/>
        <w:outlineLvl w:val="1"/>
        <w:rPr>
          <w:rFonts w:hint="eastAsia" w:ascii="宋体" w:hAnsi="宋体" w:eastAsia="宋体" w:cs="宋体"/>
          <w:b/>
          <w:bCs/>
          <w:sz w:val="24"/>
          <w:szCs w:val="24"/>
          <w:highlight w:val="none"/>
        </w:rPr>
      </w:pPr>
      <w:bookmarkStart w:id="32" w:name="_Toc9350"/>
      <w:r>
        <w:rPr>
          <w:rFonts w:hint="eastAsia" w:ascii="宋体" w:hAnsi="宋体" w:eastAsia="宋体" w:cs="宋体"/>
          <w:b/>
          <w:bCs/>
          <w:sz w:val="24"/>
          <w:szCs w:val="24"/>
          <w:highlight w:val="none"/>
        </w:rPr>
        <w:t>八、对本次招标提出询问，请按以下方式联系</w:t>
      </w:r>
      <w:bookmarkEnd w:id="32"/>
    </w:p>
    <w:p w14:paraId="1BC9FD5C">
      <w:pPr>
        <w:pageBreakBefore w:val="0"/>
        <w:widowControl/>
        <w:kinsoku/>
        <w:overflowPunct/>
        <w:topLinePunct w:val="0"/>
        <w:bidi w:val="0"/>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14:paraId="629FCD6D">
      <w:pPr>
        <w:pageBreakBefore w:val="0"/>
        <w:kinsoku/>
        <w:overflowPunct/>
        <w:topLinePunct w:val="0"/>
        <w:bidi w:val="0"/>
        <w:snapToGrid/>
        <w:spacing w:line="360" w:lineRule="auto"/>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u w:val="single"/>
          <w:lang w:eastAsia="zh-CN"/>
        </w:rPr>
        <w:t>滁州市公路管理服务中心</w:t>
      </w:r>
    </w:p>
    <w:p w14:paraId="5447D659">
      <w:pPr>
        <w:pageBreakBefore w:val="0"/>
        <w:kinsoku/>
        <w:overflowPunct/>
        <w:topLinePunct w:val="0"/>
        <w:bidi w:val="0"/>
        <w:snapToGrid/>
        <w:spacing w:line="360" w:lineRule="auto"/>
        <w:ind w:firstLine="480" w:firstLineChars="200"/>
        <w:jc w:val="left"/>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lang w:eastAsia="zh-CN"/>
        </w:rPr>
        <w:t>滁州市龙蟠大道200号</w:t>
      </w:r>
    </w:p>
    <w:p w14:paraId="063FF7C0">
      <w:pPr>
        <w:pageBreakBefore w:val="0"/>
        <w:kinsoku/>
        <w:overflowPunct/>
        <w:topLinePunct w:val="0"/>
        <w:bidi w:val="0"/>
        <w:snapToGrid/>
        <w:spacing w:line="360" w:lineRule="auto"/>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single"/>
          <w:lang w:eastAsia="zh-CN"/>
        </w:rPr>
        <w:t>陆艳</w:t>
      </w:r>
    </w:p>
    <w:p w14:paraId="41BD72AF">
      <w:pPr>
        <w:pageBreakBefore w:val="0"/>
        <w:kinsoku/>
        <w:overflowPunct/>
        <w:topLinePunct w:val="0"/>
        <w:bidi w:val="0"/>
        <w:snapToGrid/>
        <w:spacing w:line="360" w:lineRule="auto"/>
        <w:ind w:firstLine="480" w:firstLineChars="200"/>
        <w:jc w:val="left"/>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u w:val="single"/>
          <w:lang w:eastAsia="zh-CN"/>
        </w:rPr>
        <w:t xml:space="preserve">0550-3218735 </w:t>
      </w:r>
    </w:p>
    <w:p w14:paraId="5A37347A">
      <w:pPr>
        <w:pageBreakBefore w:val="0"/>
        <w:kinsoku/>
        <w:overflowPunct/>
        <w:topLinePunct w:val="0"/>
        <w:bidi w:val="0"/>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w:t>
      </w:r>
    </w:p>
    <w:p w14:paraId="7F2F02CD">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u w:val="single"/>
        </w:rPr>
        <w:t>滁州市城投工程咨询管理有限公司</w:t>
      </w:r>
    </w:p>
    <w:p w14:paraId="60E9D7E2">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滁州市龙蟠大道109号房产大厦6楼</w:t>
      </w:r>
    </w:p>
    <w:p w14:paraId="01A8FAC9">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single"/>
          <w:lang w:eastAsia="zh-CN"/>
        </w:rPr>
        <w:t>曹思敏</w:t>
      </w:r>
    </w:p>
    <w:p w14:paraId="2376F7CD">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u w:val="single"/>
          <w:lang w:eastAsia="zh-CN"/>
        </w:rPr>
        <w:t>0550-3519516、18712012204</w:t>
      </w:r>
    </w:p>
    <w:p w14:paraId="42AA9DFF">
      <w:pPr>
        <w:pageBreakBefore w:val="0"/>
        <w:widowControl/>
        <w:kinsoku/>
        <w:overflowPunct/>
        <w:topLinePunct w:val="0"/>
        <w:bidi w:val="0"/>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3.政府采购监督管理部门信息</w:t>
      </w:r>
    </w:p>
    <w:p w14:paraId="60639403">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u w:val="single"/>
        </w:rPr>
        <w:t>滁州市公共资源交易监督管理局</w:t>
      </w:r>
    </w:p>
    <w:p w14:paraId="5718632B">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滁州市龙蟠大道109号房产大厦三楼</w:t>
      </w:r>
    </w:p>
    <w:p w14:paraId="4396A1AA">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u w:val="single"/>
        </w:rPr>
        <w:t>0550-3801656</w:t>
      </w:r>
    </w:p>
    <w:p w14:paraId="055BBD7C">
      <w:pPr>
        <w:ind w:firstLine="480" w:firstLineChars="200"/>
        <w:jc w:val="left"/>
        <w:rPr>
          <w:rFonts w:hint="eastAsia" w:ascii="宋体" w:hAnsi="宋体" w:eastAsia="宋体" w:cs="宋体"/>
          <w:color w:val="0000FF"/>
          <w:sz w:val="24"/>
          <w:szCs w:val="18"/>
          <w:highlight w:val="none"/>
          <w:u w:val="single"/>
        </w:rPr>
      </w:pPr>
    </w:p>
    <w:p w14:paraId="193E16EE">
      <w:pPr>
        <w:ind w:firstLine="480" w:firstLineChars="200"/>
        <w:jc w:val="left"/>
        <w:rPr>
          <w:rFonts w:hint="eastAsia" w:ascii="宋体" w:hAnsi="宋体" w:eastAsia="宋体" w:cs="宋体"/>
          <w:sz w:val="24"/>
          <w:szCs w:val="18"/>
          <w:highlight w:val="none"/>
        </w:rPr>
      </w:pPr>
      <w:r>
        <w:rPr>
          <w:rFonts w:hint="eastAsia" w:ascii="宋体" w:hAnsi="宋体" w:eastAsia="宋体" w:cs="宋体"/>
          <w:sz w:val="24"/>
          <w:szCs w:val="18"/>
          <w:highlight w:val="none"/>
        </w:rPr>
        <w:br w:type="page"/>
      </w:r>
    </w:p>
    <w:p w14:paraId="520A13A1">
      <w:pPr>
        <w:spacing w:line="360" w:lineRule="auto"/>
        <w:jc w:val="center"/>
        <w:outlineLvl w:val="0"/>
        <w:rPr>
          <w:rFonts w:hint="eastAsia" w:ascii="宋体" w:hAnsi="宋体" w:eastAsia="宋体" w:cs="宋体"/>
          <w:b/>
          <w:sz w:val="28"/>
          <w:highlight w:val="none"/>
        </w:rPr>
      </w:pPr>
      <w:bookmarkStart w:id="33" w:name="_Toc13994"/>
      <w:r>
        <w:rPr>
          <w:rFonts w:hint="eastAsia" w:ascii="宋体" w:hAnsi="宋体" w:eastAsia="宋体" w:cs="宋体"/>
          <w:b/>
          <w:sz w:val="28"/>
          <w:highlight w:val="none"/>
        </w:rPr>
        <w:t>第二章  投标人须知</w:t>
      </w:r>
      <w:bookmarkEnd w:id="33"/>
    </w:p>
    <w:p w14:paraId="3DF411CE">
      <w:pPr>
        <w:spacing w:line="360" w:lineRule="auto"/>
        <w:jc w:val="center"/>
        <w:outlineLvl w:val="1"/>
        <w:rPr>
          <w:rFonts w:hint="eastAsia" w:ascii="宋体" w:hAnsi="宋体" w:eastAsia="宋体" w:cs="宋体"/>
          <w:b/>
          <w:sz w:val="24"/>
          <w:highlight w:val="none"/>
        </w:rPr>
      </w:pPr>
      <w:bookmarkStart w:id="34" w:name="_Toc6177"/>
      <w:bookmarkStart w:id="35" w:name="_Toc13589"/>
      <w:bookmarkStart w:id="36" w:name="_Toc7178"/>
      <w:r>
        <w:rPr>
          <w:rFonts w:hint="eastAsia" w:ascii="宋体" w:hAnsi="宋体" w:eastAsia="宋体" w:cs="宋体"/>
          <w:b/>
          <w:sz w:val="24"/>
          <w:highlight w:val="none"/>
        </w:rPr>
        <w:t>一、投标人须知前附表</w:t>
      </w:r>
      <w:bookmarkEnd w:id="34"/>
      <w:bookmarkEnd w:id="35"/>
      <w:bookmarkEnd w:id="36"/>
    </w:p>
    <w:p w14:paraId="0AE9F5B2">
      <w:pPr>
        <w:spacing w:line="360" w:lineRule="auto"/>
        <w:ind w:firstLine="435"/>
        <w:rPr>
          <w:rFonts w:hint="eastAsia" w:ascii="宋体" w:hAnsi="宋体" w:eastAsia="宋体" w:cs="宋体"/>
          <w:sz w:val="24"/>
          <w:szCs w:val="18"/>
          <w:highlight w:val="none"/>
        </w:rPr>
      </w:pPr>
      <w:r>
        <w:rPr>
          <w:rFonts w:hint="eastAsia" w:ascii="宋体" w:hAnsi="宋体" w:eastAsia="宋体" w:cs="宋体"/>
          <w:b/>
          <w:bCs/>
          <w:sz w:val="24"/>
          <w:szCs w:val="18"/>
          <w:highlight w:val="none"/>
        </w:rPr>
        <w:t>注：</w:t>
      </w:r>
      <w:r>
        <w:rPr>
          <w:rFonts w:hint="eastAsia" w:ascii="宋体" w:hAnsi="宋体" w:eastAsia="宋体" w:cs="宋体"/>
          <w:sz w:val="24"/>
          <w:szCs w:val="18"/>
          <w:highlight w:val="none"/>
        </w:rPr>
        <w:t>本表是本项目的具体要求，是对投标人须知的具体补充和修改，如有不一致，以本表为准。</w:t>
      </w:r>
    </w:p>
    <w:tbl>
      <w:tblPr>
        <w:tblStyle w:val="28"/>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2033"/>
        <w:gridCol w:w="5621"/>
      </w:tblGrid>
      <w:tr w14:paraId="5ABA3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4057A7B6">
            <w:pPr>
              <w:pStyle w:val="47"/>
              <w:widowControl w:val="0"/>
              <w:spacing w:before="0" w:beforeAutospacing="0" w:after="0" w:afterAutospacing="0" w:line="440" w:lineRule="exact"/>
              <w:rPr>
                <w:rFonts w:hint="eastAsia" w:ascii="宋体" w:hAnsi="宋体" w:eastAsia="宋体" w:cs="宋体"/>
                <w:bCs w:val="0"/>
                <w:kern w:val="2"/>
                <w:sz w:val="24"/>
                <w:szCs w:val="20"/>
                <w:highlight w:val="none"/>
              </w:rPr>
            </w:pPr>
            <w:r>
              <w:rPr>
                <w:rFonts w:hint="eastAsia" w:ascii="宋体" w:hAnsi="宋体" w:eastAsia="宋体" w:cs="宋体"/>
                <w:bCs w:val="0"/>
                <w:kern w:val="2"/>
                <w:sz w:val="24"/>
                <w:szCs w:val="20"/>
                <w:highlight w:val="none"/>
              </w:rPr>
              <w:t>条款号</w:t>
            </w:r>
          </w:p>
        </w:tc>
        <w:tc>
          <w:tcPr>
            <w:tcW w:w="1174" w:type="pct"/>
            <w:vAlign w:val="center"/>
          </w:tcPr>
          <w:p w14:paraId="3A2CD178">
            <w:pPr>
              <w:pStyle w:val="47"/>
              <w:widowControl w:val="0"/>
              <w:spacing w:before="0" w:beforeAutospacing="0" w:after="0" w:afterAutospacing="0" w:line="440" w:lineRule="exact"/>
              <w:rPr>
                <w:rFonts w:hint="eastAsia" w:ascii="宋体" w:hAnsi="宋体" w:eastAsia="宋体" w:cs="宋体"/>
                <w:bCs w:val="0"/>
                <w:kern w:val="2"/>
                <w:sz w:val="24"/>
                <w:szCs w:val="20"/>
                <w:highlight w:val="none"/>
              </w:rPr>
            </w:pPr>
            <w:r>
              <w:rPr>
                <w:rFonts w:hint="eastAsia" w:ascii="宋体" w:hAnsi="宋体" w:eastAsia="宋体" w:cs="宋体"/>
                <w:bCs w:val="0"/>
                <w:kern w:val="2"/>
                <w:sz w:val="24"/>
                <w:szCs w:val="20"/>
                <w:highlight w:val="none"/>
              </w:rPr>
              <w:t>条款名称</w:t>
            </w:r>
          </w:p>
        </w:tc>
        <w:tc>
          <w:tcPr>
            <w:tcW w:w="3246" w:type="pct"/>
            <w:vAlign w:val="center"/>
          </w:tcPr>
          <w:p w14:paraId="276CCF90">
            <w:pPr>
              <w:pStyle w:val="47"/>
              <w:widowControl w:val="0"/>
              <w:spacing w:before="0" w:beforeAutospacing="0" w:after="0" w:afterAutospacing="0" w:line="440" w:lineRule="exact"/>
              <w:rPr>
                <w:rFonts w:hint="eastAsia" w:ascii="宋体" w:hAnsi="宋体" w:eastAsia="宋体" w:cs="宋体"/>
                <w:bCs w:val="0"/>
                <w:kern w:val="2"/>
                <w:sz w:val="24"/>
                <w:szCs w:val="20"/>
                <w:highlight w:val="none"/>
              </w:rPr>
            </w:pPr>
            <w:r>
              <w:rPr>
                <w:rFonts w:hint="eastAsia" w:ascii="宋体" w:hAnsi="宋体" w:eastAsia="宋体" w:cs="宋体"/>
                <w:bCs w:val="0"/>
                <w:kern w:val="2"/>
                <w:sz w:val="24"/>
                <w:szCs w:val="20"/>
                <w:highlight w:val="none"/>
              </w:rPr>
              <w:t>内容、说明与要求</w:t>
            </w:r>
          </w:p>
        </w:tc>
      </w:tr>
      <w:tr w14:paraId="052DF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50E2EA97">
            <w:pPr>
              <w:pStyle w:val="48"/>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5.2</w:t>
            </w:r>
          </w:p>
        </w:tc>
        <w:tc>
          <w:tcPr>
            <w:tcW w:w="1174" w:type="pct"/>
            <w:vAlign w:val="center"/>
          </w:tcPr>
          <w:p w14:paraId="6AF4AF25">
            <w:pPr>
              <w:pStyle w:val="47"/>
              <w:widowControl w:val="0"/>
              <w:spacing w:before="0" w:beforeAutospacing="0" w:after="0" w:afterAutospacing="0" w:line="440" w:lineRule="exact"/>
              <w:jc w:val="left"/>
              <w:rPr>
                <w:rFonts w:hint="eastAsia" w:ascii="宋体" w:hAnsi="宋体" w:eastAsia="宋体" w:cs="宋体"/>
                <w:b w:val="0"/>
                <w:sz w:val="24"/>
                <w:highlight w:val="none"/>
              </w:rPr>
            </w:pPr>
            <w:r>
              <w:rPr>
                <w:rFonts w:hint="eastAsia" w:ascii="宋体" w:hAnsi="宋体" w:eastAsia="宋体" w:cs="宋体"/>
                <w:b w:val="0"/>
                <w:kern w:val="2"/>
                <w:sz w:val="24"/>
                <w:szCs w:val="22"/>
                <w:highlight w:val="none"/>
              </w:rPr>
              <w:t>现场考察或标前答疑会</w:t>
            </w:r>
          </w:p>
        </w:tc>
        <w:tc>
          <w:tcPr>
            <w:tcW w:w="3246" w:type="pct"/>
            <w:vAlign w:val="center"/>
          </w:tcPr>
          <w:p w14:paraId="1ACC0E7D">
            <w:pPr>
              <w:spacing w:line="440" w:lineRule="exact"/>
              <w:rPr>
                <w:rFonts w:hint="eastAsia" w:ascii="宋体" w:hAnsi="宋体" w:eastAsia="宋体" w:cs="宋体"/>
                <w:bCs/>
                <w:sz w:val="24"/>
                <w:highlight w:val="none"/>
              </w:rPr>
            </w:pPr>
            <w:r>
              <w:rPr>
                <w:rFonts w:hint="eastAsia" w:ascii="宋体" w:hAnsi="宋体" w:eastAsia="宋体" w:cs="宋体"/>
                <w:bCs/>
                <w:sz w:val="24"/>
                <w:szCs w:val="24"/>
                <w:highlight w:val="none"/>
              </w:rPr>
              <w:t>☑</w:t>
            </w:r>
            <w:r>
              <w:rPr>
                <w:rFonts w:hint="eastAsia" w:ascii="宋体" w:hAnsi="宋体" w:eastAsia="宋体" w:cs="宋体"/>
                <w:sz w:val="24"/>
                <w:highlight w:val="none"/>
              </w:rPr>
              <w:t>不组织或不召开</w:t>
            </w:r>
          </w:p>
          <w:p w14:paraId="36DD95A2">
            <w:pPr>
              <w:spacing w:line="440" w:lineRule="exact"/>
              <w:rPr>
                <w:rFonts w:hint="eastAsia" w:ascii="宋体" w:hAnsi="宋体" w:eastAsia="宋体" w:cs="宋体"/>
                <w:bCs/>
                <w:sz w:val="24"/>
                <w:highlight w:val="none"/>
              </w:rPr>
            </w:pPr>
            <w:r>
              <w:rPr>
                <w:rFonts w:hint="eastAsia" w:ascii="宋体" w:hAnsi="宋体" w:eastAsia="宋体" w:cs="宋体"/>
                <w:sz w:val="24"/>
                <w:highlight w:val="none"/>
              </w:rPr>
              <w:t>□</w:t>
            </w:r>
            <w:r>
              <w:rPr>
                <w:rFonts w:hint="eastAsia" w:ascii="宋体" w:hAnsi="宋体" w:eastAsia="宋体" w:cs="宋体"/>
                <w:bCs/>
                <w:sz w:val="24"/>
                <w:highlight w:val="none"/>
              </w:rPr>
              <w:t>统一组织或统一召开</w:t>
            </w:r>
          </w:p>
          <w:p w14:paraId="51DC761D">
            <w:pPr>
              <w:spacing w:line="440" w:lineRule="exact"/>
              <w:rPr>
                <w:rFonts w:hint="eastAsia" w:ascii="宋体" w:hAnsi="宋体" w:eastAsia="宋体" w:cs="宋体"/>
                <w:bCs/>
                <w:sz w:val="24"/>
                <w:highlight w:val="none"/>
                <w:u w:val="single"/>
              </w:rPr>
            </w:pPr>
            <w:r>
              <w:rPr>
                <w:rFonts w:hint="eastAsia" w:ascii="宋体" w:hAnsi="宋体" w:eastAsia="宋体" w:cs="宋体"/>
                <w:bCs/>
                <w:sz w:val="24"/>
                <w:highlight w:val="none"/>
              </w:rPr>
              <w:t>时间：</w:t>
            </w:r>
            <w:r>
              <w:rPr>
                <w:rFonts w:hint="eastAsia" w:ascii="宋体" w:hAnsi="宋体" w:eastAsia="宋体" w:cs="宋体"/>
                <w:bCs/>
                <w:sz w:val="24"/>
                <w:highlight w:val="none"/>
                <w:u w:val="single"/>
              </w:rPr>
              <w:t>/</w:t>
            </w:r>
            <w:r>
              <w:rPr>
                <w:rFonts w:hint="eastAsia" w:ascii="宋体" w:hAnsi="宋体" w:eastAsia="宋体" w:cs="宋体"/>
                <w:bCs/>
                <w:sz w:val="24"/>
                <w:highlight w:val="none"/>
              </w:rPr>
              <w:t>年</w:t>
            </w:r>
            <w:r>
              <w:rPr>
                <w:rFonts w:hint="eastAsia" w:ascii="宋体" w:hAnsi="宋体" w:eastAsia="宋体" w:cs="宋体"/>
                <w:bCs/>
                <w:sz w:val="24"/>
                <w:highlight w:val="none"/>
                <w:u w:val="single"/>
              </w:rPr>
              <w:t>/</w:t>
            </w:r>
            <w:r>
              <w:rPr>
                <w:rFonts w:hint="eastAsia" w:ascii="宋体" w:hAnsi="宋体" w:eastAsia="宋体" w:cs="宋体"/>
                <w:bCs/>
                <w:sz w:val="24"/>
                <w:highlight w:val="none"/>
              </w:rPr>
              <w:t>月</w:t>
            </w:r>
            <w:r>
              <w:rPr>
                <w:rFonts w:hint="eastAsia" w:ascii="宋体" w:hAnsi="宋体" w:eastAsia="宋体" w:cs="宋体"/>
                <w:bCs/>
                <w:sz w:val="24"/>
                <w:highlight w:val="none"/>
                <w:u w:val="single"/>
              </w:rPr>
              <w:t>/</w:t>
            </w:r>
            <w:r>
              <w:rPr>
                <w:rFonts w:hint="eastAsia" w:ascii="宋体" w:hAnsi="宋体" w:eastAsia="宋体" w:cs="宋体"/>
                <w:bCs/>
                <w:sz w:val="24"/>
                <w:highlight w:val="none"/>
              </w:rPr>
              <w:t>日</w:t>
            </w:r>
            <w:r>
              <w:rPr>
                <w:rFonts w:hint="eastAsia" w:ascii="宋体" w:hAnsi="宋体" w:eastAsia="宋体" w:cs="宋体"/>
                <w:bCs/>
                <w:sz w:val="24"/>
                <w:highlight w:val="none"/>
                <w:u w:val="single"/>
              </w:rPr>
              <w:t>/</w:t>
            </w:r>
            <w:r>
              <w:rPr>
                <w:rFonts w:hint="eastAsia" w:ascii="宋体" w:hAnsi="宋体" w:eastAsia="宋体" w:cs="宋体"/>
                <w:bCs/>
                <w:sz w:val="24"/>
                <w:highlight w:val="none"/>
              </w:rPr>
              <w:t>时</w:t>
            </w:r>
            <w:r>
              <w:rPr>
                <w:rFonts w:hint="eastAsia" w:ascii="宋体" w:hAnsi="宋体" w:eastAsia="宋体" w:cs="宋体"/>
                <w:bCs/>
                <w:sz w:val="24"/>
                <w:highlight w:val="none"/>
                <w:u w:val="single"/>
              </w:rPr>
              <w:t>/</w:t>
            </w:r>
            <w:r>
              <w:rPr>
                <w:rFonts w:hint="eastAsia" w:ascii="宋体" w:hAnsi="宋体" w:eastAsia="宋体" w:cs="宋体"/>
                <w:bCs/>
                <w:sz w:val="24"/>
                <w:highlight w:val="none"/>
              </w:rPr>
              <w:t>分</w:t>
            </w:r>
          </w:p>
          <w:p w14:paraId="0B3239F6">
            <w:pPr>
              <w:spacing w:line="440" w:lineRule="exact"/>
              <w:rPr>
                <w:rFonts w:hint="eastAsia" w:ascii="宋体" w:hAnsi="宋体" w:eastAsia="宋体" w:cs="宋体"/>
                <w:bCs/>
                <w:sz w:val="24"/>
                <w:highlight w:val="none"/>
                <w:u w:val="single"/>
              </w:rPr>
            </w:pPr>
            <w:r>
              <w:rPr>
                <w:rFonts w:hint="eastAsia" w:ascii="宋体" w:hAnsi="宋体" w:eastAsia="宋体" w:cs="宋体"/>
                <w:bCs/>
                <w:sz w:val="24"/>
                <w:highlight w:val="none"/>
              </w:rPr>
              <w:t>地点：</w:t>
            </w:r>
            <w:r>
              <w:rPr>
                <w:rFonts w:hint="eastAsia" w:ascii="宋体" w:hAnsi="宋体" w:eastAsia="宋体" w:cs="宋体"/>
                <w:bCs/>
                <w:sz w:val="24"/>
                <w:highlight w:val="none"/>
                <w:u w:val="single"/>
              </w:rPr>
              <w:t>/</w:t>
            </w:r>
          </w:p>
          <w:p w14:paraId="7DB66211">
            <w:pPr>
              <w:spacing w:line="440" w:lineRule="exact"/>
              <w:rPr>
                <w:rFonts w:hint="eastAsia" w:ascii="宋体" w:hAnsi="宋体" w:eastAsia="宋体" w:cs="宋体"/>
                <w:bCs/>
                <w:sz w:val="24"/>
                <w:highlight w:val="none"/>
                <w:u w:val="single"/>
              </w:rPr>
            </w:pPr>
            <w:r>
              <w:rPr>
                <w:rFonts w:hint="eastAsia" w:ascii="宋体" w:hAnsi="宋体" w:eastAsia="宋体" w:cs="宋体"/>
                <w:bCs/>
                <w:sz w:val="24"/>
                <w:highlight w:val="none"/>
              </w:rPr>
              <w:t>联系人及联系电话：</w:t>
            </w:r>
            <w:r>
              <w:rPr>
                <w:rFonts w:hint="eastAsia" w:ascii="宋体" w:hAnsi="宋体" w:eastAsia="宋体" w:cs="宋体"/>
                <w:bCs/>
                <w:sz w:val="24"/>
                <w:highlight w:val="none"/>
                <w:u w:val="single"/>
              </w:rPr>
              <w:t xml:space="preserve">/ </w:t>
            </w:r>
          </w:p>
          <w:p w14:paraId="2CE8EB7D">
            <w:pPr>
              <w:pStyle w:val="47"/>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Cs w:val="0"/>
                <w:sz w:val="24"/>
                <w:highlight w:val="none"/>
              </w:rPr>
              <w:t>注：如投标人未参加采购人统一组织的现场考察或采购人统一召开的标前答疑会，视同放弃现场考察或标前答疑会，由此引起的一切责任由投标人自行承担。</w:t>
            </w:r>
          </w:p>
        </w:tc>
      </w:tr>
      <w:tr w14:paraId="3354E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176ECC46">
            <w:pPr>
              <w:pStyle w:val="48"/>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6.1</w:t>
            </w:r>
          </w:p>
        </w:tc>
        <w:tc>
          <w:tcPr>
            <w:tcW w:w="1174" w:type="pct"/>
            <w:vAlign w:val="center"/>
          </w:tcPr>
          <w:p w14:paraId="10031B52">
            <w:pPr>
              <w:pStyle w:val="47"/>
              <w:widowControl w:val="0"/>
              <w:spacing w:before="0" w:beforeAutospacing="0" w:after="0" w:afterAutospacing="0" w:line="440" w:lineRule="exact"/>
              <w:jc w:val="left"/>
              <w:rPr>
                <w:rFonts w:hint="eastAsia" w:ascii="宋体" w:hAnsi="宋体" w:eastAsia="宋体" w:cs="宋体"/>
                <w:b w:val="0"/>
                <w:color w:val="0000FF"/>
                <w:sz w:val="24"/>
                <w:highlight w:val="none"/>
              </w:rPr>
            </w:pPr>
            <w:r>
              <w:rPr>
                <w:rFonts w:hint="eastAsia" w:ascii="宋体" w:hAnsi="宋体" w:eastAsia="宋体" w:cs="宋体"/>
                <w:b w:val="0"/>
                <w:bCs w:val="0"/>
                <w:color w:val="000000"/>
                <w:sz w:val="24"/>
                <w:szCs w:val="24"/>
                <w:highlight w:val="none"/>
                <w:lang w:bidi="ar"/>
              </w:rPr>
              <w:t>网上询问截止时间</w:t>
            </w:r>
          </w:p>
        </w:tc>
        <w:tc>
          <w:tcPr>
            <w:tcW w:w="3246" w:type="pct"/>
            <w:vAlign w:val="center"/>
          </w:tcPr>
          <w:p w14:paraId="2EDAE4E4">
            <w:pPr>
              <w:widowControl/>
              <w:spacing w:line="440" w:lineRule="exact"/>
              <w:jc w:val="left"/>
              <w:rPr>
                <w:rFonts w:hint="eastAsia" w:ascii="宋体" w:hAnsi="宋体" w:eastAsia="宋体" w:cs="宋体"/>
                <w:color w:val="0000FF"/>
                <w:sz w:val="24"/>
                <w:highlight w:val="none"/>
              </w:rPr>
            </w:pPr>
            <w:r>
              <w:rPr>
                <w:rFonts w:hint="eastAsia" w:ascii="宋体" w:hAnsi="宋体" w:eastAsia="宋体" w:cs="宋体"/>
                <w:sz w:val="24"/>
                <w:highlight w:val="none"/>
                <w:u w:val="single"/>
                <w:lang w:eastAsia="zh-CN"/>
              </w:rPr>
              <w:t>2025年</w:t>
            </w:r>
            <w:r>
              <w:rPr>
                <w:rFonts w:hint="eastAsia" w:ascii="宋体" w:hAnsi="宋体" w:eastAsia="宋体" w:cs="宋体"/>
                <w:sz w:val="24"/>
                <w:highlight w:val="none"/>
                <w:u w:val="single"/>
                <w:lang w:val="en-US" w:eastAsia="zh-CN"/>
              </w:rPr>
              <w:t>7</w:t>
            </w:r>
            <w:r>
              <w:rPr>
                <w:rFonts w:hint="eastAsia" w:ascii="宋体" w:hAnsi="宋体" w:eastAsia="宋体" w:cs="宋体"/>
                <w:sz w:val="24"/>
                <w:highlight w:val="none"/>
                <w:u w:val="single"/>
                <w:lang w:eastAsia="zh-CN"/>
              </w:rPr>
              <w:t>月</w:t>
            </w:r>
            <w:r>
              <w:rPr>
                <w:rFonts w:hint="eastAsia" w:ascii="宋体" w:hAnsi="宋体" w:eastAsia="宋体" w:cs="宋体"/>
                <w:sz w:val="24"/>
                <w:highlight w:val="none"/>
                <w:u w:val="single"/>
                <w:lang w:val="en-US" w:eastAsia="zh-CN"/>
              </w:rPr>
              <w:t>28</w:t>
            </w:r>
            <w:r>
              <w:rPr>
                <w:rFonts w:hint="eastAsia" w:ascii="宋体" w:hAnsi="宋体" w:eastAsia="宋体" w:cs="宋体"/>
                <w:sz w:val="24"/>
                <w:highlight w:val="none"/>
                <w:u w:val="single"/>
                <w:lang w:eastAsia="zh-CN"/>
              </w:rPr>
              <w:t>日</w:t>
            </w:r>
            <w:r>
              <w:rPr>
                <w:rFonts w:hint="eastAsia" w:ascii="宋体" w:hAnsi="宋体" w:eastAsia="宋体" w:cs="宋体"/>
                <w:sz w:val="24"/>
                <w:highlight w:val="none"/>
                <w:u w:val="single"/>
              </w:rPr>
              <w:t>17</w:t>
            </w:r>
            <w:r>
              <w:rPr>
                <w:rFonts w:hint="eastAsia" w:ascii="宋体" w:hAnsi="宋体" w:eastAsia="宋体" w:cs="宋体"/>
                <w:sz w:val="24"/>
                <w:highlight w:val="none"/>
              </w:rPr>
              <w:t>时</w:t>
            </w:r>
            <w:r>
              <w:rPr>
                <w:rFonts w:hint="eastAsia" w:ascii="宋体" w:hAnsi="宋体" w:eastAsia="宋体" w:cs="宋体"/>
                <w:sz w:val="24"/>
                <w:highlight w:val="none"/>
                <w:u w:val="single"/>
              </w:rPr>
              <w:t>30</w:t>
            </w:r>
            <w:r>
              <w:rPr>
                <w:rFonts w:hint="eastAsia" w:ascii="宋体" w:hAnsi="宋体" w:eastAsia="宋体" w:cs="宋体"/>
                <w:sz w:val="24"/>
                <w:highlight w:val="none"/>
              </w:rPr>
              <w:t>分</w:t>
            </w:r>
          </w:p>
        </w:tc>
      </w:tr>
      <w:tr w14:paraId="32B6A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3701A626">
            <w:pPr>
              <w:pStyle w:val="48"/>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7.1</w:t>
            </w:r>
          </w:p>
        </w:tc>
        <w:tc>
          <w:tcPr>
            <w:tcW w:w="1174" w:type="pct"/>
            <w:vAlign w:val="center"/>
          </w:tcPr>
          <w:p w14:paraId="63E50A7C">
            <w:pPr>
              <w:pStyle w:val="47"/>
              <w:widowControl w:val="0"/>
              <w:spacing w:before="0" w:beforeAutospacing="0" w:after="0" w:afterAutospacing="0" w:line="440" w:lineRule="exact"/>
              <w:jc w:val="left"/>
              <w:rPr>
                <w:rFonts w:hint="eastAsia" w:ascii="宋体" w:hAnsi="宋体" w:eastAsia="宋体" w:cs="宋体"/>
                <w:b w:val="0"/>
                <w:sz w:val="24"/>
                <w:highlight w:val="none"/>
              </w:rPr>
            </w:pPr>
            <w:r>
              <w:rPr>
                <w:rFonts w:hint="eastAsia" w:ascii="宋体" w:hAnsi="宋体" w:eastAsia="宋体" w:cs="宋体"/>
                <w:b w:val="0"/>
                <w:sz w:val="24"/>
                <w:highlight w:val="none"/>
              </w:rPr>
              <w:t>包别划分</w:t>
            </w:r>
          </w:p>
        </w:tc>
        <w:tc>
          <w:tcPr>
            <w:tcW w:w="3246" w:type="pct"/>
            <w:vAlign w:val="center"/>
          </w:tcPr>
          <w:p w14:paraId="246AFC21">
            <w:pPr>
              <w:pStyle w:val="47"/>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sz w:val="24"/>
                <w:highlight w:val="none"/>
              </w:rPr>
              <w:t xml:space="preserve">不分包     </w:t>
            </w:r>
            <w:r>
              <w:rPr>
                <w:rFonts w:hint="eastAsia" w:ascii="宋体" w:hAnsi="宋体" w:eastAsia="宋体" w:cs="宋体"/>
                <w:b w:val="0"/>
                <w:sz w:val="24"/>
                <w:highlight w:val="none"/>
                <w:lang w:eastAsia="zh-CN"/>
              </w:rPr>
              <w:t>□</w:t>
            </w:r>
            <w:r>
              <w:rPr>
                <w:rFonts w:hint="eastAsia" w:ascii="宋体" w:hAnsi="宋体" w:eastAsia="宋体" w:cs="宋体"/>
                <w:b w:val="0"/>
                <w:sz w:val="24"/>
                <w:highlight w:val="none"/>
              </w:rPr>
              <w:t>分为</w:t>
            </w:r>
            <w:r>
              <w:rPr>
                <w:rFonts w:hint="eastAsia" w:ascii="宋体" w:hAnsi="宋体" w:eastAsia="宋体" w:cs="宋体"/>
                <w:b w:val="0"/>
                <w:sz w:val="24"/>
                <w:highlight w:val="none"/>
                <w:lang w:val="en-US" w:eastAsia="zh-CN"/>
              </w:rPr>
              <w:t xml:space="preserve"> </w:t>
            </w:r>
            <w:r>
              <w:rPr>
                <w:rFonts w:hint="eastAsia" w:ascii="宋体" w:hAnsi="宋体" w:eastAsia="宋体" w:cs="宋体"/>
                <w:b w:val="0"/>
                <w:sz w:val="24"/>
                <w:highlight w:val="none"/>
              </w:rPr>
              <w:t>个包</w:t>
            </w:r>
          </w:p>
          <w:p w14:paraId="1E2E476D">
            <w:pPr>
              <w:pStyle w:val="47"/>
              <w:widowControl w:val="0"/>
              <w:spacing w:before="0" w:beforeAutospacing="0" w:after="0" w:afterAutospacing="0" w:line="440" w:lineRule="exact"/>
              <w:jc w:val="both"/>
              <w:rPr>
                <w:rFonts w:hint="eastAsia" w:ascii="宋体" w:hAnsi="宋体" w:eastAsia="宋体" w:cs="宋体"/>
                <w:b w:val="0"/>
                <w:kern w:val="2"/>
                <w:sz w:val="24"/>
                <w:szCs w:val="20"/>
                <w:highlight w:val="none"/>
                <w:u w:val="single"/>
              </w:rPr>
            </w:pPr>
            <w:r>
              <w:rPr>
                <w:rFonts w:hint="eastAsia" w:ascii="宋体" w:hAnsi="宋体" w:eastAsia="宋体" w:cs="宋体"/>
                <w:b w:val="0"/>
                <w:sz w:val="24"/>
                <w:highlight w:val="none"/>
              </w:rPr>
              <w:t>投标人对多个包进行投标的中标包数规定：</w:t>
            </w:r>
            <w:r>
              <w:rPr>
                <w:rFonts w:hint="eastAsia" w:ascii="宋体" w:hAnsi="宋体" w:eastAsia="宋体" w:cs="宋体"/>
                <w:b w:val="0"/>
                <w:kern w:val="2"/>
                <w:sz w:val="24"/>
                <w:szCs w:val="20"/>
                <w:highlight w:val="none"/>
                <w:u w:val="single"/>
                <w:lang w:val="en-US" w:eastAsia="zh-CN"/>
              </w:rPr>
              <w:t>/。</w:t>
            </w:r>
          </w:p>
        </w:tc>
      </w:tr>
      <w:tr w14:paraId="252B3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79" w:type="pct"/>
            <w:vAlign w:val="center"/>
          </w:tcPr>
          <w:p w14:paraId="03A6BCFF">
            <w:pPr>
              <w:pStyle w:val="48"/>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10.1</w:t>
            </w:r>
          </w:p>
        </w:tc>
        <w:tc>
          <w:tcPr>
            <w:tcW w:w="1174" w:type="pct"/>
            <w:vAlign w:val="center"/>
          </w:tcPr>
          <w:p w14:paraId="1EB7DCEC">
            <w:pPr>
              <w:pStyle w:val="47"/>
              <w:widowControl w:val="0"/>
              <w:spacing w:before="0" w:beforeAutospacing="0" w:after="0" w:afterAutospacing="0" w:line="440" w:lineRule="exact"/>
              <w:jc w:val="left"/>
              <w:rPr>
                <w:rFonts w:hint="eastAsia" w:ascii="宋体" w:hAnsi="宋体" w:eastAsia="宋体" w:cs="宋体"/>
                <w:b w:val="0"/>
                <w:sz w:val="24"/>
                <w:highlight w:val="none"/>
              </w:rPr>
            </w:pPr>
            <w:r>
              <w:rPr>
                <w:rFonts w:hint="eastAsia" w:ascii="宋体" w:hAnsi="宋体" w:eastAsia="宋体" w:cs="宋体"/>
                <w:b w:val="0"/>
                <w:sz w:val="24"/>
                <w:highlight w:val="none"/>
              </w:rPr>
              <w:t>投标保证金</w:t>
            </w:r>
          </w:p>
        </w:tc>
        <w:tc>
          <w:tcPr>
            <w:tcW w:w="3246" w:type="pct"/>
            <w:vAlign w:val="center"/>
          </w:tcPr>
          <w:p w14:paraId="7BF8D206">
            <w:pPr>
              <w:spacing w:line="440" w:lineRule="exact"/>
              <w:rPr>
                <w:rFonts w:hint="eastAsia" w:ascii="宋体" w:hAnsi="宋体" w:eastAsia="宋体" w:cs="宋体"/>
                <w:bCs/>
                <w:kern w:val="0"/>
                <w:sz w:val="24"/>
                <w:szCs w:val="28"/>
                <w:highlight w:val="none"/>
              </w:rPr>
            </w:pPr>
            <w:r>
              <w:rPr>
                <w:rFonts w:hint="eastAsia" w:ascii="宋体" w:hAnsi="宋体" w:eastAsia="宋体" w:cs="宋体"/>
                <w:bCs/>
                <w:kern w:val="0"/>
                <w:sz w:val="24"/>
                <w:szCs w:val="28"/>
                <w:highlight w:val="none"/>
              </w:rPr>
              <w:t>不收取</w:t>
            </w:r>
          </w:p>
        </w:tc>
      </w:tr>
      <w:tr w14:paraId="415C4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60535464">
            <w:pPr>
              <w:pStyle w:val="48"/>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11.1</w:t>
            </w:r>
          </w:p>
        </w:tc>
        <w:tc>
          <w:tcPr>
            <w:tcW w:w="1174" w:type="pct"/>
            <w:vAlign w:val="center"/>
          </w:tcPr>
          <w:p w14:paraId="2C0C40B9">
            <w:pPr>
              <w:pStyle w:val="47"/>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投标有效期</w:t>
            </w:r>
          </w:p>
        </w:tc>
        <w:tc>
          <w:tcPr>
            <w:tcW w:w="3246" w:type="pct"/>
            <w:vAlign w:val="center"/>
          </w:tcPr>
          <w:p w14:paraId="16224FB0">
            <w:pPr>
              <w:pStyle w:val="47"/>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u w:val="single"/>
              </w:rPr>
              <w:t>90</w:t>
            </w:r>
            <w:r>
              <w:rPr>
                <w:rFonts w:hint="eastAsia" w:ascii="宋体" w:hAnsi="宋体" w:eastAsia="宋体" w:cs="宋体"/>
                <w:b w:val="0"/>
                <w:sz w:val="24"/>
                <w:highlight w:val="none"/>
              </w:rPr>
              <w:t>日历日</w:t>
            </w:r>
          </w:p>
        </w:tc>
      </w:tr>
      <w:tr w14:paraId="7C26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35537551">
            <w:pPr>
              <w:pStyle w:val="48"/>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13.1</w:t>
            </w:r>
          </w:p>
        </w:tc>
        <w:tc>
          <w:tcPr>
            <w:tcW w:w="1174" w:type="pct"/>
            <w:vAlign w:val="center"/>
          </w:tcPr>
          <w:p w14:paraId="207A1E42">
            <w:pPr>
              <w:pStyle w:val="47"/>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投标文件解密时间</w:t>
            </w:r>
          </w:p>
        </w:tc>
        <w:tc>
          <w:tcPr>
            <w:tcW w:w="3246" w:type="pct"/>
            <w:vAlign w:val="center"/>
          </w:tcPr>
          <w:p w14:paraId="2141DF19">
            <w:pPr>
              <w:spacing w:line="440" w:lineRule="exact"/>
              <w:rPr>
                <w:rFonts w:hint="eastAsia" w:ascii="宋体" w:hAnsi="宋体" w:eastAsia="宋体" w:cs="宋体"/>
                <w:bCs/>
                <w:kern w:val="0"/>
                <w:sz w:val="24"/>
                <w:szCs w:val="28"/>
                <w:highlight w:val="none"/>
              </w:rPr>
            </w:pPr>
            <w:r>
              <w:rPr>
                <w:rFonts w:hint="eastAsia" w:ascii="宋体" w:hAnsi="宋体" w:eastAsia="宋体" w:cs="宋体"/>
                <w:sz w:val="24"/>
                <w:highlight w:val="none"/>
              </w:rPr>
              <w:t>投标截止时间后</w:t>
            </w:r>
            <w:r>
              <w:rPr>
                <w:rFonts w:hint="eastAsia" w:ascii="宋体" w:hAnsi="宋体" w:eastAsia="宋体" w:cs="宋体"/>
                <w:bCs/>
                <w:kern w:val="0"/>
                <w:sz w:val="24"/>
                <w:szCs w:val="28"/>
                <w:highlight w:val="none"/>
              </w:rPr>
              <w:t>60分钟内（以本项目网上招投标系统解密倒计时为准）</w:t>
            </w:r>
          </w:p>
        </w:tc>
      </w:tr>
      <w:tr w14:paraId="0661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22EF373A">
            <w:pPr>
              <w:pStyle w:val="48"/>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14.1</w:t>
            </w:r>
          </w:p>
        </w:tc>
        <w:tc>
          <w:tcPr>
            <w:tcW w:w="1174" w:type="pct"/>
            <w:vAlign w:val="center"/>
          </w:tcPr>
          <w:p w14:paraId="678CDF0F">
            <w:pPr>
              <w:pStyle w:val="47"/>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资格审查</w:t>
            </w:r>
          </w:p>
        </w:tc>
        <w:tc>
          <w:tcPr>
            <w:tcW w:w="3246" w:type="pct"/>
            <w:vAlign w:val="center"/>
          </w:tcPr>
          <w:p w14:paraId="64B78A1E">
            <w:pPr>
              <w:pStyle w:val="47"/>
              <w:widowControl w:val="0"/>
              <w:spacing w:before="0" w:beforeAutospacing="0" w:after="0" w:afterAutospacing="0" w:line="440" w:lineRule="exact"/>
              <w:jc w:val="both"/>
              <w:rPr>
                <w:rFonts w:hint="eastAsia" w:ascii="宋体" w:hAnsi="宋体" w:eastAsia="宋体" w:cs="宋体"/>
                <w:b w:val="0"/>
                <w:bCs w:val="0"/>
                <w:sz w:val="24"/>
                <w:highlight w:val="none"/>
              </w:rPr>
            </w:pPr>
            <w:r>
              <w:rPr>
                <w:rFonts w:hint="eastAsia" w:ascii="宋体" w:hAnsi="宋体" w:eastAsia="宋体" w:cs="宋体"/>
                <w:b w:val="0"/>
                <w:bCs w:val="0"/>
                <w:sz w:val="24"/>
                <w:szCs w:val="24"/>
                <w:highlight w:val="none"/>
              </w:rPr>
              <w:t>☑</w:t>
            </w:r>
            <w:r>
              <w:rPr>
                <w:rFonts w:hint="eastAsia" w:ascii="宋体" w:hAnsi="宋体" w:eastAsia="宋体" w:cs="宋体"/>
                <w:b w:val="0"/>
                <w:bCs w:val="0"/>
                <w:sz w:val="24"/>
                <w:highlight w:val="none"/>
              </w:rPr>
              <w:t>采购人审查</w:t>
            </w:r>
          </w:p>
          <w:p w14:paraId="30C09D4C">
            <w:pPr>
              <w:pStyle w:val="47"/>
              <w:widowControl w:val="0"/>
              <w:spacing w:before="0" w:beforeAutospacing="0" w:after="0" w:afterAutospacing="0" w:line="440" w:lineRule="exact"/>
              <w:jc w:val="both"/>
              <w:rPr>
                <w:rFonts w:hint="eastAsia" w:ascii="宋体" w:hAnsi="宋体" w:eastAsia="宋体" w:cs="宋体"/>
                <w:b w:val="0"/>
                <w:sz w:val="24"/>
                <w:highlight w:val="none"/>
                <w:u w:val="single"/>
              </w:rPr>
            </w:pPr>
            <w:r>
              <w:rPr>
                <w:rFonts w:hint="eastAsia" w:ascii="宋体" w:hAnsi="宋体" w:eastAsia="宋体" w:cs="宋体"/>
                <w:b w:val="0"/>
                <w:bCs w:val="0"/>
                <w:sz w:val="24"/>
                <w:szCs w:val="24"/>
                <w:highlight w:val="none"/>
              </w:rPr>
              <w:t>□</w:t>
            </w:r>
            <w:r>
              <w:rPr>
                <w:rFonts w:hint="eastAsia" w:ascii="宋体" w:hAnsi="宋体" w:eastAsia="宋体" w:cs="宋体"/>
                <w:b w:val="0"/>
                <w:bCs w:val="0"/>
                <w:sz w:val="24"/>
                <w:highlight w:val="none"/>
              </w:rPr>
              <w:t>采购人出具委托函委托采购代理机构进行审查</w:t>
            </w:r>
          </w:p>
        </w:tc>
      </w:tr>
      <w:tr w14:paraId="24FDD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3E46A517">
            <w:pPr>
              <w:pStyle w:val="48"/>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17.2</w:t>
            </w:r>
          </w:p>
        </w:tc>
        <w:tc>
          <w:tcPr>
            <w:tcW w:w="1174" w:type="pct"/>
            <w:vAlign w:val="center"/>
          </w:tcPr>
          <w:p w14:paraId="2B08501E">
            <w:pPr>
              <w:pStyle w:val="47"/>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评标方法</w:t>
            </w:r>
          </w:p>
        </w:tc>
        <w:tc>
          <w:tcPr>
            <w:tcW w:w="3246" w:type="pct"/>
            <w:vAlign w:val="center"/>
          </w:tcPr>
          <w:p w14:paraId="5EBD7F88">
            <w:pPr>
              <w:pStyle w:val="47"/>
              <w:widowControl w:val="0"/>
              <w:spacing w:before="0" w:beforeAutospacing="0" w:after="0" w:afterAutospacing="0" w:line="440" w:lineRule="exact"/>
              <w:jc w:val="both"/>
              <w:rPr>
                <w:rFonts w:hint="eastAsia" w:ascii="宋体" w:hAnsi="宋体" w:eastAsia="宋体" w:cs="宋体"/>
                <w:b w:val="0"/>
                <w:sz w:val="24"/>
                <w:highlight w:val="none"/>
                <w:u w:val="singl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sz w:val="24"/>
                <w:highlight w:val="none"/>
              </w:rPr>
              <w:t>最低评标价法</w:t>
            </w:r>
          </w:p>
          <w:p w14:paraId="5D52F9DD">
            <w:pPr>
              <w:pStyle w:val="47"/>
              <w:widowControl w:val="0"/>
              <w:spacing w:before="0" w:beforeAutospacing="0" w:after="0" w:afterAutospacing="0" w:line="440" w:lineRule="exact"/>
              <w:jc w:val="both"/>
              <w:rPr>
                <w:rFonts w:hint="eastAsia" w:ascii="宋体" w:hAnsi="宋体" w:eastAsia="宋体" w:cs="宋体"/>
                <w:b w:val="0"/>
                <w:sz w:val="24"/>
                <w:highlight w:val="none"/>
                <w:lang w:val="en-US" w:eastAsia="zh-CN"/>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sz w:val="24"/>
                <w:highlight w:val="none"/>
                <w:lang w:val="en-US" w:eastAsia="zh-CN"/>
              </w:rPr>
              <w:t>综合评分法</w:t>
            </w:r>
          </w:p>
        </w:tc>
      </w:tr>
      <w:tr w14:paraId="4441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7CEC49DE">
            <w:pPr>
              <w:pStyle w:val="48"/>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17.3</w:t>
            </w:r>
          </w:p>
        </w:tc>
        <w:tc>
          <w:tcPr>
            <w:tcW w:w="1174" w:type="pct"/>
            <w:vAlign w:val="center"/>
          </w:tcPr>
          <w:p w14:paraId="74CFA714">
            <w:pPr>
              <w:pStyle w:val="47"/>
              <w:widowControl w:val="0"/>
              <w:spacing w:before="0" w:beforeAutospacing="0" w:after="0" w:afterAutospacing="0" w:line="440" w:lineRule="exact"/>
              <w:jc w:val="both"/>
              <w:rPr>
                <w:rFonts w:hint="eastAsia" w:ascii="宋体" w:hAnsi="宋体" w:eastAsia="宋体" w:cs="宋体"/>
                <w:b w:val="0"/>
                <w:i/>
                <w:sz w:val="24"/>
                <w:highlight w:val="none"/>
              </w:rPr>
            </w:pPr>
            <w:r>
              <w:rPr>
                <w:rFonts w:hint="eastAsia" w:ascii="宋体" w:hAnsi="宋体" w:eastAsia="宋体" w:cs="宋体"/>
                <w:b w:val="0"/>
                <w:sz w:val="24"/>
                <w:highlight w:val="none"/>
              </w:rPr>
              <w:t>报价扣除</w:t>
            </w:r>
            <w:r>
              <w:rPr>
                <w:rFonts w:hint="eastAsia" w:ascii="宋体" w:hAnsi="宋体" w:eastAsia="宋体" w:cs="宋体"/>
                <w:b w:val="0"/>
                <w:i/>
                <w:sz w:val="24"/>
                <w:highlight w:val="none"/>
              </w:rPr>
              <w:t>（非专门面向中小企业采购项目适用）</w:t>
            </w:r>
          </w:p>
        </w:tc>
        <w:tc>
          <w:tcPr>
            <w:tcW w:w="3246" w:type="pct"/>
            <w:vAlign w:val="center"/>
          </w:tcPr>
          <w:p w14:paraId="51978359">
            <w:pPr>
              <w:pStyle w:val="47"/>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（1）小型和微型企业价格扣除：</w:t>
            </w:r>
            <w:r>
              <w:rPr>
                <w:rFonts w:hint="eastAsia" w:ascii="宋体" w:hAnsi="宋体" w:eastAsia="宋体" w:cs="宋体"/>
                <w:b w:val="0"/>
                <w:color w:val="auto"/>
                <w:sz w:val="24"/>
                <w:highlight w:val="none"/>
                <w:u w:val="single"/>
              </w:rPr>
              <w:t>对小型和微型企业的价格给予10%的扣除后参与评审；其评审价=最后投标报价*90%。</w:t>
            </w:r>
          </w:p>
          <w:p w14:paraId="7899898E">
            <w:pPr>
              <w:pStyle w:val="47"/>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（2）监狱企业价格扣除：</w:t>
            </w:r>
            <w:r>
              <w:rPr>
                <w:rFonts w:hint="eastAsia" w:ascii="宋体" w:hAnsi="宋体" w:eastAsia="宋体" w:cs="宋体"/>
                <w:b w:val="0"/>
                <w:color w:val="auto"/>
                <w:sz w:val="24"/>
                <w:highlight w:val="none"/>
                <w:u w:val="none"/>
              </w:rPr>
              <w:t>同小型和微型企业</w:t>
            </w:r>
            <w:r>
              <w:rPr>
                <w:rFonts w:hint="eastAsia" w:ascii="宋体" w:hAnsi="宋体" w:eastAsia="宋体" w:cs="宋体"/>
                <w:b w:val="0"/>
                <w:color w:val="auto"/>
                <w:sz w:val="24"/>
                <w:highlight w:val="none"/>
              </w:rPr>
              <w:t>。</w:t>
            </w:r>
          </w:p>
          <w:p w14:paraId="3C98F71C">
            <w:pPr>
              <w:pStyle w:val="47"/>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（3）残疾人福利性单位价格扣除：</w:t>
            </w:r>
            <w:r>
              <w:rPr>
                <w:rFonts w:hint="eastAsia" w:ascii="宋体" w:hAnsi="宋体" w:eastAsia="宋体" w:cs="宋体"/>
                <w:b w:val="0"/>
                <w:color w:val="auto"/>
                <w:sz w:val="24"/>
                <w:highlight w:val="none"/>
                <w:u w:val="none"/>
              </w:rPr>
              <w:t>同小型和微型企业</w:t>
            </w:r>
            <w:r>
              <w:rPr>
                <w:rFonts w:hint="eastAsia" w:ascii="宋体" w:hAnsi="宋体" w:eastAsia="宋体" w:cs="宋体"/>
                <w:b w:val="0"/>
                <w:color w:val="auto"/>
                <w:sz w:val="24"/>
                <w:highlight w:val="none"/>
              </w:rPr>
              <w:t>。</w:t>
            </w:r>
          </w:p>
          <w:p w14:paraId="2A52730E">
            <w:pPr>
              <w:pStyle w:val="47"/>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（4）符合条件的联合体价格扣除：</w:t>
            </w:r>
            <w:r>
              <w:rPr>
                <w:rFonts w:hint="eastAsia" w:ascii="宋体" w:hAnsi="宋体" w:eastAsia="宋体" w:cs="宋体"/>
                <w:b w:val="0"/>
                <w:color w:val="auto"/>
                <w:sz w:val="24"/>
                <w:highlight w:val="none"/>
                <w:u w:val="single"/>
                <w:lang w:val="en-US" w:eastAsia="zh-CN"/>
              </w:rPr>
              <w:t>/</w:t>
            </w:r>
            <w:r>
              <w:rPr>
                <w:rFonts w:hint="eastAsia" w:ascii="宋体" w:hAnsi="宋体" w:eastAsia="宋体" w:cs="宋体"/>
                <w:b w:val="0"/>
                <w:color w:val="auto"/>
                <w:sz w:val="24"/>
                <w:highlight w:val="none"/>
              </w:rPr>
              <w:t>。</w:t>
            </w:r>
          </w:p>
          <w:p w14:paraId="1AA4B6F1">
            <w:pPr>
              <w:pStyle w:val="47"/>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color w:val="auto"/>
                <w:sz w:val="24"/>
                <w:highlight w:val="none"/>
              </w:rPr>
              <w:t>（5）符合条件的向小微企业分包的大中型企业价格扣除：</w:t>
            </w:r>
            <w:r>
              <w:rPr>
                <w:rFonts w:hint="eastAsia" w:ascii="宋体" w:hAnsi="宋体" w:eastAsia="宋体" w:cs="宋体"/>
                <w:b w:val="0"/>
                <w:color w:val="auto"/>
                <w:sz w:val="24"/>
                <w:highlight w:val="none"/>
                <w:u w:val="single"/>
                <w:lang w:val="en-US" w:eastAsia="zh-CN"/>
              </w:rPr>
              <w:t>/</w:t>
            </w:r>
            <w:r>
              <w:rPr>
                <w:rFonts w:hint="eastAsia" w:ascii="宋体" w:hAnsi="宋体" w:eastAsia="宋体" w:cs="宋体"/>
                <w:b w:val="0"/>
                <w:color w:val="auto"/>
                <w:sz w:val="24"/>
                <w:highlight w:val="none"/>
              </w:rPr>
              <w:t>。</w:t>
            </w:r>
            <w:r>
              <w:rPr>
                <w:rFonts w:hint="eastAsia" w:ascii="宋体" w:hAnsi="宋体" w:eastAsia="宋体" w:cs="宋体"/>
                <w:b w:val="0"/>
                <w:i/>
                <w:color w:val="auto"/>
                <w:sz w:val="24"/>
                <w:highlight w:val="none"/>
              </w:rPr>
              <w:t>（允许大中型企业向小微企业分包的项目适用）</w:t>
            </w:r>
          </w:p>
        </w:tc>
      </w:tr>
      <w:tr w14:paraId="00208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11E76F9F">
            <w:pPr>
              <w:pStyle w:val="48"/>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21.1</w:t>
            </w:r>
          </w:p>
        </w:tc>
        <w:tc>
          <w:tcPr>
            <w:tcW w:w="1174" w:type="pct"/>
            <w:vAlign w:val="center"/>
          </w:tcPr>
          <w:p w14:paraId="639A38D4">
            <w:pPr>
              <w:pStyle w:val="47"/>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评标委员会推荐中标候选人的数量</w:t>
            </w:r>
          </w:p>
        </w:tc>
        <w:tc>
          <w:tcPr>
            <w:tcW w:w="3246" w:type="pct"/>
            <w:vAlign w:val="center"/>
          </w:tcPr>
          <w:p w14:paraId="29339DB3">
            <w:pPr>
              <w:pStyle w:val="47"/>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评标委员会推荐3名中标候选人。</w:t>
            </w:r>
          </w:p>
        </w:tc>
      </w:tr>
      <w:tr w14:paraId="6712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563E9B57">
            <w:pPr>
              <w:pStyle w:val="48"/>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21.2</w:t>
            </w:r>
          </w:p>
        </w:tc>
        <w:tc>
          <w:tcPr>
            <w:tcW w:w="1174" w:type="pct"/>
            <w:vAlign w:val="center"/>
          </w:tcPr>
          <w:p w14:paraId="57905A76">
            <w:pPr>
              <w:pStyle w:val="47"/>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确定中标人</w:t>
            </w:r>
          </w:p>
        </w:tc>
        <w:tc>
          <w:tcPr>
            <w:tcW w:w="3246" w:type="pct"/>
            <w:vAlign w:val="center"/>
          </w:tcPr>
          <w:p w14:paraId="38219AB8">
            <w:pPr>
              <w:spacing w:line="44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sym w:font="Wingdings" w:char="00A8"/>
            </w:r>
            <w:r>
              <w:rPr>
                <w:rFonts w:hint="eastAsia" w:ascii="宋体" w:hAnsi="宋体" w:eastAsia="宋体" w:cs="宋体"/>
                <w:kern w:val="0"/>
                <w:sz w:val="24"/>
                <w:szCs w:val="24"/>
                <w:highlight w:val="none"/>
              </w:rPr>
              <w:t>采购人委托评标委员会确定</w:t>
            </w:r>
          </w:p>
          <w:p w14:paraId="35EAA381">
            <w:pPr>
              <w:pStyle w:val="47"/>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bCs w:val="0"/>
                <w:kern w:val="2"/>
                <w:sz w:val="24"/>
                <w:szCs w:val="24"/>
                <w:highlight w:val="none"/>
              </w:rPr>
              <w:t>☑采购人确定</w:t>
            </w:r>
          </w:p>
        </w:tc>
      </w:tr>
      <w:tr w14:paraId="184C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43D24096">
            <w:pPr>
              <w:pStyle w:val="48"/>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23.3</w:t>
            </w:r>
          </w:p>
        </w:tc>
        <w:tc>
          <w:tcPr>
            <w:tcW w:w="1174" w:type="pct"/>
            <w:vAlign w:val="center"/>
          </w:tcPr>
          <w:p w14:paraId="277B0BEB">
            <w:pPr>
              <w:pStyle w:val="47"/>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随中标结果公告同时公告的内容</w:t>
            </w:r>
          </w:p>
        </w:tc>
        <w:tc>
          <w:tcPr>
            <w:tcW w:w="3246" w:type="pct"/>
            <w:vAlign w:val="center"/>
          </w:tcPr>
          <w:p w14:paraId="43A357B0">
            <w:pPr>
              <w:pStyle w:val="47"/>
              <w:widowControl w:val="0"/>
              <w:spacing w:before="0" w:beforeAutospacing="0" w:after="0" w:afterAutospacing="0" w:line="360" w:lineRule="auto"/>
              <w:jc w:val="both"/>
              <w:rPr>
                <w:rFonts w:hint="eastAsia" w:ascii="宋体" w:hAnsi="宋体" w:eastAsia="宋体" w:cs="宋体"/>
                <w:b w:val="0"/>
                <w:color w:val="auto"/>
                <w:sz w:val="24"/>
                <w:highlight w:val="none"/>
                <w:u w:val="none"/>
              </w:rPr>
            </w:pPr>
            <w:r>
              <w:rPr>
                <w:rFonts w:hint="eastAsia" w:ascii="宋体" w:hAnsi="宋体" w:eastAsia="宋体" w:cs="宋体"/>
                <w:b w:val="0"/>
                <w:color w:val="auto"/>
                <w:sz w:val="24"/>
                <w:highlight w:val="none"/>
                <w:u w:val="none"/>
              </w:rPr>
              <w:t>（</w:t>
            </w:r>
            <w:r>
              <w:rPr>
                <w:rFonts w:hint="eastAsia" w:ascii="宋体" w:hAnsi="宋体" w:eastAsia="宋体" w:cs="宋体"/>
                <w:b w:val="0"/>
                <w:color w:val="auto"/>
                <w:sz w:val="24"/>
                <w:highlight w:val="none"/>
                <w:u w:val="none"/>
                <w:lang w:val="en-US" w:eastAsia="zh-CN"/>
              </w:rPr>
              <w:t>1</w:t>
            </w:r>
            <w:r>
              <w:rPr>
                <w:rFonts w:hint="eastAsia" w:ascii="宋体" w:hAnsi="宋体" w:eastAsia="宋体" w:cs="宋体"/>
                <w:b w:val="0"/>
                <w:color w:val="auto"/>
                <w:sz w:val="24"/>
                <w:highlight w:val="none"/>
                <w:u w:val="none"/>
              </w:rPr>
              <w:t>）中小企业声明函；</w:t>
            </w:r>
            <w:r>
              <w:rPr>
                <w:rFonts w:hint="eastAsia" w:ascii="宋体" w:hAnsi="宋体" w:eastAsia="宋体" w:cs="宋体"/>
                <w:b w:val="0"/>
                <w:i/>
                <w:iCs/>
                <w:color w:val="auto"/>
                <w:sz w:val="24"/>
                <w:highlight w:val="none"/>
                <w:u w:val="none"/>
              </w:rPr>
              <w:t>（如有）</w:t>
            </w:r>
          </w:p>
          <w:p w14:paraId="38513D5C">
            <w:pPr>
              <w:pStyle w:val="47"/>
              <w:widowControl w:val="0"/>
              <w:spacing w:before="0" w:beforeAutospacing="0" w:after="0" w:afterAutospacing="0" w:line="360" w:lineRule="auto"/>
              <w:jc w:val="both"/>
              <w:rPr>
                <w:rFonts w:hint="eastAsia" w:ascii="宋体" w:hAnsi="宋体" w:eastAsia="宋体" w:cs="宋体"/>
                <w:b w:val="0"/>
                <w:i/>
                <w:color w:val="auto"/>
                <w:sz w:val="24"/>
                <w:highlight w:val="none"/>
                <w:u w:val="none"/>
              </w:rPr>
            </w:pPr>
            <w:r>
              <w:rPr>
                <w:rFonts w:hint="eastAsia" w:ascii="宋体" w:hAnsi="宋体" w:eastAsia="宋体" w:cs="宋体"/>
                <w:b w:val="0"/>
                <w:color w:val="auto"/>
                <w:sz w:val="24"/>
                <w:highlight w:val="none"/>
                <w:u w:val="none"/>
              </w:rPr>
              <w:t>（</w:t>
            </w:r>
            <w:r>
              <w:rPr>
                <w:rFonts w:hint="eastAsia" w:ascii="宋体" w:hAnsi="宋体" w:eastAsia="宋体" w:cs="宋体"/>
                <w:b w:val="0"/>
                <w:color w:val="auto"/>
                <w:sz w:val="24"/>
                <w:highlight w:val="none"/>
                <w:u w:val="none"/>
                <w:lang w:val="en-US" w:eastAsia="zh-CN"/>
              </w:rPr>
              <w:t>2）</w:t>
            </w:r>
            <w:r>
              <w:rPr>
                <w:rFonts w:hint="eastAsia" w:ascii="宋体" w:hAnsi="宋体" w:eastAsia="宋体" w:cs="宋体"/>
                <w:b w:val="0"/>
                <w:color w:val="auto"/>
                <w:sz w:val="24"/>
                <w:highlight w:val="none"/>
                <w:u w:val="none"/>
              </w:rPr>
              <w:t>残疾人福利性单位声明函；</w:t>
            </w:r>
            <w:r>
              <w:rPr>
                <w:rFonts w:hint="eastAsia" w:ascii="宋体" w:hAnsi="宋体" w:eastAsia="宋体" w:cs="宋体"/>
                <w:b w:val="0"/>
                <w:i/>
                <w:iCs/>
                <w:color w:val="auto"/>
                <w:sz w:val="24"/>
                <w:highlight w:val="none"/>
                <w:u w:val="none"/>
              </w:rPr>
              <w:t>（如有）</w:t>
            </w:r>
          </w:p>
          <w:p w14:paraId="57AB533F">
            <w:pPr>
              <w:pStyle w:val="47"/>
              <w:widowControl w:val="0"/>
              <w:spacing w:before="0" w:beforeAutospacing="0" w:after="0" w:afterAutospacing="0" w:line="360" w:lineRule="auto"/>
              <w:jc w:val="both"/>
              <w:rPr>
                <w:rFonts w:hint="eastAsia" w:ascii="宋体" w:hAnsi="宋体" w:eastAsia="宋体" w:cs="宋体"/>
                <w:b w:val="0"/>
                <w:bCs w:val="0"/>
                <w:sz w:val="24"/>
                <w:szCs w:val="24"/>
                <w:highlight w:val="none"/>
                <w:lang w:eastAsia="zh-CN"/>
              </w:rPr>
            </w:pPr>
            <w:r>
              <w:rPr>
                <w:rFonts w:hint="eastAsia" w:ascii="宋体" w:hAnsi="宋体" w:eastAsia="宋体" w:cs="宋体"/>
                <w:b w:val="0"/>
                <w:color w:val="auto"/>
                <w:sz w:val="24"/>
                <w:highlight w:val="none"/>
                <w:u w:val="none"/>
                <w:lang w:eastAsia="zh-CN"/>
              </w:rPr>
              <w:t>（</w:t>
            </w:r>
            <w:r>
              <w:rPr>
                <w:rFonts w:hint="eastAsia" w:ascii="宋体" w:hAnsi="宋体" w:eastAsia="宋体" w:cs="宋体"/>
                <w:b w:val="0"/>
                <w:color w:val="auto"/>
                <w:sz w:val="24"/>
                <w:highlight w:val="none"/>
                <w:u w:val="none"/>
                <w:lang w:val="en-US" w:eastAsia="zh-CN"/>
              </w:rPr>
              <w:t>3</w:t>
            </w:r>
            <w:r>
              <w:rPr>
                <w:rFonts w:hint="eastAsia" w:ascii="宋体" w:hAnsi="宋体" w:eastAsia="宋体" w:cs="宋体"/>
                <w:b w:val="0"/>
                <w:color w:val="auto"/>
                <w:sz w:val="24"/>
                <w:highlight w:val="none"/>
                <w:u w:val="none"/>
                <w:lang w:eastAsia="zh-CN"/>
              </w:rPr>
              <w:t>）中标（成交）供应商的评审总得分。</w:t>
            </w:r>
          </w:p>
        </w:tc>
      </w:tr>
      <w:tr w14:paraId="5295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7CEE18CD">
            <w:pPr>
              <w:pStyle w:val="48"/>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24.1</w:t>
            </w:r>
          </w:p>
        </w:tc>
        <w:tc>
          <w:tcPr>
            <w:tcW w:w="1174" w:type="pct"/>
            <w:vAlign w:val="center"/>
          </w:tcPr>
          <w:p w14:paraId="2022995E">
            <w:pPr>
              <w:pStyle w:val="47"/>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中标通知书发出的形式</w:t>
            </w:r>
          </w:p>
        </w:tc>
        <w:tc>
          <w:tcPr>
            <w:tcW w:w="3246" w:type="pct"/>
            <w:vAlign w:val="center"/>
          </w:tcPr>
          <w:p w14:paraId="222E2B52">
            <w:pPr>
              <w:pStyle w:val="47"/>
              <w:widowControl w:val="0"/>
              <w:spacing w:before="0" w:beforeAutospacing="0" w:after="0" w:afterAutospacing="0" w:line="440" w:lineRule="exact"/>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□书面     </w:t>
            </w:r>
            <w:r>
              <w:rPr>
                <w:rFonts w:hint="eastAsia" w:ascii="宋体" w:hAnsi="宋体" w:eastAsia="宋体" w:cs="宋体"/>
                <w:b w:val="0"/>
                <w:bCs w:val="0"/>
                <w:sz w:val="24"/>
                <w:szCs w:val="24"/>
                <w:highlight w:val="none"/>
              </w:rPr>
              <w:sym w:font="Wingdings" w:char="00FE"/>
            </w:r>
            <w:r>
              <w:rPr>
                <w:rFonts w:hint="eastAsia" w:ascii="宋体" w:hAnsi="宋体" w:eastAsia="宋体" w:cs="宋体"/>
                <w:b w:val="0"/>
                <w:bCs w:val="0"/>
                <w:sz w:val="24"/>
                <w:szCs w:val="24"/>
                <w:highlight w:val="none"/>
              </w:rPr>
              <w:t>数据电文</w:t>
            </w:r>
          </w:p>
        </w:tc>
      </w:tr>
      <w:tr w14:paraId="010D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3698FE8D">
            <w:pPr>
              <w:pStyle w:val="48"/>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25.1</w:t>
            </w:r>
          </w:p>
        </w:tc>
        <w:tc>
          <w:tcPr>
            <w:tcW w:w="1174" w:type="pct"/>
            <w:vAlign w:val="center"/>
          </w:tcPr>
          <w:p w14:paraId="6CD0FE12">
            <w:pPr>
              <w:pStyle w:val="47"/>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告知招标结果的形式</w:t>
            </w:r>
          </w:p>
        </w:tc>
        <w:tc>
          <w:tcPr>
            <w:tcW w:w="3246" w:type="pct"/>
            <w:vAlign w:val="center"/>
          </w:tcPr>
          <w:p w14:paraId="54AF9CCD">
            <w:pPr>
              <w:spacing w:line="44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sym w:font="Wingdings" w:char="00FE"/>
            </w:r>
            <w:r>
              <w:rPr>
                <w:rFonts w:hint="eastAsia" w:ascii="宋体" w:hAnsi="宋体" w:eastAsia="宋体" w:cs="宋体"/>
                <w:kern w:val="0"/>
                <w:sz w:val="24"/>
                <w:szCs w:val="24"/>
                <w:highlight w:val="none"/>
              </w:rPr>
              <w:t>投标人自行登录电子</w:t>
            </w:r>
            <w:r>
              <w:rPr>
                <w:rFonts w:hint="eastAsia" w:ascii="宋体" w:hAnsi="宋体" w:eastAsia="宋体" w:cs="宋体"/>
                <w:sz w:val="24"/>
                <w:szCs w:val="24"/>
                <w:highlight w:val="none"/>
              </w:rPr>
              <w:t>交易</w:t>
            </w:r>
            <w:r>
              <w:rPr>
                <w:rFonts w:hint="eastAsia" w:ascii="宋体" w:hAnsi="宋体" w:eastAsia="宋体" w:cs="宋体"/>
                <w:kern w:val="0"/>
                <w:sz w:val="24"/>
                <w:szCs w:val="24"/>
                <w:highlight w:val="none"/>
              </w:rPr>
              <w:t>系统查看</w:t>
            </w:r>
          </w:p>
          <w:p w14:paraId="43466603">
            <w:pPr>
              <w:pStyle w:val="47"/>
              <w:widowControl w:val="0"/>
              <w:spacing w:before="0" w:beforeAutospacing="0" w:after="0" w:afterAutospacing="0" w:line="440" w:lineRule="exact"/>
              <w:jc w:val="both"/>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□评标现场告知</w:t>
            </w:r>
          </w:p>
        </w:tc>
      </w:tr>
      <w:tr w14:paraId="07FAF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7" w:hRule="atLeast"/>
          <w:jc w:val="center"/>
        </w:trPr>
        <w:tc>
          <w:tcPr>
            <w:tcW w:w="579" w:type="pct"/>
            <w:vAlign w:val="center"/>
          </w:tcPr>
          <w:p w14:paraId="28EECB14">
            <w:pPr>
              <w:pStyle w:val="48"/>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26.1</w:t>
            </w:r>
          </w:p>
        </w:tc>
        <w:tc>
          <w:tcPr>
            <w:tcW w:w="1174" w:type="pct"/>
            <w:vAlign w:val="center"/>
          </w:tcPr>
          <w:p w14:paraId="1ED2363A">
            <w:pPr>
              <w:pStyle w:val="47"/>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履约保证金</w:t>
            </w:r>
          </w:p>
        </w:tc>
        <w:tc>
          <w:tcPr>
            <w:tcW w:w="3246" w:type="pct"/>
          </w:tcPr>
          <w:p w14:paraId="76C99903">
            <w:pPr>
              <w:spacing w:line="440" w:lineRule="exact"/>
              <w:rPr>
                <w:rFonts w:hint="eastAsia" w:ascii="宋体" w:hAnsi="宋体" w:eastAsia="宋体" w:cs="宋体"/>
                <w:bCs/>
                <w:kern w:val="0"/>
                <w:sz w:val="24"/>
                <w:szCs w:val="28"/>
                <w:highlight w:val="none"/>
              </w:rPr>
            </w:pPr>
            <w:r>
              <w:rPr>
                <w:rFonts w:hint="eastAsia" w:ascii="宋体" w:hAnsi="宋体" w:eastAsia="宋体" w:cs="宋体"/>
                <w:bCs/>
                <w:kern w:val="0"/>
                <w:sz w:val="24"/>
                <w:szCs w:val="28"/>
                <w:highlight w:val="none"/>
              </w:rPr>
              <w:t>（1）金额：</w:t>
            </w:r>
          </w:p>
          <w:p w14:paraId="23DCF075">
            <w:pPr>
              <w:spacing w:line="440" w:lineRule="exact"/>
              <w:rPr>
                <w:rFonts w:hint="eastAsia" w:ascii="宋体" w:hAnsi="宋体" w:eastAsia="宋体" w:cs="宋体"/>
                <w:bCs/>
                <w:kern w:val="0"/>
                <w:sz w:val="24"/>
                <w:szCs w:val="28"/>
                <w:highlight w:val="none"/>
              </w:rPr>
            </w:pPr>
            <w:r>
              <w:rPr>
                <w:rFonts w:hint="eastAsia" w:ascii="宋体" w:hAnsi="宋体" w:eastAsia="宋体" w:cs="宋体"/>
                <w:bCs/>
                <w:kern w:val="0"/>
                <w:sz w:val="24"/>
                <w:szCs w:val="28"/>
                <w:highlight w:val="none"/>
              </w:rPr>
              <w:t>☑免收</w:t>
            </w:r>
          </w:p>
          <w:p w14:paraId="6CB66F95">
            <w:pPr>
              <w:spacing w:line="440" w:lineRule="exact"/>
              <w:rPr>
                <w:rFonts w:hint="eastAsia" w:ascii="宋体" w:hAnsi="宋体" w:eastAsia="宋体" w:cs="宋体"/>
                <w:bCs/>
                <w:kern w:val="0"/>
                <w:sz w:val="24"/>
                <w:szCs w:val="28"/>
                <w:highlight w:val="none"/>
              </w:rPr>
            </w:pPr>
            <w:r>
              <w:rPr>
                <w:rFonts w:hint="eastAsia" w:ascii="宋体" w:hAnsi="宋体" w:eastAsia="宋体" w:cs="宋体"/>
                <w:bCs/>
                <w:kern w:val="0"/>
                <w:sz w:val="24"/>
                <w:szCs w:val="28"/>
                <w:highlight w:val="none"/>
              </w:rPr>
              <w:t>□合同价的</w:t>
            </w:r>
            <w:r>
              <w:rPr>
                <w:rFonts w:hint="eastAsia" w:ascii="宋体" w:hAnsi="宋体" w:eastAsia="宋体" w:cs="宋体"/>
                <w:bCs/>
                <w:sz w:val="24"/>
                <w:highlight w:val="none"/>
                <w:u w:val="single"/>
              </w:rPr>
              <w:t>/</w:t>
            </w:r>
            <w:r>
              <w:rPr>
                <w:rFonts w:hint="eastAsia" w:ascii="宋体" w:hAnsi="宋体" w:eastAsia="宋体" w:cs="宋体"/>
                <w:bCs/>
                <w:kern w:val="0"/>
                <w:sz w:val="24"/>
                <w:szCs w:val="28"/>
                <w:highlight w:val="none"/>
              </w:rPr>
              <w:t>%</w:t>
            </w:r>
          </w:p>
          <w:p w14:paraId="5D043369">
            <w:pPr>
              <w:spacing w:line="440" w:lineRule="exact"/>
              <w:rPr>
                <w:rFonts w:hint="eastAsia" w:ascii="宋体" w:hAnsi="宋体" w:eastAsia="宋体" w:cs="宋体"/>
                <w:bCs/>
                <w:kern w:val="0"/>
                <w:sz w:val="24"/>
                <w:szCs w:val="28"/>
                <w:highlight w:val="none"/>
              </w:rPr>
            </w:pPr>
            <w:r>
              <w:rPr>
                <w:rFonts w:hint="eastAsia" w:ascii="宋体" w:hAnsi="宋体" w:eastAsia="宋体" w:cs="宋体"/>
                <w:bCs/>
                <w:kern w:val="0"/>
                <w:sz w:val="24"/>
                <w:szCs w:val="28"/>
                <w:highlight w:val="none"/>
              </w:rPr>
              <w:t>□定额收取：人民币</w:t>
            </w:r>
            <w:r>
              <w:rPr>
                <w:rFonts w:hint="eastAsia" w:ascii="宋体" w:hAnsi="宋体" w:eastAsia="宋体" w:cs="宋体"/>
                <w:bCs/>
                <w:sz w:val="24"/>
                <w:highlight w:val="none"/>
                <w:u w:val="single"/>
              </w:rPr>
              <w:t>/</w:t>
            </w:r>
            <w:r>
              <w:rPr>
                <w:rFonts w:hint="eastAsia" w:ascii="宋体" w:hAnsi="宋体" w:eastAsia="宋体" w:cs="宋体"/>
                <w:bCs/>
                <w:kern w:val="0"/>
                <w:sz w:val="24"/>
                <w:szCs w:val="28"/>
                <w:highlight w:val="none"/>
              </w:rPr>
              <w:t>元</w:t>
            </w:r>
          </w:p>
          <w:p w14:paraId="04D741C2">
            <w:pPr>
              <w:spacing w:line="440" w:lineRule="exact"/>
              <w:rPr>
                <w:rFonts w:hint="eastAsia" w:ascii="宋体" w:hAnsi="宋体" w:eastAsia="宋体" w:cs="宋体"/>
                <w:bCs/>
                <w:kern w:val="0"/>
                <w:sz w:val="24"/>
                <w:szCs w:val="28"/>
                <w:highlight w:val="none"/>
              </w:rPr>
            </w:pPr>
            <w:r>
              <w:rPr>
                <w:rFonts w:hint="eastAsia" w:ascii="宋体" w:hAnsi="宋体" w:eastAsia="宋体" w:cs="宋体"/>
                <w:bCs/>
                <w:kern w:val="0"/>
                <w:sz w:val="24"/>
                <w:szCs w:val="28"/>
                <w:highlight w:val="none"/>
              </w:rPr>
              <w:t>（2）支付方式：</w:t>
            </w:r>
          </w:p>
          <w:p w14:paraId="67AC6A66">
            <w:pPr>
              <w:spacing w:line="440" w:lineRule="exact"/>
              <w:rPr>
                <w:rFonts w:hint="eastAsia" w:ascii="宋体" w:hAnsi="宋体" w:eastAsia="宋体" w:cs="宋体"/>
                <w:bCs/>
                <w:kern w:val="0"/>
                <w:sz w:val="24"/>
                <w:szCs w:val="28"/>
                <w:highlight w:val="none"/>
              </w:rPr>
            </w:pPr>
            <w:r>
              <w:rPr>
                <w:rFonts w:hint="eastAsia" w:ascii="宋体" w:hAnsi="宋体" w:eastAsia="宋体" w:cs="宋体"/>
                <w:bCs/>
                <w:kern w:val="0"/>
                <w:sz w:val="24"/>
                <w:szCs w:val="28"/>
                <w:highlight w:val="none"/>
              </w:rPr>
              <w:sym w:font="Wingdings" w:char="00A8"/>
            </w:r>
            <w:r>
              <w:rPr>
                <w:rFonts w:hint="eastAsia" w:ascii="宋体" w:hAnsi="宋体" w:eastAsia="宋体" w:cs="宋体"/>
                <w:bCs/>
                <w:kern w:val="0"/>
                <w:sz w:val="24"/>
                <w:szCs w:val="28"/>
                <w:highlight w:val="none"/>
              </w:rPr>
              <w:t xml:space="preserve">转账/电汇 </w:t>
            </w:r>
            <w:r>
              <w:rPr>
                <w:rFonts w:hint="eastAsia" w:ascii="宋体" w:hAnsi="宋体" w:eastAsia="宋体" w:cs="宋体"/>
                <w:bCs/>
                <w:kern w:val="0"/>
                <w:sz w:val="24"/>
                <w:szCs w:val="28"/>
                <w:highlight w:val="none"/>
              </w:rPr>
              <w:sym w:font="Wingdings" w:char="00A8"/>
            </w:r>
            <w:r>
              <w:rPr>
                <w:rFonts w:hint="eastAsia" w:ascii="宋体" w:hAnsi="宋体" w:eastAsia="宋体" w:cs="宋体"/>
                <w:bCs/>
                <w:kern w:val="0"/>
                <w:sz w:val="24"/>
                <w:szCs w:val="28"/>
                <w:highlight w:val="none"/>
              </w:rPr>
              <w:t xml:space="preserve">支票 </w:t>
            </w:r>
            <w:r>
              <w:rPr>
                <w:rFonts w:hint="eastAsia" w:ascii="宋体" w:hAnsi="宋体" w:eastAsia="宋体" w:cs="宋体"/>
                <w:bCs/>
                <w:kern w:val="0"/>
                <w:sz w:val="24"/>
                <w:szCs w:val="28"/>
                <w:highlight w:val="none"/>
              </w:rPr>
              <w:sym w:font="Wingdings" w:char="00A8"/>
            </w:r>
            <w:r>
              <w:rPr>
                <w:rFonts w:hint="eastAsia" w:ascii="宋体" w:hAnsi="宋体" w:eastAsia="宋体" w:cs="宋体"/>
                <w:bCs/>
                <w:kern w:val="0"/>
                <w:sz w:val="24"/>
                <w:szCs w:val="28"/>
                <w:highlight w:val="none"/>
              </w:rPr>
              <w:t xml:space="preserve">汇票 </w:t>
            </w:r>
            <w:r>
              <w:rPr>
                <w:rFonts w:hint="eastAsia" w:ascii="宋体" w:hAnsi="宋体" w:eastAsia="宋体" w:cs="宋体"/>
                <w:bCs/>
                <w:kern w:val="0"/>
                <w:sz w:val="24"/>
                <w:szCs w:val="28"/>
                <w:highlight w:val="none"/>
              </w:rPr>
              <w:sym w:font="Wingdings" w:char="00A8"/>
            </w:r>
            <w:r>
              <w:rPr>
                <w:rFonts w:hint="eastAsia" w:ascii="宋体" w:hAnsi="宋体" w:eastAsia="宋体" w:cs="宋体"/>
                <w:bCs/>
                <w:kern w:val="0"/>
                <w:sz w:val="24"/>
                <w:szCs w:val="28"/>
                <w:highlight w:val="none"/>
              </w:rPr>
              <w:t xml:space="preserve">本票 </w:t>
            </w:r>
            <w:r>
              <w:rPr>
                <w:rFonts w:hint="eastAsia" w:ascii="宋体" w:hAnsi="宋体" w:eastAsia="宋体" w:cs="宋体"/>
                <w:bCs/>
                <w:kern w:val="0"/>
                <w:sz w:val="24"/>
                <w:szCs w:val="28"/>
                <w:highlight w:val="none"/>
              </w:rPr>
              <w:sym w:font="Wingdings" w:char="00A8"/>
            </w:r>
            <w:r>
              <w:rPr>
                <w:rFonts w:hint="eastAsia" w:ascii="宋体" w:hAnsi="宋体" w:eastAsia="宋体" w:cs="宋体"/>
                <w:bCs/>
                <w:kern w:val="0"/>
                <w:sz w:val="24"/>
                <w:szCs w:val="28"/>
                <w:highlight w:val="none"/>
              </w:rPr>
              <w:t xml:space="preserve">保险 </w:t>
            </w:r>
            <w:r>
              <w:rPr>
                <w:rFonts w:hint="eastAsia" w:ascii="宋体" w:hAnsi="宋体" w:eastAsia="宋体" w:cs="宋体"/>
                <w:bCs/>
                <w:kern w:val="0"/>
                <w:sz w:val="24"/>
                <w:szCs w:val="28"/>
                <w:highlight w:val="none"/>
              </w:rPr>
              <w:sym w:font="Wingdings" w:char="00A8"/>
            </w:r>
            <w:r>
              <w:rPr>
                <w:rFonts w:hint="eastAsia" w:ascii="宋体" w:hAnsi="宋体" w:eastAsia="宋体" w:cs="宋体"/>
                <w:bCs/>
                <w:kern w:val="0"/>
                <w:sz w:val="24"/>
                <w:szCs w:val="28"/>
                <w:highlight w:val="none"/>
              </w:rPr>
              <w:t>保函</w:t>
            </w:r>
          </w:p>
          <w:p w14:paraId="029A0366">
            <w:pPr>
              <w:spacing w:line="440" w:lineRule="exact"/>
              <w:rPr>
                <w:rFonts w:hint="eastAsia" w:ascii="宋体" w:hAnsi="宋体" w:eastAsia="宋体" w:cs="宋体"/>
                <w:bCs/>
                <w:kern w:val="0"/>
                <w:sz w:val="24"/>
                <w:szCs w:val="28"/>
                <w:highlight w:val="none"/>
              </w:rPr>
            </w:pPr>
            <w:r>
              <w:rPr>
                <w:rFonts w:hint="eastAsia" w:ascii="宋体" w:hAnsi="宋体" w:eastAsia="宋体" w:cs="宋体"/>
                <w:bCs/>
                <w:kern w:val="0"/>
                <w:sz w:val="24"/>
                <w:szCs w:val="28"/>
                <w:highlight w:val="none"/>
              </w:rPr>
              <w:t>（3）收取单位：</w:t>
            </w:r>
            <w:r>
              <w:rPr>
                <w:rFonts w:hint="eastAsia" w:ascii="宋体" w:hAnsi="宋体" w:eastAsia="宋体" w:cs="宋体"/>
                <w:bCs/>
                <w:sz w:val="24"/>
                <w:highlight w:val="none"/>
                <w:u w:val="single"/>
              </w:rPr>
              <w:t>/</w:t>
            </w:r>
            <w:r>
              <w:rPr>
                <w:rFonts w:hint="eastAsia" w:ascii="宋体" w:hAnsi="宋体" w:eastAsia="宋体" w:cs="宋体"/>
                <w:bCs/>
                <w:kern w:val="0"/>
                <w:sz w:val="24"/>
                <w:szCs w:val="28"/>
                <w:highlight w:val="none"/>
              </w:rPr>
              <w:t xml:space="preserve">              </w:t>
            </w:r>
          </w:p>
          <w:p w14:paraId="3924B5F2">
            <w:pPr>
              <w:spacing w:line="440" w:lineRule="exact"/>
              <w:rPr>
                <w:rFonts w:hint="eastAsia" w:ascii="宋体" w:hAnsi="宋体" w:eastAsia="宋体" w:cs="宋体"/>
                <w:bCs/>
                <w:kern w:val="0"/>
                <w:sz w:val="24"/>
                <w:szCs w:val="28"/>
                <w:highlight w:val="none"/>
              </w:rPr>
            </w:pPr>
            <w:r>
              <w:rPr>
                <w:rFonts w:hint="eastAsia" w:ascii="宋体" w:hAnsi="宋体" w:eastAsia="宋体" w:cs="宋体"/>
                <w:bCs/>
                <w:kern w:val="0"/>
                <w:sz w:val="24"/>
                <w:szCs w:val="28"/>
                <w:highlight w:val="none"/>
              </w:rPr>
              <w:t>（4）收取账号：</w:t>
            </w:r>
            <w:r>
              <w:rPr>
                <w:rFonts w:hint="eastAsia" w:ascii="宋体" w:hAnsi="宋体" w:eastAsia="宋体" w:cs="宋体"/>
                <w:bCs/>
                <w:sz w:val="24"/>
                <w:highlight w:val="none"/>
                <w:u w:val="single"/>
              </w:rPr>
              <w:t>/</w:t>
            </w:r>
          </w:p>
          <w:p w14:paraId="78F48A46">
            <w:pPr>
              <w:spacing w:line="440" w:lineRule="exact"/>
              <w:rPr>
                <w:rFonts w:hint="eastAsia" w:ascii="宋体" w:hAnsi="宋体" w:eastAsia="宋体" w:cs="宋体"/>
                <w:sz w:val="24"/>
                <w:highlight w:val="none"/>
              </w:rPr>
            </w:pPr>
            <w:r>
              <w:rPr>
                <w:rFonts w:hint="eastAsia" w:ascii="宋体" w:hAnsi="宋体" w:eastAsia="宋体" w:cs="宋体"/>
                <w:bCs/>
                <w:kern w:val="0"/>
                <w:sz w:val="24"/>
                <w:szCs w:val="28"/>
                <w:highlight w:val="none"/>
              </w:rPr>
              <w:t>（5）</w:t>
            </w:r>
            <w:r>
              <w:rPr>
                <w:rFonts w:hint="eastAsia" w:ascii="宋体" w:hAnsi="宋体" w:eastAsia="宋体" w:cs="宋体"/>
                <w:sz w:val="24"/>
                <w:highlight w:val="none"/>
              </w:rPr>
              <w:t>退还时间：</w:t>
            </w:r>
            <w:r>
              <w:rPr>
                <w:rFonts w:hint="eastAsia" w:ascii="宋体" w:hAnsi="宋体" w:eastAsia="宋体" w:cs="宋体"/>
                <w:bCs/>
                <w:sz w:val="24"/>
                <w:highlight w:val="none"/>
                <w:u w:val="single"/>
              </w:rPr>
              <w:t>/</w:t>
            </w:r>
          </w:p>
          <w:p w14:paraId="59E57514">
            <w:pPr>
              <w:spacing w:line="440" w:lineRule="exac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注意事项：</w:t>
            </w:r>
          </w:p>
          <w:p w14:paraId="71A93B17">
            <w:pPr>
              <w:spacing w:line="440" w:lineRule="exac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（1）以上各类机构出具的以担保函、保证保险承担责任的方式均须满足无条件见索即付条件。</w:t>
            </w:r>
          </w:p>
          <w:p w14:paraId="70037CF0">
            <w:pPr>
              <w:spacing w:line="440" w:lineRule="exac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（2）以担保函、保证保险形式缴纳履约保证金的，受益人和收取单位须为采购人。</w:t>
            </w:r>
          </w:p>
        </w:tc>
      </w:tr>
      <w:tr w14:paraId="3EC0F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9" w:type="pct"/>
            <w:vAlign w:val="center"/>
          </w:tcPr>
          <w:p w14:paraId="19AF8508">
            <w:pPr>
              <w:pStyle w:val="48"/>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27.1</w:t>
            </w:r>
          </w:p>
        </w:tc>
        <w:tc>
          <w:tcPr>
            <w:tcW w:w="1174" w:type="pct"/>
            <w:vAlign w:val="center"/>
          </w:tcPr>
          <w:p w14:paraId="53D06908">
            <w:pPr>
              <w:pStyle w:val="47"/>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签订合同和合同公告时间</w:t>
            </w:r>
          </w:p>
        </w:tc>
        <w:tc>
          <w:tcPr>
            <w:tcW w:w="3246" w:type="pct"/>
          </w:tcPr>
          <w:p w14:paraId="4B64F011">
            <w:pPr>
              <w:adjustRightInd w:val="0"/>
              <w:snapToGrid w:val="0"/>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（1）采购人与中标人应当自发出中标通知书之日起7个工作日内签订合同，采购合同签订之日起2个工作日内完成政府采购合同公开。</w:t>
            </w:r>
          </w:p>
          <w:p w14:paraId="3ABF6CC7">
            <w:pPr>
              <w:adjustRightInd w:val="0"/>
              <w:snapToGrid w:val="0"/>
              <w:spacing w:line="440" w:lineRule="exact"/>
              <w:rPr>
                <w:rFonts w:hint="eastAsia" w:ascii="宋体" w:hAnsi="宋体" w:eastAsia="宋体" w:cs="宋体"/>
                <w:b/>
                <w:bCs/>
                <w:kern w:val="0"/>
                <w:sz w:val="24"/>
                <w:szCs w:val="24"/>
                <w:highlight w:val="none"/>
              </w:rPr>
            </w:pPr>
            <w:r>
              <w:rPr>
                <w:rFonts w:hint="eastAsia" w:ascii="宋体" w:hAnsi="宋体" w:eastAsia="宋体" w:cs="宋体"/>
                <w:sz w:val="24"/>
                <w:szCs w:val="24"/>
                <w:highlight w:val="none"/>
              </w:rPr>
              <w:t>（2）采购人与中标人不得擅自变更合同，依照政府采购法确需变更政府采购合同内容的，采购人应当自合同变更之日起2个工作日内在安徽省政府采购网和滁州市公共资源交易中心网发布政府采购合同变更公告，但涉及国家秘密、商业秘密的信息和其他依法不得公开的信息除外。</w:t>
            </w:r>
          </w:p>
        </w:tc>
      </w:tr>
      <w:tr w14:paraId="33BD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4C9F8F45">
            <w:pPr>
              <w:pStyle w:val="48"/>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28.1</w:t>
            </w:r>
          </w:p>
        </w:tc>
        <w:tc>
          <w:tcPr>
            <w:tcW w:w="1174" w:type="pct"/>
            <w:vAlign w:val="center"/>
          </w:tcPr>
          <w:p w14:paraId="6B3BE956">
            <w:pPr>
              <w:pStyle w:val="47"/>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代理费用</w:t>
            </w:r>
          </w:p>
        </w:tc>
        <w:tc>
          <w:tcPr>
            <w:tcW w:w="3246" w:type="pct"/>
            <w:vAlign w:val="center"/>
          </w:tcPr>
          <w:p w14:paraId="39BFDE08">
            <w:pPr>
              <w:spacing w:before="39" w:line="440" w:lineRule="exact"/>
              <w:rPr>
                <w:rFonts w:hint="eastAsia" w:ascii="宋体" w:hAnsi="宋体" w:eastAsia="宋体" w:cs="宋体"/>
                <w:sz w:val="24"/>
                <w:szCs w:val="24"/>
                <w:highlight w:val="none"/>
              </w:rPr>
            </w:pPr>
            <w:r>
              <w:rPr>
                <w:rFonts w:hint="eastAsia" w:ascii="宋体" w:hAnsi="宋体" w:eastAsia="宋体" w:cs="宋体"/>
                <w:bCs/>
                <w:kern w:val="0"/>
                <w:sz w:val="24"/>
                <w:szCs w:val="28"/>
                <w:highlight w:val="none"/>
              </w:rPr>
              <w:t>（1）收费对象</w:t>
            </w:r>
            <w:r>
              <w:rPr>
                <w:rFonts w:hint="eastAsia" w:ascii="宋体" w:hAnsi="宋体" w:eastAsia="宋体" w:cs="宋体"/>
                <w:spacing w:val="-12"/>
                <w:sz w:val="24"/>
                <w:szCs w:val="24"/>
                <w:highlight w:val="none"/>
              </w:rPr>
              <w:t>：</w:t>
            </w:r>
            <w:r>
              <w:rPr>
                <w:rFonts w:hint="eastAsia" w:ascii="宋体" w:hAnsi="宋体" w:eastAsia="宋体" w:cs="宋体"/>
                <w:bCs/>
                <w:kern w:val="0"/>
                <w:sz w:val="24"/>
                <w:szCs w:val="28"/>
                <w:highlight w:val="none"/>
              </w:rPr>
              <w:sym w:font="Wingdings" w:char="00A8"/>
            </w:r>
            <w:r>
              <w:rPr>
                <w:rFonts w:hint="eastAsia" w:ascii="宋体" w:hAnsi="宋体" w:eastAsia="宋体" w:cs="宋体"/>
                <w:spacing w:val="14"/>
                <w:sz w:val="24"/>
                <w:szCs w:val="24"/>
                <w:highlight w:val="none"/>
              </w:rPr>
              <w:t xml:space="preserve">采购人   </w:t>
            </w:r>
            <w:r>
              <w:rPr>
                <w:rFonts w:hint="eastAsia" w:ascii="宋体" w:hAnsi="宋体" w:eastAsia="宋体" w:cs="宋体"/>
                <w:bCs/>
                <w:kern w:val="0"/>
                <w:sz w:val="24"/>
                <w:szCs w:val="28"/>
                <w:highlight w:val="none"/>
              </w:rPr>
              <w:sym w:font="Wingdings" w:char="00FE"/>
            </w:r>
            <w:r>
              <w:rPr>
                <w:rFonts w:hint="eastAsia" w:ascii="宋体" w:hAnsi="宋体" w:eastAsia="宋体" w:cs="宋体"/>
                <w:spacing w:val="14"/>
                <w:sz w:val="24"/>
                <w:szCs w:val="24"/>
                <w:highlight w:val="none"/>
              </w:rPr>
              <w:t>中标人</w:t>
            </w:r>
          </w:p>
          <w:p w14:paraId="673B08C4">
            <w:pPr>
              <w:spacing w:before="24" w:line="440" w:lineRule="exact"/>
              <w:rPr>
                <w:rFonts w:hint="eastAsia" w:ascii="宋体" w:hAnsi="宋体" w:eastAsia="宋体" w:cs="宋体"/>
                <w:bCs/>
                <w:kern w:val="0"/>
                <w:sz w:val="24"/>
                <w:szCs w:val="28"/>
                <w:highlight w:val="none"/>
              </w:rPr>
            </w:pPr>
            <w:r>
              <w:rPr>
                <w:rFonts w:hint="eastAsia" w:ascii="宋体" w:hAnsi="宋体" w:eastAsia="宋体" w:cs="宋体"/>
                <w:bCs/>
                <w:kern w:val="0"/>
                <w:sz w:val="24"/>
                <w:szCs w:val="28"/>
                <w:highlight w:val="none"/>
              </w:rPr>
              <w:t>（2）收取方式</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领取中标通知书时一次性支付给代理机构。</w:t>
            </w:r>
          </w:p>
          <w:p w14:paraId="0D1A2E7A">
            <w:pPr>
              <w:pStyle w:val="47"/>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bCs w:val="0"/>
                <w:sz w:val="24"/>
                <w:highlight w:val="none"/>
              </w:rPr>
              <w:t>（3）</w:t>
            </w:r>
            <w:r>
              <w:rPr>
                <w:rFonts w:hint="eastAsia" w:ascii="宋体" w:hAnsi="宋体" w:eastAsia="宋体" w:cs="宋体"/>
                <w:b w:val="0"/>
                <w:sz w:val="24"/>
                <w:highlight w:val="none"/>
              </w:rPr>
              <w:t>收费标准：</w:t>
            </w:r>
            <w:r>
              <w:rPr>
                <w:rFonts w:hint="eastAsia" w:ascii="宋体" w:hAnsi="宋体" w:eastAsia="宋体" w:cs="宋体"/>
                <w:b w:val="0"/>
                <w:bCs w:val="0"/>
                <w:kern w:val="2"/>
                <w:sz w:val="24"/>
                <w:szCs w:val="24"/>
                <w:highlight w:val="none"/>
                <w:u w:val="single"/>
                <w:lang w:val="en-US" w:eastAsia="zh-CN"/>
              </w:rPr>
              <w:t>3000</w:t>
            </w:r>
            <w:r>
              <w:rPr>
                <w:rFonts w:hint="eastAsia" w:ascii="宋体" w:hAnsi="宋体" w:eastAsia="宋体" w:cs="宋体"/>
                <w:b w:val="0"/>
                <w:bCs w:val="0"/>
                <w:kern w:val="2"/>
                <w:sz w:val="24"/>
                <w:szCs w:val="24"/>
                <w:highlight w:val="none"/>
                <w:u w:val="single"/>
              </w:rPr>
              <w:t>元。参考《滁州市公共资源交易代理机构及从业人员管理暂行办法》滁公管〔2022〕5号，以及补充文件滁公管综〔2023〕19号《关于进一步明确代理费计取标准的通知》标准，以最高限价（控制价）计算。</w:t>
            </w:r>
          </w:p>
        </w:tc>
      </w:tr>
      <w:tr w14:paraId="799EF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4A28318E">
            <w:pPr>
              <w:pStyle w:val="48"/>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31.3</w:t>
            </w:r>
          </w:p>
        </w:tc>
        <w:tc>
          <w:tcPr>
            <w:tcW w:w="1174" w:type="pct"/>
            <w:vAlign w:val="center"/>
          </w:tcPr>
          <w:p w14:paraId="5BCD1D04">
            <w:pPr>
              <w:pStyle w:val="47"/>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质疑函递交方式、接收部门、联系电话和通讯地址</w:t>
            </w:r>
          </w:p>
        </w:tc>
        <w:tc>
          <w:tcPr>
            <w:tcW w:w="3246" w:type="pct"/>
            <w:vAlign w:val="center"/>
          </w:tcPr>
          <w:p w14:paraId="691CB68E">
            <w:pPr>
              <w:widowControl/>
              <w:spacing w:line="440" w:lineRule="exact"/>
              <w:jc w:val="left"/>
              <w:rPr>
                <w:rFonts w:hint="eastAsia" w:ascii="宋体" w:hAnsi="宋体" w:eastAsia="宋体" w:cs="宋体"/>
                <w:bCs/>
                <w:kern w:val="0"/>
                <w:sz w:val="24"/>
                <w:szCs w:val="28"/>
                <w:highlight w:val="none"/>
                <w:u w:val="single"/>
              </w:rPr>
            </w:pPr>
            <w:r>
              <w:rPr>
                <w:rFonts w:hint="eastAsia" w:ascii="宋体" w:hAnsi="宋体" w:eastAsia="宋体" w:cs="宋体"/>
                <w:sz w:val="24"/>
                <w:highlight w:val="none"/>
              </w:rPr>
              <w:t>递交</w:t>
            </w:r>
            <w:r>
              <w:rPr>
                <w:rFonts w:hint="eastAsia" w:ascii="宋体" w:hAnsi="宋体" w:eastAsia="宋体" w:cs="宋体"/>
                <w:bCs/>
                <w:sz w:val="24"/>
                <w:highlight w:val="none"/>
              </w:rPr>
              <w:t>方式：</w:t>
            </w:r>
            <w:r>
              <w:rPr>
                <w:rFonts w:hint="eastAsia" w:ascii="宋体" w:hAnsi="宋体" w:eastAsia="宋体" w:cs="宋体"/>
                <w:bCs/>
                <w:kern w:val="0"/>
                <w:sz w:val="24"/>
                <w:szCs w:val="28"/>
                <w:highlight w:val="none"/>
                <w:u w:val="single"/>
              </w:rPr>
              <w:t>如投标人对招标文件有质疑，依据中华人民共和国财政部令第94号《政府采购质疑和投诉办法》规定提出质疑；供应商可以通过书面形式提出，也可以通过线上提出质疑【通过线上向滁州市公共资源交易中心网电子交易系统提出质疑(具体操作步骤和程序请参见服务指南&gt;交易须知&gt;在线异议、质疑和投诉操作手册)】。一份质疑函只能针对一个项目提出质疑，且针对同一采购程序环节的质疑应当一次性提出。</w:t>
            </w:r>
          </w:p>
          <w:p w14:paraId="7DBC719A">
            <w:pPr>
              <w:pStyle w:val="47"/>
              <w:widowControl w:val="0"/>
              <w:spacing w:before="0" w:beforeAutospacing="0" w:after="0" w:afterAutospacing="0" w:line="440" w:lineRule="exact"/>
              <w:jc w:val="both"/>
              <w:rPr>
                <w:rFonts w:hint="eastAsia" w:ascii="宋体" w:hAnsi="宋体" w:eastAsia="宋体" w:cs="宋体"/>
                <w:b w:val="0"/>
                <w:sz w:val="24"/>
                <w:szCs w:val="18"/>
                <w:highlight w:val="none"/>
              </w:rPr>
            </w:pPr>
            <w:r>
              <w:rPr>
                <w:rFonts w:hint="eastAsia" w:ascii="宋体" w:hAnsi="宋体" w:eastAsia="宋体" w:cs="宋体"/>
                <w:b w:val="0"/>
                <w:sz w:val="24"/>
                <w:highlight w:val="none"/>
              </w:rPr>
              <w:t>接收部门：</w:t>
            </w:r>
            <w:r>
              <w:rPr>
                <w:rFonts w:hint="eastAsia" w:ascii="宋体" w:hAnsi="宋体" w:eastAsia="宋体" w:cs="宋体"/>
                <w:b w:val="0"/>
                <w:sz w:val="24"/>
                <w:highlight w:val="none"/>
                <w:u w:val="single"/>
                <w:lang w:eastAsia="zh-CN"/>
              </w:rPr>
              <w:t>滁州市公路管理服务中心</w:t>
            </w:r>
            <w:r>
              <w:rPr>
                <w:rFonts w:hint="eastAsia" w:ascii="宋体" w:hAnsi="宋体" w:eastAsia="宋体" w:cs="宋体"/>
                <w:b w:val="0"/>
                <w:sz w:val="24"/>
                <w:highlight w:val="none"/>
                <w:u w:val="single"/>
              </w:rPr>
              <w:t>、滁州市城投工程咨询管理有限公司</w:t>
            </w:r>
          </w:p>
          <w:p w14:paraId="3F902BA5">
            <w:pPr>
              <w:pStyle w:val="47"/>
              <w:widowControl w:val="0"/>
              <w:spacing w:before="0" w:beforeAutospacing="0" w:after="0" w:afterAutospacing="0" w:line="440" w:lineRule="exact"/>
              <w:jc w:val="both"/>
              <w:rPr>
                <w:rFonts w:hint="eastAsia" w:ascii="宋体" w:hAnsi="宋体" w:eastAsia="宋体" w:cs="宋体"/>
                <w:b w:val="0"/>
                <w:sz w:val="24"/>
                <w:szCs w:val="18"/>
                <w:highlight w:val="none"/>
                <w:lang w:eastAsia="zh-CN"/>
              </w:rPr>
            </w:pPr>
            <w:r>
              <w:rPr>
                <w:rFonts w:hint="eastAsia" w:ascii="宋体" w:hAnsi="宋体" w:eastAsia="宋体" w:cs="宋体"/>
                <w:b w:val="0"/>
                <w:sz w:val="24"/>
                <w:highlight w:val="none"/>
              </w:rPr>
              <w:t>联系电话：</w:t>
            </w:r>
            <w:r>
              <w:rPr>
                <w:rFonts w:hint="eastAsia" w:ascii="宋体" w:hAnsi="宋体" w:eastAsia="宋体" w:cs="宋体"/>
                <w:b w:val="0"/>
                <w:sz w:val="24"/>
                <w:highlight w:val="none"/>
                <w:u w:val="single"/>
                <w:lang w:eastAsia="zh-CN"/>
              </w:rPr>
              <w:t>0550-3218735</w:t>
            </w:r>
            <w:r>
              <w:rPr>
                <w:rFonts w:hint="eastAsia" w:ascii="宋体" w:hAnsi="宋体" w:eastAsia="宋体" w:cs="宋体"/>
                <w:b w:val="0"/>
                <w:sz w:val="24"/>
                <w:highlight w:val="none"/>
                <w:u w:val="single"/>
              </w:rPr>
              <w:t>、</w:t>
            </w:r>
            <w:r>
              <w:rPr>
                <w:rFonts w:hint="eastAsia" w:ascii="宋体" w:hAnsi="宋体" w:eastAsia="宋体" w:cs="宋体"/>
                <w:b w:val="0"/>
                <w:sz w:val="24"/>
                <w:highlight w:val="none"/>
                <w:u w:val="single"/>
                <w:lang w:eastAsia="zh-CN"/>
              </w:rPr>
              <w:t>0550-3519516、18712012204</w:t>
            </w:r>
          </w:p>
          <w:p w14:paraId="04F6BD23">
            <w:pPr>
              <w:pStyle w:val="47"/>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通讯地址：</w:t>
            </w:r>
            <w:r>
              <w:rPr>
                <w:rFonts w:hint="eastAsia" w:ascii="宋体" w:hAnsi="宋体" w:eastAsia="宋体" w:cs="宋体"/>
                <w:b w:val="0"/>
                <w:bCs w:val="0"/>
                <w:sz w:val="24"/>
                <w:szCs w:val="18"/>
                <w:highlight w:val="none"/>
                <w:u w:val="single"/>
                <w:lang w:eastAsia="zh-CN"/>
              </w:rPr>
              <w:t>滁州市龙蟠大道200号</w:t>
            </w:r>
            <w:r>
              <w:rPr>
                <w:rFonts w:hint="eastAsia" w:ascii="宋体" w:hAnsi="宋体" w:eastAsia="宋体" w:cs="宋体"/>
                <w:b w:val="0"/>
                <w:bCs w:val="0"/>
                <w:sz w:val="24"/>
                <w:szCs w:val="18"/>
                <w:highlight w:val="none"/>
                <w:u w:val="single"/>
              </w:rPr>
              <w:t>、滁州市龙蟠大道109号房产大厦6楼</w:t>
            </w:r>
          </w:p>
        </w:tc>
      </w:tr>
      <w:tr w14:paraId="7C774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70D1F8EE">
            <w:pPr>
              <w:pStyle w:val="48"/>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32</w:t>
            </w:r>
          </w:p>
        </w:tc>
        <w:tc>
          <w:tcPr>
            <w:tcW w:w="1174" w:type="pct"/>
            <w:vAlign w:val="center"/>
          </w:tcPr>
          <w:p w14:paraId="14F963DD">
            <w:pPr>
              <w:pStyle w:val="47"/>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其他内容</w:t>
            </w:r>
          </w:p>
        </w:tc>
        <w:tc>
          <w:tcPr>
            <w:tcW w:w="3246" w:type="pct"/>
            <w:vAlign w:val="center"/>
          </w:tcPr>
          <w:p w14:paraId="03C941FC">
            <w:pPr>
              <w:pStyle w:val="47"/>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1.解释权：</w:t>
            </w:r>
          </w:p>
          <w:p w14:paraId="7AEA1DAE">
            <w:pPr>
              <w:spacing w:line="44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（1）构成本招标文件的各个组成文件应互为解释，互为说明；</w:t>
            </w:r>
          </w:p>
          <w:p w14:paraId="25E4912E">
            <w:pPr>
              <w:spacing w:line="44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（2）同一组成文件中就同一事项的规定或约定不一致的，以编排顺序在后者为准；</w:t>
            </w:r>
          </w:p>
          <w:p w14:paraId="35A4F46F">
            <w:pPr>
              <w:spacing w:line="44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（3）如有不明确或不一致，构成合同文件组成内容的，以合同文件约定内容为准，且以专用合同条款约定的合同文件优先顺序解释；</w:t>
            </w:r>
          </w:p>
          <w:p w14:paraId="5C769CCD">
            <w:pPr>
              <w:spacing w:line="44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（4）除招标文件中有特别规定外，仅适用于招标投标阶段的规定，按招标公告、投标邀请、投标人须知、评标方法和标准、投标文件格式的先后顺序解释；</w:t>
            </w:r>
          </w:p>
          <w:p w14:paraId="2C360166">
            <w:pPr>
              <w:pStyle w:val="47"/>
              <w:widowControl w:val="0"/>
              <w:spacing w:before="0" w:beforeAutospacing="0" w:after="0" w:afterAutospacing="0" w:line="440" w:lineRule="exact"/>
              <w:jc w:val="both"/>
              <w:rPr>
                <w:rFonts w:hint="eastAsia" w:ascii="宋体" w:hAnsi="宋体" w:eastAsia="宋体" w:cs="宋体"/>
                <w:b w:val="0"/>
                <w:kern w:val="2"/>
                <w:sz w:val="24"/>
                <w:szCs w:val="24"/>
                <w:highlight w:val="none"/>
              </w:rPr>
            </w:pPr>
            <w:r>
              <w:rPr>
                <w:rFonts w:hint="eastAsia" w:ascii="宋体" w:hAnsi="宋体" w:eastAsia="宋体" w:cs="宋体"/>
                <w:b w:val="0"/>
                <w:kern w:val="2"/>
                <w:sz w:val="24"/>
                <w:szCs w:val="24"/>
                <w:highlight w:val="none"/>
              </w:rPr>
              <w:t>（5）按本款前述规定仍不能形成结论的，由采购人负责解释。</w:t>
            </w:r>
          </w:p>
          <w:p w14:paraId="02600191">
            <w:pPr>
              <w:spacing w:line="44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2.“政采贷”融资指引：有融资需求的</w:t>
            </w:r>
            <w:r>
              <w:rPr>
                <w:rFonts w:hint="eastAsia" w:ascii="宋体" w:hAnsi="宋体" w:eastAsia="宋体" w:cs="宋体"/>
                <w:sz w:val="24"/>
                <w:szCs w:val="24"/>
                <w:highlight w:val="none"/>
              </w:rPr>
              <w:t>中标人</w:t>
            </w:r>
            <w:r>
              <w:rPr>
                <w:rFonts w:hint="eastAsia" w:ascii="宋体" w:hAnsi="宋体" w:eastAsia="宋体" w:cs="宋体"/>
                <w:bCs/>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hAnsi="宋体" w:eastAsia="宋体" w:cs="宋体"/>
                <w:sz w:val="24"/>
                <w:szCs w:val="24"/>
                <w:highlight w:val="none"/>
              </w:rPr>
              <w:t>中标人</w:t>
            </w:r>
            <w:r>
              <w:rPr>
                <w:rFonts w:hint="eastAsia" w:ascii="宋体" w:hAnsi="宋体" w:eastAsia="宋体" w:cs="宋体"/>
                <w:bCs/>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sz w:val="24"/>
                <w:szCs w:val="24"/>
                <w:highlight w:val="none"/>
              </w:rPr>
              <w:t>中标人</w:t>
            </w:r>
            <w:r>
              <w:rPr>
                <w:rFonts w:hint="eastAsia" w:ascii="宋体" w:hAnsi="宋体" w:eastAsia="宋体" w:cs="宋体"/>
                <w:bCs/>
                <w:sz w:val="24"/>
                <w:szCs w:val="24"/>
                <w:highlight w:val="none"/>
              </w:rPr>
              <w:t>融资申请信息推送第三方平台、意向金融机构。</w:t>
            </w:r>
          </w:p>
          <w:p w14:paraId="4265E053">
            <w:pPr>
              <w:pStyle w:val="47"/>
              <w:widowControl w:val="0"/>
              <w:spacing w:before="0" w:beforeAutospacing="0" w:after="0" w:afterAutospacing="0" w:line="440" w:lineRule="exact"/>
              <w:jc w:val="both"/>
              <w:rPr>
                <w:rFonts w:hint="eastAsia" w:ascii="宋体" w:hAnsi="宋体" w:eastAsia="宋体" w:cs="宋体"/>
                <w:b w:val="0"/>
                <w:kern w:val="2"/>
                <w:sz w:val="24"/>
                <w:szCs w:val="24"/>
                <w:highlight w:val="none"/>
              </w:rPr>
            </w:pPr>
            <w:r>
              <w:rPr>
                <w:rFonts w:hint="eastAsia" w:ascii="宋体" w:hAnsi="宋体" w:eastAsia="宋体" w:cs="宋体"/>
                <w:b w:val="0"/>
                <w:kern w:val="2"/>
                <w:sz w:val="24"/>
                <w:szCs w:val="24"/>
                <w:highlight w:val="none"/>
              </w:rPr>
              <w:t>3.电子保函指引：中标人可访问安徽省政府采购网“融资/保函”栏目，申请办理电子保函（包括：履约保函、预付款保函）。</w:t>
            </w:r>
          </w:p>
          <w:p w14:paraId="6185B08A">
            <w:pPr>
              <w:pStyle w:val="25"/>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rPr>
              <w:t>4.</w:t>
            </w:r>
            <w:r>
              <w:rPr>
                <w:rFonts w:hint="eastAsia" w:ascii="宋体" w:hAnsi="宋体" w:eastAsia="宋体" w:cs="宋体"/>
                <w:bCs/>
                <w:kern w:val="2"/>
                <w:szCs w:val="24"/>
                <w:highlight w:val="none"/>
                <w:lang w:bidi="ar"/>
              </w:rPr>
              <w:t>部分可提供线下政采贷的金融机构：</w:t>
            </w:r>
          </w:p>
          <w:p w14:paraId="5086D059">
            <w:pPr>
              <w:pStyle w:val="25"/>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市本级</w:t>
            </w:r>
          </w:p>
          <w:p w14:paraId="5762DFD4">
            <w:pPr>
              <w:pStyle w:val="25"/>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金融机构名称：兴业银行滁州分行</w:t>
            </w:r>
          </w:p>
          <w:p w14:paraId="5D3752F2">
            <w:pPr>
              <w:pStyle w:val="25"/>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安徽省滁州市琅琊区丰乐大道1090号</w:t>
            </w:r>
          </w:p>
          <w:p w14:paraId="5D1C16E3">
            <w:pPr>
              <w:pStyle w:val="25"/>
              <w:spacing w:before="0" w:beforeAutospacing="0" w:after="0" w:afterAutospacing="0" w:line="440" w:lineRule="exact"/>
              <w:jc w:val="both"/>
              <w:rPr>
                <w:rFonts w:hint="eastAsia" w:ascii="宋体" w:hAnsi="宋体" w:eastAsia="宋体" w:cs="宋体"/>
                <w:bCs/>
                <w:kern w:val="2"/>
                <w:szCs w:val="24"/>
                <w:highlight w:val="none"/>
                <w:lang w:bidi="ar"/>
              </w:rPr>
            </w:pPr>
            <w:r>
              <w:rPr>
                <w:rFonts w:hint="eastAsia" w:ascii="宋体" w:hAnsi="宋体" w:eastAsia="宋体" w:cs="宋体"/>
                <w:bCs/>
                <w:kern w:val="2"/>
                <w:szCs w:val="24"/>
                <w:highlight w:val="none"/>
                <w:lang w:bidi="ar"/>
              </w:rPr>
              <w:t>伏庚：17755080811</w:t>
            </w:r>
          </w:p>
          <w:p w14:paraId="3D2F1142">
            <w:pPr>
              <w:pStyle w:val="25"/>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5.特别提示：</w:t>
            </w:r>
          </w:p>
          <w:p w14:paraId="17645DFA">
            <w:pPr>
              <w:pStyle w:val="25"/>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（1）投标人应填写投标信息并下载招标文件，否则无法上传投标文件。</w:t>
            </w:r>
          </w:p>
          <w:p w14:paraId="648ED881">
            <w:pPr>
              <w:pStyle w:val="25"/>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注：投标人如为联合体的，牵头人必须完善投标人信息，并在上传投标文件环节添加联合体投标信息。</w:t>
            </w:r>
          </w:p>
          <w:p w14:paraId="543DCF1D">
            <w:pPr>
              <w:pStyle w:val="25"/>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2）本项目采用电子招标投标，请投标人在滁州市公共资源交易中心网&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4009980000。</w:t>
            </w:r>
          </w:p>
          <w:p w14:paraId="0A7A1DA0">
            <w:pPr>
              <w:pStyle w:val="25"/>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（3）如果过程中出现招标文件更改，应以最后发布的招标答疑澄清文件中的模板制作本项目最新投标文件。</w:t>
            </w:r>
          </w:p>
          <w:p w14:paraId="13ED0EF1">
            <w:pPr>
              <w:pStyle w:val="25"/>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 xml:space="preserve">（4）投标人应当用本单位CA数字证书制作投标文件，制作成功后进行投标文件上传。 </w:t>
            </w:r>
          </w:p>
          <w:p w14:paraId="0B15E6DE">
            <w:pPr>
              <w:pStyle w:val="25"/>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5）投标人须用CA数字证书盖章和加密投标文件，建议使用主锁。（如未办理CA数字证书请及时办理，网上办理和窗口办理均可。查看办理所需资料请登录滁州市公共资源交易中心网&gt;服务指南&gt;办事指南&gt;CA数字证书和电子签章。因未及时办理CA数字证书手续导致无法投标的，责任自负。</w:t>
            </w:r>
          </w:p>
          <w:p w14:paraId="444B29ED">
            <w:pPr>
              <w:pStyle w:val="25"/>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（6）请投标人注意加密投标文件CA数字证书的有效期，不在有效期的CA数字证书无法解密投标文件。</w:t>
            </w:r>
          </w:p>
          <w:p w14:paraId="7F890139">
            <w:pPr>
              <w:pStyle w:val="25"/>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（7）投标人投标MAC地址或投标人联系人或联系电话相同的，由评标委员会否决其投标，并报告监管部门作不良行为处理和进一步调查。</w:t>
            </w:r>
          </w:p>
          <w:p w14:paraId="348371E3">
            <w:pPr>
              <w:pStyle w:val="25"/>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（8）投标人单方面出现其他投标人材料的，由评标委员会否决其投标。</w:t>
            </w:r>
          </w:p>
          <w:p w14:paraId="605E717E">
            <w:pPr>
              <w:pStyle w:val="25"/>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9）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34E821E7">
            <w:pPr>
              <w:pStyle w:val="25"/>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10）电子加密投标文件上传到系统后，需要投标企业和招标代理公司到开标截止时间后共同解锁，不存在商务报价等投标信息通过系统泄密的风险；投标截止时间前，已上传的投标文件也可以撤回修改。集中到开标截止时间前上传电子加密投标文件，可能出现由于投标企业制作电子投标文件不熟练、网络拥堵等不可预知的情况而且无法及时解决，丧失投标机会，请各投标企业提前制作、上传电子加密投标文件，否则由于无法及时上传电子加密投标文件而废标或无效投标的情况，责任自负！</w:t>
            </w:r>
          </w:p>
          <w:p w14:paraId="7752D84B">
            <w:pPr>
              <w:pStyle w:val="25"/>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6.评标过程中的澄清、说明或补正：</w:t>
            </w:r>
          </w:p>
          <w:p w14:paraId="0E68738C">
            <w:pPr>
              <w:pStyle w:val="25"/>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（1）评标委员会通过网上招投标系统将需要澄清、说明或补正的内容以询标函的形式发送给投标人，投标人应安排专人登录网上招投标系统并保持在线状态，以便及时接收评标委员会可能发出的询标函。</w:t>
            </w:r>
          </w:p>
          <w:p w14:paraId="132B7486">
            <w:pPr>
              <w:pStyle w:val="25"/>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2）因投标人未登录网上招投标系统导致无法及时接收询标函（远程网上询标）或未在规定时间内按评标委员会要求进行澄清、说明或补正内容的视同投标人放弃澄清、说明或补正内容的权利，评标委员会可按对投标人不利的解释进行判定。</w:t>
            </w:r>
          </w:p>
          <w:p w14:paraId="6A78AFF2">
            <w:pPr>
              <w:pStyle w:val="25"/>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7.同义词语：</w:t>
            </w:r>
          </w:p>
          <w:p w14:paraId="1EC5780F">
            <w:pPr>
              <w:pStyle w:val="25"/>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招标文件第六章  投标文件格式、附件1“关于联合惩戒失信行为 加强信用查询管理的通知”等章节中 “招标人”、“供应商”，等同于“采购人”、“投标人”。</w:t>
            </w:r>
          </w:p>
          <w:p w14:paraId="18C755F4">
            <w:pPr>
              <w:pStyle w:val="47"/>
              <w:widowControl w:val="0"/>
              <w:numPr>
                <w:ilvl w:val="0"/>
                <w:numId w:val="1"/>
              </w:numPr>
              <w:spacing w:before="0" w:beforeAutospacing="0" w:after="0" w:afterAutospacing="0" w:line="440" w:lineRule="exact"/>
              <w:jc w:val="both"/>
              <w:rPr>
                <w:rFonts w:hint="eastAsia" w:ascii="宋体" w:hAnsi="宋体" w:eastAsia="宋体" w:cs="宋体"/>
                <w:b w:val="0"/>
                <w:kern w:val="2"/>
                <w:sz w:val="24"/>
                <w:szCs w:val="24"/>
                <w:highlight w:val="none"/>
                <w:lang w:bidi="ar"/>
              </w:rPr>
            </w:pPr>
            <w:r>
              <w:rPr>
                <w:rFonts w:hint="eastAsia" w:ascii="宋体" w:hAnsi="宋体" w:eastAsia="宋体" w:cs="宋体"/>
                <w:b w:val="0"/>
                <w:kern w:val="2"/>
                <w:sz w:val="24"/>
                <w:szCs w:val="24"/>
                <w:highlight w:val="none"/>
                <w:lang w:bidi="ar"/>
              </w:rPr>
              <w:t>落实政府采购支持节能产品、环境标志产品政策。</w:t>
            </w:r>
          </w:p>
          <w:p w14:paraId="681EF64E">
            <w:pPr>
              <w:pStyle w:val="47"/>
              <w:widowControl w:val="0"/>
              <w:numPr>
                <w:ilvl w:val="0"/>
                <w:numId w:val="1"/>
              </w:numPr>
              <w:spacing w:before="0" w:beforeAutospacing="0" w:after="0" w:afterAutospacing="0" w:line="440" w:lineRule="exact"/>
              <w:jc w:val="both"/>
              <w:rPr>
                <w:rFonts w:hint="eastAsia" w:ascii="宋体" w:hAnsi="宋体" w:eastAsia="宋体" w:cs="宋体"/>
                <w:b w:val="0"/>
                <w:kern w:val="2"/>
                <w:sz w:val="24"/>
                <w:szCs w:val="24"/>
                <w:highlight w:val="none"/>
                <w:lang w:bidi="ar"/>
              </w:rPr>
            </w:pPr>
            <w:r>
              <w:rPr>
                <w:rFonts w:hint="eastAsia" w:ascii="宋体" w:hAnsi="宋体" w:eastAsia="宋体" w:cs="宋体"/>
                <w:b w:val="0"/>
                <w:kern w:val="2"/>
                <w:sz w:val="24"/>
                <w:szCs w:val="24"/>
                <w:highlight w:val="none"/>
              </w:rPr>
              <w:t>系统中提供的表格与采购文件中不一致时，以采购文件中提供的表格格式为准。</w:t>
            </w:r>
          </w:p>
        </w:tc>
      </w:tr>
    </w:tbl>
    <w:p w14:paraId="408EDE9C">
      <w:pPr>
        <w:spacing w:line="440" w:lineRule="exact"/>
        <w:jc w:val="center"/>
        <w:outlineLvl w:val="1"/>
        <w:rPr>
          <w:rFonts w:hint="eastAsia" w:ascii="宋体" w:hAnsi="宋体" w:eastAsia="宋体" w:cs="宋体"/>
          <w:b/>
          <w:sz w:val="24"/>
          <w:highlight w:val="none"/>
        </w:rPr>
      </w:pPr>
      <w:r>
        <w:rPr>
          <w:rFonts w:hint="eastAsia" w:ascii="宋体" w:hAnsi="宋体" w:eastAsia="宋体" w:cs="宋体"/>
          <w:b/>
          <w:sz w:val="28"/>
          <w:highlight w:val="none"/>
        </w:rPr>
        <w:br w:type="page"/>
      </w:r>
      <w:bookmarkStart w:id="37" w:name="_Toc9427"/>
      <w:bookmarkStart w:id="38" w:name="_Toc24882"/>
      <w:bookmarkStart w:id="39" w:name="_Toc12032"/>
      <w:r>
        <w:rPr>
          <w:rFonts w:hint="eastAsia" w:ascii="宋体" w:hAnsi="宋体" w:eastAsia="宋体" w:cs="宋体"/>
          <w:b/>
          <w:sz w:val="24"/>
          <w:highlight w:val="none"/>
        </w:rPr>
        <w:t>二、投标人须知正文</w:t>
      </w:r>
      <w:bookmarkEnd w:id="37"/>
      <w:bookmarkEnd w:id="38"/>
      <w:bookmarkEnd w:id="39"/>
    </w:p>
    <w:p w14:paraId="71E08ABA">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1.采购人、采购代理机构及投标人</w:t>
      </w:r>
    </w:p>
    <w:p w14:paraId="21702B2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1.1采购人：是指依法开展政府采购活动的国家机关、事业单位、团体组织。</w:t>
      </w:r>
    </w:p>
    <w:p w14:paraId="7420A16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1.2采购代理机构：是指集中采购机构或从事采购代理业务的社会中介机构。</w:t>
      </w:r>
    </w:p>
    <w:p w14:paraId="37D5E22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1.3政府采购监督管理部门：各级人民政府指定的有关部门依法履行与政府采购活动有关的监督管理职责。</w:t>
      </w:r>
    </w:p>
    <w:p w14:paraId="232F71A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1.4投标人：是指向采购人提供货物、工程或者服务的法人、其他组织或者自然人。分支机构不得参加政府采购活动，但银行、保险、石油石化、电力、电信等特殊行业除外。本项目的投标人须满足以下条件：</w:t>
      </w:r>
    </w:p>
    <w:p w14:paraId="0225826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1.4.1具备《中华人民共和国政府采购法》第二十二条关于供应商条件的规定，遵守本项目采购人本级和上级财政部门政府采购的有关规定。</w:t>
      </w:r>
    </w:p>
    <w:p w14:paraId="71007C1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1.4.2以采购代理机构认可的方式获得了本项目的招标文件。</w:t>
      </w:r>
    </w:p>
    <w:p w14:paraId="41ED34C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1.4.3若采购需求中写明允许采购进口产品，投标人应保证所投产品可履行合法报通关手续进入中国关境内。</w:t>
      </w:r>
    </w:p>
    <w:p w14:paraId="04EFA71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若采购需求中未写明允许采购进口产品，如投标人所投产品为进口产品，其投标将被认定为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04032AD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1.5若招标公告中允许联合体投标，对联合体规定如下：</w:t>
      </w:r>
    </w:p>
    <w:p w14:paraId="544D075E">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1.5.1两个以上供应商可以组成一个投标联合体，以一个投标人的身份投标。联合体投标的，招标文件获取手续由联合体中任一成员单位办理均可。</w:t>
      </w:r>
    </w:p>
    <w:p w14:paraId="0819F8D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1.5.2联合体各方均应符合《中华人民共和国政府采购法》第二十二条规定的条件。</w:t>
      </w:r>
    </w:p>
    <w:p w14:paraId="6A5FF89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1.5.3采购人根据采购项目对投标人的特殊要求，联合体中至少应当有一方符合相关规定。</w:t>
      </w:r>
    </w:p>
    <w:p w14:paraId="4413A03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1.5.4联合体各方应签订联合协议，明确约定联合体各方承担的工作和相应的责任，并将联合协议作为投标文件的一部分提交。</w:t>
      </w:r>
    </w:p>
    <w:p w14:paraId="1CE6E99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1.5.5大中型企业、其他自然人、法人或者非法人组织与小型、微型企业组成联合体共同参加投标，联合协议中应写明小型、微型企业的协议合同金额占到联合协议投标总金额的比例。</w:t>
      </w:r>
    </w:p>
    <w:p w14:paraId="1B648F7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1.5.6联合体中有同类资质的供应商按照联合体分工承担相同工作的，应当按照资质等级较低的供应商确定资质等级。</w:t>
      </w:r>
    </w:p>
    <w:p w14:paraId="631D30E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1.5.7以联合体形式参加政府采购活动的，联合体各方不得再单独参加或者与其他供应商另外组成联合体参加本项目投标，否则相关投标将被认定为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378C46E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1.5.8对联合体投标的其他资格要求见申请人的资格要求。</w:t>
      </w:r>
    </w:p>
    <w:p w14:paraId="25D36568">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2.资金落实情况</w:t>
      </w:r>
    </w:p>
    <w:p w14:paraId="2B85D3D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2.1本项目的采购人已获得足以支付本次招标后所签订的合同项下的资金。</w:t>
      </w:r>
    </w:p>
    <w:p w14:paraId="5EED430F">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3.投标费用</w:t>
      </w:r>
    </w:p>
    <w:p w14:paraId="08BD8BC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不论投标的结果如何，投标人应承担所有与准备和参加投标有关的费用。</w:t>
      </w:r>
    </w:p>
    <w:p w14:paraId="5CD45A0A">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4.适用法律</w:t>
      </w:r>
    </w:p>
    <w:p w14:paraId="5321888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本项目采购人、采购代理机构、投标人、评标委员会的相关行为均受《中华人民共和国政府采购法》、《中</w:t>
      </w:r>
      <w:r>
        <w:rPr>
          <w:rFonts w:hint="eastAsia" w:ascii="宋体" w:hAnsi="宋体" w:eastAsia="宋体" w:cs="宋体"/>
          <w:color w:val="auto"/>
          <w:sz w:val="24"/>
          <w:szCs w:val="22"/>
          <w:highlight w:val="none"/>
        </w:rPr>
        <w:t>华人民共和国政府采购法实施条例》及本项目本级和上级财政部门、政府采购监督管理部门的政府采购有关规定的约束，其权利受到上述法律法规的保护。</w:t>
      </w:r>
    </w:p>
    <w:p w14:paraId="33E3AD6E">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5.招标文件构成</w:t>
      </w:r>
    </w:p>
    <w:p w14:paraId="780F5D2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5.1招标文件包括下列内容：</w:t>
      </w:r>
    </w:p>
    <w:p w14:paraId="1DD129F2">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第一章  投标邀请</w:t>
      </w:r>
    </w:p>
    <w:p w14:paraId="711911A1">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  投标人须知</w:t>
      </w:r>
    </w:p>
    <w:p w14:paraId="7059A940">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第三章  采购需求</w:t>
      </w:r>
    </w:p>
    <w:p w14:paraId="61E41597">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第四章  评标方法和标准</w:t>
      </w:r>
    </w:p>
    <w:p w14:paraId="2C56AB8C">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第五章  政府采购合同</w:t>
      </w:r>
    </w:p>
    <w:p w14:paraId="56EE10EF">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第六章  投标文件格式</w:t>
      </w:r>
    </w:p>
    <w:p w14:paraId="3BF2FD80">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第七章  政府采购询问函和质疑函范本</w:t>
      </w:r>
    </w:p>
    <w:p w14:paraId="1B95702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5.2现场考察（</w:t>
      </w:r>
      <w:r>
        <w:rPr>
          <w:rFonts w:hint="eastAsia" w:ascii="宋体" w:hAnsi="宋体" w:eastAsia="宋体" w:cs="宋体"/>
          <w:bCs/>
          <w:color w:val="auto"/>
          <w:sz w:val="24"/>
          <w:szCs w:val="22"/>
          <w:highlight w:val="none"/>
        </w:rPr>
        <w:t>标前答疑会</w:t>
      </w:r>
      <w:r>
        <w:rPr>
          <w:rFonts w:hint="eastAsia" w:ascii="宋体" w:hAnsi="宋体" w:eastAsia="宋体" w:cs="宋体"/>
          <w:color w:val="auto"/>
          <w:sz w:val="24"/>
          <w:highlight w:val="none"/>
        </w:rPr>
        <w:t>）及相关事项见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370837D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5.3投标人应认真阅读招标文件所有的事项、格式、条款和技术规范等。</w:t>
      </w:r>
    </w:p>
    <w:p w14:paraId="2F5ECB10">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6.招标文件的澄清与修改</w:t>
      </w:r>
    </w:p>
    <w:p w14:paraId="404C38F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6.1投标人如对招标文件内容有疑问，可在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规定的网上询问截止时间前提交给采购代理机构。</w:t>
      </w:r>
    </w:p>
    <w:p w14:paraId="0084028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6.2采购人可主动地或在答复投标人提出的询问时对招标文件进行澄清与修改。采购代理机构将在安徽省政府采购网和滁州市公共资源交易中心网以发布更正公告的方式，澄清或修改招标文件，更正公告的内容作为招标文件的组成部分，对投标人起约束作用。投标人应主动上网查询。采购代理机构不承担投标人未及时关注相关信息引发的相关责任。</w:t>
      </w:r>
    </w:p>
    <w:p w14:paraId="4E1A8D2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2588858A">
      <w:pPr>
        <w:spacing w:line="440" w:lineRule="exact"/>
        <w:ind w:firstLine="435"/>
        <w:rPr>
          <w:rFonts w:hint="eastAsia" w:ascii="宋体" w:hAnsi="宋体" w:eastAsia="宋体" w:cs="宋体"/>
          <w:i/>
          <w:iCs/>
          <w:color w:val="auto"/>
          <w:sz w:val="24"/>
          <w:highlight w:val="none"/>
        </w:rPr>
      </w:pPr>
      <w:r>
        <w:rPr>
          <w:rFonts w:hint="eastAsia" w:ascii="宋体" w:hAnsi="宋体" w:eastAsia="宋体" w:cs="宋体"/>
          <w:color w:val="auto"/>
          <w:sz w:val="24"/>
          <w:highlight w:val="none"/>
        </w:rPr>
        <w:t>6.4对于没有提出疑问又参与了本项目投标的投标人将被视为完全认同本招标文件（含更正公告的内容）</w:t>
      </w:r>
      <w:r>
        <w:rPr>
          <w:rFonts w:hint="eastAsia" w:ascii="宋体" w:hAnsi="宋体" w:eastAsia="宋体" w:cs="宋体"/>
          <w:i/>
          <w:color w:val="auto"/>
          <w:sz w:val="24"/>
          <w:highlight w:val="none"/>
        </w:rPr>
        <w:t>。</w:t>
      </w:r>
    </w:p>
    <w:p w14:paraId="7EB0ACB1">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7.投标范围及投标文件中标准和计量单位的使用</w:t>
      </w:r>
    </w:p>
    <w:p w14:paraId="57AE55B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7.1项目有分包的，投标人可对招标文件其中某一个或几个分包进行投标，除非在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中另有规定。</w:t>
      </w:r>
    </w:p>
    <w:p w14:paraId="7EC7581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7.2投标人应当对所投分包招标文件中“采购需求”所列的所有内容进行投标，如仅响应所投包别中的部分内容，其所投包别的投标将被认定为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4EC18C7D">
      <w:pPr>
        <w:spacing w:line="440" w:lineRule="exact"/>
        <w:ind w:firstLine="435"/>
        <w:rPr>
          <w:rFonts w:hint="eastAsia" w:ascii="宋体" w:hAnsi="宋体" w:eastAsia="宋体" w:cs="宋体"/>
          <w:color w:val="auto"/>
          <w:sz w:val="24"/>
          <w:highlight w:val="none"/>
        </w:rPr>
      </w:pPr>
      <w:bookmarkStart w:id="40" w:name="_Hlk16458980"/>
      <w:r>
        <w:rPr>
          <w:rFonts w:hint="eastAsia" w:ascii="宋体" w:hAnsi="宋体" w:eastAsia="宋体" w:cs="宋体"/>
          <w:color w:val="auto"/>
          <w:sz w:val="24"/>
          <w:highlight w:val="none"/>
        </w:rPr>
        <w:t>7.3无论招标文件中是否要求，投标人所投货物、服务及工程（如有）均应符合国家强制性标准。</w:t>
      </w:r>
    </w:p>
    <w:bookmarkEnd w:id="40"/>
    <w:p w14:paraId="3840E3E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7.4投标人与采购代理机构之间与投标有关的所有往来通知、函件和投标文件均用中文表述。投标人随投标文件提供的证明文件和资料可以为其它语言，但必须附中文译文。翻译的中文资料与外文资料出现差异时，以中文为准。</w:t>
      </w:r>
    </w:p>
    <w:p w14:paraId="4B063D8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7.5除招标文件中有特殊要求外，投标文件中所使用的计量单位，应采用中华人民共和国法定计量单位。</w:t>
      </w:r>
    </w:p>
    <w:p w14:paraId="1555DEDA">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8.投标文件构成</w:t>
      </w:r>
    </w:p>
    <w:p w14:paraId="085ACA2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8.1投标人应完整地按招标文件提供的投标文件格式及要求编写投标文件，具体内容详见本项目投标文件格式的相关内容。</w:t>
      </w:r>
    </w:p>
    <w:p w14:paraId="0F3B387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8.2投标人应提交招标文件要求的证明文件，证明其投标内容符合招标文件规定，该证明文件是投标文件的一部分。证明文件形式可以是文字资料、图纸和数据</w:t>
      </w:r>
      <w:bookmarkStart w:id="41" w:name="_Hlk11703583"/>
      <w:r>
        <w:rPr>
          <w:rFonts w:hint="eastAsia" w:ascii="宋体" w:hAnsi="宋体" w:eastAsia="宋体" w:cs="宋体"/>
          <w:color w:val="auto"/>
          <w:sz w:val="24"/>
          <w:highlight w:val="none"/>
        </w:rPr>
        <w:t>等。</w:t>
      </w:r>
    </w:p>
    <w:bookmarkEnd w:id="41"/>
    <w:p w14:paraId="379466F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8.3为保证公平公正，除非另有规定或说明，投标人对同一项目投标时，不得同时提供备选投标方案。</w:t>
      </w:r>
    </w:p>
    <w:p w14:paraId="1D154ACE">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9.投标报价</w:t>
      </w:r>
    </w:p>
    <w:p w14:paraId="41EFB27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12.1投标人的报价应当包括满足本次招标全部采购需求。除招标文件另有规定外，所有投标均应以人民币报价。投标人的投标报价应遵守《中华人民共和国价格法》。</w:t>
      </w:r>
    </w:p>
    <w:p w14:paraId="3967C82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9.2投标人报价超过招标文件规定的预算金额或者分项、分包最高限价，其投标将被认定为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7C3C9C8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9.3投标报价在合同履行过程中是固定不变的，不得以任何理由予以变更。任何包含价格调整要求的投标，其投标将被认定为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6371107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9.4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493526F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9.5采购人不接受具有附加条件的报价。</w:t>
      </w:r>
    </w:p>
    <w:p w14:paraId="749CEA50">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10.投标保证金</w:t>
      </w:r>
    </w:p>
    <w:p w14:paraId="7079339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10.1本项目不收取投标保证金。</w:t>
      </w:r>
    </w:p>
    <w:p w14:paraId="341FF59A">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11.投标有效期</w:t>
      </w:r>
    </w:p>
    <w:p w14:paraId="13E9F49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11.1投标有效期为从投标截止之日算起的日历天数，投标有效期详见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496E84E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11.2在投标有效期内，投标人的投标保持有效，投标人不得要求撤销或修改其投标文件。投标有效期不满足要求的投标，其投标将被认定为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09E193E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11.3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6CF1906F">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12.投标文件的递交、修改与撤回</w:t>
      </w:r>
    </w:p>
    <w:p w14:paraId="449922D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12.1投标人应当在招标公告规定的投标截止时间前，将加密的投标文件在电子交易系统上传。</w:t>
      </w:r>
    </w:p>
    <w:p w14:paraId="29A86E5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032716CA">
      <w:pPr>
        <w:spacing w:line="440" w:lineRule="exact"/>
        <w:ind w:firstLine="43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13.开标</w:t>
      </w:r>
    </w:p>
    <w:p w14:paraId="2925805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13.1开标时，</w:t>
      </w:r>
      <w:r>
        <w:rPr>
          <w:rFonts w:hint="eastAsia" w:ascii="宋体" w:hAnsi="宋体" w:eastAsia="宋体" w:cs="宋体"/>
          <w:color w:val="auto"/>
          <w:sz w:val="24"/>
          <w:szCs w:val="24"/>
          <w:highlight w:val="none"/>
        </w:rPr>
        <w:t>各投标人应在</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规定的解密时间前</w:t>
      </w:r>
      <w:r>
        <w:rPr>
          <w:rFonts w:hint="eastAsia" w:ascii="宋体" w:hAnsi="宋体" w:eastAsia="宋体" w:cs="宋体"/>
          <w:color w:val="auto"/>
          <w:sz w:val="24"/>
          <w:highlight w:val="none"/>
        </w:rPr>
        <w:t>对</w:t>
      </w:r>
      <w:r>
        <w:rPr>
          <w:rFonts w:hint="eastAsia" w:ascii="宋体" w:hAnsi="宋体" w:eastAsia="宋体" w:cs="宋体"/>
          <w:color w:val="auto"/>
          <w:sz w:val="24"/>
          <w:szCs w:val="24"/>
          <w:highlight w:val="none"/>
        </w:rPr>
        <w:t>其</w:t>
      </w:r>
      <w:r>
        <w:rPr>
          <w:rFonts w:hint="eastAsia" w:ascii="宋体" w:hAnsi="宋体" w:eastAsia="宋体" w:cs="宋体"/>
          <w:color w:val="auto"/>
          <w:sz w:val="24"/>
          <w:highlight w:val="none"/>
        </w:rPr>
        <w:t>投标文件进行解密。</w:t>
      </w:r>
    </w:p>
    <w:p w14:paraId="0C1A06E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13.2开标时，采购代理机构将通过网上开标系统公布开标结果，公布内容包括投标人名称、投标价格及招标文件规定的内容。</w:t>
      </w:r>
    </w:p>
    <w:p w14:paraId="17E00E6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13.3采购人或采购代理机构将对开标过程进行记录，并存档备查。</w:t>
      </w:r>
    </w:p>
    <w:p w14:paraId="39A268E5">
      <w:pPr>
        <w:spacing w:line="440" w:lineRule="exact"/>
        <w:ind w:firstLine="435"/>
        <w:rPr>
          <w:rFonts w:hint="eastAsia" w:ascii="宋体" w:hAnsi="宋体" w:eastAsia="宋体" w:cs="宋体"/>
          <w:color w:val="auto"/>
          <w:sz w:val="28"/>
          <w:highlight w:val="none"/>
        </w:rPr>
      </w:pPr>
      <w:r>
        <w:rPr>
          <w:rFonts w:hint="eastAsia" w:ascii="宋体" w:hAnsi="宋体" w:eastAsia="宋体" w:cs="宋体"/>
          <w:color w:val="auto"/>
          <w:sz w:val="24"/>
          <w:highlight w:val="none"/>
        </w:rPr>
        <w:t>13.4投标人代表对开标过程和开标记录有疑义，以及认为采购人、采购代理机构相关工作人员有需要回避的情形的，应当场提出询问或者回避申请。</w:t>
      </w:r>
    </w:p>
    <w:p w14:paraId="6E6A74E9">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14.资格审查及组建评标委员会</w:t>
      </w:r>
    </w:p>
    <w:p w14:paraId="3CCFCFE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14.1采购人或采购代理机构依据法律法规和招标文件中规定的内容，对投标人资格进行审查，未通过资格审查的投标人不进入评标。</w:t>
      </w:r>
    </w:p>
    <w:p w14:paraId="2ECA59A2">
      <w:pPr>
        <w:spacing w:line="440" w:lineRule="exact"/>
        <w:ind w:firstLine="435"/>
        <w:rPr>
          <w:rFonts w:hint="eastAsia" w:ascii="宋体" w:hAnsi="宋体" w:eastAsia="宋体" w:cs="宋体"/>
          <w:color w:val="auto"/>
          <w:sz w:val="24"/>
          <w:szCs w:val="24"/>
          <w:highlight w:val="none"/>
        </w:rPr>
      </w:pPr>
      <w:bookmarkStart w:id="42" w:name="_Hlk24663244"/>
      <w:r>
        <w:rPr>
          <w:rFonts w:hint="eastAsia" w:ascii="宋体" w:hAnsi="宋体" w:eastAsia="宋体" w:cs="宋体"/>
          <w:color w:val="auto"/>
          <w:sz w:val="24"/>
          <w:szCs w:val="24"/>
          <w:highlight w:val="none"/>
        </w:rPr>
        <w:t>14.2采购人或采购代理机构将在投标截止时间后至评审结束前通过“信用中国”网站(www.creditchina.gov.cn)、中国政府采购网(www.ccgp.gov.cn)、国家企业信用信息公示系统网站（www.gsxt.gov.cn）查询相关投标人信用记录，并对投标人信用记录进行甄别，对列入“信用中国”网站(www.creditchina.gov.cn)失信被执行人名单、重大税收违法案件当事人名单，“国家企业信用信息公示系统”网站（www.gsxt.gov.cn）被市场监督管理部门列入经营异常名录或者严重违法企业名单，且未被移除的，中国政府采购网(www.ccgp.gov.cn)政府采购严重违法失信行为记录名单及其他不符合《中华人民共和国政府采购法》第二十二条规定条件的供应商，其投标将被认定为投标无效。</w:t>
      </w:r>
    </w:p>
    <w:p w14:paraId="42065075">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以联合体形式参加投标的，联合体成员存在以上不良信用记录的，联合体投标将被认定为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3A12C58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42"/>
    <w:p w14:paraId="7EB64DD1">
      <w:pPr>
        <w:spacing w:line="440" w:lineRule="exact"/>
        <w:ind w:firstLine="435"/>
        <w:rPr>
          <w:rFonts w:hint="eastAsia" w:ascii="宋体" w:hAnsi="宋体" w:eastAsia="宋体" w:cs="宋体"/>
          <w:b/>
          <w:color w:val="auto"/>
          <w:sz w:val="24"/>
          <w:highlight w:val="none"/>
        </w:rPr>
      </w:pPr>
      <w:r>
        <w:rPr>
          <w:rFonts w:hint="eastAsia" w:ascii="宋体" w:hAnsi="宋体" w:eastAsia="宋体" w:cs="宋体"/>
          <w:color w:val="auto"/>
          <w:sz w:val="24"/>
          <w:highlight w:val="none"/>
        </w:rPr>
        <w:t>14.3按照《中华人民共和国政府采购法》、《中华人民共和国政府采购法实施条例》及本项目本级和上级财政部门、政府采购监督管理部门的有关规定依法组建的评标委员会，负责本项目评标工作。</w:t>
      </w:r>
    </w:p>
    <w:p w14:paraId="09394D5C">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15.投标文件符合性审查与澄清</w:t>
      </w:r>
    </w:p>
    <w:p w14:paraId="621C966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15.1符合性审查是指依据招标文件的规定，从投标文件的有效性和完整性对招标文件的响应程度进行审查，以确定是否对招标文件的实质性要求做出响应。</w:t>
      </w:r>
    </w:p>
    <w:p w14:paraId="1C55B29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15.2投标文件的澄清</w:t>
      </w:r>
    </w:p>
    <w:p w14:paraId="281255F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15.2.1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14:paraId="322CCBD1">
      <w:pPr>
        <w:spacing w:line="440" w:lineRule="exact"/>
        <w:ind w:firstLine="435"/>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r>
        <w:rPr>
          <w:rFonts w:hint="eastAsia" w:ascii="宋体" w:hAnsi="宋体" w:eastAsia="宋体" w:cs="宋体"/>
          <w:b/>
          <w:bCs/>
          <w:color w:val="auto"/>
          <w:sz w:val="24"/>
          <w:highlight w:val="none"/>
        </w:rPr>
        <w:t>本项目采用远程开标，具体操作方法详见服务指南&gt;交易须知&gt;开标大厅远程解密、质疑(异议)及回复以及评标过程中询标流程操作手册。</w:t>
      </w:r>
    </w:p>
    <w:p w14:paraId="766021D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15.2.2投标人的澄清、说明或补正将作为投标文件的一部分。</w:t>
      </w:r>
    </w:p>
    <w:p w14:paraId="104CC75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15.2.3评标委员会对投标人提交的澄清、说明或补正有疑问的，可以要求投标人进一步澄清、说明或补正，直至满足评标委员会的要求。</w:t>
      </w:r>
    </w:p>
    <w:p w14:paraId="7AF6A86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15.3投标文件报价出现前后不一致的，按照下列规定修正：</w:t>
      </w:r>
    </w:p>
    <w:p w14:paraId="14E5B9C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（1）投标文件中开标一览表内容与投标文件中相应内容不一致的，以开标一览表为准；</w:t>
      </w:r>
    </w:p>
    <w:p w14:paraId="427F682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（2）大写金额和小写金额不一致的，以大写金额为准；</w:t>
      </w:r>
    </w:p>
    <w:p w14:paraId="5FA2B88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（3）单价金额小数点或者百分比有明显错位的，以开标一览表的总价为准，并修改单价；</w:t>
      </w:r>
    </w:p>
    <w:p w14:paraId="45C4880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（4）总价金额与按单价汇总金额不一致的，以单价金额计算结果为准。</w:t>
      </w:r>
    </w:p>
    <w:p w14:paraId="36B797B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修正后的报价按照第15.4条的规定经投标人确认后产生约束力，无论投标人是接受或是拒绝调整后的价格，都应当由投标人在系统中确认。投标人拒绝对投标文件出现的错漏按上述原则进行修正、澄清、说明，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7136082E">
      <w:pPr>
        <w:spacing w:line="440" w:lineRule="exact"/>
        <w:ind w:firstLine="435"/>
        <w:rPr>
          <w:rFonts w:hint="eastAsia" w:ascii="宋体" w:hAnsi="宋体" w:eastAsia="宋体" w:cs="宋体"/>
          <w:b/>
          <w:color w:val="auto"/>
          <w:sz w:val="24"/>
          <w:highlight w:val="none"/>
        </w:rPr>
      </w:pPr>
      <w:r>
        <w:rPr>
          <w:rFonts w:hint="eastAsia" w:ascii="宋体" w:hAnsi="宋体" w:eastAsia="宋体" w:cs="宋体"/>
          <w:color w:val="auto"/>
          <w:sz w:val="24"/>
          <w:highlight w:val="none"/>
        </w:rPr>
        <w:t>对不同文字文本投标文件的解释发生异议的，以中文文本为准。</w:t>
      </w:r>
    </w:p>
    <w:p w14:paraId="32FEC752">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16.投标无效</w:t>
      </w:r>
    </w:p>
    <w:p w14:paraId="76A786B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16.1根据本招标文件的规定，评标委员会要审查每份投标文件是否实质上响应了招标文件的要求。投标人不得通过修正或撤销不符合要求的偏离，从而使其投标成为实质上响应的投标。</w:t>
      </w:r>
    </w:p>
    <w:p w14:paraId="7D2356C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评标委员会决定投标的响应性只根据招标文件要求和投标文件内容。</w:t>
      </w:r>
    </w:p>
    <w:p w14:paraId="0E10A3E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无论何种原因，即使投标人投标时携带了证书材料的原件，但投标文件中未提供与之内容完全一致的扫描件的，评标委员会视同其未提供。</w:t>
      </w:r>
    </w:p>
    <w:p w14:paraId="139B283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16.2如发现下列情况之一的，其投标将被认定为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19E4D7E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（1）投标文件未按照招标文件规定要求签署、盖章的；</w:t>
      </w:r>
    </w:p>
    <w:p w14:paraId="7E6E1B5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（2）不具备招标文件中规定的资格要求的；</w:t>
      </w:r>
    </w:p>
    <w:p w14:paraId="7D47930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（3）报价超过招标文件中规定的预算金额或者最高限价的；</w:t>
      </w:r>
    </w:p>
    <w:p w14:paraId="6958E5B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（4）投标文件含有采购人不能接受的附加条件的；</w:t>
      </w:r>
    </w:p>
    <w:p w14:paraId="70D0333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（5）法律、法规和招标文件规定的其他无效情形。</w:t>
      </w:r>
    </w:p>
    <w:p w14:paraId="62FFC5FD">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17.比较与评价</w:t>
      </w:r>
    </w:p>
    <w:p w14:paraId="710F882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17.1经符合性审查合格的投标文件，评标委员会将根据招标文件确定的评标方法和标准，对其投标文件作进一步的比较与评价。</w:t>
      </w:r>
    </w:p>
    <w:p w14:paraId="336A72B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17.2评标严格按照招标文件的要求和条件进行。根据实际情况，在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中规定采用下列一种评标方法，详细评标方法和标准见招标文件第四章：</w:t>
      </w:r>
    </w:p>
    <w:p w14:paraId="644A9F7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（1）最低评标价法，是指投标文件满足招标文件全部实质性要求，且投标报价最低的投标人为中标候选人的评标方法。</w:t>
      </w:r>
    </w:p>
    <w:p w14:paraId="75AE3EA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（2）综合评分法，是指投标文件满足招标文件全部实质性要求，且按照评审因素的量化指标评审得分最高的投标人为中标候选人的评标方法。</w:t>
      </w:r>
    </w:p>
    <w:p w14:paraId="2B627E2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17.3根据《政府采购促进中小企业发展管理办法》（财库〔2020〕46号）、《三部门联合发布关于促进残疾人就业政府采购政策的通知》（财库〔2017〕141号）和《财政部 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中规定的标准扣除后的价格参与评审。对于同时属于小微企业、监狱企业或残疾人福利性单位的，不重复进行投标报价扣除。</w:t>
      </w:r>
    </w:p>
    <w:p w14:paraId="3E4FF9A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接受大中型企业与小微企业组成联合体或者允许大中型企业向一家或者多家小微企业分包的，对于联合协议或者分包意向协议约定小微企业的合同份额占到合同总金额30%以上的，可给予联合体或者大中型企业的投标报价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中规定的标准扣除后的价格参与评审。组成联合体或者接受分包的小微企业与联合体内其他企业、分包企业之间存在直接控股、管理关系的，不享受价格扣除优惠政策。</w:t>
      </w:r>
    </w:p>
    <w:p w14:paraId="13D0508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以联合体形式参加政府采购活动，联合体各方均为中小企业的，联合体视同中小企业。其中，联合体各方均为小微企业的，联合体视同小微企业。</w:t>
      </w:r>
    </w:p>
    <w:p w14:paraId="581CA06B">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18.废标、重新招标与变更采购方式</w:t>
      </w:r>
    </w:p>
    <w:p w14:paraId="4441131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18.1出现下列情形之一，将导致项目废标：</w:t>
      </w:r>
    </w:p>
    <w:p w14:paraId="2316F58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（1）符合专业条件的供应商或者对招标文件做实质性响应的供应商不足规定数量的；</w:t>
      </w:r>
    </w:p>
    <w:p w14:paraId="2F1C17A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（2）出现影响采购公正的违法、违规行为的；</w:t>
      </w:r>
    </w:p>
    <w:p w14:paraId="079CB84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（3）投标人的报价均超过了采购预算，采购人不能支付的；</w:t>
      </w:r>
    </w:p>
    <w:p w14:paraId="06F30D1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（4）因重大变故，采购任务取消的。</w:t>
      </w:r>
    </w:p>
    <w:p w14:paraId="58AFEE9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18.2公开招标数额标准以上的采购项目，投标截止后投标人不足3家或者通过资格审查或符合性审查的投标人不足3家的，除采购任务取消情形外，按照以下方式处理：</w:t>
      </w:r>
    </w:p>
    <w:p w14:paraId="1142628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（1）招标文件存在不合理条款或者招标程序不符合规定的，采购人、采购代理机构改正后依法重新招标；</w:t>
      </w:r>
    </w:p>
    <w:p w14:paraId="043867C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（2）招标文件没有不合理条款、招标程序符合规定，需要采用其他采购方式采购的，采购人应当依法报</w:t>
      </w:r>
      <w:r>
        <w:rPr>
          <w:rFonts w:hint="eastAsia" w:ascii="宋体" w:hAnsi="宋体" w:eastAsia="宋体" w:cs="宋体"/>
          <w:color w:val="auto"/>
          <w:sz w:val="24"/>
          <w:szCs w:val="24"/>
          <w:highlight w:val="none"/>
        </w:rPr>
        <w:t>政府采购监督管理部门</w:t>
      </w:r>
      <w:r>
        <w:rPr>
          <w:rFonts w:hint="eastAsia" w:ascii="宋体" w:hAnsi="宋体" w:eastAsia="宋体" w:cs="宋体"/>
          <w:color w:val="auto"/>
          <w:sz w:val="24"/>
          <w:highlight w:val="none"/>
        </w:rPr>
        <w:t>批准。</w:t>
      </w:r>
    </w:p>
    <w:p w14:paraId="6009585A">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19.保密要求</w:t>
      </w:r>
    </w:p>
    <w:p w14:paraId="78FC7B8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19.1评标将在严格保密的情况下进行。</w:t>
      </w:r>
    </w:p>
    <w:p w14:paraId="41A1B40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19.2有关人员应当遵守评标工作纪律，不得泄露评标文件、评标情况和评标中获悉的国家秘密、商业秘密。</w:t>
      </w:r>
    </w:p>
    <w:p w14:paraId="7EAE5A2F">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20.中标候选人的确定原则及标准</w:t>
      </w:r>
    </w:p>
    <w:p w14:paraId="3F03705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20.1评标委员会依据本项目招标文件所约定的评标方法，对实质上响应招标文件的投标人按下列方法进行排序，确定中标候选人：</w:t>
      </w:r>
    </w:p>
    <w:p w14:paraId="13C7148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出现两家或两家以上相同者，采取评标委员会随机抽取的方式确定中标候选顺序。</w:t>
      </w:r>
    </w:p>
    <w:p w14:paraId="36CCD53B">
      <w:pPr>
        <w:spacing w:line="440" w:lineRule="exact"/>
        <w:ind w:firstLine="435"/>
        <w:rPr>
          <w:rFonts w:hint="eastAsia" w:ascii="宋体" w:hAnsi="宋体" w:eastAsia="宋体" w:cs="宋体"/>
          <w:color w:val="auto"/>
          <w:highlight w:val="none"/>
        </w:rPr>
      </w:pPr>
      <w:r>
        <w:rPr>
          <w:rFonts w:hint="eastAsia" w:ascii="宋体" w:hAnsi="宋体" w:eastAsia="宋体" w:cs="宋体"/>
          <w:color w:val="auto"/>
          <w:sz w:val="24"/>
          <w:highlight w:val="none"/>
        </w:rPr>
        <w:t>（2）采用综合评分法的，评标结果按评审后得分由高到低顺序排列。得分相同的，按投标报价由低到高顺序排列。得分与投标报价均相同的，则采取评标委员会随机抽取的方式确定中标候选顺序。</w:t>
      </w:r>
    </w:p>
    <w:p w14:paraId="3D97BB52">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21.确定中标候选人和中标人</w:t>
      </w:r>
    </w:p>
    <w:p w14:paraId="5E12B00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21.1评标委员会将根据评标标准，按</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中规定数量推荐中标候选人。</w:t>
      </w:r>
    </w:p>
    <w:p w14:paraId="063FBB5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21.2按</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中规定，由评标委员会或采购人确定中标人。</w:t>
      </w:r>
    </w:p>
    <w:p w14:paraId="23DAC3E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21.3因重大变故采购任务取消时，采购人有权拒绝任何投标人中标，且对受影响的投标人不承担任何责任。</w:t>
      </w:r>
    </w:p>
    <w:p w14:paraId="0C11D7D5">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22.编写评标报告</w:t>
      </w:r>
    </w:p>
    <w:p w14:paraId="2C5F3E2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4E5AAADF">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23.中标结果公告</w:t>
      </w:r>
    </w:p>
    <w:p w14:paraId="4781C657">
      <w:pPr>
        <w:spacing w:line="440" w:lineRule="exact"/>
        <w:ind w:firstLine="435"/>
        <w:rPr>
          <w:rFonts w:hint="eastAsia" w:ascii="宋体" w:hAnsi="宋体" w:eastAsia="宋体" w:cs="宋体"/>
          <w:color w:val="auto"/>
          <w:sz w:val="24"/>
          <w:szCs w:val="18"/>
          <w:highlight w:val="none"/>
        </w:rPr>
      </w:pPr>
      <w:r>
        <w:rPr>
          <w:rFonts w:hint="eastAsia" w:ascii="宋体" w:hAnsi="宋体" w:eastAsia="宋体" w:cs="宋体"/>
          <w:color w:val="auto"/>
          <w:sz w:val="24"/>
          <w:highlight w:val="none"/>
        </w:rPr>
        <w:t>23.1除</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由评标委员会直接确定中标人外，在评标结束后2个工作日内，采购代理机构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08D33F65">
      <w:pPr>
        <w:wordWrap w:val="0"/>
        <w:spacing w:line="440" w:lineRule="exact"/>
        <w:ind w:firstLine="437"/>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23.2自中标人确定之日起2个工作日内，采购代理机构将在滁州市公共资源交易网（http://ggzy.chuzhou.gov.cn/）、安徽省政府采购网（www.ccgp-anhui.gov.cn）上发布中标结果公告。</w:t>
      </w:r>
    </w:p>
    <w:p w14:paraId="392C601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23.3中标结果公告内容应当包括采购人及其委托的采购代理机构的名称、地址、联系方式，项目名称和项目编号，中标人名称、地址和中标金额，主要中标标的的名称、服务范围、服务要求、服务时间、服务标准，中标公告期限、评审专家名单以及</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中约定进行公告的内容。中标公告期限为1个工作日。</w:t>
      </w:r>
    </w:p>
    <w:p w14:paraId="2227F30F">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24.中标通知书</w:t>
      </w:r>
    </w:p>
    <w:p w14:paraId="1F9EFF9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24.1采购代理机构发布中标结果公告</w:t>
      </w:r>
      <w:r>
        <w:rPr>
          <w:rFonts w:hint="eastAsia" w:ascii="宋体" w:hAnsi="宋体" w:eastAsia="宋体" w:cs="宋体"/>
          <w:iCs/>
          <w:color w:val="auto"/>
          <w:sz w:val="24"/>
          <w:highlight w:val="none"/>
        </w:rPr>
        <w:t>的</w:t>
      </w:r>
      <w:r>
        <w:rPr>
          <w:rFonts w:hint="eastAsia" w:ascii="宋体" w:hAnsi="宋体" w:eastAsia="宋体" w:cs="宋体"/>
          <w:color w:val="auto"/>
          <w:sz w:val="24"/>
          <w:highlight w:val="none"/>
        </w:rPr>
        <w:t>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规定的形式向中标人发出中标通知书。中标通知书须加盖采购人、采购代理机构公章并经公共资源交易中心加盖见证章后，方可发出。</w:t>
      </w:r>
    </w:p>
    <w:p w14:paraId="236D570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24.2中标通知书对采购人和中标人具有同等法律效力。中标通知书发出以后，采购人改变中标结果或者中标人放弃中标，应当承担相应的法律责任。</w:t>
      </w:r>
    </w:p>
    <w:p w14:paraId="22E574C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24.3中标通知书是合同的组成部分。</w:t>
      </w:r>
    </w:p>
    <w:p w14:paraId="63B755BD">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25.告知招标结果</w:t>
      </w:r>
    </w:p>
    <w:p w14:paraId="6E2B55B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25.1在公告中标结果的同时，采购代理机构同时以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规定的形式告知未通过资格审查的投标人未通过的原因；采用综合评分法评审的，还将告知未中标人本人的评审得分和排序。</w:t>
      </w:r>
    </w:p>
    <w:p w14:paraId="1B825F95">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26.履约保证金</w:t>
      </w:r>
    </w:p>
    <w:p w14:paraId="0C6D441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26.1中标人应按照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规定缴纳履约保证金。</w:t>
      </w:r>
    </w:p>
    <w:p w14:paraId="49AE72B8">
      <w:pPr>
        <w:spacing w:line="440" w:lineRule="exact"/>
        <w:ind w:firstLine="435"/>
        <w:rPr>
          <w:rFonts w:hint="eastAsia" w:ascii="宋体" w:hAnsi="宋体" w:eastAsia="宋体" w:cs="宋体"/>
          <w:b/>
          <w:color w:val="auto"/>
          <w:sz w:val="24"/>
          <w:highlight w:val="none"/>
        </w:rPr>
      </w:pPr>
      <w:r>
        <w:rPr>
          <w:rFonts w:hint="eastAsia" w:ascii="宋体" w:hAnsi="宋体" w:eastAsia="宋体" w:cs="宋体"/>
          <w:color w:val="auto"/>
          <w:sz w:val="24"/>
          <w:highlight w:val="none"/>
        </w:rPr>
        <w:t>26.2如果中标人没有按照上述履约保证金的规定执行，将视为放弃中标资格。在此情况下，采购人可确定下一中标候选人为中标人，也可以重新开展采购活动。</w:t>
      </w:r>
    </w:p>
    <w:p w14:paraId="66CD992A">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27.签订合同</w:t>
      </w:r>
    </w:p>
    <w:p w14:paraId="4E29301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27.1</w:t>
      </w:r>
      <w:r>
        <w:rPr>
          <w:rFonts w:hint="eastAsia" w:ascii="宋体" w:hAnsi="宋体" w:eastAsia="宋体" w:cs="宋体"/>
          <w:color w:val="auto"/>
          <w:sz w:val="24"/>
          <w:szCs w:val="24"/>
          <w:highlight w:val="none"/>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规定的时间内完成政府采购合同签订及合同公告。</w:t>
      </w:r>
    </w:p>
    <w:p w14:paraId="448CCDB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27.2招标文件、中标人的投标文件及其澄清文件等，均为签订合同的依据。</w:t>
      </w:r>
    </w:p>
    <w:p w14:paraId="716F7DD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27.3中标人拒绝与采购人签订合同的，采购人可以按照评审报告推荐的中标候选人名单排序，确定下一中标候选人为中标人，也可以重新开展政府采购活动。</w:t>
      </w:r>
    </w:p>
    <w:p w14:paraId="2740CAD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27.4依据《政府采购促进中小企业发展管理办法》（财库〔2020〕46号）规定享受扶持政策获得政府采购合同的，小微企业不得将合同分包给大中型企业，中型企业不得将合同分包给大型企业。</w:t>
      </w:r>
    </w:p>
    <w:p w14:paraId="5182F06B">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28.代理费用</w:t>
      </w:r>
    </w:p>
    <w:p w14:paraId="27A4306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28.1本项目代理费用的收取按</w:t>
      </w:r>
      <w:r>
        <w:rPr>
          <w:rFonts w:hint="eastAsia" w:ascii="宋体" w:hAnsi="宋体" w:eastAsia="宋体" w:cs="宋体"/>
          <w:color w:val="auto"/>
          <w:sz w:val="24"/>
          <w:highlight w:val="none"/>
          <w:u w:val="single"/>
        </w:rPr>
        <w:t>投标人须知前附表的</w:t>
      </w:r>
      <w:r>
        <w:rPr>
          <w:rFonts w:hint="eastAsia" w:ascii="宋体" w:hAnsi="宋体" w:eastAsia="宋体" w:cs="宋体"/>
          <w:color w:val="auto"/>
          <w:sz w:val="24"/>
          <w:highlight w:val="none"/>
        </w:rPr>
        <w:t>规定执行。</w:t>
      </w:r>
    </w:p>
    <w:p w14:paraId="18DD8A75">
      <w:pPr>
        <w:spacing w:line="440" w:lineRule="exact"/>
        <w:ind w:firstLine="437"/>
        <w:outlineLvl w:val="2"/>
        <w:rPr>
          <w:rFonts w:hint="eastAsia" w:ascii="宋体" w:hAnsi="宋体" w:eastAsia="宋体" w:cs="宋体"/>
          <w:b/>
          <w:color w:val="auto"/>
          <w:sz w:val="24"/>
          <w:highlight w:val="none"/>
        </w:rPr>
      </w:pPr>
      <w:bookmarkStart w:id="43" w:name="_Toc2583661"/>
      <w:bookmarkStart w:id="44" w:name="_Toc518923100"/>
      <w:r>
        <w:rPr>
          <w:rFonts w:hint="eastAsia" w:ascii="宋体" w:hAnsi="宋体" w:eastAsia="宋体" w:cs="宋体"/>
          <w:b/>
          <w:color w:val="auto"/>
          <w:sz w:val="24"/>
          <w:highlight w:val="none"/>
        </w:rPr>
        <w:t>29.廉洁自律规定</w:t>
      </w:r>
      <w:bookmarkEnd w:id="43"/>
      <w:bookmarkEnd w:id="44"/>
    </w:p>
    <w:p w14:paraId="7BC736A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29.1采购代理机构工作人员不得以不正当手段获取政府采购代理业务，不得与采购人、供应商恶意串通。</w:t>
      </w:r>
    </w:p>
    <w:p w14:paraId="59A2095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29.2采购代理机构工作人员不得接受采购人或者供应商组织的宴请、旅游、娱乐，不得收受礼品、现金、有价证券等，不得向采购人或者供应商报销应当由个人承担的费用。</w:t>
      </w:r>
    </w:p>
    <w:p w14:paraId="46E4DA95">
      <w:pPr>
        <w:spacing w:line="440" w:lineRule="exact"/>
        <w:ind w:firstLine="437"/>
        <w:outlineLvl w:val="2"/>
        <w:rPr>
          <w:rFonts w:hint="eastAsia" w:ascii="宋体" w:hAnsi="宋体" w:eastAsia="宋体" w:cs="宋体"/>
          <w:b/>
          <w:color w:val="auto"/>
          <w:sz w:val="24"/>
          <w:highlight w:val="none"/>
        </w:rPr>
      </w:pPr>
      <w:bookmarkStart w:id="45" w:name="_Toc2583662"/>
      <w:bookmarkStart w:id="46" w:name="_Toc518923101"/>
      <w:r>
        <w:rPr>
          <w:rFonts w:hint="eastAsia" w:ascii="宋体" w:hAnsi="宋体" w:eastAsia="宋体" w:cs="宋体"/>
          <w:b/>
          <w:color w:val="auto"/>
          <w:sz w:val="24"/>
          <w:highlight w:val="none"/>
        </w:rPr>
        <w:t>30.人员回避</w:t>
      </w:r>
      <w:bookmarkEnd w:id="45"/>
      <w:bookmarkEnd w:id="46"/>
    </w:p>
    <w:p w14:paraId="19D7852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投标人认为采购人员及其相关人员有法律法规所列与其他供应商有利害关系的，可以向采购人或采购代理机构书面提出回避申请，并说明理由。</w:t>
      </w:r>
    </w:p>
    <w:p w14:paraId="5300D692">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31.质疑的提出与接收</w:t>
      </w:r>
    </w:p>
    <w:p w14:paraId="405E313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31.1投标人认为招标文件、招标过程和中标结果使自己的权益受到损害的，可以在知道或者应知其权益受到损害之日起七个工作日内，以书面形式向采购人或其委托的采购代理机构提出质疑。</w:t>
      </w:r>
    </w:p>
    <w:p w14:paraId="2DBE8D4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3597D30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31.3采购代理机构质疑函接收部门、联系电话和通讯地址，见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53443A1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31.4采购人或采购代理机构在收到投标人的质疑函后，将审查质疑函的格式、内容以及所附的证明文件是否符合要求。如不符合，说明原因退回投标人；如符合要求，则接受该质疑函。投标人对评审过程、中标（成交）结果提出质疑的，采购人、采购代理机构可以组织原评标委员会协助答复质疑。处理质疑的时间，从实际接受投标人质疑函的时间开始计算。</w:t>
      </w:r>
    </w:p>
    <w:p w14:paraId="0F836F0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注：上述条款中所要求的书面形式包含通过电子交易系统递交方式。</w:t>
      </w:r>
    </w:p>
    <w:p w14:paraId="0312B36F">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32.投诉</w:t>
      </w:r>
    </w:p>
    <w:p w14:paraId="7C557B95">
      <w:pPr>
        <w:wordWrap w:val="0"/>
        <w:spacing w:line="440" w:lineRule="exact"/>
        <w:ind w:firstLine="437"/>
        <w:rPr>
          <w:rFonts w:hint="eastAsia" w:ascii="宋体" w:hAnsi="宋体" w:eastAsia="宋体" w:cs="宋体"/>
          <w:color w:val="auto"/>
          <w:sz w:val="24"/>
          <w:highlight w:val="none"/>
        </w:rPr>
      </w:pPr>
      <w:r>
        <w:rPr>
          <w:rFonts w:hint="eastAsia" w:ascii="宋体" w:hAnsi="宋体" w:eastAsia="宋体" w:cs="宋体"/>
          <w:color w:val="auto"/>
          <w:sz w:val="24"/>
          <w:highlight w:val="none"/>
        </w:rPr>
        <w:t>32.1质疑投标人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或者线上提交投诉材料（http://ggzy.chuzhou.gov.cn/fwzn/011001/011001001/011001001003/20200221/b079d9ca-90f2-4cce-aa7c-94a444e7ac91.html）。</w:t>
      </w:r>
    </w:p>
    <w:p w14:paraId="72EFF82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32.2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731051A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32.3政府采购监督管理部门在处理投诉事项期间，可以视具体情况书面通知采购人暂停采购活动，但暂停时间最长不得超过30日。</w:t>
      </w:r>
    </w:p>
    <w:p w14:paraId="77DEF6DE">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33.需要补充的其他内容</w:t>
      </w:r>
    </w:p>
    <w:p w14:paraId="5A3CB5F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需要补充的其他内容，见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62B942FC">
      <w:pPr>
        <w:widowControl/>
        <w:jc w:val="left"/>
        <w:rPr>
          <w:rFonts w:hint="eastAsia" w:ascii="宋体" w:hAnsi="宋体" w:eastAsia="宋体" w:cs="宋体"/>
          <w:b/>
          <w:sz w:val="28"/>
          <w:highlight w:val="none"/>
        </w:rPr>
      </w:pPr>
      <w:r>
        <w:rPr>
          <w:rFonts w:hint="eastAsia" w:ascii="宋体" w:hAnsi="宋体" w:eastAsia="宋体" w:cs="宋体"/>
          <w:sz w:val="24"/>
          <w:highlight w:val="none"/>
        </w:rPr>
        <w:br w:type="page"/>
      </w:r>
    </w:p>
    <w:p w14:paraId="6FBDF7EC">
      <w:pPr>
        <w:numPr>
          <w:ilvl w:val="0"/>
          <w:numId w:val="2"/>
        </w:numPr>
        <w:spacing w:line="360" w:lineRule="auto"/>
        <w:jc w:val="center"/>
        <w:outlineLvl w:val="0"/>
        <w:rPr>
          <w:rFonts w:hint="eastAsia" w:ascii="宋体" w:hAnsi="宋体" w:eastAsia="宋体" w:cs="宋体"/>
          <w:b/>
          <w:sz w:val="28"/>
          <w:highlight w:val="none"/>
        </w:rPr>
      </w:pPr>
      <w:r>
        <w:rPr>
          <w:rFonts w:hint="eastAsia" w:ascii="宋体" w:hAnsi="宋体" w:eastAsia="宋体" w:cs="宋体"/>
          <w:b/>
          <w:sz w:val="28"/>
          <w:highlight w:val="none"/>
        </w:rPr>
        <w:t xml:space="preserve"> </w:t>
      </w:r>
      <w:bookmarkStart w:id="47" w:name="_Toc28615"/>
      <w:r>
        <w:rPr>
          <w:rFonts w:hint="eastAsia" w:ascii="宋体" w:hAnsi="宋体" w:eastAsia="宋体" w:cs="宋体"/>
          <w:b/>
          <w:sz w:val="28"/>
          <w:highlight w:val="none"/>
        </w:rPr>
        <w:t>采购需求</w:t>
      </w:r>
      <w:bookmarkEnd w:id="47"/>
    </w:p>
    <w:p w14:paraId="3408E59F">
      <w:pPr>
        <w:spacing w:line="480" w:lineRule="exact"/>
        <w:rPr>
          <w:rFonts w:hint="eastAsia" w:ascii="宋体" w:hAnsi="宋体" w:eastAsia="宋体" w:cs="宋体"/>
          <w:b/>
          <w:sz w:val="24"/>
          <w:highlight w:val="none"/>
        </w:rPr>
      </w:pPr>
      <w:r>
        <w:rPr>
          <w:rFonts w:hint="eastAsia" w:ascii="宋体" w:hAnsi="宋体" w:eastAsia="宋体" w:cs="宋体"/>
          <w:b/>
          <w:sz w:val="24"/>
          <w:highlight w:val="none"/>
        </w:rPr>
        <w:t>前注：</w:t>
      </w:r>
    </w:p>
    <w:p w14:paraId="64A72579">
      <w:pPr>
        <w:spacing w:line="48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1.本采购需求中提出的服务方案仅为参考，如无明确限制，投标人可以进行优化，提供满足采购人实际需要的更优（或者性能实质上不低于的）服务方案，且此方案须经评标委员会评审认可。</w:t>
      </w:r>
    </w:p>
    <w:p w14:paraId="1696DD3B">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2.政府采购政策（包括但不限于下列具体政策要求）：</w:t>
      </w:r>
    </w:p>
    <w:p w14:paraId="4108E6B2">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如属于《节能产品政府采购品目清单》中政府强制采购的节能产品，则投标人在投标文件中提供所投产品须具有市场监管总局公布的《参与实施政府采购节能产品认证机构目录》中的认证机构出具的、处于有效期内的节能产品认证证书。</w:t>
      </w:r>
    </w:p>
    <w:p w14:paraId="1AC002EF">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5833B5A4">
      <w:pPr>
        <w:spacing w:line="480" w:lineRule="exact"/>
        <w:ind w:firstLine="480" w:firstLineChars="200"/>
        <w:rPr>
          <w:rFonts w:hint="eastAsia" w:ascii="宋体" w:hAnsi="宋体" w:eastAsia="宋体" w:cs="宋体"/>
          <w:bCs/>
          <w:sz w:val="24"/>
          <w:szCs w:val="18"/>
          <w:highlight w:val="none"/>
        </w:rPr>
      </w:pPr>
      <w:r>
        <w:rPr>
          <w:rFonts w:hint="eastAsia" w:ascii="宋体" w:hAnsi="宋体" w:eastAsia="宋体" w:cs="宋体"/>
          <w:sz w:val="24"/>
          <w:szCs w:val="24"/>
          <w:highlight w:val="none"/>
        </w:rPr>
        <w:t>3.如采购人允许采用分包方式履行合同的，应当明确可以分包履行的相关内容。</w:t>
      </w:r>
    </w:p>
    <w:p w14:paraId="5D0DF70F">
      <w:pPr>
        <w:spacing w:line="480" w:lineRule="exact"/>
        <w:ind w:firstLine="437"/>
        <w:outlineLvl w:val="1"/>
        <w:rPr>
          <w:rFonts w:hint="eastAsia" w:ascii="宋体" w:hAnsi="宋体" w:eastAsia="宋体" w:cs="宋体"/>
          <w:b/>
          <w:sz w:val="24"/>
          <w:szCs w:val="18"/>
          <w:highlight w:val="none"/>
        </w:rPr>
      </w:pPr>
      <w:bookmarkStart w:id="48" w:name="_Toc4148"/>
      <w:bookmarkStart w:id="49" w:name="_Toc21798"/>
      <w:bookmarkStart w:id="50" w:name="_Toc14263"/>
      <w:bookmarkStart w:id="51" w:name="_Hlk23621890"/>
      <w:r>
        <w:rPr>
          <w:rFonts w:hint="eastAsia" w:ascii="宋体" w:hAnsi="宋体" w:eastAsia="宋体" w:cs="宋体"/>
          <w:b/>
          <w:sz w:val="24"/>
          <w:szCs w:val="18"/>
          <w:highlight w:val="none"/>
        </w:rPr>
        <w:t>一、采购需求前附表</w:t>
      </w:r>
      <w:bookmarkEnd w:id="48"/>
      <w:bookmarkEnd w:id="49"/>
      <w:bookmarkEnd w:id="50"/>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4818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4BC57AB">
            <w:pPr>
              <w:pStyle w:val="48"/>
              <w:pBdr>
                <w:bottom w:val="none" w:color="auto" w:sz="0" w:space="0"/>
              </w:pBdr>
              <w:tabs>
                <w:tab w:val="clear" w:pos="4153"/>
                <w:tab w:val="clear" w:pos="8306"/>
              </w:tabs>
              <w:adjustRightInd/>
              <w:spacing w:line="480" w:lineRule="exact"/>
              <w:textAlignment w:val="auto"/>
              <w:rPr>
                <w:rFonts w:hint="eastAsia" w:ascii="宋体" w:hAnsi="宋体" w:eastAsia="宋体" w:cs="宋体"/>
                <w:b/>
                <w:kern w:val="2"/>
                <w:highlight w:val="none"/>
              </w:rPr>
            </w:pPr>
            <w:r>
              <w:rPr>
                <w:rFonts w:hint="eastAsia" w:ascii="宋体" w:hAnsi="宋体" w:eastAsia="宋体" w:cs="宋体"/>
                <w:b/>
                <w:kern w:val="2"/>
                <w:highlight w:val="none"/>
              </w:rPr>
              <w:t>序号</w:t>
            </w:r>
          </w:p>
        </w:tc>
        <w:tc>
          <w:tcPr>
            <w:tcW w:w="1192" w:type="pct"/>
            <w:vAlign w:val="center"/>
          </w:tcPr>
          <w:p w14:paraId="77B119FB">
            <w:pPr>
              <w:pStyle w:val="47"/>
              <w:widowControl w:val="0"/>
              <w:spacing w:before="0" w:beforeAutospacing="0" w:after="0" w:afterAutospacing="0" w:line="480" w:lineRule="exact"/>
              <w:rPr>
                <w:rFonts w:hint="eastAsia" w:ascii="宋体" w:hAnsi="宋体" w:eastAsia="宋体" w:cs="宋体"/>
                <w:bCs w:val="0"/>
                <w:sz w:val="24"/>
                <w:highlight w:val="none"/>
              </w:rPr>
            </w:pPr>
            <w:r>
              <w:rPr>
                <w:rFonts w:hint="eastAsia" w:ascii="宋体" w:hAnsi="宋体" w:eastAsia="宋体" w:cs="宋体"/>
                <w:bCs w:val="0"/>
                <w:sz w:val="24"/>
                <w:highlight w:val="none"/>
              </w:rPr>
              <w:t>条款名称</w:t>
            </w:r>
          </w:p>
        </w:tc>
        <w:tc>
          <w:tcPr>
            <w:tcW w:w="3217" w:type="pct"/>
            <w:vAlign w:val="center"/>
          </w:tcPr>
          <w:p w14:paraId="0B53DB6C">
            <w:pPr>
              <w:pStyle w:val="47"/>
              <w:widowControl w:val="0"/>
              <w:spacing w:before="0" w:beforeAutospacing="0" w:after="0" w:afterAutospacing="0" w:line="480" w:lineRule="exact"/>
              <w:rPr>
                <w:rFonts w:hint="eastAsia" w:ascii="宋体" w:hAnsi="宋体" w:eastAsia="宋体" w:cs="宋体"/>
                <w:bCs w:val="0"/>
                <w:sz w:val="24"/>
                <w:highlight w:val="none"/>
              </w:rPr>
            </w:pPr>
            <w:r>
              <w:rPr>
                <w:rFonts w:hint="eastAsia" w:ascii="宋体" w:hAnsi="宋体" w:eastAsia="宋体" w:cs="宋体"/>
                <w:bCs w:val="0"/>
                <w:sz w:val="24"/>
                <w:highlight w:val="none"/>
              </w:rPr>
              <w:t>内容、说明与要求</w:t>
            </w:r>
          </w:p>
        </w:tc>
      </w:tr>
      <w:tr w14:paraId="6A25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39E64CB">
            <w:pPr>
              <w:pStyle w:val="48"/>
              <w:pBdr>
                <w:bottom w:val="none" w:color="auto" w:sz="0" w:space="0"/>
              </w:pBdr>
              <w:tabs>
                <w:tab w:val="clear" w:pos="4153"/>
                <w:tab w:val="clear" w:pos="8306"/>
              </w:tabs>
              <w:adjustRightInd/>
              <w:spacing w:line="48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1</w:t>
            </w:r>
          </w:p>
        </w:tc>
        <w:tc>
          <w:tcPr>
            <w:tcW w:w="1192" w:type="pct"/>
            <w:vAlign w:val="center"/>
          </w:tcPr>
          <w:p w14:paraId="0E35CB19">
            <w:pPr>
              <w:pStyle w:val="47"/>
              <w:widowControl w:val="0"/>
              <w:spacing w:before="0" w:beforeAutospacing="0" w:after="0" w:afterAutospacing="0" w:line="480" w:lineRule="exact"/>
              <w:rPr>
                <w:rFonts w:hint="eastAsia" w:ascii="宋体" w:hAnsi="宋体" w:eastAsia="宋体" w:cs="宋体"/>
                <w:b w:val="0"/>
                <w:sz w:val="24"/>
                <w:highlight w:val="none"/>
              </w:rPr>
            </w:pPr>
            <w:r>
              <w:rPr>
                <w:rFonts w:hint="eastAsia" w:ascii="宋体" w:hAnsi="宋体" w:eastAsia="宋体" w:cs="宋体"/>
                <w:b w:val="0"/>
                <w:sz w:val="24"/>
                <w:highlight w:val="none"/>
              </w:rPr>
              <w:t>付款方式</w:t>
            </w:r>
          </w:p>
        </w:tc>
        <w:tc>
          <w:tcPr>
            <w:tcW w:w="3217" w:type="pct"/>
            <w:vAlign w:val="center"/>
          </w:tcPr>
          <w:p w14:paraId="2E19AAC8">
            <w:pPr>
              <w:spacing w:line="480" w:lineRule="exact"/>
              <w:rPr>
                <w:rFonts w:hint="eastAsia" w:ascii="宋体" w:hAnsi="宋体" w:eastAsia="宋体" w:cs="宋体"/>
                <w:sz w:val="24"/>
                <w:highlight w:val="none"/>
                <w:u w:val="single"/>
              </w:rPr>
            </w:pPr>
            <w:r>
              <w:rPr>
                <w:rFonts w:hint="eastAsia" w:ascii="宋体" w:hAnsi="宋体" w:eastAsia="宋体" w:cs="宋体"/>
                <w:sz w:val="24"/>
                <w:highlight w:val="none"/>
                <w:u w:val="single"/>
                <w:lang w:val="en-US" w:eastAsia="zh-CN"/>
              </w:rPr>
              <w:t>合同签订生效并具备实施条件后支付合同价款的40%为预付款（预付款支付前，供应商须提供同等金额的见索即付保函），8月底前完成业主要求的全部迎国检任务提交正式检测报告经业主审查合格后付至合同价款的80%，10月底前完成所有工作任务，经业主审查合格后一次性付清余款</w:t>
            </w:r>
            <w:r>
              <w:rPr>
                <w:rFonts w:hint="eastAsia" w:ascii="宋体" w:hAnsi="宋体" w:eastAsia="宋体" w:cs="宋体"/>
                <w:sz w:val="24"/>
                <w:highlight w:val="none"/>
                <w:u w:val="single"/>
                <w:lang w:eastAsia="zh-CN"/>
              </w:rPr>
              <w:t>。</w:t>
            </w:r>
            <w:r>
              <w:rPr>
                <w:rFonts w:hint="eastAsia" w:ascii="宋体" w:hAnsi="宋体" w:eastAsia="宋体" w:cs="宋体"/>
                <w:sz w:val="24"/>
                <w:highlight w:val="none"/>
                <w:u w:val="single"/>
              </w:rPr>
              <w:t xml:space="preserve"> </w:t>
            </w:r>
          </w:p>
        </w:tc>
      </w:tr>
      <w:tr w14:paraId="5A5A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9E4640C">
            <w:pPr>
              <w:pStyle w:val="48"/>
              <w:pBdr>
                <w:bottom w:val="none" w:color="auto" w:sz="0" w:space="0"/>
              </w:pBdr>
              <w:tabs>
                <w:tab w:val="clear" w:pos="4153"/>
                <w:tab w:val="clear" w:pos="8306"/>
              </w:tabs>
              <w:adjustRightInd/>
              <w:spacing w:line="48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2</w:t>
            </w:r>
          </w:p>
        </w:tc>
        <w:tc>
          <w:tcPr>
            <w:tcW w:w="1192" w:type="pct"/>
            <w:vAlign w:val="center"/>
          </w:tcPr>
          <w:p w14:paraId="5644ED81">
            <w:pPr>
              <w:pStyle w:val="47"/>
              <w:widowControl w:val="0"/>
              <w:spacing w:before="0" w:beforeAutospacing="0" w:after="0" w:afterAutospacing="0" w:line="480" w:lineRule="exact"/>
              <w:rPr>
                <w:rFonts w:hint="eastAsia" w:ascii="宋体" w:hAnsi="宋体" w:eastAsia="宋体" w:cs="宋体"/>
                <w:b w:val="0"/>
                <w:sz w:val="24"/>
                <w:highlight w:val="none"/>
              </w:rPr>
            </w:pPr>
            <w:r>
              <w:rPr>
                <w:rFonts w:hint="eastAsia" w:ascii="宋体" w:hAnsi="宋体" w:eastAsia="宋体" w:cs="宋体"/>
                <w:b w:val="0"/>
                <w:sz w:val="24"/>
                <w:highlight w:val="none"/>
              </w:rPr>
              <w:t>服务地点</w:t>
            </w:r>
          </w:p>
        </w:tc>
        <w:tc>
          <w:tcPr>
            <w:tcW w:w="3217" w:type="pct"/>
            <w:vAlign w:val="center"/>
          </w:tcPr>
          <w:p w14:paraId="34C1E45A">
            <w:pPr>
              <w:pStyle w:val="47"/>
              <w:widowControl w:val="0"/>
              <w:spacing w:before="0" w:beforeAutospacing="0" w:after="0" w:afterAutospacing="0" w:line="480" w:lineRule="exact"/>
              <w:jc w:val="both"/>
              <w:rPr>
                <w:rFonts w:hint="eastAsia" w:ascii="宋体" w:hAnsi="宋体" w:eastAsia="宋体" w:cs="宋体"/>
                <w:b w:val="0"/>
                <w:bCs w:val="0"/>
                <w:sz w:val="24"/>
                <w:szCs w:val="20"/>
                <w:highlight w:val="none"/>
              </w:rPr>
            </w:pPr>
            <w:r>
              <w:rPr>
                <w:rFonts w:hint="eastAsia" w:ascii="宋体" w:hAnsi="宋体" w:eastAsia="宋体" w:cs="宋体"/>
                <w:b w:val="0"/>
                <w:bCs w:val="0"/>
                <w:sz w:val="24"/>
                <w:szCs w:val="20"/>
                <w:highlight w:val="none"/>
              </w:rPr>
              <w:t>采购人指定地点</w:t>
            </w:r>
          </w:p>
        </w:tc>
      </w:tr>
      <w:tr w14:paraId="64B30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500D33B">
            <w:pPr>
              <w:pStyle w:val="48"/>
              <w:pBdr>
                <w:bottom w:val="none" w:color="auto" w:sz="0" w:space="0"/>
              </w:pBdr>
              <w:tabs>
                <w:tab w:val="clear" w:pos="4153"/>
                <w:tab w:val="clear" w:pos="8306"/>
              </w:tabs>
              <w:adjustRightInd/>
              <w:spacing w:line="48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3</w:t>
            </w:r>
          </w:p>
        </w:tc>
        <w:tc>
          <w:tcPr>
            <w:tcW w:w="1192" w:type="pct"/>
            <w:vAlign w:val="center"/>
          </w:tcPr>
          <w:p w14:paraId="06B91BA4">
            <w:pPr>
              <w:pStyle w:val="47"/>
              <w:widowControl w:val="0"/>
              <w:spacing w:before="0" w:beforeAutospacing="0" w:after="0" w:afterAutospacing="0" w:line="480" w:lineRule="exact"/>
              <w:rPr>
                <w:rFonts w:hint="eastAsia" w:ascii="宋体" w:hAnsi="宋体" w:eastAsia="宋体" w:cs="宋体"/>
                <w:b w:val="0"/>
                <w:sz w:val="24"/>
                <w:highlight w:val="none"/>
              </w:rPr>
            </w:pPr>
            <w:r>
              <w:rPr>
                <w:rFonts w:hint="eastAsia" w:ascii="宋体" w:hAnsi="宋体" w:eastAsia="宋体" w:cs="宋体"/>
                <w:b w:val="0"/>
                <w:sz w:val="24"/>
                <w:highlight w:val="none"/>
              </w:rPr>
              <w:t>服务期限</w:t>
            </w:r>
          </w:p>
        </w:tc>
        <w:tc>
          <w:tcPr>
            <w:tcW w:w="3217" w:type="pct"/>
            <w:vAlign w:val="center"/>
          </w:tcPr>
          <w:p w14:paraId="3759E141">
            <w:pPr>
              <w:spacing w:line="480" w:lineRule="exact"/>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一</w:t>
            </w:r>
            <w:r>
              <w:rPr>
                <w:rFonts w:hint="eastAsia" w:ascii="宋体" w:hAnsi="宋体" w:eastAsia="宋体" w:cs="宋体"/>
                <w:kern w:val="0"/>
                <w:sz w:val="24"/>
                <w:highlight w:val="none"/>
              </w:rPr>
              <w:t>年</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rPr>
              <w:t xml:space="preserve"> </w:t>
            </w:r>
          </w:p>
        </w:tc>
      </w:tr>
      <w:tr w14:paraId="5B56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B8BB900">
            <w:pPr>
              <w:pStyle w:val="48"/>
              <w:pBdr>
                <w:bottom w:val="none" w:color="auto" w:sz="0" w:space="0"/>
              </w:pBdr>
              <w:tabs>
                <w:tab w:val="clear" w:pos="4153"/>
                <w:tab w:val="clear" w:pos="8306"/>
              </w:tabs>
              <w:adjustRightInd/>
              <w:spacing w:line="48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4</w:t>
            </w:r>
          </w:p>
        </w:tc>
        <w:tc>
          <w:tcPr>
            <w:tcW w:w="1192" w:type="pct"/>
            <w:vAlign w:val="center"/>
          </w:tcPr>
          <w:p w14:paraId="430DB00D">
            <w:pPr>
              <w:pStyle w:val="47"/>
              <w:widowControl w:val="0"/>
              <w:spacing w:before="0" w:beforeAutospacing="0" w:after="0" w:afterAutospacing="0" w:line="480" w:lineRule="exact"/>
              <w:rPr>
                <w:rFonts w:hint="eastAsia" w:ascii="宋体" w:hAnsi="宋体" w:eastAsia="宋体" w:cs="宋体"/>
                <w:b w:val="0"/>
                <w:sz w:val="24"/>
                <w:highlight w:val="none"/>
              </w:rPr>
            </w:pPr>
            <w:r>
              <w:rPr>
                <w:rFonts w:hint="eastAsia" w:ascii="宋体" w:hAnsi="宋体" w:eastAsia="宋体" w:cs="宋体"/>
                <w:b w:val="0"/>
                <w:sz w:val="24"/>
                <w:highlight w:val="none"/>
              </w:rPr>
              <w:t>本项目采购标的名称及所属行业</w:t>
            </w:r>
          </w:p>
        </w:tc>
        <w:tc>
          <w:tcPr>
            <w:tcW w:w="3217" w:type="pct"/>
            <w:vAlign w:val="center"/>
          </w:tcPr>
          <w:p w14:paraId="36F87FC0">
            <w:pPr>
              <w:spacing w:line="480" w:lineRule="exact"/>
              <w:jc w:val="left"/>
              <w:rPr>
                <w:rFonts w:hint="eastAsia" w:ascii="宋体" w:hAnsi="宋体" w:eastAsia="宋体" w:cs="宋体"/>
                <w:sz w:val="24"/>
                <w:highlight w:val="none"/>
                <w:lang w:eastAsia="zh-CN"/>
              </w:rPr>
            </w:pPr>
            <w:r>
              <w:rPr>
                <w:rFonts w:hint="eastAsia" w:ascii="宋体" w:hAnsi="宋体" w:eastAsia="宋体" w:cs="宋体"/>
                <w:sz w:val="24"/>
                <w:highlight w:val="none"/>
              </w:rPr>
              <w:t>标的名称</w:t>
            </w:r>
            <w:r>
              <w:rPr>
                <w:rFonts w:hint="eastAsia" w:ascii="宋体" w:hAnsi="宋体" w:eastAsia="宋体" w:cs="宋体"/>
                <w:sz w:val="24"/>
                <w:highlight w:val="none"/>
                <w:lang w:eastAsia="zh-CN"/>
              </w:rPr>
              <w:t>：滁州市2025年普通国省干线公路技术状况评定项目</w:t>
            </w:r>
          </w:p>
          <w:p w14:paraId="77A7D200">
            <w:pPr>
              <w:spacing w:line="480" w:lineRule="exact"/>
              <w:jc w:val="left"/>
              <w:rPr>
                <w:rFonts w:hint="eastAsia" w:ascii="宋体" w:hAnsi="宋体" w:eastAsia="宋体" w:cs="宋体"/>
                <w:sz w:val="24"/>
                <w:highlight w:val="none"/>
              </w:rPr>
            </w:pPr>
            <w:r>
              <w:rPr>
                <w:rFonts w:hint="eastAsia" w:ascii="宋体" w:hAnsi="宋体" w:eastAsia="宋体" w:cs="宋体"/>
                <w:sz w:val="24"/>
                <w:highlight w:val="none"/>
                <w:lang w:eastAsia="zh-CN"/>
              </w:rPr>
              <w:t>所属行业：其他未列明行业。</w:t>
            </w:r>
          </w:p>
        </w:tc>
      </w:tr>
      <w:bookmarkEnd w:id="51"/>
    </w:tbl>
    <w:p w14:paraId="24BAD280">
      <w:pPr>
        <w:spacing w:line="360" w:lineRule="auto"/>
        <w:ind w:firstLine="437"/>
        <w:outlineLvl w:val="1"/>
        <w:rPr>
          <w:rFonts w:hint="eastAsia" w:ascii="宋体" w:hAnsi="宋体" w:eastAsia="宋体" w:cs="宋体"/>
          <w:b/>
          <w:color w:val="auto"/>
          <w:sz w:val="20"/>
          <w:szCs w:val="13"/>
          <w:highlight w:val="none"/>
        </w:rPr>
      </w:pPr>
      <w:bookmarkStart w:id="52" w:name="_Toc12748"/>
      <w:bookmarkStart w:id="53" w:name="_Toc25144"/>
      <w:bookmarkStart w:id="54" w:name="_Toc23116"/>
      <w:r>
        <w:rPr>
          <w:rFonts w:hint="eastAsia" w:ascii="宋体" w:hAnsi="宋体" w:eastAsia="宋体" w:cs="宋体"/>
          <w:b/>
          <w:color w:val="auto"/>
          <w:sz w:val="20"/>
          <w:szCs w:val="13"/>
          <w:highlight w:val="none"/>
        </w:rPr>
        <w:t>二、项目概况</w:t>
      </w:r>
      <w:bookmarkEnd w:id="52"/>
      <w:bookmarkEnd w:id="53"/>
      <w:bookmarkEnd w:id="54"/>
    </w:p>
    <w:p w14:paraId="3F945708">
      <w:pPr>
        <w:autoSpaceDE w:val="0"/>
        <w:autoSpaceDN w:val="0"/>
        <w:adjustRightInd w:val="0"/>
        <w:spacing w:line="42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滁州市国省道里程约1700公里的公路技术状况评定，迎国检预检路段里程约260公里；</w:t>
      </w:r>
    </w:p>
    <w:p w14:paraId="3899AE9D">
      <w:pPr>
        <w:numPr>
          <w:ilvl w:val="0"/>
          <w:numId w:val="3"/>
        </w:numPr>
        <w:autoSpaceDE w:val="0"/>
        <w:autoSpaceDN w:val="0"/>
        <w:adjustRightInd w:val="0"/>
        <w:spacing w:line="420" w:lineRule="exact"/>
        <w:ind w:firstLine="402" w:firstLineChars="200"/>
        <w:rPr>
          <w:rFonts w:hint="eastAsia" w:ascii="宋体" w:hAnsi="宋体" w:eastAsia="宋体" w:cs="宋体"/>
          <w:b/>
          <w:color w:val="auto"/>
          <w:sz w:val="20"/>
          <w:szCs w:val="13"/>
          <w:highlight w:val="none"/>
        </w:rPr>
      </w:pPr>
      <w:bookmarkStart w:id="55" w:name="_Toc8586"/>
      <w:bookmarkStart w:id="56" w:name="_Toc21757"/>
      <w:bookmarkStart w:id="57" w:name="_Toc15317"/>
      <w:r>
        <w:rPr>
          <w:rFonts w:hint="eastAsia" w:ascii="宋体" w:hAnsi="宋体" w:eastAsia="宋体" w:cs="宋体"/>
          <w:b/>
          <w:color w:val="auto"/>
          <w:sz w:val="20"/>
          <w:szCs w:val="13"/>
          <w:highlight w:val="none"/>
        </w:rPr>
        <w:t>服务需求</w:t>
      </w:r>
      <w:bookmarkEnd w:id="55"/>
      <w:bookmarkEnd w:id="56"/>
      <w:bookmarkEnd w:id="57"/>
    </w:p>
    <w:p w14:paraId="3BBCF848">
      <w:pPr>
        <w:numPr>
          <w:ilvl w:val="0"/>
          <w:numId w:val="0"/>
        </w:numPr>
        <w:autoSpaceDE w:val="0"/>
        <w:autoSpaceDN w:val="0"/>
        <w:adjustRightInd w:val="0"/>
        <w:spacing w:line="420" w:lineRule="exact"/>
        <w:ind w:firstLine="240" w:firstLineChars="100"/>
        <w:rPr>
          <w:rFonts w:hint="eastAsia" w:ascii="宋体" w:hAnsi="宋体" w:eastAsia="宋体" w:cs="宋体"/>
          <w:bCs/>
          <w:sz w:val="24"/>
          <w:szCs w:val="24"/>
        </w:rPr>
      </w:pPr>
      <w:r>
        <w:rPr>
          <w:rFonts w:hint="eastAsia" w:ascii="宋体" w:hAnsi="宋体" w:eastAsia="宋体" w:cs="宋体"/>
          <w:bCs/>
          <w:sz w:val="24"/>
          <w:szCs w:val="24"/>
        </w:rPr>
        <w:t>检测的工作内容</w:t>
      </w:r>
    </w:p>
    <w:p w14:paraId="521C76EB">
      <w:pPr>
        <w:autoSpaceDE w:val="0"/>
        <w:autoSpaceDN w:val="0"/>
        <w:adjustRightInd w:val="0"/>
        <w:spacing w:line="42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1、国省干线公路技术状况</w:t>
      </w:r>
    </w:p>
    <w:p w14:paraId="03988184">
      <w:pPr>
        <w:autoSpaceDE w:val="0"/>
        <w:autoSpaceDN w:val="0"/>
        <w:adjustRightInd w:val="0"/>
        <w:spacing w:line="42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根据《安徽省普通国省干线公路路面技术状况监测实施方案》文件要求，按照《公路技术状况评定标准》（JTG5210-2018），检测全市国省干线公路的路面破损（DR)、路面平整度（IRI）、路面车辙（RD）、路面跳车（PB)、路面横向力（一级公路）（SFC)等指标，开展全市国省干线公路路面损坏状况指数PCI、路面行驶质量指数RQI、路面车辙深度指数RDI、路面跳车指数PBI、路面抗滑指数SRI等的统计与评定。由此得出路面使用性能PQI、公路技术状况指数MQI，并将公路评定资料录入安徽公路资产平台，负责2025年公路资产平台技术状况有关数据的整理、完善。</w:t>
      </w:r>
    </w:p>
    <w:p w14:paraId="0C066BBA">
      <w:pPr>
        <w:autoSpaceDE w:val="0"/>
        <w:autoSpaceDN w:val="0"/>
        <w:adjustRightInd w:val="0"/>
        <w:spacing w:line="42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全年完成国、省道全覆盖PQI一次，国、省道全覆盖MQI检测一次。并出具对应的检测报告。</w:t>
      </w:r>
    </w:p>
    <w:p w14:paraId="57F23240">
      <w:pPr>
        <w:autoSpaceDE w:val="0"/>
        <w:autoSpaceDN w:val="0"/>
        <w:adjustRightInd w:val="0"/>
        <w:spacing w:line="42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2、养护统计年报</w:t>
      </w:r>
    </w:p>
    <w:p w14:paraId="708289CC">
      <w:pPr>
        <w:autoSpaceDE w:val="0"/>
        <w:autoSpaceDN w:val="0"/>
        <w:adjustRightInd w:val="0"/>
        <w:spacing w:line="42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负责2025年滁州市国省干线养护统计年报及电子地图编制工作：编制市本级并汇总审核各县（市）公路中心上报的年报数据及电子地图，上报省公路中心审核通过。</w:t>
      </w:r>
    </w:p>
    <w:p w14:paraId="56D1F159">
      <w:pPr>
        <w:autoSpaceDE w:val="0"/>
        <w:autoSpaceDN w:val="0"/>
        <w:adjustRightInd w:val="0"/>
        <w:spacing w:line="42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3、综合评价</w:t>
      </w:r>
    </w:p>
    <w:p w14:paraId="5B262AB0">
      <w:pPr>
        <w:autoSpaceDE w:val="0"/>
        <w:autoSpaceDN w:val="0"/>
        <w:adjustRightInd w:val="0"/>
        <w:spacing w:line="42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按照《安徽省普通国省干线公路路况综合考评办法》的要求，对我市国省干线公路日常养护和安徽公路资产管理开展两次综合评价。</w:t>
      </w:r>
    </w:p>
    <w:p w14:paraId="41E27CBD">
      <w:pPr>
        <w:autoSpaceDE w:val="0"/>
        <w:autoSpaceDN w:val="0"/>
        <w:adjustRightInd w:val="0"/>
        <w:spacing w:line="42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4、编制报告</w:t>
      </w:r>
    </w:p>
    <w:p w14:paraId="1A49F60C">
      <w:pPr>
        <w:autoSpaceDE w:val="0"/>
        <w:autoSpaceDN w:val="0"/>
        <w:adjustRightInd w:val="0"/>
        <w:spacing w:line="42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1）编制2025年滁州市国省干线公路养护需求分析报告。</w:t>
      </w:r>
    </w:p>
    <w:p w14:paraId="54F28CA9">
      <w:pPr>
        <w:autoSpaceDE w:val="0"/>
        <w:autoSpaceDN w:val="0"/>
        <w:adjustRightInd w:val="0"/>
        <w:spacing w:line="42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2）全市国省干线耐久性评价：公路耐久性评价意见结合公路建设完成至今使用年数、使用期间总交通量、当前技术状况等因素计算公路耐久性指标。</w:t>
      </w:r>
    </w:p>
    <w:p w14:paraId="7E7A7A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检测要求</w:t>
      </w:r>
    </w:p>
    <w:p w14:paraId="5DFDAE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1）、利用CICS全智能自动化检测车并结合仪器进行检测。检测前编制检测方案，经业主审批同意后方可开展相关工作。</w:t>
      </w:r>
    </w:p>
    <w:p w14:paraId="340854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2）、综合评价须根据《安徽省普通国省干线公路路况综合考评办法》采用线上、线下综合检测结果的方式开展，线上指安徽公路资产平台。</w:t>
      </w:r>
    </w:p>
    <w:p w14:paraId="34F05E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检测工作要求：</w:t>
      </w:r>
    </w:p>
    <w:p w14:paraId="551DC3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编制技术状况评定报告：8月底完成普通国道和迎国检预检路段PQI检测报告和通报，10月底完成国、省道公路技术状况检测报告和通报；10月底完成2025年我市国省干线公路日常养护和安徽公路资产管理的综合评价、安徽公路资产平台的数据整理、完善工作;</w:t>
      </w:r>
    </w:p>
    <w:p w14:paraId="2D7BA3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（三）检测工作要求：</w:t>
      </w:r>
    </w:p>
    <w:p w14:paraId="003432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1、依据委托人要求</w:t>
      </w:r>
      <w:r>
        <w:rPr>
          <w:rFonts w:hint="eastAsia" w:ascii="宋体" w:hAnsi="宋体" w:eastAsia="宋体" w:cs="宋体"/>
          <w:color w:val="auto"/>
          <w:sz w:val="24"/>
          <w:szCs w:val="24"/>
          <w:highlight w:val="none"/>
          <w:lang w:val="en-US" w:eastAsia="zh-CN"/>
        </w:rPr>
        <w:t>按项目</w:t>
      </w:r>
      <w:r>
        <w:rPr>
          <w:rFonts w:hint="eastAsia" w:ascii="宋体" w:hAnsi="宋体" w:eastAsia="宋体" w:cs="宋体"/>
          <w:color w:val="auto"/>
          <w:sz w:val="24"/>
          <w:szCs w:val="24"/>
          <w:highlight w:val="none"/>
          <w:lang w:eastAsia="zh-CN"/>
        </w:rPr>
        <w:t>出具巡检情况报告和通报；</w:t>
      </w:r>
    </w:p>
    <w:p w14:paraId="25137E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2、安徽资产平台的数据服务和巡检评价须专人驻地协助委托人开展相关工作。</w:t>
      </w:r>
    </w:p>
    <w:p w14:paraId="76EDA0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、工作要求</w:t>
      </w:r>
    </w:p>
    <w:p w14:paraId="6B85A7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（一）人员 、场地及机械设备要求：</w:t>
      </w:r>
    </w:p>
    <w:p w14:paraId="1B805D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1、为本项目配备固定管理技术人员,班子人员较齐备、搭配较合理</w:t>
      </w:r>
    </w:p>
    <w:p w14:paraId="334EDB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2、机械设备数量、配置种类充分、合适，主要设备落实，满足检测需要。</w:t>
      </w:r>
    </w:p>
    <w:p w14:paraId="2F51B4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（二）服务要求</w:t>
      </w:r>
    </w:p>
    <w:p w14:paraId="00A1CC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1、服务期间，必须按招标人的要求以及实际需要配备足够的人员； </w:t>
      </w:r>
    </w:p>
    <w:p w14:paraId="3B26CA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2、评定报告内容标准符合国家有关技术规程、规范要求。</w:t>
      </w:r>
    </w:p>
    <w:p w14:paraId="32D049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3、若不符合相关质量要求，由中标人立即无条件进行整改。由此发生的费用业主不用另行计量支付。</w:t>
      </w:r>
    </w:p>
    <w:p w14:paraId="03B9C2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3、中标单位在承包期内工作人员发生各种事故：包括工程安全、治安、交通、防火和违法乱纪、劳资纠纷等事件，所造成一切后果及损失，由中标单位承担责任和负责赔偿。</w:t>
      </w:r>
    </w:p>
    <w:p w14:paraId="439618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4、在合同期内，中标人因各种原因，造成第三方的损失或经济损失，由中标人独自承担其法律和经济责任，与招标人无关。</w:t>
      </w:r>
    </w:p>
    <w:p w14:paraId="1A890AF2">
      <w:pPr>
        <w:pStyle w:val="2"/>
        <w:rPr>
          <w:rFonts w:hint="eastAsia" w:ascii="宋体" w:hAnsi="宋体" w:eastAsia="宋体" w:cs="宋体"/>
          <w:lang w:val="en-US" w:eastAsia="zh-CN"/>
        </w:rPr>
      </w:pPr>
      <w:r>
        <w:rPr>
          <w:rFonts w:hint="eastAsia" w:ascii="宋体" w:hAnsi="宋体" w:eastAsia="宋体" w:cs="宋体"/>
          <w:color w:val="auto"/>
          <w:sz w:val="24"/>
          <w:szCs w:val="24"/>
          <w:highlight w:val="none"/>
          <w:lang w:val="en-US" w:eastAsia="zh-CN"/>
        </w:rPr>
        <w:t>5、配合迎国检工作，具体检测方案经业主审核后确定。</w:t>
      </w:r>
    </w:p>
    <w:p w14:paraId="33E4ED2C">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1A6844AD">
      <w:pPr>
        <w:spacing w:line="360" w:lineRule="auto"/>
        <w:jc w:val="center"/>
        <w:outlineLvl w:val="0"/>
        <w:rPr>
          <w:rFonts w:hint="eastAsia" w:ascii="宋体" w:hAnsi="宋体" w:eastAsia="宋体" w:cs="宋体"/>
          <w:b/>
          <w:sz w:val="28"/>
          <w:highlight w:val="none"/>
        </w:rPr>
      </w:pPr>
      <w:bookmarkStart w:id="58" w:name="_Toc25399"/>
      <w:r>
        <w:rPr>
          <w:rFonts w:hint="eastAsia" w:ascii="宋体" w:hAnsi="宋体" w:eastAsia="宋体" w:cs="宋体"/>
          <w:b/>
          <w:sz w:val="28"/>
          <w:highlight w:val="none"/>
        </w:rPr>
        <w:t>第四章  评标方法和标准</w:t>
      </w:r>
      <w:bookmarkEnd w:id="58"/>
      <w:r>
        <w:rPr>
          <w:rFonts w:hint="eastAsia" w:ascii="宋体" w:hAnsi="宋体" w:eastAsia="宋体" w:cs="宋体"/>
          <w:b/>
          <w:sz w:val="28"/>
          <w:highlight w:val="none"/>
        </w:rPr>
        <w:t>（综合评分法）</w:t>
      </w:r>
    </w:p>
    <w:p w14:paraId="32795BD3">
      <w:pPr>
        <w:spacing w:line="440" w:lineRule="exact"/>
        <w:ind w:firstLine="437"/>
        <w:outlineLvl w:val="1"/>
        <w:rPr>
          <w:rFonts w:hint="eastAsia" w:ascii="宋体" w:hAnsi="宋体" w:eastAsia="宋体" w:cs="宋体"/>
          <w:b/>
          <w:sz w:val="24"/>
          <w:highlight w:val="none"/>
        </w:rPr>
      </w:pPr>
      <w:bookmarkStart w:id="59" w:name="_Toc11823"/>
      <w:bookmarkStart w:id="60" w:name="_Toc9286"/>
      <w:bookmarkStart w:id="61" w:name="_Toc4705"/>
      <w:r>
        <w:rPr>
          <w:rFonts w:hint="eastAsia" w:ascii="宋体" w:hAnsi="宋体" w:eastAsia="宋体" w:cs="宋体"/>
          <w:b/>
          <w:sz w:val="24"/>
          <w:highlight w:val="none"/>
        </w:rPr>
        <w:t>一、总则</w:t>
      </w:r>
      <w:bookmarkEnd w:id="59"/>
      <w:bookmarkEnd w:id="60"/>
      <w:bookmarkEnd w:id="61"/>
    </w:p>
    <w:p w14:paraId="17185BCF">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本项目将按照招标文件第二章 投标人须知的相关要求及本章的规定评标。</w:t>
      </w:r>
    </w:p>
    <w:p w14:paraId="3CB6423B">
      <w:pPr>
        <w:spacing w:line="440" w:lineRule="exact"/>
        <w:ind w:firstLine="437"/>
        <w:outlineLvl w:val="1"/>
        <w:rPr>
          <w:rFonts w:hint="eastAsia" w:ascii="宋体" w:hAnsi="宋体" w:eastAsia="宋体" w:cs="宋体"/>
          <w:b/>
          <w:sz w:val="24"/>
          <w:highlight w:val="none"/>
        </w:rPr>
      </w:pPr>
      <w:bookmarkStart w:id="62" w:name="_Toc31871"/>
      <w:bookmarkStart w:id="63" w:name="_Toc32410"/>
      <w:bookmarkStart w:id="64" w:name="_Toc12003"/>
      <w:r>
        <w:rPr>
          <w:rFonts w:hint="eastAsia" w:ascii="宋体" w:hAnsi="宋体" w:eastAsia="宋体" w:cs="宋体"/>
          <w:b/>
          <w:sz w:val="24"/>
          <w:highlight w:val="none"/>
        </w:rPr>
        <w:t>二、评标方法</w:t>
      </w:r>
      <w:bookmarkEnd w:id="62"/>
      <w:bookmarkEnd w:id="63"/>
      <w:bookmarkEnd w:id="64"/>
    </w:p>
    <w:p w14:paraId="66BABE30">
      <w:pPr>
        <w:spacing w:line="440" w:lineRule="exact"/>
        <w:ind w:firstLine="437"/>
        <w:outlineLvl w:val="2"/>
        <w:rPr>
          <w:rFonts w:hint="eastAsia" w:ascii="宋体" w:hAnsi="宋体" w:eastAsia="宋体" w:cs="宋体"/>
          <w:sz w:val="24"/>
          <w:highlight w:val="none"/>
        </w:rPr>
      </w:pPr>
      <w:r>
        <w:rPr>
          <w:rFonts w:hint="eastAsia" w:ascii="宋体" w:hAnsi="宋体" w:eastAsia="宋体" w:cs="宋体"/>
          <w:sz w:val="24"/>
          <w:highlight w:val="none"/>
        </w:rPr>
        <w:t>2.1资格审查</w:t>
      </w:r>
    </w:p>
    <w:tbl>
      <w:tblPr>
        <w:tblStyle w:val="28"/>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651"/>
        <w:gridCol w:w="4556"/>
        <w:gridCol w:w="1906"/>
      </w:tblGrid>
      <w:tr w14:paraId="585B1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43D3454F">
            <w:pPr>
              <w:adjustRightInd w:val="0"/>
              <w:snapToGrid w:val="0"/>
              <w:spacing w:line="440" w:lineRule="exact"/>
              <w:ind w:right="-10"/>
              <w:jc w:val="center"/>
              <w:rPr>
                <w:rFonts w:hint="eastAsia" w:ascii="宋体" w:hAnsi="宋体" w:eastAsia="宋体" w:cs="宋体"/>
                <w:sz w:val="24"/>
                <w:highlight w:val="none"/>
              </w:rPr>
            </w:pPr>
            <w:r>
              <w:rPr>
                <w:rFonts w:hint="eastAsia" w:ascii="宋体" w:hAnsi="宋体" w:eastAsia="宋体" w:cs="宋体"/>
                <w:b/>
                <w:sz w:val="24"/>
                <w:szCs w:val="22"/>
                <w:highlight w:val="none"/>
              </w:rPr>
              <w:t>资格审查表</w:t>
            </w:r>
          </w:p>
        </w:tc>
      </w:tr>
      <w:tr w14:paraId="03890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tcBorders>
              <w:bottom w:val="single" w:color="auto" w:sz="4" w:space="0"/>
            </w:tcBorders>
            <w:vAlign w:val="center"/>
          </w:tcPr>
          <w:p w14:paraId="34E72C44">
            <w:pPr>
              <w:adjustRightInd w:val="0"/>
              <w:snapToGrid w:val="0"/>
              <w:spacing w:line="440" w:lineRule="exact"/>
              <w:ind w:right="-10"/>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942" w:type="pct"/>
            <w:tcBorders>
              <w:bottom w:val="single" w:color="auto" w:sz="4" w:space="0"/>
            </w:tcBorders>
            <w:vAlign w:val="center"/>
          </w:tcPr>
          <w:p w14:paraId="48B4D19D">
            <w:pPr>
              <w:pStyle w:val="48"/>
              <w:pBdr>
                <w:bottom w:val="none" w:color="auto" w:sz="0" w:space="0"/>
              </w:pBdr>
              <w:tabs>
                <w:tab w:val="clear" w:pos="4153"/>
                <w:tab w:val="clear" w:pos="8306"/>
              </w:tabs>
              <w:snapToGrid w:val="0"/>
              <w:spacing w:line="440" w:lineRule="exact"/>
              <w:ind w:right="-10"/>
              <w:textAlignment w:val="auto"/>
              <w:rPr>
                <w:rFonts w:hint="eastAsia" w:ascii="宋体" w:hAnsi="宋体" w:eastAsia="宋体" w:cs="宋体"/>
                <w:kern w:val="2"/>
                <w:szCs w:val="24"/>
                <w:highlight w:val="none"/>
              </w:rPr>
            </w:pPr>
            <w:r>
              <w:rPr>
                <w:rFonts w:hint="eastAsia" w:ascii="宋体" w:hAnsi="宋体" w:eastAsia="宋体" w:cs="宋体"/>
                <w:kern w:val="2"/>
                <w:szCs w:val="24"/>
                <w:highlight w:val="none"/>
              </w:rPr>
              <w:t>审查因素</w:t>
            </w:r>
          </w:p>
        </w:tc>
        <w:tc>
          <w:tcPr>
            <w:tcW w:w="2600" w:type="pct"/>
            <w:tcBorders>
              <w:bottom w:val="single" w:color="auto" w:sz="4" w:space="0"/>
            </w:tcBorders>
            <w:vAlign w:val="center"/>
          </w:tcPr>
          <w:p w14:paraId="4DA42642">
            <w:pPr>
              <w:adjustRightInd w:val="0"/>
              <w:snapToGrid w:val="0"/>
              <w:spacing w:line="440" w:lineRule="exact"/>
              <w:ind w:right="-10"/>
              <w:jc w:val="center"/>
              <w:rPr>
                <w:rFonts w:hint="eastAsia" w:ascii="宋体" w:hAnsi="宋体" w:eastAsia="宋体" w:cs="宋体"/>
                <w:sz w:val="24"/>
                <w:highlight w:val="none"/>
              </w:rPr>
            </w:pPr>
            <w:r>
              <w:rPr>
                <w:rFonts w:hint="eastAsia" w:ascii="宋体" w:hAnsi="宋体" w:eastAsia="宋体" w:cs="宋体"/>
                <w:sz w:val="24"/>
                <w:highlight w:val="none"/>
              </w:rPr>
              <w:t>审查内容</w:t>
            </w:r>
          </w:p>
        </w:tc>
        <w:tc>
          <w:tcPr>
            <w:tcW w:w="1087" w:type="pct"/>
            <w:tcBorders>
              <w:bottom w:val="single" w:color="auto" w:sz="4" w:space="0"/>
            </w:tcBorders>
            <w:vAlign w:val="center"/>
          </w:tcPr>
          <w:p w14:paraId="3180C3A1">
            <w:pPr>
              <w:adjustRightInd w:val="0"/>
              <w:snapToGrid w:val="0"/>
              <w:spacing w:line="440" w:lineRule="exact"/>
              <w:ind w:right="-10"/>
              <w:jc w:val="center"/>
              <w:rPr>
                <w:rFonts w:hint="eastAsia" w:ascii="宋体" w:hAnsi="宋体" w:eastAsia="宋体" w:cs="宋体"/>
                <w:sz w:val="24"/>
                <w:highlight w:val="none"/>
              </w:rPr>
            </w:pPr>
            <w:r>
              <w:rPr>
                <w:rFonts w:hint="eastAsia" w:ascii="宋体" w:hAnsi="宋体" w:eastAsia="宋体" w:cs="宋体"/>
                <w:sz w:val="24"/>
                <w:highlight w:val="none"/>
              </w:rPr>
              <w:t>格式要求</w:t>
            </w:r>
          </w:p>
        </w:tc>
      </w:tr>
      <w:tr w14:paraId="0F71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0" w:type="pct"/>
            <w:tcBorders>
              <w:bottom w:val="single" w:color="auto" w:sz="4" w:space="0"/>
            </w:tcBorders>
            <w:vAlign w:val="center"/>
          </w:tcPr>
          <w:p w14:paraId="5B16FD5C">
            <w:pPr>
              <w:adjustRightInd w:val="0"/>
              <w:snapToGrid w:val="0"/>
              <w:spacing w:line="440" w:lineRule="exact"/>
              <w:ind w:right="-10"/>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942" w:type="pct"/>
            <w:tcBorders>
              <w:bottom w:val="single" w:color="auto" w:sz="4" w:space="0"/>
            </w:tcBorders>
            <w:vAlign w:val="center"/>
          </w:tcPr>
          <w:p w14:paraId="24E59D7A">
            <w:pPr>
              <w:spacing w:after="50" w:line="440" w:lineRule="exact"/>
              <w:ind w:right="-10"/>
              <w:jc w:val="center"/>
              <w:rPr>
                <w:rFonts w:hint="eastAsia" w:ascii="宋体" w:hAnsi="宋体" w:eastAsia="宋体" w:cs="宋体"/>
                <w:sz w:val="24"/>
                <w:szCs w:val="28"/>
                <w:highlight w:val="none"/>
              </w:rPr>
            </w:pPr>
            <w:r>
              <w:rPr>
                <w:rFonts w:hint="eastAsia" w:ascii="宋体" w:hAnsi="宋体" w:eastAsia="宋体" w:cs="宋体"/>
                <w:spacing w:val="9"/>
                <w:sz w:val="24"/>
                <w:szCs w:val="24"/>
                <w:highlight w:val="none"/>
              </w:rPr>
              <w:t>营业执照等证明</w:t>
            </w:r>
            <w:r>
              <w:rPr>
                <w:rFonts w:hint="eastAsia" w:ascii="宋体" w:hAnsi="宋体" w:eastAsia="宋体" w:cs="宋体"/>
                <w:spacing w:val="-3"/>
                <w:sz w:val="24"/>
                <w:szCs w:val="24"/>
                <w:highlight w:val="none"/>
              </w:rPr>
              <w:t>文件</w:t>
            </w:r>
          </w:p>
        </w:tc>
        <w:tc>
          <w:tcPr>
            <w:tcW w:w="2600" w:type="pct"/>
            <w:tcBorders>
              <w:bottom w:val="single" w:color="auto" w:sz="4" w:space="0"/>
            </w:tcBorders>
            <w:vAlign w:val="center"/>
          </w:tcPr>
          <w:p w14:paraId="3DAB00BA">
            <w:pPr>
              <w:spacing w:after="50" w:line="440" w:lineRule="exact"/>
              <w:ind w:right="-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（1）投标人为企业（包括合伙企业）的，应提供有效的营业执照；</w:t>
            </w:r>
          </w:p>
          <w:p w14:paraId="6B646F2A">
            <w:pPr>
              <w:spacing w:after="50" w:line="440" w:lineRule="exact"/>
              <w:ind w:right="-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（2）投标人为事业单位的，应提供有效的事业单位法人证书；</w:t>
            </w:r>
          </w:p>
          <w:p w14:paraId="14825A89">
            <w:pPr>
              <w:spacing w:after="50" w:line="440" w:lineRule="exact"/>
              <w:ind w:right="-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（3）投标人是非企业机构的，应提供有效的执业许可证或登记证书等证明文件；</w:t>
            </w:r>
          </w:p>
          <w:p w14:paraId="67B4D42C">
            <w:pPr>
              <w:spacing w:after="50" w:line="440" w:lineRule="exact"/>
              <w:ind w:right="-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（4）投标人是个体工商户的，应提供有效的个体工商户营业执照；</w:t>
            </w:r>
          </w:p>
          <w:p w14:paraId="7A00B333">
            <w:pPr>
              <w:spacing w:after="50" w:line="440" w:lineRule="exact"/>
              <w:ind w:right="-10"/>
              <w:jc w:val="left"/>
              <w:rPr>
                <w:rFonts w:hint="eastAsia" w:ascii="宋体" w:hAnsi="宋体" w:eastAsia="宋体" w:cs="宋体"/>
                <w:sz w:val="24"/>
                <w:szCs w:val="28"/>
                <w:highlight w:val="none"/>
              </w:rPr>
            </w:pPr>
            <w:r>
              <w:rPr>
                <w:rFonts w:hint="eastAsia" w:ascii="宋体" w:hAnsi="宋体" w:eastAsia="宋体" w:cs="宋体"/>
                <w:sz w:val="24"/>
                <w:szCs w:val="24"/>
                <w:highlight w:val="none"/>
              </w:rPr>
              <w:t>（5）投标人是自然人的，应提供有效的自然人身份证明。</w:t>
            </w:r>
          </w:p>
        </w:tc>
        <w:tc>
          <w:tcPr>
            <w:tcW w:w="1087" w:type="pct"/>
            <w:vAlign w:val="center"/>
          </w:tcPr>
          <w:p w14:paraId="525704F7">
            <w:pPr>
              <w:spacing w:line="440" w:lineRule="exact"/>
              <w:jc w:val="left"/>
              <w:rPr>
                <w:rFonts w:hint="eastAsia" w:ascii="宋体" w:hAnsi="宋体" w:eastAsia="宋体" w:cs="宋体"/>
                <w:sz w:val="24"/>
                <w:highlight w:val="none"/>
              </w:rPr>
            </w:pPr>
            <w:r>
              <w:rPr>
                <w:rFonts w:hint="eastAsia" w:ascii="宋体" w:hAnsi="宋体" w:eastAsia="宋体" w:cs="宋体"/>
                <w:sz w:val="24"/>
                <w:szCs w:val="24"/>
                <w:highlight w:val="none"/>
              </w:rPr>
              <w:t>提供材料扫描件或电子证照，应完整的体现出材料或电子证照全部内容。联合体投标的联合体各方均须提供。</w:t>
            </w:r>
          </w:p>
        </w:tc>
      </w:tr>
      <w:tr w14:paraId="60F98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0" w:type="pct"/>
            <w:tcBorders>
              <w:bottom w:val="single" w:color="auto" w:sz="4" w:space="0"/>
            </w:tcBorders>
            <w:vAlign w:val="center"/>
          </w:tcPr>
          <w:p w14:paraId="1D2BA25C">
            <w:pPr>
              <w:adjustRightInd w:val="0"/>
              <w:snapToGrid w:val="0"/>
              <w:spacing w:line="440" w:lineRule="exact"/>
              <w:ind w:right="-10"/>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942" w:type="pct"/>
            <w:tcBorders>
              <w:bottom w:val="single" w:color="auto" w:sz="4" w:space="0"/>
            </w:tcBorders>
            <w:vAlign w:val="center"/>
          </w:tcPr>
          <w:p w14:paraId="0903EB12">
            <w:pPr>
              <w:spacing w:after="50" w:line="440" w:lineRule="exact"/>
              <w:ind w:right="-10"/>
              <w:jc w:val="center"/>
              <w:rPr>
                <w:rFonts w:hint="eastAsia" w:ascii="宋体" w:hAnsi="宋体" w:eastAsia="宋体" w:cs="宋体"/>
                <w:sz w:val="24"/>
                <w:szCs w:val="28"/>
                <w:highlight w:val="none"/>
              </w:rPr>
            </w:pPr>
            <w:r>
              <w:rPr>
                <w:rFonts w:hint="eastAsia" w:ascii="宋体" w:hAnsi="宋体" w:eastAsia="宋体" w:cs="宋体"/>
                <w:sz w:val="24"/>
                <w:szCs w:val="18"/>
                <w:highlight w:val="none"/>
              </w:rPr>
              <w:t>投标人资格声明书</w:t>
            </w:r>
          </w:p>
        </w:tc>
        <w:tc>
          <w:tcPr>
            <w:tcW w:w="2600" w:type="pct"/>
            <w:tcBorders>
              <w:bottom w:val="single" w:color="auto" w:sz="4" w:space="0"/>
            </w:tcBorders>
            <w:vAlign w:val="center"/>
          </w:tcPr>
          <w:p w14:paraId="53757F51">
            <w:pPr>
              <w:spacing w:after="50" w:line="440" w:lineRule="exact"/>
              <w:ind w:right="-10"/>
              <w:jc w:val="left"/>
              <w:rPr>
                <w:rFonts w:hint="eastAsia" w:ascii="宋体" w:hAnsi="宋体" w:eastAsia="宋体" w:cs="宋体"/>
                <w:sz w:val="24"/>
                <w:szCs w:val="28"/>
                <w:highlight w:val="none"/>
              </w:rPr>
            </w:pPr>
            <w:r>
              <w:rPr>
                <w:rFonts w:hint="eastAsia" w:ascii="宋体" w:hAnsi="宋体" w:eastAsia="宋体" w:cs="宋体"/>
                <w:sz w:val="24"/>
                <w:szCs w:val="24"/>
                <w:highlight w:val="none"/>
              </w:rPr>
              <w:t>提供符合招标文件要求的《投标人资格声明书》。</w:t>
            </w:r>
          </w:p>
        </w:tc>
        <w:tc>
          <w:tcPr>
            <w:tcW w:w="1087" w:type="pct"/>
            <w:vAlign w:val="center"/>
          </w:tcPr>
          <w:p w14:paraId="4A5838B5">
            <w:pPr>
              <w:spacing w:line="440" w:lineRule="exact"/>
              <w:jc w:val="left"/>
              <w:rPr>
                <w:rFonts w:hint="eastAsia" w:ascii="宋体" w:hAnsi="宋体" w:eastAsia="宋体" w:cs="宋体"/>
                <w:sz w:val="24"/>
                <w:szCs w:val="24"/>
                <w:highlight w:val="none"/>
              </w:rPr>
            </w:pPr>
            <w:r>
              <w:rPr>
                <w:rFonts w:hint="eastAsia" w:ascii="宋体" w:hAnsi="宋体" w:eastAsia="宋体" w:cs="宋体"/>
                <w:sz w:val="24"/>
                <w:highlight w:val="none"/>
              </w:rPr>
              <w:t>详见第六章投标文件格式。</w:t>
            </w:r>
          </w:p>
        </w:tc>
      </w:tr>
      <w:tr w14:paraId="6730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vAlign w:val="center"/>
          </w:tcPr>
          <w:p w14:paraId="3A2B0CDE">
            <w:pPr>
              <w:adjustRightInd w:val="0"/>
              <w:snapToGrid w:val="0"/>
              <w:spacing w:line="440" w:lineRule="exact"/>
              <w:ind w:right="-10"/>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942" w:type="pct"/>
            <w:vAlign w:val="center"/>
          </w:tcPr>
          <w:p w14:paraId="31B48DA7">
            <w:pPr>
              <w:spacing w:after="50" w:line="440" w:lineRule="exact"/>
              <w:ind w:right="-10"/>
              <w:jc w:val="center"/>
              <w:rPr>
                <w:rFonts w:hint="eastAsia" w:ascii="宋体" w:hAnsi="宋体" w:eastAsia="宋体" w:cs="宋体"/>
                <w:sz w:val="24"/>
                <w:szCs w:val="28"/>
                <w:highlight w:val="none"/>
              </w:rPr>
            </w:pPr>
            <w:r>
              <w:rPr>
                <w:rFonts w:hint="eastAsia" w:ascii="宋体" w:hAnsi="宋体" w:eastAsia="宋体" w:cs="宋体"/>
                <w:sz w:val="24"/>
                <w:szCs w:val="24"/>
                <w:highlight w:val="none"/>
              </w:rPr>
              <w:t>投标人信用记录</w:t>
            </w:r>
          </w:p>
        </w:tc>
        <w:tc>
          <w:tcPr>
            <w:tcW w:w="2600" w:type="pct"/>
            <w:vAlign w:val="center"/>
          </w:tcPr>
          <w:p w14:paraId="42C8BB6E">
            <w:pPr>
              <w:spacing w:after="50" w:line="440" w:lineRule="exact"/>
              <w:ind w:right="-10"/>
              <w:jc w:val="left"/>
              <w:rPr>
                <w:rFonts w:hint="eastAsia" w:ascii="宋体" w:hAnsi="宋体" w:eastAsia="宋体" w:cs="宋体"/>
                <w:highlight w:val="none"/>
              </w:rPr>
            </w:pPr>
            <w:r>
              <w:rPr>
                <w:rFonts w:hint="eastAsia" w:ascii="宋体" w:hAnsi="宋体" w:eastAsia="宋体" w:cs="宋体"/>
                <w:sz w:val="24"/>
                <w:szCs w:val="24"/>
                <w:highlight w:val="none"/>
                <w:lang w:val="zh-CN"/>
              </w:rPr>
              <w:t>投标人不得存在</w:t>
            </w:r>
            <w:r>
              <w:rPr>
                <w:rFonts w:hint="eastAsia" w:ascii="宋体" w:hAnsi="宋体" w:eastAsia="宋体" w:cs="宋体"/>
                <w:sz w:val="24"/>
                <w:szCs w:val="24"/>
                <w:highlight w:val="none"/>
              </w:rPr>
              <w:t>投标邀请第4条信誉要求和</w:t>
            </w:r>
            <w:r>
              <w:rPr>
                <w:rFonts w:hint="eastAsia" w:ascii="宋体" w:hAnsi="宋体" w:eastAsia="宋体" w:cs="宋体"/>
                <w:sz w:val="24"/>
                <w:szCs w:val="24"/>
                <w:highlight w:val="none"/>
                <w:lang w:val="zh-CN"/>
              </w:rPr>
              <w:t>投标人须知正文第1</w:t>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zh-CN"/>
              </w:rPr>
              <w:t>.2</w:t>
            </w:r>
            <w:r>
              <w:rPr>
                <w:rFonts w:hint="eastAsia" w:ascii="宋体" w:hAnsi="宋体" w:eastAsia="宋体" w:cs="宋体"/>
                <w:sz w:val="24"/>
                <w:szCs w:val="24"/>
                <w:highlight w:val="none"/>
              </w:rPr>
              <w:t>条中</w:t>
            </w:r>
            <w:r>
              <w:rPr>
                <w:rFonts w:hint="eastAsia" w:ascii="宋体" w:hAnsi="宋体" w:eastAsia="宋体" w:cs="宋体"/>
                <w:sz w:val="24"/>
                <w:szCs w:val="28"/>
                <w:highlight w:val="none"/>
              </w:rPr>
              <w:t>的</w:t>
            </w:r>
            <w:r>
              <w:rPr>
                <w:rFonts w:hint="eastAsia" w:ascii="宋体" w:hAnsi="宋体" w:eastAsia="宋体" w:cs="宋体"/>
                <w:sz w:val="24"/>
                <w:szCs w:val="18"/>
                <w:highlight w:val="none"/>
              </w:rPr>
              <w:t>不良信用记录情形</w:t>
            </w:r>
          </w:p>
        </w:tc>
        <w:tc>
          <w:tcPr>
            <w:tcW w:w="1087" w:type="pct"/>
            <w:vAlign w:val="center"/>
          </w:tcPr>
          <w:p w14:paraId="5F2AEDBC">
            <w:pPr>
              <w:spacing w:line="440" w:lineRule="exact"/>
              <w:jc w:val="left"/>
              <w:rPr>
                <w:rFonts w:hint="eastAsia" w:ascii="宋体" w:hAnsi="宋体" w:eastAsia="宋体" w:cs="宋体"/>
                <w:highlight w:val="none"/>
              </w:rPr>
            </w:pPr>
            <w:r>
              <w:rPr>
                <w:rFonts w:hint="eastAsia" w:ascii="宋体" w:hAnsi="宋体" w:eastAsia="宋体" w:cs="宋体"/>
                <w:sz w:val="24"/>
                <w:szCs w:val="24"/>
                <w:highlight w:val="none"/>
              </w:rPr>
              <w:t>无须投标人提供，由采购人或采购代理机构查询。</w:t>
            </w:r>
          </w:p>
        </w:tc>
      </w:tr>
      <w:tr w14:paraId="21F66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shd w:val="clear" w:color="auto" w:fill="auto"/>
            <w:vAlign w:val="center"/>
          </w:tcPr>
          <w:p w14:paraId="5BB4125A">
            <w:pPr>
              <w:adjustRightInd w:val="0"/>
              <w:snapToGrid w:val="0"/>
              <w:spacing w:line="360" w:lineRule="auto"/>
              <w:ind w:right="-10" w:rightChars="0"/>
              <w:jc w:val="center"/>
              <w:rPr>
                <w:rFonts w:hint="eastAsia" w:ascii="宋体" w:hAnsi="宋体" w:eastAsia="宋体" w:cs="宋体"/>
                <w:color w:val="auto"/>
                <w:kern w:val="2"/>
                <w:sz w:val="24"/>
                <w:highlight w:val="none"/>
                <w:lang w:val="en-US" w:eastAsia="zh-CN" w:bidi="ar-SA"/>
              </w:rPr>
            </w:pPr>
            <w:bookmarkStart w:id="65" w:name="_Hlk16461707"/>
            <w:r>
              <w:rPr>
                <w:rFonts w:hint="eastAsia" w:ascii="宋体" w:hAnsi="宋体" w:eastAsia="宋体" w:cs="宋体"/>
                <w:color w:val="auto"/>
                <w:sz w:val="24"/>
                <w:highlight w:val="none"/>
                <w:lang w:val="en-US" w:eastAsia="zh-CN"/>
              </w:rPr>
              <w:t>4</w:t>
            </w:r>
          </w:p>
        </w:tc>
        <w:tc>
          <w:tcPr>
            <w:tcW w:w="942" w:type="pct"/>
            <w:shd w:val="clear" w:color="auto" w:fill="auto"/>
            <w:vAlign w:val="center"/>
          </w:tcPr>
          <w:p w14:paraId="76AFA14B">
            <w:pPr>
              <w:spacing w:after="50" w:line="360" w:lineRule="auto"/>
              <w:ind w:right="-10" w:righ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10"/>
                <w:sz w:val="24"/>
                <w:szCs w:val="24"/>
                <w:highlight w:val="none"/>
              </w:rPr>
              <w:t>其它落实政府采</w:t>
            </w:r>
            <w:r>
              <w:rPr>
                <w:rFonts w:hint="eastAsia" w:ascii="宋体" w:hAnsi="宋体" w:eastAsia="宋体" w:cs="宋体"/>
                <w:color w:val="auto"/>
                <w:spacing w:val="11"/>
                <w:sz w:val="24"/>
                <w:szCs w:val="24"/>
                <w:highlight w:val="none"/>
              </w:rPr>
              <w:t>购政策的资格要</w:t>
            </w:r>
            <w:r>
              <w:rPr>
                <w:rFonts w:hint="eastAsia" w:ascii="宋体" w:hAnsi="宋体" w:eastAsia="宋体" w:cs="宋体"/>
                <w:color w:val="auto"/>
                <w:sz w:val="24"/>
                <w:szCs w:val="24"/>
                <w:highlight w:val="none"/>
              </w:rPr>
              <w:t>求</w:t>
            </w:r>
          </w:p>
        </w:tc>
        <w:tc>
          <w:tcPr>
            <w:tcW w:w="2600" w:type="pct"/>
            <w:shd w:val="clear" w:color="auto" w:fill="auto"/>
            <w:vAlign w:val="center"/>
          </w:tcPr>
          <w:p w14:paraId="45ECB700">
            <w:pPr>
              <w:spacing w:after="50" w:line="360" w:lineRule="auto"/>
              <w:ind w:right="-10" w:rightChars="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pacing w:val="-2"/>
                <w:sz w:val="24"/>
                <w:szCs w:val="24"/>
                <w:highlight w:val="none"/>
                <w:lang w:val="en-US" w:eastAsia="zh-CN"/>
              </w:rPr>
              <w:t>如有，</w:t>
            </w:r>
            <w:r>
              <w:rPr>
                <w:rFonts w:hint="eastAsia" w:ascii="宋体" w:hAnsi="宋体" w:eastAsia="宋体" w:cs="宋体"/>
                <w:color w:val="auto"/>
                <w:spacing w:val="-2"/>
                <w:sz w:val="24"/>
                <w:szCs w:val="24"/>
                <w:highlight w:val="none"/>
              </w:rPr>
              <w:t>见第一章《投标邀请》</w:t>
            </w:r>
          </w:p>
        </w:tc>
        <w:tc>
          <w:tcPr>
            <w:tcW w:w="1087" w:type="pct"/>
            <w:shd w:val="clear" w:color="auto" w:fill="auto"/>
            <w:vAlign w:val="center"/>
          </w:tcPr>
          <w:p w14:paraId="30C92E6F">
            <w:pPr>
              <w:spacing w:after="50" w:line="360" w:lineRule="auto"/>
              <w:ind w:right="-10" w:rightChars="0"/>
              <w:jc w:val="both"/>
              <w:rPr>
                <w:rFonts w:hint="eastAsia" w:ascii="宋体" w:hAnsi="宋体" w:eastAsia="宋体" w:cs="宋体"/>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1FA6E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tcBorders>
              <w:bottom w:val="single" w:color="auto" w:sz="4" w:space="0"/>
            </w:tcBorders>
            <w:shd w:val="clear" w:color="auto" w:fill="auto"/>
            <w:vAlign w:val="center"/>
          </w:tcPr>
          <w:p w14:paraId="130F3D2F">
            <w:pPr>
              <w:adjustRightInd w:val="0"/>
              <w:snapToGrid w:val="0"/>
              <w:spacing w:line="360" w:lineRule="auto"/>
              <w:ind w:right="-10" w:rightChars="0"/>
              <w:jc w:val="center"/>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lang w:val="en-US" w:eastAsia="zh-CN"/>
              </w:rPr>
              <w:t>5</w:t>
            </w:r>
          </w:p>
        </w:tc>
        <w:tc>
          <w:tcPr>
            <w:tcW w:w="942" w:type="pct"/>
            <w:tcBorders>
              <w:bottom w:val="single" w:color="auto" w:sz="4" w:space="0"/>
            </w:tcBorders>
            <w:shd w:val="clear" w:color="auto" w:fill="auto"/>
            <w:vAlign w:val="center"/>
          </w:tcPr>
          <w:p w14:paraId="3E227839">
            <w:pPr>
              <w:spacing w:after="50" w:line="360" w:lineRule="auto"/>
              <w:ind w:right="-10" w:rightChars="0"/>
              <w:jc w:val="both"/>
              <w:rPr>
                <w:rFonts w:hint="eastAsia" w:ascii="宋体" w:hAnsi="宋体" w:eastAsia="宋体" w:cs="宋体"/>
                <w:color w:val="auto"/>
                <w:spacing w:val="10"/>
                <w:kern w:val="2"/>
                <w:sz w:val="24"/>
                <w:szCs w:val="24"/>
                <w:highlight w:val="none"/>
                <w:lang w:val="en-US" w:eastAsia="zh-CN" w:bidi="ar-SA"/>
              </w:rPr>
            </w:pPr>
            <w:r>
              <w:rPr>
                <w:rFonts w:hint="eastAsia" w:ascii="宋体" w:hAnsi="宋体" w:eastAsia="宋体" w:cs="宋体"/>
                <w:color w:val="auto"/>
                <w:spacing w:val="10"/>
                <w:sz w:val="24"/>
                <w:szCs w:val="24"/>
                <w:highlight w:val="none"/>
              </w:rPr>
              <w:t>其他特定资格要求</w:t>
            </w:r>
          </w:p>
        </w:tc>
        <w:tc>
          <w:tcPr>
            <w:tcW w:w="2600" w:type="pct"/>
            <w:tcBorders>
              <w:bottom w:val="single" w:color="auto" w:sz="4" w:space="0"/>
            </w:tcBorders>
            <w:shd w:val="clear" w:color="auto" w:fill="auto"/>
            <w:vAlign w:val="center"/>
          </w:tcPr>
          <w:p w14:paraId="37D7F185">
            <w:pPr>
              <w:spacing w:after="50" w:line="360" w:lineRule="auto"/>
              <w:ind w:right="-10" w:rightChars="0"/>
              <w:jc w:val="both"/>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spacing w:val="-2"/>
                <w:sz w:val="24"/>
                <w:szCs w:val="24"/>
                <w:highlight w:val="none"/>
              </w:rPr>
              <w:t>见第一章《投标邀请》</w:t>
            </w:r>
          </w:p>
        </w:tc>
        <w:tc>
          <w:tcPr>
            <w:tcW w:w="1087" w:type="pct"/>
            <w:tcBorders>
              <w:bottom w:val="single" w:color="auto" w:sz="4" w:space="0"/>
            </w:tcBorders>
            <w:shd w:val="clear" w:color="auto" w:fill="auto"/>
            <w:vAlign w:val="center"/>
          </w:tcPr>
          <w:p w14:paraId="36F1B436">
            <w:pPr>
              <w:spacing w:after="50" w:line="360" w:lineRule="auto"/>
              <w:ind w:right="-10" w:rightChars="0"/>
              <w:jc w:val="both"/>
              <w:rPr>
                <w:rFonts w:hint="eastAsia" w:ascii="宋体" w:hAnsi="宋体" w:eastAsia="宋体" w:cs="宋体"/>
                <w:color w:val="auto"/>
                <w:spacing w:val="10"/>
                <w:kern w:val="2"/>
                <w:sz w:val="24"/>
                <w:szCs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bl>
    <w:p w14:paraId="2CCE854E">
      <w:pPr>
        <w:spacing w:line="360" w:lineRule="auto"/>
        <w:ind w:firstLine="435"/>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资格审查指标通过标准：</w:t>
      </w:r>
      <w:r>
        <w:rPr>
          <w:rFonts w:hint="eastAsia" w:ascii="宋体" w:hAnsi="宋体" w:eastAsia="宋体" w:cs="宋体"/>
          <w:color w:val="auto"/>
          <w:sz w:val="24"/>
          <w:highlight w:val="none"/>
        </w:rPr>
        <w:t>投标人必须通过资格审查表中的全部评审指标。</w:t>
      </w:r>
    </w:p>
    <w:bookmarkEnd w:id="65"/>
    <w:p w14:paraId="36A729D3">
      <w:pPr>
        <w:spacing w:line="360" w:lineRule="auto"/>
        <w:ind w:firstLine="437"/>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2.2符合性审查</w:t>
      </w:r>
    </w:p>
    <w:p w14:paraId="521FC25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评标委员会对通过资格审查的投标人的投标文件进行符合性审查，以确定其是否满足招标文件的实质性要求。符合性审查表如下：</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117"/>
        <w:gridCol w:w="3128"/>
        <w:gridCol w:w="2511"/>
      </w:tblGrid>
      <w:tr w14:paraId="49B55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6D1E9F2D">
            <w:pPr>
              <w:adjustRightInd w:val="0"/>
              <w:snapToGrid w:val="0"/>
              <w:spacing w:line="360" w:lineRule="auto"/>
              <w:ind w:right="-1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符合性审查表</w:t>
            </w:r>
          </w:p>
        </w:tc>
      </w:tr>
      <w:tr w14:paraId="76EB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0" w:type="pct"/>
            <w:tcBorders>
              <w:bottom w:val="single" w:color="auto" w:sz="4" w:space="0"/>
            </w:tcBorders>
            <w:vAlign w:val="center"/>
          </w:tcPr>
          <w:p w14:paraId="72D8A140">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42" w:type="pct"/>
            <w:tcBorders>
              <w:bottom w:val="single" w:color="auto" w:sz="4" w:space="0"/>
            </w:tcBorders>
            <w:vAlign w:val="center"/>
          </w:tcPr>
          <w:p w14:paraId="7A62C52C">
            <w:pPr>
              <w:pStyle w:val="48"/>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审查指标</w:t>
            </w:r>
          </w:p>
        </w:tc>
        <w:tc>
          <w:tcPr>
            <w:tcW w:w="1835" w:type="pct"/>
            <w:tcBorders>
              <w:bottom w:val="single" w:color="auto" w:sz="4" w:space="0"/>
            </w:tcBorders>
            <w:vAlign w:val="center"/>
          </w:tcPr>
          <w:p w14:paraId="51CDA99D">
            <w:pPr>
              <w:adjustRightInd w:val="0"/>
              <w:snapToGrid w:val="0"/>
              <w:spacing w:line="360" w:lineRule="auto"/>
              <w:ind w:right="-10"/>
              <w:jc w:val="center"/>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审查标准</w:t>
            </w:r>
          </w:p>
        </w:tc>
        <w:tc>
          <w:tcPr>
            <w:tcW w:w="1472" w:type="pct"/>
            <w:tcBorders>
              <w:bottom w:val="single" w:color="auto" w:sz="4" w:space="0"/>
            </w:tcBorders>
            <w:vAlign w:val="center"/>
          </w:tcPr>
          <w:p w14:paraId="2EDBBC84">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格式要求</w:t>
            </w:r>
          </w:p>
        </w:tc>
      </w:tr>
      <w:tr w14:paraId="1BA8A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54C8AB0F">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42" w:type="pct"/>
            <w:vAlign w:val="center"/>
          </w:tcPr>
          <w:p w14:paraId="67330D22">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t>开标一览表</w:t>
            </w:r>
          </w:p>
        </w:tc>
        <w:tc>
          <w:tcPr>
            <w:tcW w:w="1835" w:type="pct"/>
            <w:vAlign w:val="center"/>
          </w:tcPr>
          <w:p w14:paraId="66735CE2">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2" w:type="pct"/>
            <w:vAlign w:val="center"/>
          </w:tcPr>
          <w:p w14:paraId="1C7D8330">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26493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22C24C60">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42" w:type="pct"/>
            <w:vAlign w:val="center"/>
          </w:tcPr>
          <w:p w14:paraId="2AB398A3">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投标函</w:t>
            </w:r>
          </w:p>
        </w:tc>
        <w:tc>
          <w:tcPr>
            <w:tcW w:w="1835" w:type="pct"/>
            <w:vAlign w:val="center"/>
          </w:tcPr>
          <w:p w14:paraId="35FB071C">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2" w:type="pct"/>
            <w:vAlign w:val="center"/>
          </w:tcPr>
          <w:p w14:paraId="6C67A7B7">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2046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548CAAE7">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42" w:type="pct"/>
            <w:vAlign w:val="center"/>
          </w:tcPr>
          <w:p w14:paraId="4EC4C481">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授权书</w:t>
            </w:r>
          </w:p>
        </w:tc>
        <w:tc>
          <w:tcPr>
            <w:tcW w:w="1835" w:type="pct"/>
            <w:vAlign w:val="center"/>
          </w:tcPr>
          <w:p w14:paraId="78A0F23A">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2" w:type="pct"/>
            <w:vAlign w:val="center"/>
          </w:tcPr>
          <w:p w14:paraId="589C6855">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法定代表人参加投标的无需此件，提供身份证明即可。详见第六章投标文件格式</w:t>
            </w:r>
            <w:r>
              <w:rPr>
                <w:rFonts w:hint="eastAsia" w:ascii="宋体" w:hAnsi="宋体" w:eastAsia="宋体" w:cs="宋体"/>
                <w:color w:val="auto"/>
                <w:sz w:val="24"/>
                <w:highlight w:val="none"/>
                <w:lang w:eastAsia="zh-CN"/>
              </w:rPr>
              <w:t>。</w:t>
            </w:r>
          </w:p>
        </w:tc>
      </w:tr>
      <w:tr w14:paraId="213D4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1ED48A89">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242" w:type="pct"/>
            <w:vAlign w:val="center"/>
          </w:tcPr>
          <w:p w14:paraId="60913D56">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投标报价</w:t>
            </w:r>
          </w:p>
        </w:tc>
        <w:tc>
          <w:tcPr>
            <w:tcW w:w="1835" w:type="pct"/>
            <w:vAlign w:val="center"/>
          </w:tcPr>
          <w:p w14:paraId="52EB3D78">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w:t>
            </w:r>
            <w:r>
              <w:rPr>
                <w:rFonts w:hint="eastAsia" w:ascii="宋体" w:hAnsi="宋体" w:eastAsia="宋体" w:cs="宋体"/>
                <w:color w:val="auto"/>
                <w:sz w:val="24"/>
                <w:highlight w:val="none"/>
              </w:rPr>
              <w:t>招标文件投标人须知正文第</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条要求</w:t>
            </w:r>
          </w:p>
        </w:tc>
        <w:tc>
          <w:tcPr>
            <w:tcW w:w="1472" w:type="pct"/>
            <w:vAlign w:val="center"/>
          </w:tcPr>
          <w:p w14:paraId="5885C9C5">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57B0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1779D4F7">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242" w:type="pct"/>
            <w:vAlign w:val="center"/>
          </w:tcPr>
          <w:p w14:paraId="64E19087">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商务响应情况</w:t>
            </w:r>
          </w:p>
        </w:tc>
        <w:tc>
          <w:tcPr>
            <w:tcW w:w="1835" w:type="pct"/>
            <w:vAlign w:val="center"/>
          </w:tcPr>
          <w:p w14:paraId="45D1DB40">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符合招标文件采购需求中对付款方式、</w:t>
            </w:r>
            <w:r>
              <w:rPr>
                <w:rFonts w:hint="eastAsia" w:ascii="宋体" w:hAnsi="宋体" w:eastAsia="宋体" w:cs="宋体"/>
                <w:color w:val="auto"/>
                <w:sz w:val="24"/>
                <w:szCs w:val="28"/>
                <w:highlight w:val="none"/>
                <w:lang w:val="en-US" w:eastAsia="zh-CN"/>
              </w:rPr>
              <w:t>服务</w:t>
            </w:r>
            <w:r>
              <w:rPr>
                <w:rFonts w:hint="eastAsia" w:ascii="宋体" w:hAnsi="宋体" w:eastAsia="宋体" w:cs="宋体"/>
                <w:color w:val="auto"/>
                <w:sz w:val="24"/>
                <w:szCs w:val="28"/>
                <w:highlight w:val="none"/>
              </w:rPr>
              <w:t>期限、</w:t>
            </w:r>
            <w:r>
              <w:rPr>
                <w:rFonts w:hint="eastAsia" w:ascii="宋体" w:hAnsi="宋体" w:eastAsia="宋体" w:cs="宋体"/>
                <w:color w:val="auto"/>
                <w:sz w:val="24"/>
                <w:szCs w:val="28"/>
                <w:highlight w:val="none"/>
                <w:lang w:val="en-US" w:eastAsia="zh-CN"/>
              </w:rPr>
              <w:t>服务</w:t>
            </w:r>
            <w:r>
              <w:rPr>
                <w:rFonts w:hint="eastAsia" w:ascii="宋体" w:hAnsi="宋体" w:eastAsia="宋体" w:cs="宋体"/>
                <w:color w:val="auto"/>
                <w:sz w:val="24"/>
                <w:szCs w:val="28"/>
                <w:highlight w:val="none"/>
              </w:rPr>
              <w:t>地点的要求</w:t>
            </w:r>
          </w:p>
        </w:tc>
        <w:tc>
          <w:tcPr>
            <w:tcW w:w="1472" w:type="pct"/>
            <w:vAlign w:val="center"/>
          </w:tcPr>
          <w:p w14:paraId="2D1232F2">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28A0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230468CB">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1242" w:type="pct"/>
            <w:vAlign w:val="center"/>
          </w:tcPr>
          <w:p w14:paraId="6345128C">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服务</w:t>
            </w:r>
            <w:r>
              <w:rPr>
                <w:rFonts w:hint="eastAsia" w:ascii="宋体" w:hAnsi="宋体" w:eastAsia="宋体" w:cs="宋体"/>
                <w:color w:val="auto"/>
                <w:sz w:val="24"/>
                <w:szCs w:val="28"/>
                <w:highlight w:val="none"/>
              </w:rPr>
              <w:t>响应情况</w:t>
            </w:r>
          </w:p>
        </w:tc>
        <w:tc>
          <w:tcPr>
            <w:tcW w:w="1835" w:type="pct"/>
            <w:vAlign w:val="center"/>
          </w:tcPr>
          <w:p w14:paraId="5279CD23">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符合招标文件采购需求中</w:t>
            </w:r>
            <w:r>
              <w:rPr>
                <w:rFonts w:hint="eastAsia" w:ascii="宋体" w:hAnsi="宋体" w:eastAsia="宋体" w:cs="宋体"/>
                <w:color w:val="auto"/>
                <w:sz w:val="24"/>
                <w:szCs w:val="28"/>
                <w:highlight w:val="none"/>
                <w:lang w:val="en-US" w:eastAsia="zh-CN"/>
              </w:rPr>
              <w:t>服务</w:t>
            </w:r>
            <w:r>
              <w:rPr>
                <w:rFonts w:hint="eastAsia" w:ascii="宋体" w:hAnsi="宋体" w:eastAsia="宋体" w:cs="宋体"/>
                <w:color w:val="auto"/>
                <w:sz w:val="24"/>
                <w:szCs w:val="28"/>
                <w:highlight w:val="none"/>
              </w:rPr>
              <w:t>要求</w:t>
            </w:r>
          </w:p>
        </w:tc>
        <w:tc>
          <w:tcPr>
            <w:tcW w:w="1472" w:type="pct"/>
            <w:vAlign w:val="center"/>
          </w:tcPr>
          <w:p w14:paraId="413C781B">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6BAE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3C4BFC04">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1242" w:type="pct"/>
            <w:vAlign w:val="center"/>
          </w:tcPr>
          <w:p w14:paraId="7FB539B4">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其他要求</w:t>
            </w:r>
          </w:p>
        </w:tc>
        <w:tc>
          <w:tcPr>
            <w:tcW w:w="1835" w:type="pct"/>
            <w:vAlign w:val="center"/>
          </w:tcPr>
          <w:p w14:paraId="25B02AF9">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符合法律、行政法规规定的其他条件或招标文件列明的其他要求</w:t>
            </w:r>
          </w:p>
        </w:tc>
        <w:tc>
          <w:tcPr>
            <w:tcW w:w="1472" w:type="pct"/>
            <w:vAlign w:val="center"/>
          </w:tcPr>
          <w:p w14:paraId="184AA0C7">
            <w:pPr>
              <w:adjustRightInd w:val="0"/>
              <w:snapToGrid w:val="0"/>
              <w:spacing w:line="360" w:lineRule="auto"/>
              <w:ind w:right="-10"/>
              <w:jc w:val="center"/>
              <w:rPr>
                <w:rFonts w:hint="eastAsia" w:ascii="宋体" w:hAnsi="宋体" w:eastAsia="宋体" w:cs="宋体"/>
                <w:color w:val="auto"/>
                <w:sz w:val="24"/>
                <w:highlight w:val="none"/>
              </w:rPr>
            </w:pPr>
          </w:p>
        </w:tc>
      </w:tr>
    </w:tbl>
    <w:p w14:paraId="40042092">
      <w:pPr>
        <w:spacing w:line="360" w:lineRule="auto"/>
        <w:ind w:firstLine="435"/>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符合性审查指标通过标准：</w:t>
      </w:r>
      <w:r>
        <w:rPr>
          <w:rFonts w:hint="eastAsia" w:ascii="宋体" w:hAnsi="宋体" w:eastAsia="宋体" w:cs="宋体"/>
          <w:color w:val="auto"/>
          <w:sz w:val="24"/>
          <w:highlight w:val="none"/>
        </w:rPr>
        <w:t>投标人必须通过符合性审查表中的全部评审指标。</w:t>
      </w:r>
    </w:p>
    <w:p w14:paraId="0B9DF329">
      <w:pPr>
        <w:spacing w:line="440" w:lineRule="exact"/>
        <w:ind w:firstLine="437"/>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2.3详细审查</w:t>
      </w:r>
    </w:p>
    <w:p w14:paraId="19C8F15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2.3.1评标委员会按照下表对投标文件进行详细审查和评分。</w:t>
      </w:r>
    </w:p>
    <w:p w14:paraId="5793E29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2.3.2本项目综合评分满分为100分，其中：资信分值占总分值的权重为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rPr>
        <w:t>%，技术分值占总分值的权重为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80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%，价格分值占总分值的权重为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10 </w:t>
      </w:r>
      <w:r>
        <w:rPr>
          <w:rFonts w:hint="eastAsia" w:ascii="宋体" w:hAnsi="宋体" w:eastAsia="宋体" w:cs="宋体"/>
          <w:color w:val="auto"/>
          <w:sz w:val="24"/>
          <w:highlight w:val="none"/>
        </w:rPr>
        <w:t>%。具体评分细则如下：</w:t>
      </w:r>
    </w:p>
    <w:p w14:paraId="2B5F4C84">
      <w:pPr>
        <w:spacing w:line="400" w:lineRule="exact"/>
        <w:ind w:firstLine="417" w:firstLineChars="198"/>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6.1资信标评审细则（</w:t>
      </w:r>
      <w:r>
        <w:rPr>
          <w:rFonts w:hint="eastAsia" w:ascii="宋体" w:hAnsi="宋体" w:eastAsia="宋体" w:cs="宋体"/>
          <w:b/>
          <w:color w:val="auto"/>
          <w:szCs w:val="21"/>
          <w:highlight w:val="none"/>
          <w:lang w:val="en-US" w:eastAsia="zh-CN"/>
        </w:rPr>
        <w:t>10</w:t>
      </w:r>
      <w:r>
        <w:rPr>
          <w:rFonts w:hint="eastAsia" w:ascii="宋体" w:hAnsi="宋体" w:eastAsia="宋体" w:cs="宋体"/>
          <w:b/>
          <w:color w:val="auto"/>
          <w:szCs w:val="21"/>
          <w:highlight w:val="none"/>
        </w:rPr>
        <w:t>分）</w:t>
      </w:r>
    </w:p>
    <w:tbl>
      <w:tblPr>
        <w:tblStyle w:val="28"/>
        <w:tblW w:w="9612" w:type="dxa"/>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188"/>
        <w:gridCol w:w="7636"/>
      </w:tblGrid>
      <w:tr w14:paraId="1F60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88" w:type="dxa"/>
            <w:noWrap w:val="0"/>
            <w:vAlign w:val="center"/>
          </w:tcPr>
          <w:p w14:paraId="1A729E4E">
            <w:pPr>
              <w:widowControl/>
              <w:spacing w:line="440" w:lineRule="exact"/>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188" w:type="dxa"/>
            <w:noWrap w:val="0"/>
            <w:vAlign w:val="center"/>
          </w:tcPr>
          <w:p w14:paraId="6B6302B1">
            <w:pPr>
              <w:widowControl/>
              <w:spacing w:line="440" w:lineRule="exac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评分因素</w:t>
            </w:r>
          </w:p>
        </w:tc>
        <w:tc>
          <w:tcPr>
            <w:tcW w:w="7636" w:type="dxa"/>
            <w:noWrap w:val="0"/>
            <w:vAlign w:val="center"/>
          </w:tcPr>
          <w:p w14:paraId="12D136DA">
            <w:pPr>
              <w:widowControl/>
              <w:spacing w:line="440" w:lineRule="exact"/>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评审细则</w:t>
            </w:r>
            <w:r>
              <w:rPr>
                <w:rFonts w:hint="eastAsia" w:ascii="宋体" w:hAnsi="宋体" w:eastAsia="宋体" w:cs="宋体"/>
                <w:b/>
                <w:bCs/>
                <w:color w:val="auto"/>
                <w:kern w:val="0"/>
                <w:sz w:val="21"/>
                <w:szCs w:val="21"/>
                <w:highlight w:val="none"/>
                <w:lang w:val="en-US" w:eastAsia="zh-CN"/>
              </w:rPr>
              <w:t>及所需材料</w:t>
            </w:r>
          </w:p>
        </w:tc>
      </w:tr>
      <w:tr w14:paraId="2BEF2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88" w:type="dxa"/>
            <w:noWrap w:val="0"/>
            <w:vAlign w:val="center"/>
          </w:tcPr>
          <w:p w14:paraId="09F063FC">
            <w:pPr>
              <w:widowControl/>
              <w:spacing w:line="440" w:lineRule="exact"/>
              <w:jc w:val="center"/>
              <w:textAlignment w:val="baseline"/>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w:t>
            </w:r>
          </w:p>
        </w:tc>
        <w:tc>
          <w:tcPr>
            <w:tcW w:w="1188" w:type="dxa"/>
            <w:noWrap w:val="0"/>
            <w:vAlign w:val="center"/>
          </w:tcPr>
          <w:p w14:paraId="383FD8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4分</w:t>
            </w:r>
            <w:r>
              <w:rPr>
                <w:rFonts w:hint="eastAsia" w:ascii="宋体" w:hAnsi="宋体" w:eastAsia="宋体" w:cs="宋体"/>
                <w:color w:val="auto"/>
                <w:sz w:val="21"/>
                <w:szCs w:val="21"/>
                <w:highlight w:val="none"/>
                <w:lang w:eastAsia="zh-CN"/>
              </w:rPr>
              <w:t>）</w:t>
            </w:r>
          </w:p>
        </w:tc>
        <w:tc>
          <w:tcPr>
            <w:tcW w:w="7636" w:type="dxa"/>
            <w:noWrap w:val="0"/>
            <w:vAlign w:val="center"/>
          </w:tcPr>
          <w:p w14:paraId="4B49AB11">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投标人自202</w:t>
            </w:r>
            <w:r>
              <w:rPr>
                <w:rFonts w:hint="eastAsia" w:ascii="宋体" w:hAnsi="宋体" w:eastAsia="宋体" w:cs="宋体"/>
                <w:color w:val="auto"/>
                <w:sz w:val="21"/>
                <w:szCs w:val="21"/>
                <w:highlight w:val="none"/>
                <w:lang w:val="en-US" w:eastAsia="zh-CN"/>
              </w:rPr>
              <w:t>2年1月1日至今每提供1个公路（路面）技术状况检测评定项目业绩的得2分，本项满分4分。</w:t>
            </w:r>
          </w:p>
          <w:p w14:paraId="3EBBB41C">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最多提供两个业绩。</w:t>
            </w:r>
            <w:r>
              <w:rPr>
                <w:rFonts w:hint="eastAsia" w:ascii="宋体" w:hAnsi="宋体" w:eastAsia="宋体" w:cs="宋体"/>
                <w:color w:val="auto"/>
                <w:sz w:val="21"/>
                <w:szCs w:val="21"/>
                <w:highlight w:val="none"/>
                <w:lang w:val="en-US" w:eastAsia="zh-CN"/>
              </w:rPr>
              <w:t>提供的项目业绩只计算评标分值对应的项目数量，按照排列顺序从首个业绩开始评审至对应数量，超出部分不进行评审。对应数量内业绩不符合招标文件要求不得分的，不再补充评审超出部分业绩。如：提供2个业绩即得满分的，按照投标文件排序评审第一、第二项业绩，其余超出部分不再评审。</w:t>
            </w:r>
          </w:p>
          <w:p w14:paraId="361D185F">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电子投标文件中须提供</w:t>
            </w:r>
            <w:r>
              <w:rPr>
                <w:rFonts w:hint="eastAsia" w:ascii="宋体" w:hAnsi="宋体" w:eastAsia="宋体" w:cs="宋体"/>
                <w:color w:val="auto"/>
                <w:sz w:val="21"/>
                <w:szCs w:val="21"/>
                <w:highlight w:val="none"/>
                <w:lang w:val="zh-CN" w:eastAsia="zh-CN"/>
              </w:rPr>
              <w:t>合同扫描件</w:t>
            </w:r>
          </w:p>
        </w:tc>
      </w:tr>
      <w:tr w14:paraId="616C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88" w:type="dxa"/>
            <w:noWrap w:val="0"/>
            <w:vAlign w:val="center"/>
          </w:tcPr>
          <w:p w14:paraId="1CC840FC">
            <w:pPr>
              <w:widowControl/>
              <w:spacing w:line="440" w:lineRule="exact"/>
              <w:jc w:val="center"/>
              <w:textAlignment w:val="baseline"/>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w:t>
            </w:r>
          </w:p>
        </w:tc>
        <w:tc>
          <w:tcPr>
            <w:tcW w:w="1188" w:type="dxa"/>
            <w:noWrap w:val="0"/>
            <w:vAlign w:val="center"/>
          </w:tcPr>
          <w:p w14:paraId="598A3E33">
            <w:pPr>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rPr>
              <w:t>人员配备（</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tc>
        <w:tc>
          <w:tcPr>
            <w:tcW w:w="7636" w:type="dxa"/>
            <w:noWrap w:val="0"/>
            <w:vAlign w:val="center"/>
          </w:tcPr>
          <w:p w14:paraId="1DC0A24F">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1、投标人拟配备人员中每有一个公路相关专业高级及以上职称的得2分，本项满分2分；</w:t>
            </w:r>
          </w:p>
          <w:p w14:paraId="1AB101BE">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2、投标人拟配备人员中每有一个公路相关专业中级及以上职称的得2分，本项满分4分；</w:t>
            </w:r>
          </w:p>
          <w:p w14:paraId="529B7416">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注:须提供职称证书，人员不累计得分。</w:t>
            </w:r>
          </w:p>
        </w:tc>
      </w:tr>
    </w:tbl>
    <w:p w14:paraId="0C49FE2D">
      <w:pPr>
        <w:spacing w:line="400" w:lineRule="exact"/>
        <w:ind w:firstLine="417" w:firstLineChars="198"/>
        <w:jc w:val="center"/>
        <w:rPr>
          <w:rFonts w:hint="eastAsia" w:ascii="宋体" w:hAnsi="宋体" w:eastAsia="宋体" w:cs="宋体"/>
          <w:b/>
          <w:color w:val="auto"/>
          <w:szCs w:val="21"/>
          <w:highlight w:val="none"/>
        </w:rPr>
      </w:pPr>
    </w:p>
    <w:p w14:paraId="7AFC1E9B">
      <w:pPr>
        <w:spacing w:line="400" w:lineRule="exact"/>
        <w:ind w:firstLine="417" w:firstLineChars="198"/>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技术标评审细则（</w:t>
      </w:r>
      <w:r>
        <w:rPr>
          <w:rFonts w:hint="eastAsia" w:ascii="宋体" w:hAnsi="宋体" w:eastAsia="宋体" w:cs="宋体"/>
          <w:b/>
          <w:color w:val="auto"/>
          <w:szCs w:val="21"/>
          <w:highlight w:val="none"/>
          <w:lang w:val="en-US" w:eastAsia="zh-CN"/>
        </w:rPr>
        <w:t>80</w:t>
      </w:r>
      <w:r>
        <w:rPr>
          <w:rFonts w:hint="eastAsia" w:ascii="宋体" w:hAnsi="宋体" w:eastAsia="宋体" w:cs="宋体"/>
          <w:b/>
          <w:color w:val="auto"/>
          <w:szCs w:val="21"/>
          <w:highlight w:val="none"/>
        </w:rPr>
        <w:t>分）</w:t>
      </w:r>
    </w:p>
    <w:tbl>
      <w:tblPr>
        <w:tblStyle w:val="29"/>
        <w:tblW w:w="9763" w:type="dxa"/>
        <w:tblInd w:w="-4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262"/>
        <w:gridCol w:w="6538"/>
        <w:gridCol w:w="1275"/>
      </w:tblGrid>
      <w:tr w14:paraId="646B6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5138C730">
            <w:pPr>
              <w:spacing w:line="44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序号</w:t>
            </w:r>
          </w:p>
        </w:tc>
        <w:tc>
          <w:tcPr>
            <w:tcW w:w="1262" w:type="dxa"/>
            <w:vAlign w:val="center"/>
          </w:tcPr>
          <w:p w14:paraId="4057418D">
            <w:pPr>
              <w:spacing w:line="44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评分项目</w:t>
            </w:r>
          </w:p>
        </w:tc>
        <w:tc>
          <w:tcPr>
            <w:tcW w:w="6538" w:type="dxa"/>
            <w:vAlign w:val="center"/>
          </w:tcPr>
          <w:p w14:paraId="2BA9B48D">
            <w:pPr>
              <w:spacing w:line="44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评分细则</w:t>
            </w:r>
          </w:p>
        </w:tc>
        <w:tc>
          <w:tcPr>
            <w:tcW w:w="1275" w:type="dxa"/>
            <w:vAlign w:val="center"/>
          </w:tcPr>
          <w:p w14:paraId="468BF0E0">
            <w:pPr>
              <w:spacing w:line="44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分值</w:t>
            </w:r>
          </w:p>
        </w:tc>
      </w:tr>
      <w:tr w14:paraId="2C94E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243AAE19">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62" w:type="dxa"/>
            <w:vAlign w:val="center"/>
          </w:tcPr>
          <w:p w14:paraId="462A24FA">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整体服务</w:t>
            </w:r>
          </w:p>
          <w:p w14:paraId="19F95195">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方案</w:t>
            </w:r>
          </w:p>
        </w:tc>
        <w:tc>
          <w:tcPr>
            <w:tcW w:w="6538" w:type="dxa"/>
            <w:vAlign w:val="center"/>
          </w:tcPr>
          <w:p w14:paraId="48900A05">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根据本项目服务需求，投标人提供整体服务方案进行评审：</w:t>
            </w:r>
          </w:p>
          <w:p w14:paraId="032B19BD">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1.整体服务方案理解深刻，总体思路清晰，方案具体详实，定位准确，工作目标、内容和要求分析合理、全面的，得5分；</w:t>
            </w:r>
          </w:p>
          <w:p w14:paraId="54A46EEF">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2.整体服务方案理解全面，总体思路清晰，定位准确，工作目标、内容和要求分析合理的，得4分；</w:t>
            </w:r>
          </w:p>
          <w:p w14:paraId="0C1F53B0">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3.整体服务方案理解思路清晰，满足采购需求但需要进一步完善的，得3分；</w:t>
            </w:r>
          </w:p>
          <w:p w14:paraId="5704214F">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4.未提供的不得分。</w:t>
            </w:r>
          </w:p>
        </w:tc>
        <w:tc>
          <w:tcPr>
            <w:tcW w:w="1275" w:type="dxa"/>
            <w:vAlign w:val="center"/>
          </w:tcPr>
          <w:p w14:paraId="7231C279">
            <w:pPr>
              <w:spacing w:line="44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5分</w:t>
            </w:r>
          </w:p>
        </w:tc>
      </w:tr>
      <w:tr w14:paraId="31356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0440DA42">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62" w:type="dxa"/>
            <w:vAlign w:val="center"/>
          </w:tcPr>
          <w:p w14:paraId="7B9DBE77">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检测工作服务内容（频率、方法、目标）及保证措施</w:t>
            </w:r>
          </w:p>
        </w:tc>
        <w:tc>
          <w:tcPr>
            <w:tcW w:w="6538" w:type="dxa"/>
            <w:vAlign w:val="center"/>
          </w:tcPr>
          <w:p w14:paraId="47513221">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检测工作服务</w:t>
            </w:r>
            <w:r>
              <w:rPr>
                <w:rFonts w:hint="eastAsia" w:ascii="宋体" w:hAnsi="宋体" w:eastAsia="宋体" w:cs="宋体"/>
                <w:color w:val="auto"/>
                <w:sz w:val="21"/>
                <w:szCs w:val="21"/>
                <w:highlight w:val="none"/>
                <w:lang w:val="en-US" w:eastAsia="zh-CN"/>
              </w:rPr>
              <w:t>服务内容（含检测频率、检测方法、检测目标）</w:t>
            </w:r>
            <w:r>
              <w:rPr>
                <w:rFonts w:hint="eastAsia" w:ascii="宋体" w:hAnsi="宋体" w:eastAsia="宋体" w:cs="宋体"/>
                <w:color w:val="auto"/>
                <w:kern w:val="0"/>
                <w:sz w:val="21"/>
                <w:szCs w:val="21"/>
                <w:highlight w:val="none"/>
                <w:lang w:val="en-US" w:eastAsia="zh-CN" w:bidi="ar"/>
              </w:rPr>
              <w:t xml:space="preserve">、专门的质量技术管理班子和制度，质量技术保证措施、自控体系；确保质量验收合格措施等方面进行评审： </w:t>
            </w:r>
          </w:p>
          <w:p w14:paraId="060B7CFC">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①目标明确具体、制度合理、内容完善且详细、各项措施全面，得5分； </w:t>
            </w:r>
          </w:p>
          <w:p w14:paraId="2961F7A6">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②目标清晰、制度合理、内容完善、各项措施可行，得4分； </w:t>
            </w:r>
          </w:p>
          <w:p w14:paraId="1B809717">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③目标具有、制度合理、内容需要进一步完善，得3分； </w:t>
            </w:r>
          </w:p>
          <w:p w14:paraId="21990554">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④未提供的不得分</w:t>
            </w:r>
          </w:p>
        </w:tc>
        <w:tc>
          <w:tcPr>
            <w:tcW w:w="1275" w:type="dxa"/>
            <w:vAlign w:val="center"/>
          </w:tcPr>
          <w:p w14:paraId="5EE0CC4F">
            <w:pPr>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r>
      <w:tr w14:paraId="1E37E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551DE098">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262" w:type="dxa"/>
            <w:vAlign w:val="center"/>
          </w:tcPr>
          <w:p w14:paraId="0F87AB30">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检测机构设置</w:t>
            </w:r>
          </w:p>
        </w:tc>
        <w:tc>
          <w:tcPr>
            <w:tcW w:w="6538" w:type="dxa"/>
            <w:vAlign w:val="center"/>
          </w:tcPr>
          <w:p w14:paraId="31065DBF">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根据本项目服务需求，投标人提供检测机构设置方案进行评审：</w:t>
            </w:r>
          </w:p>
          <w:p w14:paraId="621E7BA2">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①检测机构设置齐全，完善，符合本项目采购需求的，得5分； </w:t>
            </w:r>
          </w:p>
          <w:p w14:paraId="4D7F1F95">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②检测机构设置完善、符合本项目采购需求的，得4分； </w:t>
            </w:r>
          </w:p>
          <w:p w14:paraId="7971D5D5">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③检测机构设置需要进一步完善，得3分； </w:t>
            </w:r>
          </w:p>
          <w:p w14:paraId="1281136E">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④未提供的不得分</w:t>
            </w:r>
          </w:p>
        </w:tc>
        <w:tc>
          <w:tcPr>
            <w:tcW w:w="1275" w:type="dxa"/>
            <w:vAlign w:val="center"/>
          </w:tcPr>
          <w:p w14:paraId="0C105641">
            <w:pPr>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r>
      <w:tr w14:paraId="0757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02406EBA">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262" w:type="dxa"/>
            <w:vAlign w:val="center"/>
          </w:tcPr>
          <w:p w14:paraId="76184BD5">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检测人员进出场方案</w:t>
            </w:r>
          </w:p>
        </w:tc>
        <w:tc>
          <w:tcPr>
            <w:tcW w:w="6538" w:type="dxa"/>
            <w:vAlign w:val="center"/>
          </w:tcPr>
          <w:p w14:paraId="688C134E">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根据本项目服务需求，投标人提供</w:t>
            </w:r>
            <w:r>
              <w:rPr>
                <w:rFonts w:hint="eastAsia" w:ascii="宋体" w:hAnsi="宋体" w:eastAsia="宋体" w:cs="宋体"/>
                <w:color w:val="auto"/>
                <w:sz w:val="21"/>
                <w:szCs w:val="21"/>
                <w:highlight w:val="none"/>
                <w:lang w:val="en-US" w:eastAsia="zh-CN"/>
              </w:rPr>
              <w:t>检测人员进出场方案</w:t>
            </w:r>
            <w:r>
              <w:rPr>
                <w:rFonts w:hint="eastAsia" w:ascii="宋体" w:hAnsi="宋体" w:eastAsia="宋体" w:cs="宋体"/>
                <w:color w:val="auto"/>
                <w:kern w:val="0"/>
                <w:sz w:val="21"/>
                <w:szCs w:val="21"/>
                <w:highlight w:val="none"/>
                <w:lang w:val="en-US" w:eastAsia="zh-CN" w:bidi="ar"/>
              </w:rPr>
              <w:t>进行评审：</w:t>
            </w:r>
          </w:p>
          <w:p w14:paraId="4C902C51">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①检测人员进出场安排合理、内容完善且详细、方案全面的得5分； </w:t>
            </w:r>
          </w:p>
          <w:p w14:paraId="1E2CA74A">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②检测人员进出场安排合理，方案可行，得4分； </w:t>
            </w:r>
          </w:p>
          <w:p w14:paraId="24161275">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③</w:t>
            </w:r>
            <w:r>
              <w:rPr>
                <w:rFonts w:hint="eastAsia" w:ascii="宋体" w:hAnsi="宋体" w:eastAsia="宋体" w:cs="宋体"/>
                <w:color w:val="auto"/>
                <w:sz w:val="21"/>
                <w:szCs w:val="21"/>
                <w:highlight w:val="none"/>
                <w:lang w:val="en-US" w:eastAsia="zh-CN"/>
              </w:rPr>
              <w:t>检测人员进出场方案</w:t>
            </w:r>
            <w:r>
              <w:rPr>
                <w:rFonts w:hint="eastAsia" w:ascii="宋体" w:hAnsi="宋体" w:eastAsia="宋体" w:cs="宋体"/>
                <w:color w:val="auto"/>
                <w:kern w:val="0"/>
                <w:sz w:val="21"/>
                <w:szCs w:val="21"/>
                <w:highlight w:val="none"/>
                <w:lang w:val="en-US" w:eastAsia="zh-CN" w:bidi="ar"/>
              </w:rPr>
              <w:t xml:space="preserve">需要进一步完善，内容缺失得3分； </w:t>
            </w:r>
          </w:p>
          <w:p w14:paraId="303A1926">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④未提供的不得分</w:t>
            </w:r>
          </w:p>
        </w:tc>
        <w:tc>
          <w:tcPr>
            <w:tcW w:w="1275" w:type="dxa"/>
            <w:vAlign w:val="center"/>
          </w:tcPr>
          <w:p w14:paraId="6A13392F">
            <w:pPr>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r>
      <w:tr w14:paraId="10424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4A018534">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62" w:type="dxa"/>
            <w:vAlign w:val="center"/>
          </w:tcPr>
          <w:p w14:paraId="7FF20C70">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检测设施、设备投入方案</w:t>
            </w:r>
          </w:p>
        </w:tc>
        <w:tc>
          <w:tcPr>
            <w:tcW w:w="6538" w:type="dxa"/>
            <w:vAlign w:val="center"/>
          </w:tcPr>
          <w:p w14:paraId="6214C2B6">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检测投入的主要机械、设备有详细的组织计划且计划周密；设备数量、选型配置、进场时间安排合理，满足检测要求，根据拟投入的主要机械、设备组织计划进行评审：</w:t>
            </w:r>
          </w:p>
          <w:p w14:paraId="03EF7902">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①投标供应商拟投入的主要机械、设备计划分项内容齐全，并承诺拟投入的机械、设备符合项目实际情况的得5分； </w:t>
            </w:r>
          </w:p>
          <w:p w14:paraId="7F67DB72">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②投标供应商拟投入的主要机械、设备计划分项内容齐全，评审内容逐条分析，并制定措施，且符合项目实际情况，无套用、冒用其他项目的情况的得4分； </w:t>
            </w:r>
          </w:p>
          <w:p w14:paraId="2972A49C">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③投标供应商拟投入的主要机械、设备计划分项内容混乱，管理措施描述不清，前后矛盾，部分内容缺失，存在套用、冒用其他项目的情况的得3分； </w:t>
            </w:r>
          </w:p>
          <w:p w14:paraId="785E1129">
            <w:pPr>
              <w:keepNext w:val="0"/>
              <w:keepLines w:val="0"/>
              <w:widowControl/>
              <w:suppressLineNumbers w:val="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④未提供不得分。</w:t>
            </w:r>
          </w:p>
        </w:tc>
        <w:tc>
          <w:tcPr>
            <w:tcW w:w="1275" w:type="dxa"/>
            <w:vAlign w:val="center"/>
          </w:tcPr>
          <w:p w14:paraId="45F51263">
            <w:pPr>
              <w:spacing w:line="44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5分</w:t>
            </w:r>
          </w:p>
        </w:tc>
      </w:tr>
      <w:tr w14:paraId="3A94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2957E5E6">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262" w:type="dxa"/>
            <w:vAlign w:val="center"/>
          </w:tcPr>
          <w:p w14:paraId="490F8CDB">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检测工作进度计划及保障措施方案</w:t>
            </w:r>
          </w:p>
        </w:tc>
        <w:tc>
          <w:tcPr>
            <w:tcW w:w="6538" w:type="dxa"/>
            <w:vAlign w:val="center"/>
          </w:tcPr>
          <w:p w14:paraId="4463C174">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检测工作进度计划及保障措施进行评审：</w:t>
            </w:r>
          </w:p>
          <w:p w14:paraId="1D34CC2E">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①进度保障措施方案内容非常完整、进度计划及时间节点安排合理、贴合项目需求的得5分；</w:t>
            </w:r>
          </w:p>
          <w:p w14:paraId="440603D4">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②进度保障措施方案内容完善、进度计划及时间节点安排满足要求、整体标准满足项目需求的得4分；</w:t>
            </w:r>
          </w:p>
          <w:p w14:paraId="789EF28E">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③进度保障措施方案内容有待提高、计划及时间节点安排不合理的得3分；</w:t>
            </w:r>
          </w:p>
          <w:p w14:paraId="32B7C27F">
            <w:pPr>
              <w:keepNext w:val="0"/>
              <w:keepLines w:val="0"/>
              <w:widowControl/>
              <w:suppressLineNumbers w:val="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④未提供的不得分</w:t>
            </w:r>
          </w:p>
        </w:tc>
        <w:tc>
          <w:tcPr>
            <w:tcW w:w="1275" w:type="dxa"/>
            <w:vAlign w:val="center"/>
          </w:tcPr>
          <w:p w14:paraId="0F07167D">
            <w:pPr>
              <w:spacing w:line="44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5分</w:t>
            </w:r>
          </w:p>
        </w:tc>
      </w:tr>
      <w:tr w14:paraId="0E75C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45286907">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262" w:type="dxa"/>
            <w:vAlign w:val="center"/>
          </w:tcPr>
          <w:p w14:paraId="5F4F78DA">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质量保证控制方案</w:t>
            </w:r>
          </w:p>
        </w:tc>
        <w:tc>
          <w:tcPr>
            <w:tcW w:w="6538" w:type="dxa"/>
            <w:vAlign w:val="center"/>
          </w:tcPr>
          <w:p w14:paraId="47576735">
            <w:pPr>
              <w:keepNext w:val="0"/>
              <w:keepLines w:val="0"/>
              <w:widowControl/>
              <w:suppressLineNumbers w:val="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投标人提供内部质量控制方案进行评审，包括但不限于技术档案管理制度、成果文件质量控制制度、项目小组工作职责分工等：</w:t>
            </w:r>
          </w:p>
          <w:p w14:paraId="1067C0AF">
            <w:pPr>
              <w:keepNext w:val="0"/>
              <w:keepLines w:val="0"/>
              <w:widowControl/>
              <w:suppressLineNumbers w:val="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 xml:space="preserve">①方案内容完整详实，表述清晰，利于项目实施的得5分； </w:t>
            </w:r>
          </w:p>
          <w:p w14:paraId="54AD33D5">
            <w:pPr>
              <w:keepNext w:val="0"/>
              <w:keepLines w:val="0"/>
              <w:widowControl/>
              <w:suppressLineNumbers w:val="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 xml:space="preserve">②方案内容符合项目实施要求的得4分； </w:t>
            </w:r>
          </w:p>
          <w:p w14:paraId="4DEAC077">
            <w:pPr>
              <w:keepNext w:val="0"/>
              <w:keepLines w:val="0"/>
              <w:widowControl/>
              <w:suppressLineNumbers w:val="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 xml:space="preserve">③方案要点突出不够明显，具体细节有待完善的得3分； </w:t>
            </w:r>
          </w:p>
          <w:p w14:paraId="220E16CD">
            <w:pPr>
              <w:keepNext w:val="0"/>
              <w:keepLines w:val="0"/>
              <w:widowControl/>
              <w:suppressLineNumbers w:val="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④未提供的不得分。</w:t>
            </w:r>
            <w:r>
              <w:rPr>
                <w:rFonts w:hint="eastAsia" w:ascii="宋体" w:hAnsi="宋体" w:eastAsia="宋体" w:cs="宋体"/>
                <w:b/>
                <w:color w:val="auto"/>
                <w:kern w:val="2"/>
                <w:sz w:val="21"/>
                <w:szCs w:val="21"/>
                <w:highlight w:val="none"/>
                <w:lang w:val="en-US" w:eastAsia="zh-CN" w:bidi="ar-SA"/>
              </w:rPr>
              <w:t xml:space="preserve"> </w:t>
            </w:r>
          </w:p>
        </w:tc>
        <w:tc>
          <w:tcPr>
            <w:tcW w:w="1275" w:type="dxa"/>
            <w:vAlign w:val="center"/>
          </w:tcPr>
          <w:p w14:paraId="5AD0FCA6">
            <w:pPr>
              <w:spacing w:line="44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5分</w:t>
            </w:r>
          </w:p>
        </w:tc>
      </w:tr>
      <w:tr w14:paraId="29F6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726CC2AF">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262" w:type="dxa"/>
            <w:vAlign w:val="center"/>
          </w:tcPr>
          <w:p w14:paraId="001C0F5B">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检测安全环保措施方案</w:t>
            </w:r>
          </w:p>
        </w:tc>
        <w:tc>
          <w:tcPr>
            <w:tcW w:w="6538" w:type="dxa"/>
            <w:vAlign w:val="center"/>
          </w:tcPr>
          <w:p w14:paraId="50456D0C">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根据投标人提供的检测安全环保管理制度，检测安全保证措施（包括人员安全措施、设备安全措施等）及检测环保保证措施（包括设备的选择、检测方法的选择等）等方面进行评审： </w:t>
            </w:r>
          </w:p>
          <w:p w14:paraId="15C40DE2">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①方案要点突出、内容完整详实，表述清晰，与本项目实际需求有很高适用度，利于项目实施的得5分； </w:t>
            </w:r>
          </w:p>
          <w:p w14:paraId="4559893E">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②有针对性，内容完整详实，表述清晰，与本项目实际要求有适应度，符合项目实施要求的得4分； </w:t>
            </w:r>
          </w:p>
          <w:p w14:paraId="308E0577">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③要点突出不够明显，具体细节有待完善的得3分； </w:t>
            </w:r>
          </w:p>
          <w:p w14:paraId="59C49F6B">
            <w:pPr>
              <w:keepNext w:val="0"/>
              <w:keepLines w:val="0"/>
              <w:widowControl/>
              <w:suppressLineNumbers w:val="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 xml:space="preserve">④未提供的不得分。 </w:t>
            </w:r>
          </w:p>
        </w:tc>
        <w:tc>
          <w:tcPr>
            <w:tcW w:w="1275" w:type="dxa"/>
            <w:vAlign w:val="center"/>
          </w:tcPr>
          <w:p w14:paraId="35926610">
            <w:pPr>
              <w:spacing w:line="44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5分</w:t>
            </w:r>
          </w:p>
        </w:tc>
      </w:tr>
      <w:tr w14:paraId="22CC6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6CCF0FFA">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262" w:type="dxa"/>
            <w:vAlign w:val="center"/>
          </w:tcPr>
          <w:p w14:paraId="63268228">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检测风险及防范措施</w:t>
            </w:r>
          </w:p>
        </w:tc>
        <w:tc>
          <w:tcPr>
            <w:tcW w:w="6538" w:type="dxa"/>
            <w:vAlign w:val="center"/>
          </w:tcPr>
          <w:p w14:paraId="313F770B">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根据投标人提供的</w:t>
            </w:r>
            <w:r>
              <w:rPr>
                <w:rFonts w:hint="eastAsia" w:ascii="宋体" w:hAnsi="宋体" w:eastAsia="宋体" w:cs="宋体"/>
                <w:color w:val="auto"/>
                <w:sz w:val="21"/>
                <w:szCs w:val="21"/>
                <w:highlight w:val="none"/>
                <w:lang w:val="en-US" w:eastAsia="zh-CN"/>
              </w:rPr>
              <w:t>检测风险及防范措施</w:t>
            </w:r>
            <w:r>
              <w:rPr>
                <w:rFonts w:hint="eastAsia" w:ascii="宋体" w:hAnsi="宋体" w:eastAsia="宋体" w:cs="宋体"/>
                <w:color w:val="auto"/>
                <w:kern w:val="0"/>
                <w:sz w:val="21"/>
                <w:szCs w:val="21"/>
                <w:highlight w:val="none"/>
                <w:lang w:val="en-US" w:eastAsia="zh-CN" w:bidi="ar"/>
              </w:rPr>
              <w:t xml:space="preserve">等方面进行评审： </w:t>
            </w:r>
          </w:p>
          <w:p w14:paraId="61D03F20">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①列出详细的检测风险内容并提供防范措施，内容要点突出，利于项目实施的得5分； </w:t>
            </w:r>
          </w:p>
          <w:p w14:paraId="0EA7512B">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②</w:t>
            </w:r>
            <w:r>
              <w:rPr>
                <w:rFonts w:hint="eastAsia" w:ascii="宋体" w:hAnsi="宋体" w:eastAsia="宋体" w:cs="宋体"/>
                <w:color w:val="auto"/>
                <w:sz w:val="21"/>
                <w:szCs w:val="21"/>
                <w:highlight w:val="none"/>
                <w:lang w:val="en-US" w:eastAsia="zh-CN"/>
              </w:rPr>
              <w:t>检测风险及防范措施</w:t>
            </w:r>
            <w:r>
              <w:rPr>
                <w:rFonts w:hint="eastAsia" w:ascii="宋体" w:hAnsi="宋体" w:eastAsia="宋体" w:cs="宋体"/>
                <w:color w:val="auto"/>
                <w:kern w:val="0"/>
                <w:sz w:val="21"/>
                <w:szCs w:val="21"/>
                <w:highlight w:val="none"/>
                <w:lang w:val="en-US" w:eastAsia="zh-CN" w:bidi="ar"/>
              </w:rPr>
              <w:t xml:space="preserve">内容完整详实，表述清晰，与本项目实际要求有适应度，符合项目实施要求的得4分； </w:t>
            </w:r>
          </w:p>
          <w:p w14:paraId="74CB2D52">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③检测风险及防范措施要点突出不够明显，具体细节有待完善、内容缺失的得3分； </w:t>
            </w:r>
          </w:p>
          <w:p w14:paraId="793C25E1">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④未提供的不得分。 </w:t>
            </w:r>
          </w:p>
        </w:tc>
        <w:tc>
          <w:tcPr>
            <w:tcW w:w="1275" w:type="dxa"/>
            <w:vAlign w:val="center"/>
          </w:tcPr>
          <w:p w14:paraId="1B82B513">
            <w:pPr>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r>
      <w:tr w14:paraId="4668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42BD2286">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262" w:type="dxa"/>
            <w:vAlign w:val="center"/>
          </w:tcPr>
          <w:p w14:paraId="4249FCB4">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检测合同管理</w:t>
            </w:r>
          </w:p>
        </w:tc>
        <w:tc>
          <w:tcPr>
            <w:tcW w:w="6538" w:type="dxa"/>
            <w:vAlign w:val="center"/>
          </w:tcPr>
          <w:p w14:paraId="040CE48B">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①有详细的合同管理方案或措施，合同管理方案或措施和项目实际需要适应度高，</w:t>
            </w:r>
            <w:r>
              <w:rPr>
                <w:rFonts w:hint="eastAsia" w:ascii="宋体" w:hAnsi="宋体" w:eastAsia="宋体" w:cs="宋体"/>
                <w:color w:val="auto"/>
                <w:sz w:val="21"/>
                <w:szCs w:val="21"/>
                <w:highlight w:val="none"/>
              </w:rPr>
              <w:t>周全、具体、有效</w:t>
            </w:r>
            <w:r>
              <w:rPr>
                <w:rFonts w:hint="eastAsia" w:ascii="宋体" w:hAnsi="宋体" w:eastAsia="宋体" w:cs="宋体"/>
                <w:color w:val="auto"/>
                <w:sz w:val="21"/>
                <w:szCs w:val="21"/>
                <w:highlight w:val="none"/>
                <w:lang w:val="en-US" w:eastAsia="zh-CN"/>
              </w:rPr>
              <w:t>的得5分；</w:t>
            </w:r>
          </w:p>
          <w:p w14:paraId="4998143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②合同管理方案或措施</w:t>
            </w:r>
            <w:r>
              <w:rPr>
                <w:rFonts w:hint="eastAsia" w:ascii="宋体" w:hAnsi="宋体" w:eastAsia="宋体" w:cs="宋体"/>
                <w:color w:val="auto"/>
                <w:sz w:val="21"/>
                <w:szCs w:val="21"/>
                <w:highlight w:val="none"/>
              </w:rPr>
              <w:t>内容</w:t>
            </w:r>
            <w:r>
              <w:rPr>
                <w:rFonts w:hint="eastAsia" w:ascii="宋体" w:hAnsi="宋体" w:eastAsia="宋体" w:cs="宋体"/>
                <w:color w:val="auto"/>
                <w:sz w:val="21"/>
                <w:szCs w:val="21"/>
                <w:highlight w:val="none"/>
                <w:lang w:val="en-US" w:eastAsia="zh-CN"/>
              </w:rPr>
              <w:t>清晰、完善的得4分；</w:t>
            </w:r>
          </w:p>
          <w:p w14:paraId="404D08F0">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③有合同管理方案或措施，但缺项或关键点缺失或出现非专门针对本项目特性内容的得3分；</w:t>
            </w:r>
          </w:p>
          <w:p w14:paraId="5195AB1B">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④不能满足项目实施要求或未提供的不得分。</w:t>
            </w:r>
          </w:p>
        </w:tc>
        <w:tc>
          <w:tcPr>
            <w:tcW w:w="1275" w:type="dxa"/>
            <w:vAlign w:val="center"/>
          </w:tcPr>
          <w:p w14:paraId="7D48AB53">
            <w:pPr>
              <w:spacing w:line="44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5分</w:t>
            </w:r>
          </w:p>
        </w:tc>
      </w:tr>
      <w:tr w14:paraId="70721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6589D210">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262" w:type="dxa"/>
            <w:vAlign w:val="center"/>
          </w:tcPr>
          <w:p w14:paraId="1AFE298E">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费用控制管理</w:t>
            </w:r>
          </w:p>
        </w:tc>
        <w:tc>
          <w:tcPr>
            <w:tcW w:w="6538" w:type="dxa"/>
            <w:vAlign w:val="center"/>
          </w:tcPr>
          <w:p w14:paraId="514CC4C8">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根据投标人提供的费用控制管理进行评审： </w:t>
            </w:r>
          </w:p>
          <w:p w14:paraId="2E118E6A">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①有详细的费用控制管理措施，费用控制管理措施合理，满足施工需要得5分；</w:t>
            </w:r>
          </w:p>
          <w:p w14:paraId="40E78073">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②有详细的费用控制管理措施，能满足施工需要得4分；</w:t>
            </w:r>
          </w:p>
          <w:p w14:paraId="0894AB62">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③有详细的费用控制管理措施，但缺项或关键点缺失或出现非专门针对本项目特性内容的得3分。</w:t>
            </w:r>
          </w:p>
          <w:p w14:paraId="2815CFB3">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④工作内容偏离项目需求、偏离客观现实或未提供的不得分。</w:t>
            </w:r>
          </w:p>
        </w:tc>
        <w:tc>
          <w:tcPr>
            <w:tcW w:w="1275" w:type="dxa"/>
            <w:vAlign w:val="center"/>
          </w:tcPr>
          <w:p w14:paraId="6726A104">
            <w:pPr>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r>
      <w:tr w14:paraId="5DBB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35E0A760">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262" w:type="dxa"/>
            <w:vAlign w:val="center"/>
          </w:tcPr>
          <w:p w14:paraId="0BE3D78F">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廉政保证措施</w:t>
            </w:r>
          </w:p>
        </w:tc>
        <w:tc>
          <w:tcPr>
            <w:tcW w:w="6538" w:type="dxa"/>
            <w:vAlign w:val="center"/>
          </w:tcPr>
          <w:p w14:paraId="404BE928">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根据投标人提供的廉政保证措施进行评审： </w:t>
            </w:r>
          </w:p>
          <w:p w14:paraId="1706AD9A">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①廉政保证措施要点突出、内容完整详实，表述清晰，利于项目实施的得5分； </w:t>
            </w:r>
          </w:p>
          <w:p w14:paraId="09538B99">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②内容完整符合项目实施要求的得4分； </w:t>
            </w:r>
          </w:p>
          <w:p w14:paraId="66E0B3D7">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③要点突出不够明显，具体细节有待完善的得3分； </w:t>
            </w:r>
          </w:p>
          <w:p w14:paraId="5D4E83BA">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④工作内容偏离项目需求、偏离客观现实或未提供的不得分。 </w:t>
            </w:r>
          </w:p>
        </w:tc>
        <w:tc>
          <w:tcPr>
            <w:tcW w:w="1275" w:type="dxa"/>
            <w:vAlign w:val="center"/>
          </w:tcPr>
          <w:p w14:paraId="313062E6">
            <w:pPr>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r>
      <w:tr w14:paraId="45D9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31A61F54">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1262" w:type="dxa"/>
            <w:vAlign w:val="center"/>
          </w:tcPr>
          <w:p w14:paraId="76C19F22">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重点及保证措施</w:t>
            </w:r>
          </w:p>
        </w:tc>
        <w:tc>
          <w:tcPr>
            <w:tcW w:w="6538" w:type="dxa"/>
            <w:vAlign w:val="center"/>
          </w:tcPr>
          <w:p w14:paraId="6C7D6FD6">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根据投标人提供的服务过程中的关键内容、重点进行阐述，并提出详细的解决方案及控制措施进行评审：</w:t>
            </w:r>
          </w:p>
          <w:p w14:paraId="12698E52">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①针对本项目特点，列出本项目的重点，并且有具体的保证措施。</w:t>
            </w:r>
            <w:r>
              <w:rPr>
                <w:rFonts w:hint="eastAsia" w:ascii="宋体" w:hAnsi="宋体" w:eastAsia="宋体" w:cs="宋体"/>
                <w:color w:val="auto"/>
                <w:sz w:val="21"/>
                <w:szCs w:val="21"/>
                <w:highlight w:val="none"/>
              </w:rPr>
              <w:t>各项措施周全、具体、有效</w:t>
            </w:r>
            <w:r>
              <w:rPr>
                <w:rFonts w:hint="eastAsia" w:ascii="宋体" w:hAnsi="宋体" w:eastAsia="宋体" w:cs="宋体"/>
                <w:color w:val="auto"/>
                <w:sz w:val="21"/>
                <w:szCs w:val="21"/>
                <w:highlight w:val="none"/>
                <w:lang w:val="en-US" w:eastAsia="zh-CN"/>
              </w:rPr>
              <w:t>的得5分；</w:t>
            </w:r>
          </w:p>
          <w:p w14:paraId="30AF6E0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②针对本项目特点，列出本项目的重点，并且有具体的保证措施。</w:t>
            </w:r>
            <w:r>
              <w:rPr>
                <w:rFonts w:hint="eastAsia" w:ascii="宋体" w:hAnsi="宋体" w:eastAsia="宋体" w:cs="宋体"/>
                <w:color w:val="auto"/>
                <w:sz w:val="21"/>
                <w:szCs w:val="21"/>
                <w:highlight w:val="none"/>
              </w:rPr>
              <w:t>各项措施内容</w:t>
            </w:r>
            <w:r>
              <w:rPr>
                <w:rFonts w:hint="eastAsia" w:ascii="宋体" w:hAnsi="宋体" w:eastAsia="宋体" w:cs="宋体"/>
                <w:color w:val="auto"/>
                <w:sz w:val="21"/>
                <w:szCs w:val="21"/>
                <w:highlight w:val="none"/>
                <w:lang w:val="en-US" w:eastAsia="zh-CN"/>
              </w:rPr>
              <w:t>清晰、完善的得4分；</w:t>
            </w:r>
          </w:p>
          <w:p w14:paraId="7DFD7CC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③针对本项目特点，列出本项目的重点，并且有具体的保证措施。但缺项或关键点缺失或出现非专门针对本项目特性内容的得3分；</w:t>
            </w:r>
          </w:p>
          <w:p w14:paraId="04BBB40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④不能满足项目实施要求或未提供的不得分。</w:t>
            </w:r>
          </w:p>
        </w:tc>
        <w:tc>
          <w:tcPr>
            <w:tcW w:w="1275" w:type="dxa"/>
            <w:vAlign w:val="center"/>
          </w:tcPr>
          <w:p w14:paraId="48110063">
            <w:pPr>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r>
      <w:tr w14:paraId="0771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046C353E">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1262" w:type="dxa"/>
            <w:vAlign w:val="center"/>
          </w:tcPr>
          <w:p w14:paraId="2BB00904">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难点及保证措施</w:t>
            </w:r>
          </w:p>
        </w:tc>
        <w:tc>
          <w:tcPr>
            <w:tcW w:w="6538" w:type="dxa"/>
            <w:vAlign w:val="center"/>
          </w:tcPr>
          <w:p w14:paraId="5842BECD">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根据投标人提供的服务过程中的难点进行阐述，并提出详细的解决方案及控制措施进行评审：</w:t>
            </w:r>
          </w:p>
          <w:p w14:paraId="7037992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①针对本项目特点，列出本项目的难点，并且有具体的保证措施。</w:t>
            </w:r>
            <w:r>
              <w:rPr>
                <w:rFonts w:hint="eastAsia" w:ascii="宋体" w:hAnsi="宋体" w:eastAsia="宋体" w:cs="宋体"/>
                <w:color w:val="auto"/>
                <w:sz w:val="21"/>
                <w:szCs w:val="21"/>
                <w:highlight w:val="none"/>
              </w:rPr>
              <w:t>各项措施周全、具体、有效</w:t>
            </w:r>
            <w:r>
              <w:rPr>
                <w:rFonts w:hint="eastAsia" w:ascii="宋体" w:hAnsi="宋体" w:eastAsia="宋体" w:cs="宋体"/>
                <w:color w:val="auto"/>
                <w:sz w:val="21"/>
                <w:szCs w:val="21"/>
                <w:highlight w:val="none"/>
                <w:lang w:val="en-US" w:eastAsia="zh-CN"/>
              </w:rPr>
              <w:t>的得5分；</w:t>
            </w:r>
          </w:p>
          <w:p w14:paraId="282DE79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②针对本项目特点，列出本项目的难点，并且有具体的保证措施。</w:t>
            </w:r>
            <w:r>
              <w:rPr>
                <w:rFonts w:hint="eastAsia" w:ascii="宋体" w:hAnsi="宋体" w:eastAsia="宋体" w:cs="宋体"/>
                <w:color w:val="auto"/>
                <w:sz w:val="21"/>
                <w:szCs w:val="21"/>
                <w:highlight w:val="none"/>
              </w:rPr>
              <w:t>各项措施内容</w:t>
            </w:r>
            <w:r>
              <w:rPr>
                <w:rFonts w:hint="eastAsia" w:ascii="宋体" w:hAnsi="宋体" w:eastAsia="宋体" w:cs="宋体"/>
                <w:color w:val="auto"/>
                <w:sz w:val="21"/>
                <w:szCs w:val="21"/>
                <w:highlight w:val="none"/>
                <w:lang w:val="en-US" w:eastAsia="zh-CN"/>
              </w:rPr>
              <w:t>清晰、完善的得4分；</w:t>
            </w:r>
          </w:p>
          <w:p w14:paraId="79F0B630">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③针对本项目特点，列出本项目的难点，并且有具体的保证措施。但缺项或关键点缺失或出现非专门针对本项目特性内容的得3分；</w:t>
            </w:r>
          </w:p>
          <w:p w14:paraId="56C9F18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④不能满足项目实施要求或未提供的不得分。</w:t>
            </w:r>
          </w:p>
        </w:tc>
        <w:tc>
          <w:tcPr>
            <w:tcW w:w="1275" w:type="dxa"/>
            <w:vAlign w:val="center"/>
          </w:tcPr>
          <w:p w14:paraId="63373CF6">
            <w:pPr>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r>
      <w:tr w14:paraId="5523A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54B66C66">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15</w:t>
            </w:r>
          </w:p>
        </w:tc>
        <w:tc>
          <w:tcPr>
            <w:tcW w:w="1262" w:type="dxa"/>
            <w:vAlign w:val="center"/>
          </w:tcPr>
          <w:p w14:paraId="0EBF0312">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合理化建议</w:t>
            </w:r>
          </w:p>
        </w:tc>
        <w:tc>
          <w:tcPr>
            <w:tcW w:w="6538" w:type="dxa"/>
            <w:vAlign w:val="center"/>
          </w:tcPr>
          <w:p w14:paraId="5238123D">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①针对本项目特点，列出对本项目的建议，建议合理并且有具体的保证措施。</w:t>
            </w:r>
            <w:r>
              <w:rPr>
                <w:rFonts w:hint="eastAsia" w:ascii="宋体" w:hAnsi="宋体" w:eastAsia="宋体" w:cs="宋体"/>
                <w:color w:val="auto"/>
                <w:sz w:val="21"/>
                <w:szCs w:val="21"/>
                <w:highlight w:val="none"/>
              </w:rPr>
              <w:t>各项措施</w:t>
            </w:r>
            <w:r>
              <w:rPr>
                <w:rFonts w:hint="eastAsia" w:ascii="宋体" w:hAnsi="宋体" w:eastAsia="宋体" w:cs="宋体"/>
                <w:color w:val="auto"/>
                <w:sz w:val="21"/>
                <w:szCs w:val="21"/>
                <w:highlight w:val="none"/>
                <w:lang w:val="en-US" w:eastAsia="zh-CN"/>
              </w:rPr>
              <w:t>完善的得5分；</w:t>
            </w:r>
          </w:p>
          <w:p w14:paraId="29A7E0B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②针对本项目特点，列出本项目的建议，建议合理并且有具体的保证措施。</w:t>
            </w:r>
            <w:r>
              <w:rPr>
                <w:rFonts w:hint="eastAsia" w:ascii="宋体" w:hAnsi="宋体" w:eastAsia="宋体" w:cs="宋体"/>
                <w:color w:val="auto"/>
                <w:sz w:val="21"/>
                <w:szCs w:val="21"/>
                <w:highlight w:val="none"/>
              </w:rPr>
              <w:t>各项措施内容</w:t>
            </w:r>
            <w:r>
              <w:rPr>
                <w:rFonts w:hint="eastAsia" w:ascii="宋体" w:hAnsi="宋体" w:eastAsia="宋体" w:cs="宋体"/>
                <w:color w:val="auto"/>
                <w:sz w:val="21"/>
                <w:szCs w:val="21"/>
                <w:highlight w:val="none"/>
                <w:lang w:val="en-US" w:eastAsia="zh-CN"/>
              </w:rPr>
              <w:t>清晰的得4分；</w:t>
            </w:r>
          </w:p>
          <w:p w14:paraId="022919CB">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③针对本项目特点，列出本项目的建议，建议合理并且有具体的保证措施。但缺项或关键点缺失或出现非专门针对本项目特性内容的得3分；</w:t>
            </w:r>
          </w:p>
          <w:p w14:paraId="776F6B18">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④不能满足项目实施要求或未提供的不得分。</w:t>
            </w:r>
          </w:p>
        </w:tc>
        <w:tc>
          <w:tcPr>
            <w:tcW w:w="1275" w:type="dxa"/>
            <w:vAlign w:val="center"/>
          </w:tcPr>
          <w:p w14:paraId="29686D6F">
            <w:pPr>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r>
      <w:tr w14:paraId="5E8DC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576E58C0">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16</w:t>
            </w:r>
          </w:p>
        </w:tc>
        <w:tc>
          <w:tcPr>
            <w:tcW w:w="1262" w:type="dxa"/>
            <w:vAlign w:val="center"/>
          </w:tcPr>
          <w:p w14:paraId="7363B613">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检测后续服务方案</w:t>
            </w:r>
          </w:p>
        </w:tc>
        <w:tc>
          <w:tcPr>
            <w:tcW w:w="6538" w:type="dxa"/>
            <w:vAlign w:val="center"/>
          </w:tcPr>
          <w:p w14:paraId="4FAB498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评委会根据投标人提供的检测后续服务方案进行打分：</w:t>
            </w:r>
          </w:p>
          <w:p w14:paraId="5881C400">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①后续服务支持、技术支持形式灵活多样，方案全面详尽，对遇到的问题响应及时且能迅速反馈解决方案，提供全面的技术服务的，得5分；</w:t>
            </w:r>
          </w:p>
          <w:p w14:paraId="47AC368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②后续服务支持、技术支持形式多样，方案全面详尽，对遇到的问题能够快速的响应并得到解决，并提供技术服务的，得4分；</w:t>
            </w:r>
          </w:p>
          <w:p w14:paraId="78BFDD5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③后续服务支持、技术支持满足项目需求，对遇到的问题能够响应并解决，并提供技术服务的，得3分；</w:t>
            </w:r>
          </w:p>
          <w:p w14:paraId="3527600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④未提供的不得分。</w:t>
            </w:r>
          </w:p>
        </w:tc>
        <w:tc>
          <w:tcPr>
            <w:tcW w:w="1275" w:type="dxa"/>
            <w:vAlign w:val="center"/>
          </w:tcPr>
          <w:p w14:paraId="5D9A7695">
            <w:pPr>
              <w:spacing w:line="44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5分</w:t>
            </w:r>
          </w:p>
        </w:tc>
      </w:tr>
    </w:tbl>
    <w:p w14:paraId="6459AC97">
      <w:pPr>
        <w:rPr>
          <w:rFonts w:hint="eastAsia" w:ascii="宋体" w:hAnsi="宋体" w:eastAsia="宋体" w:cs="宋体"/>
          <w:color w:val="auto"/>
          <w:highlight w:val="none"/>
        </w:rPr>
      </w:pPr>
    </w:p>
    <w:p w14:paraId="7D5ABDEF">
      <w:pPr>
        <w:rPr>
          <w:rFonts w:hint="eastAsia" w:ascii="宋体" w:hAnsi="宋体" w:eastAsia="宋体" w:cs="宋体"/>
          <w:color w:val="auto"/>
          <w:highlight w:val="none"/>
        </w:rPr>
      </w:pPr>
      <w:r>
        <w:rPr>
          <w:rFonts w:hint="eastAsia" w:ascii="宋体" w:hAnsi="宋体" w:eastAsia="宋体" w:cs="宋体"/>
          <w:color w:val="auto"/>
          <w:highlight w:val="none"/>
        </w:rPr>
        <w:t>注：1、评审标委员会将根据技术标所有内容进行独立打分，各评审标委员会成员打分分值的算术平均值作为最终得分，得分保留两位小数点，第三位四舍五入。</w:t>
      </w:r>
    </w:p>
    <w:p w14:paraId="219AC42F">
      <w:pPr>
        <w:rPr>
          <w:rFonts w:hint="eastAsia" w:ascii="宋体" w:hAnsi="宋体" w:eastAsia="宋体" w:cs="宋体"/>
          <w:color w:val="auto"/>
          <w:highlight w:val="none"/>
        </w:rPr>
      </w:pPr>
    </w:p>
    <w:p w14:paraId="2A85B162">
      <w:pPr>
        <w:spacing w:line="400" w:lineRule="exact"/>
        <w:ind w:firstLine="417" w:firstLineChars="198"/>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商务标评审细则（</w:t>
      </w:r>
      <w:r>
        <w:rPr>
          <w:rFonts w:hint="eastAsia" w:ascii="宋体" w:hAnsi="宋体" w:eastAsia="宋体" w:cs="宋体"/>
          <w:b/>
          <w:color w:val="auto"/>
          <w:szCs w:val="21"/>
          <w:highlight w:val="none"/>
          <w:lang w:val="en-US" w:eastAsia="zh-CN"/>
        </w:rPr>
        <w:t>10</w:t>
      </w:r>
      <w:r>
        <w:rPr>
          <w:rFonts w:hint="eastAsia" w:ascii="宋体" w:hAnsi="宋体" w:eastAsia="宋体" w:cs="宋体"/>
          <w:b/>
          <w:color w:val="auto"/>
          <w:szCs w:val="21"/>
          <w:highlight w:val="none"/>
        </w:rPr>
        <w:t>分）</w:t>
      </w:r>
    </w:p>
    <w:tbl>
      <w:tblPr>
        <w:tblStyle w:val="28"/>
        <w:tblW w:w="9887" w:type="dxa"/>
        <w:tblInd w:w="-6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24"/>
        <w:gridCol w:w="713"/>
        <w:gridCol w:w="6975"/>
      </w:tblGrid>
      <w:tr w14:paraId="68A0D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75" w:type="dxa"/>
            <w:noWrap w:val="0"/>
            <w:vAlign w:val="center"/>
          </w:tcPr>
          <w:p w14:paraId="1DA9EF54">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324" w:type="dxa"/>
            <w:noWrap w:val="0"/>
            <w:vAlign w:val="center"/>
          </w:tcPr>
          <w:p w14:paraId="7ECBB8A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评分因素</w:t>
            </w:r>
          </w:p>
        </w:tc>
        <w:tc>
          <w:tcPr>
            <w:tcW w:w="713" w:type="dxa"/>
            <w:noWrap w:val="0"/>
            <w:vAlign w:val="center"/>
          </w:tcPr>
          <w:p w14:paraId="0F21B47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w:t>
            </w:r>
          </w:p>
        </w:tc>
        <w:tc>
          <w:tcPr>
            <w:tcW w:w="6975" w:type="dxa"/>
            <w:noWrap w:val="0"/>
            <w:vAlign w:val="center"/>
          </w:tcPr>
          <w:p w14:paraId="782C5058">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评审细则</w:t>
            </w:r>
          </w:p>
        </w:tc>
      </w:tr>
      <w:tr w14:paraId="6822B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5" w:type="dxa"/>
            <w:noWrap w:val="0"/>
            <w:vAlign w:val="center"/>
          </w:tcPr>
          <w:p w14:paraId="74F3DEA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24" w:type="dxa"/>
            <w:noWrap w:val="0"/>
            <w:vAlign w:val="center"/>
          </w:tcPr>
          <w:p w14:paraId="3B44AF52">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w:t>
            </w:r>
          </w:p>
        </w:tc>
        <w:tc>
          <w:tcPr>
            <w:tcW w:w="713" w:type="dxa"/>
            <w:noWrap w:val="0"/>
            <w:vAlign w:val="center"/>
          </w:tcPr>
          <w:p w14:paraId="73185E27">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tc>
        <w:tc>
          <w:tcPr>
            <w:tcW w:w="6975" w:type="dxa"/>
            <w:noWrap w:val="0"/>
            <w:vAlign w:val="center"/>
          </w:tcPr>
          <w:p w14:paraId="311A5EF6">
            <w:pPr>
              <w:spacing w:line="360" w:lineRule="auto"/>
              <w:rPr>
                <w:rFonts w:hint="eastAsia" w:ascii="宋体" w:hAnsi="宋体" w:eastAsia="宋体" w:cs="宋体"/>
                <w:color w:val="auto"/>
                <w:spacing w:val="1"/>
                <w:kern w:val="0"/>
                <w:sz w:val="24"/>
                <w:szCs w:val="24"/>
                <w:highlight w:val="none"/>
              </w:rPr>
            </w:pPr>
            <w:r>
              <w:rPr>
                <w:rFonts w:hint="eastAsia" w:ascii="宋体" w:hAnsi="宋体" w:eastAsia="宋体" w:cs="宋体"/>
                <w:color w:val="auto"/>
                <w:spacing w:val="1"/>
                <w:kern w:val="0"/>
                <w:sz w:val="24"/>
                <w:szCs w:val="24"/>
                <w:highlight w:val="none"/>
              </w:rPr>
              <w:t>价格分统一采用低价优先法，即满足招标文件要求且投标价格最低的投标报价（如有扣除为扣除后价格）为评标基准价，其价格分为满分</w:t>
            </w:r>
            <w:r>
              <w:rPr>
                <w:rFonts w:hint="eastAsia" w:ascii="宋体" w:hAnsi="宋体" w:eastAsia="宋体" w:cs="宋体"/>
                <w:color w:val="auto"/>
                <w:spacing w:val="1"/>
                <w:kern w:val="0"/>
                <w:sz w:val="24"/>
                <w:szCs w:val="24"/>
                <w:highlight w:val="none"/>
                <w:lang w:val="en-US" w:eastAsia="zh-CN"/>
              </w:rPr>
              <w:t>1</w:t>
            </w:r>
            <w:r>
              <w:rPr>
                <w:rFonts w:hint="eastAsia" w:ascii="宋体" w:hAnsi="宋体" w:eastAsia="宋体" w:cs="宋体"/>
                <w:color w:val="auto"/>
                <w:spacing w:val="1"/>
                <w:kern w:val="0"/>
                <w:sz w:val="24"/>
                <w:szCs w:val="24"/>
                <w:highlight w:val="none"/>
              </w:rPr>
              <w:t>0分。其他投标人的价格分统一按照下列公式计算：</w:t>
            </w:r>
          </w:p>
          <w:p w14:paraId="257931AA">
            <w:pPr>
              <w:pStyle w:val="2"/>
              <w:spacing w:after="0" w:line="440" w:lineRule="exact"/>
              <w:ind w:left="0" w:leftChars="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pacing w:val="1"/>
                <w:kern w:val="0"/>
                <w:sz w:val="24"/>
                <w:szCs w:val="24"/>
                <w:highlight w:val="none"/>
              </w:rPr>
              <w:t>投标报价得分＝（评标基准价/投标报价）×</w:t>
            </w:r>
            <w:r>
              <w:rPr>
                <w:rFonts w:hint="eastAsia" w:ascii="宋体" w:hAnsi="宋体" w:eastAsia="宋体" w:cs="宋体"/>
                <w:color w:val="auto"/>
                <w:spacing w:val="1"/>
                <w:kern w:val="0"/>
                <w:sz w:val="24"/>
                <w:szCs w:val="24"/>
                <w:highlight w:val="none"/>
                <w:lang w:val="en-US" w:eastAsia="zh-CN"/>
              </w:rPr>
              <w:t>10</w:t>
            </w:r>
            <w:r>
              <w:rPr>
                <w:rFonts w:hint="eastAsia" w:ascii="宋体" w:hAnsi="宋体" w:eastAsia="宋体" w:cs="宋体"/>
                <w:color w:val="auto"/>
                <w:spacing w:val="1"/>
                <w:kern w:val="0"/>
                <w:sz w:val="24"/>
                <w:szCs w:val="24"/>
                <w:highlight w:val="none"/>
              </w:rPr>
              <w:t>％×100</w:t>
            </w:r>
          </w:p>
        </w:tc>
      </w:tr>
    </w:tbl>
    <w:p w14:paraId="0A492F54">
      <w:pPr>
        <w:spacing w:line="360" w:lineRule="auto"/>
        <w:ind w:firstLine="435"/>
        <w:rPr>
          <w:rFonts w:hint="eastAsia" w:ascii="宋体" w:hAnsi="宋体" w:eastAsia="宋体" w:cs="宋体"/>
          <w:b/>
          <w:bCs/>
          <w:sz w:val="24"/>
          <w:highlight w:val="none"/>
        </w:rPr>
      </w:pPr>
      <w:r>
        <w:rPr>
          <w:rFonts w:hint="eastAsia" w:ascii="宋体" w:hAnsi="宋体" w:eastAsia="宋体" w:cs="宋体"/>
          <w:b/>
          <w:bCs/>
          <w:sz w:val="24"/>
          <w:highlight w:val="none"/>
        </w:rPr>
        <w:t>三、无效投标条款</w:t>
      </w:r>
    </w:p>
    <w:p w14:paraId="07DEDF76">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3.1投标文件有下列情形之一的,其投标文件拒收:</w:t>
      </w:r>
    </w:p>
    <w:p w14:paraId="08A75CAA">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(1) 未在开标截止时间前通过网上招标投标系统递交有效电子投标文件的，开标系统不予接收，投标将被拒绝。</w:t>
      </w:r>
    </w:p>
    <w:p w14:paraId="4CE0F565">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(2)投标企业接到远程解密指令后，须在规定时间内解密。因投标人自身原因导致投标文件在规定时间内未能解密、解密失败或解密超时，投标文件无效；解密时间：从本项目解密程序开始时计时，至完成投标文件解密时间，不得超过60分钟，否则投标文件将被拒绝。</w:t>
      </w:r>
    </w:p>
    <w:p w14:paraId="24512B68">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3.2投标人有下列情形之一的,资格审查后其投标作无效投标处理：</w:t>
      </w:r>
    </w:p>
    <w:p w14:paraId="2E7FAFF4">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(1)投标人为本项目提供招标代理服务的；</w:t>
      </w:r>
    </w:p>
    <w:p w14:paraId="3E8EB049">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(2)投标人与在本项目代理机构存在相互任职或工作的；</w:t>
      </w:r>
    </w:p>
    <w:p w14:paraId="2CC1DC39">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(3)招标公告写明专门面向中小企业采购，投标人提供的货物非中小企业制造的；</w:t>
      </w:r>
    </w:p>
    <w:p w14:paraId="640F3620">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(4)要求供应商以联合体形式参加采购活动，投标人非联合体或者联合协议中中小企业合同金额未达到应当达到的比例；</w:t>
      </w:r>
    </w:p>
    <w:p w14:paraId="618CC403">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(5)要求获得采购合同的供应商向中小企业分包，投标人未提供分包意向协议或者分包意向协议中中小企业合同金额未达到应当达到的比例；</w:t>
      </w:r>
    </w:p>
    <w:p w14:paraId="20626289">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(6)评标专家无法查看并检验电子投标文件中相关资料的；</w:t>
      </w:r>
    </w:p>
    <w:p w14:paraId="5071562B">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(7)联合体投标未提交联合体协议的；</w:t>
      </w:r>
    </w:p>
    <w:p w14:paraId="2280AAB7">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(8)责令停产停业的；</w:t>
      </w:r>
    </w:p>
    <w:p w14:paraId="6BA043DB">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(9)暂停或者取消参与政府采购项目资格的；</w:t>
      </w:r>
    </w:p>
    <w:p w14:paraId="67500452">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(10)投标人单位负责人为同一人或者存在（直接）控股、管理关系的不同单位的；</w:t>
      </w:r>
    </w:p>
    <w:p w14:paraId="13CD2241">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(11)投标人基本资格条件和特定资格条件中有一项及以上不符合要求的；</w:t>
      </w:r>
    </w:p>
    <w:p w14:paraId="1D6573BA">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(12)开标时查询投标文件制作机器码、文件创建标识码及造价软件加密锁号。若存在投标文件制作机器码或创建标识码或造价软件加密锁号信息与其他投标人雷同的，投标无效、进行信用信息披露，行政监管部门将依据线索依法查处；</w:t>
      </w:r>
    </w:p>
    <w:p w14:paraId="2139A573">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(13)其它情形，经评标委员会委提出按无效投标处理，并经公共资源交易监督部门核准的；</w:t>
      </w:r>
    </w:p>
    <w:p w14:paraId="44AE470F">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(14)投标人投标MAC地址或投标人联系人或联系电话相同的，由评标委员会否决其投标，并报告监管部门作不良行为处理和进一步调查；</w:t>
      </w:r>
    </w:p>
    <w:p w14:paraId="22C260D6">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(15)投标人单方面出现其他投标人材料的；</w:t>
      </w:r>
    </w:p>
    <w:p w14:paraId="0F8085AC">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(16)招标文件规定的其它无效投标情形。</w:t>
      </w:r>
    </w:p>
    <w:p w14:paraId="0D2A91F9">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3.3 投标人有下列情形之一的,符合性审查后其投标按无效投标处理：</w:t>
      </w:r>
    </w:p>
    <w:p w14:paraId="253EC08B">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(1)投标文件签字、盖章不全，经评标委员会一致认定对开评标内容有实质性影响并经公共资源交易监督部门核准的；</w:t>
      </w:r>
    </w:p>
    <w:p w14:paraId="232549C2">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(2)未按规定的格式填写导致实质性内容不全以及实质上不响应，或者关键字迹模糊、无法辨认; 经公共资源交易监督部门核准的；</w:t>
      </w:r>
    </w:p>
    <w:p w14:paraId="3DFC14B0">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(3)同一投标人提交两个以上不同的投标文件或者投标报价，但招标文件规定提交备选方案的除外；</w:t>
      </w:r>
    </w:p>
    <w:p w14:paraId="0C3760A2">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(4)投标文件没有对招标文件的实质性要求和条件作出响应;</w:t>
      </w:r>
    </w:p>
    <w:p w14:paraId="584540ED">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(5)投标报价超出规定的投标限价或公布的采购预算的或投标人的投标报价各项单价高于招标文件给定的单价最高限价；</w:t>
      </w:r>
    </w:p>
    <w:p w14:paraId="0E7F2DD3">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(6)不按评标委员会要求澄清、说明或补正的，或者评标委员会根据招标文件的规定对投标文件的计算错误进行修正后，投标人不接受修正的投标报价的。</w:t>
      </w:r>
    </w:p>
    <w:p w14:paraId="1CC5BF5F">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(7)其它情形，经评标委员会委提出按无效投标处理，并经公共资源交易监督部门核准的；</w:t>
      </w:r>
    </w:p>
    <w:p w14:paraId="5861E813">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(8)投标文件含有采购人不能接受的附加条件的；</w:t>
      </w:r>
    </w:p>
    <w:p w14:paraId="260B3921">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(9)招标文件规定的其它无效投标情形。</w:t>
      </w:r>
    </w:p>
    <w:p w14:paraId="76F65313">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3.4 投标人有下列情形之一的, 详细评审后其投标按无效投标处理：</w:t>
      </w:r>
    </w:p>
    <w:p w14:paraId="20F91EDA">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(1)投标产品不符合必须强制执行的国家标准的；</w:t>
      </w:r>
    </w:p>
    <w:p w14:paraId="0D7C2011">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(2)投标人有串通投标、弄虚作假、行贿等违法行为；</w:t>
      </w:r>
    </w:p>
    <w:p w14:paraId="05BF490C">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(3)投标文件含有违反国家法律、法规的内容，或附有采购人不能接受的条件的；</w:t>
      </w:r>
    </w:p>
    <w:p w14:paraId="09C6ABFD">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(4)报价明显低于其他投标人，且不能证明报价合理性的投标无效；</w:t>
      </w:r>
    </w:p>
    <w:p w14:paraId="26325380">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(5)拒不确认评标委员会评审修正的投标无效；</w:t>
      </w:r>
    </w:p>
    <w:p w14:paraId="0B5E6E89">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(6)其它情形，经评标委员会委提出按无效投标处理，并经公共资源交易监督部门核准的；</w:t>
      </w:r>
    </w:p>
    <w:p w14:paraId="1192F111">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(7)招标文件规定的其它无效投标情形。</w:t>
      </w:r>
      <w:r>
        <w:rPr>
          <w:rFonts w:hint="eastAsia" w:ascii="宋体" w:hAnsi="宋体" w:eastAsia="宋体" w:cs="宋体"/>
          <w:sz w:val="24"/>
          <w:highlight w:val="none"/>
        </w:rPr>
        <w:br w:type="page"/>
      </w:r>
    </w:p>
    <w:p w14:paraId="4E4A708C">
      <w:pPr>
        <w:spacing w:line="360" w:lineRule="auto"/>
        <w:jc w:val="center"/>
        <w:outlineLvl w:val="0"/>
        <w:rPr>
          <w:rFonts w:hint="eastAsia" w:ascii="宋体" w:hAnsi="宋体" w:eastAsia="宋体" w:cs="宋体"/>
          <w:b/>
          <w:sz w:val="28"/>
          <w:highlight w:val="none"/>
        </w:rPr>
      </w:pPr>
      <w:bookmarkStart w:id="66" w:name="_Toc13856"/>
      <w:r>
        <w:rPr>
          <w:rFonts w:hint="eastAsia" w:ascii="宋体" w:hAnsi="宋体" w:eastAsia="宋体" w:cs="宋体"/>
          <w:b/>
          <w:sz w:val="28"/>
          <w:highlight w:val="none"/>
        </w:rPr>
        <w:t>第五章  政府采购合同</w:t>
      </w:r>
      <w:bookmarkEnd w:id="66"/>
    </w:p>
    <w:p w14:paraId="0EA75657">
      <w:pPr>
        <w:spacing w:line="480" w:lineRule="auto"/>
        <w:jc w:val="center"/>
        <w:rPr>
          <w:rFonts w:hint="eastAsia" w:ascii="宋体" w:hAnsi="宋体" w:eastAsia="宋体" w:cs="宋体"/>
          <w:b/>
          <w:color w:val="000000" w:themeColor="text1"/>
          <w:sz w:val="28"/>
          <w:szCs w:val="28"/>
          <w:highlight w:val="none"/>
          <w14:textFill>
            <w14:solidFill>
              <w14:schemeClr w14:val="tx1"/>
            </w14:solidFill>
          </w14:textFill>
        </w:rPr>
      </w:pPr>
      <w:bookmarkStart w:id="67" w:name="_Toc331685784"/>
    </w:p>
    <w:p w14:paraId="2D993AE0">
      <w:pPr>
        <w:spacing w:line="480" w:lineRule="auto"/>
        <w:jc w:val="center"/>
        <w:rPr>
          <w:rFonts w:hint="eastAsia" w:ascii="宋体" w:hAnsi="宋体" w:eastAsia="宋体" w:cs="宋体"/>
          <w:b/>
          <w:color w:val="000000" w:themeColor="text1"/>
          <w:sz w:val="28"/>
          <w:szCs w:val="28"/>
          <w:highlight w:val="none"/>
          <w14:textFill>
            <w14:solidFill>
              <w14:schemeClr w14:val="tx1"/>
            </w14:solidFill>
          </w14:textFill>
        </w:rPr>
      </w:pPr>
    </w:p>
    <w:p w14:paraId="4A7DCF45">
      <w:pPr>
        <w:pStyle w:val="13"/>
        <w:rPr>
          <w:rFonts w:hint="eastAsia" w:ascii="宋体" w:hAnsi="宋体" w:eastAsia="宋体" w:cs="宋体"/>
          <w:highlight w:val="none"/>
        </w:rPr>
      </w:pPr>
    </w:p>
    <w:p w14:paraId="7E96D3EA">
      <w:pPr>
        <w:spacing w:line="480" w:lineRule="auto"/>
        <w:jc w:val="center"/>
        <w:outlineLvl w:val="1"/>
        <w:rPr>
          <w:rFonts w:hint="eastAsia" w:ascii="宋体" w:hAnsi="宋体" w:eastAsia="宋体" w:cs="宋体"/>
          <w:b/>
          <w:color w:val="000000" w:themeColor="text1"/>
          <w:sz w:val="28"/>
          <w:szCs w:val="28"/>
          <w:highlight w:val="none"/>
          <w14:textFill>
            <w14:solidFill>
              <w14:schemeClr w14:val="tx1"/>
            </w14:solidFill>
          </w14:textFill>
        </w:rPr>
      </w:pPr>
      <w:bookmarkStart w:id="68" w:name="_Toc3714"/>
      <w:bookmarkStart w:id="69" w:name="_Toc14813"/>
      <w:r>
        <w:rPr>
          <w:rFonts w:hint="eastAsia" w:ascii="宋体" w:hAnsi="宋体" w:eastAsia="宋体" w:cs="宋体"/>
          <w:b/>
          <w:color w:val="000000" w:themeColor="text1"/>
          <w:sz w:val="28"/>
          <w:szCs w:val="28"/>
          <w:highlight w:val="none"/>
          <w14:textFill>
            <w14:solidFill>
              <w14:schemeClr w14:val="tx1"/>
            </w14:solidFill>
          </w14:textFill>
        </w:rPr>
        <w:t>政府采购合同参考范本</w:t>
      </w:r>
      <w:bookmarkEnd w:id="68"/>
      <w:bookmarkEnd w:id="69"/>
    </w:p>
    <w:p w14:paraId="7E3DC69C">
      <w:pPr>
        <w:spacing w:line="480" w:lineRule="auto"/>
        <w:jc w:val="center"/>
        <w:outlineLvl w:val="1"/>
        <w:rPr>
          <w:rFonts w:hint="eastAsia" w:ascii="宋体" w:hAnsi="宋体" w:eastAsia="宋体" w:cs="宋体"/>
          <w:b/>
          <w:color w:val="000000" w:themeColor="text1"/>
          <w:sz w:val="28"/>
          <w:szCs w:val="28"/>
          <w:highlight w:val="none"/>
          <w14:textFill>
            <w14:solidFill>
              <w14:schemeClr w14:val="tx1"/>
            </w14:solidFill>
          </w14:textFill>
        </w:rPr>
      </w:pPr>
      <w:bookmarkStart w:id="70" w:name="_Toc8560"/>
      <w:bookmarkStart w:id="71" w:name="_Toc30265"/>
      <w:r>
        <w:rPr>
          <w:rFonts w:hint="eastAsia" w:ascii="宋体" w:hAnsi="宋体" w:eastAsia="宋体" w:cs="宋体"/>
          <w:b/>
          <w:color w:val="000000" w:themeColor="text1"/>
          <w:sz w:val="28"/>
          <w:szCs w:val="28"/>
          <w:highlight w:val="none"/>
          <w14:textFill>
            <w14:solidFill>
              <w14:schemeClr w14:val="tx1"/>
            </w14:solidFill>
          </w14:textFill>
        </w:rPr>
        <w:t>（服务类）</w:t>
      </w:r>
      <w:bookmarkEnd w:id="70"/>
      <w:bookmarkEnd w:id="71"/>
    </w:p>
    <w:p w14:paraId="49E9B248">
      <w:pPr>
        <w:spacing w:line="48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65ED46B8">
      <w:pPr>
        <w:spacing w:line="48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491C3F13">
      <w:pPr>
        <w:spacing w:line="48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7B1D91E4">
      <w:pPr>
        <w:spacing w:line="360" w:lineRule="auto"/>
        <w:jc w:val="center"/>
        <w:outlineLvl w:val="1"/>
        <w:rPr>
          <w:rFonts w:hint="eastAsia" w:ascii="宋体" w:hAnsi="宋体" w:eastAsia="宋体" w:cs="宋体"/>
          <w:b/>
          <w:color w:val="000000" w:themeColor="text1"/>
          <w:sz w:val="24"/>
          <w:highlight w:val="none"/>
          <w14:textFill>
            <w14:solidFill>
              <w14:schemeClr w14:val="tx1"/>
            </w14:solidFill>
          </w14:textFill>
        </w:rPr>
      </w:pPr>
      <w:bookmarkStart w:id="72" w:name="_Toc28317"/>
      <w:bookmarkStart w:id="73" w:name="_Toc2449"/>
      <w:r>
        <w:rPr>
          <w:rFonts w:hint="eastAsia" w:ascii="宋体" w:hAnsi="宋体" w:eastAsia="宋体" w:cs="宋体"/>
          <w:b/>
          <w:color w:val="000000" w:themeColor="text1"/>
          <w:sz w:val="24"/>
          <w:highlight w:val="none"/>
          <w14:textFill>
            <w14:solidFill>
              <w14:schemeClr w14:val="tx1"/>
            </w14:solidFill>
          </w14:textFill>
        </w:rPr>
        <w:t>第一部分 合同书</w:t>
      </w:r>
      <w:bookmarkEnd w:id="72"/>
      <w:bookmarkEnd w:id="73"/>
    </w:p>
    <w:p w14:paraId="5671DEC4">
      <w:pPr>
        <w:spacing w:line="48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42AE25A9">
      <w:pPr>
        <w:spacing w:line="48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69039F63">
      <w:pPr>
        <w:pStyle w:val="13"/>
        <w:rPr>
          <w:rFonts w:hint="eastAsia" w:ascii="宋体" w:hAnsi="宋体" w:eastAsia="宋体" w:cs="宋体"/>
          <w:highlight w:val="none"/>
        </w:rPr>
      </w:pPr>
    </w:p>
    <w:p w14:paraId="4E49A7A1">
      <w:pPr>
        <w:pStyle w:val="13"/>
        <w:rPr>
          <w:rFonts w:hint="eastAsia" w:ascii="宋体" w:hAnsi="宋体" w:eastAsia="宋体" w:cs="宋体"/>
          <w:highlight w:val="none"/>
        </w:rPr>
      </w:pPr>
    </w:p>
    <w:p w14:paraId="18110D9D">
      <w:pPr>
        <w:spacing w:before="120" w:line="480" w:lineRule="auto"/>
        <w:ind w:left="960"/>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滁州市2025年普通国省干线公路技术状况评定项目</w:t>
      </w:r>
    </w:p>
    <w:p w14:paraId="6C2021D9">
      <w:pPr>
        <w:spacing w:before="120" w:line="480" w:lineRule="auto"/>
        <w:ind w:left="9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576FC6B">
      <w:pPr>
        <w:spacing w:before="120" w:line="480" w:lineRule="auto"/>
        <w:ind w:left="96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甲方（采购人）：</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滁州市公路管理服务中心</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5AA0D83">
      <w:pPr>
        <w:spacing w:before="120" w:line="480" w:lineRule="auto"/>
        <w:ind w:left="96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乙方（中标人）：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08589B9">
      <w:pPr>
        <w:spacing w:before="120" w:line="480" w:lineRule="auto"/>
        <w:ind w:left="96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签订地：</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滁州市公路管理服务中心</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F46B590">
      <w:pPr>
        <w:spacing w:before="120" w:line="48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签订日期：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4FF70E10">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1ED9D07B">
      <w:pPr>
        <w:spacing w:line="440" w:lineRule="exact"/>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lang w:eastAsia="zh-CN"/>
          <w14:textFill>
            <w14:solidFill>
              <w14:schemeClr w14:val="tx1"/>
            </w14:solidFill>
          </w14:textFill>
        </w:rPr>
        <w:t>滁州市公路管理服务中心</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以下简称：甲方</w:t>
      </w:r>
      <w:r>
        <w:rPr>
          <w:rFonts w:hint="eastAsia" w:ascii="宋体" w:hAnsi="宋体" w:eastAsia="宋体" w:cs="宋体"/>
          <w:color w:val="000000" w:themeColor="text1"/>
          <w:sz w:val="24"/>
          <w:highlight w:val="none"/>
          <w14:textFill>
            <w14:solidFill>
              <w14:schemeClr w14:val="tx1"/>
            </w14:solidFill>
          </w14:textFill>
        </w:rPr>
        <w:t xml:space="preserve">）通过 </w:t>
      </w:r>
      <w:r>
        <w:rPr>
          <w:rFonts w:hint="eastAsia" w:ascii="宋体" w:hAnsi="宋体" w:eastAsia="宋体" w:cs="宋体"/>
          <w:color w:val="000000" w:themeColor="text1"/>
          <w:sz w:val="24"/>
          <w:highlight w:val="none"/>
          <w:u w:val="single"/>
          <w14:textFill>
            <w14:solidFill>
              <w14:schemeClr w14:val="tx1"/>
            </w14:solidFill>
          </w14:textFill>
        </w:rPr>
        <w:t>滁州市城投工程咨询管理有限公司</w:t>
      </w:r>
      <w:r>
        <w:rPr>
          <w:rFonts w:hint="eastAsia" w:ascii="宋体" w:hAnsi="宋体" w:eastAsia="宋体" w:cs="宋体"/>
          <w:color w:val="000000" w:themeColor="text1"/>
          <w:sz w:val="24"/>
          <w:highlight w:val="none"/>
          <w14:textFill>
            <w14:solidFill>
              <w14:schemeClr w14:val="tx1"/>
            </w14:solidFill>
          </w14:textFill>
        </w:rPr>
        <w:t>组织的</w:t>
      </w:r>
      <w:r>
        <w:rPr>
          <w:rFonts w:hint="eastAsia" w:ascii="宋体" w:hAnsi="宋体" w:eastAsia="宋体" w:cs="宋体"/>
          <w:color w:val="000000" w:themeColor="text1"/>
          <w:sz w:val="24"/>
          <w:highlight w:val="none"/>
          <w:u w:val="single"/>
          <w14:textFill>
            <w14:solidFill>
              <w14:schemeClr w14:val="tx1"/>
            </w14:solidFill>
          </w14:textFill>
        </w:rPr>
        <w:t>公开招标</w:t>
      </w:r>
      <w:r>
        <w:rPr>
          <w:rFonts w:hint="eastAsia" w:ascii="宋体" w:hAnsi="宋体" w:eastAsia="宋体" w:cs="宋体"/>
          <w:color w:val="000000" w:themeColor="text1"/>
          <w:sz w:val="24"/>
          <w:highlight w:val="none"/>
          <w14:textFill>
            <w14:solidFill>
              <w14:schemeClr w14:val="tx1"/>
            </w14:solidFill>
          </w14:textFill>
        </w:rPr>
        <w:t>方式采购活动，经</w:t>
      </w:r>
      <w:r>
        <w:rPr>
          <w:rFonts w:hint="eastAsia" w:ascii="宋体" w:hAnsi="宋体" w:eastAsia="宋体" w:cs="宋体"/>
          <w:color w:val="000000" w:themeColor="text1"/>
          <w:sz w:val="24"/>
          <w:highlight w:val="none"/>
          <w:u w:val="single"/>
          <w14:textFill>
            <w14:solidFill>
              <w14:schemeClr w14:val="tx1"/>
            </w14:solidFill>
          </w14:textFill>
        </w:rPr>
        <w:t>评标委员会</w:t>
      </w:r>
      <w:r>
        <w:rPr>
          <w:rFonts w:hint="eastAsia" w:ascii="宋体" w:hAnsi="宋体" w:eastAsia="宋体" w:cs="宋体"/>
          <w:color w:val="000000" w:themeColor="text1"/>
          <w:sz w:val="24"/>
          <w:highlight w:val="none"/>
          <w14:textFill>
            <w14:solidFill>
              <w14:schemeClr w14:val="tx1"/>
            </w14:solidFill>
          </w14:textFill>
        </w:rPr>
        <w:t>评定，</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以下简称：乙方</w:t>
      </w:r>
      <w:r>
        <w:rPr>
          <w:rFonts w:hint="eastAsia" w:ascii="宋体" w:hAnsi="宋体" w:eastAsia="宋体" w:cs="宋体"/>
          <w:color w:val="000000" w:themeColor="text1"/>
          <w:sz w:val="24"/>
          <w:highlight w:val="none"/>
          <w14:textFill>
            <w14:solidFill>
              <w14:schemeClr w14:val="tx1"/>
            </w14:solidFill>
          </w14:textFill>
        </w:rPr>
        <w:t>）为本项目中标人，现按照采购文件确定的事项签订本合同。</w:t>
      </w:r>
    </w:p>
    <w:p w14:paraId="7EFA7A98">
      <w:pPr>
        <w:spacing w:line="440" w:lineRule="exact"/>
        <w:ind w:firstLine="435"/>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根据《中华人民共和国民法典》、《中华人民共和国政府采购法》等相关法律法规之规定，按照平等、自愿、公平和诚实信用的原则，经甲方和乙方协商一致，约定以下合同条款，以兹共同遵守、全面履行。</w:t>
      </w:r>
    </w:p>
    <w:p w14:paraId="6B7B346A">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74" w:name="_Toc2232"/>
      <w:bookmarkStart w:id="75" w:name="_Toc3029"/>
      <w:bookmarkStart w:id="76" w:name="_Toc24059"/>
      <w:r>
        <w:rPr>
          <w:rFonts w:hint="eastAsia" w:ascii="宋体" w:hAnsi="宋体" w:eastAsia="宋体" w:cs="宋体"/>
          <w:b/>
          <w:bCs/>
          <w:color w:val="000000" w:themeColor="text1"/>
          <w:sz w:val="24"/>
          <w:szCs w:val="24"/>
          <w:highlight w:val="none"/>
          <w:lang w:val="zh-CN"/>
          <w14:textFill>
            <w14:solidFill>
              <w14:schemeClr w14:val="tx1"/>
            </w14:solidFill>
          </w14:textFill>
        </w:rPr>
        <w:t>1.1 合同组成部分</w:t>
      </w:r>
      <w:bookmarkEnd w:id="74"/>
      <w:bookmarkEnd w:id="75"/>
      <w:bookmarkEnd w:id="76"/>
    </w:p>
    <w:p w14:paraId="7C10E8F1">
      <w:pPr>
        <w:spacing w:line="440" w:lineRule="exact"/>
        <w:ind w:firstLine="435"/>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下列文件为本合同的组成部分，并构成一个整体，需综合解释、相互补充。如果下列文件内容出现不一致的情形，那么在保证按照采购文件确定的事项前提下，组成本合同的多个文件的优先适用顺序如下：</w:t>
      </w:r>
    </w:p>
    <w:p w14:paraId="710C0F68">
      <w:pPr>
        <w:spacing w:line="440" w:lineRule="exact"/>
        <w:ind w:firstLine="435"/>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1.1.1本合同及其补充合同、变更协议；</w:t>
      </w:r>
    </w:p>
    <w:p w14:paraId="5C69C6DB">
      <w:pPr>
        <w:spacing w:line="440" w:lineRule="exact"/>
        <w:ind w:firstLine="435"/>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1.1.2中标通知书；</w:t>
      </w:r>
    </w:p>
    <w:p w14:paraId="43D820B0">
      <w:pPr>
        <w:spacing w:line="440" w:lineRule="exact"/>
        <w:ind w:firstLine="435"/>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1.1.3投标文件（含澄清或者说明文件）；</w:t>
      </w:r>
    </w:p>
    <w:p w14:paraId="5C000E1B">
      <w:pPr>
        <w:spacing w:line="440" w:lineRule="exact"/>
        <w:ind w:firstLine="435"/>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1.1.4招标文件（含澄清或者修改文件）；</w:t>
      </w:r>
    </w:p>
    <w:p w14:paraId="60B43B18">
      <w:pPr>
        <w:spacing w:line="440" w:lineRule="exact"/>
        <w:ind w:firstLine="435"/>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1.1.5其他相关采购文件。</w:t>
      </w:r>
    </w:p>
    <w:p w14:paraId="430D4CAE">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77" w:name="_Toc6773"/>
      <w:bookmarkStart w:id="78" w:name="_Toc18585"/>
      <w:bookmarkStart w:id="79" w:name="_Toc2918"/>
      <w:bookmarkStart w:id="80" w:name="_Toc22185"/>
      <w:bookmarkStart w:id="81" w:name="_Toc6311"/>
      <w:r>
        <w:rPr>
          <w:rFonts w:hint="eastAsia" w:ascii="宋体" w:hAnsi="宋体" w:eastAsia="宋体" w:cs="宋体"/>
          <w:b/>
          <w:bCs/>
          <w:color w:val="000000" w:themeColor="text1"/>
          <w:sz w:val="24"/>
          <w:szCs w:val="24"/>
          <w:highlight w:val="none"/>
          <w:lang w:val="zh-CN"/>
          <w14:textFill>
            <w14:solidFill>
              <w14:schemeClr w14:val="tx1"/>
            </w14:solidFill>
          </w14:textFill>
        </w:rPr>
        <w:t xml:space="preserve">1.2 </w:t>
      </w:r>
      <w:bookmarkEnd w:id="77"/>
      <w:bookmarkEnd w:id="78"/>
      <w:bookmarkEnd w:id="79"/>
      <w:bookmarkEnd w:id="80"/>
      <w:bookmarkEnd w:id="81"/>
      <w:r>
        <w:rPr>
          <w:rFonts w:hint="eastAsia" w:ascii="宋体" w:hAnsi="宋体" w:eastAsia="宋体" w:cs="宋体"/>
          <w:b/>
          <w:bCs/>
          <w:color w:val="000000" w:themeColor="text1"/>
          <w:sz w:val="24"/>
          <w:szCs w:val="24"/>
          <w:highlight w:val="none"/>
          <w:lang w:val="zh-CN"/>
          <w14:textFill>
            <w14:solidFill>
              <w14:schemeClr w14:val="tx1"/>
            </w14:solidFill>
          </w14:textFill>
        </w:rPr>
        <w:t>服务</w:t>
      </w:r>
    </w:p>
    <w:p w14:paraId="7487BF37">
      <w:pPr>
        <w:spacing w:line="440" w:lineRule="exact"/>
        <w:ind w:firstLine="435"/>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1.2.1服务名称：</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滁州市2025年普通国省干线公路技术状况评定项目</w:t>
      </w:r>
      <w:r>
        <w:rPr>
          <w:rFonts w:hint="eastAsia" w:ascii="宋体" w:hAnsi="宋体" w:eastAsia="宋体" w:cs="宋体"/>
          <w:color w:val="000000" w:themeColor="text1"/>
          <w:sz w:val="24"/>
          <w:szCs w:val="24"/>
          <w:highlight w:val="none"/>
          <w14:textFill>
            <w14:solidFill>
              <w14:schemeClr w14:val="tx1"/>
            </w14:solidFill>
          </w14:textFill>
        </w:rPr>
        <w:t>；</w:t>
      </w:r>
    </w:p>
    <w:p w14:paraId="21141D8C">
      <w:pPr>
        <w:spacing w:line="440" w:lineRule="exact"/>
        <w:ind w:firstLine="435"/>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1.2.2服务内容：</w:t>
      </w:r>
      <w:r>
        <w:rPr>
          <w:rFonts w:hint="eastAsia" w:ascii="宋体" w:hAnsi="宋体" w:eastAsia="宋体" w:cs="宋体"/>
          <w:sz w:val="24"/>
          <w:highlight w:val="none"/>
          <w:u w:val="single"/>
        </w:rPr>
        <w:t>招标文件第三章采购需求全部内容</w:t>
      </w:r>
      <w:r>
        <w:rPr>
          <w:rFonts w:hint="eastAsia" w:ascii="宋体" w:hAnsi="宋体" w:eastAsia="宋体" w:cs="宋体"/>
          <w:sz w:val="24"/>
          <w:highlight w:val="none"/>
          <w:u w:val="single"/>
          <w:lang w:eastAsia="zh-CN"/>
        </w:rPr>
        <w:t>，</w:t>
      </w:r>
      <w:r>
        <w:rPr>
          <w:rFonts w:hint="eastAsia" w:ascii="宋体" w:hAnsi="宋体" w:eastAsia="宋体" w:cs="宋体"/>
          <w:sz w:val="24"/>
          <w:highlight w:val="none"/>
          <w:u w:val="single"/>
          <w:lang w:val="en-US" w:eastAsia="zh-CN"/>
        </w:rPr>
        <w:t>详见附件</w:t>
      </w:r>
      <w:r>
        <w:rPr>
          <w:rFonts w:hint="eastAsia" w:ascii="宋体" w:hAnsi="宋体" w:eastAsia="宋体" w:cs="宋体"/>
          <w:color w:val="000000" w:themeColor="text1"/>
          <w:sz w:val="24"/>
          <w:szCs w:val="24"/>
          <w:highlight w:val="none"/>
          <w14:textFill>
            <w14:solidFill>
              <w14:schemeClr w14:val="tx1"/>
            </w14:solidFill>
          </w14:textFill>
        </w:rPr>
        <w:t>；</w:t>
      </w:r>
    </w:p>
    <w:p w14:paraId="0820E6C1">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1.2.3服务质量：</w:t>
      </w:r>
      <w:r>
        <w:rPr>
          <w:rFonts w:hint="eastAsia" w:ascii="宋体" w:hAnsi="宋体" w:eastAsia="宋体" w:cs="宋体"/>
          <w:color w:val="000000" w:themeColor="text1"/>
          <w:sz w:val="24"/>
          <w:szCs w:val="24"/>
          <w:highlight w:val="none"/>
          <w:u w:val="single"/>
          <w14:textFill>
            <w14:solidFill>
              <w14:schemeClr w14:val="tx1"/>
            </w14:solidFill>
          </w14:textFill>
        </w:rPr>
        <w:t>满足招标文件要求及采购人相关要求</w:t>
      </w:r>
      <w:r>
        <w:rPr>
          <w:rFonts w:hint="eastAsia" w:ascii="宋体" w:hAnsi="宋体" w:eastAsia="宋体" w:cs="宋体"/>
          <w:color w:val="000000" w:themeColor="text1"/>
          <w:sz w:val="24"/>
          <w:szCs w:val="24"/>
          <w:highlight w:val="none"/>
          <w14:textFill>
            <w14:solidFill>
              <w14:schemeClr w14:val="tx1"/>
            </w14:solidFill>
          </w14:textFill>
        </w:rPr>
        <w:t>。</w:t>
      </w:r>
    </w:p>
    <w:p w14:paraId="38217329">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82" w:name="_Toc21551"/>
      <w:bookmarkStart w:id="83" w:name="_Toc21631"/>
      <w:bookmarkStart w:id="84" w:name="_Toc23292"/>
      <w:r>
        <w:rPr>
          <w:rFonts w:hint="eastAsia" w:ascii="宋体" w:hAnsi="宋体" w:eastAsia="宋体" w:cs="宋体"/>
          <w:b/>
          <w:bCs/>
          <w:color w:val="000000" w:themeColor="text1"/>
          <w:sz w:val="24"/>
          <w:szCs w:val="24"/>
          <w:highlight w:val="none"/>
          <w:lang w:val="zh-CN"/>
          <w14:textFill>
            <w14:solidFill>
              <w14:schemeClr w14:val="tx1"/>
            </w14:solidFill>
          </w14:textFill>
        </w:rPr>
        <w:t>1.3 价款</w:t>
      </w:r>
      <w:bookmarkEnd w:id="82"/>
      <w:bookmarkEnd w:id="83"/>
      <w:bookmarkEnd w:id="84"/>
    </w:p>
    <w:p w14:paraId="17B86AFE">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本合同总价为：￥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元（大写：人民币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2F8A3DBD">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85" w:name="_Toc1814"/>
      <w:bookmarkStart w:id="86" w:name="_Toc22618"/>
      <w:bookmarkStart w:id="87" w:name="_Toc10340"/>
      <w:r>
        <w:rPr>
          <w:rFonts w:hint="eastAsia" w:ascii="宋体" w:hAnsi="宋体" w:eastAsia="宋体" w:cs="宋体"/>
          <w:b/>
          <w:bCs/>
          <w:color w:val="000000" w:themeColor="text1"/>
          <w:sz w:val="24"/>
          <w:szCs w:val="24"/>
          <w:highlight w:val="none"/>
          <w:lang w:val="zh-CN"/>
          <w14:textFill>
            <w14:solidFill>
              <w14:schemeClr w14:val="tx1"/>
            </w14:solidFill>
          </w14:textFill>
        </w:rPr>
        <w:t>1.4 付款方式和发票开具方式</w:t>
      </w:r>
      <w:bookmarkEnd w:id="85"/>
      <w:bookmarkEnd w:id="86"/>
      <w:bookmarkEnd w:id="87"/>
    </w:p>
    <w:p w14:paraId="0099BEB2">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1.4.1付款方式：</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6161CE1A">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1.4.2发票开具方式：</w:t>
      </w:r>
      <w:r>
        <w:rPr>
          <w:rFonts w:hint="eastAsia" w:ascii="宋体" w:hAnsi="宋体" w:eastAsia="宋体" w:cs="宋体"/>
          <w:color w:val="000000" w:themeColor="text1"/>
          <w:sz w:val="24"/>
          <w:szCs w:val="24"/>
          <w:highlight w:val="none"/>
          <w:u w:val="single"/>
          <w14:textFill>
            <w14:solidFill>
              <w14:schemeClr w14:val="tx1"/>
            </w14:solidFill>
          </w14:textFill>
        </w:rPr>
        <w:t>开具符合要求的增值税专用发票</w:t>
      </w:r>
      <w:r>
        <w:rPr>
          <w:rFonts w:hint="eastAsia" w:ascii="宋体" w:hAnsi="宋体" w:eastAsia="宋体" w:cs="宋体"/>
          <w:color w:val="000000" w:themeColor="text1"/>
          <w:sz w:val="24"/>
          <w:szCs w:val="24"/>
          <w:highlight w:val="none"/>
          <w14:textFill>
            <w14:solidFill>
              <w14:schemeClr w14:val="tx1"/>
            </w14:solidFill>
          </w14:textFill>
        </w:rPr>
        <w:t>。</w:t>
      </w:r>
    </w:p>
    <w:p w14:paraId="10DFF46A">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88" w:name="_Toc19304"/>
      <w:bookmarkStart w:id="89" w:name="_Toc2846"/>
      <w:bookmarkStart w:id="90" w:name="_Toc32071"/>
      <w:r>
        <w:rPr>
          <w:rFonts w:hint="eastAsia" w:ascii="宋体" w:hAnsi="宋体" w:eastAsia="宋体" w:cs="宋体"/>
          <w:b/>
          <w:bCs/>
          <w:color w:val="000000" w:themeColor="text1"/>
          <w:sz w:val="24"/>
          <w:szCs w:val="24"/>
          <w:highlight w:val="none"/>
          <w:lang w:val="zh-CN"/>
          <w14:textFill>
            <w14:solidFill>
              <w14:schemeClr w14:val="tx1"/>
            </w14:solidFill>
          </w14:textFill>
        </w:rPr>
        <w:t>1.5 服务期限、地点和方式</w:t>
      </w:r>
      <w:bookmarkEnd w:id="88"/>
      <w:bookmarkEnd w:id="89"/>
      <w:bookmarkEnd w:id="90"/>
    </w:p>
    <w:p w14:paraId="23EFA877">
      <w:pPr>
        <w:spacing w:line="440" w:lineRule="exact"/>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1.5.1服务期限：</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一年</w:t>
      </w:r>
      <w:r>
        <w:rPr>
          <w:rFonts w:hint="eastAsia" w:ascii="宋体" w:hAnsi="宋体" w:eastAsia="宋体" w:cs="宋体"/>
          <w:color w:val="000000" w:themeColor="text1"/>
          <w:sz w:val="24"/>
          <w:szCs w:val="24"/>
          <w:highlight w:val="none"/>
          <w14:textFill>
            <w14:solidFill>
              <w14:schemeClr w14:val="tx1"/>
            </w14:solidFill>
          </w14:textFill>
        </w:rPr>
        <w:t>；</w:t>
      </w:r>
    </w:p>
    <w:p w14:paraId="4626C39F">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1.5.2服务地点：</w:t>
      </w:r>
      <w:r>
        <w:rPr>
          <w:rFonts w:hint="eastAsia" w:ascii="宋体" w:hAnsi="宋体" w:eastAsia="宋体" w:cs="宋体"/>
          <w:color w:val="000000" w:themeColor="text1"/>
          <w:sz w:val="24"/>
          <w:szCs w:val="24"/>
          <w:highlight w:val="none"/>
          <w:u w:val="single"/>
          <w14:textFill>
            <w14:solidFill>
              <w14:schemeClr w14:val="tx1"/>
            </w14:solidFill>
          </w14:textFill>
        </w:rPr>
        <w:t>甲方指定地点</w:t>
      </w:r>
      <w:r>
        <w:rPr>
          <w:rFonts w:hint="eastAsia" w:ascii="宋体" w:hAnsi="宋体" w:eastAsia="宋体" w:cs="宋体"/>
          <w:color w:val="000000" w:themeColor="text1"/>
          <w:sz w:val="24"/>
          <w:szCs w:val="24"/>
          <w:highlight w:val="none"/>
          <w14:textFill>
            <w14:solidFill>
              <w14:schemeClr w14:val="tx1"/>
            </w14:solidFill>
          </w14:textFill>
        </w:rPr>
        <w:t>；</w:t>
      </w:r>
    </w:p>
    <w:p w14:paraId="3400D73B">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1.5.3服务方式：</w:t>
      </w:r>
      <w:r>
        <w:rPr>
          <w:rFonts w:hint="eastAsia" w:ascii="宋体" w:hAnsi="宋体" w:eastAsia="宋体" w:cs="宋体"/>
          <w:color w:val="000000" w:themeColor="text1"/>
          <w:sz w:val="24"/>
          <w:szCs w:val="24"/>
          <w:highlight w:val="none"/>
          <w:u w:val="single"/>
          <w14:textFill>
            <w14:solidFill>
              <w14:schemeClr w14:val="tx1"/>
            </w14:solidFill>
          </w14:textFill>
        </w:rPr>
        <w:t>甲方指定方式</w:t>
      </w:r>
      <w:r>
        <w:rPr>
          <w:rFonts w:hint="eastAsia" w:ascii="宋体" w:hAnsi="宋体" w:eastAsia="宋体" w:cs="宋体"/>
          <w:color w:val="000000" w:themeColor="text1"/>
          <w:sz w:val="24"/>
          <w:szCs w:val="24"/>
          <w:highlight w:val="none"/>
          <w14:textFill>
            <w14:solidFill>
              <w14:schemeClr w14:val="tx1"/>
            </w14:solidFill>
          </w14:textFill>
        </w:rPr>
        <w:t>。</w:t>
      </w:r>
    </w:p>
    <w:p w14:paraId="207007E2">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91" w:name="_Toc19554"/>
      <w:bookmarkStart w:id="92" w:name="_Toc21423"/>
      <w:bookmarkStart w:id="93" w:name="_Toc27250"/>
      <w:r>
        <w:rPr>
          <w:rFonts w:hint="eastAsia" w:ascii="宋体" w:hAnsi="宋体" w:eastAsia="宋体" w:cs="宋体"/>
          <w:b/>
          <w:bCs/>
          <w:color w:val="000000" w:themeColor="text1"/>
          <w:sz w:val="24"/>
          <w:szCs w:val="24"/>
          <w:highlight w:val="none"/>
          <w:lang w:val="zh-CN"/>
          <w14:textFill>
            <w14:solidFill>
              <w14:schemeClr w14:val="tx1"/>
            </w14:solidFill>
          </w14:textFill>
        </w:rPr>
        <w:t>1.6 违约责任</w:t>
      </w:r>
      <w:bookmarkEnd w:id="91"/>
      <w:bookmarkEnd w:id="92"/>
      <w:bookmarkEnd w:id="93"/>
    </w:p>
    <w:p w14:paraId="380FC025">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1.6.1除不可抗力外，如果乙方没有按照本合同约定的期限、地点和方式履行，那么甲方可要求乙方支付违约金，违约金按每迟延履行一日的应提供而未提供服务价格的 0.1 %计算，最高限额为本合同总价的10%；迟延履行的违约金计算数额达到前述最高限额之日起，甲方有权在要求乙方支付违约金的同时，书面通知乙方解除本合同；</w:t>
      </w:r>
    </w:p>
    <w:p w14:paraId="6119EE67">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1.6.2除不可抗力外，如果甲方没有按照本合同约定的付款方式付款，那么乙方可要求甲方支付违约金，违约金按每迟延付款一日的应付而未付款的 0.1 %计算，最高限额为本合同总价的10%；迟延付款的违约金计算数额达到前述最高限额之日起，乙方有权在要求甲方支付违约金的同时，书面通知甲方解除本合同；</w:t>
      </w:r>
    </w:p>
    <w:p w14:paraId="30B268EC">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BD854E4">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CAE800B">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98843E6">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1.6.6如果出现政府采购监督管理部门在处理投诉事项期间，书面通知甲方暂停采购活动的情形，或者询问或质疑事项可能影响中标结果的，导致甲方中止履行合同的情形，均不视为甲方违约。</w:t>
      </w:r>
    </w:p>
    <w:p w14:paraId="01B6B7FE">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1.6.7因甲方未按合同约定支付价款、未按合同约定受领标的物、擅自解除合同、逾期退还履约保证金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p>
    <w:p w14:paraId="77A1F702">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94" w:name="_Toc16021"/>
      <w:bookmarkStart w:id="95" w:name="_Toc15583"/>
      <w:bookmarkStart w:id="96" w:name="_Toc28375"/>
      <w:r>
        <w:rPr>
          <w:rFonts w:hint="eastAsia" w:ascii="宋体" w:hAnsi="宋体" w:eastAsia="宋体" w:cs="宋体"/>
          <w:b/>
          <w:bCs/>
          <w:color w:val="000000" w:themeColor="text1"/>
          <w:sz w:val="24"/>
          <w:szCs w:val="24"/>
          <w:highlight w:val="none"/>
          <w:lang w:val="zh-CN"/>
          <w14:textFill>
            <w14:solidFill>
              <w14:schemeClr w14:val="tx1"/>
            </w14:solidFill>
          </w14:textFill>
        </w:rPr>
        <w:t>1.7 合同争议的解决</w:t>
      </w:r>
      <w:bookmarkEnd w:id="94"/>
      <w:bookmarkEnd w:id="95"/>
      <w:bookmarkEnd w:id="96"/>
    </w:p>
    <w:p w14:paraId="6425436C">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本合同履行过程中发生的任何争议，双方当事人均可通过和解或者调解解决；不愿和解、调解或者和解、调解不成的，可以选择下列第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种方式解决：</w:t>
      </w:r>
    </w:p>
    <w:p w14:paraId="292E7459">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（1）将争议提交</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滁州    </w:t>
      </w:r>
      <w:r>
        <w:rPr>
          <w:rFonts w:hint="eastAsia" w:ascii="宋体" w:hAnsi="宋体" w:eastAsia="宋体" w:cs="宋体"/>
          <w:color w:val="000000" w:themeColor="text1"/>
          <w:sz w:val="24"/>
          <w:szCs w:val="24"/>
          <w:highlight w:val="none"/>
          <w14:textFill>
            <w14:solidFill>
              <w14:schemeClr w14:val="tx1"/>
            </w14:solidFill>
          </w14:textFill>
        </w:rPr>
        <w:t>仲裁委员会依申请仲裁时其现行有效的仲裁规则裁决；</w:t>
      </w:r>
    </w:p>
    <w:p w14:paraId="4DDFDBCC">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（2）向</w:t>
      </w:r>
      <w:r>
        <w:rPr>
          <w:rFonts w:hint="eastAsia" w:ascii="宋体" w:hAnsi="宋体" w:eastAsia="宋体" w:cs="宋体"/>
          <w:color w:val="000000" w:themeColor="text1"/>
          <w:sz w:val="24"/>
          <w:szCs w:val="24"/>
          <w:highlight w:val="none"/>
          <w:u w:val="single"/>
          <w14:textFill>
            <w14:solidFill>
              <w14:schemeClr w14:val="tx1"/>
            </w14:solidFill>
          </w14:textFill>
        </w:rPr>
        <w:t xml:space="preserve">  甲方（采购人） </w:t>
      </w:r>
      <w:r>
        <w:rPr>
          <w:rFonts w:hint="eastAsia" w:ascii="宋体" w:hAnsi="宋体" w:eastAsia="宋体" w:cs="宋体"/>
          <w:color w:val="000000" w:themeColor="text1"/>
          <w:sz w:val="24"/>
          <w:szCs w:val="24"/>
          <w:highlight w:val="none"/>
          <w14:textFill>
            <w14:solidFill>
              <w14:schemeClr w14:val="tx1"/>
            </w14:solidFill>
          </w14:textFill>
        </w:rPr>
        <w:t>人民法院起诉。</w:t>
      </w:r>
    </w:p>
    <w:p w14:paraId="2A3DD813">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97" w:name="_Toc11173"/>
      <w:bookmarkStart w:id="98" w:name="_Toc7245"/>
      <w:bookmarkStart w:id="99" w:name="_Toc15322"/>
      <w:r>
        <w:rPr>
          <w:rFonts w:hint="eastAsia" w:ascii="宋体" w:hAnsi="宋体" w:eastAsia="宋体" w:cs="宋体"/>
          <w:b/>
          <w:bCs/>
          <w:color w:val="000000" w:themeColor="text1"/>
          <w:sz w:val="24"/>
          <w:szCs w:val="24"/>
          <w:highlight w:val="none"/>
          <w:lang w:val="zh-CN"/>
          <w14:textFill>
            <w14:solidFill>
              <w14:schemeClr w14:val="tx1"/>
            </w14:solidFill>
          </w14:textFill>
        </w:rPr>
        <w:t>1.8 合同生效</w:t>
      </w:r>
      <w:bookmarkEnd w:id="97"/>
      <w:bookmarkEnd w:id="98"/>
      <w:bookmarkEnd w:id="99"/>
    </w:p>
    <w:p w14:paraId="67D2FE6C">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本合同自双方当事人盖章时生效。</w:t>
      </w:r>
    </w:p>
    <w:p w14:paraId="22E25675">
      <w:pPr>
        <w:autoSpaceDE w:val="0"/>
        <w:autoSpaceDN w:val="0"/>
        <w:adjustRightInd w:val="0"/>
        <w:spacing w:line="440" w:lineRule="exact"/>
        <w:rPr>
          <w:rFonts w:hint="eastAsia" w:ascii="宋体" w:hAnsi="宋体" w:eastAsia="宋体" w:cs="宋体"/>
          <w:color w:val="000000" w:themeColor="text1"/>
          <w:sz w:val="24"/>
          <w:szCs w:val="24"/>
          <w:highlight w:val="none"/>
          <w:lang w:val="zh-CN"/>
          <w14:textFill>
            <w14:solidFill>
              <w14:schemeClr w14:val="tx1"/>
            </w14:solidFill>
          </w14:textFill>
        </w:rPr>
      </w:pPr>
    </w:p>
    <w:p w14:paraId="5DC5181B">
      <w:pPr>
        <w:autoSpaceDE w:val="0"/>
        <w:autoSpaceDN w:val="0"/>
        <w:adjustRightInd w:val="0"/>
        <w:spacing w:line="440" w:lineRule="exact"/>
        <w:rPr>
          <w:rFonts w:hint="eastAsia" w:ascii="宋体" w:hAnsi="宋体" w:eastAsia="宋体" w:cs="宋体"/>
          <w:color w:val="000000" w:themeColor="text1"/>
          <w:sz w:val="24"/>
          <w:szCs w:val="24"/>
          <w:highlight w:val="none"/>
          <w:lang w:val="zh-CN"/>
          <w14:textFill>
            <w14:solidFill>
              <w14:schemeClr w14:val="tx1"/>
            </w14:solidFill>
          </w14:textFill>
        </w:rPr>
      </w:pPr>
    </w:p>
    <w:p w14:paraId="1FF7C227">
      <w:pPr>
        <w:autoSpaceDE w:val="0"/>
        <w:autoSpaceDN w:val="0"/>
        <w:adjustRightInd w:val="0"/>
        <w:spacing w:line="440" w:lineRule="exact"/>
        <w:rPr>
          <w:rFonts w:hint="eastAsia" w:ascii="宋体" w:hAnsi="宋体" w:eastAsia="宋体" w:cs="宋体"/>
          <w:color w:val="000000" w:themeColor="text1"/>
          <w:sz w:val="24"/>
          <w:szCs w:val="24"/>
          <w:highlight w:val="none"/>
          <w:lang w:val="zh-CN"/>
          <w14:textFill>
            <w14:solidFill>
              <w14:schemeClr w14:val="tx1"/>
            </w14:solidFill>
          </w14:textFill>
        </w:rPr>
      </w:pPr>
    </w:p>
    <w:p w14:paraId="34B6E272">
      <w:pPr>
        <w:autoSpaceDE w:val="0"/>
        <w:autoSpaceDN w:val="0"/>
        <w:adjustRightInd w:val="0"/>
        <w:spacing w:line="440" w:lineRule="exac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甲    方：</w:t>
      </w:r>
      <w:r>
        <w:rPr>
          <w:rFonts w:hint="eastAsia" w:ascii="宋体" w:hAnsi="宋体" w:eastAsia="宋体" w:cs="宋体"/>
          <w:bCs/>
          <w:color w:val="000000" w:themeColor="text1"/>
          <w:sz w:val="24"/>
          <w:szCs w:val="24"/>
          <w:highlight w:val="none"/>
          <w:u w:val="single"/>
          <w:lang w:val="zh-CN"/>
          <w14:textFill>
            <w14:solidFill>
              <w14:schemeClr w14:val="tx1"/>
            </w14:solidFill>
          </w14:textFill>
        </w:rPr>
        <w:t xml:space="preserve">    （单位盖章）     </w:t>
      </w:r>
      <w:r>
        <w:rPr>
          <w:rFonts w:hint="eastAsia" w:ascii="宋体" w:hAnsi="宋体" w:eastAsia="宋体" w:cs="宋体"/>
          <w:bCs/>
          <w:color w:val="000000" w:themeColor="text1"/>
          <w:sz w:val="24"/>
          <w:szCs w:val="24"/>
          <w:highlight w:val="none"/>
          <w:lang w:val="zh-CN"/>
          <w14:textFill>
            <w14:solidFill>
              <w14:schemeClr w14:val="tx1"/>
            </w14:solidFill>
          </w14:textFill>
        </w:rPr>
        <w:t xml:space="preserve">          乙方：</w:t>
      </w:r>
      <w:r>
        <w:rPr>
          <w:rFonts w:hint="eastAsia" w:ascii="宋体" w:hAnsi="宋体" w:eastAsia="宋体" w:cs="宋体"/>
          <w:bCs/>
          <w:color w:val="000000" w:themeColor="text1"/>
          <w:sz w:val="24"/>
          <w:szCs w:val="24"/>
          <w:highlight w:val="none"/>
          <w:u w:val="single"/>
          <w:lang w:val="zh-CN"/>
          <w14:textFill>
            <w14:solidFill>
              <w14:schemeClr w14:val="tx1"/>
            </w14:solidFill>
          </w14:textFill>
        </w:rPr>
        <w:t xml:space="preserve">    （单位盖章）     </w:t>
      </w:r>
    </w:p>
    <w:p w14:paraId="06F640DD">
      <w:pPr>
        <w:autoSpaceDE w:val="0"/>
        <w:autoSpaceDN w:val="0"/>
        <w:adjustRightInd w:val="0"/>
        <w:spacing w:line="440" w:lineRule="exac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法定代表人                               法定代表人</w:t>
      </w:r>
    </w:p>
    <w:p w14:paraId="78E6CD57">
      <w:pPr>
        <w:autoSpaceDE w:val="0"/>
        <w:autoSpaceDN w:val="0"/>
        <w:adjustRightInd w:val="0"/>
        <w:spacing w:line="440" w:lineRule="exac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或授权代表（签字）：                      或授权代表（签字）：</w:t>
      </w:r>
    </w:p>
    <w:p w14:paraId="18A47161">
      <w:pPr>
        <w:widowControl/>
        <w:spacing w:line="440" w:lineRule="exact"/>
        <w:jc w:val="left"/>
        <w:rPr>
          <w:rFonts w:hint="eastAsia" w:ascii="宋体" w:hAnsi="宋体" w:eastAsia="宋体" w:cs="宋体"/>
          <w:bCs/>
          <w:color w:val="000000" w:themeColor="text1"/>
          <w:sz w:val="24"/>
          <w:szCs w:val="24"/>
          <w:highlight w:val="none"/>
          <w14:textFill>
            <w14:solidFill>
              <w14:schemeClr w14:val="tx1"/>
            </w14:solidFill>
          </w14:textFill>
        </w:rPr>
      </w:pPr>
      <w:bookmarkStart w:id="100" w:name="_Toc331685783"/>
      <w:r>
        <w:rPr>
          <w:rFonts w:hint="eastAsia" w:ascii="宋体" w:hAnsi="宋体" w:eastAsia="宋体" w:cs="宋体"/>
          <w:bCs/>
          <w:color w:val="000000" w:themeColor="text1"/>
          <w:sz w:val="24"/>
          <w:szCs w:val="24"/>
          <w:highlight w:val="none"/>
          <w14:textFill>
            <w14:solidFill>
              <w14:schemeClr w14:val="tx1"/>
            </w14:solidFill>
          </w14:textFill>
        </w:rPr>
        <w:t>时间：</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年</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月</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日               时间：</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年</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月</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日</w:t>
      </w:r>
    </w:p>
    <w:p w14:paraId="76BBE36D">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bookmarkStart w:id="101" w:name="_Hlk110099149"/>
      <w:r>
        <w:rPr>
          <w:rFonts w:hint="eastAsia" w:ascii="宋体" w:hAnsi="宋体" w:eastAsia="宋体" w:cs="宋体"/>
          <w:color w:val="000000" w:themeColor="text1"/>
          <w:sz w:val="24"/>
          <w:szCs w:val="24"/>
          <w:highlight w:val="none"/>
          <w14:textFill>
            <w14:solidFill>
              <w14:schemeClr w14:val="tx1"/>
            </w14:solidFill>
          </w14:textFill>
        </w:rPr>
        <w:t>乙方账户信息</w:t>
      </w:r>
    </w:p>
    <w:p w14:paraId="65EE1A45">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户名：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E238D01">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账号：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DDD46D5">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开户银行：</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bookmarkEnd w:id="101"/>
    <w:p w14:paraId="6AE2916E">
      <w:pPr>
        <w:widowControl/>
        <w:spacing w:line="440" w:lineRule="exact"/>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br w:type="page"/>
      </w:r>
    </w:p>
    <w:p w14:paraId="56CEFACE">
      <w:pPr>
        <w:spacing w:line="440" w:lineRule="exact"/>
        <w:jc w:val="center"/>
        <w:outlineLvl w:val="1"/>
        <w:rPr>
          <w:rFonts w:hint="eastAsia" w:ascii="宋体" w:hAnsi="宋体" w:eastAsia="宋体" w:cs="宋体"/>
          <w:b/>
          <w:color w:val="000000" w:themeColor="text1"/>
          <w:sz w:val="24"/>
          <w:highlight w:val="none"/>
          <w14:textFill>
            <w14:solidFill>
              <w14:schemeClr w14:val="tx1"/>
            </w14:solidFill>
          </w14:textFill>
        </w:rPr>
      </w:pPr>
      <w:bookmarkStart w:id="102" w:name="_Toc12414"/>
      <w:bookmarkStart w:id="103" w:name="_Toc415"/>
      <w:r>
        <w:rPr>
          <w:rFonts w:hint="eastAsia" w:ascii="宋体" w:hAnsi="宋体" w:eastAsia="宋体" w:cs="宋体"/>
          <w:b/>
          <w:color w:val="000000" w:themeColor="text1"/>
          <w:sz w:val="24"/>
          <w:highlight w:val="none"/>
          <w14:textFill>
            <w14:solidFill>
              <w14:schemeClr w14:val="tx1"/>
            </w14:solidFill>
          </w14:textFill>
        </w:rPr>
        <w:t>第二部分 合同一般条款</w:t>
      </w:r>
      <w:bookmarkEnd w:id="100"/>
      <w:bookmarkEnd w:id="102"/>
      <w:bookmarkEnd w:id="103"/>
    </w:p>
    <w:p w14:paraId="06DFECB7">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04" w:name="_Ref467378499"/>
      <w:bookmarkStart w:id="105" w:name="_Ref467378463"/>
      <w:bookmarkStart w:id="106" w:name="_Ref467379214"/>
      <w:bookmarkStart w:id="107" w:name="_Toc19614"/>
      <w:bookmarkStart w:id="108" w:name="_Ref467379225"/>
      <w:bookmarkStart w:id="109" w:name="_Ref467379094"/>
      <w:bookmarkStart w:id="110" w:name="_Toc259093669"/>
      <w:bookmarkStart w:id="111" w:name="_Ref467378404"/>
      <w:bookmarkStart w:id="112" w:name="_Toc28763"/>
      <w:bookmarkStart w:id="113" w:name="_Toc279701240"/>
      <w:bookmarkStart w:id="114" w:name="_Ref467379205"/>
      <w:bookmarkStart w:id="115" w:name="_Toc16917"/>
      <w:bookmarkStart w:id="116" w:name="_Toc487900349"/>
      <w:bookmarkStart w:id="117" w:name="_Ref467379101"/>
      <w:bookmarkStart w:id="118" w:name="_Ref467379109"/>
      <w:bookmarkStart w:id="119" w:name="_Ref467379195"/>
      <w:r>
        <w:rPr>
          <w:rFonts w:hint="eastAsia" w:ascii="宋体" w:hAnsi="宋体" w:eastAsia="宋体" w:cs="宋体"/>
          <w:b/>
          <w:bCs/>
          <w:color w:val="000000" w:themeColor="text1"/>
          <w:sz w:val="24"/>
          <w:szCs w:val="24"/>
          <w:highlight w:val="none"/>
          <w:lang w:val="zh-CN"/>
          <w14:textFill>
            <w14:solidFill>
              <w14:schemeClr w14:val="tx1"/>
            </w14:solidFill>
          </w14:textFill>
        </w:rPr>
        <w:t>2.1 定义</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78A72D7B">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本合同中的下列词语应按以下内容进行解释：</w:t>
      </w:r>
    </w:p>
    <w:p w14:paraId="21408EBF">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2.1.1“合同”系指采购人和中标人签订的载明双方当事人所达成的协议，并包括所有的附件、附录和构成合同的其他文件。</w:t>
      </w:r>
    </w:p>
    <w:p w14:paraId="4D21D47C">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2.1.2“合同价”系指根据合同约定，中标人在完全履行合同义务后，采购人应支付给中标人的价格。</w:t>
      </w:r>
    </w:p>
    <w:p w14:paraId="282A49DD">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2.1.3“服务”系指中标人根据合同约定应向采购人履行的除货物和工程以外的其他政府采购对象，包括采购人自身需要的服务和向社会公众提供的公共服务。</w:t>
      </w:r>
    </w:p>
    <w:p w14:paraId="1B612820">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bookmarkStart w:id="120" w:name="_Ref467378840"/>
      <w:r>
        <w:rPr>
          <w:rFonts w:hint="eastAsia" w:ascii="宋体" w:hAnsi="宋体" w:eastAsia="宋体" w:cs="宋体"/>
          <w:color w:val="000000" w:themeColor="text1"/>
          <w:sz w:val="24"/>
          <w:szCs w:val="24"/>
          <w:highlight w:val="none"/>
          <w14:textFill>
            <w14:solidFill>
              <w14:schemeClr w14:val="tx1"/>
            </w14:solidFill>
          </w14:textFill>
        </w:rPr>
        <w:t>2.1.4“甲方”系指与中标人签署合同的采购人</w:t>
      </w:r>
      <w:bookmarkEnd w:id="120"/>
      <w:r>
        <w:rPr>
          <w:rFonts w:hint="eastAsia" w:ascii="宋体" w:hAnsi="宋体" w:eastAsia="宋体" w:cs="宋体"/>
          <w:color w:val="000000" w:themeColor="text1"/>
          <w:sz w:val="24"/>
          <w:szCs w:val="24"/>
          <w:highlight w:val="none"/>
          <w14:textFill>
            <w14:solidFill>
              <w14:schemeClr w14:val="tx1"/>
            </w14:solidFill>
          </w14:textFill>
        </w:rPr>
        <w:t>；采购人委托采购代理机构代表其与乙方签订合同的，采购人的授权委托书作为合同附件。</w:t>
      </w:r>
    </w:p>
    <w:p w14:paraId="6B6AA724">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bookmarkStart w:id="121" w:name="_Ref467379400"/>
      <w:r>
        <w:rPr>
          <w:rFonts w:hint="eastAsia" w:ascii="宋体" w:hAnsi="宋体" w:eastAsia="宋体" w:cs="宋体"/>
          <w:color w:val="000000" w:themeColor="text1"/>
          <w:sz w:val="24"/>
          <w:szCs w:val="24"/>
          <w:highlight w:val="none"/>
          <w14:textFill>
            <w14:solidFill>
              <w14:schemeClr w14:val="tx1"/>
            </w14:solidFill>
          </w14:textFill>
        </w:rPr>
        <w:t>2.1.5“乙方”系指根据合同约定提供服务的中标人</w:t>
      </w:r>
      <w:bookmarkEnd w:id="121"/>
      <w:r>
        <w:rPr>
          <w:rFonts w:hint="eastAsia" w:ascii="宋体" w:hAnsi="宋体" w:eastAsia="宋体" w:cs="宋体"/>
          <w:color w:val="000000" w:themeColor="text1"/>
          <w:sz w:val="24"/>
          <w:szCs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EA6BDCF">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bookmarkStart w:id="122" w:name="_Ref467379436"/>
      <w:r>
        <w:rPr>
          <w:rFonts w:hint="eastAsia" w:ascii="宋体" w:hAnsi="宋体" w:eastAsia="宋体" w:cs="宋体"/>
          <w:color w:val="000000" w:themeColor="text1"/>
          <w:sz w:val="24"/>
          <w:szCs w:val="24"/>
          <w:highlight w:val="none"/>
          <w14:textFill>
            <w14:solidFill>
              <w14:schemeClr w14:val="tx1"/>
            </w14:solidFill>
          </w14:textFill>
        </w:rPr>
        <w:t>2.1.6“现场”系指合同约定提供服务的地点。</w:t>
      </w:r>
      <w:bookmarkEnd w:id="122"/>
    </w:p>
    <w:p w14:paraId="47686C4D">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23" w:name="_Toc259093670"/>
      <w:bookmarkStart w:id="124" w:name="_Toc487900350"/>
      <w:bookmarkStart w:id="125" w:name="_Toc32504"/>
      <w:bookmarkStart w:id="126" w:name="_Toc279701241"/>
      <w:bookmarkStart w:id="127" w:name="_Toc27635"/>
      <w:bookmarkStart w:id="128" w:name="_Toc13336"/>
      <w:r>
        <w:rPr>
          <w:rFonts w:hint="eastAsia" w:ascii="宋体" w:hAnsi="宋体" w:eastAsia="宋体" w:cs="宋体"/>
          <w:b/>
          <w:bCs/>
          <w:color w:val="000000" w:themeColor="text1"/>
          <w:sz w:val="24"/>
          <w:szCs w:val="24"/>
          <w:highlight w:val="none"/>
          <w:lang w:val="zh-CN"/>
          <w14:textFill>
            <w14:solidFill>
              <w14:schemeClr w14:val="tx1"/>
            </w14:solidFill>
          </w14:textFill>
        </w:rPr>
        <w:t>2.2 技术规范</w:t>
      </w:r>
      <w:bookmarkEnd w:id="123"/>
      <w:bookmarkEnd w:id="124"/>
      <w:bookmarkEnd w:id="125"/>
      <w:bookmarkEnd w:id="126"/>
      <w:bookmarkEnd w:id="127"/>
      <w:bookmarkEnd w:id="128"/>
    </w:p>
    <w:p w14:paraId="33169FD2">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16D6C1D">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29" w:name="_Toc487900351"/>
      <w:bookmarkStart w:id="130" w:name="_Toc279701242"/>
      <w:bookmarkStart w:id="131" w:name="_Toc31634"/>
      <w:bookmarkStart w:id="132" w:name="_Toc9829"/>
      <w:bookmarkStart w:id="133" w:name="_Toc27853"/>
      <w:bookmarkStart w:id="134" w:name="_Toc259093671"/>
      <w:r>
        <w:rPr>
          <w:rFonts w:hint="eastAsia" w:ascii="宋体" w:hAnsi="宋体" w:eastAsia="宋体" w:cs="宋体"/>
          <w:b/>
          <w:bCs/>
          <w:color w:val="000000" w:themeColor="text1"/>
          <w:sz w:val="24"/>
          <w:szCs w:val="24"/>
          <w:highlight w:val="none"/>
          <w:lang w:val="zh-CN"/>
          <w14:textFill>
            <w14:solidFill>
              <w14:schemeClr w14:val="tx1"/>
            </w14:solidFill>
          </w14:textFill>
        </w:rPr>
        <w:t>2.3 知识产权</w:t>
      </w:r>
      <w:bookmarkEnd w:id="129"/>
      <w:bookmarkEnd w:id="130"/>
      <w:bookmarkEnd w:id="131"/>
      <w:bookmarkEnd w:id="132"/>
      <w:bookmarkEnd w:id="133"/>
      <w:bookmarkEnd w:id="134"/>
    </w:p>
    <w:p w14:paraId="2CAC8069">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0409F6FE">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35" w:name="_Toc259093674"/>
      <w:bookmarkStart w:id="136" w:name="_Ref467379536"/>
      <w:bookmarkStart w:id="137" w:name="_Toc487900354"/>
      <w:bookmarkStart w:id="138" w:name="_Ref467378591"/>
      <w:bookmarkStart w:id="139" w:name="_Ref467379542"/>
      <w:bookmarkStart w:id="140" w:name="_Ref467379527"/>
      <w:bookmarkStart w:id="141" w:name="_Toc279701245"/>
      <w:bookmarkStart w:id="142" w:name="_Ref467378541"/>
      <w:bookmarkStart w:id="143" w:name="_Toc30272"/>
      <w:bookmarkStart w:id="144" w:name="_Toc26182"/>
      <w:bookmarkStart w:id="145" w:name="_Toc19074"/>
      <w:r>
        <w:rPr>
          <w:rFonts w:hint="eastAsia" w:ascii="宋体" w:hAnsi="宋体" w:eastAsia="宋体" w:cs="宋体"/>
          <w:b/>
          <w:bCs/>
          <w:color w:val="000000" w:themeColor="text1"/>
          <w:sz w:val="24"/>
          <w:szCs w:val="24"/>
          <w:highlight w:val="none"/>
          <w:lang w:val="zh-CN"/>
          <w14:textFill>
            <w14:solidFill>
              <w14:schemeClr w14:val="tx1"/>
            </w14:solidFill>
          </w14:textFill>
        </w:rPr>
        <w:t>2.</w:t>
      </w:r>
      <w:bookmarkEnd w:id="135"/>
      <w:bookmarkEnd w:id="136"/>
      <w:bookmarkEnd w:id="137"/>
      <w:bookmarkEnd w:id="138"/>
      <w:bookmarkEnd w:id="139"/>
      <w:bookmarkEnd w:id="140"/>
      <w:bookmarkEnd w:id="141"/>
      <w:bookmarkEnd w:id="142"/>
      <w:r>
        <w:rPr>
          <w:rFonts w:hint="eastAsia" w:ascii="宋体" w:hAnsi="宋体" w:eastAsia="宋体" w:cs="宋体"/>
          <w:b/>
          <w:bCs/>
          <w:color w:val="000000" w:themeColor="text1"/>
          <w:sz w:val="24"/>
          <w:szCs w:val="24"/>
          <w:highlight w:val="none"/>
          <w:lang w:val="zh-CN"/>
          <w14:textFill>
            <w14:solidFill>
              <w14:schemeClr w14:val="tx1"/>
            </w14:solidFill>
          </w14:textFill>
        </w:rPr>
        <w:t>4 履约检查和问题反馈</w:t>
      </w:r>
      <w:bookmarkEnd w:id="143"/>
      <w:bookmarkEnd w:id="144"/>
      <w:bookmarkEnd w:id="145"/>
    </w:p>
    <w:p w14:paraId="46F16F92">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bookmarkStart w:id="146" w:name="_Toc186431854"/>
      <w:bookmarkStart w:id="147" w:name="_Toc279701247"/>
      <w:bookmarkStart w:id="148" w:name="_Toc259093676"/>
      <w:bookmarkStart w:id="149" w:name="_Toc487900357"/>
      <w:bookmarkStart w:id="150" w:name="_Ref467379793"/>
      <w:bookmarkStart w:id="151" w:name="_Ref467379807"/>
      <w:r>
        <w:rPr>
          <w:rFonts w:hint="eastAsia" w:ascii="宋体" w:hAnsi="宋体" w:eastAsia="宋体" w:cs="宋体"/>
          <w:color w:val="000000" w:themeColor="text1"/>
          <w:sz w:val="24"/>
          <w:szCs w:val="24"/>
          <w:highlight w:val="none"/>
          <w14:textFill>
            <w14:solidFill>
              <w14:schemeClr w14:val="tx1"/>
            </w14:solidFill>
          </w14:textFill>
        </w:rPr>
        <w:t>2.4.1甲方有权在其认为必要时，对乙方是否能够按照合同约定提供服务进行履约检查，以确保乙方所提供的服务能够依约满足甲方项目需求，但不得因履约检查妨碍乙方的正常工作，乙方应予积极配合；</w:t>
      </w:r>
    </w:p>
    <w:p w14:paraId="2E7BB756">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2.4.2合同履行期间，甲方有权将履行过程中出现的问题反馈给乙方，双方当事人应以书面形式约定需要完善和改进的内容</w:t>
      </w:r>
      <w:bookmarkEnd w:id="146"/>
      <w:bookmarkStart w:id="152" w:name="_Toc186431855"/>
      <w:r>
        <w:rPr>
          <w:rFonts w:hint="eastAsia" w:ascii="宋体" w:hAnsi="宋体" w:eastAsia="宋体" w:cs="宋体"/>
          <w:color w:val="000000" w:themeColor="text1"/>
          <w:sz w:val="24"/>
          <w:szCs w:val="24"/>
          <w:highlight w:val="none"/>
          <w14:textFill>
            <w14:solidFill>
              <w14:schemeClr w14:val="tx1"/>
            </w14:solidFill>
          </w14:textFill>
        </w:rPr>
        <w:t>。</w:t>
      </w:r>
    </w:p>
    <w:bookmarkEnd w:id="152"/>
    <w:p w14:paraId="57D5077D">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53" w:name="_Toc7836"/>
      <w:bookmarkStart w:id="154" w:name="_Toc19219"/>
      <w:bookmarkStart w:id="155" w:name="_Toc28451"/>
      <w:r>
        <w:rPr>
          <w:rFonts w:hint="eastAsia" w:ascii="宋体" w:hAnsi="宋体" w:eastAsia="宋体" w:cs="宋体"/>
          <w:b/>
          <w:bCs/>
          <w:color w:val="000000" w:themeColor="text1"/>
          <w:sz w:val="24"/>
          <w:szCs w:val="24"/>
          <w:highlight w:val="none"/>
          <w:lang w:val="zh-CN"/>
          <w14:textFill>
            <w14:solidFill>
              <w14:schemeClr w14:val="tx1"/>
            </w14:solidFill>
          </w14:textFill>
        </w:rPr>
        <w:t>2.5 结算方式和付款条件</w:t>
      </w:r>
      <w:bookmarkEnd w:id="147"/>
      <w:bookmarkEnd w:id="148"/>
      <w:bookmarkEnd w:id="149"/>
      <w:bookmarkEnd w:id="150"/>
      <w:bookmarkEnd w:id="151"/>
      <w:bookmarkEnd w:id="153"/>
      <w:bookmarkEnd w:id="154"/>
      <w:bookmarkEnd w:id="155"/>
    </w:p>
    <w:p w14:paraId="403E0D3A">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w:t>
      </w:r>
    </w:p>
    <w:p w14:paraId="3BF322C5">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56" w:name="_Ref467379863"/>
      <w:bookmarkStart w:id="157" w:name="_Toc487900358"/>
      <w:bookmarkStart w:id="158" w:name="_Ref467379852"/>
      <w:bookmarkStart w:id="159" w:name="_Ref467379923"/>
      <w:bookmarkStart w:id="160" w:name="_Toc259093677"/>
      <w:bookmarkStart w:id="161" w:name="_Toc279701248"/>
      <w:bookmarkStart w:id="162" w:name="_Toc16110"/>
      <w:bookmarkStart w:id="163" w:name="_Toc3225"/>
      <w:bookmarkStart w:id="164" w:name="_Toc774"/>
      <w:r>
        <w:rPr>
          <w:rFonts w:hint="eastAsia" w:ascii="宋体" w:hAnsi="宋体" w:eastAsia="宋体" w:cs="宋体"/>
          <w:b/>
          <w:bCs/>
          <w:color w:val="000000" w:themeColor="text1"/>
          <w:sz w:val="24"/>
          <w:szCs w:val="24"/>
          <w:highlight w:val="none"/>
          <w:lang w:val="zh-CN"/>
          <w14:textFill>
            <w14:solidFill>
              <w14:schemeClr w14:val="tx1"/>
            </w14:solidFill>
          </w14:textFill>
        </w:rPr>
        <w:t>2.6 技术资料</w:t>
      </w:r>
      <w:bookmarkEnd w:id="156"/>
      <w:bookmarkEnd w:id="157"/>
      <w:bookmarkEnd w:id="158"/>
      <w:bookmarkEnd w:id="159"/>
      <w:bookmarkEnd w:id="160"/>
      <w:bookmarkEnd w:id="161"/>
      <w:r>
        <w:rPr>
          <w:rFonts w:hint="eastAsia" w:ascii="宋体" w:hAnsi="宋体" w:eastAsia="宋体" w:cs="宋体"/>
          <w:b/>
          <w:bCs/>
          <w:color w:val="000000" w:themeColor="text1"/>
          <w:sz w:val="24"/>
          <w:szCs w:val="24"/>
          <w:highlight w:val="none"/>
          <w:lang w:val="zh-CN"/>
          <w14:textFill>
            <w14:solidFill>
              <w14:schemeClr w14:val="tx1"/>
            </w14:solidFill>
          </w14:textFill>
        </w:rPr>
        <w:t>和保密义务</w:t>
      </w:r>
      <w:bookmarkEnd w:id="162"/>
      <w:bookmarkEnd w:id="163"/>
      <w:bookmarkEnd w:id="164"/>
    </w:p>
    <w:p w14:paraId="29823099">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2.6.1乙方有权依据合同约定和项目需要，向甲方了解有关情况，调阅有关资料等，甲方应予积极配合；</w:t>
      </w:r>
    </w:p>
    <w:p w14:paraId="3FAE74A1">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2.6.2乙方有义务妥善保管和保护由甲方提供的前款信息和资料等；</w:t>
      </w:r>
    </w:p>
    <w:p w14:paraId="47E6FF93">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1FCC7CA">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65" w:name="_Toc7860"/>
      <w:r>
        <w:rPr>
          <w:rFonts w:hint="eastAsia" w:ascii="宋体" w:hAnsi="宋体" w:eastAsia="宋体" w:cs="宋体"/>
          <w:b/>
          <w:bCs/>
          <w:color w:val="000000" w:themeColor="text1"/>
          <w:sz w:val="24"/>
          <w:szCs w:val="24"/>
          <w:highlight w:val="none"/>
          <w:lang w:val="zh-CN"/>
          <w14:textFill>
            <w14:solidFill>
              <w14:schemeClr w14:val="tx1"/>
            </w14:solidFill>
          </w14:textFill>
        </w:rPr>
        <w:t>2.7 质量保证</w:t>
      </w:r>
      <w:bookmarkEnd w:id="165"/>
    </w:p>
    <w:p w14:paraId="2BB9056E">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2.7.1乙方应建立和完善履行合同的内部质量保证体系，并提供相关内部规章制度给甲方，以便甲方进行监督检查；</w:t>
      </w:r>
    </w:p>
    <w:p w14:paraId="1F6CFD79">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2.7.2乙方应保证履行合同的人员数量和素质、软件和硬件设备的配置、场地、环境和设施等满足全面履行合同的要求，并应接受甲方的监督检查。</w:t>
      </w:r>
    </w:p>
    <w:p w14:paraId="2183EDF2">
      <w:pPr>
        <w:spacing w:line="440" w:lineRule="exact"/>
        <w:ind w:firstLine="437"/>
        <w:outlineLvl w:val="2"/>
        <w:rPr>
          <w:rFonts w:hint="eastAsia" w:ascii="宋体" w:hAnsi="宋体" w:eastAsia="宋体" w:cs="宋体"/>
          <w:b/>
          <w:color w:val="000000" w:themeColor="text1"/>
          <w:sz w:val="24"/>
          <w:szCs w:val="24"/>
          <w:highlight w:val="none"/>
          <w14:textFill>
            <w14:solidFill>
              <w14:schemeClr w14:val="tx1"/>
            </w14:solidFill>
          </w14:textFill>
        </w:rPr>
      </w:pPr>
      <w:bookmarkStart w:id="166" w:name="_Toc22267"/>
      <w:r>
        <w:rPr>
          <w:rFonts w:hint="eastAsia" w:ascii="宋体" w:hAnsi="宋体" w:eastAsia="宋体" w:cs="宋体"/>
          <w:b/>
          <w:color w:val="000000" w:themeColor="text1"/>
          <w:sz w:val="24"/>
          <w:szCs w:val="24"/>
          <w:highlight w:val="none"/>
          <w14:textFill>
            <w14:solidFill>
              <w14:schemeClr w14:val="tx1"/>
            </w14:solidFill>
          </w14:textFill>
        </w:rPr>
        <w:t>2.8 延迟履行</w:t>
      </w:r>
      <w:bookmarkEnd w:id="166"/>
    </w:p>
    <w:p w14:paraId="279EBF50">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71A3330F">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67" w:name="_Toc7502"/>
      <w:bookmarkStart w:id="168" w:name="_Toc259093683"/>
      <w:bookmarkStart w:id="169" w:name="_Toc279701254"/>
      <w:bookmarkStart w:id="170" w:name="_Toc487900364"/>
      <w:bookmarkStart w:id="171" w:name="_Ref467378121"/>
      <w:r>
        <w:rPr>
          <w:rFonts w:hint="eastAsia" w:ascii="宋体" w:hAnsi="宋体" w:eastAsia="宋体" w:cs="宋体"/>
          <w:b/>
          <w:bCs/>
          <w:color w:val="000000" w:themeColor="text1"/>
          <w:sz w:val="24"/>
          <w:szCs w:val="24"/>
          <w:highlight w:val="none"/>
          <w:lang w:val="zh-CN"/>
          <w14:textFill>
            <w14:solidFill>
              <w14:schemeClr w14:val="tx1"/>
            </w14:solidFill>
          </w14:textFill>
        </w:rPr>
        <w:t>2.9 合同变更</w:t>
      </w:r>
      <w:bookmarkEnd w:id="167"/>
    </w:p>
    <w:p w14:paraId="2189724A">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2.9.1双方当事人协商一致，可以签订书面补充合同的形式变更合同，但不得违背采购文件确定的事项；</w:t>
      </w:r>
    </w:p>
    <w:p w14:paraId="786D19A2">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2.9.2合同继续履行将损害国家利益和社会公共利益的，双方当事人应当以书面形式变更合同。有过错的一方应当承担赔偿责任，双方当事人都有过错的，各自承担相应的责任。</w:t>
      </w:r>
      <w:bookmarkStart w:id="172" w:name="_Toc487900369"/>
      <w:bookmarkStart w:id="173" w:name="_Toc259093688"/>
      <w:bookmarkStart w:id="174" w:name="_Toc279701259"/>
    </w:p>
    <w:p w14:paraId="23A45D33">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75" w:name="_Toc15237"/>
      <w:bookmarkStart w:id="176" w:name="_Toc10366"/>
      <w:bookmarkStart w:id="177" w:name="_Toc22955"/>
      <w:r>
        <w:rPr>
          <w:rFonts w:hint="eastAsia" w:ascii="宋体" w:hAnsi="宋体" w:eastAsia="宋体" w:cs="宋体"/>
          <w:b/>
          <w:bCs/>
          <w:color w:val="000000" w:themeColor="text1"/>
          <w:sz w:val="24"/>
          <w:szCs w:val="24"/>
          <w:highlight w:val="none"/>
          <w:lang w:val="zh-CN"/>
          <w14:textFill>
            <w14:solidFill>
              <w14:schemeClr w14:val="tx1"/>
            </w14:solidFill>
          </w14:textFill>
        </w:rPr>
        <w:t>2.10 合同转让</w:t>
      </w:r>
      <w:bookmarkEnd w:id="172"/>
      <w:bookmarkEnd w:id="173"/>
      <w:bookmarkEnd w:id="174"/>
      <w:r>
        <w:rPr>
          <w:rFonts w:hint="eastAsia" w:ascii="宋体" w:hAnsi="宋体" w:eastAsia="宋体" w:cs="宋体"/>
          <w:b/>
          <w:bCs/>
          <w:color w:val="000000" w:themeColor="text1"/>
          <w:sz w:val="24"/>
          <w:szCs w:val="24"/>
          <w:highlight w:val="none"/>
          <w:lang w:val="zh-CN"/>
          <w14:textFill>
            <w14:solidFill>
              <w14:schemeClr w14:val="tx1"/>
            </w14:solidFill>
          </w14:textFill>
        </w:rPr>
        <w:t>和分包</w:t>
      </w:r>
      <w:bookmarkEnd w:id="175"/>
      <w:bookmarkEnd w:id="176"/>
      <w:bookmarkEnd w:id="177"/>
    </w:p>
    <w:p w14:paraId="66C6A482">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84B6252">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78" w:name="_Toc16508"/>
      <w:bookmarkStart w:id="179" w:name="_Toc14066"/>
      <w:bookmarkStart w:id="180" w:name="_Toc13566"/>
      <w:r>
        <w:rPr>
          <w:rFonts w:hint="eastAsia" w:ascii="宋体" w:hAnsi="宋体" w:eastAsia="宋体" w:cs="宋体"/>
          <w:b/>
          <w:bCs/>
          <w:color w:val="000000" w:themeColor="text1"/>
          <w:sz w:val="24"/>
          <w:szCs w:val="24"/>
          <w:highlight w:val="none"/>
          <w:lang w:val="zh-CN"/>
          <w14:textFill>
            <w14:solidFill>
              <w14:schemeClr w14:val="tx1"/>
            </w14:solidFill>
          </w14:textFill>
        </w:rPr>
        <w:t>2.11 不可抗力</w:t>
      </w:r>
      <w:bookmarkEnd w:id="178"/>
      <w:bookmarkEnd w:id="179"/>
      <w:bookmarkEnd w:id="180"/>
    </w:p>
    <w:p w14:paraId="70414FF2">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p>
    <w:p w14:paraId="2330EAFA">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2.11.2因不可抗力致使不能实现合同目的的，当事人可以解除合同；</w:t>
      </w:r>
    </w:p>
    <w:p w14:paraId="4EB85422">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2.11.3因不可抗力致使合同有变更必要的，双方当事人应在</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约定时间内以书面形式变更合同；</w:t>
      </w:r>
    </w:p>
    <w:p w14:paraId="53B1B743">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2.11.4受不可抗力影响的一方在不可抗力发生后，应在</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约定时间内以书面形式通知对方当事人，并在</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约定时间内，将有关部门出具的证明文件送达对方当事人。</w:t>
      </w:r>
    </w:p>
    <w:p w14:paraId="737F2CAE">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81" w:name="_Toc30676"/>
      <w:bookmarkStart w:id="182" w:name="_Toc487900365"/>
      <w:bookmarkStart w:id="183" w:name="_Toc689"/>
      <w:bookmarkStart w:id="184" w:name="_Toc259093684"/>
      <w:bookmarkStart w:id="185" w:name="_Toc279701255"/>
      <w:bookmarkStart w:id="186" w:name="_Toc6969"/>
      <w:r>
        <w:rPr>
          <w:rFonts w:hint="eastAsia" w:ascii="宋体" w:hAnsi="宋体" w:eastAsia="宋体" w:cs="宋体"/>
          <w:b/>
          <w:bCs/>
          <w:color w:val="000000" w:themeColor="text1"/>
          <w:sz w:val="24"/>
          <w:szCs w:val="24"/>
          <w:highlight w:val="none"/>
          <w:lang w:val="zh-CN"/>
          <w14:textFill>
            <w14:solidFill>
              <w14:schemeClr w14:val="tx1"/>
            </w14:solidFill>
          </w14:textFill>
        </w:rPr>
        <w:t>2.12 税费</w:t>
      </w:r>
      <w:bookmarkEnd w:id="181"/>
      <w:bookmarkEnd w:id="182"/>
      <w:bookmarkEnd w:id="183"/>
      <w:bookmarkEnd w:id="184"/>
      <w:bookmarkEnd w:id="185"/>
      <w:bookmarkEnd w:id="186"/>
    </w:p>
    <w:p w14:paraId="4F59D8E0">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与合同有关的一切税费，均按照中华人民共和国法律的相关规定缴纳。</w:t>
      </w:r>
    </w:p>
    <w:p w14:paraId="428A8296">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87" w:name="_Toc8298"/>
      <w:bookmarkStart w:id="188" w:name="_Toc16959"/>
      <w:bookmarkStart w:id="189" w:name="_Toc279701258"/>
      <w:bookmarkStart w:id="190" w:name="_Toc487900368"/>
      <w:bookmarkStart w:id="191" w:name="_Toc259093687"/>
      <w:bookmarkStart w:id="192" w:name="_Toc7102"/>
      <w:r>
        <w:rPr>
          <w:rFonts w:hint="eastAsia" w:ascii="宋体" w:hAnsi="宋体" w:eastAsia="宋体" w:cs="宋体"/>
          <w:b/>
          <w:bCs/>
          <w:color w:val="000000" w:themeColor="text1"/>
          <w:sz w:val="24"/>
          <w:szCs w:val="24"/>
          <w:highlight w:val="none"/>
          <w:lang w:val="zh-CN"/>
          <w14:textFill>
            <w14:solidFill>
              <w14:schemeClr w14:val="tx1"/>
            </w14:solidFill>
          </w14:textFill>
        </w:rPr>
        <w:t>2.13 乙方破产</w:t>
      </w:r>
      <w:bookmarkEnd w:id="187"/>
      <w:bookmarkEnd w:id="188"/>
      <w:bookmarkEnd w:id="189"/>
      <w:bookmarkEnd w:id="190"/>
      <w:bookmarkEnd w:id="191"/>
      <w:bookmarkEnd w:id="192"/>
    </w:p>
    <w:p w14:paraId="6334925F">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5E62389">
      <w:pPr>
        <w:spacing w:line="440" w:lineRule="exact"/>
        <w:ind w:firstLine="437"/>
        <w:outlineLvl w:val="2"/>
        <w:rPr>
          <w:rFonts w:hint="eastAsia" w:ascii="宋体" w:hAnsi="宋体" w:eastAsia="宋体" w:cs="宋体"/>
          <w:b/>
          <w:color w:val="000000" w:themeColor="text1"/>
          <w:sz w:val="24"/>
          <w:szCs w:val="24"/>
          <w:highlight w:val="none"/>
          <w14:textFill>
            <w14:solidFill>
              <w14:schemeClr w14:val="tx1"/>
            </w14:solidFill>
          </w14:textFill>
        </w:rPr>
      </w:pPr>
      <w:bookmarkStart w:id="193" w:name="_Toc29333"/>
      <w:bookmarkStart w:id="194" w:name="_Toc15387"/>
      <w:bookmarkStart w:id="195" w:name="_Toc6134"/>
      <w:r>
        <w:rPr>
          <w:rFonts w:hint="eastAsia" w:ascii="宋体" w:hAnsi="宋体" w:eastAsia="宋体" w:cs="宋体"/>
          <w:b/>
          <w:bCs/>
          <w:color w:val="000000" w:themeColor="text1"/>
          <w:sz w:val="24"/>
          <w:szCs w:val="24"/>
          <w:highlight w:val="none"/>
          <w:lang w:val="zh-CN"/>
          <w14:textFill>
            <w14:solidFill>
              <w14:schemeClr w14:val="tx1"/>
            </w14:solidFill>
          </w14:textFill>
        </w:rPr>
        <w:t>2.14 合同中止、终止</w:t>
      </w:r>
      <w:bookmarkEnd w:id="193"/>
      <w:bookmarkEnd w:id="194"/>
      <w:bookmarkEnd w:id="195"/>
    </w:p>
    <w:p w14:paraId="2256EB53">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2.14.1双方当事人不得擅自中止或者终止合同；</w:t>
      </w:r>
    </w:p>
    <w:p w14:paraId="39A37BEA">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410FD942">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96" w:name="_Toc1125"/>
      <w:bookmarkStart w:id="197" w:name="_Toc6596"/>
      <w:bookmarkStart w:id="198" w:name="_Toc14563"/>
      <w:r>
        <w:rPr>
          <w:rFonts w:hint="eastAsia" w:ascii="宋体" w:hAnsi="宋体" w:eastAsia="宋体" w:cs="宋体"/>
          <w:b/>
          <w:bCs/>
          <w:color w:val="000000" w:themeColor="text1"/>
          <w:sz w:val="24"/>
          <w:szCs w:val="24"/>
          <w:highlight w:val="none"/>
          <w:lang w:val="zh-CN"/>
          <w14:textFill>
            <w14:solidFill>
              <w14:schemeClr w14:val="tx1"/>
            </w14:solidFill>
          </w14:textFill>
        </w:rPr>
        <w:t>2.15 检验和验收</w:t>
      </w:r>
      <w:bookmarkEnd w:id="196"/>
      <w:bookmarkEnd w:id="197"/>
      <w:bookmarkEnd w:id="198"/>
    </w:p>
    <w:p w14:paraId="55AD595C">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2.15.1乙方按照</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的约定，定期提交服务报告，甲方按照</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的约定进行定期验收；</w:t>
      </w:r>
    </w:p>
    <w:p w14:paraId="0F09C5C5">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E993F85">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2.15.3检验和验收标准、程序等具体内容以及前述验收书的效力详见</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i/>
          <w:color w:val="000000" w:themeColor="text1"/>
          <w:sz w:val="24"/>
          <w:szCs w:val="24"/>
          <w:highlight w:val="none"/>
          <w14:textFill>
            <w14:solidFill>
              <w14:schemeClr w14:val="tx1"/>
            </w14:solidFill>
          </w14:textFill>
        </w:rPr>
        <w:t>。</w:t>
      </w:r>
    </w:p>
    <w:bookmarkEnd w:id="168"/>
    <w:bookmarkEnd w:id="169"/>
    <w:bookmarkEnd w:id="170"/>
    <w:bookmarkEnd w:id="171"/>
    <w:p w14:paraId="04A2C5BD">
      <w:pPr>
        <w:spacing w:line="440" w:lineRule="exact"/>
        <w:ind w:firstLine="437"/>
        <w:outlineLvl w:val="2"/>
        <w:rPr>
          <w:rFonts w:hint="eastAsia" w:ascii="宋体" w:hAnsi="宋体" w:eastAsia="宋体" w:cs="宋体"/>
          <w:b/>
          <w:bCs/>
          <w:color w:val="000000" w:themeColor="text1"/>
          <w:sz w:val="24"/>
          <w:szCs w:val="24"/>
          <w:highlight w:val="none"/>
          <w14:textFill>
            <w14:solidFill>
              <w14:schemeClr w14:val="tx1"/>
            </w14:solidFill>
          </w14:textFill>
        </w:rPr>
      </w:pPr>
      <w:bookmarkStart w:id="199" w:name="_Toc12773"/>
      <w:bookmarkStart w:id="200" w:name="_Toc259093692"/>
      <w:bookmarkStart w:id="201" w:name="_Toc487900373"/>
      <w:bookmarkStart w:id="202" w:name="_Toc10330"/>
      <w:bookmarkStart w:id="203" w:name="_Toc279701263"/>
      <w:bookmarkStart w:id="204" w:name="_Toc18567"/>
      <w:r>
        <w:rPr>
          <w:rFonts w:hint="eastAsia" w:ascii="宋体" w:hAnsi="宋体" w:eastAsia="宋体" w:cs="宋体"/>
          <w:b/>
          <w:bCs/>
          <w:color w:val="000000" w:themeColor="text1"/>
          <w:sz w:val="24"/>
          <w:szCs w:val="24"/>
          <w:highlight w:val="none"/>
          <w14:textFill>
            <w14:solidFill>
              <w14:schemeClr w14:val="tx1"/>
            </w14:solidFill>
          </w14:textFill>
        </w:rPr>
        <w:t xml:space="preserve">2.16 </w:t>
      </w:r>
      <w:r>
        <w:rPr>
          <w:rFonts w:hint="eastAsia" w:ascii="宋体" w:hAnsi="宋体" w:eastAsia="宋体" w:cs="宋体"/>
          <w:b/>
          <w:bCs/>
          <w:color w:val="000000" w:themeColor="text1"/>
          <w:sz w:val="24"/>
          <w:szCs w:val="24"/>
          <w:highlight w:val="none"/>
          <w:lang w:val="zh-CN"/>
          <w14:textFill>
            <w14:solidFill>
              <w14:schemeClr w14:val="tx1"/>
            </w14:solidFill>
          </w14:textFill>
        </w:rPr>
        <w:t>合同使用的文字和适用的法律</w:t>
      </w:r>
      <w:bookmarkEnd w:id="199"/>
      <w:bookmarkEnd w:id="200"/>
      <w:bookmarkEnd w:id="201"/>
      <w:bookmarkEnd w:id="202"/>
      <w:bookmarkEnd w:id="203"/>
      <w:bookmarkEnd w:id="204"/>
    </w:p>
    <w:p w14:paraId="4FD1BC10">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2.16.1合同使用汉语书就、变更和解释；</w:t>
      </w:r>
    </w:p>
    <w:p w14:paraId="1EA34545">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2.16.2合同适用中华人民共和国法律。</w:t>
      </w:r>
    </w:p>
    <w:p w14:paraId="3E2FFE35">
      <w:pPr>
        <w:spacing w:line="440" w:lineRule="exact"/>
        <w:ind w:firstLine="437"/>
        <w:outlineLvl w:val="2"/>
        <w:rPr>
          <w:rFonts w:hint="eastAsia" w:ascii="宋体" w:hAnsi="宋体" w:eastAsia="宋体" w:cs="宋体"/>
          <w:b/>
          <w:color w:val="000000" w:themeColor="text1"/>
          <w:sz w:val="24"/>
          <w:szCs w:val="24"/>
          <w:highlight w:val="none"/>
          <w14:textFill>
            <w14:solidFill>
              <w14:schemeClr w14:val="tx1"/>
            </w14:solidFill>
          </w14:textFill>
        </w:rPr>
      </w:pPr>
      <w:bookmarkStart w:id="205" w:name="_Toc279701264"/>
      <w:bookmarkStart w:id="206" w:name="_Toc3148"/>
      <w:bookmarkStart w:id="207" w:name="_Toc259093693"/>
      <w:bookmarkStart w:id="208" w:name="_Toc16673"/>
      <w:bookmarkStart w:id="209" w:name="_Toc12004"/>
      <w:bookmarkStart w:id="210" w:name="_Toc487900374"/>
      <w:r>
        <w:rPr>
          <w:rFonts w:hint="eastAsia" w:ascii="宋体" w:hAnsi="宋体" w:eastAsia="宋体" w:cs="宋体"/>
          <w:b/>
          <w:bCs/>
          <w:color w:val="000000" w:themeColor="text1"/>
          <w:sz w:val="24"/>
          <w:szCs w:val="24"/>
          <w:highlight w:val="none"/>
          <w:lang w:val="zh-CN"/>
          <w14:textFill>
            <w14:solidFill>
              <w14:schemeClr w14:val="tx1"/>
            </w14:solidFill>
          </w14:textFill>
        </w:rPr>
        <w:t>2.17 履约保证金</w:t>
      </w:r>
      <w:bookmarkEnd w:id="205"/>
      <w:bookmarkEnd w:id="206"/>
      <w:bookmarkEnd w:id="207"/>
      <w:bookmarkEnd w:id="208"/>
      <w:bookmarkEnd w:id="209"/>
    </w:p>
    <w:p w14:paraId="33B4925E">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2.17.1采购文件要求乙方提交履约保证金的，乙方应按</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约定的方式，以支票、汇票、本票或者金融机构、担保机构出具的保函等非现金形式提交；</w:t>
      </w:r>
    </w:p>
    <w:p w14:paraId="2A3FAC73">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2.17.2履约保证金在</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约定期间内不予退还或者应完全有效，前述约定期间届满之日起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个工作日内，甲方应将履约保证金退还乙方，甲方逾期退还履约保证金应承担违约责任。</w:t>
      </w:r>
    </w:p>
    <w:p w14:paraId="0DF08E36">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10"/>
    <w:p w14:paraId="6B2BB622">
      <w:pPr>
        <w:spacing w:line="440" w:lineRule="exact"/>
        <w:ind w:firstLine="437"/>
        <w:outlineLvl w:val="2"/>
        <w:rPr>
          <w:rFonts w:hint="eastAsia" w:ascii="宋体" w:hAnsi="宋体" w:eastAsia="宋体" w:cs="宋体"/>
          <w:b/>
          <w:color w:val="000000" w:themeColor="text1"/>
          <w:sz w:val="24"/>
          <w:szCs w:val="24"/>
          <w:highlight w:val="none"/>
          <w14:textFill>
            <w14:solidFill>
              <w14:schemeClr w14:val="tx1"/>
            </w14:solidFill>
          </w14:textFill>
        </w:rPr>
      </w:pPr>
      <w:bookmarkStart w:id="211" w:name="_Toc6885"/>
      <w:bookmarkStart w:id="212" w:name="_Toc14001"/>
      <w:bookmarkStart w:id="213" w:name="_Toc19890"/>
      <w:r>
        <w:rPr>
          <w:rFonts w:hint="eastAsia" w:ascii="宋体" w:hAnsi="宋体" w:eastAsia="宋体" w:cs="宋体"/>
          <w:b/>
          <w:bCs/>
          <w:color w:val="000000" w:themeColor="text1"/>
          <w:sz w:val="24"/>
          <w:szCs w:val="24"/>
          <w:highlight w:val="none"/>
          <w:lang w:val="zh-CN"/>
          <w14:textFill>
            <w14:solidFill>
              <w14:schemeClr w14:val="tx1"/>
            </w14:solidFill>
          </w14:textFill>
        </w:rPr>
        <w:t>2.18 合同份数</w:t>
      </w:r>
      <w:bookmarkEnd w:id="211"/>
      <w:bookmarkEnd w:id="212"/>
      <w:bookmarkEnd w:id="213"/>
    </w:p>
    <w:p w14:paraId="459633BC">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合同份数按</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规定，每份均具有同等法律效力。</w:t>
      </w:r>
    </w:p>
    <w:p w14:paraId="36FF3F5C">
      <w:pPr>
        <w:spacing w:line="440" w:lineRule="exact"/>
        <w:jc w:val="center"/>
        <w:outlineLvl w:val="1"/>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bookmarkStart w:id="214" w:name="_Toc3736"/>
      <w:bookmarkStart w:id="215" w:name="_Toc3937"/>
      <w:r>
        <w:rPr>
          <w:rFonts w:hint="eastAsia" w:ascii="宋体" w:hAnsi="宋体" w:eastAsia="宋体" w:cs="宋体"/>
          <w:b/>
          <w:color w:val="000000" w:themeColor="text1"/>
          <w:sz w:val="24"/>
          <w:highlight w:val="none"/>
          <w14:textFill>
            <w14:solidFill>
              <w14:schemeClr w14:val="tx1"/>
            </w14:solidFill>
          </w14:textFill>
        </w:rPr>
        <w:t>第三部分 合同专用条款</w:t>
      </w:r>
      <w:bookmarkEnd w:id="214"/>
      <w:bookmarkEnd w:id="215"/>
    </w:p>
    <w:p w14:paraId="2233DC1C">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8"/>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1BF8D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14:paraId="75F62872">
            <w:pPr>
              <w:spacing w:line="44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条款号</w:t>
            </w:r>
          </w:p>
        </w:tc>
        <w:tc>
          <w:tcPr>
            <w:tcW w:w="7568" w:type="dxa"/>
            <w:vAlign w:val="center"/>
          </w:tcPr>
          <w:p w14:paraId="7D13D797">
            <w:pPr>
              <w:spacing w:line="44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约定内容</w:t>
            </w:r>
          </w:p>
        </w:tc>
      </w:tr>
      <w:tr w14:paraId="2166F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09FF72F3">
            <w:pP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w:t>
            </w:r>
          </w:p>
        </w:tc>
        <w:tc>
          <w:tcPr>
            <w:tcW w:w="7568" w:type="dxa"/>
            <w:vAlign w:val="center"/>
          </w:tcPr>
          <w:p w14:paraId="6F97F171">
            <w:pPr>
              <w:spacing w:line="5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结算方式：固定总价</w:t>
            </w:r>
          </w:p>
          <w:p w14:paraId="54E04B92">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sz w:val="24"/>
                <w:szCs w:val="24"/>
                <w:highlight w:val="none"/>
                <w:lang w:val="en-US" w:eastAsia="zh-CN"/>
              </w:rPr>
              <w:t xml:space="preserve">付款方式：   </w:t>
            </w:r>
          </w:p>
        </w:tc>
      </w:tr>
      <w:tr w14:paraId="14716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2BC931A6">
            <w:pP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2.11.3</w:t>
            </w:r>
          </w:p>
        </w:tc>
        <w:tc>
          <w:tcPr>
            <w:tcW w:w="7568" w:type="dxa"/>
            <w:vAlign w:val="center"/>
          </w:tcPr>
          <w:p w14:paraId="6703C848">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因不可抗力致使合同有变更必要的，双方当事人应在不可抗力发生的3个工作日内以书面形式变更合同</w:t>
            </w:r>
          </w:p>
        </w:tc>
      </w:tr>
      <w:tr w14:paraId="62241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0CD3CFF7">
            <w:pP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2.11.4</w:t>
            </w:r>
          </w:p>
        </w:tc>
        <w:tc>
          <w:tcPr>
            <w:tcW w:w="7568" w:type="dxa"/>
            <w:vAlign w:val="center"/>
          </w:tcPr>
          <w:p w14:paraId="3066CC78">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受不可抗力影响的一方在不可抗力发生后，应在不可抗力发生的1个工作日内以书面形式通知对方当事人，并在1个工作日内，将有关部门出具的证明文件送达对方当事人</w:t>
            </w:r>
          </w:p>
        </w:tc>
      </w:tr>
      <w:tr w14:paraId="13B3A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5A529343">
            <w:pP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2.15</w:t>
            </w:r>
          </w:p>
        </w:tc>
        <w:tc>
          <w:tcPr>
            <w:tcW w:w="7568" w:type="dxa"/>
            <w:vAlign w:val="center"/>
          </w:tcPr>
          <w:p w14:paraId="46A2486F">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2.15.1乙方按照月定期提交服务报告，甲方按照在收到报告后，结合当月考核情况定期验收予以支付服务费用；</w:t>
            </w:r>
          </w:p>
          <w:p w14:paraId="44CF67E9">
            <w:pPr>
              <w:spacing w:line="440" w:lineRule="exact"/>
              <w:rPr>
                <w:rFonts w:hint="eastAsia" w:ascii="宋体" w:hAnsi="宋体" w:eastAsia="宋体" w:cs="宋体"/>
                <w:highlight w:val="none"/>
              </w:rPr>
            </w:pPr>
            <w:r>
              <w:rPr>
                <w:rFonts w:hint="eastAsia" w:ascii="宋体" w:hAnsi="宋体" w:eastAsia="宋体" w:cs="宋体"/>
                <w:color w:val="000000" w:themeColor="text1"/>
                <w:sz w:val="24"/>
                <w:szCs w:val="24"/>
                <w:highlight w:val="none"/>
                <w14:textFill>
                  <w14:solidFill>
                    <w14:schemeClr w14:val="tx1"/>
                  </w14:solidFill>
                </w14:textFill>
              </w:rPr>
              <w:t>2.15.3检验和验收标准、程序等具体内容以及前述验收书的效力：验收书的内容以检验和验收标准、程序结合项目具体内容出具，以验收书作为结算依据。</w:t>
            </w:r>
          </w:p>
        </w:tc>
      </w:tr>
      <w:tr w14:paraId="41C7D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143CB826">
            <w:pPr>
              <w:spacing w:line="560" w:lineRule="exact"/>
              <w:jc w:val="center"/>
              <w:rPr>
                <w:rFonts w:hint="eastAsia" w:ascii="宋体" w:hAnsi="宋体" w:eastAsia="宋体" w:cs="宋体"/>
                <w:sz w:val="24"/>
                <w:highlight w:val="none"/>
              </w:rPr>
            </w:pPr>
            <w:r>
              <w:rPr>
                <w:rFonts w:hint="eastAsia" w:ascii="宋体" w:hAnsi="宋体" w:eastAsia="宋体" w:cs="宋体"/>
                <w:sz w:val="24"/>
                <w:highlight w:val="none"/>
              </w:rPr>
              <w:t>2.17</w:t>
            </w:r>
          </w:p>
        </w:tc>
        <w:tc>
          <w:tcPr>
            <w:tcW w:w="7568" w:type="dxa"/>
            <w:vAlign w:val="center"/>
          </w:tcPr>
          <w:p w14:paraId="593ACCCD">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本项目免收</w:t>
            </w:r>
            <w:r>
              <w:rPr>
                <w:rFonts w:hint="eastAsia" w:ascii="宋体" w:hAnsi="宋体" w:eastAsia="宋体" w:cs="宋体"/>
                <w:color w:val="000000" w:themeColor="text1"/>
                <w:sz w:val="24"/>
                <w:szCs w:val="24"/>
                <w:highlight w:val="none"/>
                <w:lang w:val="zh-CN"/>
                <w14:textFill>
                  <w14:solidFill>
                    <w14:schemeClr w14:val="tx1"/>
                  </w14:solidFill>
                </w14:textFill>
              </w:rPr>
              <w:t>履约保证金</w:t>
            </w:r>
          </w:p>
        </w:tc>
      </w:tr>
      <w:tr w14:paraId="62209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2AC22857">
            <w:pP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2.18</w:t>
            </w:r>
          </w:p>
        </w:tc>
        <w:tc>
          <w:tcPr>
            <w:tcW w:w="7568" w:type="dxa"/>
            <w:vAlign w:val="center"/>
          </w:tcPr>
          <w:p w14:paraId="394B4F81">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highlight w:val="none"/>
              </w:rPr>
              <w:t>合同一式陆份，甲乙双方各执叁份。</w:t>
            </w:r>
          </w:p>
        </w:tc>
      </w:tr>
      <w:tr w14:paraId="44AF6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1C7B4B1B">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7568" w:type="dxa"/>
            <w:vAlign w:val="center"/>
          </w:tcPr>
          <w:p w14:paraId="03076B58">
            <w:pPr>
              <w:spacing w:line="440" w:lineRule="exac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（签订合同时可补充）</w:t>
            </w:r>
          </w:p>
        </w:tc>
      </w:tr>
      <w:tr w14:paraId="3A8A6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200F1B9D">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7568" w:type="dxa"/>
            <w:vAlign w:val="center"/>
          </w:tcPr>
          <w:p w14:paraId="47F18AAA">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4FAFF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6BE15EE9">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7568" w:type="dxa"/>
            <w:vAlign w:val="center"/>
          </w:tcPr>
          <w:p w14:paraId="67027919">
            <w:pPr>
              <w:spacing w:line="440" w:lineRule="exact"/>
              <w:rPr>
                <w:rFonts w:hint="eastAsia" w:ascii="宋体" w:hAnsi="宋体" w:eastAsia="宋体" w:cs="宋体"/>
                <w:color w:val="000000" w:themeColor="text1"/>
                <w:sz w:val="24"/>
                <w:szCs w:val="24"/>
                <w:highlight w:val="none"/>
                <w:u w:val="single"/>
                <w14:textFill>
                  <w14:solidFill>
                    <w14:schemeClr w14:val="tx1"/>
                  </w14:solidFill>
                </w14:textFill>
              </w:rPr>
            </w:pPr>
          </w:p>
        </w:tc>
      </w:tr>
      <w:tr w14:paraId="2A22C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34794ED7">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7568" w:type="dxa"/>
            <w:vAlign w:val="center"/>
          </w:tcPr>
          <w:p w14:paraId="4035FC37">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2B318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1DDE4C91">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7568" w:type="dxa"/>
            <w:vAlign w:val="center"/>
          </w:tcPr>
          <w:p w14:paraId="0982E89B">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5041B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17FFA96D">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7568" w:type="dxa"/>
            <w:vAlign w:val="center"/>
          </w:tcPr>
          <w:p w14:paraId="5B83B188">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38201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3C6A2156">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7568" w:type="dxa"/>
            <w:tcBorders>
              <w:top w:val="single" w:color="auto" w:sz="6" w:space="0"/>
              <w:left w:val="single" w:color="auto" w:sz="6" w:space="0"/>
              <w:bottom w:val="single" w:color="auto" w:sz="6" w:space="0"/>
              <w:right w:val="single" w:color="auto" w:sz="6" w:space="0"/>
            </w:tcBorders>
            <w:vAlign w:val="center"/>
          </w:tcPr>
          <w:p w14:paraId="52B7406D">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143AA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44E35684">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7568" w:type="dxa"/>
            <w:tcBorders>
              <w:top w:val="single" w:color="auto" w:sz="6" w:space="0"/>
              <w:left w:val="single" w:color="auto" w:sz="6" w:space="0"/>
              <w:bottom w:val="single" w:color="auto" w:sz="6" w:space="0"/>
              <w:right w:val="single" w:color="auto" w:sz="6" w:space="0"/>
            </w:tcBorders>
            <w:vAlign w:val="center"/>
          </w:tcPr>
          <w:p w14:paraId="6AA38FA1">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5E4C9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392785C6">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7568" w:type="dxa"/>
            <w:tcBorders>
              <w:top w:val="single" w:color="auto" w:sz="6" w:space="0"/>
              <w:left w:val="single" w:color="auto" w:sz="6" w:space="0"/>
              <w:bottom w:val="single" w:color="auto" w:sz="6" w:space="0"/>
              <w:right w:val="single" w:color="auto" w:sz="6" w:space="0"/>
            </w:tcBorders>
            <w:vAlign w:val="center"/>
          </w:tcPr>
          <w:p w14:paraId="01559917">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0D6A2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29B614F2">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7568" w:type="dxa"/>
            <w:tcBorders>
              <w:top w:val="single" w:color="auto" w:sz="6" w:space="0"/>
              <w:left w:val="single" w:color="auto" w:sz="6" w:space="0"/>
              <w:bottom w:val="single" w:color="auto" w:sz="6" w:space="0"/>
              <w:right w:val="single" w:color="auto" w:sz="6" w:space="0"/>
            </w:tcBorders>
            <w:vAlign w:val="center"/>
          </w:tcPr>
          <w:p w14:paraId="1E2A5F85">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2955B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06D3FF31">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7568" w:type="dxa"/>
            <w:tcBorders>
              <w:top w:val="single" w:color="auto" w:sz="6" w:space="0"/>
              <w:left w:val="single" w:color="auto" w:sz="6" w:space="0"/>
              <w:bottom w:val="single" w:color="auto" w:sz="6" w:space="0"/>
              <w:right w:val="single" w:color="auto" w:sz="6" w:space="0"/>
            </w:tcBorders>
            <w:vAlign w:val="center"/>
          </w:tcPr>
          <w:p w14:paraId="43A9C0B6">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r>
      <w:bookmarkEnd w:id="67"/>
    </w:tbl>
    <w:p w14:paraId="40ACD135">
      <w:pPr>
        <w:numPr>
          <w:ilvl w:val="0"/>
          <w:numId w:val="4"/>
        </w:numPr>
        <w:spacing w:line="360" w:lineRule="auto"/>
        <w:jc w:val="center"/>
        <w:outlineLvl w:val="0"/>
        <w:rPr>
          <w:rFonts w:hint="eastAsia" w:ascii="宋体" w:hAnsi="宋体" w:eastAsia="宋体" w:cs="宋体"/>
          <w:b/>
          <w:sz w:val="28"/>
          <w:highlight w:val="none"/>
        </w:rPr>
      </w:pPr>
      <w:r>
        <w:rPr>
          <w:rFonts w:hint="eastAsia" w:ascii="宋体" w:hAnsi="宋体" w:eastAsia="宋体" w:cs="宋体"/>
          <w:b/>
          <w:sz w:val="28"/>
          <w:highlight w:val="none"/>
        </w:rPr>
        <w:t xml:space="preserve"> </w:t>
      </w:r>
      <w:bookmarkStart w:id="216" w:name="_Toc21522"/>
      <w:r>
        <w:rPr>
          <w:rFonts w:hint="eastAsia" w:ascii="宋体" w:hAnsi="宋体" w:eastAsia="宋体" w:cs="宋体"/>
          <w:b/>
          <w:sz w:val="28"/>
          <w:highlight w:val="none"/>
        </w:rPr>
        <w:t>投标文件格式</w:t>
      </w:r>
      <w:bookmarkEnd w:id="216"/>
    </w:p>
    <w:p w14:paraId="273ABCCB">
      <w:pPr>
        <w:rPr>
          <w:rFonts w:hint="eastAsia" w:ascii="宋体" w:hAnsi="宋体" w:eastAsia="宋体" w:cs="宋体"/>
          <w:b/>
          <w:color w:val="auto"/>
          <w:sz w:val="28"/>
          <w:szCs w:val="28"/>
          <w:highlight w:val="none"/>
          <w:bdr w:val="single" w:color="000000" w:sz="4" w:space="0"/>
        </w:rPr>
      </w:pPr>
      <w:bookmarkStart w:id="217" w:name="_Toc17986"/>
      <w:bookmarkStart w:id="218" w:name="_Toc28960"/>
      <w:bookmarkStart w:id="219" w:name="_Toc6435"/>
      <w:bookmarkStart w:id="220" w:name="_Toc16620"/>
      <w:r>
        <w:rPr>
          <w:rFonts w:hint="eastAsia" w:ascii="宋体" w:hAnsi="宋体" w:eastAsia="宋体" w:cs="宋体"/>
          <w:b/>
          <w:color w:val="auto"/>
          <w:sz w:val="28"/>
          <w:szCs w:val="28"/>
          <w:highlight w:val="none"/>
        </w:rPr>
        <w:t>一、资信证明格式文件</w:t>
      </w:r>
    </w:p>
    <w:p w14:paraId="05984444">
      <w:pPr>
        <w:jc w:val="center"/>
        <w:rPr>
          <w:rFonts w:hint="eastAsia" w:ascii="宋体" w:hAnsi="宋体" w:eastAsia="宋体" w:cs="宋体"/>
          <w:color w:val="auto"/>
          <w:sz w:val="20"/>
          <w:highlight w:val="none"/>
        </w:rPr>
      </w:pPr>
    </w:p>
    <w:p w14:paraId="08B882E9">
      <w:pPr>
        <w:rPr>
          <w:rFonts w:hint="eastAsia" w:ascii="宋体" w:hAnsi="宋体" w:eastAsia="宋体" w:cs="宋体"/>
          <w:color w:val="auto"/>
          <w:sz w:val="20"/>
          <w:highlight w:val="none"/>
        </w:rPr>
      </w:pPr>
    </w:p>
    <w:p w14:paraId="745C51FE">
      <w:pPr>
        <w:jc w:val="center"/>
        <w:rPr>
          <w:rFonts w:hint="eastAsia" w:ascii="宋体" w:hAnsi="宋体" w:eastAsia="宋体" w:cs="宋体"/>
          <w:b/>
          <w:color w:val="auto"/>
          <w:sz w:val="44"/>
          <w:szCs w:val="44"/>
          <w:highlight w:val="none"/>
        </w:rPr>
      </w:pPr>
      <w:bookmarkStart w:id="221" w:name="_Toc449028949"/>
      <w:bookmarkStart w:id="222" w:name="_Toc350698753"/>
      <w:r>
        <w:rPr>
          <w:rFonts w:hint="eastAsia" w:ascii="宋体" w:hAnsi="宋体" w:eastAsia="宋体" w:cs="宋体"/>
          <w:b/>
          <w:color w:val="auto"/>
          <w:sz w:val="44"/>
          <w:szCs w:val="44"/>
          <w:highlight w:val="none"/>
        </w:rPr>
        <w:t>资信证明文件</w:t>
      </w:r>
      <w:bookmarkEnd w:id="221"/>
      <w:bookmarkEnd w:id="222"/>
    </w:p>
    <w:p w14:paraId="4854A119">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（投标文件一）</w:t>
      </w:r>
    </w:p>
    <w:p w14:paraId="29E97DD5">
      <w:pPr>
        <w:jc w:val="center"/>
        <w:rPr>
          <w:rFonts w:hint="eastAsia" w:ascii="宋体" w:hAnsi="宋体" w:eastAsia="宋体" w:cs="宋体"/>
          <w:color w:val="auto"/>
          <w:sz w:val="44"/>
          <w:szCs w:val="44"/>
          <w:highlight w:val="none"/>
        </w:rPr>
      </w:pPr>
    </w:p>
    <w:p w14:paraId="65E0CB45">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项目</w:t>
      </w:r>
    </w:p>
    <w:p w14:paraId="45DB44FA">
      <w:pPr>
        <w:jc w:val="center"/>
        <w:rPr>
          <w:rFonts w:hint="eastAsia" w:ascii="宋体" w:hAnsi="宋体" w:eastAsia="宋体" w:cs="宋体"/>
          <w:color w:val="auto"/>
          <w:sz w:val="44"/>
          <w:szCs w:val="44"/>
          <w:highlight w:val="none"/>
        </w:rPr>
      </w:pP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u w:val="single"/>
        </w:rPr>
        <w:t xml:space="preserve">     </w:t>
      </w:r>
    </w:p>
    <w:p w14:paraId="00875C77">
      <w:pPr>
        <w:rPr>
          <w:rFonts w:hint="eastAsia" w:ascii="宋体" w:hAnsi="宋体" w:eastAsia="宋体" w:cs="宋体"/>
          <w:color w:val="auto"/>
          <w:sz w:val="28"/>
          <w:szCs w:val="28"/>
          <w:highlight w:val="none"/>
        </w:rPr>
      </w:pPr>
    </w:p>
    <w:p w14:paraId="44F75A14">
      <w:pPr>
        <w:rPr>
          <w:rFonts w:hint="eastAsia" w:ascii="宋体" w:hAnsi="宋体" w:eastAsia="宋体" w:cs="宋体"/>
          <w:color w:val="auto"/>
          <w:sz w:val="28"/>
          <w:szCs w:val="28"/>
          <w:highlight w:val="none"/>
        </w:rPr>
      </w:pPr>
    </w:p>
    <w:p w14:paraId="2ED6D8B0">
      <w:pPr>
        <w:rPr>
          <w:rFonts w:hint="eastAsia" w:ascii="宋体" w:hAnsi="宋体" w:eastAsia="宋体" w:cs="宋体"/>
          <w:color w:val="auto"/>
          <w:sz w:val="28"/>
          <w:szCs w:val="28"/>
          <w:highlight w:val="none"/>
        </w:rPr>
      </w:pPr>
    </w:p>
    <w:p w14:paraId="607705BC">
      <w:pPr>
        <w:rPr>
          <w:rFonts w:hint="eastAsia" w:ascii="宋体" w:hAnsi="宋体" w:eastAsia="宋体" w:cs="宋体"/>
          <w:color w:val="auto"/>
          <w:sz w:val="28"/>
          <w:szCs w:val="28"/>
          <w:highlight w:val="none"/>
        </w:rPr>
      </w:pPr>
    </w:p>
    <w:p w14:paraId="7FEAC5B9">
      <w:pPr>
        <w:rPr>
          <w:rFonts w:hint="eastAsia" w:ascii="宋体" w:hAnsi="宋体" w:eastAsia="宋体" w:cs="宋体"/>
          <w:color w:val="auto"/>
          <w:sz w:val="28"/>
          <w:szCs w:val="28"/>
          <w:highlight w:val="none"/>
        </w:rPr>
      </w:pPr>
    </w:p>
    <w:p w14:paraId="1A6AF196">
      <w:pPr>
        <w:rPr>
          <w:rFonts w:hint="eastAsia" w:ascii="宋体" w:hAnsi="宋体" w:eastAsia="宋体" w:cs="宋体"/>
          <w:color w:val="auto"/>
          <w:sz w:val="28"/>
          <w:szCs w:val="28"/>
          <w:highlight w:val="none"/>
        </w:rPr>
      </w:pPr>
    </w:p>
    <w:p w14:paraId="739974B5">
      <w:pPr>
        <w:rPr>
          <w:rFonts w:hint="eastAsia" w:ascii="宋体" w:hAnsi="宋体" w:eastAsia="宋体" w:cs="宋体"/>
          <w:color w:val="auto"/>
          <w:sz w:val="28"/>
          <w:szCs w:val="28"/>
          <w:highlight w:val="none"/>
        </w:rPr>
      </w:pPr>
    </w:p>
    <w:p w14:paraId="700CD266">
      <w:pPr>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（签章）</w:t>
      </w:r>
    </w:p>
    <w:p w14:paraId="57E8A9AA">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（签章）</w:t>
      </w:r>
    </w:p>
    <w:p w14:paraId="04807573">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7363C2E5">
      <w:pPr>
        <w:spacing w:line="720" w:lineRule="auto"/>
        <w:jc w:val="center"/>
        <w:rPr>
          <w:rFonts w:hint="eastAsia" w:ascii="宋体" w:hAnsi="宋体" w:eastAsia="宋体" w:cs="宋体"/>
          <w:b/>
          <w:color w:val="auto"/>
          <w:sz w:val="36"/>
          <w:szCs w:val="36"/>
          <w:highlight w:val="none"/>
        </w:rPr>
      </w:pPr>
    </w:p>
    <w:p w14:paraId="2C6E8C13">
      <w:pPr>
        <w:spacing w:line="400" w:lineRule="exact"/>
        <w:ind w:firstLine="4130" w:firstLineChars="935"/>
        <w:rPr>
          <w:rFonts w:hint="eastAsia" w:ascii="宋体" w:hAnsi="宋体" w:eastAsia="宋体" w:cs="宋体"/>
          <w:b/>
          <w:color w:val="auto"/>
          <w:sz w:val="44"/>
          <w:szCs w:val="44"/>
          <w:highlight w:val="none"/>
        </w:rPr>
      </w:pPr>
    </w:p>
    <w:p w14:paraId="48DF5BBC">
      <w:pPr>
        <w:spacing w:line="400" w:lineRule="exact"/>
        <w:ind w:firstLine="4130" w:firstLineChars="935"/>
        <w:rPr>
          <w:rFonts w:hint="eastAsia" w:ascii="宋体" w:hAnsi="宋体" w:eastAsia="宋体" w:cs="宋体"/>
          <w:b/>
          <w:color w:val="auto"/>
          <w:sz w:val="44"/>
          <w:szCs w:val="44"/>
          <w:highlight w:val="none"/>
        </w:rPr>
      </w:pPr>
    </w:p>
    <w:p w14:paraId="66E60EFF">
      <w:pPr>
        <w:pageBreakBefore/>
        <w:jc w:val="center"/>
        <w:rPr>
          <w:rFonts w:hint="eastAsia" w:ascii="宋体" w:hAnsi="宋体" w:eastAsia="宋体" w:cs="宋体"/>
          <w:b/>
          <w:color w:val="auto"/>
          <w:sz w:val="44"/>
          <w:szCs w:val="44"/>
          <w:highlight w:val="none"/>
        </w:rPr>
      </w:pPr>
      <w:r>
        <w:rPr>
          <w:rFonts w:hint="eastAsia" w:ascii="宋体" w:hAnsi="宋体" w:eastAsia="宋体" w:cs="宋体"/>
          <w:b/>
          <w:color w:val="auto"/>
          <w:sz w:val="36"/>
          <w:szCs w:val="36"/>
          <w:highlight w:val="none"/>
        </w:rPr>
        <w:t>目   录</w:t>
      </w:r>
    </w:p>
    <w:p w14:paraId="15F722C4">
      <w:pPr>
        <w:spacing w:line="440" w:lineRule="exact"/>
        <w:rPr>
          <w:rFonts w:hint="eastAsia" w:ascii="宋体" w:hAnsi="宋体" w:eastAsia="宋体" w:cs="宋体"/>
          <w:color w:val="auto"/>
          <w:sz w:val="24"/>
          <w:szCs w:val="24"/>
          <w:highlight w:val="none"/>
        </w:rPr>
      </w:pPr>
    </w:p>
    <w:p w14:paraId="479F76B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（1）投标人资格声明书（格式见附件）；</w:t>
      </w:r>
    </w:p>
    <w:p w14:paraId="226A812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（2）授权书（格式见附件）；   </w:t>
      </w:r>
    </w:p>
    <w:p w14:paraId="376F0F25">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（3）诚信投标承诺书（格式见附件）；</w:t>
      </w:r>
    </w:p>
    <w:p w14:paraId="1538B42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）招标文件中要求的资格审查和资信评分的支持资料；</w:t>
      </w:r>
    </w:p>
    <w:p w14:paraId="2C393843">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）投标人认为需要提供的其他资信证明材料；</w:t>
      </w:r>
    </w:p>
    <w:p w14:paraId="52FE1567">
      <w:pPr>
        <w:pageBreakBefore/>
        <w:spacing w:line="440" w:lineRule="exact"/>
        <w:jc w:val="center"/>
        <w:outlineLvl w:val="1"/>
        <w:rPr>
          <w:rFonts w:hint="eastAsia" w:ascii="宋体" w:hAnsi="宋体" w:eastAsia="宋体" w:cs="宋体"/>
          <w:b/>
          <w:color w:val="auto"/>
          <w:sz w:val="24"/>
          <w:highlight w:val="none"/>
        </w:rPr>
      </w:pPr>
      <w:bookmarkStart w:id="223" w:name="_Toc18881"/>
      <w:r>
        <w:rPr>
          <w:rFonts w:hint="eastAsia" w:ascii="宋体" w:hAnsi="宋体" w:eastAsia="宋体" w:cs="宋体"/>
          <w:b/>
          <w:color w:val="auto"/>
          <w:sz w:val="24"/>
          <w:highlight w:val="none"/>
        </w:rPr>
        <w:t>（1）投标人资格声明书</w:t>
      </w:r>
      <w:bookmarkEnd w:id="223"/>
      <w:r>
        <w:rPr>
          <w:rFonts w:hint="eastAsia" w:ascii="宋体" w:hAnsi="宋体" w:eastAsia="宋体" w:cs="宋体"/>
          <w:b/>
          <w:color w:val="auto"/>
          <w:sz w:val="24"/>
          <w:highlight w:val="none"/>
        </w:rPr>
        <w:t xml:space="preserve"> </w:t>
      </w:r>
    </w:p>
    <w:p w14:paraId="59EC2739">
      <w:pPr>
        <w:pStyle w:val="18"/>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w:t>
      </w:r>
    </w:p>
    <w:p w14:paraId="00D95173">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在参与本次项目投标中，我单位承诺：</w:t>
      </w:r>
    </w:p>
    <w:p w14:paraId="7AE44DAE">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（一）具有良好的商业信誉和健全的财务会计制度；</w:t>
      </w:r>
    </w:p>
    <w:p w14:paraId="7670A045">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（二）具有履行合同所必需的设备和专业技术能力；</w:t>
      </w:r>
    </w:p>
    <w:p w14:paraId="6ADE2440">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（三）有依法缴纳税收和社会保障资金的良好记录；</w:t>
      </w:r>
    </w:p>
    <w:p w14:paraId="279476CF">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1819283">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（五）我单位不属于政府采购法律、行政法规规定的公益一类事业单位、或使用事业编制且由财政拨款保障的群团组织（仅适用于政府购买服务项目）； </w:t>
      </w:r>
    </w:p>
    <w:p w14:paraId="34DBDED0">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（六）我单位不存在为采购项目提供整体设计、规范编制或者项目管理、监理、检测等服务后，再参加该采购项目的其他采购活动的情形（单一来源采购项目除外）；</w:t>
      </w:r>
    </w:p>
    <w:p w14:paraId="7A7960CC">
      <w:pPr>
        <w:widowControl/>
        <w:spacing w:line="440" w:lineRule="exact"/>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（七）与我单位存在单位负责人为同一人或者存在直接控股、管理关系的其他法人单位信息如下（如有，不论其是否参加同一合同项下的政府采购活动均须填写）：</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4B371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6DDFDFA">
            <w:pPr>
              <w:widowControl/>
              <w:spacing w:before="156" w:beforeLines="50" w:after="10" w:line="440" w:lineRule="exact"/>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序号</w:t>
            </w:r>
          </w:p>
        </w:tc>
        <w:tc>
          <w:tcPr>
            <w:tcW w:w="2841" w:type="dxa"/>
          </w:tcPr>
          <w:p w14:paraId="3D6B6DA3">
            <w:pPr>
              <w:pStyle w:val="13"/>
              <w:spacing w:before="156" w:beforeLines="50" w:after="10" w:line="440" w:lineRule="exact"/>
              <w:jc w:val="center"/>
              <w:rPr>
                <w:rFonts w:hint="eastAsia" w:ascii="宋体" w:hAnsi="宋体" w:eastAsia="宋体" w:cs="宋体"/>
                <w:color w:val="auto"/>
                <w:kern w:val="0"/>
                <w:sz w:val="24"/>
                <w:highlight w:val="none"/>
                <w:lang w:val="en-US" w:bidi="ar"/>
              </w:rPr>
            </w:pPr>
            <w:r>
              <w:rPr>
                <w:rFonts w:hint="eastAsia" w:ascii="宋体" w:hAnsi="宋体" w:eastAsia="宋体" w:cs="宋体"/>
                <w:color w:val="auto"/>
                <w:kern w:val="0"/>
                <w:sz w:val="24"/>
                <w:highlight w:val="none"/>
                <w:lang w:val="en-US" w:bidi="ar"/>
              </w:rPr>
              <w:t>单位名称</w:t>
            </w:r>
          </w:p>
        </w:tc>
        <w:tc>
          <w:tcPr>
            <w:tcW w:w="2841" w:type="dxa"/>
          </w:tcPr>
          <w:p w14:paraId="36454E0C">
            <w:pPr>
              <w:pStyle w:val="13"/>
              <w:spacing w:before="156" w:beforeLines="50" w:after="10" w:line="440" w:lineRule="exact"/>
              <w:jc w:val="center"/>
              <w:rPr>
                <w:rFonts w:hint="eastAsia" w:ascii="宋体" w:hAnsi="宋体" w:eastAsia="宋体" w:cs="宋体"/>
                <w:color w:val="auto"/>
                <w:kern w:val="0"/>
                <w:sz w:val="24"/>
                <w:highlight w:val="none"/>
                <w:lang w:val="en-US" w:bidi="ar"/>
              </w:rPr>
            </w:pPr>
            <w:r>
              <w:rPr>
                <w:rFonts w:hint="eastAsia" w:ascii="宋体" w:hAnsi="宋体" w:eastAsia="宋体" w:cs="宋体"/>
                <w:color w:val="auto"/>
                <w:kern w:val="0"/>
                <w:sz w:val="24"/>
                <w:highlight w:val="none"/>
                <w:lang w:val="en-US" w:bidi="ar"/>
              </w:rPr>
              <w:t>相互关系</w:t>
            </w:r>
          </w:p>
        </w:tc>
      </w:tr>
      <w:tr w14:paraId="5208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EABB993">
            <w:pPr>
              <w:pStyle w:val="13"/>
              <w:spacing w:before="156" w:beforeLines="50" w:after="10" w:line="440" w:lineRule="exact"/>
              <w:jc w:val="center"/>
              <w:rPr>
                <w:rFonts w:hint="eastAsia" w:ascii="宋体" w:hAnsi="宋体" w:eastAsia="宋体" w:cs="宋体"/>
                <w:color w:val="auto"/>
                <w:kern w:val="0"/>
                <w:sz w:val="24"/>
                <w:highlight w:val="none"/>
                <w:lang w:val="en-US" w:bidi="ar"/>
              </w:rPr>
            </w:pPr>
            <w:r>
              <w:rPr>
                <w:rFonts w:hint="eastAsia" w:ascii="宋体" w:hAnsi="宋体" w:eastAsia="宋体" w:cs="宋体"/>
                <w:color w:val="auto"/>
                <w:kern w:val="0"/>
                <w:sz w:val="24"/>
                <w:highlight w:val="none"/>
                <w:lang w:val="en-US" w:bidi="ar"/>
              </w:rPr>
              <w:t>1</w:t>
            </w:r>
          </w:p>
        </w:tc>
        <w:tc>
          <w:tcPr>
            <w:tcW w:w="2841" w:type="dxa"/>
          </w:tcPr>
          <w:p w14:paraId="5928FA34">
            <w:pPr>
              <w:pStyle w:val="13"/>
              <w:spacing w:before="156" w:beforeLines="50" w:after="10" w:line="440" w:lineRule="exact"/>
              <w:jc w:val="center"/>
              <w:rPr>
                <w:rFonts w:hint="eastAsia" w:ascii="宋体" w:hAnsi="宋体" w:eastAsia="宋体" w:cs="宋体"/>
                <w:color w:val="auto"/>
                <w:kern w:val="0"/>
                <w:sz w:val="24"/>
                <w:highlight w:val="none"/>
                <w:lang w:val="en-US" w:bidi="ar"/>
              </w:rPr>
            </w:pPr>
          </w:p>
        </w:tc>
        <w:tc>
          <w:tcPr>
            <w:tcW w:w="2841" w:type="dxa"/>
          </w:tcPr>
          <w:p w14:paraId="73D55BDD">
            <w:pPr>
              <w:pStyle w:val="13"/>
              <w:spacing w:before="156" w:beforeLines="50" w:after="10" w:line="440" w:lineRule="exact"/>
              <w:jc w:val="center"/>
              <w:rPr>
                <w:rFonts w:hint="eastAsia" w:ascii="宋体" w:hAnsi="宋体" w:eastAsia="宋体" w:cs="宋体"/>
                <w:color w:val="auto"/>
                <w:kern w:val="0"/>
                <w:sz w:val="24"/>
                <w:highlight w:val="none"/>
                <w:lang w:val="en-US" w:bidi="ar"/>
              </w:rPr>
            </w:pPr>
          </w:p>
        </w:tc>
      </w:tr>
      <w:tr w14:paraId="1EF1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D6E9B42">
            <w:pPr>
              <w:pStyle w:val="13"/>
              <w:spacing w:before="156" w:beforeLines="50" w:after="10" w:line="440" w:lineRule="exact"/>
              <w:jc w:val="center"/>
              <w:rPr>
                <w:rFonts w:hint="eastAsia" w:ascii="宋体" w:hAnsi="宋体" w:eastAsia="宋体" w:cs="宋体"/>
                <w:color w:val="auto"/>
                <w:kern w:val="0"/>
                <w:sz w:val="24"/>
                <w:highlight w:val="none"/>
                <w:lang w:val="en-US" w:bidi="ar"/>
              </w:rPr>
            </w:pPr>
            <w:r>
              <w:rPr>
                <w:rFonts w:hint="eastAsia" w:ascii="宋体" w:hAnsi="宋体" w:eastAsia="宋体" w:cs="宋体"/>
                <w:color w:val="auto"/>
                <w:kern w:val="0"/>
                <w:sz w:val="24"/>
                <w:highlight w:val="none"/>
                <w:lang w:val="en-US" w:bidi="ar"/>
              </w:rPr>
              <w:t>2</w:t>
            </w:r>
          </w:p>
        </w:tc>
        <w:tc>
          <w:tcPr>
            <w:tcW w:w="2841" w:type="dxa"/>
          </w:tcPr>
          <w:p w14:paraId="3C8A81B7">
            <w:pPr>
              <w:pStyle w:val="13"/>
              <w:spacing w:before="156" w:beforeLines="50" w:after="10" w:line="440" w:lineRule="exact"/>
              <w:jc w:val="center"/>
              <w:rPr>
                <w:rFonts w:hint="eastAsia" w:ascii="宋体" w:hAnsi="宋体" w:eastAsia="宋体" w:cs="宋体"/>
                <w:color w:val="auto"/>
                <w:kern w:val="0"/>
                <w:sz w:val="24"/>
                <w:highlight w:val="none"/>
                <w:lang w:val="en-US" w:bidi="ar"/>
              </w:rPr>
            </w:pPr>
          </w:p>
        </w:tc>
        <w:tc>
          <w:tcPr>
            <w:tcW w:w="2841" w:type="dxa"/>
          </w:tcPr>
          <w:p w14:paraId="6069D616">
            <w:pPr>
              <w:pStyle w:val="13"/>
              <w:spacing w:before="156" w:beforeLines="50" w:after="10" w:line="440" w:lineRule="exact"/>
              <w:jc w:val="center"/>
              <w:rPr>
                <w:rFonts w:hint="eastAsia" w:ascii="宋体" w:hAnsi="宋体" w:eastAsia="宋体" w:cs="宋体"/>
                <w:color w:val="auto"/>
                <w:kern w:val="0"/>
                <w:sz w:val="24"/>
                <w:highlight w:val="none"/>
                <w:lang w:val="en-US" w:bidi="ar"/>
              </w:rPr>
            </w:pPr>
          </w:p>
        </w:tc>
      </w:tr>
    </w:tbl>
    <w:p w14:paraId="535725A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3D6FA038">
      <w:pPr>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13A30041">
      <w:pPr>
        <w:tabs>
          <w:tab w:val="left" w:pos="630"/>
        </w:tabs>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354DD238">
      <w:pPr>
        <w:spacing w:line="440" w:lineRule="exact"/>
        <w:rPr>
          <w:rFonts w:hint="eastAsia" w:ascii="宋体" w:hAnsi="宋体" w:eastAsia="宋体" w:cs="宋体"/>
          <w:b/>
          <w:color w:val="auto"/>
          <w:sz w:val="24"/>
          <w:highlight w:val="none"/>
        </w:rPr>
      </w:pPr>
      <w:bookmarkStart w:id="224" w:name="_Toc11607"/>
      <w:r>
        <w:rPr>
          <w:rFonts w:hint="eastAsia" w:ascii="宋体" w:hAnsi="宋体" w:eastAsia="宋体" w:cs="宋体"/>
          <w:b/>
          <w:color w:val="auto"/>
          <w:sz w:val="24"/>
          <w:highlight w:val="none"/>
        </w:rPr>
        <w:br w:type="page"/>
      </w:r>
    </w:p>
    <w:p w14:paraId="761FCBD9">
      <w:pPr>
        <w:spacing w:line="440" w:lineRule="exact"/>
        <w:jc w:val="center"/>
        <w:outlineLvl w:val="1"/>
        <w:rPr>
          <w:rFonts w:hint="eastAsia" w:ascii="宋体" w:hAnsi="宋体" w:eastAsia="宋体" w:cs="宋体"/>
          <w:b/>
          <w:color w:val="auto"/>
          <w:sz w:val="24"/>
          <w:highlight w:val="none"/>
        </w:rPr>
      </w:pPr>
      <w:bookmarkStart w:id="225" w:name="_Toc24583"/>
      <w:r>
        <w:rPr>
          <w:rFonts w:hint="eastAsia" w:ascii="宋体" w:hAnsi="宋体" w:eastAsia="宋体" w:cs="宋体"/>
          <w:b/>
          <w:color w:val="auto"/>
          <w:sz w:val="24"/>
          <w:highlight w:val="none"/>
        </w:rPr>
        <w:t>（2）授权书</w:t>
      </w:r>
      <w:bookmarkEnd w:id="224"/>
      <w:bookmarkEnd w:id="225"/>
    </w:p>
    <w:p w14:paraId="542AAC27">
      <w:pPr>
        <w:pStyle w:val="17"/>
        <w:snapToGrid w:val="0"/>
        <w:spacing w:line="440" w:lineRule="exact"/>
        <w:ind w:firstLine="480" w:firstLineChars="200"/>
        <w:jc w:val="left"/>
        <w:rPr>
          <w:rFonts w:hint="eastAsia" w:ascii="宋体" w:hAnsi="宋体" w:eastAsia="宋体" w:cs="宋体"/>
          <w:color w:val="auto"/>
          <w:sz w:val="24"/>
          <w:szCs w:val="28"/>
          <w:highlight w:val="none"/>
        </w:rPr>
      </w:pPr>
    </w:p>
    <w:p w14:paraId="7AF83305">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w:t>
      </w:r>
      <w:r>
        <w:rPr>
          <w:rFonts w:hint="eastAsia" w:ascii="宋体" w:hAnsi="宋体" w:eastAsia="宋体" w:cs="宋体"/>
          <w:color w:val="auto"/>
          <w:sz w:val="24"/>
          <w:highlight w:val="none"/>
        </w:rPr>
        <w:t>授权</w:t>
      </w:r>
      <w:r>
        <w:rPr>
          <w:rFonts w:hint="eastAsia" w:ascii="宋体" w:hAnsi="宋体" w:eastAsia="宋体" w:cs="宋体"/>
          <w:color w:val="auto"/>
          <w:sz w:val="24"/>
          <w:szCs w:val="28"/>
          <w:highlight w:val="none"/>
        </w:rPr>
        <w:t>书声明：</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（投标人名称）授权</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（投标人授权代表姓名）代表我方参加本项目</w:t>
      </w:r>
      <w:r>
        <w:rPr>
          <w:rFonts w:hint="eastAsia" w:ascii="宋体" w:hAnsi="宋体" w:eastAsia="宋体" w:cs="宋体"/>
          <w:bCs/>
          <w:color w:val="auto"/>
          <w:sz w:val="24"/>
          <w:szCs w:val="28"/>
          <w:highlight w:val="none"/>
        </w:rPr>
        <w:t>采购活动</w:t>
      </w:r>
      <w:r>
        <w:rPr>
          <w:rFonts w:hint="eastAsia" w:ascii="宋体" w:hAnsi="宋体" w:eastAsia="宋体" w:cs="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70691DFB">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本授权书自出具之日起生效。</w:t>
      </w:r>
    </w:p>
    <w:p w14:paraId="41635E5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授权</w:t>
      </w:r>
      <w:r>
        <w:rPr>
          <w:rFonts w:hint="eastAsia" w:ascii="宋体" w:hAnsi="宋体" w:eastAsia="宋体" w:cs="宋体"/>
          <w:color w:val="auto"/>
          <w:sz w:val="24"/>
          <w:highlight w:val="none"/>
        </w:rPr>
        <w:t>代表身份证明扫描件：</w:t>
      </w:r>
    </w:p>
    <w:p w14:paraId="7CFC8CB9">
      <w:pPr>
        <w:spacing w:line="440" w:lineRule="exact"/>
        <w:ind w:firstLine="435"/>
        <w:rPr>
          <w:rFonts w:hint="eastAsia" w:ascii="宋体" w:hAnsi="宋体" w:eastAsia="宋体" w:cs="宋体"/>
          <w:color w:val="auto"/>
          <w:sz w:val="24"/>
          <w:highlight w:val="none"/>
        </w:rPr>
      </w:pPr>
    </w:p>
    <w:p w14:paraId="0F377FA6">
      <w:pPr>
        <w:spacing w:line="440" w:lineRule="exact"/>
        <w:ind w:firstLine="435"/>
        <w:rPr>
          <w:rFonts w:hint="eastAsia" w:ascii="宋体" w:hAnsi="宋体" w:eastAsia="宋体" w:cs="宋体"/>
          <w:color w:val="auto"/>
          <w:sz w:val="24"/>
          <w:highlight w:val="none"/>
        </w:rPr>
      </w:pPr>
    </w:p>
    <w:p w14:paraId="3FDC36FF">
      <w:pPr>
        <w:spacing w:line="440" w:lineRule="exact"/>
        <w:ind w:firstLine="435"/>
        <w:rPr>
          <w:rFonts w:hint="eastAsia" w:ascii="宋体" w:hAnsi="宋体" w:eastAsia="宋体" w:cs="宋体"/>
          <w:color w:val="auto"/>
          <w:sz w:val="24"/>
          <w:highlight w:val="none"/>
        </w:rPr>
      </w:pPr>
    </w:p>
    <w:p w14:paraId="5AB0AB14">
      <w:pPr>
        <w:spacing w:line="440" w:lineRule="exact"/>
        <w:ind w:firstLine="435"/>
        <w:rPr>
          <w:rFonts w:hint="eastAsia" w:ascii="宋体" w:hAnsi="宋体" w:eastAsia="宋体" w:cs="宋体"/>
          <w:color w:val="auto"/>
          <w:sz w:val="24"/>
          <w:szCs w:val="28"/>
          <w:highlight w:val="none"/>
          <w:u w:val="single"/>
          <w:lang w:val="zh-CN"/>
        </w:rPr>
      </w:pPr>
      <w:r>
        <w:rPr>
          <w:rFonts w:hint="eastAsia" w:ascii="宋体" w:hAnsi="宋体" w:eastAsia="宋体" w:cs="宋体"/>
          <w:color w:val="auto"/>
          <w:sz w:val="24"/>
          <w:szCs w:val="28"/>
          <w:highlight w:val="none"/>
        </w:rPr>
        <w:t>授权代表联系方式：</w:t>
      </w:r>
      <w:r>
        <w:rPr>
          <w:rFonts w:hint="eastAsia" w:ascii="宋体" w:hAnsi="宋体" w:eastAsia="宋体" w:cs="宋体"/>
          <w:color w:val="auto"/>
          <w:sz w:val="24"/>
          <w:szCs w:val="28"/>
          <w:highlight w:val="none"/>
          <w:u w:val="single"/>
        </w:rPr>
        <w:t xml:space="preserve">          （请填写手机号码）</w:t>
      </w:r>
    </w:p>
    <w:p w14:paraId="0E4E97B5">
      <w:pPr>
        <w:spacing w:line="440" w:lineRule="exact"/>
        <w:ind w:firstLine="435"/>
        <w:rPr>
          <w:rFonts w:hint="eastAsia" w:ascii="宋体" w:hAnsi="宋体" w:eastAsia="宋体" w:cs="宋体"/>
          <w:color w:val="auto"/>
          <w:sz w:val="24"/>
          <w:szCs w:val="28"/>
          <w:highlight w:val="none"/>
          <w:lang w:val="zh-CN"/>
        </w:rPr>
      </w:pPr>
    </w:p>
    <w:p w14:paraId="0AED34F2">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t>特此</w:t>
      </w:r>
      <w:r>
        <w:rPr>
          <w:rFonts w:hint="eastAsia" w:ascii="宋体" w:hAnsi="宋体" w:eastAsia="宋体" w:cs="宋体"/>
          <w:color w:val="auto"/>
          <w:sz w:val="24"/>
          <w:szCs w:val="28"/>
          <w:highlight w:val="none"/>
        </w:rPr>
        <w:t>声明。</w:t>
      </w:r>
    </w:p>
    <w:p w14:paraId="5A6B35C3">
      <w:pPr>
        <w:spacing w:line="440" w:lineRule="exact"/>
        <w:rPr>
          <w:rFonts w:hint="eastAsia" w:ascii="宋体" w:hAnsi="宋体" w:eastAsia="宋体" w:cs="宋体"/>
          <w:color w:val="auto"/>
          <w:sz w:val="24"/>
          <w:szCs w:val="28"/>
          <w:highlight w:val="none"/>
        </w:rPr>
      </w:pPr>
    </w:p>
    <w:p w14:paraId="4E0084EF">
      <w:pPr>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58AC8723">
      <w:pPr>
        <w:tabs>
          <w:tab w:val="left" w:pos="630"/>
        </w:tabs>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28863E75">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CAB412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1.本项目只允许有唯一的投标人授权代表，提供身份证明扫描件；</w:t>
      </w:r>
    </w:p>
    <w:p w14:paraId="7FB2B88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2.法定代表人参加投标的无需提供授权书，提供身份证明扫描件。</w:t>
      </w:r>
    </w:p>
    <w:p w14:paraId="009AC44F">
      <w:pPr>
        <w:spacing w:line="360" w:lineRule="auto"/>
        <w:jc w:val="center"/>
        <w:outlineLvl w:val="1"/>
        <w:rPr>
          <w:rFonts w:hint="eastAsia" w:ascii="宋体" w:hAnsi="宋体" w:eastAsia="宋体" w:cs="宋体"/>
          <w:b/>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24"/>
          <w:highlight w:val="none"/>
        </w:rPr>
        <w:t>（3）诚信投标承诺书</w:t>
      </w:r>
    </w:p>
    <w:p w14:paraId="04E7003B">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本人以企业法定代表人的身份郑重承诺：</w:t>
      </w:r>
    </w:p>
    <w:p w14:paraId="073FA71F">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一、将遵循公开、公正和诚实信用的原则自愿参加</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 xml:space="preserve"> 项目的投标，所提供的一切材料都是真实、有效、合法的；</w:t>
      </w:r>
    </w:p>
    <w:p w14:paraId="53F2416F">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5F868C40">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三、不出借、转让资质证书，不让他人挂靠投标，不以他人名义投标或者以其他方式弄虚作假，骗取中标；</w:t>
      </w:r>
    </w:p>
    <w:p w14:paraId="4AB9B7F8">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四、不与其他投标人相互串通投标报价，不排挤其他投标人的公平竞争、损害招标人的合法权益；</w:t>
      </w:r>
    </w:p>
    <w:p w14:paraId="2A9F3376">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五、不与招标人、招标代理机构或其他投标人串通投标，损害国家利益、社会公共利益或者他人的合法权益；</w:t>
      </w:r>
    </w:p>
    <w:p w14:paraId="29052E26">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8"/>
          <w:highlight w:val="none"/>
        </w:rPr>
        <w:t>六、</w:t>
      </w:r>
      <w:r>
        <w:rPr>
          <w:rFonts w:hint="eastAsia" w:ascii="宋体" w:hAnsi="宋体" w:eastAsia="宋体" w:cs="宋体"/>
          <w:color w:val="auto"/>
          <w:kern w:val="2"/>
          <w:sz w:val="24"/>
          <w:szCs w:val="24"/>
          <w:highlight w:val="none"/>
          <w:u w:val="single"/>
          <w:lang w:val="en-US" w:eastAsia="zh-CN" w:bidi="ar"/>
        </w:rPr>
        <w:t xml:space="preserve">       （企业名称）</w:t>
      </w:r>
      <w:r>
        <w:rPr>
          <w:rFonts w:hint="eastAsia" w:ascii="宋体" w:hAnsi="宋体" w:eastAsia="宋体" w:cs="宋体"/>
          <w:color w:val="auto"/>
          <w:kern w:val="2"/>
          <w:sz w:val="24"/>
          <w:szCs w:val="24"/>
          <w:highlight w:val="none"/>
          <w:lang w:val="en-US" w:eastAsia="zh-CN" w:bidi="ar"/>
        </w:rPr>
        <w:t>或</w:t>
      </w:r>
      <w:r>
        <w:rPr>
          <w:rFonts w:hint="eastAsia" w:ascii="宋体" w:hAnsi="宋体" w:eastAsia="宋体" w:cs="宋体"/>
          <w:color w:val="auto"/>
          <w:kern w:val="2"/>
          <w:sz w:val="24"/>
          <w:szCs w:val="24"/>
          <w:highlight w:val="none"/>
          <w:u w:val="single"/>
          <w:lang w:val="en-US" w:eastAsia="zh-CN" w:bidi="ar"/>
        </w:rPr>
        <w:t xml:space="preserve">       （企业名称）</w:t>
      </w:r>
      <w:r>
        <w:rPr>
          <w:rFonts w:hint="eastAsia" w:ascii="宋体" w:hAnsi="宋体" w:eastAsia="宋体" w:cs="宋体"/>
          <w:color w:val="auto"/>
          <w:kern w:val="2"/>
          <w:sz w:val="24"/>
          <w:szCs w:val="24"/>
          <w:highlight w:val="none"/>
          <w:lang w:val="en-US" w:eastAsia="zh-CN" w:bidi="ar"/>
        </w:rPr>
        <w:t>法定代表人或拟派项目经理（负责人）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没有下列情形：①被列入“信用中国”网站“失信被执行人”的；②被列入“信用中国”网站“重大税收违法失信主体”的；③被列入“信用中国”网站“严重失信主体名单”的；④在“信用中国”网站上披露的仍在公示期的严重失信行为(具体行为类别及判定依据见附件2)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1-7项信誉要求，在此一并承诺我公司所属分公司、办事处等分支机构没有上述1-7项情形）</w:t>
      </w:r>
    </w:p>
    <w:p w14:paraId="04739A01">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七、我公司没有下列情形：被滁州市县两级公管部门记入不良行为记录且在披露期内。</w:t>
      </w:r>
    </w:p>
    <w:p w14:paraId="2670D27B">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八、严格遵守开标现场纪律，服从监管人员管理；</w:t>
      </w:r>
    </w:p>
    <w:p w14:paraId="3F8335DD">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九、保证中标后不转包，若有分包征得招标人同意；</w:t>
      </w:r>
    </w:p>
    <w:p w14:paraId="08FEF6B5">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十、保证中标之后，按照投标文件要求提供相关后续服务；</w:t>
      </w:r>
    </w:p>
    <w:p w14:paraId="12FF89C1">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十一、保证企业及所属相关人员在本次投标中无行贿等犯罪行为；</w:t>
      </w:r>
    </w:p>
    <w:p w14:paraId="6D2EF023">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十二、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6C8F8A77">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以上内容我已仔细阅读，本公司若有违反承诺内容的行为，自愿接受取消投标或者中标资格、记入不良行为记录等有关处理，愿意承担法律责任，给招标人造成损失的，依法承担赔偿责任。</w:t>
      </w:r>
    </w:p>
    <w:p w14:paraId="46880F0C">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4A64A6F1">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开户银行：                      基本账户：</w:t>
      </w:r>
    </w:p>
    <w:p w14:paraId="346E36C4">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投标单位（签章）：              法定代表人（签章）：</w:t>
      </w:r>
    </w:p>
    <w:p w14:paraId="04CF36EE">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4258D988">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日期：           年            月             日</w:t>
      </w:r>
    </w:p>
    <w:p w14:paraId="7F183874">
      <w:pP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br w:type="page"/>
      </w:r>
    </w:p>
    <w:p w14:paraId="6A995923">
      <w:pPr>
        <w:pageBreakBefore/>
        <w:rPr>
          <w:rFonts w:hint="eastAsia" w:ascii="宋体" w:hAnsi="宋体" w:eastAsia="宋体" w:cs="宋体"/>
          <w:b/>
          <w:color w:val="auto"/>
          <w:sz w:val="28"/>
          <w:szCs w:val="28"/>
          <w:highlight w:val="none"/>
          <w:bdr w:val="single" w:color="000000" w:sz="4" w:space="0"/>
        </w:rPr>
      </w:pPr>
      <w:r>
        <w:rPr>
          <w:rFonts w:hint="eastAsia" w:ascii="宋体" w:hAnsi="宋体" w:eastAsia="宋体" w:cs="宋体"/>
          <w:b/>
          <w:color w:val="auto"/>
          <w:sz w:val="28"/>
          <w:szCs w:val="28"/>
          <w:highlight w:val="none"/>
        </w:rPr>
        <w:t>二、技术标格式文件</w:t>
      </w:r>
    </w:p>
    <w:p w14:paraId="780BD67C">
      <w:pPr>
        <w:jc w:val="center"/>
        <w:rPr>
          <w:rFonts w:hint="eastAsia" w:ascii="宋体" w:hAnsi="宋体" w:eastAsia="宋体" w:cs="宋体"/>
          <w:color w:val="auto"/>
          <w:sz w:val="20"/>
          <w:highlight w:val="none"/>
        </w:rPr>
      </w:pPr>
    </w:p>
    <w:p w14:paraId="650FB12B">
      <w:pPr>
        <w:rPr>
          <w:rFonts w:hint="eastAsia" w:ascii="宋体" w:hAnsi="宋体" w:eastAsia="宋体" w:cs="宋体"/>
          <w:color w:val="auto"/>
          <w:sz w:val="20"/>
          <w:highlight w:val="none"/>
        </w:rPr>
      </w:pPr>
    </w:p>
    <w:p w14:paraId="63D625F2">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技术标</w:t>
      </w:r>
    </w:p>
    <w:p w14:paraId="2AFC333A">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（投标文件二）</w:t>
      </w:r>
    </w:p>
    <w:p w14:paraId="78CD83DF">
      <w:pPr>
        <w:jc w:val="center"/>
        <w:rPr>
          <w:rFonts w:hint="eastAsia" w:ascii="宋体" w:hAnsi="宋体" w:eastAsia="宋体" w:cs="宋体"/>
          <w:color w:val="auto"/>
          <w:sz w:val="44"/>
          <w:szCs w:val="44"/>
          <w:highlight w:val="none"/>
        </w:rPr>
      </w:pPr>
    </w:p>
    <w:p w14:paraId="21DBC5C9">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项目</w:t>
      </w:r>
    </w:p>
    <w:p w14:paraId="5D951B28">
      <w:pPr>
        <w:jc w:val="center"/>
        <w:rPr>
          <w:rFonts w:hint="eastAsia" w:ascii="宋体" w:hAnsi="宋体" w:eastAsia="宋体" w:cs="宋体"/>
          <w:color w:val="auto"/>
          <w:sz w:val="44"/>
          <w:szCs w:val="44"/>
          <w:highlight w:val="none"/>
        </w:rPr>
      </w:pP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u w:val="single"/>
        </w:rPr>
        <w:t xml:space="preserve">     </w:t>
      </w:r>
    </w:p>
    <w:p w14:paraId="23A3E617">
      <w:pPr>
        <w:rPr>
          <w:rFonts w:hint="eastAsia" w:ascii="宋体" w:hAnsi="宋体" w:eastAsia="宋体" w:cs="宋体"/>
          <w:color w:val="auto"/>
          <w:sz w:val="28"/>
          <w:szCs w:val="28"/>
          <w:highlight w:val="none"/>
        </w:rPr>
      </w:pPr>
    </w:p>
    <w:p w14:paraId="7FFEED71">
      <w:pPr>
        <w:rPr>
          <w:rFonts w:hint="eastAsia" w:ascii="宋体" w:hAnsi="宋体" w:eastAsia="宋体" w:cs="宋体"/>
          <w:color w:val="auto"/>
          <w:sz w:val="28"/>
          <w:szCs w:val="28"/>
          <w:highlight w:val="none"/>
        </w:rPr>
      </w:pPr>
    </w:p>
    <w:p w14:paraId="2409F218">
      <w:pPr>
        <w:rPr>
          <w:rFonts w:hint="eastAsia" w:ascii="宋体" w:hAnsi="宋体" w:eastAsia="宋体" w:cs="宋体"/>
          <w:color w:val="auto"/>
          <w:sz w:val="28"/>
          <w:szCs w:val="28"/>
          <w:highlight w:val="none"/>
        </w:rPr>
      </w:pPr>
    </w:p>
    <w:p w14:paraId="0954865E">
      <w:pPr>
        <w:rPr>
          <w:rFonts w:hint="eastAsia" w:ascii="宋体" w:hAnsi="宋体" w:eastAsia="宋体" w:cs="宋体"/>
          <w:color w:val="auto"/>
          <w:sz w:val="28"/>
          <w:szCs w:val="28"/>
          <w:highlight w:val="none"/>
        </w:rPr>
      </w:pPr>
    </w:p>
    <w:p w14:paraId="53F59208">
      <w:pPr>
        <w:rPr>
          <w:rFonts w:hint="eastAsia" w:ascii="宋体" w:hAnsi="宋体" w:eastAsia="宋体" w:cs="宋体"/>
          <w:color w:val="auto"/>
          <w:sz w:val="28"/>
          <w:szCs w:val="28"/>
          <w:highlight w:val="none"/>
        </w:rPr>
      </w:pPr>
    </w:p>
    <w:p w14:paraId="7AC0EBAA">
      <w:pPr>
        <w:rPr>
          <w:rFonts w:hint="eastAsia" w:ascii="宋体" w:hAnsi="宋体" w:eastAsia="宋体" w:cs="宋体"/>
          <w:color w:val="auto"/>
          <w:sz w:val="28"/>
          <w:szCs w:val="28"/>
          <w:highlight w:val="none"/>
        </w:rPr>
      </w:pPr>
    </w:p>
    <w:p w14:paraId="43B1647F">
      <w:pPr>
        <w:rPr>
          <w:rFonts w:hint="eastAsia" w:ascii="宋体" w:hAnsi="宋体" w:eastAsia="宋体" w:cs="宋体"/>
          <w:color w:val="auto"/>
          <w:sz w:val="28"/>
          <w:szCs w:val="28"/>
          <w:highlight w:val="none"/>
        </w:rPr>
      </w:pPr>
    </w:p>
    <w:p w14:paraId="18E34B9F">
      <w:pPr>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（签章）</w:t>
      </w:r>
    </w:p>
    <w:p w14:paraId="50038377">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（签章）</w:t>
      </w:r>
    </w:p>
    <w:p w14:paraId="30ECF80F">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7F389799">
      <w:pPr>
        <w:spacing w:line="720" w:lineRule="auto"/>
        <w:jc w:val="center"/>
        <w:rPr>
          <w:rFonts w:hint="eastAsia" w:ascii="宋体" w:hAnsi="宋体" w:eastAsia="宋体" w:cs="宋体"/>
          <w:b/>
          <w:color w:val="auto"/>
          <w:sz w:val="36"/>
          <w:szCs w:val="36"/>
          <w:highlight w:val="none"/>
        </w:rPr>
      </w:pPr>
    </w:p>
    <w:p w14:paraId="7E742020">
      <w:pPr>
        <w:spacing w:line="400" w:lineRule="exact"/>
        <w:ind w:firstLine="4130" w:firstLineChars="935"/>
        <w:rPr>
          <w:rFonts w:hint="eastAsia" w:ascii="宋体" w:hAnsi="宋体" w:eastAsia="宋体" w:cs="宋体"/>
          <w:b/>
          <w:color w:val="auto"/>
          <w:sz w:val="44"/>
          <w:szCs w:val="44"/>
          <w:highlight w:val="none"/>
        </w:rPr>
      </w:pPr>
    </w:p>
    <w:p w14:paraId="788D0108">
      <w:pPr>
        <w:spacing w:line="400" w:lineRule="exact"/>
        <w:ind w:firstLine="4130" w:firstLineChars="935"/>
        <w:rPr>
          <w:rFonts w:hint="eastAsia" w:ascii="宋体" w:hAnsi="宋体" w:eastAsia="宋体" w:cs="宋体"/>
          <w:b/>
          <w:color w:val="auto"/>
          <w:sz w:val="44"/>
          <w:szCs w:val="44"/>
          <w:highlight w:val="none"/>
        </w:rPr>
      </w:pPr>
    </w:p>
    <w:p w14:paraId="2B789397">
      <w:pPr>
        <w:pageBreakBefore/>
        <w:jc w:val="center"/>
        <w:rPr>
          <w:rFonts w:hint="eastAsia" w:ascii="宋体" w:hAnsi="宋体" w:eastAsia="宋体" w:cs="宋体"/>
          <w:b/>
          <w:color w:val="auto"/>
          <w:sz w:val="44"/>
          <w:szCs w:val="44"/>
          <w:highlight w:val="none"/>
        </w:rPr>
      </w:pPr>
      <w:r>
        <w:rPr>
          <w:rFonts w:hint="eastAsia" w:ascii="宋体" w:hAnsi="宋体" w:eastAsia="宋体" w:cs="宋体"/>
          <w:b/>
          <w:color w:val="auto"/>
          <w:sz w:val="36"/>
          <w:szCs w:val="36"/>
          <w:highlight w:val="none"/>
        </w:rPr>
        <w:t>目   录</w:t>
      </w:r>
    </w:p>
    <w:p w14:paraId="72E8D58C">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（1）投标响应表（格式见附件）；</w:t>
      </w:r>
    </w:p>
    <w:p w14:paraId="39650A7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（2）诚信履约承诺函（格式见附件）</w:t>
      </w:r>
    </w:p>
    <w:p w14:paraId="31F3F3E7">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（4）招标文件中要求的技术标评审及技术标评分的支持资料；</w:t>
      </w:r>
    </w:p>
    <w:p w14:paraId="35ED907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（5）投标人认为需要提供的其他技术证明材料；</w:t>
      </w:r>
    </w:p>
    <w:p w14:paraId="20F4A622">
      <w:pPr>
        <w:pageBreakBefore/>
        <w:spacing w:line="440" w:lineRule="exact"/>
        <w:jc w:val="center"/>
        <w:outlineLvl w:val="1"/>
        <w:rPr>
          <w:rFonts w:hint="eastAsia" w:ascii="宋体" w:hAnsi="宋体" w:eastAsia="宋体" w:cs="宋体"/>
          <w:b/>
          <w:color w:val="auto"/>
          <w:sz w:val="24"/>
          <w:highlight w:val="none"/>
        </w:rPr>
      </w:pPr>
      <w:bookmarkStart w:id="226" w:name="_Toc15209"/>
      <w:r>
        <w:rPr>
          <w:rFonts w:hint="eastAsia" w:ascii="宋体" w:hAnsi="宋体" w:eastAsia="宋体" w:cs="宋体"/>
          <w:b/>
          <w:color w:val="auto"/>
          <w:sz w:val="24"/>
          <w:highlight w:val="none"/>
        </w:rPr>
        <w:t>（1）投标响应表</w:t>
      </w:r>
      <w:bookmarkEnd w:id="226"/>
    </w:p>
    <w:p w14:paraId="1991A370">
      <w:pPr>
        <w:spacing w:line="440" w:lineRule="exact"/>
        <w:ind w:firstLine="435"/>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1.1商务响应表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339A7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73780A00">
            <w:pPr>
              <w:pStyle w:val="17"/>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124" w:type="pct"/>
            <w:vAlign w:val="center"/>
          </w:tcPr>
          <w:p w14:paraId="0707ADD9">
            <w:pPr>
              <w:pStyle w:val="17"/>
              <w:spacing w:line="440" w:lineRule="exact"/>
              <w:jc w:val="center"/>
              <w:rPr>
                <w:rFonts w:hint="eastAsia" w:ascii="宋体" w:hAnsi="宋体" w:eastAsia="宋体" w:cs="宋体"/>
                <w:b/>
                <w:color w:val="auto"/>
                <w:sz w:val="24"/>
                <w:highlight w:val="none"/>
              </w:rPr>
            </w:pPr>
            <w:r>
              <w:rPr>
                <w:rFonts w:hint="eastAsia" w:ascii="宋体" w:hAnsi="宋体" w:eastAsia="宋体" w:cs="宋体"/>
                <w:b/>
                <w:bCs/>
                <w:color w:val="auto"/>
                <w:sz w:val="24"/>
                <w:szCs w:val="24"/>
                <w:highlight w:val="none"/>
              </w:rPr>
              <w:t>商务条款</w:t>
            </w:r>
          </w:p>
        </w:tc>
        <w:tc>
          <w:tcPr>
            <w:tcW w:w="1465" w:type="pct"/>
            <w:vAlign w:val="center"/>
          </w:tcPr>
          <w:p w14:paraId="3AFE31ED">
            <w:pPr>
              <w:pStyle w:val="17"/>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招标文件要求</w:t>
            </w:r>
          </w:p>
        </w:tc>
        <w:tc>
          <w:tcPr>
            <w:tcW w:w="1510" w:type="pct"/>
            <w:vAlign w:val="center"/>
          </w:tcPr>
          <w:p w14:paraId="78087AA3">
            <w:pPr>
              <w:pStyle w:val="17"/>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投标人承诺</w:t>
            </w:r>
          </w:p>
        </w:tc>
        <w:tc>
          <w:tcPr>
            <w:tcW w:w="475" w:type="pct"/>
            <w:vAlign w:val="center"/>
          </w:tcPr>
          <w:p w14:paraId="31D52D72">
            <w:pPr>
              <w:pStyle w:val="17"/>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偏离说明</w:t>
            </w:r>
          </w:p>
        </w:tc>
      </w:tr>
      <w:tr w14:paraId="122C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630A4817">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124" w:type="pct"/>
            <w:vAlign w:val="center"/>
          </w:tcPr>
          <w:p w14:paraId="5F800319">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付款方式</w:t>
            </w:r>
          </w:p>
        </w:tc>
        <w:tc>
          <w:tcPr>
            <w:tcW w:w="1465" w:type="pct"/>
            <w:vAlign w:val="center"/>
          </w:tcPr>
          <w:p w14:paraId="03B26306">
            <w:pPr>
              <w:spacing w:line="440" w:lineRule="exact"/>
              <w:jc w:val="center"/>
              <w:rPr>
                <w:rFonts w:hint="eastAsia" w:ascii="宋体" w:hAnsi="宋体" w:eastAsia="宋体" w:cs="宋体"/>
                <w:color w:val="auto"/>
                <w:sz w:val="24"/>
                <w:highlight w:val="none"/>
              </w:rPr>
            </w:pPr>
          </w:p>
        </w:tc>
        <w:tc>
          <w:tcPr>
            <w:tcW w:w="1510" w:type="pct"/>
            <w:vAlign w:val="center"/>
          </w:tcPr>
          <w:p w14:paraId="056894EB">
            <w:pPr>
              <w:spacing w:line="440" w:lineRule="exact"/>
              <w:jc w:val="center"/>
              <w:rPr>
                <w:rFonts w:hint="eastAsia" w:ascii="宋体" w:hAnsi="宋体" w:eastAsia="宋体" w:cs="宋体"/>
                <w:color w:val="auto"/>
                <w:sz w:val="24"/>
                <w:highlight w:val="none"/>
              </w:rPr>
            </w:pPr>
          </w:p>
        </w:tc>
        <w:tc>
          <w:tcPr>
            <w:tcW w:w="475" w:type="pct"/>
            <w:vAlign w:val="center"/>
          </w:tcPr>
          <w:p w14:paraId="60C5821A">
            <w:pPr>
              <w:spacing w:line="440" w:lineRule="exact"/>
              <w:jc w:val="center"/>
              <w:rPr>
                <w:rFonts w:hint="eastAsia" w:ascii="宋体" w:hAnsi="宋体" w:eastAsia="宋体" w:cs="宋体"/>
                <w:color w:val="auto"/>
                <w:sz w:val="24"/>
                <w:highlight w:val="none"/>
              </w:rPr>
            </w:pPr>
          </w:p>
        </w:tc>
      </w:tr>
      <w:tr w14:paraId="7131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3A28768F">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124" w:type="pct"/>
            <w:vAlign w:val="center"/>
          </w:tcPr>
          <w:p w14:paraId="35A142F6">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服务地点</w:t>
            </w:r>
          </w:p>
        </w:tc>
        <w:tc>
          <w:tcPr>
            <w:tcW w:w="1465" w:type="pct"/>
            <w:vAlign w:val="center"/>
          </w:tcPr>
          <w:p w14:paraId="51EBF488">
            <w:pPr>
              <w:spacing w:line="440" w:lineRule="exact"/>
              <w:jc w:val="center"/>
              <w:rPr>
                <w:rFonts w:hint="eastAsia" w:ascii="宋体" w:hAnsi="宋体" w:eastAsia="宋体" w:cs="宋体"/>
                <w:color w:val="auto"/>
                <w:sz w:val="24"/>
                <w:highlight w:val="none"/>
              </w:rPr>
            </w:pPr>
          </w:p>
        </w:tc>
        <w:tc>
          <w:tcPr>
            <w:tcW w:w="1510" w:type="pct"/>
            <w:vAlign w:val="center"/>
          </w:tcPr>
          <w:p w14:paraId="1B05E402">
            <w:pPr>
              <w:spacing w:line="440" w:lineRule="exact"/>
              <w:jc w:val="center"/>
              <w:rPr>
                <w:rFonts w:hint="eastAsia" w:ascii="宋体" w:hAnsi="宋体" w:eastAsia="宋体" w:cs="宋体"/>
                <w:color w:val="auto"/>
                <w:sz w:val="24"/>
                <w:highlight w:val="none"/>
              </w:rPr>
            </w:pPr>
          </w:p>
        </w:tc>
        <w:tc>
          <w:tcPr>
            <w:tcW w:w="475" w:type="pct"/>
            <w:vAlign w:val="center"/>
          </w:tcPr>
          <w:p w14:paraId="2F79D323">
            <w:pPr>
              <w:spacing w:line="440" w:lineRule="exact"/>
              <w:jc w:val="center"/>
              <w:rPr>
                <w:rFonts w:hint="eastAsia" w:ascii="宋体" w:hAnsi="宋体" w:eastAsia="宋体" w:cs="宋体"/>
                <w:color w:val="auto"/>
                <w:sz w:val="24"/>
                <w:highlight w:val="none"/>
              </w:rPr>
            </w:pPr>
          </w:p>
        </w:tc>
      </w:tr>
      <w:tr w14:paraId="53BE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5BE83135">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124" w:type="pct"/>
            <w:vAlign w:val="center"/>
          </w:tcPr>
          <w:p w14:paraId="610BBC8A">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服务期限</w:t>
            </w:r>
          </w:p>
        </w:tc>
        <w:tc>
          <w:tcPr>
            <w:tcW w:w="1465" w:type="pct"/>
            <w:vAlign w:val="center"/>
          </w:tcPr>
          <w:p w14:paraId="543ADB6A">
            <w:pPr>
              <w:spacing w:line="440" w:lineRule="exact"/>
              <w:jc w:val="center"/>
              <w:rPr>
                <w:rFonts w:hint="eastAsia" w:ascii="宋体" w:hAnsi="宋体" w:eastAsia="宋体" w:cs="宋体"/>
                <w:color w:val="auto"/>
                <w:sz w:val="24"/>
                <w:highlight w:val="none"/>
              </w:rPr>
            </w:pPr>
          </w:p>
        </w:tc>
        <w:tc>
          <w:tcPr>
            <w:tcW w:w="1510" w:type="pct"/>
            <w:vAlign w:val="center"/>
          </w:tcPr>
          <w:p w14:paraId="5F4055A9">
            <w:pPr>
              <w:pStyle w:val="55"/>
              <w:spacing w:line="440" w:lineRule="exact"/>
              <w:jc w:val="center"/>
              <w:rPr>
                <w:rFonts w:hint="eastAsia" w:ascii="宋体" w:hAnsi="宋体" w:eastAsia="宋体" w:cs="宋体"/>
                <w:color w:val="auto"/>
                <w:highlight w:val="none"/>
              </w:rPr>
            </w:pPr>
          </w:p>
        </w:tc>
        <w:tc>
          <w:tcPr>
            <w:tcW w:w="475" w:type="pct"/>
            <w:vAlign w:val="center"/>
          </w:tcPr>
          <w:p w14:paraId="6FF9544A">
            <w:pPr>
              <w:spacing w:line="440" w:lineRule="exact"/>
              <w:jc w:val="center"/>
              <w:rPr>
                <w:rFonts w:hint="eastAsia" w:ascii="宋体" w:hAnsi="宋体" w:eastAsia="宋体" w:cs="宋体"/>
                <w:color w:val="auto"/>
                <w:sz w:val="24"/>
                <w:highlight w:val="none"/>
              </w:rPr>
            </w:pPr>
          </w:p>
        </w:tc>
      </w:tr>
      <w:tr w14:paraId="0AD7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585AFA7D">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124" w:type="pct"/>
            <w:vAlign w:val="center"/>
          </w:tcPr>
          <w:p w14:paraId="14A643BE">
            <w:pPr>
              <w:spacing w:line="440" w:lineRule="exact"/>
              <w:jc w:val="center"/>
              <w:rPr>
                <w:rFonts w:hint="eastAsia" w:ascii="宋体" w:hAnsi="宋体" w:eastAsia="宋体" w:cs="宋体"/>
                <w:color w:val="auto"/>
                <w:sz w:val="24"/>
                <w:highlight w:val="none"/>
              </w:rPr>
            </w:pPr>
          </w:p>
        </w:tc>
        <w:tc>
          <w:tcPr>
            <w:tcW w:w="1465" w:type="pct"/>
            <w:vAlign w:val="center"/>
          </w:tcPr>
          <w:p w14:paraId="69A14412">
            <w:pPr>
              <w:spacing w:line="440" w:lineRule="exact"/>
              <w:jc w:val="center"/>
              <w:rPr>
                <w:rFonts w:hint="eastAsia" w:ascii="宋体" w:hAnsi="宋体" w:eastAsia="宋体" w:cs="宋体"/>
                <w:color w:val="auto"/>
                <w:sz w:val="24"/>
                <w:highlight w:val="none"/>
              </w:rPr>
            </w:pPr>
          </w:p>
        </w:tc>
        <w:tc>
          <w:tcPr>
            <w:tcW w:w="1510" w:type="pct"/>
            <w:vAlign w:val="center"/>
          </w:tcPr>
          <w:p w14:paraId="5D2847D7">
            <w:pPr>
              <w:spacing w:line="440" w:lineRule="exact"/>
              <w:jc w:val="center"/>
              <w:rPr>
                <w:rFonts w:hint="eastAsia" w:ascii="宋体" w:hAnsi="宋体" w:eastAsia="宋体" w:cs="宋体"/>
                <w:color w:val="auto"/>
                <w:sz w:val="24"/>
                <w:highlight w:val="none"/>
              </w:rPr>
            </w:pPr>
          </w:p>
        </w:tc>
        <w:tc>
          <w:tcPr>
            <w:tcW w:w="475" w:type="pct"/>
            <w:vAlign w:val="center"/>
          </w:tcPr>
          <w:p w14:paraId="355A0845">
            <w:pPr>
              <w:spacing w:line="440" w:lineRule="exact"/>
              <w:jc w:val="center"/>
              <w:rPr>
                <w:rFonts w:hint="eastAsia" w:ascii="宋体" w:hAnsi="宋体" w:eastAsia="宋体" w:cs="宋体"/>
                <w:color w:val="auto"/>
                <w:sz w:val="24"/>
                <w:highlight w:val="none"/>
              </w:rPr>
            </w:pPr>
          </w:p>
        </w:tc>
      </w:tr>
    </w:tbl>
    <w:p w14:paraId="2FC75DB4">
      <w:pPr>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1DD30927">
      <w:pPr>
        <w:tabs>
          <w:tab w:val="left" w:pos="630"/>
        </w:tabs>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586E1733">
      <w:pPr>
        <w:pStyle w:val="18"/>
        <w:spacing w:line="440" w:lineRule="exact"/>
        <w:jc w:val="center"/>
        <w:rPr>
          <w:rFonts w:hint="eastAsia" w:ascii="宋体" w:hAnsi="宋体" w:eastAsia="宋体" w:cs="宋体"/>
          <w:color w:val="auto"/>
          <w:sz w:val="24"/>
          <w:highlight w:val="none"/>
        </w:rPr>
      </w:pPr>
      <w:r>
        <w:rPr>
          <w:rFonts w:hint="eastAsia" w:ascii="宋体" w:hAnsi="宋体" w:eastAsia="宋体" w:cs="宋体"/>
          <w:b w:val="0"/>
          <w:color w:val="auto"/>
          <w:sz w:val="24"/>
          <w:highlight w:val="none"/>
        </w:rPr>
        <w:br w:type="page"/>
      </w:r>
      <w:bookmarkStart w:id="227" w:name="_Toc26536"/>
      <w:bookmarkStart w:id="228" w:name="_Toc23860"/>
      <w:bookmarkStart w:id="229" w:name="_Hlk11701496"/>
      <w:r>
        <w:rPr>
          <w:rFonts w:hint="eastAsia" w:ascii="宋体" w:hAnsi="宋体" w:eastAsia="宋体" w:cs="宋体"/>
          <w:color w:val="auto"/>
          <w:sz w:val="24"/>
          <w:highlight w:val="none"/>
        </w:rPr>
        <w:t>（2）诚信履约承诺函</w:t>
      </w:r>
      <w:bookmarkEnd w:id="227"/>
      <w:bookmarkEnd w:id="228"/>
    </w:p>
    <w:p w14:paraId="18F39ED5">
      <w:pPr>
        <w:spacing w:line="440" w:lineRule="exact"/>
        <w:rPr>
          <w:rFonts w:hint="eastAsia" w:ascii="宋体" w:hAnsi="宋体" w:eastAsia="宋体" w:cs="宋体"/>
          <w:b/>
          <w:bCs/>
          <w:color w:val="auto"/>
          <w:sz w:val="24"/>
          <w:highlight w:val="none"/>
        </w:rPr>
      </w:pPr>
    </w:p>
    <w:p w14:paraId="491B4B4B">
      <w:pPr>
        <w:spacing w:line="440" w:lineRule="exact"/>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rPr>
        <w:t>致：采购人</w:t>
      </w:r>
    </w:p>
    <w:p w14:paraId="65BE4E1D">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0CE9A3B0">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（1）中标或者成交后无正当理由拒不与采购人签订政府采购合同；</w:t>
      </w:r>
    </w:p>
    <w:p w14:paraId="4B8F5626">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（2）未按照采购文件确定的事项签订政府采购合同；</w:t>
      </w:r>
    </w:p>
    <w:p w14:paraId="3D067A18">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（3）将政府采购合同转包；</w:t>
      </w:r>
    </w:p>
    <w:p w14:paraId="6E2FFF21">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（4）提供假冒伪劣产品；</w:t>
      </w:r>
    </w:p>
    <w:p w14:paraId="2980C5F9">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（5）擅自变更、中止或者终止政府采购合同。</w:t>
      </w:r>
    </w:p>
    <w:p w14:paraId="394C034A">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F08925E">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本承诺声明：</w:t>
      </w:r>
      <w:r>
        <w:rPr>
          <w:rFonts w:hint="eastAsia" w:ascii="宋体" w:hAnsi="宋体" w:eastAsia="宋体" w:cs="宋体"/>
          <w:bCs/>
          <w:color w:val="auto"/>
          <w:sz w:val="24"/>
          <w:highlight w:val="none"/>
          <w:u w:val="single"/>
        </w:rPr>
        <w:t xml:space="preserve">                   （投标人名称）</w:t>
      </w:r>
      <w:r>
        <w:rPr>
          <w:rFonts w:hint="eastAsia" w:ascii="宋体" w:hAnsi="宋体" w:eastAsia="宋体" w:cs="宋体"/>
          <w:bCs/>
          <w:color w:val="auto"/>
          <w:sz w:val="24"/>
          <w:highlight w:val="none"/>
        </w:rPr>
        <w:t>对本招标文件的相关要求完全响应，配备人员数量和要求不低于采购需求的要求。若有幸中标将严格按照以上承诺进行供货和服务。</w:t>
      </w:r>
    </w:p>
    <w:p w14:paraId="7AFCD8D6">
      <w:pPr>
        <w:spacing w:line="440" w:lineRule="exact"/>
        <w:rPr>
          <w:rFonts w:hint="eastAsia" w:ascii="宋体" w:hAnsi="宋体" w:eastAsia="宋体" w:cs="宋体"/>
          <w:bCs/>
          <w:color w:val="auto"/>
          <w:sz w:val="24"/>
          <w:highlight w:val="none"/>
        </w:rPr>
      </w:pPr>
    </w:p>
    <w:p w14:paraId="31BA4D54">
      <w:pPr>
        <w:spacing w:line="440" w:lineRule="exact"/>
        <w:rPr>
          <w:rFonts w:hint="eastAsia" w:ascii="宋体" w:hAnsi="宋体" w:eastAsia="宋体" w:cs="宋体"/>
          <w:bCs/>
          <w:color w:val="auto"/>
          <w:sz w:val="24"/>
          <w:highlight w:val="none"/>
        </w:rPr>
      </w:pPr>
    </w:p>
    <w:p w14:paraId="47257FA2">
      <w:pPr>
        <w:spacing w:line="440" w:lineRule="exact"/>
        <w:ind w:firstLine="4320" w:firstLineChars="18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投标人电子签章：</w:t>
      </w:r>
      <w:r>
        <w:rPr>
          <w:rFonts w:hint="eastAsia" w:ascii="宋体" w:hAnsi="宋体" w:eastAsia="宋体" w:cs="宋体"/>
          <w:bCs/>
          <w:color w:val="auto"/>
          <w:sz w:val="24"/>
          <w:highlight w:val="none"/>
          <w:u w:val="single"/>
        </w:rPr>
        <w:t xml:space="preserve">             </w:t>
      </w:r>
    </w:p>
    <w:p w14:paraId="1AE0FE32">
      <w:pPr>
        <w:spacing w:line="440" w:lineRule="exact"/>
        <w:ind w:firstLine="4320" w:firstLineChars="18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eastAsia="宋体" w:cs="宋体"/>
          <w:bCs/>
          <w:color w:val="auto"/>
          <w:sz w:val="24"/>
          <w:highlight w:val="none"/>
          <w:u w:val="single"/>
        </w:rPr>
        <w:t xml:space="preserve">             </w:t>
      </w:r>
    </w:p>
    <w:p w14:paraId="015DB3DB">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bookmarkEnd w:id="229"/>
    <w:p w14:paraId="3324268B">
      <w:pPr>
        <w:spacing w:line="440" w:lineRule="exact"/>
        <w:rPr>
          <w:rFonts w:hint="eastAsia" w:ascii="宋体" w:hAnsi="宋体" w:eastAsia="宋体" w:cs="宋体"/>
          <w:b/>
          <w:color w:val="auto"/>
          <w:sz w:val="28"/>
          <w:szCs w:val="28"/>
          <w:highlight w:val="none"/>
          <w:bdr w:val="single" w:color="000000" w:sz="4" w:space="0"/>
        </w:rPr>
      </w:pPr>
      <w:r>
        <w:rPr>
          <w:rFonts w:hint="eastAsia" w:ascii="宋体" w:hAnsi="宋体" w:eastAsia="宋体" w:cs="宋体"/>
          <w:b/>
          <w:color w:val="auto"/>
          <w:sz w:val="28"/>
          <w:szCs w:val="28"/>
          <w:highlight w:val="none"/>
        </w:rPr>
        <w:t>三、商务标格式文件</w:t>
      </w:r>
    </w:p>
    <w:p w14:paraId="2C186FC3">
      <w:pPr>
        <w:jc w:val="center"/>
        <w:rPr>
          <w:rFonts w:hint="eastAsia" w:ascii="宋体" w:hAnsi="宋体" w:eastAsia="宋体" w:cs="宋体"/>
          <w:color w:val="auto"/>
          <w:sz w:val="20"/>
          <w:highlight w:val="none"/>
        </w:rPr>
      </w:pPr>
    </w:p>
    <w:p w14:paraId="34F795FE">
      <w:pPr>
        <w:rPr>
          <w:rFonts w:hint="eastAsia" w:ascii="宋体" w:hAnsi="宋体" w:eastAsia="宋体" w:cs="宋体"/>
          <w:color w:val="auto"/>
          <w:sz w:val="20"/>
          <w:highlight w:val="none"/>
        </w:rPr>
      </w:pPr>
    </w:p>
    <w:p w14:paraId="4EEFBEE1">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商务标</w:t>
      </w:r>
    </w:p>
    <w:p w14:paraId="32C25848">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（投标文件三）</w:t>
      </w:r>
    </w:p>
    <w:p w14:paraId="3AB93ECA">
      <w:pPr>
        <w:jc w:val="center"/>
        <w:rPr>
          <w:rFonts w:hint="eastAsia" w:ascii="宋体" w:hAnsi="宋体" w:eastAsia="宋体" w:cs="宋体"/>
          <w:color w:val="auto"/>
          <w:sz w:val="44"/>
          <w:szCs w:val="44"/>
          <w:highlight w:val="none"/>
        </w:rPr>
      </w:pPr>
    </w:p>
    <w:p w14:paraId="0DED4521">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项目</w:t>
      </w:r>
    </w:p>
    <w:p w14:paraId="6FCA7ADF">
      <w:pPr>
        <w:jc w:val="center"/>
        <w:rPr>
          <w:rFonts w:hint="eastAsia" w:ascii="宋体" w:hAnsi="宋体" w:eastAsia="宋体" w:cs="宋体"/>
          <w:color w:val="auto"/>
          <w:sz w:val="44"/>
          <w:szCs w:val="44"/>
          <w:highlight w:val="none"/>
        </w:rPr>
      </w:pP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u w:val="single"/>
        </w:rPr>
        <w:t xml:space="preserve">     </w:t>
      </w:r>
    </w:p>
    <w:p w14:paraId="3D8A347F">
      <w:pPr>
        <w:rPr>
          <w:rFonts w:hint="eastAsia" w:ascii="宋体" w:hAnsi="宋体" w:eastAsia="宋体" w:cs="宋体"/>
          <w:color w:val="auto"/>
          <w:sz w:val="28"/>
          <w:szCs w:val="28"/>
          <w:highlight w:val="none"/>
        </w:rPr>
      </w:pPr>
    </w:p>
    <w:p w14:paraId="0C3CDA01">
      <w:pPr>
        <w:rPr>
          <w:rFonts w:hint="eastAsia" w:ascii="宋体" w:hAnsi="宋体" w:eastAsia="宋体" w:cs="宋体"/>
          <w:color w:val="auto"/>
          <w:sz w:val="28"/>
          <w:szCs w:val="28"/>
          <w:highlight w:val="none"/>
        </w:rPr>
      </w:pPr>
    </w:p>
    <w:p w14:paraId="1D45D43B">
      <w:pPr>
        <w:rPr>
          <w:rFonts w:hint="eastAsia" w:ascii="宋体" w:hAnsi="宋体" w:eastAsia="宋体" w:cs="宋体"/>
          <w:color w:val="auto"/>
          <w:sz w:val="28"/>
          <w:szCs w:val="28"/>
          <w:highlight w:val="none"/>
        </w:rPr>
      </w:pPr>
    </w:p>
    <w:p w14:paraId="4F76FFC4">
      <w:pPr>
        <w:rPr>
          <w:rFonts w:hint="eastAsia" w:ascii="宋体" w:hAnsi="宋体" w:eastAsia="宋体" w:cs="宋体"/>
          <w:color w:val="auto"/>
          <w:sz w:val="28"/>
          <w:szCs w:val="28"/>
          <w:highlight w:val="none"/>
        </w:rPr>
      </w:pPr>
    </w:p>
    <w:p w14:paraId="0E1AF5F5">
      <w:pPr>
        <w:rPr>
          <w:rFonts w:hint="eastAsia" w:ascii="宋体" w:hAnsi="宋体" w:eastAsia="宋体" w:cs="宋体"/>
          <w:color w:val="auto"/>
          <w:sz w:val="28"/>
          <w:szCs w:val="28"/>
          <w:highlight w:val="none"/>
        </w:rPr>
      </w:pPr>
    </w:p>
    <w:p w14:paraId="1B71633D">
      <w:pPr>
        <w:rPr>
          <w:rFonts w:hint="eastAsia" w:ascii="宋体" w:hAnsi="宋体" w:eastAsia="宋体" w:cs="宋体"/>
          <w:color w:val="auto"/>
          <w:sz w:val="28"/>
          <w:szCs w:val="28"/>
          <w:highlight w:val="none"/>
        </w:rPr>
      </w:pPr>
    </w:p>
    <w:p w14:paraId="2A442D69">
      <w:pPr>
        <w:rPr>
          <w:rFonts w:hint="eastAsia" w:ascii="宋体" w:hAnsi="宋体" w:eastAsia="宋体" w:cs="宋体"/>
          <w:color w:val="auto"/>
          <w:sz w:val="28"/>
          <w:szCs w:val="28"/>
          <w:highlight w:val="none"/>
        </w:rPr>
      </w:pPr>
    </w:p>
    <w:p w14:paraId="0D6A1754">
      <w:pPr>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（签章）</w:t>
      </w:r>
    </w:p>
    <w:p w14:paraId="13A72CCF">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（签章）</w:t>
      </w:r>
    </w:p>
    <w:p w14:paraId="11C68C16">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0681EB1C">
      <w:pPr>
        <w:spacing w:line="720" w:lineRule="auto"/>
        <w:jc w:val="center"/>
        <w:rPr>
          <w:rFonts w:hint="eastAsia" w:ascii="宋体" w:hAnsi="宋体" w:eastAsia="宋体" w:cs="宋体"/>
          <w:b/>
          <w:color w:val="auto"/>
          <w:sz w:val="36"/>
          <w:szCs w:val="36"/>
          <w:highlight w:val="none"/>
        </w:rPr>
      </w:pPr>
    </w:p>
    <w:p w14:paraId="2A2102B1">
      <w:pPr>
        <w:spacing w:line="400" w:lineRule="exact"/>
        <w:ind w:firstLine="4130" w:firstLineChars="935"/>
        <w:rPr>
          <w:rFonts w:hint="eastAsia" w:ascii="宋体" w:hAnsi="宋体" w:eastAsia="宋体" w:cs="宋体"/>
          <w:b/>
          <w:color w:val="auto"/>
          <w:sz w:val="44"/>
          <w:szCs w:val="44"/>
          <w:highlight w:val="none"/>
        </w:rPr>
      </w:pPr>
    </w:p>
    <w:p w14:paraId="0138141E">
      <w:pPr>
        <w:spacing w:line="400" w:lineRule="exact"/>
        <w:ind w:firstLine="4130" w:firstLineChars="935"/>
        <w:rPr>
          <w:rFonts w:hint="eastAsia" w:ascii="宋体" w:hAnsi="宋体" w:eastAsia="宋体" w:cs="宋体"/>
          <w:b/>
          <w:color w:val="auto"/>
          <w:sz w:val="44"/>
          <w:szCs w:val="44"/>
          <w:highlight w:val="none"/>
        </w:rPr>
      </w:pPr>
    </w:p>
    <w:p w14:paraId="4811A639">
      <w:pPr>
        <w:pageBreakBefore/>
        <w:jc w:val="center"/>
        <w:rPr>
          <w:rFonts w:hint="eastAsia" w:ascii="宋体" w:hAnsi="宋体" w:eastAsia="宋体" w:cs="宋体"/>
          <w:b/>
          <w:color w:val="auto"/>
          <w:sz w:val="44"/>
          <w:szCs w:val="44"/>
          <w:highlight w:val="none"/>
        </w:rPr>
      </w:pPr>
      <w:r>
        <w:rPr>
          <w:rFonts w:hint="eastAsia" w:ascii="宋体" w:hAnsi="宋体" w:eastAsia="宋体" w:cs="宋体"/>
          <w:b/>
          <w:color w:val="auto"/>
          <w:sz w:val="36"/>
          <w:szCs w:val="36"/>
          <w:highlight w:val="none"/>
        </w:rPr>
        <w:t>目   录</w:t>
      </w:r>
    </w:p>
    <w:p w14:paraId="26836F13">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（1）开标一览表（格式见附件）；</w:t>
      </w:r>
    </w:p>
    <w:p w14:paraId="05699B10">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（2）投标函（格式见附件）；</w:t>
      </w:r>
    </w:p>
    <w:p w14:paraId="22280DB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（3）中小企业声明函，残疾人福利性企业（格式见附件）；（如是）</w:t>
      </w:r>
    </w:p>
    <w:p w14:paraId="0E57AAE3">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）省级以上监狱管理局、戒毒管理局（含新疆生产建设兵团）出具的属于监狱企业的证明（如是）；</w:t>
      </w:r>
    </w:p>
    <w:p w14:paraId="7782995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）招标文件商务评审中要求提供的其他相关资料；</w:t>
      </w:r>
    </w:p>
    <w:p w14:paraId="0EED1DA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）投标人认为需要提供的其他材料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3CCA11ED">
      <w:pPr>
        <w:spacing w:line="440" w:lineRule="exact"/>
        <w:rPr>
          <w:rFonts w:hint="eastAsia" w:ascii="宋体" w:hAnsi="宋体" w:eastAsia="宋体" w:cs="宋体"/>
          <w:color w:val="auto"/>
          <w:sz w:val="24"/>
          <w:szCs w:val="24"/>
          <w:highlight w:val="none"/>
        </w:rPr>
      </w:pPr>
    </w:p>
    <w:p w14:paraId="3BE5F4FC">
      <w:pPr>
        <w:pageBreakBefore/>
        <w:spacing w:line="440" w:lineRule="exact"/>
        <w:jc w:val="center"/>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（1）开标一览表</w:t>
      </w:r>
      <w:bookmarkEnd w:id="217"/>
      <w:bookmarkEnd w:id="218"/>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1196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352" w:type="pct"/>
            <w:tcBorders>
              <w:top w:val="single" w:color="auto" w:sz="4" w:space="0"/>
              <w:bottom w:val="single" w:color="auto" w:sz="4" w:space="0"/>
              <w:right w:val="single" w:color="auto" w:sz="4" w:space="0"/>
            </w:tcBorders>
            <w:vAlign w:val="center"/>
          </w:tcPr>
          <w:p w14:paraId="2B632C52">
            <w:pPr>
              <w:widowControl/>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tc>
        <w:tc>
          <w:tcPr>
            <w:tcW w:w="3648" w:type="pct"/>
            <w:tcBorders>
              <w:top w:val="single" w:color="auto" w:sz="4" w:space="0"/>
              <w:bottom w:val="single" w:color="auto" w:sz="4" w:space="0"/>
              <w:right w:val="single" w:color="auto" w:sz="4" w:space="0"/>
            </w:tcBorders>
            <w:vAlign w:val="center"/>
          </w:tcPr>
          <w:p w14:paraId="33E086E9">
            <w:pPr>
              <w:spacing w:line="440" w:lineRule="exact"/>
              <w:jc w:val="center"/>
              <w:rPr>
                <w:rFonts w:hint="eastAsia" w:ascii="宋体" w:hAnsi="宋体" w:eastAsia="宋体" w:cs="宋体"/>
                <w:bCs/>
                <w:color w:val="auto"/>
                <w:sz w:val="24"/>
                <w:highlight w:val="none"/>
                <w:u w:val="single"/>
              </w:rPr>
            </w:pPr>
          </w:p>
        </w:tc>
      </w:tr>
      <w:tr w14:paraId="06397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3D31F48E">
            <w:pPr>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投标人全称</w:t>
            </w:r>
          </w:p>
        </w:tc>
        <w:tc>
          <w:tcPr>
            <w:tcW w:w="3648" w:type="pct"/>
            <w:tcBorders>
              <w:top w:val="nil"/>
            </w:tcBorders>
            <w:vAlign w:val="center"/>
          </w:tcPr>
          <w:p w14:paraId="69AC53DD">
            <w:pPr>
              <w:spacing w:line="440" w:lineRule="exact"/>
              <w:rPr>
                <w:rFonts w:hint="eastAsia" w:ascii="宋体" w:hAnsi="宋体" w:eastAsia="宋体" w:cs="宋体"/>
                <w:color w:val="auto"/>
                <w:sz w:val="24"/>
                <w:highlight w:val="none"/>
              </w:rPr>
            </w:pPr>
          </w:p>
        </w:tc>
      </w:tr>
      <w:tr w14:paraId="597B3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15756EBC">
            <w:pPr>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投标范围</w:t>
            </w:r>
          </w:p>
        </w:tc>
        <w:tc>
          <w:tcPr>
            <w:tcW w:w="3648" w:type="pct"/>
            <w:tcBorders>
              <w:top w:val="nil"/>
            </w:tcBorders>
            <w:vAlign w:val="center"/>
          </w:tcPr>
          <w:p w14:paraId="608972EF">
            <w:pPr>
              <w:widowControl/>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全部</w:t>
            </w:r>
          </w:p>
        </w:tc>
      </w:tr>
      <w:tr w14:paraId="7F07D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0DCD07E5">
            <w:pPr>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w:t>
            </w:r>
          </w:p>
        </w:tc>
        <w:tc>
          <w:tcPr>
            <w:tcW w:w="3648" w:type="pct"/>
            <w:tcBorders>
              <w:top w:val="nil"/>
            </w:tcBorders>
            <w:vAlign w:val="center"/>
          </w:tcPr>
          <w:p w14:paraId="59245FC2">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103C3D69">
            <w:pPr>
              <w:snapToGrid w:val="0"/>
              <w:spacing w:line="440" w:lineRule="exact"/>
              <w:jc w:val="left"/>
              <w:rPr>
                <w:rFonts w:hint="eastAsia" w:ascii="宋体" w:hAnsi="宋体" w:eastAsia="宋体" w:cs="宋体"/>
                <w:color w:val="auto"/>
                <w:sz w:val="24"/>
                <w:highlight w:val="none"/>
                <w:lang w:eastAsia="zh-CN"/>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14:paraId="5E02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03F3588F">
            <w:pPr>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其他</w:t>
            </w:r>
          </w:p>
        </w:tc>
        <w:tc>
          <w:tcPr>
            <w:tcW w:w="3648" w:type="pct"/>
            <w:tcBorders>
              <w:top w:val="nil"/>
            </w:tcBorders>
            <w:vAlign w:val="center"/>
          </w:tcPr>
          <w:p w14:paraId="27B661BD">
            <w:pPr>
              <w:spacing w:line="440" w:lineRule="exact"/>
              <w:jc w:val="left"/>
              <w:rPr>
                <w:rFonts w:hint="eastAsia" w:ascii="宋体" w:hAnsi="宋体" w:eastAsia="宋体" w:cs="宋体"/>
                <w:color w:val="auto"/>
                <w:sz w:val="24"/>
                <w:szCs w:val="28"/>
                <w:highlight w:val="none"/>
              </w:rPr>
            </w:pPr>
          </w:p>
        </w:tc>
      </w:tr>
    </w:tbl>
    <w:p w14:paraId="3BD6BB2C">
      <w:pPr>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66059183">
      <w:pPr>
        <w:tabs>
          <w:tab w:val="left" w:pos="630"/>
        </w:tabs>
        <w:spacing w:line="440" w:lineRule="exact"/>
        <w:ind w:firstLine="4800" w:firstLineChars="20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6866A9E7">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w:t>
      </w:r>
    </w:p>
    <w:p w14:paraId="6115FF0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1.此表用于开标唱标之用。</w:t>
      </w:r>
    </w:p>
    <w:p w14:paraId="6BEF009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2.表中投标报价即为优惠后报价，并作为评审及定标依据。任何有选择或有条件的投标报价，或者表中某一包别填写多个报价，均为无效报价。</w:t>
      </w:r>
    </w:p>
    <w:p w14:paraId="12C3538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3.表中大写金额与小写金额不一致的，以大写金额为准。</w:t>
      </w:r>
      <w:r>
        <w:rPr>
          <w:rFonts w:hint="eastAsia" w:ascii="宋体" w:hAnsi="宋体" w:eastAsia="宋体" w:cs="宋体"/>
          <w:color w:val="auto"/>
          <w:sz w:val="24"/>
          <w:highlight w:val="none"/>
        </w:rPr>
        <w:br w:type="page"/>
      </w:r>
    </w:p>
    <w:p w14:paraId="11A93E41">
      <w:pPr>
        <w:spacing w:line="440" w:lineRule="exact"/>
        <w:jc w:val="center"/>
        <w:outlineLvl w:val="1"/>
        <w:rPr>
          <w:rFonts w:hint="eastAsia" w:ascii="宋体" w:hAnsi="宋体" w:eastAsia="宋体" w:cs="宋体"/>
          <w:b/>
          <w:color w:val="auto"/>
          <w:sz w:val="24"/>
          <w:highlight w:val="none"/>
        </w:rPr>
      </w:pPr>
      <w:bookmarkStart w:id="230" w:name="_Toc6120"/>
      <w:bookmarkStart w:id="231" w:name="_Toc6441"/>
      <w:r>
        <w:rPr>
          <w:rFonts w:hint="eastAsia" w:ascii="宋体" w:hAnsi="宋体" w:eastAsia="宋体" w:cs="宋体"/>
          <w:b/>
          <w:color w:val="auto"/>
          <w:sz w:val="24"/>
          <w:highlight w:val="none"/>
        </w:rPr>
        <w:t>（2）投标函</w:t>
      </w:r>
      <w:bookmarkEnd w:id="230"/>
      <w:bookmarkEnd w:id="231"/>
    </w:p>
    <w:p w14:paraId="50DFF027">
      <w:pPr>
        <w:pStyle w:val="18"/>
        <w:spacing w:line="44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w:t>
      </w:r>
    </w:p>
    <w:p w14:paraId="5575CC5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根据贵方的招标公告和投标邀请，我方兹宣布同意如下：</w:t>
      </w:r>
    </w:p>
    <w:p w14:paraId="57EF0AE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2100369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2.我方已详细审核全部招标文件，包括招标文件附件及更正公告（如有），我方正式认可并遵守本次招标文件，并对招标文件各项条款、规定及要求均无异议。</w:t>
      </w:r>
    </w:p>
    <w:p w14:paraId="718B194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3.我方同意从招标文件规定的开标日期起遵循本招标文件，并在招标文件规定的投标有效期之前均具有约束力。</w:t>
      </w:r>
    </w:p>
    <w:p w14:paraId="518F44D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40D4C1B5">
      <w:pPr>
        <w:spacing w:line="440" w:lineRule="exact"/>
        <w:ind w:firstLine="4800" w:firstLineChars="2000"/>
        <w:rPr>
          <w:rFonts w:hint="eastAsia" w:ascii="宋体" w:hAnsi="宋体" w:eastAsia="宋体" w:cs="宋体"/>
          <w:color w:val="auto"/>
          <w:sz w:val="24"/>
          <w:highlight w:val="none"/>
        </w:rPr>
      </w:pPr>
    </w:p>
    <w:p w14:paraId="4A8A8C9E">
      <w:pPr>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2BDAFA07">
      <w:pPr>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6D152E94">
      <w:pPr>
        <w:spacing w:line="360" w:lineRule="auto"/>
        <w:jc w:val="center"/>
        <w:outlineLvl w:val="1"/>
        <w:rPr>
          <w:rFonts w:hint="eastAsia" w:ascii="宋体" w:hAnsi="宋体" w:eastAsia="宋体" w:cs="宋体"/>
          <w:b/>
          <w:color w:val="auto"/>
          <w:sz w:val="24"/>
          <w:highlight w:val="none"/>
        </w:rPr>
      </w:pPr>
      <w:r>
        <w:rPr>
          <w:rFonts w:hint="eastAsia" w:ascii="宋体" w:hAnsi="宋体" w:eastAsia="宋体" w:cs="宋体"/>
          <w:color w:val="auto"/>
          <w:sz w:val="24"/>
          <w:highlight w:val="none"/>
          <w:u w:val="single"/>
        </w:rPr>
        <w:br w:type="page"/>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）中小企业声明函</w:t>
      </w:r>
    </w:p>
    <w:p w14:paraId="3D7EFA58">
      <w:pPr>
        <w:rPr>
          <w:rFonts w:hint="eastAsia" w:ascii="宋体" w:hAnsi="宋体" w:eastAsia="宋体" w:cs="宋体"/>
          <w:color w:val="auto"/>
          <w:sz w:val="24"/>
          <w:szCs w:val="24"/>
          <w:highlight w:val="none"/>
        </w:rPr>
      </w:pPr>
    </w:p>
    <w:p w14:paraId="032C669F">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lang w:val="zh-CN"/>
        </w:rPr>
        <w:t>单位</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lang w:val="zh-CN"/>
        </w:rPr>
        <w:t>）的（</w:t>
      </w:r>
      <w:r>
        <w:rPr>
          <w:rFonts w:hint="eastAsia" w:ascii="宋体" w:hAnsi="宋体" w:eastAsia="宋体" w:cs="宋体"/>
          <w:color w:val="auto"/>
          <w:sz w:val="24"/>
          <w:szCs w:val="24"/>
          <w:highlight w:val="none"/>
          <w:u w:val="single"/>
          <w:lang w:val="zh-CN"/>
        </w:rPr>
        <w:t>项目</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lang w:val="zh-CN"/>
        </w:rPr>
        <w:t xml:space="preserve">）采购活动，服务全部由符合政策要求的中小企业承接。相关企业（含联合体中的中小企业、签订分包意向协议的中小企业）的具体情况如下： </w:t>
      </w:r>
    </w:p>
    <w:p w14:paraId="389E08F6">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u w:val="single"/>
          <w:lang w:val="zh-CN"/>
        </w:rPr>
        <w:t xml:space="preserve"> （标的名称） </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（采购文件中明确的所属行业）</w:t>
      </w:r>
      <w:r>
        <w:rPr>
          <w:rFonts w:hint="eastAsia" w:ascii="宋体" w:hAnsi="宋体" w:eastAsia="宋体" w:cs="宋体"/>
          <w:color w:val="auto"/>
          <w:sz w:val="24"/>
          <w:szCs w:val="24"/>
          <w:highlight w:val="none"/>
          <w:lang w:val="zh-CN"/>
        </w:rPr>
        <w:t>行业；承接企业为</w:t>
      </w:r>
      <w:r>
        <w:rPr>
          <w:rFonts w:hint="eastAsia" w:ascii="宋体" w:hAnsi="宋体" w:eastAsia="宋体" w:cs="宋体"/>
          <w:color w:val="auto"/>
          <w:sz w:val="24"/>
          <w:szCs w:val="24"/>
          <w:highlight w:val="none"/>
          <w:u w:val="single"/>
          <w:lang w:val="zh-CN"/>
        </w:rPr>
        <w:t>（企业名称）</w:t>
      </w:r>
      <w:r>
        <w:rPr>
          <w:rFonts w:hint="eastAsia" w:ascii="宋体" w:hAnsi="宋体" w:eastAsia="宋体" w:cs="宋体"/>
          <w:color w:val="auto"/>
          <w:sz w:val="24"/>
          <w:szCs w:val="24"/>
          <w:highlight w:val="none"/>
          <w:lang w:val="zh-CN"/>
        </w:rPr>
        <w:t>，从业人员</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人，营业收入为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万元，资产总额为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万元，属于</w:t>
      </w:r>
      <w:r>
        <w:rPr>
          <w:rFonts w:hint="eastAsia" w:ascii="宋体" w:hAnsi="宋体" w:eastAsia="宋体" w:cs="宋体"/>
          <w:color w:val="auto"/>
          <w:sz w:val="24"/>
          <w:szCs w:val="24"/>
          <w:highlight w:val="none"/>
          <w:u w:val="single"/>
          <w:lang w:val="zh-CN"/>
        </w:rPr>
        <w:t>（中型企业、小型企业、微型企业）</w:t>
      </w:r>
      <w:r>
        <w:rPr>
          <w:rFonts w:hint="eastAsia" w:ascii="宋体" w:hAnsi="宋体" w:eastAsia="宋体" w:cs="宋体"/>
          <w:color w:val="auto"/>
          <w:sz w:val="24"/>
          <w:szCs w:val="24"/>
          <w:highlight w:val="none"/>
          <w:lang w:val="zh-CN"/>
        </w:rPr>
        <w:t xml:space="preserve">； </w:t>
      </w:r>
    </w:p>
    <w:p w14:paraId="6FA9A1E4">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u w:val="single"/>
          <w:lang w:val="zh-CN"/>
        </w:rPr>
        <w:t xml:space="preserve"> （标的名称） </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（采购文件中明确的所属行业）</w:t>
      </w:r>
      <w:r>
        <w:rPr>
          <w:rFonts w:hint="eastAsia" w:ascii="宋体" w:hAnsi="宋体" w:eastAsia="宋体" w:cs="宋体"/>
          <w:color w:val="auto"/>
          <w:sz w:val="24"/>
          <w:szCs w:val="24"/>
          <w:highlight w:val="none"/>
          <w:lang w:val="zh-CN"/>
        </w:rPr>
        <w:t>行业；承接企业为</w:t>
      </w:r>
      <w:r>
        <w:rPr>
          <w:rFonts w:hint="eastAsia" w:ascii="宋体" w:hAnsi="宋体" w:eastAsia="宋体" w:cs="宋体"/>
          <w:color w:val="auto"/>
          <w:sz w:val="24"/>
          <w:szCs w:val="24"/>
          <w:highlight w:val="none"/>
          <w:u w:val="single"/>
          <w:lang w:val="zh-CN"/>
        </w:rPr>
        <w:t>（企业名称）</w:t>
      </w:r>
      <w:r>
        <w:rPr>
          <w:rFonts w:hint="eastAsia" w:ascii="宋体" w:hAnsi="宋体" w:eastAsia="宋体" w:cs="宋体"/>
          <w:color w:val="auto"/>
          <w:sz w:val="24"/>
          <w:szCs w:val="24"/>
          <w:highlight w:val="none"/>
          <w:lang w:val="zh-CN"/>
        </w:rPr>
        <w:t>，从业人员</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人，营业收入为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万元，资产总额为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万元，属于</w:t>
      </w:r>
      <w:r>
        <w:rPr>
          <w:rFonts w:hint="eastAsia" w:ascii="宋体" w:hAnsi="宋体" w:eastAsia="宋体" w:cs="宋体"/>
          <w:color w:val="auto"/>
          <w:sz w:val="24"/>
          <w:szCs w:val="24"/>
          <w:highlight w:val="none"/>
          <w:u w:val="single"/>
          <w:lang w:val="zh-CN"/>
        </w:rPr>
        <w:t>（中型企业、小型企业、微型企业）</w:t>
      </w:r>
      <w:r>
        <w:rPr>
          <w:rFonts w:hint="eastAsia" w:ascii="宋体" w:hAnsi="宋体" w:eastAsia="宋体" w:cs="宋体"/>
          <w:color w:val="auto"/>
          <w:sz w:val="24"/>
          <w:szCs w:val="24"/>
          <w:highlight w:val="none"/>
          <w:lang w:val="zh-CN"/>
        </w:rPr>
        <w:t xml:space="preserve">； </w:t>
      </w:r>
    </w:p>
    <w:p w14:paraId="511AF029">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p>
    <w:p w14:paraId="36848C8A">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以上企业，不属于大企业的分支机构，不存在控股股东为大企业的情形，也不存在与大企业的负责人为同一人的情形。</w:t>
      </w:r>
    </w:p>
    <w:p w14:paraId="3E68E9DE">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本企业对上述声明内容的真实性负责。如有虚假，将依法承担相应责任。 </w:t>
      </w:r>
    </w:p>
    <w:p w14:paraId="416C32DC">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24"/>
          <w:highlight w:val="none"/>
        </w:rPr>
      </w:pPr>
    </w:p>
    <w:p w14:paraId="1506F264">
      <w:pPr>
        <w:keepNext w:val="0"/>
        <w:keepLines w:val="0"/>
        <w:pageBreakBefore w:val="0"/>
        <w:widowControl w:val="0"/>
        <w:kinsoku/>
        <w:wordWrap/>
        <w:overflowPunct/>
        <w:topLinePunct w:val="0"/>
        <w:autoSpaceDE/>
        <w:autoSpaceDN/>
        <w:bidi w:val="0"/>
        <w:adjustRightInd/>
        <w:snapToGrid/>
        <w:spacing w:line="420" w:lineRule="exact"/>
        <w:ind w:firstLine="4228" w:firstLineChars="176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投标人电子签章：</w:t>
      </w:r>
      <w:r>
        <w:rPr>
          <w:rFonts w:hint="eastAsia" w:ascii="宋体" w:hAnsi="宋体" w:eastAsia="宋体" w:cs="宋体"/>
          <w:color w:val="auto"/>
          <w:sz w:val="24"/>
          <w:szCs w:val="24"/>
          <w:highlight w:val="none"/>
          <w:u w:val="single"/>
        </w:rPr>
        <w:t xml:space="preserve">             </w:t>
      </w:r>
    </w:p>
    <w:p w14:paraId="7A699EB3">
      <w:pPr>
        <w:keepNext w:val="0"/>
        <w:keepLines w:val="0"/>
        <w:pageBreakBefore w:val="0"/>
        <w:widowControl w:val="0"/>
        <w:tabs>
          <w:tab w:val="left" w:pos="4620"/>
        </w:tabs>
        <w:kinsoku/>
        <w:wordWrap/>
        <w:overflowPunct/>
        <w:topLinePunct w:val="0"/>
        <w:autoSpaceDE/>
        <w:autoSpaceDN/>
        <w:bidi w:val="0"/>
        <w:adjustRightInd/>
        <w:snapToGrid/>
        <w:spacing w:line="420" w:lineRule="exact"/>
        <w:ind w:firstLine="4252" w:firstLineChars="177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132A7A03">
      <w:pPr>
        <w:tabs>
          <w:tab w:val="left" w:pos="4620"/>
        </w:tabs>
        <w:spacing w:line="360" w:lineRule="auto"/>
        <w:jc w:val="lef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注：</w:t>
      </w:r>
    </w:p>
    <w:p w14:paraId="5DE999AE">
      <w:pPr>
        <w:tabs>
          <w:tab w:val="left" w:pos="4620"/>
        </w:tabs>
        <w:spacing w:line="360" w:lineRule="auto"/>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1.从业人员、营业收入、资产总额填报上一年数据，无上一年数据的新成立企业可不填报。</w:t>
      </w:r>
    </w:p>
    <w:p w14:paraId="25647496">
      <w:pPr>
        <w:tabs>
          <w:tab w:val="left" w:pos="4620"/>
        </w:tabs>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投标人自行登录工业和信息化部官网进行中小企业规模类型自测（查询网址https://www.miit.gov.cn/）。</w:t>
      </w:r>
    </w:p>
    <w:p w14:paraId="5AFF5785">
      <w:pPr>
        <w:tabs>
          <w:tab w:val="left" w:pos="4620"/>
        </w:tabs>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”，详见第三章采购需求前附表中明确的“标的名称”。</w:t>
      </w:r>
    </w:p>
    <w:p w14:paraId="08FCCEBE">
      <w:pPr>
        <w:tabs>
          <w:tab w:val="left" w:pos="4620"/>
        </w:tabs>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”，详见第三章采购需求前附表中明确的“所属行业”。</w:t>
      </w:r>
    </w:p>
    <w:p w14:paraId="165F22B2">
      <w:pPr>
        <w:tabs>
          <w:tab w:val="left" w:pos="4620"/>
        </w:tabs>
        <w:spacing w:line="360" w:lineRule="auto"/>
        <w:jc w:val="left"/>
        <w:rPr>
          <w:rFonts w:hint="eastAsia" w:ascii="宋体" w:hAnsi="宋体" w:eastAsia="宋体" w:cs="宋体"/>
          <w:b/>
          <w:color w:val="auto"/>
          <w:sz w:val="24"/>
          <w:highlight w:val="none"/>
        </w:rPr>
      </w:pPr>
      <w:r>
        <w:rPr>
          <w:rFonts w:hint="eastAsia" w:ascii="宋体" w:hAnsi="宋体" w:eastAsia="宋体" w:cs="宋体"/>
          <w:b/>
          <w:bCs/>
          <w:color w:val="auto"/>
          <w:szCs w:val="21"/>
          <w:highlight w:val="none"/>
        </w:rPr>
        <w:t>5．填写示例：</w:t>
      </w:r>
      <w:r>
        <w:rPr>
          <w:rFonts w:hint="eastAsia" w:ascii="宋体" w:hAnsi="宋体" w:eastAsia="宋体" w:cs="宋体"/>
          <w:b/>
          <w:bCs/>
          <w:color w:val="auto"/>
          <w:szCs w:val="21"/>
          <w:highlight w:val="none"/>
          <w:u w:val="single"/>
        </w:rPr>
        <w:t>某标的名称</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u w:val="single"/>
        </w:rPr>
        <w:t>填写第三章采购需求前附表中明确的“标的名称”</w:t>
      </w:r>
      <w:r>
        <w:rPr>
          <w:rFonts w:hint="eastAsia" w:ascii="宋体" w:hAnsi="宋体" w:eastAsia="宋体" w:cs="宋体"/>
          <w:b/>
          <w:bCs/>
          <w:color w:val="auto"/>
          <w:szCs w:val="21"/>
          <w:highlight w:val="none"/>
        </w:rPr>
        <w:t>），属于</w:t>
      </w:r>
      <w:r>
        <w:rPr>
          <w:rFonts w:hint="eastAsia" w:ascii="宋体" w:hAnsi="宋体" w:eastAsia="宋体" w:cs="宋体"/>
          <w:b/>
          <w:bCs/>
          <w:color w:val="auto"/>
          <w:szCs w:val="21"/>
          <w:highlight w:val="none"/>
          <w:u w:val="single"/>
        </w:rPr>
        <w:t>（填写第三章采购需求前附表中明确的“所属行业”，如软件和信息技术服务业）</w:t>
      </w:r>
      <w:r>
        <w:rPr>
          <w:rFonts w:hint="eastAsia" w:ascii="宋体" w:hAnsi="宋体" w:eastAsia="宋体" w:cs="宋体"/>
          <w:b/>
          <w:bCs/>
          <w:color w:val="auto"/>
          <w:szCs w:val="21"/>
          <w:highlight w:val="none"/>
        </w:rPr>
        <w:t>行业；承接企业为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rPr>
        <w:t>中</w:t>
      </w:r>
      <w:r>
        <w:rPr>
          <w:rFonts w:hint="eastAsia" w:ascii="宋体" w:hAnsi="宋体" w:eastAsia="宋体" w:cs="宋体"/>
          <w:b/>
          <w:bCs/>
          <w:color w:val="auto"/>
          <w:szCs w:val="21"/>
          <w:highlight w:val="none"/>
          <w:u w:val="single"/>
          <w:lang w:val="zh-CN"/>
        </w:rPr>
        <w:t>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[投标人自行登录工业和信息化部官网进行中小企业规模类型自测（查询网址https://www.miit.gov.cn/）]</w:t>
      </w:r>
      <w:r>
        <w:rPr>
          <w:rFonts w:hint="eastAsia" w:ascii="宋体" w:hAnsi="宋体" w:eastAsia="宋体" w:cs="宋体"/>
          <w:b/>
          <w:bCs/>
          <w:color w:val="auto"/>
          <w:szCs w:val="21"/>
          <w:highlight w:val="none"/>
          <w:lang w:val="zh-CN"/>
        </w:rPr>
        <w:t>。</w:t>
      </w:r>
    </w:p>
    <w:p w14:paraId="037E903B">
      <w:pPr>
        <w:spacing w:line="360" w:lineRule="auto"/>
        <w:jc w:val="center"/>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）残疾人福利性单位声明函</w:t>
      </w:r>
    </w:p>
    <w:p w14:paraId="178F87D5">
      <w:pPr>
        <w:pStyle w:val="13"/>
        <w:jc w:val="center"/>
        <w:rPr>
          <w:rFonts w:hint="eastAsia" w:ascii="宋体" w:hAnsi="宋体" w:eastAsia="宋体" w:cs="宋体"/>
          <w:i/>
          <w:color w:val="auto"/>
          <w:sz w:val="24"/>
          <w:highlight w:val="none"/>
          <w:lang w:val="en-US"/>
        </w:rPr>
      </w:pPr>
      <w:r>
        <w:rPr>
          <w:rFonts w:hint="eastAsia" w:ascii="宋体" w:hAnsi="宋体" w:eastAsia="宋体" w:cs="宋体"/>
          <w:i/>
          <w:color w:val="auto"/>
          <w:sz w:val="24"/>
          <w:highlight w:val="none"/>
          <w:lang w:val="en-US"/>
        </w:rPr>
        <w:t>（非残疾人福利性单位投标，请删去“残疾人福利性单位声明函”）</w:t>
      </w:r>
    </w:p>
    <w:p w14:paraId="2D267FB5">
      <w:pPr>
        <w:spacing w:line="360" w:lineRule="auto"/>
        <w:ind w:firstLine="435"/>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w:t>
      </w:r>
      <w:r>
        <w:rPr>
          <w:rFonts w:hint="eastAsia" w:ascii="宋体" w:hAnsi="宋体" w:eastAsia="宋体" w:cs="宋体"/>
          <w:color w:val="auto"/>
          <w:sz w:val="24"/>
          <w:highlight w:val="none"/>
        </w:rPr>
        <w:t>郑重</w:t>
      </w:r>
      <w:r>
        <w:rPr>
          <w:rFonts w:hint="eastAsia" w:ascii="宋体" w:hAnsi="宋体" w:eastAsia="宋体" w:cs="宋体"/>
          <w:color w:val="auto"/>
          <w:spacing w:val="6"/>
          <w:sz w:val="24"/>
          <w:szCs w:val="24"/>
          <w:highlight w:val="none"/>
        </w:rPr>
        <w:t>声明，根据《财政部 民政部 中国残疾人联合会关于促进残疾人就业政府采购政策的通知》（财库</w:t>
      </w:r>
      <w:r>
        <w:rPr>
          <w:rFonts w:hint="eastAsia" w:ascii="宋体" w:hAnsi="宋体" w:eastAsia="宋体" w:cs="宋体"/>
          <w:color w:val="auto"/>
          <w:sz w:val="24"/>
          <w:szCs w:val="24"/>
          <w:highlight w:val="none"/>
        </w:rPr>
        <w:t>〔2017〕141</w:t>
      </w:r>
      <w:r>
        <w:rPr>
          <w:rFonts w:hint="eastAsia" w:ascii="宋体" w:hAnsi="宋体" w:eastAsia="宋体" w:cs="宋体"/>
          <w:color w:val="auto"/>
          <w:spacing w:val="6"/>
          <w:sz w:val="24"/>
          <w:szCs w:val="24"/>
          <w:highlight w:val="none"/>
        </w:rPr>
        <w:t>号）的规定，本单位为</w:t>
      </w:r>
      <w:r>
        <w:rPr>
          <w:rFonts w:hint="eastAsia" w:ascii="宋体" w:hAnsi="宋体" w:eastAsia="宋体" w:cs="宋体"/>
          <w:bCs/>
          <w:color w:val="auto"/>
          <w:sz w:val="24"/>
          <w:szCs w:val="24"/>
          <w:highlight w:val="none"/>
        </w:rPr>
        <w:t>符合</w:t>
      </w:r>
      <w:r>
        <w:rPr>
          <w:rFonts w:hint="eastAsia" w:ascii="宋体" w:hAnsi="宋体" w:eastAsia="宋体" w:cs="宋体"/>
          <w:color w:val="auto"/>
          <w:spacing w:val="6"/>
          <w:sz w:val="24"/>
          <w:szCs w:val="24"/>
          <w:highlight w:val="none"/>
        </w:rPr>
        <w:t>条件的残疾人福利性单位，且本单位参加</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单位的</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6C92AECD">
      <w:pPr>
        <w:spacing w:line="360" w:lineRule="auto"/>
        <w:ind w:firstLine="435"/>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49AA433A">
      <w:pPr>
        <w:spacing w:line="360" w:lineRule="auto"/>
        <w:ind w:firstLine="4228" w:firstLineChars="1762"/>
        <w:rPr>
          <w:rFonts w:hint="eastAsia" w:ascii="宋体" w:hAnsi="宋体" w:eastAsia="宋体" w:cs="宋体"/>
          <w:color w:val="auto"/>
          <w:sz w:val="24"/>
          <w:szCs w:val="24"/>
          <w:highlight w:val="none"/>
        </w:rPr>
      </w:pPr>
    </w:p>
    <w:p w14:paraId="18C07AAB">
      <w:pPr>
        <w:spacing w:line="360" w:lineRule="auto"/>
        <w:ind w:firstLine="4228" w:firstLineChars="1762"/>
        <w:rPr>
          <w:rFonts w:hint="eastAsia" w:ascii="宋体" w:hAnsi="宋体" w:eastAsia="宋体" w:cs="宋体"/>
          <w:color w:val="auto"/>
          <w:sz w:val="24"/>
          <w:szCs w:val="24"/>
          <w:highlight w:val="none"/>
        </w:rPr>
      </w:pPr>
    </w:p>
    <w:p w14:paraId="73CADE81">
      <w:pPr>
        <w:spacing w:line="360" w:lineRule="auto"/>
        <w:ind w:firstLine="4228" w:firstLineChars="176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投标人电子签章：</w:t>
      </w:r>
      <w:r>
        <w:rPr>
          <w:rFonts w:hint="eastAsia" w:ascii="宋体" w:hAnsi="宋体" w:eastAsia="宋体" w:cs="宋体"/>
          <w:color w:val="auto"/>
          <w:sz w:val="24"/>
          <w:szCs w:val="24"/>
          <w:highlight w:val="none"/>
          <w:u w:val="single"/>
        </w:rPr>
        <w:t xml:space="preserve">             </w:t>
      </w:r>
    </w:p>
    <w:p w14:paraId="442975FC">
      <w:pPr>
        <w:tabs>
          <w:tab w:val="left" w:pos="4620"/>
        </w:tabs>
        <w:spacing w:line="360" w:lineRule="auto"/>
        <w:ind w:firstLine="4252" w:firstLineChars="177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21C95224">
      <w:pPr>
        <w:rPr>
          <w:rFonts w:hint="eastAsia" w:ascii="宋体" w:hAnsi="宋体" w:eastAsia="宋体" w:cs="宋体"/>
          <w:b/>
          <w:color w:val="auto"/>
          <w:kern w:val="2"/>
          <w:sz w:val="24"/>
          <w:highlight w:val="none"/>
          <w:lang w:val="en-US" w:eastAsia="zh-CN" w:bidi="ar-SA"/>
        </w:rPr>
      </w:pPr>
      <w:r>
        <w:rPr>
          <w:rFonts w:hint="eastAsia" w:ascii="宋体" w:hAnsi="宋体" w:eastAsia="宋体" w:cs="宋体"/>
          <w:b/>
          <w:color w:val="auto"/>
          <w:kern w:val="2"/>
          <w:sz w:val="24"/>
          <w:highlight w:val="none"/>
          <w:lang w:val="en-US" w:eastAsia="zh-CN" w:bidi="ar-SA"/>
        </w:rPr>
        <w:br w:type="page"/>
      </w:r>
    </w:p>
    <w:p w14:paraId="56B8691C">
      <w:pPr>
        <w:spacing w:line="360" w:lineRule="auto"/>
        <w:jc w:val="center"/>
        <w:outlineLvl w:val="0"/>
        <w:rPr>
          <w:rFonts w:hint="eastAsia" w:ascii="宋体" w:hAnsi="宋体" w:eastAsia="宋体" w:cs="宋体"/>
          <w:b/>
          <w:bCs/>
          <w:sz w:val="28"/>
          <w:highlight w:val="none"/>
        </w:rPr>
      </w:pPr>
      <w:r>
        <w:rPr>
          <w:rFonts w:hint="eastAsia" w:ascii="宋体" w:hAnsi="宋体" w:eastAsia="宋体" w:cs="宋体"/>
          <w:b/>
          <w:sz w:val="28"/>
          <w:highlight w:val="none"/>
        </w:rPr>
        <w:t>第七章</w:t>
      </w:r>
      <w:r>
        <w:rPr>
          <w:rFonts w:hint="eastAsia" w:ascii="宋体" w:hAnsi="宋体" w:eastAsia="宋体" w:cs="宋体"/>
          <w:b/>
          <w:bCs/>
          <w:sz w:val="28"/>
          <w:highlight w:val="none"/>
        </w:rPr>
        <w:t xml:space="preserve">  政府采购</w:t>
      </w:r>
      <w:r>
        <w:rPr>
          <w:rFonts w:hint="eastAsia" w:ascii="宋体" w:hAnsi="宋体" w:eastAsia="宋体" w:cs="宋体"/>
          <w:b/>
          <w:sz w:val="28"/>
          <w:highlight w:val="none"/>
        </w:rPr>
        <w:t>供应</w:t>
      </w:r>
      <w:r>
        <w:rPr>
          <w:rFonts w:hint="eastAsia" w:ascii="宋体" w:hAnsi="宋体" w:eastAsia="宋体" w:cs="宋体"/>
          <w:b/>
          <w:bCs/>
          <w:sz w:val="28"/>
          <w:highlight w:val="none"/>
        </w:rPr>
        <w:t>商询问函和质疑函范本</w:t>
      </w:r>
      <w:bookmarkEnd w:id="219"/>
      <w:bookmarkEnd w:id="220"/>
    </w:p>
    <w:p w14:paraId="610F28DA">
      <w:pPr>
        <w:spacing w:line="360" w:lineRule="auto"/>
        <w:jc w:val="center"/>
        <w:outlineLvl w:val="1"/>
        <w:rPr>
          <w:rFonts w:hint="eastAsia" w:ascii="宋体" w:hAnsi="宋体" w:eastAsia="宋体" w:cs="宋体"/>
          <w:b/>
          <w:bCs/>
          <w:sz w:val="32"/>
          <w:szCs w:val="44"/>
          <w:highlight w:val="none"/>
        </w:rPr>
      </w:pPr>
      <w:bookmarkStart w:id="232" w:name="_Toc27159"/>
      <w:bookmarkStart w:id="233" w:name="_Toc24558"/>
      <w:bookmarkStart w:id="234" w:name="_Toc6955"/>
      <w:r>
        <w:rPr>
          <w:rFonts w:hint="eastAsia" w:ascii="宋体" w:hAnsi="宋体" w:eastAsia="宋体" w:cs="宋体"/>
          <w:b/>
          <w:bCs/>
          <w:sz w:val="32"/>
          <w:szCs w:val="44"/>
          <w:highlight w:val="none"/>
        </w:rPr>
        <w:t>询问函范本</w:t>
      </w:r>
      <w:bookmarkEnd w:id="232"/>
      <w:bookmarkEnd w:id="233"/>
      <w:bookmarkEnd w:id="234"/>
    </w:p>
    <w:p w14:paraId="7D9A4FC1">
      <w:pPr>
        <w:adjustRightInd w:val="0"/>
        <w:snapToGrid w:val="0"/>
        <w:spacing w:line="360" w:lineRule="auto"/>
        <w:ind w:firstLine="480" w:firstLineChars="200"/>
        <w:jc w:val="center"/>
        <w:rPr>
          <w:rFonts w:hint="eastAsia" w:ascii="宋体" w:hAnsi="宋体" w:eastAsia="宋体" w:cs="宋体"/>
          <w:b/>
          <w:bCs/>
          <w:sz w:val="32"/>
          <w:szCs w:val="44"/>
          <w:highlight w:val="none"/>
        </w:rPr>
      </w:pPr>
      <w:r>
        <w:rPr>
          <w:rFonts w:hint="eastAsia" w:ascii="宋体" w:hAnsi="宋体" w:eastAsia="宋体" w:cs="宋体"/>
          <w:i/>
          <w:iCs/>
          <w:sz w:val="24"/>
          <w:szCs w:val="24"/>
          <w:highlight w:val="none"/>
        </w:rPr>
        <w:t>（如为对采购文件或采购程序的询问或疑问，请按询问函范本或电子交易系统中网上询问格式附件进行提交）</w:t>
      </w:r>
    </w:p>
    <w:p w14:paraId="046FDFE3">
      <w:pPr>
        <w:adjustRightInd w:val="0"/>
        <w:snapToGrid w:val="0"/>
        <w:spacing w:line="360" w:lineRule="auto"/>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rPr>
        <w:t>致：采购人</w:t>
      </w:r>
    </w:p>
    <w:p w14:paraId="7579E2CA">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我单位拟参与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i/>
          <w:iCs/>
          <w:sz w:val="24"/>
          <w:szCs w:val="24"/>
          <w:highlight w:val="none"/>
        </w:rPr>
        <w:t>项目名称、编号</w:t>
      </w:r>
      <w:r>
        <w:rPr>
          <w:rFonts w:hint="eastAsia" w:ascii="宋体" w:hAnsi="宋体" w:eastAsia="宋体" w:cs="宋体"/>
          <w:sz w:val="24"/>
          <w:szCs w:val="24"/>
          <w:highlight w:val="none"/>
        </w:rPr>
        <w:t>）的采购活动，现有以下内容(或条款)存在疑问(或无法理解)，特提出询问。</w:t>
      </w:r>
    </w:p>
    <w:p w14:paraId="327DF85F">
      <w:pPr>
        <w:adjustRightInd w:val="0"/>
        <w:snapToGrid w:val="0"/>
        <w:spacing w:line="360" w:lineRule="auto"/>
        <w:ind w:firstLine="480" w:firstLineChars="200"/>
        <w:rPr>
          <w:rFonts w:hint="eastAsia" w:ascii="宋体" w:hAnsi="宋体" w:eastAsia="宋体" w:cs="宋体"/>
          <w:sz w:val="24"/>
          <w:szCs w:val="24"/>
          <w:highlight w:val="none"/>
        </w:rPr>
      </w:pPr>
      <w:bookmarkStart w:id="235" w:name="_Toc13899"/>
      <w:r>
        <w:rPr>
          <w:rFonts w:hint="eastAsia" w:ascii="宋体" w:hAnsi="宋体" w:eastAsia="宋体" w:cs="宋体"/>
          <w:sz w:val="24"/>
          <w:szCs w:val="24"/>
          <w:highlight w:val="none"/>
        </w:rPr>
        <w:t>一、(事项一)</w:t>
      </w:r>
      <w:bookmarkEnd w:id="235"/>
    </w:p>
    <w:p w14:paraId="1827A4BA">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1、(内容或条款)</w:t>
      </w:r>
    </w:p>
    <w:p w14:paraId="691359F3">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2、(说明疑问或无法理解原因)</w:t>
      </w:r>
    </w:p>
    <w:p w14:paraId="7D7C6E32">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3、(建议)</w:t>
      </w:r>
    </w:p>
    <w:p w14:paraId="029E8F4C">
      <w:pPr>
        <w:adjustRightInd w:val="0"/>
        <w:snapToGrid w:val="0"/>
        <w:spacing w:line="360" w:lineRule="auto"/>
        <w:ind w:firstLine="480" w:firstLineChars="200"/>
        <w:rPr>
          <w:rFonts w:hint="eastAsia" w:ascii="宋体" w:hAnsi="宋体" w:eastAsia="宋体" w:cs="宋体"/>
          <w:sz w:val="24"/>
          <w:szCs w:val="24"/>
          <w:highlight w:val="none"/>
        </w:rPr>
      </w:pPr>
      <w:bookmarkStart w:id="236" w:name="_Toc3352"/>
      <w:r>
        <w:rPr>
          <w:rFonts w:hint="eastAsia" w:ascii="宋体" w:hAnsi="宋体" w:eastAsia="宋体" w:cs="宋体"/>
          <w:sz w:val="24"/>
          <w:szCs w:val="24"/>
          <w:highlight w:val="none"/>
        </w:rPr>
        <w:t>二、(事项二)</w:t>
      </w:r>
      <w:bookmarkEnd w:id="236"/>
    </w:p>
    <w:p w14:paraId="4F2F272D">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6D86ED3E">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随附相关证明材料如下： </w:t>
      </w:r>
    </w:p>
    <w:p w14:paraId="5243888B">
      <w:pPr>
        <w:spacing w:line="360" w:lineRule="auto"/>
        <w:ind w:firstLine="4228" w:firstLineChars="1762"/>
        <w:rPr>
          <w:rFonts w:hint="eastAsia" w:ascii="宋体" w:hAnsi="宋体" w:eastAsia="宋体" w:cs="宋体"/>
          <w:sz w:val="24"/>
          <w:highlight w:val="none"/>
          <w:u w:val="single"/>
        </w:rPr>
      </w:pPr>
      <w:r>
        <w:rPr>
          <w:rFonts w:hint="eastAsia" w:ascii="宋体" w:hAnsi="宋体" w:eastAsia="宋体" w:cs="宋体"/>
          <w:sz w:val="24"/>
          <w:highlight w:val="none"/>
        </w:rPr>
        <w:t>联 系 人：</w:t>
      </w:r>
      <w:r>
        <w:rPr>
          <w:rFonts w:hint="eastAsia" w:ascii="宋体" w:hAnsi="宋体" w:eastAsia="宋体" w:cs="宋体"/>
          <w:sz w:val="24"/>
          <w:highlight w:val="none"/>
          <w:u w:val="single"/>
        </w:rPr>
        <w:t xml:space="preserve">              </w:t>
      </w:r>
    </w:p>
    <w:p w14:paraId="57F79C2F">
      <w:pPr>
        <w:spacing w:line="360" w:lineRule="auto"/>
        <w:ind w:firstLine="4228" w:firstLineChars="1762"/>
        <w:rPr>
          <w:rFonts w:hint="eastAsia" w:ascii="宋体" w:hAnsi="宋体" w:eastAsia="宋体" w:cs="宋体"/>
          <w:sz w:val="24"/>
          <w:highlight w:val="none"/>
          <w:u w:val="single"/>
        </w:rPr>
      </w:pPr>
      <w:r>
        <w:rPr>
          <w:rFonts w:hint="eastAsia" w:ascii="宋体" w:hAnsi="宋体" w:eastAsia="宋体" w:cs="宋体"/>
          <w:sz w:val="24"/>
          <w:highlight w:val="none"/>
        </w:rPr>
        <w:t>联系电话：</w:t>
      </w:r>
      <w:r>
        <w:rPr>
          <w:rFonts w:hint="eastAsia" w:ascii="宋体" w:hAnsi="宋体" w:eastAsia="宋体" w:cs="宋体"/>
          <w:sz w:val="24"/>
          <w:highlight w:val="none"/>
          <w:u w:val="single"/>
        </w:rPr>
        <w:t xml:space="preserve">              </w:t>
      </w:r>
    </w:p>
    <w:p w14:paraId="58E6E516">
      <w:pPr>
        <w:tabs>
          <w:tab w:val="left" w:pos="630"/>
        </w:tabs>
        <w:spacing w:line="360" w:lineRule="auto"/>
        <w:ind w:firstLine="4228" w:firstLineChars="1762"/>
        <w:rPr>
          <w:rFonts w:hint="eastAsia" w:ascii="宋体" w:hAnsi="宋体" w:eastAsia="宋体" w:cs="宋体"/>
          <w:sz w:val="24"/>
          <w:highlight w:val="none"/>
          <w:u w:val="singl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w:t>
      </w:r>
    </w:p>
    <w:p w14:paraId="5E432C37">
      <w:pPr>
        <w:rPr>
          <w:rFonts w:hint="eastAsia" w:ascii="宋体" w:hAnsi="宋体" w:eastAsia="宋体" w:cs="宋体"/>
          <w:b/>
          <w:bCs/>
          <w:sz w:val="32"/>
          <w:szCs w:val="44"/>
          <w:highlight w:val="none"/>
        </w:rPr>
      </w:pPr>
      <w:r>
        <w:rPr>
          <w:rFonts w:hint="eastAsia" w:ascii="宋体" w:hAnsi="宋体" w:eastAsia="宋体" w:cs="宋体"/>
          <w:b/>
          <w:bCs/>
          <w:sz w:val="32"/>
          <w:szCs w:val="44"/>
          <w:highlight w:val="none"/>
        </w:rPr>
        <w:br w:type="page"/>
      </w:r>
    </w:p>
    <w:p w14:paraId="278FD34D">
      <w:pPr>
        <w:jc w:val="center"/>
        <w:outlineLvl w:val="1"/>
        <w:rPr>
          <w:rFonts w:hint="eastAsia" w:ascii="宋体" w:hAnsi="宋体" w:eastAsia="宋体" w:cs="宋体"/>
          <w:b/>
          <w:bCs/>
          <w:sz w:val="32"/>
          <w:szCs w:val="44"/>
          <w:highlight w:val="none"/>
        </w:rPr>
      </w:pPr>
      <w:bookmarkStart w:id="237" w:name="_Toc1575"/>
      <w:bookmarkStart w:id="238" w:name="_Toc14218"/>
      <w:bookmarkStart w:id="239" w:name="_Toc857"/>
      <w:r>
        <w:rPr>
          <w:rFonts w:hint="eastAsia" w:ascii="宋体" w:hAnsi="宋体" w:eastAsia="宋体" w:cs="宋体"/>
          <w:b/>
          <w:bCs/>
          <w:sz w:val="32"/>
          <w:szCs w:val="44"/>
          <w:highlight w:val="none"/>
        </w:rPr>
        <w:t>质疑函范本</w:t>
      </w:r>
      <w:bookmarkEnd w:id="237"/>
      <w:bookmarkEnd w:id="238"/>
      <w:bookmarkEnd w:id="239"/>
    </w:p>
    <w:p w14:paraId="07DEA8DE">
      <w:pPr>
        <w:adjustRightInd w:val="0"/>
        <w:snapToGrid w:val="0"/>
        <w:spacing w:before="312" w:beforeLines="100" w:line="360" w:lineRule="auto"/>
        <w:rPr>
          <w:rFonts w:hint="eastAsia" w:ascii="宋体" w:hAnsi="宋体" w:eastAsia="宋体" w:cs="宋体"/>
          <w:b/>
          <w:bCs/>
          <w:sz w:val="24"/>
          <w:szCs w:val="24"/>
          <w:highlight w:val="none"/>
        </w:rPr>
      </w:pPr>
      <w:bookmarkStart w:id="240" w:name="_Toc21381"/>
      <w:r>
        <w:rPr>
          <w:rFonts w:hint="eastAsia" w:ascii="宋体" w:hAnsi="宋体" w:eastAsia="宋体" w:cs="宋体"/>
          <w:b/>
          <w:bCs/>
          <w:sz w:val="24"/>
          <w:szCs w:val="24"/>
          <w:highlight w:val="none"/>
        </w:rPr>
        <w:t>一、质疑供应商基本信息</w:t>
      </w:r>
      <w:bookmarkEnd w:id="240"/>
    </w:p>
    <w:p w14:paraId="767532DF">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质疑供应商：</w:t>
      </w:r>
      <w:r>
        <w:rPr>
          <w:rFonts w:hint="eastAsia" w:ascii="宋体" w:hAnsi="宋体" w:eastAsia="宋体" w:cs="宋体"/>
          <w:sz w:val="24"/>
          <w:szCs w:val="24"/>
          <w:highlight w:val="none"/>
          <w:u w:val="dotted"/>
        </w:rPr>
        <w:t xml:space="preserve">                                        </w:t>
      </w:r>
    </w:p>
    <w:p w14:paraId="6CE86977">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05257A23">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1DE2FF3E">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授权代表：</w:t>
      </w:r>
      <w:r>
        <w:rPr>
          <w:rFonts w:hint="eastAsia" w:ascii="宋体" w:hAnsi="宋体" w:eastAsia="宋体" w:cs="宋体"/>
          <w:sz w:val="24"/>
          <w:szCs w:val="24"/>
          <w:highlight w:val="none"/>
          <w:u w:val="dotted"/>
        </w:rPr>
        <w:t xml:space="preserve">                                          </w:t>
      </w:r>
    </w:p>
    <w:p w14:paraId="7C6B2865">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74842DCD">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6B1E1BAC">
      <w:pPr>
        <w:adjustRightInd w:val="0"/>
        <w:snapToGrid w:val="0"/>
        <w:spacing w:line="360" w:lineRule="auto"/>
        <w:rPr>
          <w:rFonts w:hint="eastAsia" w:ascii="宋体" w:hAnsi="宋体" w:eastAsia="宋体" w:cs="宋体"/>
          <w:b/>
          <w:bCs/>
          <w:sz w:val="24"/>
          <w:szCs w:val="24"/>
          <w:highlight w:val="none"/>
        </w:rPr>
      </w:pPr>
      <w:bookmarkStart w:id="241" w:name="_Toc28415"/>
      <w:r>
        <w:rPr>
          <w:rFonts w:hint="eastAsia" w:ascii="宋体" w:hAnsi="宋体" w:eastAsia="宋体" w:cs="宋体"/>
          <w:b/>
          <w:bCs/>
          <w:sz w:val="24"/>
          <w:szCs w:val="24"/>
          <w:highlight w:val="none"/>
        </w:rPr>
        <w:t>二、质疑项目基本情况</w:t>
      </w:r>
      <w:bookmarkEnd w:id="241"/>
    </w:p>
    <w:p w14:paraId="683A07D8">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质疑项目的名称：</w:t>
      </w:r>
      <w:r>
        <w:rPr>
          <w:rFonts w:hint="eastAsia" w:ascii="宋体" w:hAnsi="宋体" w:eastAsia="宋体" w:cs="宋体"/>
          <w:sz w:val="24"/>
          <w:szCs w:val="24"/>
          <w:highlight w:val="none"/>
          <w:u w:val="dotted"/>
        </w:rPr>
        <w:t xml:space="preserve">                                      </w:t>
      </w:r>
    </w:p>
    <w:p w14:paraId="0D7CB2FE">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质疑项目的编号：</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包号：</w:t>
      </w:r>
      <w:r>
        <w:rPr>
          <w:rFonts w:hint="eastAsia" w:ascii="宋体" w:hAnsi="宋体" w:eastAsia="宋体" w:cs="宋体"/>
          <w:sz w:val="24"/>
          <w:szCs w:val="24"/>
          <w:highlight w:val="none"/>
          <w:u w:val="dotted"/>
        </w:rPr>
        <w:t xml:space="preserve">                 </w:t>
      </w:r>
    </w:p>
    <w:p w14:paraId="340EA072">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采购人名称：</w:t>
      </w:r>
      <w:r>
        <w:rPr>
          <w:rFonts w:hint="eastAsia" w:ascii="宋体" w:hAnsi="宋体" w:eastAsia="宋体" w:cs="宋体"/>
          <w:sz w:val="24"/>
          <w:szCs w:val="24"/>
          <w:highlight w:val="none"/>
          <w:u w:val="dotted"/>
        </w:rPr>
        <w:t xml:space="preserve">                                         </w:t>
      </w:r>
    </w:p>
    <w:p w14:paraId="0C4BC1BF">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采购文件获取日期：</w:t>
      </w:r>
      <w:r>
        <w:rPr>
          <w:rFonts w:hint="eastAsia" w:ascii="宋体" w:hAnsi="宋体" w:eastAsia="宋体" w:cs="宋体"/>
          <w:sz w:val="24"/>
          <w:szCs w:val="24"/>
          <w:highlight w:val="none"/>
          <w:u w:val="dotted"/>
        </w:rPr>
        <w:t xml:space="preserve">                                           </w:t>
      </w:r>
    </w:p>
    <w:p w14:paraId="27B85448">
      <w:pPr>
        <w:adjustRightInd w:val="0"/>
        <w:snapToGrid w:val="0"/>
        <w:spacing w:line="360" w:lineRule="auto"/>
        <w:rPr>
          <w:rFonts w:hint="eastAsia" w:ascii="宋体" w:hAnsi="宋体" w:eastAsia="宋体" w:cs="宋体"/>
          <w:b/>
          <w:bCs/>
          <w:sz w:val="24"/>
          <w:szCs w:val="24"/>
          <w:highlight w:val="none"/>
        </w:rPr>
      </w:pPr>
      <w:bookmarkStart w:id="242" w:name="_Toc19014"/>
      <w:r>
        <w:rPr>
          <w:rFonts w:hint="eastAsia" w:ascii="宋体" w:hAnsi="宋体" w:eastAsia="宋体" w:cs="宋体"/>
          <w:b/>
          <w:bCs/>
          <w:sz w:val="24"/>
          <w:szCs w:val="24"/>
          <w:highlight w:val="none"/>
        </w:rPr>
        <w:t>三、质疑事项具体内容</w:t>
      </w:r>
      <w:bookmarkEnd w:id="242"/>
    </w:p>
    <w:p w14:paraId="4D3EA1D4">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质疑事项1：</w:t>
      </w:r>
      <w:r>
        <w:rPr>
          <w:rFonts w:hint="eastAsia" w:ascii="宋体" w:hAnsi="宋体" w:eastAsia="宋体" w:cs="宋体"/>
          <w:sz w:val="24"/>
          <w:szCs w:val="24"/>
          <w:highlight w:val="none"/>
          <w:u w:val="dotted"/>
        </w:rPr>
        <w:t xml:space="preserve">                                         </w:t>
      </w:r>
    </w:p>
    <w:p w14:paraId="771499B7">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事实依据：</w:t>
      </w:r>
      <w:r>
        <w:rPr>
          <w:rFonts w:hint="eastAsia" w:ascii="宋体" w:hAnsi="宋体" w:eastAsia="宋体" w:cs="宋体"/>
          <w:sz w:val="24"/>
          <w:szCs w:val="24"/>
          <w:highlight w:val="none"/>
          <w:u w:val="dotted"/>
        </w:rPr>
        <w:t xml:space="preserve">                                          </w:t>
      </w:r>
    </w:p>
    <w:p w14:paraId="1379F70A">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dotted"/>
        </w:rPr>
        <w:t xml:space="preserve">                                                       </w:t>
      </w:r>
    </w:p>
    <w:p w14:paraId="6A4014EE">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法律依据：</w:t>
      </w:r>
      <w:r>
        <w:rPr>
          <w:rFonts w:hint="eastAsia" w:ascii="宋体" w:hAnsi="宋体" w:eastAsia="宋体" w:cs="宋体"/>
          <w:sz w:val="24"/>
          <w:szCs w:val="24"/>
          <w:highlight w:val="none"/>
          <w:u w:val="dotted"/>
        </w:rPr>
        <w:t xml:space="preserve">                                          </w:t>
      </w:r>
    </w:p>
    <w:p w14:paraId="7C8FFDC3">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14:paraId="1C726CA3">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质疑事项2</w:t>
      </w:r>
    </w:p>
    <w:p w14:paraId="1D741B9D">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18D4DFF0">
      <w:pPr>
        <w:adjustRightInd w:val="0"/>
        <w:snapToGrid w:val="0"/>
        <w:spacing w:line="360" w:lineRule="auto"/>
        <w:rPr>
          <w:rFonts w:hint="eastAsia" w:ascii="宋体" w:hAnsi="宋体" w:eastAsia="宋体" w:cs="宋体"/>
          <w:b/>
          <w:bCs/>
          <w:sz w:val="24"/>
          <w:szCs w:val="24"/>
          <w:highlight w:val="none"/>
        </w:rPr>
      </w:pPr>
      <w:bookmarkStart w:id="243" w:name="_Toc17919"/>
      <w:r>
        <w:rPr>
          <w:rFonts w:hint="eastAsia" w:ascii="宋体" w:hAnsi="宋体" w:eastAsia="宋体" w:cs="宋体"/>
          <w:b/>
          <w:bCs/>
          <w:sz w:val="24"/>
          <w:szCs w:val="24"/>
          <w:highlight w:val="none"/>
        </w:rPr>
        <w:t>四、与质疑事项相关的质疑请求</w:t>
      </w:r>
      <w:bookmarkEnd w:id="243"/>
    </w:p>
    <w:p w14:paraId="653B8F67">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请求：</w:t>
      </w:r>
      <w:r>
        <w:rPr>
          <w:rFonts w:hint="eastAsia" w:ascii="宋体" w:hAnsi="宋体" w:eastAsia="宋体" w:cs="宋体"/>
          <w:sz w:val="24"/>
          <w:szCs w:val="24"/>
          <w:highlight w:val="none"/>
          <w:u w:val="dotted"/>
        </w:rPr>
        <w:t xml:space="preserve">                                               </w:t>
      </w:r>
    </w:p>
    <w:p w14:paraId="282AE8B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签字(签章)：                   公章：                      </w:t>
      </w:r>
    </w:p>
    <w:p w14:paraId="5213D87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p w14:paraId="1CBDEFD4">
      <w:pPr>
        <w:widowControl/>
        <w:jc w:val="left"/>
        <w:rPr>
          <w:rFonts w:hint="eastAsia" w:ascii="宋体" w:hAnsi="宋体" w:eastAsia="宋体" w:cs="宋体"/>
          <w:sz w:val="32"/>
          <w:szCs w:val="32"/>
          <w:highlight w:val="none"/>
        </w:rPr>
      </w:pPr>
      <w:r>
        <w:rPr>
          <w:rFonts w:hint="eastAsia" w:ascii="宋体" w:hAnsi="宋体" w:eastAsia="宋体" w:cs="宋体"/>
          <w:sz w:val="32"/>
          <w:szCs w:val="32"/>
          <w:highlight w:val="none"/>
        </w:rPr>
        <w:br w:type="page"/>
      </w:r>
    </w:p>
    <w:p w14:paraId="0F9A4EBF">
      <w:pPr>
        <w:outlineLvl w:val="0"/>
        <w:rPr>
          <w:rFonts w:hint="eastAsia" w:ascii="宋体" w:hAnsi="宋体" w:eastAsia="宋体" w:cs="宋体"/>
          <w:b/>
          <w:sz w:val="28"/>
          <w:szCs w:val="32"/>
          <w:highlight w:val="none"/>
        </w:rPr>
      </w:pPr>
      <w:bookmarkStart w:id="244" w:name="_Toc31614"/>
      <w:bookmarkStart w:id="245" w:name="_Toc9754"/>
      <w:bookmarkStart w:id="246" w:name="_Toc22239"/>
      <w:r>
        <w:rPr>
          <w:rFonts w:hint="eastAsia" w:ascii="宋体" w:hAnsi="宋体" w:eastAsia="宋体" w:cs="宋体"/>
          <w:b/>
          <w:sz w:val="28"/>
          <w:szCs w:val="32"/>
          <w:highlight w:val="none"/>
        </w:rPr>
        <w:t>质疑函制作说明：</w:t>
      </w:r>
      <w:bookmarkEnd w:id="244"/>
      <w:bookmarkEnd w:id="245"/>
      <w:bookmarkEnd w:id="246"/>
    </w:p>
    <w:p w14:paraId="0EA8A93B">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1.供应商提出质疑时，应提交质疑函和必要的证明材料。</w:t>
      </w:r>
    </w:p>
    <w:p w14:paraId="1EE236F5">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640F23B">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3.质疑供应商若对项目的某一分包进行质疑，质疑函中应列明具体分包号。</w:t>
      </w:r>
    </w:p>
    <w:p w14:paraId="2227305F">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14:paraId="6EF7DBFB">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14:paraId="2F7172B6">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p w14:paraId="5C5F5A32">
      <w:pPr>
        <w:rPr>
          <w:rFonts w:hint="eastAsia" w:ascii="宋体" w:hAnsi="宋体" w:eastAsia="宋体" w:cs="宋体"/>
          <w:b/>
          <w:color w:val="auto"/>
          <w:sz w:val="32"/>
          <w:szCs w:val="32"/>
          <w:highlight w:val="none"/>
        </w:rPr>
      </w:pPr>
      <w:r>
        <w:rPr>
          <w:rFonts w:hint="eastAsia" w:ascii="宋体" w:hAnsi="宋体" w:eastAsia="宋体" w:cs="宋体"/>
          <w:sz w:val="24"/>
          <w:highlight w:val="none"/>
        </w:rPr>
        <w:br w:type="page"/>
      </w:r>
    </w:p>
    <w:p w14:paraId="15ED85FE">
      <w:pPr>
        <w:jc w:val="center"/>
        <w:rPr>
          <w:rFonts w:hint="eastAsia" w:ascii="宋体" w:hAnsi="宋体" w:eastAsia="宋体" w:cs="宋体"/>
          <w:b/>
          <w:sz w:val="28"/>
          <w:szCs w:val="28"/>
          <w:lang w:bidi="ar"/>
        </w:rPr>
      </w:pPr>
      <w:bookmarkStart w:id="247" w:name="_Toc95223548"/>
      <w:r>
        <w:rPr>
          <w:rFonts w:hint="eastAsia" w:ascii="宋体" w:hAnsi="宋体" w:eastAsia="宋体" w:cs="宋体"/>
          <w:color w:val="000000"/>
          <w:sz w:val="36"/>
          <w:szCs w:val="28"/>
        </w:rPr>
        <w:t xml:space="preserve">附件1 </w:t>
      </w:r>
      <w:bookmarkEnd w:id="247"/>
      <w:r>
        <w:rPr>
          <w:rFonts w:hint="eastAsia" w:ascii="宋体" w:hAnsi="宋体" w:eastAsia="宋体" w:cs="宋体"/>
          <w:b/>
          <w:sz w:val="28"/>
          <w:szCs w:val="28"/>
          <w:lang w:bidi="ar"/>
        </w:rPr>
        <w:t>关于联合惩戒失信行为加强信用查询管理的通知</w:t>
      </w:r>
    </w:p>
    <w:p w14:paraId="0F18A3B1">
      <w:pPr>
        <w:adjustRightInd w:val="0"/>
        <w:snapToGrid w:val="0"/>
        <w:spacing w:line="56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一、失信行为联合惩戒的范围和查询渠道</w:t>
      </w:r>
    </w:p>
    <w:p w14:paraId="0E485E7F">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在我市公共资源交易活动中对存在下列失信行为的投标人、法定代表人及其项目经理（建造师）实施联合惩戒，禁止参与我市公共资源交易活动。</w:t>
      </w:r>
    </w:p>
    <w:p w14:paraId="6C3438AC">
      <w:pPr>
        <w:adjustRightInd w:val="0"/>
        <w:snapToGrid w:val="0"/>
        <w:spacing w:line="56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（一）工程建设项目</w:t>
      </w:r>
    </w:p>
    <w:p w14:paraId="3BC3C0B2">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1、“信用中国”网站（www.creditchina.gov.cn）查询</w:t>
      </w:r>
      <w:bookmarkStart w:id="248" w:name="OLE_LINK103"/>
      <w:bookmarkStart w:id="249" w:name="OLE_LINK92"/>
      <w:bookmarkStart w:id="250" w:name="OLE_LINK93"/>
      <w:bookmarkStart w:id="251" w:name="OLE_LINK91"/>
      <w:r>
        <w:rPr>
          <w:rFonts w:hint="eastAsia" w:ascii="宋体" w:hAnsi="宋体" w:eastAsia="宋体" w:cs="宋体"/>
          <w:color w:val="000000" w:themeColor="text1"/>
          <w:sz w:val="24"/>
          <w:szCs w:val="24"/>
          <w14:textFill>
            <w14:solidFill>
              <w14:schemeClr w14:val="tx1"/>
            </w14:solidFill>
          </w14:textFill>
        </w:rPr>
        <w:t>投标人、法定代表人及其项目经理(建造师)</w:t>
      </w:r>
      <w:bookmarkEnd w:id="248"/>
      <w:bookmarkEnd w:id="249"/>
      <w:bookmarkEnd w:id="250"/>
      <w:bookmarkEnd w:id="251"/>
      <w:r>
        <w:rPr>
          <w:rFonts w:hint="eastAsia" w:ascii="宋体" w:hAnsi="宋体" w:eastAsia="宋体" w:cs="宋体"/>
          <w:color w:val="000000" w:themeColor="text1"/>
          <w:sz w:val="24"/>
          <w:szCs w:val="24"/>
          <w14:textFill>
            <w14:solidFill>
              <w14:schemeClr w14:val="tx1"/>
            </w14:solidFill>
          </w14:textFill>
        </w:rPr>
        <w:t>以下失信行为：</w:t>
      </w:r>
    </w:p>
    <w:p w14:paraId="09225A3F">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bookmarkStart w:id="252" w:name="OLE_LINK87"/>
      <w:bookmarkStart w:id="253" w:name="OLE_LINK86"/>
      <w:bookmarkStart w:id="254" w:name="OLE_LINK119"/>
      <w:bookmarkStart w:id="255" w:name="OLE_LINK3"/>
      <w:bookmarkStart w:id="256" w:name="OLE_LINK94"/>
      <w:r>
        <w:rPr>
          <w:rFonts w:hint="eastAsia" w:ascii="宋体" w:hAnsi="宋体" w:eastAsia="宋体" w:cs="宋体"/>
          <w:color w:val="000000" w:themeColor="text1"/>
          <w:sz w:val="24"/>
          <w:szCs w:val="24"/>
          <w14:textFill>
            <w14:solidFill>
              <w14:schemeClr w14:val="tx1"/>
            </w14:solidFill>
          </w14:textFill>
        </w:rPr>
        <w:t>①被列入“失信被执行人”的;</w:t>
      </w:r>
    </w:p>
    <w:p w14:paraId="49D93451">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②被列入</w:t>
      </w:r>
      <w:bookmarkStart w:id="257" w:name="OLE_LINK115"/>
      <w:bookmarkStart w:id="258" w:name="OLE_LINK118"/>
      <w:bookmarkStart w:id="259" w:name="OLE_LINK116"/>
      <w:bookmarkStart w:id="260" w:name="OLE_LINK117"/>
      <w:r>
        <w:rPr>
          <w:rFonts w:hint="eastAsia" w:ascii="宋体" w:hAnsi="宋体" w:eastAsia="宋体" w:cs="宋体"/>
          <w:color w:val="000000" w:themeColor="text1"/>
          <w:sz w:val="24"/>
          <w:szCs w:val="24"/>
          <w14:textFill>
            <w14:solidFill>
              <w14:schemeClr w14:val="tx1"/>
            </w14:solidFill>
          </w14:textFill>
        </w:rPr>
        <w:t>“重大税收违法失信主体”</w:t>
      </w:r>
      <w:bookmarkEnd w:id="257"/>
      <w:bookmarkEnd w:id="258"/>
      <w:bookmarkEnd w:id="259"/>
      <w:bookmarkEnd w:id="260"/>
      <w:r>
        <w:rPr>
          <w:rFonts w:hint="eastAsia" w:ascii="宋体" w:hAnsi="宋体" w:eastAsia="宋体" w:cs="宋体"/>
          <w:color w:val="000000" w:themeColor="text1"/>
          <w:sz w:val="24"/>
          <w:szCs w:val="24"/>
          <w14:textFill>
            <w14:solidFill>
              <w14:schemeClr w14:val="tx1"/>
            </w14:solidFill>
          </w14:textFill>
        </w:rPr>
        <w:t>的；</w:t>
      </w:r>
    </w:p>
    <w:p w14:paraId="1D30B616">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bookmarkStart w:id="261" w:name="OLE_LINK2"/>
      <w:bookmarkStart w:id="262" w:name="OLE_LINK1"/>
      <w:r>
        <w:rPr>
          <w:rFonts w:hint="eastAsia" w:ascii="宋体" w:hAnsi="宋体" w:eastAsia="宋体" w:cs="宋体"/>
          <w:color w:val="000000" w:themeColor="text1"/>
          <w:sz w:val="24"/>
          <w:szCs w:val="24"/>
          <w14:textFill>
            <w14:solidFill>
              <w14:schemeClr w14:val="tx1"/>
            </w14:solidFill>
          </w14:textFill>
        </w:rPr>
        <w:t>③被列入“拖欠</w:t>
      </w:r>
      <w:bookmarkStart w:id="263" w:name="OLE_LINK85"/>
      <w:bookmarkStart w:id="264" w:name="OLE_LINK84"/>
      <w:r>
        <w:rPr>
          <w:rFonts w:hint="eastAsia" w:ascii="宋体" w:hAnsi="宋体" w:eastAsia="宋体" w:cs="宋体"/>
          <w:color w:val="000000" w:themeColor="text1"/>
          <w:sz w:val="24"/>
          <w:szCs w:val="24"/>
          <w14:textFill>
            <w14:solidFill>
              <w14:schemeClr w14:val="tx1"/>
            </w14:solidFill>
          </w14:textFill>
        </w:rPr>
        <w:t>农民工工资失信联合惩戒对象</w:t>
      </w:r>
      <w:bookmarkEnd w:id="263"/>
      <w:bookmarkEnd w:id="264"/>
      <w:r>
        <w:rPr>
          <w:rFonts w:hint="eastAsia" w:ascii="宋体" w:hAnsi="宋体" w:eastAsia="宋体" w:cs="宋体"/>
          <w:color w:val="000000" w:themeColor="text1"/>
          <w:sz w:val="24"/>
          <w:szCs w:val="24"/>
          <w14:textFill>
            <w14:solidFill>
              <w14:schemeClr w14:val="tx1"/>
            </w14:solidFill>
          </w14:textFill>
        </w:rPr>
        <w:t>名单”的；</w:t>
      </w:r>
      <w:bookmarkEnd w:id="261"/>
      <w:bookmarkEnd w:id="262"/>
    </w:p>
    <w:p w14:paraId="75D9DCF7">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④被列入 “严重失信主体名单”的；</w:t>
      </w:r>
    </w:p>
    <w:p w14:paraId="20FBC307">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⑤在“信用中国”网站上披露的仍在公示期的严重失信行为(具体行为类别及判定依据见附件2)的。</w:t>
      </w:r>
    </w:p>
    <w:bookmarkEnd w:id="252"/>
    <w:bookmarkEnd w:id="253"/>
    <w:bookmarkEnd w:id="254"/>
    <w:bookmarkEnd w:id="255"/>
    <w:bookmarkEnd w:id="256"/>
    <w:p w14:paraId="6EB9D118">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bookmarkStart w:id="265" w:name="OLE_LINK130"/>
      <w:r>
        <w:rPr>
          <w:rFonts w:hint="eastAsia" w:ascii="宋体" w:hAnsi="宋体" w:eastAsia="宋体" w:cs="宋体"/>
          <w:color w:val="000000" w:themeColor="text1"/>
          <w:sz w:val="24"/>
          <w:szCs w:val="24"/>
          <w14:textFill>
            <w14:solidFill>
              <w14:schemeClr w14:val="tx1"/>
            </w14:solidFill>
          </w14:textFill>
        </w:rPr>
        <w:t>国家企业信用信息公示系统网站</w:t>
      </w:r>
      <w:bookmarkEnd w:id="265"/>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"http://www.gsxt.gov.cn）查询" </w:instrText>
      </w:r>
      <w:r>
        <w:rPr>
          <w:rFonts w:hint="eastAsia" w:ascii="宋体" w:hAnsi="宋体" w:eastAsia="宋体" w:cs="宋体"/>
          <w:sz w:val="24"/>
          <w:szCs w:val="24"/>
        </w:rPr>
        <w:fldChar w:fldCharType="separate"/>
      </w:r>
      <w:bookmarkStart w:id="266" w:name="OLE_LINK90"/>
      <w:bookmarkStart w:id="267" w:name="OLE_LINK89"/>
      <w:r>
        <w:rPr>
          <w:rStyle w:val="38"/>
          <w:rFonts w:hint="eastAsia" w:ascii="宋体" w:hAnsi="宋体" w:eastAsia="宋体" w:cs="宋体"/>
          <w:color w:val="000000" w:themeColor="text1"/>
          <w:sz w:val="24"/>
          <w:szCs w:val="24"/>
          <w14:textFill>
            <w14:solidFill>
              <w14:schemeClr w14:val="tx1"/>
            </w14:solidFill>
          </w14:textFill>
        </w:rPr>
        <w:t>www.gsxt.gov.cn</w:t>
      </w:r>
      <w:bookmarkEnd w:id="266"/>
      <w:bookmarkEnd w:id="267"/>
      <w:r>
        <w:rPr>
          <w:rStyle w:val="38"/>
          <w:rFonts w:hint="eastAsia" w:ascii="宋体" w:hAnsi="宋体" w:eastAsia="宋体" w:cs="宋体"/>
          <w:color w:val="000000" w:themeColor="text1"/>
          <w:sz w:val="24"/>
          <w:szCs w:val="24"/>
          <w14:textFill>
            <w14:solidFill>
              <w14:schemeClr w14:val="tx1"/>
            </w14:solidFill>
          </w14:textFill>
        </w:rPr>
        <w:t>）</w:t>
      </w:r>
      <w:r>
        <w:rPr>
          <w:rStyle w:val="38"/>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查询投标人以下失信行为：</w:t>
      </w:r>
    </w:p>
    <w:p w14:paraId="1AB6A47C">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bookmarkStart w:id="268" w:name="OLE_LINK121"/>
      <w:bookmarkStart w:id="269" w:name="OLE_LINK120"/>
      <w:bookmarkStart w:id="270" w:name="OLE_LINK122"/>
      <w:r>
        <w:rPr>
          <w:rFonts w:hint="eastAsia" w:ascii="宋体" w:hAnsi="宋体" w:eastAsia="宋体" w:cs="宋体"/>
          <w:color w:val="000000" w:themeColor="text1"/>
          <w:sz w:val="24"/>
          <w:szCs w:val="24"/>
          <w14:textFill>
            <w14:solidFill>
              <w14:schemeClr w14:val="tx1"/>
            </w14:solidFill>
          </w14:textFill>
        </w:rPr>
        <w:t>①</w:t>
      </w:r>
      <w:bookmarkStart w:id="271" w:name="OLE_LINK114"/>
      <w:bookmarkStart w:id="272" w:name="OLE_LINK113"/>
      <w:r>
        <w:rPr>
          <w:rFonts w:hint="eastAsia" w:ascii="宋体" w:hAnsi="宋体" w:eastAsia="宋体" w:cs="宋体"/>
          <w:color w:val="000000" w:themeColor="text1"/>
          <w:sz w:val="24"/>
          <w:szCs w:val="24"/>
          <w14:textFill>
            <w14:solidFill>
              <w14:schemeClr w14:val="tx1"/>
            </w14:solidFill>
          </w14:textFill>
        </w:rPr>
        <w:t>被列入“经营异常名录”或者“严重违法失信名单”的</w:t>
      </w:r>
      <w:bookmarkEnd w:id="271"/>
      <w:bookmarkEnd w:id="272"/>
      <w:r>
        <w:rPr>
          <w:rFonts w:hint="eastAsia" w:ascii="宋体" w:hAnsi="宋体" w:eastAsia="宋体" w:cs="宋体"/>
          <w:color w:val="000000" w:themeColor="text1"/>
          <w:sz w:val="24"/>
          <w:szCs w:val="24"/>
          <w14:textFill>
            <w14:solidFill>
              <w14:schemeClr w14:val="tx1"/>
            </w14:solidFill>
          </w14:textFill>
        </w:rPr>
        <w:t>。</w:t>
      </w:r>
      <w:bookmarkEnd w:id="268"/>
      <w:bookmarkEnd w:id="269"/>
      <w:bookmarkEnd w:id="270"/>
    </w:p>
    <w:p w14:paraId="1C6F3169">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3、由</w:t>
      </w:r>
      <w:r>
        <w:rPr>
          <w:rFonts w:hint="eastAsia" w:ascii="宋体" w:hAnsi="宋体" w:eastAsia="宋体" w:cs="宋体"/>
          <w:color w:val="000000" w:themeColor="text1"/>
          <w:kern w:val="0"/>
          <w:sz w:val="24"/>
          <w:szCs w:val="24"/>
          <w14:textFill>
            <w14:solidFill>
              <w14:schemeClr w14:val="tx1"/>
            </w14:solidFill>
          </w14:textFill>
        </w:rPr>
        <w:t>投标人、法定代表人及其项目经理(建造师)</w:t>
      </w:r>
      <w:r>
        <w:rPr>
          <w:rFonts w:hint="eastAsia" w:ascii="宋体" w:hAnsi="宋体" w:eastAsia="宋体" w:cs="宋体"/>
          <w:color w:val="000000" w:themeColor="text1"/>
          <w:sz w:val="24"/>
          <w:szCs w:val="24"/>
          <w14:textFill>
            <w14:solidFill>
              <w14:schemeClr w14:val="tx1"/>
            </w14:solidFill>
          </w14:textFill>
        </w:rPr>
        <w:t>进行承诺，不进行现场网上信用查询的失信行为：</w:t>
      </w:r>
    </w:p>
    <w:p w14:paraId="19678F2D">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bookmarkStart w:id="273" w:name="OLE_LINK123"/>
      <w:bookmarkStart w:id="274" w:name="OLE_LINK124"/>
      <w:r>
        <w:rPr>
          <w:rFonts w:hint="eastAsia" w:ascii="宋体" w:hAnsi="宋体" w:eastAsia="宋体" w:cs="宋体"/>
          <w:color w:val="000000" w:themeColor="text1"/>
          <w:sz w:val="24"/>
          <w:szCs w:val="24"/>
          <w14:textFill>
            <w14:solidFill>
              <w14:schemeClr w14:val="tx1"/>
            </w14:solidFill>
          </w14:textFill>
        </w:rPr>
        <w:t>①前三年有行贿犯罪行为的单位和个人；</w:t>
      </w:r>
    </w:p>
    <w:p w14:paraId="080989A1">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②被滁州市县两级公管部门取消在一定期限内的投标资格且在取消期限内的；</w:t>
      </w:r>
    </w:p>
    <w:p w14:paraId="6B511AF8">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③被滁州市县两级各行业主管部门取消在一定期限内的投标资格且在取消期限内的；</w:t>
      </w:r>
    </w:p>
    <w:p w14:paraId="139291FD">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④因拖欠农民工工资被</w:t>
      </w:r>
      <w:bookmarkStart w:id="275" w:name="OLE_LINK108"/>
      <w:bookmarkStart w:id="276" w:name="OLE_LINK107"/>
      <w:r>
        <w:rPr>
          <w:rFonts w:hint="eastAsia" w:ascii="宋体" w:hAnsi="宋体" w:eastAsia="宋体" w:cs="宋体"/>
          <w:color w:val="000000" w:themeColor="text1"/>
          <w:sz w:val="24"/>
          <w:szCs w:val="24"/>
          <w14:textFill>
            <w14:solidFill>
              <w14:schemeClr w14:val="tx1"/>
            </w14:solidFill>
          </w14:textFill>
        </w:rPr>
        <w:t>县级及以上有关行政主管部门限制投标资格且在限制期限内的</w:t>
      </w:r>
      <w:bookmarkEnd w:id="275"/>
      <w:bookmarkEnd w:id="276"/>
      <w:r>
        <w:rPr>
          <w:rFonts w:hint="eastAsia" w:ascii="宋体" w:hAnsi="宋体" w:eastAsia="宋体" w:cs="宋体"/>
          <w:color w:val="000000" w:themeColor="text1"/>
          <w:sz w:val="24"/>
          <w:szCs w:val="24"/>
          <w14:textFill>
            <w14:solidFill>
              <w14:schemeClr w14:val="tx1"/>
            </w14:solidFill>
          </w14:textFill>
        </w:rPr>
        <w:t>；</w:t>
      </w:r>
    </w:p>
    <w:p w14:paraId="6932D0D7">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bookmarkEnd w:id="273"/>
    <w:bookmarkEnd w:id="274"/>
    <w:p w14:paraId="5F40E35C">
      <w:pPr>
        <w:adjustRightInd w:val="0"/>
        <w:snapToGrid w:val="0"/>
        <w:spacing w:line="56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（二）政府采购项目</w:t>
      </w:r>
    </w:p>
    <w:p w14:paraId="6CED7F5E">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1、“信用中国”网站（</w:t>
      </w:r>
      <w:r>
        <w:rPr>
          <w:rStyle w:val="38"/>
          <w:rFonts w:hint="eastAsia" w:ascii="宋体" w:hAnsi="宋体" w:eastAsia="宋体" w:cs="宋体"/>
          <w:color w:val="000000" w:themeColor="text1"/>
          <w:sz w:val="24"/>
          <w:szCs w:val="24"/>
          <w14:textFill>
            <w14:solidFill>
              <w14:schemeClr w14:val="tx1"/>
            </w14:solidFill>
          </w14:textFill>
        </w:rPr>
        <w:t>www.creditchina.gov.cn</w:t>
      </w:r>
      <w:r>
        <w:rPr>
          <w:rFonts w:hint="eastAsia" w:ascii="宋体" w:hAnsi="宋体" w:eastAsia="宋体" w:cs="宋体"/>
          <w:color w:val="000000" w:themeColor="text1"/>
          <w:sz w:val="24"/>
          <w:szCs w:val="24"/>
          <w14:textFill>
            <w14:solidFill>
              <w14:schemeClr w14:val="tx1"/>
            </w14:solidFill>
          </w14:textFill>
        </w:rPr>
        <w:t>）查询供应商、法定代表人及其项目负责人以下失信行为：</w:t>
      </w:r>
    </w:p>
    <w:p w14:paraId="67A4EF37">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①被列入“失信被执行人”的;</w:t>
      </w:r>
    </w:p>
    <w:p w14:paraId="2A964E39">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②被列入“重大税收违法失信主体”的；</w:t>
      </w:r>
    </w:p>
    <w:p w14:paraId="7C96D59D">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③被列入 “严重失信主体名单”的；</w:t>
      </w:r>
    </w:p>
    <w:p w14:paraId="00A35D18">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④在“信用中国”网站上披露的仍在公示期的严重失信行为(具体行为类别及判定依据见附件2)的。</w:t>
      </w:r>
    </w:p>
    <w:p w14:paraId="00F8F224">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2、国家企业信用信息公示系统网站（</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"http://www.gsxt.gov.cn）查询" </w:instrText>
      </w:r>
      <w:r>
        <w:rPr>
          <w:rFonts w:hint="eastAsia" w:ascii="宋体" w:hAnsi="宋体" w:eastAsia="宋体" w:cs="宋体"/>
          <w:sz w:val="24"/>
          <w:szCs w:val="24"/>
        </w:rPr>
        <w:fldChar w:fldCharType="separate"/>
      </w:r>
      <w:r>
        <w:rPr>
          <w:rFonts w:hint="eastAsia" w:ascii="宋体" w:hAnsi="宋体" w:eastAsia="宋体" w:cs="宋体"/>
          <w:color w:val="000000" w:themeColor="text1"/>
          <w:sz w:val="24"/>
          <w:szCs w:val="24"/>
          <w14:textFill>
            <w14:solidFill>
              <w14:schemeClr w14:val="tx1"/>
            </w14:solidFill>
          </w14:textFill>
        </w:rPr>
        <w:t>www.gsxt.gov.cn）</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查询供应商以下失信行为：</w:t>
      </w:r>
    </w:p>
    <w:p w14:paraId="281AF8E0">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w:t>
      </w:r>
      <w:bookmarkStart w:id="277" w:name="OLE_LINK100"/>
      <w:bookmarkStart w:id="278" w:name="OLE_LINK101"/>
      <w:bookmarkStart w:id="279" w:name="OLE_LINK102"/>
      <w:r>
        <w:rPr>
          <w:rFonts w:hint="eastAsia" w:ascii="宋体" w:hAnsi="宋体" w:eastAsia="宋体" w:cs="宋体"/>
          <w:color w:val="000000" w:themeColor="text1"/>
          <w:sz w:val="24"/>
          <w:szCs w:val="24"/>
          <w14:textFill>
            <w14:solidFill>
              <w14:schemeClr w14:val="tx1"/>
            </w14:solidFill>
          </w14:textFill>
        </w:rPr>
        <w:t>被列入“经营异常名录”或者“严重违法失信名单”的</w:t>
      </w:r>
      <w:bookmarkEnd w:id="277"/>
      <w:bookmarkEnd w:id="278"/>
      <w:bookmarkEnd w:id="279"/>
      <w:r>
        <w:rPr>
          <w:rFonts w:hint="eastAsia" w:ascii="宋体" w:hAnsi="宋体" w:eastAsia="宋体" w:cs="宋体"/>
          <w:color w:val="000000" w:themeColor="text1"/>
          <w:sz w:val="24"/>
          <w:szCs w:val="24"/>
          <w14:textFill>
            <w14:solidFill>
              <w14:schemeClr w14:val="tx1"/>
            </w14:solidFill>
          </w14:textFill>
        </w:rPr>
        <w:t>。</w:t>
      </w:r>
    </w:p>
    <w:p w14:paraId="2B8C39D1">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3、中国政府采购网站（</w:t>
      </w:r>
      <w:bookmarkStart w:id="280" w:name="OLE_LINK96"/>
      <w:bookmarkStart w:id="281" w:name="OLE_LINK95"/>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"http://www.ccgp.gov.cn"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www.ccgp.gov.cn</w:t>
      </w:r>
      <w:r>
        <w:rPr>
          <w:rFonts w:hint="eastAsia" w:ascii="宋体" w:hAnsi="宋体" w:eastAsia="宋体" w:cs="宋体"/>
          <w:color w:val="000000" w:themeColor="text1"/>
          <w:sz w:val="24"/>
          <w:szCs w:val="24"/>
          <w14:textFill>
            <w14:solidFill>
              <w14:schemeClr w14:val="tx1"/>
            </w14:solidFill>
          </w14:textFill>
        </w:rPr>
        <w:fldChar w:fldCharType="end"/>
      </w:r>
      <w:bookmarkEnd w:id="280"/>
      <w:bookmarkEnd w:id="281"/>
      <w:r>
        <w:rPr>
          <w:rFonts w:hint="eastAsia" w:ascii="宋体" w:hAnsi="宋体" w:eastAsia="宋体" w:cs="宋体"/>
          <w:color w:val="000000" w:themeColor="text1"/>
          <w:sz w:val="24"/>
          <w:szCs w:val="24"/>
          <w14:textFill>
            <w14:solidFill>
              <w14:schemeClr w14:val="tx1"/>
            </w14:solidFill>
          </w14:textFill>
        </w:rPr>
        <w:t>）查询以下失信行为：</w:t>
      </w:r>
    </w:p>
    <w:p w14:paraId="78182FB0">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w:t>
      </w:r>
      <w:bookmarkStart w:id="282" w:name="OLE_LINK106"/>
      <w:bookmarkStart w:id="283" w:name="OLE_LINK104"/>
      <w:bookmarkStart w:id="284" w:name="OLE_LINK105"/>
      <w:r>
        <w:rPr>
          <w:rFonts w:hint="eastAsia" w:ascii="宋体" w:hAnsi="宋体" w:eastAsia="宋体" w:cs="宋体"/>
          <w:color w:val="000000" w:themeColor="text1"/>
          <w:sz w:val="24"/>
          <w:szCs w:val="24"/>
          <w14:textFill>
            <w14:solidFill>
              <w14:schemeClr w14:val="tx1"/>
            </w14:solidFill>
          </w14:textFill>
        </w:rPr>
        <w:t>被列入“政府采购严重违法失信行为信息记录”的</w:t>
      </w:r>
      <w:bookmarkEnd w:id="282"/>
      <w:bookmarkEnd w:id="283"/>
      <w:bookmarkEnd w:id="284"/>
      <w:r>
        <w:rPr>
          <w:rFonts w:hint="eastAsia" w:ascii="宋体" w:hAnsi="宋体" w:eastAsia="宋体" w:cs="宋体"/>
          <w:color w:val="000000" w:themeColor="text1"/>
          <w:sz w:val="24"/>
          <w:szCs w:val="24"/>
          <w14:textFill>
            <w14:solidFill>
              <w14:schemeClr w14:val="tx1"/>
            </w14:solidFill>
          </w14:textFill>
        </w:rPr>
        <w:t>。</w:t>
      </w:r>
    </w:p>
    <w:p w14:paraId="20C95BAE">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4、由竞争主体进行承诺，不进行现场网上信用查询的失信行为：</w:t>
      </w:r>
    </w:p>
    <w:p w14:paraId="3C42472C">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①前三年有行贿犯罪行为的单位和个人。</w:t>
      </w:r>
    </w:p>
    <w:p w14:paraId="45125AEA">
      <w:pPr>
        <w:adjustRightInd w:val="0"/>
        <w:snapToGrid w:val="0"/>
        <w:spacing w:line="56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二、在开评标活动中的查询程序</w:t>
      </w:r>
    </w:p>
    <w:p w14:paraId="7572ACD4">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43A12A82">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65897998">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3、项目单位及其委托的代理机构应当做好信用查询结果截图和记录留存。</w:t>
      </w:r>
    </w:p>
    <w:p w14:paraId="6857C2AD">
      <w:pPr>
        <w:adjustRightInd w:val="0"/>
        <w:snapToGrid w:val="0"/>
        <w:spacing w:line="56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三、相关要求</w:t>
      </w:r>
    </w:p>
    <w:p w14:paraId="184F0FB1">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1、参与公共资源交易活动的竞争主体根据上述范围查询的内容进行自查并承诺，出具《诚信投标承诺书》（诚信投标承诺书包括但不限于上述自查并承诺内容）并注明承诺日期（投标截止时间前5日内）。</w:t>
      </w:r>
    </w:p>
    <w:p w14:paraId="75CE9093">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39038771">
      <w:pPr>
        <w:wordWrap w:val="0"/>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"https://credit.ah.gov.cn/xinyong-fuwu/xvbahv/index.html" </w:instrText>
      </w:r>
      <w:r>
        <w:rPr>
          <w:rFonts w:hint="eastAsia" w:ascii="宋体" w:hAnsi="宋体" w:eastAsia="宋体" w:cs="宋体"/>
          <w:sz w:val="24"/>
          <w:szCs w:val="24"/>
        </w:rPr>
        <w:fldChar w:fldCharType="separate"/>
      </w:r>
      <w:r>
        <w:rPr>
          <w:rFonts w:hint="eastAsia" w:ascii="宋体" w:hAnsi="宋体" w:eastAsia="宋体" w:cs="宋体"/>
          <w:color w:val="000000" w:themeColor="text1"/>
          <w:sz w:val="24"/>
          <w:szCs w:val="24"/>
          <w14:textFill>
            <w14:solidFill>
              <w14:schemeClr w14:val="tx1"/>
            </w14:solidFill>
          </w14:textFill>
        </w:rPr>
        <w:t>https://credit.ah.gov.cn/xinyong-fuwu/xvbahv/index.html</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390885B5">
      <w:pPr>
        <w:adjustRightInd w:val="0"/>
        <w:snapToGrid w:val="0"/>
        <w:spacing w:line="56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2、“信用中国”查询的严重失信行为判定依据为各行业主管部门下发的联合惩戒文件中规定的行为（按附件2执行）。</w:t>
      </w:r>
    </w:p>
    <w:p w14:paraId="3FC4E71A">
      <w:pPr>
        <w:spacing w:line="440" w:lineRule="exact"/>
        <w:rPr>
          <w:rFonts w:hint="eastAsia" w:ascii="宋体" w:hAnsi="宋体" w:eastAsia="宋体" w:cs="宋体"/>
          <w:b/>
          <w:sz w:val="24"/>
          <w:szCs w:val="24"/>
        </w:rPr>
      </w:pPr>
      <w:r>
        <w:rPr>
          <w:rFonts w:hint="eastAsia" w:ascii="宋体" w:hAnsi="宋体" w:eastAsia="宋体" w:cs="宋体"/>
          <w:color w:val="000000" w:themeColor="text1"/>
          <w:sz w:val="24"/>
          <w:szCs w:val="24"/>
          <w14:textFill>
            <w14:solidFill>
              <w14:schemeClr w14:val="tx1"/>
            </w14:solidFill>
          </w14:textFill>
        </w:rPr>
        <w:t>3、资格预审的项目以递交资格预审申请文件截止时间查询为准；资格后审的项目以递交投标文件截止时间查询为准。</w:t>
      </w:r>
      <w:r>
        <w:rPr>
          <w:rFonts w:hint="eastAsia" w:ascii="宋体" w:hAnsi="宋体" w:eastAsia="宋体" w:cs="宋体"/>
          <w:b/>
          <w:sz w:val="24"/>
          <w:szCs w:val="24"/>
          <w:lang w:bidi="ar"/>
        </w:rPr>
        <w:t xml:space="preserve"> </w:t>
      </w:r>
    </w:p>
    <w:p w14:paraId="7E74DD54">
      <w:pPr>
        <w:pStyle w:val="2"/>
        <w:ind w:firstLine="420"/>
        <w:rPr>
          <w:rFonts w:hint="eastAsia" w:ascii="宋体" w:hAnsi="宋体" w:eastAsia="宋体" w:cs="宋体"/>
        </w:rPr>
      </w:pPr>
      <w:r>
        <w:rPr>
          <w:rFonts w:hint="eastAsia" w:ascii="宋体" w:hAnsi="宋体" w:eastAsia="宋体" w:cs="宋体"/>
        </w:rPr>
        <w:t xml:space="preserve"> </w:t>
      </w:r>
    </w:p>
    <w:p w14:paraId="2CD03635">
      <w:pPr>
        <w:spacing w:line="440" w:lineRule="exact"/>
        <w:rPr>
          <w:rFonts w:hint="eastAsia" w:ascii="宋体" w:hAnsi="宋体" w:eastAsia="宋体" w:cs="宋体"/>
          <w:b/>
          <w:sz w:val="24"/>
          <w:szCs w:val="24"/>
        </w:rPr>
      </w:pPr>
      <w:r>
        <w:rPr>
          <w:rFonts w:hint="eastAsia" w:ascii="宋体" w:hAnsi="宋体" w:eastAsia="宋体" w:cs="宋体"/>
          <w:b/>
          <w:sz w:val="24"/>
          <w:szCs w:val="24"/>
          <w:lang w:bidi="ar"/>
        </w:rPr>
        <w:br w:type="page"/>
      </w:r>
      <w:r>
        <w:rPr>
          <w:rFonts w:hint="eastAsia" w:ascii="宋体" w:hAnsi="宋体" w:eastAsia="宋体" w:cs="宋体"/>
          <w:b/>
          <w:sz w:val="24"/>
          <w:szCs w:val="24"/>
          <w:lang w:bidi="ar"/>
        </w:rPr>
        <w:t>附件2</w:t>
      </w:r>
    </w:p>
    <w:p w14:paraId="0DC9922A">
      <w:pPr>
        <w:adjustRightInd w:val="0"/>
        <w:snapToGrid w:val="0"/>
        <w:spacing w:line="560" w:lineRule="exact"/>
        <w:ind w:firstLine="645"/>
        <w:jc w:val="center"/>
        <w:rPr>
          <w:rFonts w:hint="eastAsia" w:ascii="宋体" w:hAnsi="宋体" w:eastAsia="宋体" w:cs="宋体"/>
          <w:b/>
          <w:sz w:val="24"/>
          <w:szCs w:val="24"/>
          <w:lang w:eastAsia="zh-CN" w:bidi="ar"/>
        </w:rPr>
      </w:pPr>
      <w:r>
        <w:rPr>
          <w:rFonts w:hint="eastAsia" w:ascii="宋体" w:hAnsi="宋体" w:eastAsia="宋体" w:cs="宋体"/>
          <w:b/>
          <w:sz w:val="24"/>
          <w:szCs w:val="24"/>
          <w:lang w:eastAsia="zh-CN" w:bidi="ar"/>
        </w:rPr>
        <w:t>“信用中国”查询的严重失信行为类别及判定依据</w:t>
      </w:r>
    </w:p>
    <w:p w14:paraId="5C77681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“信用中国”查询的严重失信行为判定依据为各行业主管部门下发的联合惩戒文件中规定的行为。下面将部分类别的严重失信行为列举如下：</w:t>
      </w:r>
    </w:p>
    <w:p w14:paraId="08574CE9">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一、安全生产领域严重失信行为：</w:t>
      </w:r>
    </w:p>
    <w:p w14:paraId="0AD7772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（一）下列发生生产安全事故的生产经营单位及其有关人员应当列入严重失信主体名单：</w:t>
      </w:r>
    </w:p>
    <w:p w14:paraId="3DAB6FB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1、发生特别重大、重大生产安全事故的生产经营单位及其主要负责人，以及经调查认定对该事故发生负有责任，应当列入名单的其他单位和人员；</w:t>
      </w:r>
    </w:p>
    <w:p w14:paraId="53986C0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2、12个月内累计发生2起以上较大生产安全事故的生产经营单位及其主要负责人；</w:t>
      </w:r>
    </w:p>
    <w:p w14:paraId="3257620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3、发生生产安全事故，情节特别严重、影响特别恶劣，依照《中华人民共和国安全生产法》第一百一十四条的规定被处以罚款数额2倍以上5倍以下罚款的生产经营单位及其主要负责人；</w:t>
      </w:r>
    </w:p>
    <w:p w14:paraId="5A4162C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4、瞒报、谎报生产安全事故的生产经营单位及其有关责任人员；</w:t>
      </w:r>
    </w:p>
    <w:p w14:paraId="7E61F7A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5、发生生产安全事故后，不立即组织抢救或者在事故调查处理期间擅离职守或者逃匿的生产经营单位主要负责人。</w:t>
      </w:r>
    </w:p>
    <w:p w14:paraId="47F6DCA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（二）下列未发生生产安全事故，但因安全生产违法行为，受到行政处罚的生产经营单位或者机构及其有关人员，应当列入严重失信主体名单：</w:t>
      </w:r>
    </w:p>
    <w:p w14:paraId="3B42637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1、未依法取得安全生产相关许可或者许可被暂扣、吊销期间从事相关生产经营活动的生产经营单位及其主要负责人；</w:t>
      </w:r>
    </w:p>
    <w:p w14:paraId="78BADC2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2、承担安全评价、认证、检测、检验职责的机构及其直接责任人员租借资质、挂靠、出具虚假报告或者证书的；</w:t>
      </w:r>
    </w:p>
    <w:p w14:paraId="165C049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3、在应急管理部门作出行政处罚后，有执行能力拒不执行或者逃避执行的生产经营单位及其主要负责人；</w:t>
      </w:r>
    </w:p>
    <w:p w14:paraId="3632F95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4、其他违反安全生产法律法规受到行政处罚，且性质恶劣、情节严重的。</w:t>
      </w:r>
    </w:p>
    <w:p w14:paraId="0223BDA3">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依据：《安全生产严重失信主体名单管理办法》（2023年8月8日应急管理部令第11号）</w:t>
      </w:r>
    </w:p>
    <w:p w14:paraId="5E44C702">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二、环境保护领域严重失信行为：</w:t>
      </w:r>
    </w:p>
    <w:p w14:paraId="26E4B20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（一）因为环境违法构成</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"https://baike.sogou.com/m/fullLemma?lid=10403954&amp;g_ut=3"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环境犯罪</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的；</w:t>
      </w:r>
    </w:p>
    <w:p w14:paraId="494D6AA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"https://baike.sogou.com/m/fullLemma?lid=76033123&amp;g_ut=3"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建设项目环境影响评价</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文件未按规定通过审批，擅自开工建设的；</w:t>
      </w:r>
    </w:p>
    <w:p w14:paraId="6FB8953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（三）建设项目环保设施未建成、环保措施未落实、未通过</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"https://baike.sogou.com/m/fullLemma?lid=6470550&amp;g_ut=3"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竣工环保验收</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或者验收不合格，主体工程正式投入生产或者使用的；</w:t>
      </w:r>
    </w:p>
    <w:p w14:paraId="62A5EEB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（四）建设项目性质、规模、地点、采用的生产工艺或者防治污染、防止生态破坏的措施发生重大变动，未重新报批环境影响评价文件，擅自投入生产或者使用的；</w:t>
      </w:r>
    </w:p>
    <w:p w14:paraId="064488B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（五）主要污染物排放总量超过控制指标的；</w:t>
      </w:r>
    </w:p>
    <w:p w14:paraId="788483B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（六）私设暗管或者利用</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"https://baike.sogou.com/m/fullLemma?lid=41657319&amp;g_ut=3"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渗井</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、渗坑、裂隙、溶洞等排放、倾倒、处置水污染物，或者通过私设旁路排放</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"https://baike.sogou.com/m/fullLemma?lid=7758328&amp;g_ut=3"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大气污染物</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的；</w:t>
      </w:r>
    </w:p>
    <w:p w14:paraId="3A387EF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（七）非法排放、倾倒、处置危险废物，或者向无</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"https://baike.sogou.com/m/fullLemma?lid=5923292&amp;g_ut=3"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经营许可证</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或者超出经营许可范围的单位或个人提供或者委托其收集、贮存、利用、处置危险废物的；</w:t>
      </w:r>
    </w:p>
    <w:p w14:paraId="63E9926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（八）</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"https://baike.sogou.com/m/fullLemma?lid=167759803&amp;g_ut=3"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环境违法行为</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造成集中式生活饮用水水源取水中断的；</w:t>
      </w:r>
    </w:p>
    <w:p w14:paraId="5E4E7E3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（九）环境违法行为对生活饮用水水源保护区、自然保护区、</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"https://baike.sogou.com/m/fullLemma?lid=155199213&amp;g_ut=3"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国家重点生态功能区</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、风景名胜区、居住功能区、</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"https://baike.sogou.com/m/fullLemma?lid=7757164&amp;g_ut=3"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基本农田保护区</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等环境敏感区造成重大不利影响的；</w:t>
      </w:r>
    </w:p>
    <w:p w14:paraId="10010F9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（十）违法从事自然资源开发、交通基础设施建设，以及其他开发建设活动，造成严重生态破坏的；</w:t>
      </w:r>
    </w:p>
    <w:p w14:paraId="5E76AD0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（十一）发生较大及以上突发环境事件的；</w:t>
      </w:r>
    </w:p>
    <w:p w14:paraId="25EF99F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（十二）被环保部门挂牌督办，整改逾期未完成的；</w:t>
      </w:r>
    </w:p>
    <w:p w14:paraId="487AC45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（十三）以暴力、威胁等方式拒绝、阻挠环保部门工作人员现场检查的；</w:t>
      </w:r>
    </w:p>
    <w:p w14:paraId="3DF8DD9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（十四）违反重污染天气应急预案有关规定，对重污染天气响应不力的。</w:t>
      </w:r>
    </w:p>
    <w:p w14:paraId="10BFFABB">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依据：《</w:t>
      </w:r>
      <w:bookmarkStart w:id="285" w:name="OLE_LINK8"/>
      <w:bookmarkStart w:id="286" w:name="OLE_LINK9"/>
      <w:bookmarkStart w:id="287" w:name="OLE_LINK10"/>
      <w:r>
        <w:rPr>
          <w:rFonts w:hint="eastAsia" w:ascii="宋体" w:hAnsi="宋体" w:eastAsia="宋体" w:cs="宋体"/>
          <w:b/>
          <w:color w:val="auto"/>
          <w:sz w:val="24"/>
          <w:szCs w:val="24"/>
        </w:rPr>
        <w:t>关于对环境保护领域失信生产经营单位及其有关人员开展联合惩戒的合作备忘录</w:t>
      </w:r>
      <w:bookmarkEnd w:id="285"/>
      <w:bookmarkEnd w:id="286"/>
      <w:bookmarkEnd w:id="287"/>
      <w:r>
        <w:rPr>
          <w:rFonts w:hint="eastAsia" w:ascii="宋体" w:hAnsi="宋体" w:eastAsia="宋体" w:cs="宋体"/>
          <w:b/>
          <w:color w:val="auto"/>
          <w:sz w:val="24"/>
          <w:szCs w:val="24"/>
        </w:rPr>
        <w:t>》、《</w:t>
      </w:r>
      <w:bookmarkStart w:id="288" w:name="OLE_LINK12"/>
      <w:bookmarkStart w:id="289" w:name="OLE_LINK11"/>
      <w:r>
        <w:rPr>
          <w:rFonts w:hint="eastAsia" w:ascii="宋体" w:hAnsi="宋体" w:eastAsia="宋体" w:cs="宋体"/>
          <w:b/>
          <w:color w:val="auto"/>
          <w:sz w:val="24"/>
          <w:szCs w:val="24"/>
        </w:rPr>
        <w:t>企业环境信用评价办法（试行）</w:t>
      </w:r>
      <w:bookmarkEnd w:id="288"/>
      <w:bookmarkEnd w:id="289"/>
      <w:r>
        <w:rPr>
          <w:rFonts w:hint="eastAsia" w:ascii="宋体" w:hAnsi="宋体" w:eastAsia="宋体" w:cs="宋体"/>
          <w:b/>
          <w:color w:val="auto"/>
          <w:sz w:val="24"/>
          <w:szCs w:val="24"/>
        </w:rPr>
        <w:t>》（环发〔2013〕150号）</w:t>
      </w:r>
    </w:p>
    <w:p w14:paraId="255B8131">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w:t>
      </w:r>
      <w:r>
        <w:rPr>
          <w:rFonts w:hint="eastAsia" w:ascii="宋体" w:hAnsi="宋体" w:eastAsia="宋体" w:cs="宋体"/>
          <w:b/>
          <w:bCs/>
          <w:color w:val="auto"/>
          <w:sz w:val="24"/>
          <w:szCs w:val="24"/>
        </w:rPr>
        <w:t>公共资源交易领域严重失信行为</w:t>
      </w:r>
    </w:p>
    <w:p w14:paraId="26EDB97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（一）违反法律规定，必须进行招标的项目而不招标的，将必须进行招标的项目化整为零或者以其他任何方式规避招标的； </w:t>
      </w:r>
    </w:p>
    <w:p w14:paraId="74F2878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（二）招标代理机构违反法律规定，泄露应当保密的与招标投标活动有关的情况和资料的，或者与招标人、投标人串通损害 国家利益、社会公共利益或者他人合法权益的；</w:t>
      </w:r>
    </w:p>
    <w:p w14:paraId="6B89667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（三）招标人以不合理的条件限制或者排斥潜在投标人的，对潜在投标人实行歧视待遇的，强制要求投标人组成联合体共同 投标的，或者限制投标人之间竞争的；</w:t>
      </w:r>
    </w:p>
    <w:p w14:paraId="3804376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（四）依法必须进行招标的项目的招标人向他人透露已获取招标文件的潜在投标人的名称、数量或者可能影响公平竞争的有 关招标投标的其他情况的，或者泄露标底的；</w:t>
      </w:r>
    </w:p>
    <w:p w14:paraId="3940243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（五）投标人相互串通投标或者与招标人串通投标的，投标人以向招标人或者评标委员会成员行贿的手段谋取中标的； </w:t>
      </w:r>
    </w:p>
    <w:p w14:paraId="1725D13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（六）投标人以他人名义投标或者以其他方式弄虚作假，骗取中标的；</w:t>
      </w:r>
    </w:p>
    <w:p w14:paraId="3B00844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（七）依法必须进行招标的项目，招标人违反法律规定，与投标人就投标价格、投标方案等实质性内容进行谈判的；</w:t>
      </w:r>
    </w:p>
    <w:p w14:paraId="7D8FA05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5627E6C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（九）招标人在评标委员会依法推荐的中标候选人以外确定中标人的，依法必须进行招标的项目在所有投标被评标委员会否 决后自行确定中标人的； </w:t>
      </w:r>
    </w:p>
    <w:p w14:paraId="4A01764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（十）中标人将中标项目转让给他人的，将中标项目肢解后分别转让给他人的，违反法律规定将中标项目的部分主体、关键 性工作分包给他人的，或者分包人再次分包的； </w:t>
      </w:r>
    </w:p>
    <w:p w14:paraId="79BF665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（十一）招标人与中标人不按照招标文件和中标人的投标文件订立合同的，或者招标人、中标人订立背离合同实质性内容的 协议的； </w:t>
      </w:r>
    </w:p>
    <w:p w14:paraId="079BE25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（十二）中标人不按照与招标人订立的合同履行义务，情节严重的； </w:t>
      </w:r>
    </w:p>
    <w:p w14:paraId="6D0C652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71C8B80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0B7CDC4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（十五）采购人对应当实行集中采购的政府采购项目，不委托集中采购机构实行集中采购的； </w:t>
      </w:r>
    </w:p>
    <w:p w14:paraId="542688E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（十六）采购人、采购代理机构违反法律规定隐匿、销毁应当保存的采购文件或者伪造、变造采购文件的； </w:t>
      </w:r>
    </w:p>
    <w:p w14:paraId="566F146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04FBFAD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（十八）疫苗生产企业向县级疾病预防控制机构以外的单位或者个人销售第二类疫苗的； </w:t>
      </w:r>
    </w:p>
    <w:p w14:paraId="54DFA73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（十九）存在其他违反公共资源交易法律法规行为的。</w:t>
      </w:r>
    </w:p>
    <w:p w14:paraId="5D8E37C9">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依据：《</w:t>
      </w:r>
      <w:bookmarkStart w:id="290" w:name="OLE_LINK14"/>
      <w:bookmarkStart w:id="291" w:name="OLE_LINK13"/>
      <w:r>
        <w:rPr>
          <w:rFonts w:hint="eastAsia" w:ascii="宋体" w:hAnsi="宋体" w:eastAsia="宋体" w:cs="宋体"/>
          <w:b/>
          <w:color w:val="auto"/>
          <w:sz w:val="24"/>
          <w:szCs w:val="24"/>
        </w:rPr>
        <w:t>关于对公共资源交易领域严重失信主体开展联合惩戒的备忘录</w:t>
      </w:r>
      <w:bookmarkEnd w:id="290"/>
      <w:bookmarkEnd w:id="291"/>
      <w:r>
        <w:rPr>
          <w:rFonts w:hint="eastAsia" w:ascii="宋体" w:hAnsi="宋体" w:eastAsia="宋体" w:cs="宋体"/>
          <w:b/>
          <w:color w:val="auto"/>
          <w:sz w:val="24"/>
          <w:szCs w:val="24"/>
        </w:rPr>
        <w:t>》（发改法规〔2018〕457号）</w:t>
      </w:r>
    </w:p>
    <w:p w14:paraId="18DA656D">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color w:val="auto"/>
          <w:sz w:val="24"/>
          <w:szCs w:val="24"/>
        </w:rPr>
        <w:t>四、</w:t>
      </w:r>
      <w:r>
        <w:rPr>
          <w:rFonts w:hint="eastAsia" w:ascii="宋体" w:hAnsi="宋体" w:eastAsia="宋体" w:cs="宋体"/>
          <w:b/>
          <w:bCs/>
          <w:color w:val="auto"/>
          <w:sz w:val="24"/>
          <w:szCs w:val="24"/>
        </w:rPr>
        <w:t>社会保险领域严重失信行为</w:t>
      </w:r>
    </w:p>
    <w:p w14:paraId="384F0A1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（一）用人单位未按相关规定参加社会保险且拒不整改的； </w:t>
      </w:r>
    </w:p>
    <w:p w14:paraId="5CACF81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（二）用人单位未如实申报社会保险缴费基数且拒不整改的； </w:t>
      </w:r>
    </w:p>
    <w:p w14:paraId="790EE2A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（三）应缴纳社会保险费却拒不缴纳的； </w:t>
      </w:r>
    </w:p>
    <w:p w14:paraId="6A4AC68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（四）隐匿、转移、侵占、挪用社会保险费款、基金或者违规投资运营的；</w:t>
      </w:r>
    </w:p>
    <w:p w14:paraId="5E84629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（五）以欺诈、伪造证明材料或者其他手段参加、申报社会保险和骗取社会保险基金支出或社会保险待遇的； </w:t>
      </w:r>
    </w:p>
    <w:p w14:paraId="6A31B5F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（六）非法获取、出售或变相交易社会保险个人权益数据的； </w:t>
      </w:r>
    </w:p>
    <w:p w14:paraId="5DA5CDB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（七）社会保险服务机构违反服务协议或相关规定的； </w:t>
      </w:r>
    </w:p>
    <w:p w14:paraId="7293E2D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（八）拒绝协助社会保险行政部门、经办机构对事故和问题进 行调查核实的；拒绝接受或协助税务部门对社会保险实施监督检查， 不如实提供与社会保险相关各项资料的； </w:t>
      </w:r>
    </w:p>
    <w:p w14:paraId="083AEE2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（九）其他违反法律法规规定的。</w:t>
      </w:r>
    </w:p>
    <w:p w14:paraId="4690B4FE">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依据：《</w:t>
      </w:r>
      <w:bookmarkStart w:id="292" w:name="OLE_LINK16"/>
      <w:bookmarkStart w:id="293" w:name="OLE_LINK15"/>
      <w:r>
        <w:rPr>
          <w:rFonts w:hint="eastAsia" w:ascii="宋体" w:hAnsi="宋体" w:eastAsia="宋体" w:cs="宋体"/>
          <w:b/>
          <w:color w:val="auto"/>
          <w:sz w:val="24"/>
          <w:szCs w:val="24"/>
        </w:rPr>
        <w:t>关于对社会保险领域严重失信企业及其有关人员实施联合惩戒的合作备忘录</w:t>
      </w:r>
      <w:bookmarkEnd w:id="292"/>
      <w:bookmarkEnd w:id="293"/>
      <w:r>
        <w:rPr>
          <w:rFonts w:hint="eastAsia" w:ascii="宋体" w:hAnsi="宋体" w:eastAsia="宋体" w:cs="宋体"/>
          <w:b/>
          <w:color w:val="auto"/>
          <w:sz w:val="24"/>
          <w:szCs w:val="24"/>
        </w:rPr>
        <w:t>》（发改财金〔2018〕1704号）</w:t>
      </w:r>
    </w:p>
    <w:p w14:paraId="5F67F3B9">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color w:val="auto"/>
          <w:sz w:val="24"/>
          <w:szCs w:val="24"/>
        </w:rPr>
        <w:t>五、建筑市场领域</w:t>
      </w:r>
      <w:r>
        <w:rPr>
          <w:rFonts w:hint="eastAsia" w:ascii="宋体" w:hAnsi="宋体" w:eastAsia="宋体" w:cs="宋体"/>
          <w:b/>
          <w:bCs/>
          <w:color w:val="auto"/>
          <w:sz w:val="24"/>
          <w:szCs w:val="24"/>
        </w:rPr>
        <w:t>严重失信行为</w:t>
      </w:r>
    </w:p>
    <w:p w14:paraId="78DA96D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（一）利用虚假材料、以欺骗手段取得企业资质的；</w:t>
      </w:r>
    </w:p>
    <w:p w14:paraId="13386DF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（二）发生转包、出借资质，受到行政处罚的；</w:t>
      </w:r>
    </w:p>
    <w:p w14:paraId="0DED574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（三）发生重大及以上工程质量安全事故，或1年内累计发生2次及以上较大工程质量安全事故，或发生性质恶劣、危害性严重、社会影响大的较大工程质量安全事故，受到行政处罚的；</w:t>
      </w:r>
    </w:p>
    <w:p w14:paraId="6E9443F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（四）经法院判决或仲裁机构裁决，认定为拖欠工程款,且拒不履行生效法律文书确定的义务的。</w:t>
      </w:r>
    </w:p>
    <w:p w14:paraId="3672A55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各级住房城乡建设主管部门应当参照建筑市场主体“黑名单”，对被人力资源社会保障行政部门列入拖欠农民工工资“黑名单”的建筑市场各方主体加强监管。</w:t>
      </w:r>
    </w:p>
    <w:p w14:paraId="1E57B8EB">
      <w:pPr>
        <w:keepNext w:val="0"/>
        <w:keepLines w:val="0"/>
        <w:pageBreakBefore w:val="0"/>
        <w:widowControl w:val="0"/>
        <w:kinsoku/>
        <w:wordWrap/>
        <w:overflowPunct/>
        <w:topLinePunct w:val="0"/>
        <w:autoSpaceDE/>
        <w:autoSpaceDN/>
        <w:bidi w:val="0"/>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依据：《</w:t>
      </w:r>
      <w:bookmarkStart w:id="294" w:name="OLE_LINK17"/>
      <w:bookmarkStart w:id="295" w:name="OLE_LINK18"/>
      <w:r>
        <w:rPr>
          <w:rFonts w:hint="eastAsia" w:ascii="宋体" w:hAnsi="宋体" w:eastAsia="宋体" w:cs="宋体"/>
          <w:b/>
          <w:color w:val="auto"/>
          <w:sz w:val="24"/>
          <w:szCs w:val="24"/>
        </w:rPr>
        <w:t>建筑市场信用管理暂行办法</w:t>
      </w:r>
      <w:bookmarkEnd w:id="294"/>
      <w:bookmarkEnd w:id="295"/>
      <w:r>
        <w:rPr>
          <w:rFonts w:hint="eastAsia" w:ascii="宋体" w:hAnsi="宋体" w:eastAsia="宋体" w:cs="宋体"/>
          <w:b/>
          <w:color w:val="auto"/>
          <w:sz w:val="24"/>
          <w:szCs w:val="24"/>
        </w:rPr>
        <w:t>》（建市〔2017〕241号）</w:t>
      </w:r>
    </w:p>
    <w:p w14:paraId="578A70CB">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六、</w:t>
      </w:r>
      <w:bookmarkStart w:id="296" w:name="OLE_LINK20"/>
      <w:bookmarkStart w:id="297" w:name="OLE_LINK19"/>
      <w:r>
        <w:rPr>
          <w:rFonts w:hint="eastAsia" w:ascii="宋体" w:hAnsi="宋体" w:eastAsia="宋体" w:cs="宋体"/>
          <w:b/>
          <w:color w:val="auto"/>
          <w:sz w:val="24"/>
          <w:szCs w:val="24"/>
        </w:rPr>
        <w:t>政府采购严重失信行为</w:t>
      </w:r>
      <w:bookmarkEnd w:id="296"/>
      <w:bookmarkEnd w:id="297"/>
    </w:p>
    <w:p w14:paraId="5488224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供应商、采购代理机构在三年内受到财政部门作出下列情形之一的行政处罚，列入政府采购严重违法失信行为记录名单。</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（一）三万元以上罚款；</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（二）在一至三年内禁止参加政府采购活动（处罚期限届满的除外）；</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（三）在一至三年内禁止代理政府采购业务（处罚期限届满的除外）；</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（四）撤销政府采购代理机构资格（仅针对《政府采购法》第78条修改前作出的处罚决定）。</w:t>
      </w:r>
    </w:p>
    <w:p w14:paraId="24A379F0">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依据：《关于报送政府采购严重违法失信行为信息记录的通知》（财办库〔2014〕526号）</w:t>
      </w:r>
    </w:p>
    <w:p w14:paraId="1A494DE2">
      <w:pPr>
        <w:keepNext w:val="0"/>
        <w:keepLines w:val="0"/>
        <w:pageBreakBefore w:val="0"/>
        <w:widowControl w:val="0"/>
        <w:kinsoku/>
        <w:wordWrap/>
        <w:overflowPunct/>
        <w:topLinePunct w:val="0"/>
        <w:autoSpaceDE/>
        <w:autoSpaceDN/>
        <w:bidi w:val="0"/>
        <w:spacing w:line="44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未列出的其他类别严重失信行为，由招标人（代理机构）根据各类别行业主管部门下发的联合惩戒文件进行判断。</w:t>
      </w:r>
    </w:p>
    <w:p w14:paraId="6A6782D3">
      <w:pPr>
        <w:spacing w:line="360" w:lineRule="auto"/>
        <w:ind w:firstLine="435"/>
        <w:rPr>
          <w:rFonts w:hint="eastAsia" w:ascii="宋体" w:hAnsi="宋体" w:eastAsia="宋体" w:cs="宋体"/>
          <w:sz w:val="24"/>
          <w:highlight w:val="none"/>
        </w:rPr>
      </w:pPr>
    </w:p>
    <w:p w14:paraId="35EEC514">
      <w:pPr>
        <w:spacing w:line="360" w:lineRule="auto"/>
        <w:ind w:firstLine="435"/>
        <w:rPr>
          <w:rFonts w:hint="eastAsia" w:ascii="宋体" w:hAnsi="宋体" w:eastAsia="宋体" w:cs="宋体"/>
          <w:sz w:val="24"/>
          <w:highlight w:val="none"/>
        </w:rPr>
      </w:pPr>
    </w:p>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89916">
    <w:pPr>
      <w:pStyle w:val="20"/>
      <w:jc w:val="center"/>
      <w:rPr>
        <w:rFonts w:hint="eastAsia"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BB971">
    <w:pPr>
      <w:pStyle w:val="20"/>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F60542">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F60542">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C1A5B">
    <w:pPr>
      <w:pStyle w:val="21"/>
      <w:pBdr>
        <w:bottom w:val="none" w:color="auto" w:sz="0" w:space="1"/>
      </w:pBdr>
      <w:jc w:val="left"/>
      <w:rPr>
        <w:rFonts w:hint="eastAsia" w:asciiTheme="minorEastAsia" w:hAnsiTheme="minorEastAsia"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60D05">
    <w:pPr>
      <w:pStyle w:val="21"/>
      <w:pBdr>
        <w:bottom w:val="none" w:color="auto" w:sz="0" w:space="1"/>
      </w:pBdr>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E9817F"/>
    <w:multiLevelType w:val="singleLevel"/>
    <w:tmpl w:val="1CE9817F"/>
    <w:lvl w:ilvl="0" w:tentative="0">
      <w:start w:val="6"/>
      <w:numFmt w:val="chineseCounting"/>
      <w:suff w:val="space"/>
      <w:lvlText w:val="第%1章"/>
      <w:lvlJc w:val="left"/>
      <w:rPr>
        <w:rFonts w:hint="eastAsia"/>
      </w:rPr>
    </w:lvl>
  </w:abstractNum>
  <w:abstractNum w:abstractNumId="1">
    <w:nsid w:val="1E773494"/>
    <w:multiLevelType w:val="singleLevel"/>
    <w:tmpl w:val="1E773494"/>
    <w:lvl w:ilvl="0" w:tentative="0">
      <w:start w:val="3"/>
      <w:numFmt w:val="chineseCounting"/>
      <w:suff w:val="nothing"/>
      <w:lvlText w:val="%1、"/>
      <w:lvlJc w:val="left"/>
      <w:rPr>
        <w:rFonts w:hint="eastAsia"/>
      </w:rPr>
    </w:lvl>
  </w:abstractNum>
  <w:abstractNum w:abstractNumId="2">
    <w:nsid w:val="2A064A37"/>
    <w:multiLevelType w:val="singleLevel"/>
    <w:tmpl w:val="2A064A37"/>
    <w:lvl w:ilvl="0" w:tentative="0">
      <w:start w:val="3"/>
      <w:numFmt w:val="chineseCounting"/>
      <w:suff w:val="space"/>
      <w:lvlText w:val="第%1章"/>
      <w:lvlJc w:val="left"/>
      <w:rPr>
        <w:rFonts w:hint="eastAsia"/>
      </w:rPr>
    </w:lvl>
  </w:abstractNum>
  <w:abstractNum w:abstractNumId="3">
    <w:nsid w:val="3256FCC9"/>
    <w:multiLevelType w:val="singleLevel"/>
    <w:tmpl w:val="3256FCC9"/>
    <w:lvl w:ilvl="0" w:tentative="0">
      <w:start w:val="8"/>
      <w:numFmt w:val="decimal"/>
      <w:lvlText w:val="%1."/>
      <w:lvlJc w:val="left"/>
      <w:pPr>
        <w:tabs>
          <w:tab w:val="left" w:pos="312"/>
        </w:tabs>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YWY0NTNkYjZhYjE4MjUyMjVhYzBmMGU1NDk2OWEifQ=="/>
  </w:docVars>
  <w:rsids>
    <w:rsidRoot w:val="00276BA1"/>
    <w:rsid w:val="0000043F"/>
    <w:rsid w:val="00003F56"/>
    <w:rsid w:val="000049DA"/>
    <w:rsid w:val="00004F40"/>
    <w:rsid w:val="000056B7"/>
    <w:rsid w:val="00012A13"/>
    <w:rsid w:val="000131F7"/>
    <w:rsid w:val="00016B6C"/>
    <w:rsid w:val="00017D40"/>
    <w:rsid w:val="00017EC7"/>
    <w:rsid w:val="00020B57"/>
    <w:rsid w:val="00026768"/>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4943"/>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3042"/>
    <w:rsid w:val="00116A70"/>
    <w:rsid w:val="0012143A"/>
    <w:rsid w:val="001222C6"/>
    <w:rsid w:val="00126A7B"/>
    <w:rsid w:val="001303BB"/>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601E"/>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A7F45"/>
    <w:rsid w:val="001B21DF"/>
    <w:rsid w:val="001B2A54"/>
    <w:rsid w:val="001B5014"/>
    <w:rsid w:val="001B501E"/>
    <w:rsid w:val="001B7327"/>
    <w:rsid w:val="001C1409"/>
    <w:rsid w:val="001C67F2"/>
    <w:rsid w:val="001D457B"/>
    <w:rsid w:val="001D53B4"/>
    <w:rsid w:val="001D7FD1"/>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6810"/>
    <w:rsid w:val="00260860"/>
    <w:rsid w:val="00260B94"/>
    <w:rsid w:val="00264F2E"/>
    <w:rsid w:val="00267521"/>
    <w:rsid w:val="00271245"/>
    <w:rsid w:val="00272CB9"/>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298D"/>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67834"/>
    <w:rsid w:val="00373A96"/>
    <w:rsid w:val="003826C2"/>
    <w:rsid w:val="00383728"/>
    <w:rsid w:val="00383B8D"/>
    <w:rsid w:val="00391586"/>
    <w:rsid w:val="00394128"/>
    <w:rsid w:val="003947A4"/>
    <w:rsid w:val="00395235"/>
    <w:rsid w:val="0039561A"/>
    <w:rsid w:val="00397C7D"/>
    <w:rsid w:val="003A004F"/>
    <w:rsid w:val="003B4130"/>
    <w:rsid w:val="003B65AB"/>
    <w:rsid w:val="003B67D3"/>
    <w:rsid w:val="003B6C76"/>
    <w:rsid w:val="003B715B"/>
    <w:rsid w:val="003C4630"/>
    <w:rsid w:val="003D1D14"/>
    <w:rsid w:val="003D6C7C"/>
    <w:rsid w:val="003D6EFB"/>
    <w:rsid w:val="003D7E52"/>
    <w:rsid w:val="003E1F34"/>
    <w:rsid w:val="003E25C6"/>
    <w:rsid w:val="003E6BEB"/>
    <w:rsid w:val="003F145B"/>
    <w:rsid w:val="003F2122"/>
    <w:rsid w:val="003F326A"/>
    <w:rsid w:val="004011AA"/>
    <w:rsid w:val="0040202C"/>
    <w:rsid w:val="00406508"/>
    <w:rsid w:val="0041456E"/>
    <w:rsid w:val="00414F7E"/>
    <w:rsid w:val="004164F8"/>
    <w:rsid w:val="00416830"/>
    <w:rsid w:val="00417FD0"/>
    <w:rsid w:val="00420B7F"/>
    <w:rsid w:val="004234BA"/>
    <w:rsid w:val="0042488B"/>
    <w:rsid w:val="00427732"/>
    <w:rsid w:val="004427B7"/>
    <w:rsid w:val="0044349F"/>
    <w:rsid w:val="00445F1F"/>
    <w:rsid w:val="00451F60"/>
    <w:rsid w:val="00452BB2"/>
    <w:rsid w:val="00453527"/>
    <w:rsid w:val="00455467"/>
    <w:rsid w:val="0045656D"/>
    <w:rsid w:val="004578E0"/>
    <w:rsid w:val="00462D98"/>
    <w:rsid w:val="00472A44"/>
    <w:rsid w:val="00473A89"/>
    <w:rsid w:val="004745C6"/>
    <w:rsid w:val="00474D3B"/>
    <w:rsid w:val="00475899"/>
    <w:rsid w:val="004802A8"/>
    <w:rsid w:val="00482C78"/>
    <w:rsid w:val="004874AE"/>
    <w:rsid w:val="00492E2B"/>
    <w:rsid w:val="00494D24"/>
    <w:rsid w:val="004951D1"/>
    <w:rsid w:val="004A27D0"/>
    <w:rsid w:val="004A4D67"/>
    <w:rsid w:val="004A6A90"/>
    <w:rsid w:val="004A6FD2"/>
    <w:rsid w:val="004B2D4C"/>
    <w:rsid w:val="004C7378"/>
    <w:rsid w:val="004D1030"/>
    <w:rsid w:val="004D3D4B"/>
    <w:rsid w:val="004D5498"/>
    <w:rsid w:val="004D66A5"/>
    <w:rsid w:val="004D6B00"/>
    <w:rsid w:val="004D7951"/>
    <w:rsid w:val="004E0AE0"/>
    <w:rsid w:val="004E1D50"/>
    <w:rsid w:val="004E502F"/>
    <w:rsid w:val="004E6C6A"/>
    <w:rsid w:val="004F0396"/>
    <w:rsid w:val="00501382"/>
    <w:rsid w:val="00501E26"/>
    <w:rsid w:val="00503E2F"/>
    <w:rsid w:val="005054B9"/>
    <w:rsid w:val="00506E4F"/>
    <w:rsid w:val="00510798"/>
    <w:rsid w:val="005146A9"/>
    <w:rsid w:val="00514ED8"/>
    <w:rsid w:val="00515F12"/>
    <w:rsid w:val="00522B2E"/>
    <w:rsid w:val="00524A11"/>
    <w:rsid w:val="00525BEE"/>
    <w:rsid w:val="00527768"/>
    <w:rsid w:val="005327FB"/>
    <w:rsid w:val="00533FCA"/>
    <w:rsid w:val="0053524C"/>
    <w:rsid w:val="00541C0B"/>
    <w:rsid w:val="0054317E"/>
    <w:rsid w:val="00544C2A"/>
    <w:rsid w:val="00546D49"/>
    <w:rsid w:val="005512EB"/>
    <w:rsid w:val="00556D4C"/>
    <w:rsid w:val="005614B4"/>
    <w:rsid w:val="005616B5"/>
    <w:rsid w:val="00571315"/>
    <w:rsid w:val="0057573B"/>
    <w:rsid w:val="00582075"/>
    <w:rsid w:val="00584A63"/>
    <w:rsid w:val="00585EB3"/>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24B8"/>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1F12"/>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1B3"/>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4AD"/>
    <w:rsid w:val="00702CF1"/>
    <w:rsid w:val="00703635"/>
    <w:rsid w:val="007054AA"/>
    <w:rsid w:val="00706D4B"/>
    <w:rsid w:val="00707B8C"/>
    <w:rsid w:val="00710804"/>
    <w:rsid w:val="0071110A"/>
    <w:rsid w:val="00711FC6"/>
    <w:rsid w:val="007130B1"/>
    <w:rsid w:val="00715071"/>
    <w:rsid w:val="0072140F"/>
    <w:rsid w:val="007231E9"/>
    <w:rsid w:val="00727C59"/>
    <w:rsid w:val="00734E5D"/>
    <w:rsid w:val="00735AF1"/>
    <w:rsid w:val="00736013"/>
    <w:rsid w:val="00737661"/>
    <w:rsid w:val="00753D83"/>
    <w:rsid w:val="00755D75"/>
    <w:rsid w:val="00756245"/>
    <w:rsid w:val="0076130F"/>
    <w:rsid w:val="00761662"/>
    <w:rsid w:val="00764043"/>
    <w:rsid w:val="007757CF"/>
    <w:rsid w:val="00776FFC"/>
    <w:rsid w:val="0078128F"/>
    <w:rsid w:val="0078683C"/>
    <w:rsid w:val="00790EDB"/>
    <w:rsid w:val="00791538"/>
    <w:rsid w:val="007918F0"/>
    <w:rsid w:val="00791CD5"/>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7E5E4A"/>
    <w:rsid w:val="007F5C72"/>
    <w:rsid w:val="00801028"/>
    <w:rsid w:val="00802CE2"/>
    <w:rsid w:val="00803793"/>
    <w:rsid w:val="008043CA"/>
    <w:rsid w:val="0080643F"/>
    <w:rsid w:val="00814052"/>
    <w:rsid w:val="008149FD"/>
    <w:rsid w:val="00817A01"/>
    <w:rsid w:val="0082083B"/>
    <w:rsid w:val="00824F21"/>
    <w:rsid w:val="0082500C"/>
    <w:rsid w:val="00825E35"/>
    <w:rsid w:val="0083320B"/>
    <w:rsid w:val="008334F8"/>
    <w:rsid w:val="008341AA"/>
    <w:rsid w:val="00835D8E"/>
    <w:rsid w:val="008372F6"/>
    <w:rsid w:val="008377CA"/>
    <w:rsid w:val="00844D03"/>
    <w:rsid w:val="00847B0F"/>
    <w:rsid w:val="00847DBC"/>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5AE0"/>
    <w:rsid w:val="008B7932"/>
    <w:rsid w:val="008C4704"/>
    <w:rsid w:val="008C67F2"/>
    <w:rsid w:val="008D064A"/>
    <w:rsid w:val="008D0FDB"/>
    <w:rsid w:val="008D2B0F"/>
    <w:rsid w:val="008D30BC"/>
    <w:rsid w:val="008D4BC4"/>
    <w:rsid w:val="008E449E"/>
    <w:rsid w:val="008E7062"/>
    <w:rsid w:val="008F187F"/>
    <w:rsid w:val="008F402F"/>
    <w:rsid w:val="008F55FA"/>
    <w:rsid w:val="008F5CEE"/>
    <w:rsid w:val="008F613F"/>
    <w:rsid w:val="008F76E8"/>
    <w:rsid w:val="008F7CD0"/>
    <w:rsid w:val="00902902"/>
    <w:rsid w:val="00902A4B"/>
    <w:rsid w:val="009078A1"/>
    <w:rsid w:val="00911E9C"/>
    <w:rsid w:val="00915083"/>
    <w:rsid w:val="00917405"/>
    <w:rsid w:val="00920035"/>
    <w:rsid w:val="00920F7C"/>
    <w:rsid w:val="00922958"/>
    <w:rsid w:val="00934CAE"/>
    <w:rsid w:val="0094257D"/>
    <w:rsid w:val="00942F60"/>
    <w:rsid w:val="0095211B"/>
    <w:rsid w:val="0095467C"/>
    <w:rsid w:val="00954A61"/>
    <w:rsid w:val="00955C6F"/>
    <w:rsid w:val="00966C7B"/>
    <w:rsid w:val="009701DC"/>
    <w:rsid w:val="009715D8"/>
    <w:rsid w:val="00976F32"/>
    <w:rsid w:val="00980D0D"/>
    <w:rsid w:val="00985C4B"/>
    <w:rsid w:val="00994568"/>
    <w:rsid w:val="00995BF9"/>
    <w:rsid w:val="00997C3C"/>
    <w:rsid w:val="009A0CAF"/>
    <w:rsid w:val="009A1474"/>
    <w:rsid w:val="009A2207"/>
    <w:rsid w:val="009A5147"/>
    <w:rsid w:val="009A74C4"/>
    <w:rsid w:val="009B02D2"/>
    <w:rsid w:val="009B6C42"/>
    <w:rsid w:val="009B6CC2"/>
    <w:rsid w:val="009D31F7"/>
    <w:rsid w:val="009D32C2"/>
    <w:rsid w:val="009D50DB"/>
    <w:rsid w:val="009D72A0"/>
    <w:rsid w:val="009D7989"/>
    <w:rsid w:val="009E3A0A"/>
    <w:rsid w:val="009F26D4"/>
    <w:rsid w:val="009F3E91"/>
    <w:rsid w:val="009F6CE7"/>
    <w:rsid w:val="009F7D7D"/>
    <w:rsid w:val="00A01670"/>
    <w:rsid w:val="00A1499B"/>
    <w:rsid w:val="00A20879"/>
    <w:rsid w:val="00A20AFC"/>
    <w:rsid w:val="00A23E47"/>
    <w:rsid w:val="00A314C2"/>
    <w:rsid w:val="00A43B9C"/>
    <w:rsid w:val="00A53155"/>
    <w:rsid w:val="00A546B5"/>
    <w:rsid w:val="00A56FFA"/>
    <w:rsid w:val="00A577AE"/>
    <w:rsid w:val="00A63E86"/>
    <w:rsid w:val="00A65A1C"/>
    <w:rsid w:val="00A757C3"/>
    <w:rsid w:val="00A75E5B"/>
    <w:rsid w:val="00A7684A"/>
    <w:rsid w:val="00A80B42"/>
    <w:rsid w:val="00A82AED"/>
    <w:rsid w:val="00A83B69"/>
    <w:rsid w:val="00A86533"/>
    <w:rsid w:val="00A9176A"/>
    <w:rsid w:val="00A91CA2"/>
    <w:rsid w:val="00A92FB8"/>
    <w:rsid w:val="00A93B2F"/>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2A45"/>
    <w:rsid w:val="00B039E3"/>
    <w:rsid w:val="00B043C1"/>
    <w:rsid w:val="00B122AC"/>
    <w:rsid w:val="00B22838"/>
    <w:rsid w:val="00B27D52"/>
    <w:rsid w:val="00B32BC1"/>
    <w:rsid w:val="00B33E95"/>
    <w:rsid w:val="00B34EE1"/>
    <w:rsid w:val="00B35B5E"/>
    <w:rsid w:val="00B3720B"/>
    <w:rsid w:val="00B40EE3"/>
    <w:rsid w:val="00B4535A"/>
    <w:rsid w:val="00B55271"/>
    <w:rsid w:val="00B5558A"/>
    <w:rsid w:val="00B56513"/>
    <w:rsid w:val="00B56B2E"/>
    <w:rsid w:val="00B63031"/>
    <w:rsid w:val="00B64376"/>
    <w:rsid w:val="00B71533"/>
    <w:rsid w:val="00B7157A"/>
    <w:rsid w:val="00B73B2A"/>
    <w:rsid w:val="00B7401F"/>
    <w:rsid w:val="00B806A7"/>
    <w:rsid w:val="00B806C3"/>
    <w:rsid w:val="00B838F5"/>
    <w:rsid w:val="00B84FCA"/>
    <w:rsid w:val="00B9089F"/>
    <w:rsid w:val="00B91AEE"/>
    <w:rsid w:val="00B931D5"/>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D6D98"/>
    <w:rsid w:val="00BF376F"/>
    <w:rsid w:val="00BF46A6"/>
    <w:rsid w:val="00BF5AE0"/>
    <w:rsid w:val="00BF62CF"/>
    <w:rsid w:val="00BF6B98"/>
    <w:rsid w:val="00BF73D6"/>
    <w:rsid w:val="00C06545"/>
    <w:rsid w:val="00C1161C"/>
    <w:rsid w:val="00C17F66"/>
    <w:rsid w:val="00C220FC"/>
    <w:rsid w:val="00C23C86"/>
    <w:rsid w:val="00C24DFA"/>
    <w:rsid w:val="00C314B9"/>
    <w:rsid w:val="00C35561"/>
    <w:rsid w:val="00C4202A"/>
    <w:rsid w:val="00C4211F"/>
    <w:rsid w:val="00C445D3"/>
    <w:rsid w:val="00C46A36"/>
    <w:rsid w:val="00C47037"/>
    <w:rsid w:val="00C53625"/>
    <w:rsid w:val="00C602C1"/>
    <w:rsid w:val="00C60C6D"/>
    <w:rsid w:val="00C61C98"/>
    <w:rsid w:val="00C63FC0"/>
    <w:rsid w:val="00C66392"/>
    <w:rsid w:val="00C74C5E"/>
    <w:rsid w:val="00C77487"/>
    <w:rsid w:val="00C77C9A"/>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0EF6"/>
    <w:rsid w:val="00CE2486"/>
    <w:rsid w:val="00CE4913"/>
    <w:rsid w:val="00CE66BD"/>
    <w:rsid w:val="00CF0671"/>
    <w:rsid w:val="00CF44AD"/>
    <w:rsid w:val="00CF4FC0"/>
    <w:rsid w:val="00CF7642"/>
    <w:rsid w:val="00D00717"/>
    <w:rsid w:val="00D03909"/>
    <w:rsid w:val="00D1072F"/>
    <w:rsid w:val="00D108A5"/>
    <w:rsid w:val="00D131F9"/>
    <w:rsid w:val="00D14585"/>
    <w:rsid w:val="00D20EFF"/>
    <w:rsid w:val="00D30F1B"/>
    <w:rsid w:val="00D30FC0"/>
    <w:rsid w:val="00D34F0D"/>
    <w:rsid w:val="00D3516E"/>
    <w:rsid w:val="00D36FE8"/>
    <w:rsid w:val="00D4064C"/>
    <w:rsid w:val="00D47F9F"/>
    <w:rsid w:val="00D50E65"/>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3ADD"/>
    <w:rsid w:val="00D853B5"/>
    <w:rsid w:val="00D86779"/>
    <w:rsid w:val="00D86EE1"/>
    <w:rsid w:val="00D9120E"/>
    <w:rsid w:val="00D913B1"/>
    <w:rsid w:val="00D93793"/>
    <w:rsid w:val="00D96126"/>
    <w:rsid w:val="00DB0C4C"/>
    <w:rsid w:val="00DB3F2F"/>
    <w:rsid w:val="00DB4B1C"/>
    <w:rsid w:val="00DB5085"/>
    <w:rsid w:val="00DB7706"/>
    <w:rsid w:val="00DC1062"/>
    <w:rsid w:val="00DC132C"/>
    <w:rsid w:val="00DC774B"/>
    <w:rsid w:val="00DD0DA9"/>
    <w:rsid w:val="00DD43F0"/>
    <w:rsid w:val="00DD44DE"/>
    <w:rsid w:val="00DD4C46"/>
    <w:rsid w:val="00DE09AB"/>
    <w:rsid w:val="00DE168E"/>
    <w:rsid w:val="00DE4A3F"/>
    <w:rsid w:val="00DE4E53"/>
    <w:rsid w:val="00DE7AE9"/>
    <w:rsid w:val="00DF4367"/>
    <w:rsid w:val="00E0574A"/>
    <w:rsid w:val="00E113BD"/>
    <w:rsid w:val="00E1243D"/>
    <w:rsid w:val="00E12588"/>
    <w:rsid w:val="00E12742"/>
    <w:rsid w:val="00E12E4A"/>
    <w:rsid w:val="00E146D4"/>
    <w:rsid w:val="00E20976"/>
    <w:rsid w:val="00E22079"/>
    <w:rsid w:val="00E22B44"/>
    <w:rsid w:val="00E236D8"/>
    <w:rsid w:val="00E30ACD"/>
    <w:rsid w:val="00E3184B"/>
    <w:rsid w:val="00E32735"/>
    <w:rsid w:val="00E5391D"/>
    <w:rsid w:val="00E544E5"/>
    <w:rsid w:val="00E6033F"/>
    <w:rsid w:val="00E61364"/>
    <w:rsid w:val="00E66E36"/>
    <w:rsid w:val="00E6781E"/>
    <w:rsid w:val="00E702ED"/>
    <w:rsid w:val="00E705CC"/>
    <w:rsid w:val="00E709A4"/>
    <w:rsid w:val="00E72C29"/>
    <w:rsid w:val="00E73822"/>
    <w:rsid w:val="00E772DB"/>
    <w:rsid w:val="00E8418F"/>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2771"/>
    <w:rsid w:val="00F06F68"/>
    <w:rsid w:val="00F10B01"/>
    <w:rsid w:val="00F1332D"/>
    <w:rsid w:val="00F1534B"/>
    <w:rsid w:val="00F1713B"/>
    <w:rsid w:val="00F212CB"/>
    <w:rsid w:val="00F23C7D"/>
    <w:rsid w:val="00F243DB"/>
    <w:rsid w:val="00F24C2D"/>
    <w:rsid w:val="00F24F1B"/>
    <w:rsid w:val="00F253D4"/>
    <w:rsid w:val="00F27356"/>
    <w:rsid w:val="00F31A2C"/>
    <w:rsid w:val="00F32A81"/>
    <w:rsid w:val="00F46998"/>
    <w:rsid w:val="00F47100"/>
    <w:rsid w:val="00F5382D"/>
    <w:rsid w:val="00F53D9C"/>
    <w:rsid w:val="00F5462B"/>
    <w:rsid w:val="00F56073"/>
    <w:rsid w:val="00F634AD"/>
    <w:rsid w:val="00F63677"/>
    <w:rsid w:val="00F63ABE"/>
    <w:rsid w:val="00F72EE6"/>
    <w:rsid w:val="00F75B81"/>
    <w:rsid w:val="00F804C4"/>
    <w:rsid w:val="00F805CC"/>
    <w:rsid w:val="00F82F83"/>
    <w:rsid w:val="00F832E5"/>
    <w:rsid w:val="00F90F40"/>
    <w:rsid w:val="00F9187D"/>
    <w:rsid w:val="00F92B30"/>
    <w:rsid w:val="00F933B9"/>
    <w:rsid w:val="00F94674"/>
    <w:rsid w:val="00F94919"/>
    <w:rsid w:val="00F94A59"/>
    <w:rsid w:val="00FA25B6"/>
    <w:rsid w:val="00FA2FAF"/>
    <w:rsid w:val="00FA5CCF"/>
    <w:rsid w:val="00FA64B1"/>
    <w:rsid w:val="00FA70F3"/>
    <w:rsid w:val="00FA71CD"/>
    <w:rsid w:val="00FA7FC5"/>
    <w:rsid w:val="00FB0453"/>
    <w:rsid w:val="00FB0C07"/>
    <w:rsid w:val="00FB298D"/>
    <w:rsid w:val="00FC1439"/>
    <w:rsid w:val="00FC3706"/>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2105DD0"/>
    <w:rsid w:val="0214602E"/>
    <w:rsid w:val="03466855"/>
    <w:rsid w:val="03486B27"/>
    <w:rsid w:val="03580FD9"/>
    <w:rsid w:val="038F541B"/>
    <w:rsid w:val="03937984"/>
    <w:rsid w:val="03FB6A30"/>
    <w:rsid w:val="040A094E"/>
    <w:rsid w:val="047D26D2"/>
    <w:rsid w:val="04B771C9"/>
    <w:rsid w:val="04DD2F90"/>
    <w:rsid w:val="04E36C96"/>
    <w:rsid w:val="05006DAE"/>
    <w:rsid w:val="056800F4"/>
    <w:rsid w:val="056F201D"/>
    <w:rsid w:val="05B664D4"/>
    <w:rsid w:val="07076C01"/>
    <w:rsid w:val="071C12AC"/>
    <w:rsid w:val="074C09BA"/>
    <w:rsid w:val="074E231E"/>
    <w:rsid w:val="0768045D"/>
    <w:rsid w:val="07A934B3"/>
    <w:rsid w:val="080A5070"/>
    <w:rsid w:val="08B15E54"/>
    <w:rsid w:val="0980799C"/>
    <w:rsid w:val="09F61D50"/>
    <w:rsid w:val="0A0F6376"/>
    <w:rsid w:val="0A353CEA"/>
    <w:rsid w:val="0A5922DF"/>
    <w:rsid w:val="0A6A18DB"/>
    <w:rsid w:val="0A96708F"/>
    <w:rsid w:val="0AEF3828"/>
    <w:rsid w:val="0AF77D07"/>
    <w:rsid w:val="0B057AEF"/>
    <w:rsid w:val="0B487B78"/>
    <w:rsid w:val="0BBB665B"/>
    <w:rsid w:val="0BFF2A12"/>
    <w:rsid w:val="0C3D65CA"/>
    <w:rsid w:val="0CB7664E"/>
    <w:rsid w:val="0D4234FE"/>
    <w:rsid w:val="0E55371B"/>
    <w:rsid w:val="0E816EC5"/>
    <w:rsid w:val="0E864017"/>
    <w:rsid w:val="0EEA6FC1"/>
    <w:rsid w:val="0EF23960"/>
    <w:rsid w:val="0F6E6D3D"/>
    <w:rsid w:val="0F7D25CB"/>
    <w:rsid w:val="0F954485"/>
    <w:rsid w:val="0FB87DF5"/>
    <w:rsid w:val="0FBF344F"/>
    <w:rsid w:val="0FC30926"/>
    <w:rsid w:val="102617AA"/>
    <w:rsid w:val="10505F32"/>
    <w:rsid w:val="105A27E6"/>
    <w:rsid w:val="10725EA8"/>
    <w:rsid w:val="10EC17B7"/>
    <w:rsid w:val="119B0711"/>
    <w:rsid w:val="12197477"/>
    <w:rsid w:val="1238653B"/>
    <w:rsid w:val="12521AED"/>
    <w:rsid w:val="129A7DEF"/>
    <w:rsid w:val="12BE27B4"/>
    <w:rsid w:val="131C5AEC"/>
    <w:rsid w:val="135463C6"/>
    <w:rsid w:val="13587E2C"/>
    <w:rsid w:val="135B2C24"/>
    <w:rsid w:val="13CC58CF"/>
    <w:rsid w:val="1413346E"/>
    <w:rsid w:val="1437543F"/>
    <w:rsid w:val="1466407E"/>
    <w:rsid w:val="146D70F1"/>
    <w:rsid w:val="147E16A4"/>
    <w:rsid w:val="14834E28"/>
    <w:rsid w:val="148E7D65"/>
    <w:rsid w:val="151D4243"/>
    <w:rsid w:val="15231BF9"/>
    <w:rsid w:val="15417840"/>
    <w:rsid w:val="156A53A0"/>
    <w:rsid w:val="15D54F0F"/>
    <w:rsid w:val="15E750C7"/>
    <w:rsid w:val="163A529F"/>
    <w:rsid w:val="166D2F25"/>
    <w:rsid w:val="16A34589"/>
    <w:rsid w:val="17823384"/>
    <w:rsid w:val="179F5278"/>
    <w:rsid w:val="18A1093B"/>
    <w:rsid w:val="18A64941"/>
    <w:rsid w:val="18B23848"/>
    <w:rsid w:val="18ED08AB"/>
    <w:rsid w:val="190B50EC"/>
    <w:rsid w:val="1A3B68AA"/>
    <w:rsid w:val="1A3E1C1E"/>
    <w:rsid w:val="1C141836"/>
    <w:rsid w:val="1DDD3AAF"/>
    <w:rsid w:val="1E6B6A14"/>
    <w:rsid w:val="1EBA6164"/>
    <w:rsid w:val="1EC16D0B"/>
    <w:rsid w:val="1F1840BF"/>
    <w:rsid w:val="1FDC3F9E"/>
    <w:rsid w:val="201425DF"/>
    <w:rsid w:val="20550D9A"/>
    <w:rsid w:val="21584C46"/>
    <w:rsid w:val="21714B53"/>
    <w:rsid w:val="218E2416"/>
    <w:rsid w:val="224E718C"/>
    <w:rsid w:val="226915FE"/>
    <w:rsid w:val="22E14C32"/>
    <w:rsid w:val="22F03260"/>
    <w:rsid w:val="23843AD1"/>
    <w:rsid w:val="238719D6"/>
    <w:rsid w:val="23A423C5"/>
    <w:rsid w:val="23AE2087"/>
    <w:rsid w:val="24B97929"/>
    <w:rsid w:val="2520252D"/>
    <w:rsid w:val="25A74283"/>
    <w:rsid w:val="26163BC1"/>
    <w:rsid w:val="267E57F4"/>
    <w:rsid w:val="26ED7BDF"/>
    <w:rsid w:val="27900AD3"/>
    <w:rsid w:val="285F40CA"/>
    <w:rsid w:val="28C01ECB"/>
    <w:rsid w:val="28EC3ECC"/>
    <w:rsid w:val="29BF71E3"/>
    <w:rsid w:val="2A127B63"/>
    <w:rsid w:val="2AAA4765"/>
    <w:rsid w:val="2AC21606"/>
    <w:rsid w:val="2AF63C5E"/>
    <w:rsid w:val="2B7E7608"/>
    <w:rsid w:val="2B7F04E9"/>
    <w:rsid w:val="2C305555"/>
    <w:rsid w:val="2C907580"/>
    <w:rsid w:val="2C9A21B9"/>
    <w:rsid w:val="2CE20523"/>
    <w:rsid w:val="2D496D68"/>
    <w:rsid w:val="2D863D27"/>
    <w:rsid w:val="2DF940F0"/>
    <w:rsid w:val="2E552C39"/>
    <w:rsid w:val="2E6672CB"/>
    <w:rsid w:val="2E7A48DE"/>
    <w:rsid w:val="2EDC3ED8"/>
    <w:rsid w:val="2EDF69A7"/>
    <w:rsid w:val="2F2D046C"/>
    <w:rsid w:val="2F6351B4"/>
    <w:rsid w:val="2F7B1AD6"/>
    <w:rsid w:val="2FCF199E"/>
    <w:rsid w:val="30183F1E"/>
    <w:rsid w:val="30483E83"/>
    <w:rsid w:val="30AA0E97"/>
    <w:rsid w:val="332B2C6A"/>
    <w:rsid w:val="334E4CD8"/>
    <w:rsid w:val="33A83169"/>
    <w:rsid w:val="343C0775"/>
    <w:rsid w:val="34762628"/>
    <w:rsid w:val="34AA76A9"/>
    <w:rsid w:val="34B67009"/>
    <w:rsid w:val="356C50EC"/>
    <w:rsid w:val="361108CD"/>
    <w:rsid w:val="36701E43"/>
    <w:rsid w:val="36A94A04"/>
    <w:rsid w:val="3700166C"/>
    <w:rsid w:val="3727617F"/>
    <w:rsid w:val="375969FE"/>
    <w:rsid w:val="37B11884"/>
    <w:rsid w:val="38694EE9"/>
    <w:rsid w:val="388A5A92"/>
    <w:rsid w:val="38A327F3"/>
    <w:rsid w:val="39552058"/>
    <w:rsid w:val="3B365CC9"/>
    <w:rsid w:val="3B9A7B88"/>
    <w:rsid w:val="3BC114FF"/>
    <w:rsid w:val="3C14387D"/>
    <w:rsid w:val="3C2660C6"/>
    <w:rsid w:val="3D2C7AC8"/>
    <w:rsid w:val="3D855D12"/>
    <w:rsid w:val="3D8B42FF"/>
    <w:rsid w:val="3D8C02DD"/>
    <w:rsid w:val="3DA231E3"/>
    <w:rsid w:val="3DC20089"/>
    <w:rsid w:val="3DF36A6E"/>
    <w:rsid w:val="3F1138E1"/>
    <w:rsid w:val="3F792F1E"/>
    <w:rsid w:val="3F903A5F"/>
    <w:rsid w:val="4024421A"/>
    <w:rsid w:val="402B1A4C"/>
    <w:rsid w:val="40824826"/>
    <w:rsid w:val="40BE01CA"/>
    <w:rsid w:val="40E63923"/>
    <w:rsid w:val="42B443F4"/>
    <w:rsid w:val="42D13930"/>
    <w:rsid w:val="42F43FD4"/>
    <w:rsid w:val="43911BC6"/>
    <w:rsid w:val="43A91E5B"/>
    <w:rsid w:val="440A59C8"/>
    <w:rsid w:val="44AD6ED3"/>
    <w:rsid w:val="44BC3308"/>
    <w:rsid w:val="45B150B1"/>
    <w:rsid w:val="45BA48DB"/>
    <w:rsid w:val="463A3650"/>
    <w:rsid w:val="469F0116"/>
    <w:rsid w:val="46F67293"/>
    <w:rsid w:val="475259B7"/>
    <w:rsid w:val="48831CF9"/>
    <w:rsid w:val="49A165B8"/>
    <w:rsid w:val="49B1408D"/>
    <w:rsid w:val="4A7D4FD2"/>
    <w:rsid w:val="4A913C9A"/>
    <w:rsid w:val="4AA46683"/>
    <w:rsid w:val="4AE22D2F"/>
    <w:rsid w:val="4B1F70AC"/>
    <w:rsid w:val="4B240F94"/>
    <w:rsid w:val="4B386AE5"/>
    <w:rsid w:val="4B774E60"/>
    <w:rsid w:val="4B9A1834"/>
    <w:rsid w:val="4BA75287"/>
    <w:rsid w:val="4BD10964"/>
    <w:rsid w:val="4BED70D6"/>
    <w:rsid w:val="4C3B3017"/>
    <w:rsid w:val="4C3C565C"/>
    <w:rsid w:val="4C4A5008"/>
    <w:rsid w:val="4CCC79C7"/>
    <w:rsid w:val="4D7555C7"/>
    <w:rsid w:val="4D875DE8"/>
    <w:rsid w:val="4E025E2A"/>
    <w:rsid w:val="4E7E62F6"/>
    <w:rsid w:val="4EAE37F8"/>
    <w:rsid w:val="4EAE6DA0"/>
    <w:rsid w:val="4EFB4CDF"/>
    <w:rsid w:val="4FD037EF"/>
    <w:rsid w:val="4FEC7FD1"/>
    <w:rsid w:val="5016514B"/>
    <w:rsid w:val="502857C7"/>
    <w:rsid w:val="50476D3D"/>
    <w:rsid w:val="507408A5"/>
    <w:rsid w:val="511659A4"/>
    <w:rsid w:val="517B6524"/>
    <w:rsid w:val="51CB1C78"/>
    <w:rsid w:val="51FD6A51"/>
    <w:rsid w:val="526B680A"/>
    <w:rsid w:val="53065A01"/>
    <w:rsid w:val="53150D15"/>
    <w:rsid w:val="5352083E"/>
    <w:rsid w:val="537D4124"/>
    <w:rsid w:val="541A5D30"/>
    <w:rsid w:val="542C1497"/>
    <w:rsid w:val="553E632F"/>
    <w:rsid w:val="557C43E2"/>
    <w:rsid w:val="55F068CD"/>
    <w:rsid w:val="56442F77"/>
    <w:rsid w:val="566C3136"/>
    <w:rsid w:val="568D04F2"/>
    <w:rsid w:val="57D42C12"/>
    <w:rsid w:val="588D6DD7"/>
    <w:rsid w:val="5919249F"/>
    <w:rsid w:val="5923464B"/>
    <w:rsid w:val="594E61F3"/>
    <w:rsid w:val="59871F22"/>
    <w:rsid w:val="59971F55"/>
    <w:rsid w:val="59C52A6E"/>
    <w:rsid w:val="5A526582"/>
    <w:rsid w:val="5A5F5C77"/>
    <w:rsid w:val="5A9102A6"/>
    <w:rsid w:val="5BBE39CD"/>
    <w:rsid w:val="5BC11A60"/>
    <w:rsid w:val="5C603AE6"/>
    <w:rsid w:val="5C7A4D54"/>
    <w:rsid w:val="5C7F5660"/>
    <w:rsid w:val="5CD23B73"/>
    <w:rsid w:val="5DB56D8D"/>
    <w:rsid w:val="5DCD7847"/>
    <w:rsid w:val="5E532442"/>
    <w:rsid w:val="5F127819"/>
    <w:rsid w:val="5F3D27AA"/>
    <w:rsid w:val="5F63752A"/>
    <w:rsid w:val="5FBC3C39"/>
    <w:rsid w:val="5FF466EA"/>
    <w:rsid w:val="60F1503F"/>
    <w:rsid w:val="61025188"/>
    <w:rsid w:val="61057D5F"/>
    <w:rsid w:val="614D4977"/>
    <w:rsid w:val="623F3C58"/>
    <w:rsid w:val="6300421A"/>
    <w:rsid w:val="63294AF4"/>
    <w:rsid w:val="63BC45E5"/>
    <w:rsid w:val="63C60FC0"/>
    <w:rsid w:val="64117FAB"/>
    <w:rsid w:val="64A93AC2"/>
    <w:rsid w:val="64BA3D7A"/>
    <w:rsid w:val="64D34C7C"/>
    <w:rsid w:val="64F179BC"/>
    <w:rsid w:val="650C6EA7"/>
    <w:rsid w:val="65C94C55"/>
    <w:rsid w:val="665704D3"/>
    <w:rsid w:val="6686712D"/>
    <w:rsid w:val="66C0263F"/>
    <w:rsid w:val="670B14F0"/>
    <w:rsid w:val="673148E2"/>
    <w:rsid w:val="675445CD"/>
    <w:rsid w:val="67C065A4"/>
    <w:rsid w:val="67D359C9"/>
    <w:rsid w:val="67D85766"/>
    <w:rsid w:val="6865349E"/>
    <w:rsid w:val="68D325EF"/>
    <w:rsid w:val="68ED5241"/>
    <w:rsid w:val="68FE36DD"/>
    <w:rsid w:val="694E60FC"/>
    <w:rsid w:val="69EF4042"/>
    <w:rsid w:val="6A1A0F4D"/>
    <w:rsid w:val="6ADF0EEB"/>
    <w:rsid w:val="6BDF3567"/>
    <w:rsid w:val="6C0C59DE"/>
    <w:rsid w:val="6C410A63"/>
    <w:rsid w:val="6C671521"/>
    <w:rsid w:val="6C675CE6"/>
    <w:rsid w:val="6CEF35AF"/>
    <w:rsid w:val="6CFA2A47"/>
    <w:rsid w:val="6D3C22F3"/>
    <w:rsid w:val="6D4F4321"/>
    <w:rsid w:val="6DE95E22"/>
    <w:rsid w:val="6DFF7360"/>
    <w:rsid w:val="6E001573"/>
    <w:rsid w:val="6E3D4575"/>
    <w:rsid w:val="6E7A5F73"/>
    <w:rsid w:val="6EAE7221"/>
    <w:rsid w:val="6F2E3798"/>
    <w:rsid w:val="6FD74228"/>
    <w:rsid w:val="706032E0"/>
    <w:rsid w:val="70FE5EDF"/>
    <w:rsid w:val="71633091"/>
    <w:rsid w:val="71AC18C9"/>
    <w:rsid w:val="725E7BFA"/>
    <w:rsid w:val="72693B8A"/>
    <w:rsid w:val="730218E9"/>
    <w:rsid w:val="73081CA5"/>
    <w:rsid w:val="731735E6"/>
    <w:rsid w:val="73F2195D"/>
    <w:rsid w:val="73F41B79"/>
    <w:rsid w:val="74545B7C"/>
    <w:rsid w:val="747D56CB"/>
    <w:rsid w:val="7487762D"/>
    <w:rsid w:val="749F2380"/>
    <w:rsid w:val="75385498"/>
    <w:rsid w:val="753E7806"/>
    <w:rsid w:val="75BE5F9B"/>
    <w:rsid w:val="75E54D4E"/>
    <w:rsid w:val="766F5B43"/>
    <w:rsid w:val="769962BD"/>
    <w:rsid w:val="76BC207F"/>
    <w:rsid w:val="76EB4904"/>
    <w:rsid w:val="771D13E7"/>
    <w:rsid w:val="777378F5"/>
    <w:rsid w:val="777A2D3C"/>
    <w:rsid w:val="78537BEA"/>
    <w:rsid w:val="788F3C1F"/>
    <w:rsid w:val="78D43D28"/>
    <w:rsid w:val="79074B81"/>
    <w:rsid w:val="794F0939"/>
    <w:rsid w:val="79AF0FCA"/>
    <w:rsid w:val="79EF2560"/>
    <w:rsid w:val="7A9B6C5F"/>
    <w:rsid w:val="7AF9279C"/>
    <w:rsid w:val="7B713AB0"/>
    <w:rsid w:val="7C02295A"/>
    <w:rsid w:val="7C333FF5"/>
    <w:rsid w:val="7C3805F4"/>
    <w:rsid w:val="7C6D423F"/>
    <w:rsid w:val="7CBB3234"/>
    <w:rsid w:val="7CC51958"/>
    <w:rsid w:val="7CEC40B6"/>
    <w:rsid w:val="7D284642"/>
    <w:rsid w:val="7E156974"/>
    <w:rsid w:val="7E2936C3"/>
    <w:rsid w:val="7E2E365C"/>
    <w:rsid w:val="7E6411B9"/>
    <w:rsid w:val="7E775881"/>
    <w:rsid w:val="7F271055"/>
    <w:rsid w:val="7F583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nhideWhenUsed="0"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5">
    <w:name w:val="heading 1"/>
    <w:basedOn w:val="1"/>
    <w:next w:val="1"/>
    <w:link w:val="78"/>
    <w:autoRedefine/>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89"/>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7">
    <w:name w:val="heading 3"/>
    <w:basedOn w:val="1"/>
    <w:next w:val="1"/>
    <w:link w:val="64"/>
    <w:autoRedefine/>
    <w:semiHidden/>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69"/>
    <w:autoRedefine/>
    <w:qFormat/>
    <w:uiPriority w:val="0"/>
    <w:pPr>
      <w:keepNext/>
      <w:keepLines/>
      <w:spacing w:before="280" w:after="290" w:line="376" w:lineRule="auto"/>
      <w:outlineLvl w:val="3"/>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left="0" w:leftChars="0" w:firstLine="420" w:firstLineChars="200"/>
    </w:pPr>
  </w:style>
  <w:style w:type="paragraph" w:styleId="3">
    <w:name w:val="Body Text Indent"/>
    <w:basedOn w:val="1"/>
    <w:next w:val="4"/>
    <w:autoRedefine/>
    <w:qFormat/>
    <w:uiPriority w:val="0"/>
    <w:pPr>
      <w:spacing w:after="120"/>
      <w:ind w:left="200" w:leftChars="200"/>
    </w:pPr>
  </w:style>
  <w:style w:type="paragraph" w:styleId="4">
    <w:name w:val="envelope return"/>
    <w:basedOn w:val="1"/>
    <w:autoRedefine/>
    <w:qFormat/>
    <w:uiPriority w:val="0"/>
    <w:pPr>
      <w:snapToGrid w:val="0"/>
    </w:pPr>
    <w:rPr>
      <w:rFonts w:ascii="Arial" w:hAnsi="Arial"/>
    </w:rPr>
  </w:style>
  <w:style w:type="paragraph" w:styleId="9">
    <w:name w:val="toc 7"/>
    <w:basedOn w:val="1"/>
    <w:next w:val="1"/>
    <w:autoRedefine/>
    <w:qFormat/>
    <w:uiPriority w:val="39"/>
    <w:pPr>
      <w:ind w:left="1260"/>
      <w:jc w:val="left"/>
    </w:pPr>
    <w:rPr>
      <w:sz w:val="18"/>
      <w:szCs w:val="18"/>
    </w:rPr>
  </w:style>
  <w:style w:type="paragraph" w:styleId="10">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11">
    <w:name w:val="Document Map"/>
    <w:basedOn w:val="1"/>
    <w:next w:val="1"/>
    <w:autoRedefine/>
    <w:qFormat/>
    <w:uiPriority w:val="0"/>
    <w:rPr>
      <w:rFonts w:ascii="宋体" w:hAnsi="Times New Roman" w:eastAsia="宋体" w:cs="Times New Roman"/>
      <w:sz w:val="18"/>
      <w:szCs w:val="18"/>
    </w:rPr>
  </w:style>
  <w:style w:type="paragraph" w:styleId="12">
    <w:name w:val="annotation text"/>
    <w:basedOn w:val="1"/>
    <w:link w:val="61"/>
    <w:autoRedefine/>
    <w:qFormat/>
    <w:uiPriority w:val="0"/>
    <w:pPr>
      <w:jc w:val="left"/>
    </w:pPr>
    <w:rPr>
      <w:rFonts w:ascii="Arial" w:hAnsi="Arial" w:eastAsia="黑体" w:cs="Arial"/>
    </w:rPr>
  </w:style>
  <w:style w:type="paragraph" w:styleId="13">
    <w:name w:val="Body Text"/>
    <w:basedOn w:val="1"/>
    <w:next w:val="14"/>
    <w:autoRedefine/>
    <w:qFormat/>
    <w:uiPriority w:val="0"/>
    <w:pPr>
      <w:spacing w:after="120"/>
    </w:pPr>
    <w:rPr>
      <w:rFonts w:ascii="@微软简标宋" w:hAnsi="@微软简标宋" w:eastAsia="@微软简标宋" w:cs="@微软简标宋"/>
      <w:szCs w:val="24"/>
      <w:lang w:val="zh-CN"/>
    </w:rPr>
  </w:style>
  <w:style w:type="paragraph" w:styleId="14">
    <w:name w:val="Body Text First Indent"/>
    <w:basedOn w:val="13"/>
    <w:next w:val="2"/>
    <w:autoRedefine/>
    <w:unhideWhenUsed/>
    <w:qFormat/>
    <w:uiPriority w:val="99"/>
    <w:pPr>
      <w:ind w:firstLine="420" w:firstLineChars="100"/>
    </w:pPr>
  </w:style>
  <w:style w:type="paragraph" w:styleId="15">
    <w:name w:val="Block Text"/>
    <w:basedOn w:val="1"/>
    <w:qFormat/>
    <w:uiPriority w:val="0"/>
    <w:rPr>
      <w:rFonts w:eastAsia="宋体"/>
    </w:rPr>
  </w:style>
  <w:style w:type="paragraph" w:styleId="16">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7">
    <w:name w:val="Plain Text"/>
    <w:basedOn w:val="1"/>
    <w:link w:val="51"/>
    <w:autoRedefine/>
    <w:qFormat/>
    <w:uiPriority w:val="99"/>
    <w:rPr>
      <w:rFonts w:ascii="宋体" w:hAnsi="Courier New" w:eastAsiaTheme="minorEastAsia" w:cstheme="minorBidi"/>
      <w:szCs w:val="22"/>
    </w:rPr>
  </w:style>
  <w:style w:type="paragraph" w:styleId="18">
    <w:name w:val="Date"/>
    <w:basedOn w:val="1"/>
    <w:next w:val="1"/>
    <w:link w:val="58"/>
    <w:autoRedefine/>
    <w:qFormat/>
    <w:uiPriority w:val="0"/>
    <w:rPr>
      <w:rFonts w:ascii="Arial" w:hAnsi="Arial" w:eastAsia="宋体" w:cs="Arial"/>
      <w:b/>
      <w:sz w:val="28"/>
    </w:rPr>
  </w:style>
  <w:style w:type="paragraph" w:styleId="19">
    <w:name w:val="Balloon Text"/>
    <w:basedOn w:val="1"/>
    <w:link w:val="45"/>
    <w:autoRedefine/>
    <w:semiHidden/>
    <w:unhideWhenUsed/>
    <w:qFormat/>
    <w:uiPriority w:val="99"/>
    <w:rPr>
      <w:sz w:val="18"/>
      <w:szCs w:val="18"/>
    </w:rPr>
  </w:style>
  <w:style w:type="paragraph" w:styleId="20">
    <w:name w:val="footer"/>
    <w:basedOn w:val="1"/>
    <w:link w:val="50"/>
    <w:autoRedefine/>
    <w:unhideWhenUsed/>
    <w:qFormat/>
    <w:uiPriority w:val="99"/>
    <w:pPr>
      <w:tabs>
        <w:tab w:val="center" w:pos="4153"/>
        <w:tab w:val="right" w:pos="8306"/>
      </w:tabs>
      <w:snapToGrid w:val="0"/>
      <w:jc w:val="left"/>
    </w:pPr>
    <w:rPr>
      <w:sz w:val="18"/>
      <w:szCs w:val="18"/>
    </w:rPr>
  </w:style>
  <w:style w:type="paragraph" w:styleId="21">
    <w:name w:val="header"/>
    <w:basedOn w:val="1"/>
    <w:link w:val="4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3">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4">
    <w:name w:val="Body Text 2"/>
    <w:basedOn w:val="1"/>
    <w:autoRedefine/>
    <w:unhideWhenUsed/>
    <w:qFormat/>
    <w:uiPriority w:val="99"/>
    <w:pPr>
      <w:spacing w:after="120" w:line="480" w:lineRule="auto"/>
    </w:pPr>
  </w:style>
  <w:style w:type="paragraph" w:styleId="25">
    <w:name w:val="Normal (Web)"/>
    <w:basedOn w:val="1"/>
    <w:autoRedefine/>
    <w:qFormat/>
    <w:uiPriority w:val="0"/>
    <w:pPr>
      <w:spacing w:before="100" w:beforeAutospacing="1" w:after="100" w:afterAutospacing="1"/>
      <w:jc w:val="left"/>
    </w:pPr>
    <w:rPr>
      <w:rFonts w:cs="Times New Roman"/>
      <w:kern w:val="0"/>
      <w:sz w:val="24"/>
    </w:rPr>
  </w:style>
  <w:style w:type="paragraph" w:styleId="26">
    <w:name w:val="index 1"/>
    <w:basedOn w:val="1"/>
    <w:next w:val="1"/>
    <w:autoRedefine/>
    <w:qFormat/>
    <w:uiPriority w:val="0"/>
    <w:pPr>
      <w:jc w:val="center"/>
    </w:pPr>
    <w:rPr>
      <w:rFonts w:ascii="Arial" w:hAnsi="Arial" w:eastAsia="Arial" w:cs="Arial"/>
      <w:b/>
      <w:bCs/>
      <w:sz w:val="28"/>
    </w:rPr>
  </w:style>
  <w:style w:type="paragraph" w:styleId="27">
    <w:name w:val="annotation subject"/>
    <w:basedOn w:val="12"/>
    <w:next w:val="12"/>
    <w:link w:val="72"/>
    <w:autoRedefine/>
    <w:semiHidden/>
    <w:unhideWhenUsed/>
    <w:qFormat/>
    <w:uiPriority w:val="99"/>
    <w:rPr>
      <w:rFonts w:ascii="@仿宋_GB2312" w:hAnsi="@仿宋_GB2312" w:eastAsia="@仿宋_GB2312" w:cs="@仿宋_GB2312"/>
      <w:b/>
      <w:bCs/>
    </w:rPr>
  </w:style>
  <w:style w:type="table" w:styleId="29">
    <w:name w:val="Table Grid"/>
    <w:basedOn w:val="28"/>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autoRedefine/>
    <w:qFormat/>
    <w:uiPriority w:val="0"/>
    <w:rPr>
      <w:b/>
      <w:bCs/>
    </w:rPr>
  </w:style>
  <w:style w:type="character" w:styleId="32">
    <w:name w:val="FollowedHyperlink"/>
    <w:basedOn w:val="30"/>
    <w:semiHidden/>
    <w:unhideWhenUsed/>
    <w:qFormat/>
    <w:uiPriority w:val="99"/>
    <w:rPr>
      <w:color w:val="5C5C5C"/>
      <w:u w:val="none"/>
    </w:rPr>
  </w:style>
  <w:style w:type="character" w:styleId="33">
    <w:name w:val="Emphasis"/>
    <w:basedOn w:val="30"/>
    <w:qFormat/>
    <w:uiPriority w:val="20"/>
    <w:rPr>
      <w:b/>
      <w:bCs/>
    </w:rPr>
  </w:style>
  <w:style w:type="character" w:styleId="34">
    <w:name w:val="HTML Definition"/>
    <w:basedOn w:val="30"/>
    <w:semiHidden/>
    <w:unhideWhenUsed/>
    <w:qFormat/>
    <w:uiPriority w:val="99"/>
  </w:style>
  <w:style w:type="character" w:styleId="35">
    <w:name w:val="HTML Typewriter"/>
    <w:basedOn w:val="30"/>
    <w:semiHidden/>
    <w:unhideWhenUsed/>
    <w:qFormat/>
    <w:uiPriority w:val="99"/>
    <w:rPr>
      <w:rFonts w:hint="default" w:ascii="monospace" w:hAnsi="monospace" w:eastAsia="monospace" w:cs="monospace"/>
      <w:sz w:val="20"/>
    </w:rPr>
  </w:style>
  <w:style w:type="character" w:styleId="36">
    <w:name w:val="HTML Acronym"/>
    <w:basedOn w:val="30"/>
    <w:semiHidden/>
    <w:unhideWhenUsed/>
    <w:qFormat/>
    <w:uiPriority w:val="99"/>
  </w:style>
  <w:style w:type="character" w:styleId="37">
    <w:name w:val="HTML Variable"/>
    <w:basedOn w:val="30"/>
    <w:semiHidden/>
    <w:unhideWhenUsed/>
    <w:qFormat/>
    <w:uiPriority w:val="99"/>
  </w:style>
  <w:style w:type="character" w:styleId="38">
    <w:name w:val="Hyperlink"/>
    <w:basedOn w:val="30"/>
    <w:autoRedefine/>
    <w:unhideWhenUsed/>
    <w:qFormat/>
    <w:uiPriority w:val="99"/>
    <w:rPr>
      <w:color w:val="0000FF" w:themeColor="hyperlink"/>
      <w:u w:val="single"/>
      <w14:textFill>
        <w14:solidFill>
          <w14:schemeClr w14:val="hlink"/>
        </w14:solidFill>
      </w14:textFill>
    </w:rPr>
  </w:style>
  <w:style w:type="character" w:styleId="39">
    <w:name w:val="HTML Code"/>
    <w:basedOn w:val="30"/>
    <w:semiHidden/>
    <w:unhideWhenUsed/>
    <w:qFormat/>
    <w:uiPriority w:val="99"/>
    <w:rPr>
      <w:rFonts w:hint="default" w:ascii="monospace" w:hAnsi="monospace" w:eastAsia="monospace" w:cs="monospace"/>
      <w:sz w:val="20"/>
    </w:rPr>
  </w:style>
  <w:style w:type="character" w:styleId="40">
    <w:name w:val="annotation reference"/>
    <w:basedOn w:val="30"/>
    <w:autoRedefine/>
    <w:semiHidden/>
    <w:unhideWhenUsed/>
    <w:qFormat/>
    <w:uiPriority w:val="99"/>
    <w:rPr>
      <w:sz w:val="21"/>
      <w:szCs w:val="21"/>
    </w:rPr>
  </w:style>
  <w:style w:type="character" w:styleId="41">
    <w:name w:val="HTML Cite"/>
    <w:basedOn w:val="30"/>
    <w:semiHidden/>
    <w:unhideWhenUsed/>
    <w:qFormat/>
    <w:uiPriority w:val="99"/>
  </w:style>
  <w:style w:type="character" w:styleId="42">
    <w:name w:val="HTML Keyboard"/>
    <w:basedOn w:val="30"/>
    <w:semiHidden/>
    <w:unhideWhenUsed/>
    <w:qFormat/>
    <w:uiPriority w:val="99"/>
    <w:rPr>
      <w:rFonts w:ascii="monospace" w:hAnsi="monospace" w:eastAsia="monospace" w:cs="monospace"/>
      <w:sz w:val="20"/>
    </w:rPr>
  </w:style>
  <w:style w:type="character" w:styleId="43">
    <w:name w:val="HTML Sample"/>
    <w:basedOn w:val="30"/>
    <w:semiHidden/>
    <w:unhideWhenUsed/>
    <w:qFormat/>
    <w:uiPriority w:val="99"/>
    <w:rPr>
      <w:rFonts w:hint="default" w:ascii="monospace" w:hAnsi="monospace" w:eastAsia="monospace" w:cs="monospace"/>
    </w:rPr>
  </w:style>
  <w:style w:type="paragraph" w:customStyle="1" w:styleId="44">
    <w:name w:val="正文文字 8"/>
    <w:basedOn w:val="1"/>
    <w:next w:val="1"/>
    <w:autoRedefine/>
    <w:qFormat/>
    <w:uiPriority w:val="0"/>
    <w:pPr>
      <w:ind w:left="240"/>
    </w:pPr>
    <w:rPr>
      <w:sz w:val="16"/>
    </w:rPr>
  </w:style>
  <w:style w:type="character" w:customStyle="1" w:styleId="45">
    <w:name w:val="批注框文本 字符"/>
    <w:basedOn w:val="30"/>
    <w:link w:val="19"/>
    <w:autoRedefine/>
    <w:semiHidden/>
    <w:qFormat/>
    <w:uiPriority w:val="99"/>
    <w:rPr>
      <w:rFonts w:ascii="@仿宋_GB2312" w:hAnsi="@仿宋_GB2312" w:eastAsia="@仿宋_GB2312" w:cs="@仿宋_GB2312"/>
      <w:sz w:val="18"/>
      <w:szCs w:val="18"/>
    </w:rPr>
  </w:style>
  <w:style w:type="paragraph" w:customStyle="1" w:styleId="46">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7">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8">
    <w:name w:val="D&amp;L"/>
    <w:basedOn w:val="21"/>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9">
    <w:name w:val="页眉 字符"/>
    <w:basedOn w:val="30"/>
    <w:link w:val="21"/>
    <w:autoRedefine/>
    <w:qFormat/>
    <w:uiPriority w:val="99"/>
    <w:rPr>
      <w:rFonts w:ascii="@仿宋_GB2312" w:hAnsi="@仿宋_GB2312" w:eastAsia="@仿宋_GB2312" w:cs="@仿宋_GB2312"/>
      <w:sz w:val="18"/>
      <w:szCs w:val="18"/>
    </w:rPr>
  </w:style>
  <w:style w:type="character" w:customStyle="1" w:styleId="50">
    <w:name w:val="页脚 字符"/>
    <w:basedOn w:val="30"/>
    <w:link w:val="20"/>
    <w:autoRedefine/>
    <w:qFormat/>
    <w:uiPriority w:val="99"/>
    <w:rPr>
      <w:rFonts w:ascii="@仿宋_GB2312" w:hAnsi="@仿宋_GB2312" w:eastAsia="@仿宋_GB2312" w:cs="@仿宋_GB2312"/>
      <w:sz w:val="18"/>
      <w:szCs w:val="18"/>
    </w:rPr>
  </w:style>
  <w:style w:type="character" w:customStyle="1" w:styleId="51">
    <w:name w:val="纯文本 字符"/>
    <w:link w:val="17"/>
    <w:autoRedefine/>
    <w:qFormat/>
    <w:uiPriority w:val="0"/>
    <w:rPr>
      <w:rFonts w:ascii="宋体" w:hAnsi="Courier New"/>
    </w:rPr>
  </w:style>
  <w:style w:type="character" w:customStyle="1" w:styleId="52">
    <w:name w:val="纯文本 字符1"/>
    <w:basedOn w:val="30"/>
    <w:autoRedefine/>
    <w:semiHidden/>
    <w:qFormat/>
    <w:uiPriority w:val="99"/>
    <w:rPr>
      <w:rFonts w:hAnsi="Courier New" w:cs="Courier New" w:asciiTheme="minorEastAsia"/>
      <w:szCs w:val="20"/>
    </w:rPr>
  </w:style>
  <w:style w:type="character" w:customStyle="1" w:styleId="53">
    <w:name w:val="未处理的提及1"/>
    <w:basedOn w:val="30"/>
    <w:autoRedefine/>
    <w:semiHidden/>
    <w:unhideWhenUsed/>
    <w:qFormat/>
    <w:uiPriority w:val="99"/>
    <w:rPr>
      <w:color w:val="605E5C"/>
      <w:shd w:val="clear" w:color="auto" w:fill="E1DFDD"/>
    </w:rPr>
  </w:style>
  <w:style w:type="paragraph" w:styleId="54">
    <w:name w:val="List Paragraph"/>
    <w:basedOn w:val="1"/>
    <w:autoRedefine/>
    <w:qFormat/>
    <w:uiPriority w:val="34"/>
    <w:pPr>
      <w:ind w:firstLine="420" w:firstLineChars="200"/>
    </w:pPr>
  </w:style>
  <w:style w:type="paragraph" w:customStyle="1" w:styleId="55">
    <w:name w:val="Char Char Char Char Char Char Char1 Char"/>
    <w:basedOn w:val="1"/>
    <w:autoRedefine/>
    <w:qFormat/>
    <w:uiPriority w:val="0"/>
    <w:rPr>
      <w:rFonts w:ascii="Arial" w:hAnsi="Arial" w:eastAsia="宋体" w:cs="Arial"/>
      <w:sz w:val="24"/>
    </w:rPr>
  </w:style>
  <w:style w:type="table" w:customStyle="1" w:styleId="56">
    <w:name w:val="网格表 1 浅色1"/>
    <w:basedOn w:val="28"/>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7">
    <w:name w:val="日期 字符"/>
    <w:basedOn w:val="30"/>
    <w:autoRedefine/>
    <w:semiHidden/>
    <w:qFormat/>
    <w:uiPriority w:val="99"/>
    <w:rPr>
      <w:rFonts w:ascii="@仿宋_GB2312" w:hAnsi="@仿宋_GB2312" w:eastAsia="@仿宋_GB2312" w:cs="@仿宋_GB2312"/>
      <w:szCs w:val="20"/>
    </w:rPr>
  </w:style>
  <w:style w:type="character" w:customStyle="1" w:styleId="58">
    <w:name w:val="日期 字符1"/>
    <w:link w:val="18"/>
    <w:autoRedefine/>
    <w:qFormat/>
    <w:uiPriority w:val="0"/>
    <w:rPr>
      <w:rFonts w:ascii="Arial" w:hAnsi="Arial" w:eastAsia="宋体" w:cs="Arial"/>
      <w:b/>
      <w:sz w:val="28"/>
      <w:szCs w:val="20"/>
    </w:rPr>
  </w:style>
  <w:style w:type="character" w:customStyle="1" w:styleId="59">
    <w:name w:val="纯文本 Char1"/>
    <w:autoRedefine/>
    <w:qFormat/>
    <w:locked/>
    <w:uiPriority w:val="99"/>
    <w:rPr>
      <w:rFonts w:ascii="Arial" w:hAnsi="Arial" w:eastAsia="Arial"/>
      <w:kern w:val="2"/>
      <w:sz w:val="21"/>
      <w:lang w:val="en-US" w:eastAsia="zh-CN" w:bidi="ar-SA"/>
    </w:rPr>
  </w:style>
  <w:style w:type="character" w:customStyle="1" w:styleId="60">
    <w:name w:val="批注文字 Char"/>
    <w:basedOn w:val="30"/>
    <w:autoRedefine/>
    <w:semiHidden/>
    <w:qFormat/>
    <w:uiPriority w:val="99"/>
    <w:rPr>
      <w:rFonts w:ascii="@仿宋_GB2312" w:hAnsi="@仿宋_GB2312" w:eastAsia="@仿宋_GB2312" w:cs="@仿宋_GB2312"/>
      <w:szCs w:val="20"/>
    </w:rPr>
  </w:style>
  <w:style w:type="character" w:customStyle="1" w:styleId="61">
    <w:name w:val="批注文字 字符"/>
    <w:link w:val="12"/>
    <w:autoRedefine/>
    <w:qFormat/>
    <w:uiPriority w:val="0"/>
    <w:rPr>
      <w:rFonts w:ascii="Arial" w:hAnsi="Arial" w:eastAsia="黑体" w:cs="Arial"/>
      <w:szCs w:val="20"/>
    </w:rPr>
  </w:style>
  <w:style w:type="character" w:customStyle="1" w:styleId="62">
    <w:name w:val="标题 1 Char"/>
    <w:basedOn w:val="30"/>
    <w:autoRedefine/>
    <w:qFormat/>
    <w:uiPriority w:val="9"/>
    <w:rPr>
      <w:rFonts w:ascii="@仿宋_GB2312" w:hAnsi="@仿宋_GB2312" w:eastAsia="@仿宋_GB2312" w:cs="@仿宋_GB2312"/>
      <w:b/>
      <w:bCs/>
      <w:kern w:val="44"/>
      <w:sz w:val="44"/>
      <w:szCs w:val="44"/>
    </w:rPr>
  </w:style>
  <w:style w:type="paragraph" w:customStyle="1" w:styleId="63">
    <w:name w:val="TOC 标题1"/>
    <w:basedOn w:val="5"/>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4">
    <w:name w:val="标题 3 字符"/>
    <w:basedOn w:val="30"/>
    <w:link w:val="7"/>
    <w:autoRedefine/>
    <w:semiHidden/>
    <w:qFormat/>
    <w:uiPriority w:val="9"/>
    <w:rPr>
      <w:rFonts w:ascii="@仿宋_GB2312" w:hAnsi="@仿宋_GB2312" w:eastAsia="@仿宋_GB2312" w:cs="@仿宋_GB2312"/>
      <w:b/>
      <w:bCs/>
      <w:sz w:val="32"/>
      <w:szCs w:val="32"/>
    </w:rPr>
  </w:style>
  <w:style w:type="character" w:customStyle="1" w:styleId="65">
    <w:name w:val="fontstyle01"/>
    <w:basedOn w:val="30"/>
    <w:autoRedefine/>
    <w:qFormat/>
    <w:uiPriority w:val="0"/>
    <w:rPr>
      <w:rFonts w:hint="eastAsia" w:ascii="宋体" w:hAnsi="宋体" w:eastAsia="宋体"/>
      <w:color w:val="000000"/>
      <w:sz w:val="22"/>
      <w:szCs w:val="22"/>
    </w:rPr>
  </w:style>
  <w:style w:type="character" w:customStyle="1" w:styleId="66">
    <w:name w:val="fontstyle21"/>
    <w:basedOn w:val="30"/>
    <w:autoRedefine/>
    <w:qFormat/>
    <w:uiPriority w:val="0"/>
    <w:rPr>
      <w:rFonts w:hint="default" w:ascii="TimesNewRomanPSMT" w:hAnsi="TimesNewRomanPSMT"/>
      <w:color w:val="000000"/>
      <w:sz w:val="22"/>
      <w:szCs w:val="22"/>
    </w:rPr>
  </w:style>
  <w:style w:type="character" w:customStyle="1" w:styleId="67">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8">
    <w:name w:val="标题 4 字符"/>
    <w:basedOn w:val="30"/>
    <w:autoRedefine/>
    <w:semiHidden/>
    <w:qFormat/>
    <w:uiPriority w:val="9"/>
    <w:rPr>
      <w:rFonts w:asciiTheme="majorHAnsi" w:hAnsiTheme="majorHAnsi" w:eastAsiaTheme="majorEastAsia" w:cstheme="majorBidi"/>
      <w:b/>
      <w:bCs/>
      <w:sz w:val="28"/>
      <w:szCs w:val="28"/>
    </w:rPr>
  </w:style>
  <w:style w:type="character" w:customStyle="1" w:styleId="69">
    <w:name w:val="标题 4 字符1"/>
    <w:link w:val="8"/>
    <w:autoRedefine/>
    <w:qFormat/>
    <w:uiPriority w:val="0"/>
    <w:rPr>
      <w:rFonts w:ascii="@仿宋_GB2312" w:hAnsi="@仿宋_GB2312" w:eastAsia="@仿宋_GB2312" w:cs="@仿宋_GB2312"/>
      <w:b/>
      <w:bCs/>
      <w:sz w:val="28"/>
      <w:szCs w:val="28"/>
    </w:rPr>
  </w:style>
  <w:style w:type="character" w:customStyle="1" w:styleId="70">
    <w:name w:val="标题 4 Char"/>
    <w:autoRedefine/>
    <w:qFormat/>
    <w:uiPriority w:val="0"/>
    <w:rPr>
      <w:rFonts w:ascii="Arial" w:hAnsi="Arial" w:eastAsia="Arial"/>
      <w:b/>
      <w:bCs/>
      <w:kern w:val="2"/>
      <w:sz w:val="28"/>
      <w:szCs w:val="28"/>
      <w:lang w:val="en-US" w:eastAsia="zh-CN" w:bidi="ar-SA"/>
    </w:rPr>
  </w:style>
  <w:style w:type="table" w:customStyle="1" w:styleId="71">
    <w:name w:val="网格型1"/>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2">
    <w:name w:val="批注主题 字符"/>
    <w:basedOn w:val="61"/>
    <w:link w:val="27"/>
    <w:autoRedefine/>
    <w:semiHidden/>
    <w:qFormat/>
    <w:uiPriority w:val="99"/>
    <w:rPr>
      <w:rFonts w:ascii="@仿宋_GB2312" w:hAnsi="@仿宋_GB2312" w:eastAsia="@仿宋_GB2312" w:cs="@仿宋_GB2312"/>
      <w:b/>
      <w:bCs/>
      <w:szCs w:val="20"/>
    </w:rPr>
  </w:style>
  <w:style w:type="table" w:customStyle="1" w:styleId="73">
    <w:name w:val="Table Normal"/>
    <w:autoRedefine/>
    <w:semiHidden/>
    <w:unhideWhenUsed/>
    <w:qFormat/>
    <w:uiPriority w:val="0"/>
    <w:tblPr>
      <w:tblCellMar>
        <w:top w:w="0" w:type="dxa"/>
        <w:left w:w="0" w:type="dxa"/>
        <w:bottom w:w="0" w:type="dxa"/>
        <w:right w:w="0" w:type="dxa"/>
      </w:tblCellMar>
    </w:tblPr>
  </w:style>
  <w:style w:type="paragraph" w:customStyle="1" w:styleId="74">
    <w:name w:val="Table Text"/>
    <w:basedOn w:val="1"/>
    <w:autoRedefine/>
    <w:semiHidden/>
    <w:qFormat/>
    <w:uiPriority w:val="0"/>
    <w:rPr>
      <w:rFonts w:ascii="Arial" w:hAnsi="Arial" w:eastAsia="Arial" w:cs="Arial"/>
      <w:szCs w:val="21"/>
      <w:lang w:eastAsia="en-US"/>
    </w:rPr>
  </w:style>
  <w:style w:type="paragraph" w:customStyle="1" w:styleId="75">
    <w:name w:val="Table Paragraph"/>
    <w:basedOn w:val="1"/>
    <w:qFormat/>
    <w:uiPriority w:val="0"/>
    <w:rPr>
      <w:rFonts w:ascii="宋体" w:hAnsi="宋体" w:eastAsia="宋体" w:cs="宋体"/>
      <w:lang w:val="zh-CN" w:bidi="zh-CN"/>
    </w:rPr>
  </w:style>
  <w:style w:type="character" w:customStyle="1" w:styleId="76">
    <w:name w:val="font31"/>
    <w:basedOn w:val="30"/>
    <w:qFormat/>
    <w:uiPriority w:val="0"/>
    <w:rPr>
      <w:rFonts w:ascii="微软雅黑" w:hAnsi="微软雅黑" w:eastAsia="微软雅黑" w:cs="微软雅黑"/>
      <w:color w:val="000000"/>
      <w:sz w:val="24"/>
      <w:szCs w:val="24"/>
      <w:u w:val="none"/>
    </w:rPr>
  </w:style>
  <w:style w:type="character" w:customStyle="1" w:styleId="77">
    <w:name w:val="font41"/>
    <w:basedOn w:val="30"/>
    <w:qFormat/>
    <w:uiPriority w:val="0"/>
    <w:rPr>
      <w:rFonts w:ascii="Calibri" w:hAnsi="Calibri" w:cs="Calibri"/>
      <w:color w:val="000000"/>
      <w:sz w:val="24"/>
      <w:szCs w:val="24"/>
      <w:u w:val="none"/>
    </w:rPr>
  </w:style>
  <w:style w:type="character" w:customStyle="1" w:styleId="78">
    <w:name w:val="标题 1 字符"/>
    <w:link w:val="5"/>
    <w:qFormat/>
    <w:uiPriority w:val="9"/>
    <w:rPr>
      <w:b/>
      <w:bCs/>
      <w:kern w:val="44"/>
      <w:sz w:val="44"/>
      <w:szCs w:val="44"/>
    </w:rPr>
  </w:style>
  <w:style w:type="paragraph" w:customStyle="1" w:styleId="79">
    <w:name w:val="Other|1"/>
    <w:basedOn w:val="1"/>
    <w:qFormat/>
    <w:uiPriority w:val="0"/>
    <w:rPr>
      <w:rFonts w:ascii="宋体" w:hAnsi="宋体" w:eastAsia="宋体" w:cs="宋体"/>
      <w:sz w:val="19"/>
      <w:szCs w:val="19"/>
      <w:lang w:val="zh-TW" w:eastAsia="zh-TW" w:bidi="zh-TW"/>
    </w:rPr>
  </w:style>
  <w:style w:type="paragraph" w:customStyle="1" w:styleId="80">
    <w:name w:val="纯文本1"/>
    <w:basedOn w:val="1"/>
    <w:qFormat/>
    <w:uiPriority w:val="0"/>
    <w:pPr>
      <w:adjustRightInd w:val="0"/>
    </w:pPr>
    <w:rPr>
      <w:rFonts w:ascii="宋体" w:hAnsi="Courier New" w:eastAsia="楷体_GB2312"/>
      <w:sz w:val="26"/>
    </w:rPr>
  </w:style>
  <w:style w:type="paragraph" w:customStyle="1" w:styleId="81">
    <w:name w:val="正文 New"/>
    <w:autoRedefine/>
    <w:qFormat/>
    <w:uiPriority w:val="0"/>
    <w:pPr>
      <w:widowControl w:val="0"/>
      <w:spacing w:line="440" w:lineRule="exact"/>
      <w:ind w:left="357" w:hanging="357"/>
      <w:jc w:val="both"/>
    </w:pPr>
    <w:rPr>
      <w:rFonts w:ascii="Times New Roman" w:hAnsi="Times New Roman" w:eastAsia="宋体" w:cs="Times New Roman"/>
      <w:kern w:val="2"/>
      <w:sz w:val="21"/>
      <w:szCs w:val="22"/>
      <w:lang w:val="en-US" w:eastAsia="zh-CN" w:bidi="ar-SA"/>
    </w:rPr>
  </w:style>
  <w:style w:type="paragraph" w:customStyle="1" w:styleId="82">
    <w:name w:val="正文缩进1"/>
    <w:basedOn w:val="1"/>
    <w:next w:val="11"/>
    <w:autoRedefine/>
    <w:qFormat/>
    <w:uiPriority w:val="0"/>
    <w:pPr>
      <w:spacing w:line="360" w:lineRule="atLeast"/>
      <w:ind w:firstLine="482"/>
    </w:pPr>
    <w:rPr>
      <w:rFonts w:ascii="Times New Roman" w:eastAsia="宋体"/>
      <w:sz w:val="24"/>
    </w:rPr>
  </w:style>
  <w:style w:type="paragraph" w:customStyle="1" w:styleId="83">
    <w:name w:val="_Style 3"/>
    <w:basedOn w:val="1"/>
    <w:autoRedefine/>
    <w:qFormat/>
    <w:uiPriority w:val="0"/>
    <w:pPr>
      <w:ind w:firstLine="420" w:firstLineChars="200"/>
    </w:pPr>
    <w:rPr>
      <w:sz w:val="20"/>
    </w:rPr>
  </w:style>
  <w:style w:type="paragraph" w:customStyle="1" w:styleId="84">
    <w:name w:val="xl25"/>
    <w:basedOn w:val="1"/>
    <w:autoRedefine/>
    <w:qFormat/>
    <w:uiPriority w:val="0"/>
    <w:pPr>
      <w:widowControl/>
      <w:spacing w:before="100" w:beforeAutospacing="1" w:after="100" w:afterAutospacing="1"/>
      <w:jc w:val="right"/>
    </w:pPr>
    <w:rPr>
      <w:rFonts w:ascii="Arial Unicode MS" w:hAnsi="Arial Unicode MS" w:eastAsia="宋体" w:cs="Arial Unicode MS"/>
      <w:color w:val="000000"/>
      <w:kern w:val="0"/>
      <w:sz w:val="18"/>
      <w:szCs w:val="18"/>
    </w:rPr>
  </w:style>
  <w:style w:type="character" w:customStyle="1" w:styleId="85">
    <w:name w:val="hover"/>
    <w:basedOn w:val="30"/>
    <w:qFormat/>
    <w:uiPriority w:val="0"/>
    <w:rPr>
      <w:color w:val="2590EB"/>
      <w:shd w:val="clear" w:color="auto" w:fill="E9F4FD"/>
    </w:rPr>
  </w:style>
  <w:style w:type="character" w:customStyle="1" w:styleId="86">
    <w:name w:val="hover1"/>
    <w:basedOn w:val="30"/>
    <w:qFormat/>
    <w:uiPriority w:val="0"/>
    <w:rPr>
      <w:color w:val="2590EB"/>
    </w:rPr>
  </w:style>
  <w:style w:type="character" w:customStyle="1" w:styleId="87">
    <w:name w:val="hover2"/>
    <w:basedOn w:val="30"/>
    <w:qFormat/>
    <w:uiPriority w:val="0"/>
    <w:rPr>
      <w:color w:val="2590EB"/>
    </w:rPr>
  </w:style>
  <w:style w:type="character" w:customStyle="1" w:styleId="88">
    <w:name w:val="hover3"/>
    <w:basedOn w:val="30"/>
    <w:qFormat/>
    <w:uiPriority w:val="0"/>
  </w:style>
  <w:style w:type="character" w:customStyle="1" w:styleId="89">
    <w:name w:val="标题 2 字符"/>
    <w:basedOn w:val="30"/>
    <w:link w:val="6"/>
    <w:qFormat/>
    <w:uiPriority w:val="0"/>
    <w:rPr>
      <w:rFonts w:ascii="等线 Light" w:hAnsi="等线 Light" w:eastAsia="等线 Light"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74</Pages>
  <Words>5609</Words>
  <Characters>6126</Characters>
  <Lines>306</Lines>
  <Paragraphs>86</Paragraphs>
  <TotalTime>10</TotalTime>
  <ScaleCrop>false</ScaleCrop>
  <LinksUpToDate>false</LinksUpToDate>
  <CharactersWithSpaces>6205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Pim Pom丶</cp:lastModifiedBy>
  <cp:lastPrinted>2019-12-07T15:18:00Z</cp:lastPrinted>
  <dcterms:modified xsi:type="dcterms:W3CDTF">2025-07-21T08:06:48Z</dcterms:modified>
  <cp:revision>497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AD377D5D98C64026BAA26DA6AB34C016_13</vt:lpwstr>
  </property>
  <property fmtid="{D5CDD505-2E9C-101B-9397-08002B2CF9AE}" pid="4" name="KSOTemplateDocerSaveRecord">
    <vt:lpwstr>eyJoZGlkIjoiOTk1OGJkZDZlMmJiZjgxZThhZWQ4YzE0YWIxYTUyMmQiLCJ1c2VySWQiOiI0MDkyMjI1MTkifQ==</vt:lpwstr>
  </property>
</Properties>
</file>