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148CC9">
      <w:pPr>
        <w:jc w:val="center"/>
        <w:rPr>
          <w:rFonts w:ascii="宋体" w:hAnsi="宋体" w:cs="宋体"/>
          <w:b/>
          <w:kern w:val="0"/>
          <w:sz w:val="44"/>
          <w:szCs w:val="44"/>
          <w:highlight w:val="none"/>
        </w:rPr>
      </w:pPr>
      <w:bookmarkStart w:id="0" w:name="_Toc461631222"/>
      <w:bookmarkStart w:id="1" w:name="_Toc296602400"/>
      <w:bookmarkStart w:id="2" w:name="_Toc506107265"/>
      <w:bookmarkStart w:id="3" w:name="_Toc246996898"/>
      <w:bookmarkStart w:id="4" w:name="_Toc324404811"/>
      <w:bookmarkStart w:id="5" w:name="_Toc247085669"/>
      <w:bookmarkStart w:id="6" w:name="_Toc15058843"/>
      <w:bookmarkStart w:id="7" w:name="OLE_LINK4"/>
      <w:bookmarkStart w:id="8" w:name="OLE_LINK2"/>
      <w:bookmarkStart w:id="9" w:name="OLE_LINK5"/>
      <w:bookmarkStart w:id="10" w:name="OLE_LINK3"/>
      <w:bookmarkStart w:id="11" w:name="OLE_LINK1"/>
    </w:p>
    <w:p w14:paraId="03BEA7F1">
      <w:pPr>
        <w:pStyle w:val="2"/>
        <w:ind w:firstLine="420"/>
        <w:rPr>
          <w:highlight w:val="none"/>
        </w:rPr>
      </w:pPr>
    </w:p>
    <w:p w14:paraId="1C9996FB">
      <w:pPr>
        <w:jc w:val="center"/>
        <w:rPr>
          <w:rFonts w:ascii="宋体" w:hAnsi="宋体"/>
          <w:color w:val="auto"/>
          <w:sz w:val="144"/>
          <w:szCs w:val="144"/>
          <w:highlight w:val="none"/>
        </w:rPr>
      </w:pPr>
      <w:r>
        <w:rPr>
          <w:rFonts w:hint="eastAsia" w:hAnsi="宋体" w:cs="宋体"/>
          <w:b/>
          <w:color w:val="auto"/>
          <w:kern w:val="0"/>
          <w:sz w:val="52"/>
          <w:szCs w:val="52"/>
          <w:highlight w:val="none"/>
          <w:lang w:eastAsia="zh-CN"/>
        </w:rPr>
        <w:t>滁州市第三污水处理厂分布式光伏工程施工项目</w:t>
      </w:r>
    </w:p>
    <w:p w14:paraId="2A2621CC">
      <w:pPr>
        <w:pStyle w:val="2"/>
      </w:pPr>
    </w:p>
    <w:p w14:paraId="2AAF52B3">
      <w:pPr>
        <w:jc w:val="center"/>
        <w:rPr>
          <w:rFonts w:hint="eastAsia" w:ascii="宋体" w:hAnsi="宋体"/>
          <w:b/>
          <w:bCs/>
          <w:color w:val="auto"/>
          <w:sz w:val="96"/>
          <w:szCs w:val="96"/>
          <w:highlight w:val="none"/>
        </w:rPr>
      </w:pPr>
    </w:p>
    <w:p w14:paraId="4BB8E937">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201544BF">
      <w:pPr>
        <w:spacing w:line="400" w:lineRule="exact"/>
        <w:jc w:val="center"/>
        <w:rPr>
          <w:rFonts w:ascii="宋体" w:hAnsi="宋体"/>
          <w:b/>
          <w:color w:val="auto"/>
          <w:sz w:val="39"/>
          <w:highlight w:val="none"/>
        </w:rPr>
      </w:pPr>
    </w:p>
    <w:p w14:paraId="3187D452">
      <w:pPr>
        <w:spacing w:line="400" w:lineRule="exact"/>
        <w:rPr>
          <w:color w:val="auto"/>
          <w:highlight w:val="none"/>
        </w:rPr>
      </w:pPr>
    </w:p>
    <w:p w14:paraId="320CA8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textAlignment w:val="top"/>
        <w:rPr>
          <w:rFonts w:hint="eastAsia"/>
          <w:color w:val="auto"/>
          <w:sz w:val="22"/>
          <w:szCs w:val="21"/>
          <w:highlight w:val="none"/>
          <w:lang w:val="en-US" w:eastAsia="zh-CN"/>
        </w:rPr>
      </w:pPr>
      <w:r>
        <w:rPr>
          <w:rFonts w:hint="eastAsia"/>
          <w:color w:val="auto"/>
          <w:sz w:val="22"/>
          <w:szCs w:val="21"/>
          <w:highlight w:val="none"/>
          <w:lang w:val="en-US" w:eastAsia="zh-CN"/>
        </w:rPr>
        <w:t>项目编号：HXJY1110001044440001</w:t>
      </w:r>
    </w:p>
    <w:p w14:paraId="307F53F6">
      <w:pPr>
        <w:pStyle w:val="2"/>
        <w:jc w:val="center"/>
        <w:rPr>
          <w:rFonts w:hint="default" w:eastAsia="宋体"/>
          <w:color w:val="auto"/>
          <w:highlight w:val="none"/>
          <w:lang w:val="en-US" w:eastAsia="zh-CN"/>
        </w:rPr>
      </w:pPr>
    </w:p>
    <w:p w14:paraId="691FE4D6">
      <w:pPr>
        <w:rPr>
          <w:color w:val="auto"/>
          <w:highlight w:val="none"/>
        </w:rPr>
      </w:pPr>
    </w:p>
    <w:p w14:paraId="7E411827">
      <w:pPr>
        <w:pStyle w:val="2"/>
        <w:rPr>
          <w:color w:val="auto"/>
          <w:highlight w:val="none"/>
        </w:rPr>
      </w:pPr>
    </w:p>
    <w:p w14:paraId="6CF62471">
      <w:pPr>
        <w:rPr>
          <w:color w:val="auto"/>
          <w:highlight w:val="none"/>
        </w:rPr>
      </w:pPr>
    </w:p>
    <w:p w14:paraId="276FE2C2">
      <w:pPr>
        <w:pStyle w:val="2"/>
        <w:rPr>
          <w:color w:val="auto"/>
          <w:highlight w:val="none"/>
        </w:rPr>
      </w:pPr>
    </w:p>
    <w:p w14:paraId="57C971B3">
      <w:pPr>
        <w:pStyle w:val="2"/>
        <w:ind w:left="0" w:leftChars="0" w:firstLine="0" w:firstLineChars="0"/>
      </w:pPr>
    </w:p>
    <w:p w14:paraId="00CEC72B"/>
    <w:p w14:paraId="0FB3EFCA">
      <w:pPr>
        <w:pStyle w:val="2"/>
      </w:pPr>
    </w:p>
    <w:p w14:paraId="34E1CE7D">
      <w:pPr>
        <w:spacing w:line="720" w:lineRule="exact"/>
        <w:rPr>
          <w:b/>
          <w:bCs/>
          <w:color w:val="auto"/>
          <w:sz w:val="28"/>
          <w:szCs w:val="28"/>
          <w:highlight w:val="none"/>
        </w:rPr>
      </w:pPr>
    </w:p>
    <w:p w14:paraId="600C11DF">
      <w:pPr>
        <w:spacing w:line="800" w:lineRule="exact"/>
        <w:ind w:firstLine="600" w:firstLineChars="200"/>
        <w:rPr>
          <w:rFonts w:hint="default" w:ascii="宋体" w:hAnsi="Times New Roman" w:eastAsia="宋体" w:cs="Times New Roman"/>
          <w:sz w:val="30"/>
          <w:szCs w:val="30"/>
          <w:highlight w:val="none"/>
          <w:u w:val="single"/>
          <w:lang w:val="en-US" w:eastAsia="zh-CN"/>
        </w:rPr>
      </w:pPr>
      <w:r>
        <w:rPr>
          <w:rFonts w:hint="eastAsia"/>
          <w:bCs/>
          <w:color w:val="auto"/>
          <w:sz w:val="30"/>
          <w:szCs w:val="30"/>
          <w:highlight w:val="none"/>
        </w:rPr>
        <w:t>招</w:t>
      </w:r>
      <w:r>
        <w:rPr>
          <w:rFonts w:hint="eastAsia"/>
          <w:bCs/>
          <w:color w:val="auto"/>
          <w:sz w:val="30"/>
          <w:szCs w:val="30"/>
          <w:highlight w:val="none"/>
          <w:lang w:val="en-US" w:eastAsia="zh-CN"/>
        </w:rPr>
        <w:t xml:space="preserve">  </w:t>
      </w:r>
      <w:r>
        <w:rPr>
          <w:rFonts w:hint="eastAsia"/>
          <w:bCs/>
          <w:color w:val="auto"/>
          <w:sz w:val="30"/>
          <w:szCs w:val="30"/>
          <w:highlight w:val="none"/>
        </w:rPr>
        <w:t>标</w:t>
      </w:r>
      <w:r>
        <w:rPr>
          <w:rFonts w:hint="eastAsia"/>
          <w:bCs/>
          <w:color w:val="auto"/>
          <w:sz w:val="30"/>
          <w:szCs w:val="30"/>
          <w:highlight w:val="none"/>
          <w:lang w:val="en-US" w:eastAsia="zh-CN"/>
        </w:rPr>
        <w:t xml:space="preserve">  人</w:t>
      </w:r>
      <w:r>
        <w:rPr>
          <w:rFonts w:hint="eastAsia"/>
          <w:bCs/>
          <w:color w:val="auto"/>
          <w:sz w:val="30"/>
          <w:szCs w:val="30"/>
          <w:highlight w:val="none"/>
        </w:rPr>
        <w:t>：</w:t>
      </w:r>
      <w:r>
        <w:rPr>
          <w:rFonts w:hint="eastAsia"/>
          <w:bCs/>
          <w:color w:val="auto"/>
          <w:sz w:val="30"/>
          <w:szCs w:val="30"/>
          <w:highlight w:val="none"/>
          <w:u w:val="single"/>
          <w:lang w:val="en-US" w:eastAsia="zh-CN"/>
        </w:rPr>
        <w:t xml:space="preserve">   </w:t>
      </w:r>
      <w:r>
        <w:rPr>
          <w:rFonts w:hint="eastAsia" w:ascii="宋体" w:cs="Times New Roman"/>
          <w:sz w:val="30"/>
          <w:szCs w:val="30"/>
          <w:highlight w:val="none"/>
          <w:u w:val="single"/>
          <w:lang w:eastAsia="zh-CN"/>
        </w:rPr>
        <w:t>滁州市翼然新能源开发有限公司</w:t>
      </w:r>
      <w:r>
        <w:rPr>
          <w:rFonts w:hint="eastAsia" w:ascii="宋体" w:cs="Times New Roman"/>
          <w:sz w:val="30"/>
          <w:szCs w:val="30"/>
          <w:highlight w:val="none"/>
          <w:u w:val="single"/>
          <w:lang w:val="en-US" w:eastAsia="zh-CN"/>
        </w:rPr>
        <w:t xml:space="preserve">  </w:t>
      </w:r>
    </w:p>
    <w:p w14:paraId="2C39D907">
      <w:pPr>
        <w:spacing w:line="800" w:lineRule="exact"/>
        <w:ind w:firstLine="600" w:firstLineChars="200"/>
        <w:rPr>
          <w:bCs/>
          <w:spacing w:val="-20"/>
          <w:sz w:val="30"/>
          <w:szCs w:val="30"/>
          <w:highlight w:val="none"/>
          <w:u w:val="thick"/>
        </w:rPr>
      </w:pPr>
      <w:r>
        <w:rPr>
          <w:rFonts w:hint="eastAsia"/>
          <w:bCs/>
          <w:sz w:val="30"/>
          <w:szCs w:val="30"/>
          <w:highlight w:val="none"/>
        </w:rPr>
        <w:t>招标代理机构：</w:t>
      </w:r>
      <w:r>
        <w:rPr>
          <w:rFonts w:hint="eastAsia" w:ascii="宋体"/>
          <w:sz w:val="30"/>
          <w:szCs w:val="30"/>
          <w:highlight w:val="none"/>
          <w:u w:val="single"/>
        </w:rPr>
        <w:t>滁州市城投工程咨询管理有限公司</w:t>
      </w:r>
    </w:p>
    <w:p w14:paraId="096ECC50">
      <w:pPr>
        <w:spacing w:before="156" w:beforeLines="50" w:after="156" w:afterLines="50" w:line="700" w:lineRule="exact"/>
        <w:jc w:val="center"/>
        <w:rPr>
          <w:rFonts w:ascii="宋体"/>
          <w:b w:val="0"/>
          <w:bCs/>
          <w:color w:val="auto"/>
          <w:sz w:val="32"/>
          <w:szCs w:val="32"/>
          <w:highlight w:val="none"/>
        </w:rPr>
      </w:pPr>
      <w:r>
        <w:rPr>
          <w:rFonts w:hint="eastAsia" w:ascii="宋体"/>
          <w:b w:val="0"/>
          <w:bCs/>
          <w:color w:val="auto"/>
          <w:sz w:val="32"/>
          <w:szCs w:val="32"/>
          <w:highlight w:val="none"/>
          <w:u w:val="single"/>
          <w:lang w:eastAsia="zh-CN"/>
        </w:rPr>
        <w:t>202</w:t>
      </w:r>
      <w:r>
        <w:rPr>
          <w:rFonts w:hint="eastAsia" w:ascii="宋体"/>
          <w:b w:val="0"/>
          <w:bCs/>
          <w:color w:val="auto"/>
          <w:sz w:val="32"/>
          <w:szCs w:val="32"/>
          <w:highlight w:val="none"/>
          <w:u w:val="single"/>
          <w:lang w:val="en-US" w:eastAsia="zh-CN"/>
        </w:rPr>
        <w:t>5</w:t>
      </w:r>
      <w:r>
        <w:rPr>
          <w:rFonts w:hint="eastAsia" w:ascii="宋体"/>
          <w:b w:val="0"/>
          <w:bCs/>
          <w:color w:val="auto"/>
          <w:sz w:val="32"/>
          <w:szCs w:val="32"/>
          <w:highlight w:val="none"/>
          <w:u w:val="none"/>
          <w:lang w:eastAsia="zh-CN"/>
        </w:rPr>
        <w:t>年</w:t>
      </w:r>
      <w:r>
        <w:rPr>
          <w:rFonts w:hint="eastAsia" w:ascii="宋体"/>
          <w:b w:val="0"/>
          <w:bCs/>
          <w:color w:val="auto"/>
          <w:sz w:val="32"/>
          <w:szCs w:val="32"/>
          <w:highlight w:val="none"/>
          <w:u w:val="single"/>
          <w:lang w:val="en-US" w:eastAsia="zh-CN"/>
        </w:rPr>
        <w:t xml:space="preserve"> 10</w:t>
      </w:r>
      <w:r>
        <w:rPr>
          <w:rFonts w:hint="eastAsia" w:ascii="宋体"/>
          <w:b w:val="0"/>
          <w:bCs/>
          <w:color w:val="auto"/>
          <w:sz w:val="32"/>
          <w:szCs w:val="32"/>
          <w:highlight w:val="none"/>
        </w:rPr>
        <w:t>月</w:t>
      </w:r>
      <w:r>
        <w:rPr>
          <w:rFonts w:hint="eastAsia" w:ascii="宋体"/>
          <w:b w:val="0"/>
          <w:bCs/>
          <w:color w:val="auto"/>
          <w:sz w:val="32"/>
          <w:szCs w:val="32"/>
          <w:highlight w:val="none"/>
          <w:u w:val="single"/>
          <w:lang w:val="en-US" w:eastAsia="zh-CN"/>
        </w:rPr>
        <w:t xml:space="preserve"> 10 </w:t>
      </w:r>
      <w:r>
        <w:rPr>
          <w:rFonts w:hint="eastAsia" w:ascii="宋体"/>
          <w:b w:val="0"/>
          <w:bCs/>
          <w:color w:val="auto"/>
          <w:sz w:val="32"/>
          <w:szCs w:val="32"/>
          <w:highlight w:val="none"/>
        </w:rPr>
        <w:t>日</w:t>
      </w:r>
    </w:p>
    <w:p w14:paraId="0D5E6D18">
      <w:pPr>
        <w:jc w:val="center"/>
        <w:rPr>
          <w:sz w:val="44"/>
          <w:szCs w:val="44"/>
          <w:highlight w:val="none"/>
        </w:rPr>
        <w:sectPr>
          <w:headerReference r:id="rId3" w:type="default"/>
          <w:footerReference r:id="rId4" w:type="default"/>
          <w:pgSz w:w="11906" w:h="16838"/>
          <w:pgMar w:top="1134" w:right="1417" w:bottom="1134" w:left="1417" w:header="851" w:footer="992" w:gutter="0"/>
          <w:cols w:space="720" w:num="1"/>
          <w:docGrid w:type="lines" w:linePitch="312" w:charSpace="0"/>
        </w:sectPr>
      </w:pPr>
    </w:p>
    <w:p w14:paraId="738D69FE">
      <w:pPr>
        <w:spacing w:line="700" w:lineRule="exact"/>
        <w:jc w:val="center"/>
        <w:rPr>
          <w:rFonts w:hint="eastAsia"/>
          <w:sz w:val="44"/>
          <w:szCs w:val="44"/>
          <w:highlight w:val="none"/>
        </w:rPr>
      </w:pPr>
    </w:p>
    <w:p w14:paraId="09796EC2">
      <w:pPr>
        <w:spacing w:line="700" w:lineRule="exact"/>
        <w:jc w:val="center"/>
        <w:rPr>
          <w:sz w:val="44"/>
          <w:szCs w:val="44"/>
          <w:highlight w:val="none"/>
        </w:rPr>
      </w:pPr>
      <w:r>
        <w:rPr>
          <w:rFonts w:hint="eastAsia"/>
          <w:sz w:val="44"/>
          <w:szCs w:val="44"/>
          <w:highlight w:val="none"/>
        </w:rPr>
        <w:t>目   录</w:t>
      </w:r>
      <w:bookmarkEnd w:id="0"/>
      <w:bookmarkEnd w:id="1"/>
      <w:bookmarkEnd w:id="2"/>
      <w:bookmarkEnd w:id="3"/>
      <w:bookmarkEnd w:id="4"/>
      <w:bookmarkEnd w:id="5"/>
      <w:bookmarkEnd w:id="6"/>
      <w:bookmarkStart w:id="12" w:name="_Toc179632527"/>
      <w:bookmarkStart w:id="13" w:name="_Toc144974479"/>
      <w:bookmarkStart w:id="14" w:name="_Toc152042287"/>
      <w:bookmarkStart w:id="15" w:name="_Toc152045511"/>
    </w:p>
    <w:p w14:paraId="3C53E9AE">
      <w:pPr>
        <w:pStyle w:val="31"/>
        <w:tabs>
          <w:tab w:val="right" w:leader="dot" w:pos="9460"/>
        </w:tabs>
        <w:rPr>
          <w:rFonts w:ascii="Calibri" w:hAnsi="Calibri"/>
          <w:b w:val="0"/>
          <w:bCs w:val="0"/>
          <w:caps w:val="0"/>
          <w:color w:val="000000"/>
          <w:sz w:val="32"/>
          <w:szCs w:val="22"/>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"_Toc95223332"</w:instrText>
      </w:r>
      <w:r>
        <w:rPr>
          <w:rStyle w:val="58"/>
          <w:color w:val="000000"/>
          <w:sz w:val="28"/>
        </w:rPr>
        <w:instrText xml:space="preserve"> </w:instrText>
      </w:r>
      <w:r>
        <w:rPr>
          <w:rStyle w:val="58"/>
          <w:color w:val="000000"/>
          <w:sz w:val="28"/>
        </w:rPr>
        <w:fldChar w:fldCharType="separate"/>
      </w:r>
      <w:r>
        <w:rPr>
          <w:rStyle w:val="58"/>
          <w:rFonts w:hint="eastAsia"/>
          <w:color w:val="000000"/>
          <w:sz w:val="28"/>
        </w:rPr>
        <w:t>第一章</w:t>
      </w:r>
      <w:r>
        <w:rPr>
          <w:rStyle w:val="58"/>
          <w:color w:val="000000"/>
          <w:sz w:val="28"/>
        </w:rPr>
        <w:t xml:space="preserve"> </w:t>
      </w:r>
      <w:r>
        <w:rPr>
          <w:rStyle w:val="58"/>
          <w:rFonts w:hint="eastAsia"/>
          <w:color w:val="000000"/>
          <w:sz w:val="28"/>
        </w:rPr>
        <w:t>招标公告</w:t>
      </w:r>
      <w:r>
        <w:rPr>
          <w:color w:val="000000"/>
          <w:sz w:val="28"/>
        </w:rPr>
        <w:tab/>
      </w:r>
      <w:r>
        <w:rPr>
          <w:rFonts w:hint="eastAsia"/>
          <w:color w:val="000000"/>
          <w:sz w:val="28"/>
          <w:lang w:val="en-US" w:eastAsia="zh-CN"/>
        </w:rPr>
        <w:t>1</w:t>
      </w:r>
      <w:r>
        <w:rPr>
          <w:rStyle w:val="58"/>
          <w:color w:val="000000"/>
          <w:sz w:val="28"/>
        </w:rPr>
        <w:fldChar w:fldCharType="end"/>
      </w:r>
    </w:p>
    <w:p w14:paraId="0460FC51">
      <w:pPr>
        <w:pStyle w:val="31"/>
        <w:tabs>
          <w:tab w:val="right" w:leader="dot" w:pos="9460"/>
        </w:tabs>
        <w:rPr>
          <w:rFonts w:ascii="Calibri" w:hAnsi="Calibri"/>
          <w:b w:val="0"/>
          <w:bCs w:val="0"/>
          <w:caps w:val="0"/>
          <w:color w:val="000000"/>
          <w:sz w:val="32"/>
          <w:szCs w:val="22"/>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"_Toc95223333"</w:instrText>
      </w:r>
      <w:r>
        <w:rPr>
          <w:rStyle w:val="58"/>
          <w:color w:val="000000"/>
          <w:sz w:val="28"/>
        </w:rPr>
        <w:instrText xml:space="preserve"> </w:instrText>
      </w:r>
      <w:r>
        <w:rPr>
          <w:rStyle w:val="58"/>
          <w:color w:val="000000"/>
          <w:sz w:val="28"/>
        </w:rPr>
        <w:fldChar w:fldCharType="separate"/>
      </w:r>
      <w:r>
        <w:rPr>
          <w:rStyle w:val="58"/>
          <w:rFonts w:hint="eastAsia"/>
          <w:color w:val="000000"/>
          <w:sz w:val="28"/>
        </w:rPr>
        <w:t>第二章</w:t>
      </w:r>
      <w:r>
        <w:rPr>
          <w:rStyle w:val="58"/>
          <w:color w:val="000000"/>
          <w:sz w:val="28"/>
        </w:rPr>
        <w:t xml:space="preserve"> </w:t>
      </w:r>
      <w:r>
        <w:rPr>
          <w:rStyle w:val="58"/>
          <w:rFonts w:hint="eastAsia"/>
          <w:color w:val="000000"/>
          <w:sz w:val="28"/>
        </w:rPr>
        <w:t>投标人须知</w:t>
      </w:r>
      <w:r>
        <w:rPr>
          <w:color w:val="000000"/>
          <w:sz w:val="28"/>
        </w:rPr>
        <w:tab/>
      </w:r>
      <w:r>
        <w:rPr>
          <w:rFonts w:hint="eastAsia"/>
          <w:color w:val="000000"/>
          <w:sz w:val="28"/>
          <w:lang w:val="en-US" w:eastAsia="zh-CN"/>
        </w:rPr>
        <w:t>5</w:t>
      </w:r>
      <w:r>
        <w:rPr>
          <w:rStyle w:val="58"/>
          <w:color w:val="000000"/>
          <w:sz w:val="28"/>
        </w:rPr>
        <w:fldChar w:fldCharType="end"/>
      </w:r>
    </w:p>
    <w:p w14:paraId="4117FED1">
      <w:pPr>
        <w:pStyle w:val="31"/>
        <w:tabs>
          <w:tab w:val="right" w:leader="dot" w:pos="9460"/>
        </w:tabs>
        <w:rPr>
          <w:rFonts w:hint="default"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"_Toc95223391"</w:instrText>
      </w:r>
      <w:r>
        <w:rPr>
          <w:rStyle w:val="58"/>
          <w:color w:val="000000"/>
          <w:sz w:val="28"/>
        </w:rPr>
        <w:instrText xml:space="preserve"> </w:instrText>
      </w:r>
      <w:r>
        <w:rPr>
          <w:rStyle w:val="58"/>
          <w:color w:val="000000"/>
          <w:sz w:val="28"/>
        </w:rPr>
        <w:fldChar w:fldCharType="separate"/>
      </w:r>
      <w:r>
        <w:rPr>
          <w:rStyle w:val="58"/>
          <w:rFonts w:hint="eastAsia"/>
          <w:color w:val="000000"/>
          <w:sz w:val="28"/>
        </w:rPr>
        <w:t>第三章</w:t>
      </w:r>
      <w:r>
        <w:rPr>
          <w:rStyle w:val="58"/>
          <w:color w:val="000000"/>
          <w:sz w:val="28"/>
        </w:rPr>
        <w:t xml:space="preserve"> </w:t>
      </w:r>
      <w:r>
        <w:rPr>
          <w:rStyle w:val="58"/>
          <w:rFonts w:hint="eastAsia"/>
          <w:color w:val="000000"/>
          <w:sz w:val="28"/>
        </w:rPr>
        <w:t>资格审查办法</w:t>
      </w:r>
      <w:r>
        <w:rPr>
          <w:color w:val="000000"/>
          <w:sz w:val="28"/>
        </w:rPr>
        <w:tab/>
      </w:r>
      <w:r>
        <w:rPr>
          <w:rStyle w:val="58"/>
          <w:color w:val="000000"/>
          <w:sz w:val="28"/>
        </w:rPr>
        <w:fldChar w:fldCharType="end"/>
      </w:r>
      <w:r>
        <w:rPr>
          <w:rStyle w:val="58"/>
          <w:rFonts w:hint="eastAsia"/>
          <w:color w:val="000000"/>
          <w:sz w:val="28"/>
          <w:lang w:val="en-US" w:eastAsia="zh-CN"/>
        </w:rPr>
        <w:t>21</w:t>
      </w:r>
    </w:p>
    <w:p w14:paraId="278F67BB">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"_Toc95223398"</w:instrText>
      </w:r>
      <w:r>
        <w:rPr>
          <w:rStyle w:val="58"/>
          <w:color w:val="000000"/>
          <w:sz w:val="28"/>
        </w:rPr>
        <w:instrText xml:space="preserve"> </w:instrText>
      </w:r>
      <w:r>
        <w:rPr>
          <w:rStyle w:val="58"/>
          <w:color w:val="000000"/>
          <w:sz w:val="28"/>
        </w:rPr>
        <w:fldChar w:fldCharType="separate"/>
      </w:r>
      <w:r>
        <w:rPr>
          <w:rStyle w:val="58"/>
          <w:rFonts w:hint="eastAsia"/>
          <w:color w:val="000000"/>
          <w:sz w:val="28"/>
        </w:rPr>
        <w:t>第四章</w:t>
      </w:r>
      <w:r>
        <w:rPr>
          <w:rStyle w:val="58"/>
          <w:color w:val="000000"/>
          <w:sz w:val="28"/>
        </w:rPr>
        <w:t xml:space="preserve"> </w:t>
      </w:r>
      <w:r>
        <w:rPr>
          <w:rStyle w:val="58"/>
          <w:rFonts w:hint="eastAsia"/>
          <w:color w:val="000000"/>
          <w:sz w:val="28"/>
        </w:rPr>
        <w:t>评标办法</w:t>
      </w:r>
      <w:bookmarkStart w:id="16" w:name="_Hlt95225442"/>
      <w:r>
        <w:rPr>
          <w:color w:val="000000"/>
          <w:sz w:val="28"/>
        </w:rPr>
        <w:tab/>
      </w:r>
      <w:bookmarkEnd w:id="16"/>
      <w:r>
        <w:rPr>
          <w:rFonts w:hint="eastAsia"/>
          <w:color w:val="000000"/>
          <w:sz w:val="28"/>
          <w:lang w:val="en-US" w:eastAsia="zh-CN"/>
        </w:rPr>
        <w:t>2</w:t>
      </w:r>
      <w:r>
        <w:rPr>
          <w:rStyle w:val="58"/>
          <w:color w:val="000000"/>
          <w:sz w:val="28"/>
        </w:rPr>
        <w:fldChar w:fldCharType="end"/>
      </w:r>
      <w:r>
        <w:rPr>
          <w:rStyle w:val="58"/>
          <w:rFonts w:hint="eastAsia"/>
          <w:color w:val="000000"/>
          <w:sz w:val="28"/>
          <w:lang w:val="en-US" w:eastAsia="zh-CN"/>
        </w:rPr>
        <w:t>3</w:t>
      </w:r>
    </w:p>
    <w:p w14:paraId="50BF535A">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"_Toc95223458"</w:instrText>
      </w:r>
      <w:r>
        <w:rPr>
          <w:rStyle w:val="58"/>
          <w:color w:val="000000"/>
          <w:sz w:val="28"/>
        </w:rPr>
        <w:instrText xml:space="preserve"> </w:instrText>
      </w:r>
      <w:r>
        <w:rPr>
          <w:rStyle w:val="58"/>
          <w:color w:val="000000"/>
          <w:sz w:val="28"/>
        </w:rPr>
        <w:fldChar w:fldCharType="separate"/>
      </w:r>
      <w:r>
        <w:rPr>
          <w:rStyle w:val="58"/>
          <w:rFonts w:hint="eastAsia"/>
          <w:color w:val="000000"/>
          <w:sz w:val="28"/>
        </w:rPr>
        <w:t>第五章</w:t>
      </w:r>
      <w:r>
        <w:rPr>
          <w:rStyle w:val="58"/>
          <w:color w:val="000000"/>
          <w:sz w:val="28"/>
        </w:rPr>
        <w:t xml:space="preserve"> </w:t>
      </w:r>
      <w:r>
        <w:rPr>
          <w:rStyle w:val="58"/>
          <w:rFonts w:hint="eastAsia"/>
          <w:color w:val="000000"/>
          <w:sz w:val="28"/>
        </w:rPr>
        <w:t>合同条款及格式</w:t>
      </w:r>
      <w:r>
        <w:rPr>
          <w:color w:val="000000"/>
          <w:sz w:val="28"/>
        </w:rPr>
        <w:tab/>
      </w:r>
      <w:r>
        <w:rPr>
          <w:rFonts w:hint="eastAsia"/>
          <w:color w:val="000000"/>
          <w:sz w:val="28"/>
          <w:lang w:val="en-US" w:eastAsia="zh-CN"/>
        </w:rPr>
        <w:t>3</w:t>
      </w:r>
      <w:r>
        <w:rPr>
          <w:rStyle w:val="58"/>
          <w:color w:val="000000"/>
          <w:sz w:val="28"/>
        </w:rPr>
        <w:fldChar w:fldCharType="end"/>
      </w:r>
      <w:r>
        <w:rPr>
          <w:rStyle w:val="58"/>
          <w:rFonts w:hint="eastAsia"/>
          <w:color w:val="000000"/>
          <w:sz w:val="28"/>
          <w:lang w:val="en-US" w:eastAsia="zh-CN"/>
        </w:rPr>
        <w:t>2</w:t>
      </w:r>
    </w:p>
    <w:p w14:paraId="2E624EDC">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"_Toc95223515"</w:instrText>
      </w:r>
      <w:r>
        <w:rPr>
          <w:rStyle w:val="58"/>
          <w:color w:val="000000"/>
          <w:sz w:val="28"/>
        </w:rPr>
        <w:instrText xml:space="preserve"> </w:instrText>
      </w:r>
      <w:r>
        <w:rPr>
          <w:rStyle w:val="58"/>
          <w:color w:val="000000"/>
          <w:sz w:val="28"/>
        </w:rPr>
        <w:fldChar w:fldCharType="separate"/>
      </w:r>
      <w:r>
        <w:rPr>
          <w:rStyle w:val="58"/>
          <w:rFonts w:hint="eastAsia" w:ascii="宋体" w:hAnsi="宋体" w:cs="宋体"/>
          <w:color w:val="000000"/>
          <w:kern w:val="44"/>
          <w:sz w:val="28"/>
        </w:rPr>
        <w:t>第六章 工程量清单</w:t>
      </w:r>
      <w:r>
        <w:rPr>
          <w:color w:val="000000"/>
          <w:sz w:val="28"/>
        </w:rPr>
        <w:tab/>
      </w:r>
      <w:r>
        <w:rPr>
          <w:rFonts w:hint="eastAsia"/>
          <w:color w:val="000000"/>
          <w:sz w:val="28"/>
          <w:lang w:val="en-US" w:eastAsia="zh-CN"/>
        </w:rPr>
        <w:t>7</w:t>
      </w:r>
      <w:r>
        <w:rPr>
          <w:rStyle w:val="58"/>
          <w:color w:val="000000"/>
          <w:sz w:val="28"/>
        </w:rPr>
        <w:fldChar w:fldCharType="end"/>
      </w:r>
      <w:r>
        <w:rPr>
          <w:rStyle w:val="58"/>
          <w:rFonts w:hint="eastAsia"/>
          <w:color w:val="000000"/>
          <w:sz w:val="28"/>
          <w:lang w:val="en-US" w:eastAsia="zh-CN"/>
        </w:rPr>
        <w:t>5</w:t>
      </w:r>
    </w:p>
    <w:p w14:paraId="3DCF61C3">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"_Toc95223522"</w:instrText>
      </w:r>
      <w:r>
        <w:rPr>
          <w:rStyle w:val="58"/>
          <w:color w:val="000000"/>
          <w:sz w:val="28"/>
        </w:rPr>
        <w:instrText xml:space="preserve"> </w:instrText>
      </w:r>
      <w:r>
        <w:rPr>
          <w:rStyle w:val="58"/>
          <w:color w:val="000000"/>
          <w:sz w:val="28"/>
        </w:rPr>
        <w:fldChar w:fldCharType="separate"/>
      </w:r>
      <w:r>
        <w:rPr>
          <w:rStyle w:val="58"/>
          <w:rFonts w:hint="eastAsia" w:ascii="宋体" w:hAnsi="宋体" w:cs="宋体"/>
          <w:color w:val="000000"/>
          <w:kern w:val="44"/>
          <w:sz w:val="28"/>
        </w:rPr>
        <w:t>第七章</w:t>
      </w:r>
      <w:r>
        <w:rPr>
          <w:rStyle w:val="58"/>
          <w:rFonts w:ascii="宋体" w:hAnsi="宋体" w:cs="宋体"/>
          <w:color w:val="000000"/>
          <w:kern w:val="44"/>
          <w:sz w:val="28"/>
        </w:rPr>
        <w:t xml:space="preserve"> </w:t>
      </w:r>
      <w:r>
        <w:rPr>
          <w:rStyle w:val="58"/>
          <w:rFonts w:hint="eastAsia" w:ascii="宋体" w:hAnsi="宋体" w:cs="宋体"/>
          <w:color w:val="000000"/>
          <w:kern w:val="44"/>
          <w:sz w:val="28"/>
        </w:rPr>
        <w:t>图纸</w:t>
      </w:r>
      <w:r>
        <w:rPr>
          <w:color w:val="000000"/>
          <w:sz w:val="28"/>
        </w:rPr>
        <w:tab/>
      </w:r>
      <w:r>
        <w:rPr>
          <w:rFonts w:hint="eastAsia"/>
          <w:color w:val="000000"/>
          <w:sz w:val="28"/>
          <w:lang w:val="en-US" w:eastAsia="zh-CN"/>
        </w:rPr>
        <w:t>7</w:t>
      </w:r>
      <w:r>
        <w:rPr>
          <w:rStyle w:val="58"/>
          <w:color w:val="000000"/>
          <w:sz w:val="28"/>
        </w:rPr>
        <w:fldChar w:fldCharType="end"/>
      </w:r>
      <w:r>
        <w:rPr>
          <w:rStyle w:val="58"/>
          <w:rFonts w:hint="eastAsia"/>
          <w:color w:val="000000"/>
          <w:sz w:val="28"/>
          <w:lang w:val="en-US" w:eastAsia="zh-CN"/>
        </w:rPr>
        <w:t>5</w:t>
      </w:r>
    </w:p>
    <w:p w14:paraId="3AB8456F">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"_Toc95223525"</w:instrText>
      </w:r>
      <w:r>
        <w:rPr>
          <w:rStyle w:val="58"/>
          <w:color w:val="000000"/>
          <w:sz w:val="28"/>
        </w:rPr>
        <w:instrText xml:space="preserve"> </w:instrText>
      </w:r>
      <w:r>
        <w:rPr>
          <w:rStyle w:val="58"/>
          <w:color w:val="000000"/>
          <w:sz w:val="28"/>
        </w:rPr>
        <w:fldChar w:fldCharType="separate"/>
      </w:r>
      <w:r>
        <w:rPr>
          <w:rStyle w:val="58"/>
          <w:rFonts w:hint="eastAsia" w:ascii="宋体" w:hAnsi="宋体" w:cs="宋体"/>
          <w:color w:val="000000"/>
          <w:kern w:val="44"/>
          <w:sz w:val="28"/>
        </w:rPr>
        <w:t>第八章 技术标准和要求</w:t>
      </w:r>
      <w:r>
        <w:rPr>
          <w:color w:val="000000"/>
          <w:sz w:val="28"/>
        </w:rPr>
        <w:tab/>
      </w:r>
      <w:r>
        <w:rPr>
          <w:rFonts w:hint="eastAsia"/>
          <w:color w:val="000000"/>
          <w:sz w:val="28"/>
          <w:lang w:val="en-US" w:eastAsia="zh-CN"/>
        </w:rPr>
        <w:t>7</w:t>
      </w:r>
      <w:r>
        <w:rPr>
          <w:rStyle w:val="58"/>
          <w:color w:val="000000"/>
          <w:sz w:val="28"/>
        </w:rPr>
        <w:fldChar w:fldCharType="end"/>
      </w:r>
      <w:r>
        <w:rPr>
          <w:rStyle w:val="58"/>
          <w:rFonts w:hint="eastAsia"/>
          <w:color w:val="000000"/>
          <w:sz w:val="28"/>
          <w:lang w:val="en-US" w:eastAsia="zh-CN"/>
        </w:rPr>
        <w:t>6</w:t>
      </w:r>
    </w:p>
    <w:p w14:paraId="7B73DFB9">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"_Toc95223531"</w:instrText>
      </w:r>
      <w:r>
        <w:rPr>
          <w:rStyle w:val="58"/>
          <w:color w:val="000000"/>
          <w:sz w:val="28"/>
        </w:rPr>
        <w:instrText xml:space="preserve"> </w:instrText>
      </w:r>
      <w:r>
        <w:rPr>
          <w:rStyle w:val="58"/>
          <w:color w:val="000000"/>
          <w:sz w:val="28"/>
        </w:rPr>
        <w:fldChar w:fldCharType="separate"/>
      </w:r>
      <w:r>
        <w:rPr>
          <w:rStyle w:val="58"/>
          <w:rFonts w:hint="eastAsia"/>
          <w:color w:val="000000"/>
          <w:sz w:val="28"/>
        </w:rPr>
        <w:t>第九章 投标文件格式</w:t>
      </w:r>
      <w:r>
        <w:rPr>
          <w:color w:val="000000"/>
          <w:sz w:val="28"/>
        </w:rPr>
        <w:tab/>
      </w:r>
      <w:r>
        <w:rPr>
          <w:rStyle w:val="58"/>
          <w:color w:val="000000"/>
          <w:sz w:val="28"/>
        </w:rPr>
        <w:fldChar w:fldCharType="end"/>
      </w:r>
      <w:r>
        <w:rPr>
          <w:rStyle w:val="58"/>
          <w:rFonts w:hint="eastAsia"/>
          <w:color w:val="000000"/>
          <w:sz w:val="28"/>
          <w:lang w:val="en-US" w:eastAsia="zh-CN"/>
        </w:rPr>
        <w:t>77</w:t>
      </w:r>
    </w:p>
    <w:p w14:paraId="63D8DA84">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"_Toc95223547"</w:instrText>
      </w:r>
      <w:r>
        <w:rPr>
          <w:rStyle w:val="58"/>
          <w:color w:val="000000"/>
          <w:sz w:val="28"/>
        </w:rPr>
        <w:instrText xml:space="preserve"> </w:instrText>
      </w:r>
      <w:r>
        <w:rPr>
          <w:rStyle w:val="58"/>
          <w:color w:val="000000"/>
          <w:sz w:val="28"/>
        </w:rPr>
        <w:fldChar w:fldCharType="separate"/>
      </w:r>
      <w:r>
        <w:rPr>
          <w:rStyle w:val="58"/>
          <w:rFonts w:hint="eastAsia" w:eastAsia="黑体"/>
          <w:color w:val="000000"/>
          <w:sz w:val="28"/>
        </w:rPr>
        <w:t>第十章</w:t>
      </w:r>
      <w:r>
        <w:rPr>
          <w:rStyle w:val="58"/>
          <w:rFonts w:eastAsia="黑体"/>
          <w:color w:val="000000"/>
          <w:sz w:val="28"/>
        </w:rPr>
        <w:t xml:space="preserve"> </w:t>
      </w:r>
      <w:r>
        <w:rPr>
          <w:rStyle w:val="58"/>
          <w:rFonts w:hint="eastAsia" w:eastAsia="黑体"/>
          <w:color w:val="000000"/>
          <w:sz w:val="28"/>
        </w:rPr>
        <w:t xml:space="preserve"> 招标人、招标代理机构对本招标文件的确认</w:t>
      </w:r>
      <w:bookmarkStart w:id="17" w:name="_Hlt95223550"/>
      <w:bookmarkStart w:id="18" w:name="_Hlt95223551"/>
      <w:r>
        <w:rPr>
          <w:color w:val="000000"/>
          <w:sz w:val="28"/>
        </w:rPr>
        <w:tab/>
      </w:r>
      <w:bookmarkEnd w:id="17"/>
      <w:bookmarkEnd w:id="18"/>
      <w:r>
        <w:rPr>
          <w:rFonts w:hint="eastAsia"/>
          <w:color w:val="000000"/>
          <w:sz w:val="28"/>
          <w:lang w:val="en-US" w:eastAsia="zh-CN"/>
        </w:rPr>
        <w:t>8</w:t>
      </w:r>
      <w:r>
        <w:rPr>
          <w:rStyle w:val="58"/>
          <w:color w:val="000000"/>
          <w:sz w:val="28"/>
        </w:rPr>
        <w:fldChar w:fldCharType="end"/>
      </w:r>
      <w:r>
        <w:rPr>
          <w:rStyle w:val="58"/>
          <w:rFonts w:hint="eastAsia"/>
          <w:color w:val="000000"/>
          <w:sz w:val="28"/>
          <w:lang w:val="en-US" w:eastAsia="zh-CN"/>
        </w:rPr>
        <w:t>9</w:t>
      </w:r>
    </w:p>
    <w:p w14:paraId="328C7EE3">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"_Toc95223548"</w:instrText>
      </w:r>
      <w:r>
        <w:rPr>
          <w:rStyle w:val="58"/>
          <w:color w:val="000000"/>
          <w:sz w:val="28"/>
        </w:rPr>
        <w:instrText xml:space="preserve"> </w:instrText>
      </w:r>
      <w:r>
        <w:rPr>
          <w:rStyle w:val="58"/>
          <w:color w:val="000000"/>
          <w:sz w:val="28"/>
        </w:rPr>
        <w:fldChar w:fldCharType="separate"/>
      </w:r>
      <w:r>
        <w:rPr>
          <w:rStyle w:val="58"/>
          <w:rFonts w:hint="eastAsia" w:ascii="黑体" w:hAnsi="黑体" w:eastAsia="黑体"/>
          <w:color w:val="000000"/>
          <w:sz w:val="28"/>
        </w:rPr>
        <w:t>附件</w:t>
      </w:r>
      <w:r>
        <w:rPr>
          <w:rStyle w:val="58"/>
          <w:rFonts w:ascii="黑体" w:hAnsi="黑体" w:eastAsia="黑体"/>
          <w:color w:val="000000"/>
          <w:sz w:val="28"/>
        </w:rPr>
        <w:t xml:space="preserve">1 </w:t>
      </w:r>
      <w:r>
        <w:rPr>
          <w:rStyle w:val="58"/>
          <w:rFonts w:hint="eastAsia" w:ascii="黑体" w:hAnsi="黑体" w:eastAsia="黑体"/>
          <w:color w:val="000000"/>
          <w:sz w:val="28"/>
        </w:rPr>
        <w:t>关于联合惩戒失信行为加强信用查询管理的通知</w:t>
      </w:r>
      <w:r>
        <w:rPr>
          <w:color w:val="000000"/>
          <w:sz w:val="28"/>
        </w:rPr>
        <w:tab/>
      </w:r>
      <w:r>
        <w:rPr>
          <w:rFonts w:hint="eastAsia"/>
          <w:color w:val="000000"/>
          <w:sz w:val="28"/>
          <w:lang w:val="en-US" w:eastAsia="zh-CN"/>
        </w:rPr>
        <w:t>9</w:t>
      </w:r>
      <w:r>
        <w:rPr>
          <w:rStyle w:val="58"/>
          <w:color w:val="000000"/>
          <w:sz w:val="28"/>
        </w:rPr>
        <w:fldChar w:fldCharType="end"/>
      </w:r>
      <w:r>
        <w:rPr>
          <w:rStyle w:val="58"/>
          <w:rFonts w:hint="eastAsia"/>
          <w:color w:val="000000"/>
          <w:sz w:val="28"/>
          <w:lang w:val="en-US" w:eastAsia="zh-CN"/>
        </w:rPr>
        <w:t>0</w:t>
      </w:r>
    </w:p>
    <w:p w14:paraId="13C7F18B">
      <w:pPr>
        <w:pStyle w:val="31"/>
        <w:tabs>
          <w:tab w:val="right" w:leader="dot" w:pos="9460"/>
        </w:tabs>
        <w:rPr>
          <w:rStyle w:val="58"/>
          <w:rFonts w:hint="eastAsia" w:eastAsia="宋体"/>
          <w:color w:val="000000"/>
          <w:sz w:val="28"/>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"_Toc95223549"</w:instrText>
      </w:r>
      <w:r>
        <w:rPr>
          <w:rStyle w:val="58"/>
          <w:color w:val="000000"/>
          <w:sz w:val="28"/>
        </w:rPr>
        <w:instrText xml:space="preserve"> </w:instrText>
      </w:r>
      <w:r>
        <w:rPr>
          <w:rStyle w:val="58"/>
          <w:color w:val="000000"/>
          <w:sz w:val="28"/>
        </w:rPr>
        <w:fldChar w:fldCharType="separate"/>
      </w:r>
      <w:r>
        <w:rPr>
          <w:rStyle w:val="58"/>
          <w:rFonts w:hint="eastAsia" w:ascii="黑体" w:hAnsi="黑体" w:eastAsia="黑体"/>
          <w:color w:val="000000"/>
          <w:sz w:val="28"/>
        </w:rPr>
        <w:t>附件</w:t>
      </w:r>
      <w:r>
        <w:rPr>
          <w:rStyle w:val="58"/>
          <w:rFonts w:ascii="黑体" w:hAnsi="黑体" w:eastAsia="黑体"/>
          <w:color w:val="000000"/>
          <w:sz w:val="28"/>
        </w:rPr>
        <w:t xml:space="preserve">2 </w:t>
      </w:r>
      <w:r>
        <w:rPr>
          <w:rStyle w:val="58"/>
          <w:rFonts w:hint="eastAsia" w:ascii="黑体" w:hAnsi="黑体" w:eastAsia="黑体"/>
          <w:color w:val="000000"/>
          <w:sz w:val="28"/>
        </w:rPr>
        <w:t>“信用中国”查询的严重失信行为类别及判定依据</w:t>
      </w:r>
      <w:r>
        <w:rPr>
          <w:color w:val="000000"/>
          <w:sz w:val="28"/>
        </w:rPr>
        <w:tab/>
      </w:r>
      <w:r>
        <w:rPr>
          <w:rFonts w:hint="eastAsia"/>
          <w:color w:val="000000"/>
          <w:sz w:val="28"/>
          <w:lang w:val="en-US" w:eastAsia="zh-CN"/>
        </w:rPr>
        <w:t>9</w:t>
      </w:r>
      <w:r>
        <w:rPr>
          <w:rStyle w:val="58"/>
          <w:color w:val="000000"/>
          <w:sz w:val="28"/>
        </w:rPr>
        <w:fldChar w:fldCharType="end"/>
      </w:r>
      <w:r>
        <w:rPr>
          <w:rStyle w:val="58"/>
          <w:rFonts w:hint="eastAsia"/>
          <w:color w:val="000000"/>
          <w:sz w:val="28"/>
          <w:lang w:val="en-US" w:eastAsia="zh-CN"/>
        </w:rPr>
        <w:t>4</w:t>
      </w:r>
    </w:p>
    <w:p w14:paraId="5052B2D4">
      <w:pPr>
        <w:pStyle w:val="2"/>
        <w:spacing w:line="700" w:lineRule="exact"/>
        <w:ind w:left="0" w:leftChars="0" w:firstLine="480"/>
        <w:jc w:val="left"/>
        <w:rPr>
          <w:sz w:val="24"/>
          <w:szCs w:val="24"/>
          <w:highlight w:val="none"/>
        </w:rPr>
      </w:pPr>
    </w:p>
    <w:p w14:paraId="3004C8EC">
      <w:pPr>
        <w:pStyle w:val="44"/>
        <w:spacing w:line="700" w:lineRule="exact"/>
        <w:jc w:val="left"/>
        <w:rPr>
          <w:sz w:val="24"/>
          <w:szCs w:val="24"/>
          <w:highlight w:val="none"/>
        </w:rPr>
        <w:sectPr>
          <w:footerReference r:id="rId5" w:type="default"/>
          <w:pgSz w:w="11906" w:h="16838"/>
          <w:pgMar w:top="1134" w:right="1417" w:bottom="1134" w:left="1417" w:header="851" w:footer="992" w:gutter="0"/>
          <w:pgNumType w:start="1"/>
          <w:cols w:space="720" w:num="1"/>
          <w:docGrid w:type="lines" w:linePitch="312" w:charSpace="0"/>
        </w:sectPr>
      </w:pPr>
    </w:p>
    <w:bookmarkEnd w:id="12"/>
    <w:bookmarkEnd w:id="13"/>
    <w:bookmarkEnd w:id="14"/>
    <w:bookmarkEnd w:id="15"/>
    <w:p w14:paraId="2EC261B3">
      <w:pPr>
        <w:pStyle w:val="44"/>
        <w:spacing w:beforeLines="50" w:afterLines="50" w:line="440" w:lineRule="exact"/>
        <w:rPr>
          <w:rFonts w:hint="eastAsia" w:eastAsia="宋体" w:cs="Times New Roman"/>
          <w:bCs/>
          <w:szCs w:val="32"/>
          <w:highlight w:val="none"/>
        </w:rPr>
      </w:pPr>
      <w:bookmarkStart w:id="19" w:name="_Toc78803320"/>
      <w:bookmarkStart w:id="20" w:name="_Toc247085687"/>
      <w:bookmarkStart w:id="21" w:name="_Toc179632544"/>
      <w:bookmarkStart w:id="22" w:name="_Toc15058844"/>
      <w:bookmarkStart w:id="23" w:name="_Toc152045527"/>
      <w:bookmarkStart w:id="24" w:name="_Toc246996916"/>
      <w:bookmarkStart w:id="25" w:name="_Toc506107267"/>
      <w:bookmarkStart w:id="26" w:name="_Toc35425050"/>
      <w:bookmarkStart w:id="27" w:name="_Toc324404813"/>
      <w:bookmarkStart w:id="28" w:name="_Toc246996173"/>
      <w:bookmarkStart w:id="29" w:name="_Toc152042303"/>
      <w:bookmarkStart w:id="30" w:name="_Toc144974495"/>
      <w:bookmarkStart w:id="31" w:name="_Toc35424883"/>
      <w:r>
        <w:rPr>
          <w:rFonts w:hint="eastAsia" w:eastAsia="宋体" w:cs="Times New Roman"/>
          <w:bCs/>
          <w:szCs w:val="32"/>
          <w:highlight w:val="none"/>
          <w:lang w:val="en-US" w:eastAsia="zh-CN"/>
        </w:rPr>
        <w:t xml:space="preserve">第一章 </w:t>
      </w:r>
      <w:r>
        <w:rPr>
          <w:rFonts w:hint="eastAsia" w:eastAsia="宋体" w:cs="Times New Roman"/>
          <w:bCs/>
          <w:szCs w:val="32"/>
          <w:highlight w:val="none"/>
        </w:rPr>
        <w:t>招标公告</w:t>
      </w:r>
      <w:bookmarkEnd w:id="19"/>
    </w:p>
    <w:tbl>
      <w:tblPr>
        <w:tblStyle w:val="47"/>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7997"/>
      </w:tblGrid>
      <w:tr w14:paraId="48A3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4E31D11C">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14:paraId="07E8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noWrap w:val="0"/>
            <w:vAlign w:val="center"/>
          </w:tcPr>
          <w:p w14:paraId="2E39E459">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rPr>
              <w:t>项目</w:t>
            </w:r>
            <w:r>
              <w:rPr>
                <w:rFonts w:hint="eastAsia" w:ascii="宋体" w:hAnsi="宋体" w:eastAsia="宋体" w:cs="宋体"/>
                <w:color w:val="auto"/>
                <w:kern w:val="0"/>
                <w:sz w:val="21"/>
                <w:szCs w:val="21"/>
                <w:highlight w:val="none"/>
              </w:rPr>
              <w:t>名称</w:t>
            </w:r>
          </w:p>
        </w:tc>
        <w:tc>
          <w:tcPr>
            <w:tcW w:w="7997" w:type="dxa"/>
            <w:noWrap w:val="0"/>
            <w:vAlign w:val="top"/>
          </w:tcPr>
          <w:p w14:paraId="223FE30B">
            <w:pPr>
              <w:keepNext w:val="0"/>
              <w:keepLines w:val="0"/>
              <w:pageBreakBefore w:val="0"/>
              <w:kinsoku/>
              <w:wordWrap w:val="0"/>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1"/>
                <w:sz w:val="21"/>
                <w:szCs w:val="21"/>
                <w:highlight w:val="none"/>
              </w:rPr>
            </w:pPr>
            <w:r>
              <w:rPr>
                <w:rFonts w:hint="eastAsia" w:ascii="宋体" w:hAnsi="宋体" w:cs="宋体"/>
                <w:bCs/>
                <w:color w:val="auto"/>
                <w:kern w:val="1"/>
                <w:sz w:val="21"/>
                <w:szCs w:val="21"/>
                <w:highlight w:val="none"/>
                <w:lang w:eastAsia="zh-CN"/>
              </w:rPr>
              <w:t>滁州市第三污水处理厂分布式光伏工程施工项目</w:t>
            </w:r>
          </w:p>
        </w:tc>
      </w:tr>
      <w:tr w14:paraId="3EF6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32571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招标人</w:t>
            </w:r>
          </w:p>
        </w:tc>
        <w:tc>
          <w:tcPr>
            <w:tcW w:w="7997" w:type="dxa"/>
            <w:noWrap w:val="0"/>
            <w:vAlign w:val="center"/>
          </w:tcPr>
          <w:p w14:paraId="41AA07E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bCs/>
                <w:color w:val="auto"/>
                <w:kern w:val="1"/>
                <w:sz w:val="21"/>
                <w:szCs w:val="21"/>
                <w:highlight w:val="none"/>
                <w:lang w:eastAsia="zh-CN"/>
              </w:rPr>
              <w:t>滁州市翼然新能源开发有限公司</w:t>
            </w:r>
          </w:p>
        </w:tc>
      </w:tr>
      <w:tr w14:paraId="2A24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2638D1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项目业主</w:t>
            </w:r>
          </w:p>
        </w:tc>
        <w:tc>
          <w:tcPr>
            <w:tcW w:w="7997" w:type="dxa"/>
            <w:noWrap w:val="0"/>
            <w:vAlign w:val="center"/>
          </w:tcPr>
          <w:p w14:paraId="3EF79F1D">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滁州市翼然新能源开发有限公司</w:t>
            </w:r>
          </w:p>
        </w:tc>
      </w:tr>
      <w:tr w14:paraId="515C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ECD1AE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7997" w:type="dxa"/>
            <w:noWrap w:val="0"/>
            <w:vAlign w:val="center"/>
          </w:tcPr>
          <w:p w14:paraId="13E4CD21">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自筹资金</w:t>
            </w:r>
          </w:p>
        </w:tc>
      </w:tr>
      <w:tr w14:paraId="1CA8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F489FD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项目出资比例</w:t>
            </w:r>
          </w:p>
        </w:tc>
        <w:tc>
          <w:tcPr>
            <w:tcW w:w="7997" w:type="dxa"/>
            <w:noWrap w:val="0"/>
            <w:vAlign w:val="center"/>
          </w:tcPr>
          <w:p w14:paraId="612A619C">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r w14:paraId="2F99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DEFCFF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7997" w:type="dxa"/>
            <w:noWrap w:val="0"/>
            <w:vAlign w:val="center"/>
          </w:tcPr>
          <w:p w14:paraId="53A0BB3B">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公开招标</w:t>
            </w:r>
          </w:p>
        </w:tc>
      </w:tr>
      <w:tr w14:paraId="6288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0C4438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7997" w:type="dxa"/>
            <w:noWrap w:val="0"/>
            <w:vAlign w:val="center"/>
          </w:tcPr>
          <w:p w14:paraId="64728417">
            <w:pPr>
              <w:keepNext w:val="0"/>
              <w:keepLines w:val="0"/>
              <w:pageBreakBefore w:val="0"/>
              <w:widowControl/>
              <w:kinsoku/>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综合评估法</w:t>
            </w:r>
          </w:p>
        </w:tc>
      </w:tr>
      <w:tr w14:paraId="3CB3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EBFED8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项目概况与招标范围</w:t>
            </w:r>
          </w:p>
        </w:tc>
      </w:tr>
      <w:tr w14:paraId="1B54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A1F1B5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7997" w:type="dxa"/>
            <w:noWrap w:val="0"/>
            <w:vAlign w:val="center"/>
          </w:tcPr>
          <w:p w14:paraId="3BB4B767">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滁州市第三污水处理厂分布式光伏工程施工项目</w:t>
            </w:r>
          </w:p>
        </w:tc>
      </w:tr>
      <w:tr w14:paraId="488A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14:paraId="40B1C46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标段划分</w:t>
            </w:r>
          </w:p>
        </w:tc>
        <w:tc>
          <w:tcPr>
            <w:tcW w:w="7997" w:type="dxa"/>
            <w:noWrap w:val="0"/>
            <w:vAlign w:val="center"/>
          </w:tcPr>
          <w:p w14:paraId="062D55A9">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szCs w:val="21"/>
                <w:highlight w:val="none"/>
                <w:lang w:val="en-US" w:eastAsia="zh-CN"/>
              </w:rPr>
              <w:t>一个标段</w:t>
            </w:r>
          </w:p>
        </w:tc>
      </w:tr>
      <w:tr w14:paraId="4073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4A4EA6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7997" w:type="dxa"/>
            <w:noWrap w:val="0"/>
            <w:vAlign w:val="center"/>
          </w:tcPr>
          <w:p w14:paraId="2C527A97">
            <w:pPr>
              <w:pStyle w:val="2"/>
              <w:keepNext w:val="0"/>
              <w:keepLines w:val="0"/>
              <w:pageBreakBefore w:val="0"/>
              <w:kinsoku/>
              <w:wordWrap w:val="0"/>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Cs w:val="21"/>
              </w:rPr>
            </w:pPr>
            <w:r>
              <w:rPr>
                <w:rFonts w:hint="eastAsia" w:ascii="宋体" w:hAnsi="宋体" w:cs="宋体"/>
                <w:color w:val="auto"/>
                <w:sz w:val="21"/>
                <w:szCs w:val="21"/>
                <w:highlight w:val="none"/>
                <w:lang w:eastAsia="zh-CN"/>
              </w:rPr>
              <w:t>滁州市第三污水处理厂</w:t>
            </w:r>
            <w:r>
              <w:rPr>
                <w:rFonts w:hint="eastAsia" w:hAnsi="宋体" w:cs="宋体"/>
                <w:color w:val="auto"/>
                <w:sz w:val="21"/>
                <w:szCs w:val="21"/>
                <w:highlight w:val="none"/>
                <w:lang w:eastAsia="zh-CN"/>
              </w:rPr>
              <w:t>，</w:t>
            </w:r>
            <w:r>
              <w:rPr>
                <w:rFonts w:hint="eastAsia" w:ascii="宋体" w:hAnsi="宋体" w:eastAsia="宋体" w:cs="宋体"/>
                <w:szCs w:val="21"/>
                <w:lang w:val="en-US" w:eastAsia="zh-CN"/>
              </w:rPr>
              <w:t>招标人指定地点</w:t>
            </w:r>
          </w:p>
        </w:tc>
      </w:tr>
      <w:tr w14:paraId="3A6E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BBF1A7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建设规模</w:t>
            </w:r>
          </w:p>
        </w:tc>
        <w:tc>
          <w:tcPr>
            <w:tcW w:w="7997" w:type="dxa"/>
            <w:noWrap w:val="0"/>
            <w:vAlign w:val="center"/>
          </w:tcPr>
          <w:p w14:paraId="56AC02AD">
            <w:pPr>
              <w:pStyle w:val="2"/>
              <w:keepNext w:val="0"/>
              <w:keepLines w:val="0"/>
              <w:pageBreakBefore w:val="0"/>
              <w:kinsoku/>
              <w:wordWrap w:val="0"/>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本项目利用滁州市第三污水处理厂区内办公楼、提升泵房、沉淀池、加药间、臭氧发生间、变配电间等建筑物屋顶空间铺设光伏组件，拟采用“自发自用、余电上网”模式并网，规划装机容量638.19kwp。</w:t>
            </w:r>
          </w:p>
        </w:tc>
      </w:tr>
      <w:tr w14:paraId="5DC7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323046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合同估算价</w:t>
            </w:r>
          </w:p>
        </w:tc>
        <w:tc>
          <w:tcPr>
            <w:tcW w:w="7997" w:type="dxa"/>
            <w:noWrap w:val="0"/>
            <w:vAlign w:val="center"/>
          </w:tcPr>
          <w:p w14:paraId="2618AED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约118万元</w:t>
            </w:r>
          </w:p>
        </w:tc>
      </w:tr>
      <w:tr w14:paraId="6BEC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6F6947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7997" w:type="dxa"/>
            <w:noWrap w:val="0"/>
            <w:vAlign w:val="center"/>
          </w:tcPr>
          <w:p w14:paraId="241300B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不高于90</w:t>
            </w:r>
            <w:r>
              <w:rPr>
                <w:rFonts w:hint="eastAsia" w:ascii="宋体" w:hAnsi="宋体" w:eastAsia="宋体" w:cs="宋体"/>
                <w:color w:val="auto"/>
                <w:sz w:val="21"/>
                <w:szCs w:val="21"/>
                <w:highlight w:val="none"/>
                <w:lang w:val="en-US" w:eastAsia="zh-CN"/>
              </w:rPr>
              <w:t>个日历天</w:t>
            </w:r>
          </w:p>
        </w:tc>
      </w:tr>
      <w:tr w14:paraId="42C9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3CAB73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招标范围</w:t>
            </w:r>
          </w:p>
        </w:tc>
        <w:tc>
          <w:tcPr>
            <w:tcW w:w="7997" w:type="dxa"/>
            <w:noWrap w:val="0"/>
            <w:vAlign w:val="center"/>
          </w:tcPr>
          <w:p w14:paraId="2450FD06">
            <w:pPr>
              <w:pStyle w:val="2"/>
              <w:keepNext w:val="0"/>
              <w:keepLines w:val="0"/>
              <w:pageBreakBefore w:val="0"/>
              <w:kinsoku/>
              <w:wordWrap/>
              <w:overflowPunct/>
              <w:topLinePunct w:val="0"/>
              <w:autoSpaceDE/>
              <w:autoSpaceDN/>
              <w:bidi w:val="0"/>
              <w:adjustRightInd/>
              <w:snapToGrid/>
              <w:spacing w:after="0" w:afterLines="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本工程施工图纸和工程量清单中的所有内容</w:t>
            </w:r>
          </w:p>
        </w:tc>
      </w:tr>
      <w:tr w14:paraId="3973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B3C45E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项目类别</w:t>
            </w:r>
          </w:p>
        </w:tc>
        <w:tc>
          <w:tcPr>
            <w:tcW w:w="7997" w:type="dxa"/>
            <w:noWrap w:val="0"/>
            <w:vAlign w:val="center"/>
          </w:tcPr>
          <w:p w14:paraId="6D56053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工程施工</w:t>
            </w:r>
          </w:p>
        </w:tc>
      </w:tr>
      <w:tr w14:paraId="4896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211EA0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w:t>
            </w:r>
          </w:p>
        </w:tc>
        <w:tc>
          <w:tcPr>
            <w:tcW w:w="7997" w:type="dxa"/>
            <w:noWrap w:val="0"/>
            <w:vAlign w:val="center"/>
          </w:tcPr>
          <w:p w14:paraId="27D131B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p>
        </w:tc>
      </w:tr>
      <w:tr w14:paraId="4400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4CBF6E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14:paraId="54BA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D8EAA9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投标人资质要求</w:t>
            </w:r>
          </w:p>
        </w:tc>
        <w:tc>
          <w:tcPr>
            <w:tcW w:w="7997" w:type="dxa"/>
            <w:noWrap w:val="0"/>
            <w:vAlign w:val="center"/>
          </w:tcPr>
          <w:p w14:paraId="479CD32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投标人同时满足下列要求：</w:t>
            </w:r>
          </w:p>
          <w:p w14:paraId="563115C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①具备电力工程施工总承包叁级（或以上）资质，并具有有效的安全生产许可证；</w:t>
            </w:r>
          </w:p>
          <w:p w14:paraId="15FBBAC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②具备电力主管部门颁发的承装、承修、承试五级（或以上）电力设施许可证。</w:t>
            </w:r>
          </w:p>
        </w:tc>
      </w:tr>
      <w:tr w14:paraId="07C2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54140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项目</w:t>
            </w:r>
            <w:r>
              <w:rPr>
                <w:rFonts w:hint="eastAsia" w:ascii="宋体" w:hAnsi="宋体" w:cs="宋体"/>
                <w:bCs/>
                <w:snapToGrid w:val="0"/>
                <w:color w:val="auto"/>
                <w:kern w:val="0"/>
                <w:sz w:val="21"/>
                <w:szCs w:val="21"/>
                <w:highlight w:val="none"/>
                <w:lang w:val="en-US" w:eastAsia="zh-CN"/>
              </w:rPr>
              <w:t>经理</w:t>
            </w:r>
            <w:r>
              <w:rPr>
                <w:rFonts w:hint="eastAsia" w:ascii="宋体" w:hAnsi="宋体" w:eastAsia="宋体" w:cs="宋体"/>
                <w:bCs/>
                <w:snapToGrid w:val="0"/>
                <w:color w:val="auto"/>
                <w:kern w:val="0"/>
                <w:sz w:val="21"/>
                <w:szCs w:val="21"/>
                <w:highlight w:val="none"/>
              </w:rPr>
              <w:t>资格要求</w:t>
            </w:r>
          </w:p>
        </w:tc>
        <w:tc>
          <w:tcPr>
            <w:tcW w:w="7997" w:type="dxa"/>
            <w:noWrap w:val="0"/>
            <w:vAlign w:val="center"/>
          </w:tcPr>
          <w:p w14:paraId="4E70B304">
            <w:pPr>
              <w:keepNext w:val="0"/>
              <w:keepLines w:val="0"/>
              <w:pageBreakBefore w:val="0"/>
              <w:numPr>
                <w:ilvl w:val="0"/>
                <w:numId w:val="0"/>
              </w:numPr>
              <w:kinsoku/>
              <w:wordWrap/>
              <w:overflowPunct/>
              <w:topLinePunct w:val="0"/>
              <w:autoSpaceDE/>
              <w:autoSpaceDN/>
              <w:bidi w:val="0"/>
              <w:adjustRightInd/>
              <w:snapToGrid/>
              <w:spacing w:line="440" w:lineRule="exact"/>
              <w:outlineLvl w:val="9"/>
              <w:rPr>
                <w:rFonts w:hint="eastAsia" w:ascii="宋体" w:hAnsi="宋体" w:eastAsia="宋体" w:cs="宋体"/>
                <w:color w:val="auto"/>
                <w:sz w:val="21"/>
                <w:szCs w:val="21"/>
                <w:highlight w:val="none"/>
              </w:rPr>
            </w:pPr>
            <w:r>
              <w:rPr>
                <w:rFonts w:hint="eastAsia" w:ascii="宋体" w:hAnsi="宋体" w:eastAsia="宋体" w:cs="Times New Roman"/>
                <w:color w:val="auto"/>
                <w:szCs w:val="21"/>
                <w:highlight w:val="none"/>
                <w:lang w:val="en-US" w:eastAsia="zh-CN"/>
              </w:rPr>
              <w:t>拟派的项目经理具备注册在投标单位的</w:t>
            </w:r>
            <w:r>
              <w:rPr>
                <w:rFonts w:hint="eastAsia" w:ascii="宋体" w:hAnsi="宋体" w:eastAsia="宋体" w:cs="宋体"/>
                <w:color w:val="auto"/>
                <w:sz w:val="21"/>
                <w:szCs w:val="21"/>
                <w:highlight w:val="none"/>
                <w:lang w:val="en-US" w:eastAsia="zh-CN"/>
              </w:rPr>
              <w:t>机电工程</w:t>
            </w:r>
            <w:r>
              <w:rPr>
                <w:rFonts w:hint="eastAsia" w:ascii="宋体" w:hAnsi="宋体" w:eastAsia="宋体" w:cs="Times New Roman"/>
                <w:color w:val="auto"/>
                <w:szCs w:val="21"/>
                <w:highlight w:val="none"/>
                <w:lang w:val="en-US" w:eastAsia="zh-CN"/>
              </w:rPr>
              <w:t>专业二级（或以上）注册建造师资格。</w:t>
            </w:r>
            <w:r>
              <w:rPr>
                <w:rFonts w:hint="eastAsia" w:ascii="宋体" w:hAnsi="宋体" w:eastAsia="宋体" w:cs="宋体"/>
                <w:color w:val="auto"/>
                <w:sz w:val="21"/>
                <w:szCs w:val="21"/>
                <w:highlight w:val="none"/>
                <w:lang w:val="en-US" w:eastAsia="zh-CN"/>
              </w:rPr>
              <w:t>本项目不接受投标截止时间前六个月内在滁州市区域内办理过项目经理（建造师）变更备案手续的原项目经理（建造师）作为拟任项目经理（建造师）参加投标。</w:t>
            </w:r>
          </w:p>
        </w:tc>
      </w:tr>
      <w:tr w14:paraId="5D76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1FF232E">
            <w:pPr>
              <w:widowControl/>
              <w:spacing w:line="560" w:lineRule="exact"/>
              <w:jc w:val="center"/>
              <w:rPr>
                <w:rFonts w:hint="eastAsia" w:ascii="宋体" w:hAnsi="宋体" w:eastAsia="宋体" w:cs="宋体"/>
                <w:bCs/>
                <w:snapToGrid w:val="0"/>
                <w:color w:val="auto"/>
                <w:kern w:val="0"/>
                <w:sz w:val="21"/>
                <w:szCs w:val="21"/>
                <w:highlight w:val="none"/>
              </w:rPr>
            </w:pPr>
            <w:r>
              <w:rPr>
                <w:rFonts w:hint="eastAsia" w:ascii="宋体" w:hAnsi="宋体" w:cs="宋体"/>
                <w:color w:val="000000"/>
                <w:kern w:val="0"/>
                <w:szCs w:val="21"/>
              </w:rPr>
              <w:t>信誉要求</w:t>
            </w:r>
          </w:p>
        </w:tc>
        <w:tc>
          <w:tcPr>
            <w:tcW w:w="7997" w:type="dxa"/>
            <w:noWrap w:val="0"/>
            <w:vAlign w:val="center"/>
          </w:tcPr>
          <w:p w14:paraId="6A542D3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1、投标人存在以下情形之一的，不得被确定为中标人：</w:t>
            </w:r>
          </w:p>
          <w:p w14:paraId="07F72D8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①被列入“信用中国”网站“失信被执行人”的</w:t>
            </w:r>
            <w:r>
              <w:rPr>
                <w:rFonts w:hint="eastAsia" w:ascii="宋体" w:hAnsi="宋体" w:cs="宋体"/>
                <w:color w:val="auto"/>
                <w:sz w:val="21"/>
                <w:szCs w:val="21"/>
                <w:highlight w:val="none"/>
                <w:lang w:val="en-US" w:eastAsia="zh-CN"/>
              </w:rPr>
              <w:t>；</w:t>
            </w:r>
          </w:p>
          <w:p w14:paraId="489F12F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②被列入“信用中国”网站“重大税收违法失信主体”的；</w:t>
            </w:r>
          </w:p>
          <w:p w14:paraId="11D76A4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③被列入“信用中国”网站“拖欠农民工工资失信联合惩戒对象名单”的；</w:t>
            </w:r>
          </w:p>
          <w:p w14:paraId="54EE342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④被列入“信用中国”网站 “严重失信主体名单”的；</w:t>
            </w:r>
          </w:p>
          <w:p w14:paraId="3EA235C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⑤在“信用中国”网站上披露的仍在公示期的严重失信行为(具体行为类别及判定依据见附件2)的。</w:t>
            </w:r>
          </w:p>
          <w:p w14:paraId="0B56C8F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⑥被列入国家企业信用信息公示系统网站“经营异常名录”或者“严重违法失信名单”的。</w:t>
            </w:r>
          </w:p>
          <w:p w14:paraId="2BE720B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⑦前三年有行贿犯罪行为的单位和个人；</w:t>
            </w:r>
          </w:p>
          <w:p w14:paraId="3F71D61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⑧被滁州市县两级公管部门及各行业主管部门取消在一定期限内的投标资格且在取消期限内的；</w:t>
            </w:r>
          </w:p>
          <w:p w14:paraId="4F252C3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⑨因拖欠农民工工资被县级及以上有关行政主管部门限制投标资格且在限制期限内的；</w:t>
            </w:r>
          </w:p>
          <w:p w14:paraId="3DA0832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84915F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2、投标人所属分公司、办事处等分支机构存在第1条信誉要求①-⑩项情形之一的，    接受其被确定为中标人。</w:t>
            </w:r>
          </w:p>
          <w:p w14:paraId="6DEFFC4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lang w:val="en-US" w:eastAsia="zh-CN"/>
              </w:rPr>
              <w:t>备注：第1、2条按照附件1“关于联合惩戒失信行为加强信用查询管理的通知”查询或承诺。</w:t>
            </w:r>
          </w:p>
        </w:tc>
      </w:tr>
      <w:tr w14:paraId="4DC6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199D4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联合体投标</w:t>
            </w:r>
          </w:p>
        </w:tc>
        <w:tc>
          <w:tcPr>
            <w:tcW w:w="7997" w:type="dxa"/>
            <w:noWrap w:val="0"/>
            <w:vAlign w:val="center"/>
          </w:tcPr>
          <w:p w14:paraId="7420975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本次招标不接受联合体投标。</w:t>
            </w:r>
          </w:p>
        </w:tc>
      </w:tr>
      <w:tr w14:paraId="7DAE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44733C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多标段投标</w:t>
            </w:r>
          </w:p>
        </w:tc>
        <w:tc>
          <w:tcPr>
            <w:tcW w:w="7997" w:type="dxa"/>
            <w:noWrap w:val="0"/>
            <w:vAlign w:val="center"/>
          </w:tcPr>
          <w:p w14:paraId="42579C26">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14:paraId="2329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E77D0C0">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14:paraId="1729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33" w:type="dxa"/>
            <w:noWrap w:val="0"/>
            <w:vAlign w:val="center"/>
          </w:tcPr>
          <w:p w14:paraId="00B9B13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获取时间</w:t>
            </w:r>
          </w:p>
        </w:tc>
        <w:tc>
          <w:tcPr>
            <w:tcW w:w="7997" w:type="dxa"/>
            <w:noWrap w:val="0"/>
            <w:vAlign w:val="center"/>
          </w:tcPr>
          <w:p w14:paraId="257A5F9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202</w:t>
            </w:r>
            <w:r>
              <w:rPr>
                <w:rFonts w:hint="eastAsia" w:ascii="宋体" w:hAnsi="宋体" w:cs="宋体"/>
                <w:bCs/>
                <w:snapToGrid w:val="0"/>
                <w:color w:val="000000"/>
                <w:kern w:val="0"/>
                <w:szCs w:val="21"/>
                <w:highlight w:val="none"/>
                <w:u w:val="single"/>
                <w:lang w:val="en-US" w:eastAsia="zh-CN"/>
              </w:rPr>
              <w:t>5</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年</w:t>
            </w:r>
            <w:r>
              <w:rPr>
                <w:rFonts w:hint="eastAsia" w:ascii="宋体" w:hAnsi="宋体" w:cs="宋体"/>
                <w:bCs/>
                <w:snapToGrid w:val="0"/>
                <w:color w:val="000000"/>
                <w:kern w:val="0"/>
                <w:szCs w:val="21"/>
                <w:highlight w:val="none"/>
                <w:u w:val="single"/>
                <w:lang w:val="en-US" w:eastAsia="zh-CN"/>
              </w:rPr>
              <w:t xml:space="preserve"> 10 </w:t>
            </w:r>
            <w:r>
              <w:rPr>
                <w:rFonts w:hint="eastAsia" w:ascii="宋体" w:hAnsi="宋体" w:eastAsia="宋体" w:cs="宋体"/>
                <w:bCs/>
                <w:snapToGrid w:val="0"/>
                <w:color w:val="000000"/>
                <w:kern w:val="0"/>
                <w:szCs w:val="21"/>
                <w:highlight w:val="none"/>
              </w:rPr>
              <w:t>月</w:t>
            </w:r>
            <w:r>
              <w:rPr>
                <w:rFonts w:hint="eastAsia" w:ascii="宋体" w:hAnsi="宋体" w:cs="宋体"/>
                <w:bCs/>
                <w:snapToGrid w:val="0"/>
                <w:color w:val="000000"/>
                <w:kern w:val="0"/>
                <w:szCs w:val="21"/>
                <w:highlight w:val="none"/>
                <w:u w:val="single"/>
                <w:lang w:val="en-US" w:eastAsia="zh-CN"/>
              </w:rPr>
              <w:t xml:space="preserve"> 10 </w:t>
            </w:r>
            <w:r>
              <w:rPr>
                <w:rFonts w:hint="eastAsia" w:ascii="宋体" w:hAnsi="宋体" w:eastAsia="宋体" w:cs="宋体"/>
                <w:bCs/>
                <w:snapToGrid w:val="0"/>
                <w:color w:val="000000"/>
                <w:kern w:val="0"/>
                <w:szCs w:val="21"/>
                <w:highlight w:val="none"/>
              </w:rPr>
              <w:t>日</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17</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时</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00</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分至</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202</w:t>
            </w:r>
            <w:r>
              <w:rPr>
                <w:rFonts w:hint="eastAsia" w:ascii="宋体" w:hAnsi="宋体" w:cs="宋体"/>
                <w:bCs/>
                <w:snapToGrid w:val="0"/>
                <w:color w:val="000000"/>
                <w:kern w:val="0"/>
                <w:szCs w:val="21"/>
                <w:highlight w:val="none"/>
                <w:u w:val="single"/>
                <w:lang w:val="en-US" w:eastAsia="zh-CN"/>
              </w:rPr>
              <w:t>5</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年</w:t>
            </w:r>
            <w:r>
              <w:rPr>
                <w:rFonts w:hint="eastAsia" w:ascii="宋体" w:hAnsi="宋体" w:cs="宋体"/>
                <w:bCs/>
                <w:snapToGrid w:val="0"/>
                <w:color w:val="000000"/>
                <w:kern w:val="0"/>
                <w:szCs w:val="21"/>
                <w:highlight w:val="none"/>
                <w:u w:val="single"/>
                <w:lang w:val="en-US" w:eastAsia="zh-CN"/>
              </w:rPr>
              <w:t xml:space="preserve"> 10 </w:t>
            </w:r>
            <w:r>
              <w:rPr>
                <w:rFonts w:hint="eastAsia" w:ascii="宋体" w:hAnsi="宋体" w:eastAsia="宋体" w:cs="宋体"/>
                <w:bCs/>
                <w:snapToGrid w:val="0"/>
                <w:color w:val="000000"/>
                <w:kern w:val="0"/>
                <w:szCs w:val="21"/>
                <w:highlight w:val="none"/>
              </w:rPr>
              <w:t>月</w:t>
            </w:r>
            <w:r>
              <w:rPr>
                <w:rFonts w:hint="eastAsia" w:ascii="宋体" w:hAnsi="宋体" w:cs="宋体"/>
                <w:bCs/>
                <w:snapToGrid w:val="0"/>
                <w:color w:val="000000"/>
                <w:kern w:val="0"/>
                <w:szCs w:val="21"/>
                <w:highlight w:val="none"/>
                <w:u w:val="single"/>
                <w:lang w:val="en-US" w:eastAsia="zh-CN"/>
              </w:rPr>
              <w:t xml:space="preserve"> 20 </w:t>
            </w:r>
            <w:r>
              <w:rPr>
                <w:rFonts w:hint="eastAsia" w:ascii="宋体" w:hAnsi="宋体" w:eastAsia="宋体" w:cs="宋体"/>
                <w:bCs/>
                <w:snapToGrid w:val="0"/>
                <w:color w:val="000000"/>
                <w:kern w:val="0"/>
                <w:szCs w:val="21"/>
                <w:highlight w:val="none"/>
              </w:rPr>
              <w:t>日</w:t>
            </w:r>
            <w:r>
              <w:rPr>
                <w:rFonts w:hint="eastAsia" w:ascii="宋体" w:hAnsi="宋体" w:eastAsia="宋体" w:cs="宋体"/>
                <w:bCs/>
                <w:snapToGrid w:val="0"/>
                <w:color w:val="000000"/>
                <w:kern w:val="0"/>
                <w:szCs w:val="21"/>
                <w:highlight w:val="none"/>
                <w:u w:val="single"/>
              </w:rPr>
              <w:t xml:space="preserve"> </w:t>
            </w:r>
            <w:r>
              <w:rPr>
                <w:rFonts w:hint="eastAsia" w:ascii="宋体" w:hAnsi="宋体" w:cs="宋体"/>
                <w:bCs/>
                <w:snapToGrid w:val="0"/>
                <w:color w:val="000000"/>
                <w:kern w:val="0"/>
                <w:szCs w:val="21"/>
                <w:highlight w:val="none"/>
                <w:u w:val="single"/>
                <w:lang w:val="en-US" w:eastAsia="zh-CN"/>
              </w:rPr>
              <w:t>15</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时</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00</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分。</w:t>
            </w:r>
          </w:p>
        </w:tc>
      </w:tr>
      <w:tr w14:paraId="1AFD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072458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000000"/>
                <w:kern w:val="0"/>
                <w:szCs w:val="21"/>
              </w:rPr>
              <w:t>获取方式</w:t>
            </w:r>
          </w:p>
        </w:tc>
        <w:tc>
          <w:tcPr>
            <w:tcW w:w="7997" w:type="dxa"/>
            <w:noWrap w:val="0"/>
            <w:vAlign w:val="center"/>
          </w:tcPr>
          <w:p w14:paraId="5AC4F37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请于公告发布之日起从滁州市城投工程咨询管理有限公司</w:t>
            </w:r>
            <w:r>
              <w:rPr>
                <w:rFonts w:hint="eastAsia" w:cs="Times New Roman"/>
                <w:lang w:val="en-US" w:eastAsia="zh-CN"/>
              </w:rPr>
              <w:t>网站</w:t>
            </w:r>
            <w:r>
              <w:rPr>
                <w:rFonts w:hint="eastAsia" w:ascii="Times New Roman" w:hAnsi="Times New Roman" w:eastAsia="宋体" w:cs="Times New Roman"/>
                <w:lang w:val="en-US" w:eastAsia="zh-CN"/>
              </w:rPr>
              <w:t>（https://www.czctgczx.com/）下载</w:t>
            </w:r>
            <w:r>
              <w:rPr>
                <w:rFonts w:hint="eastAsia" w:cs="Times New Roman"/>
                <w:lang w:val="en-US" w:eastAsia="zh-CN"/>
              </w:rPr>
              <w:t>。</w:t>
            </w:r>
          </w:p>
          <w:p w14:paraId="06D33B5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rPr>
            </w:pPr>
            <w:r>
              <w:rPr>
                <w:rFonts w:hint="eastAsia" w:ascii="Times New Roman" w:hAnsi="Times New Roman" w:eastAsia="宋体" w:cs="Times New Roman"/>
                <w:lang w:val="en-US" w:eastAsia="zh-CN"/>
              </w:rPr>
              <w:t>方式：（1）投标人须登录新点电子交易平台【滁州专区】查询、获取</w:t>
            </w:r>
            <w:r>
              <w:rPr>
                <w:rFonts w:hint="eastAsia" w:cs="Times New Roman"/>
                <w:lang w:val="en-US" w:eastAsia="zh-CN"/>
              </w:rPr>
              <w:t>招标</w:t>
            </w:r>
            <w:r>
              <w:rPr>
                <w:rFonts w:hint="eastAsia" w:ascii="Times New Roman" w:hAnsi="Times New Roman" w:eastAsia="宋体" w:cs="Times New Roman"/>
                <w:lang w:val="en-US" w:eastAsia="zh-CN"/>
              </w:rPr>
              <w:t>文件。首次登录办理入库手续，办理入库不收取任何费用。新点电子招投标统一认证平台使用相关问题（如系统登录、信息登记、录入及提交、数字证书关联等）请拨打服务电话：4009280095-5（工作日）。  </w:t>
            </w:r>
          </w:p>
          <w:p w14:paraId="1CA3EC44">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Times New Roman" w:hAnsi="Times New Roman" w:eastAsia="宋体" w:cs="Times New Roman"/>
                <w:lang w:val="en-US" w:eastAsia="zh-CN"/>
              </w:rPr>
              <w:t>（2）投标人登录新点电子交易平台【滁州专区】获取招标文件及其它资料（含澄清和补充说明等）。如在招标文件获取过程中遇到系统问题，请拨打技术支持服务热线 4009280095或者网站首页在线客服。</w:t>
            </w:r>
          </w:p>
        </w:tc>
      </w:tr>
      <w:tr w14:paraId="552D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7C699F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招标公告发布时间</w:t>
            </w:r>
          </w:p>
        </w:tc>
        <w:tc>
          <w:tcPr>
            <w:tcW w:w="7997" w:type="dxa"/>
            <w:noWrap w:val="0"/>
            <w:vAlign w:val="center"/>
          </w:tcPr>
          <w:p w14:paraId="0CB3AD82">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日</w:t>
            </w:r>
          </w:p>
        </w:tc>
      </w:tr>
      <w:tr w14:paraId="2E37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B970DA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投标文件递交的截止时间</w:t>
            </w:r>
          </w:p>
        </w:tc>
        <w:tc>
          <w:tcPr>
            <w:tcW w:w="7997" w:type="dxa"/>
            <w:noWrap w:val="0"/>
            <w:vAlign w:val="center"/>
          </w:tcPr>
          <w:p w14:paraId="78350AD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val="en-US" w:eastAsia="zh-CN"/>
              </w:rPr>
              <w:t>时00分</w:t>
            </w:r>
          </w:p>
        </w:tc>
      </w:tr>
      <w:tr w14:paraId="1D30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CC335A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投标文件递交的方式</w:t>
            </w:r>
          </w:p>
        </w:tc>
        <w:tc>
          <w:tcPr>
            <w:tcW w:w="7997" w:type="dxa"/>
            <w:noWrap w:val="0"/>
            <w:vAlign w:val="center"/>
          </w:tcPr>
          <w:p w14:paraId="46F556D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本项目仅接受投标人在投标截止时间前登录新点电子交易平台【滁州专区】（https://www.etrading.cn/BREpointSSO/login/oauth2login?regioncode=DQ_ChuZhou）交易系统递交的加密电子投标文件。</w:t>
            </w:r>
          </w:p>
        </w:tc>
      </w:tr>
      <w:tr w14:paraId="7CED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noWrap w:val="0"/>
            <w:vAlign w:val="center"/>
          </w:tcPr>
          <w:p w14:paraId="746D341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开标时间</w:t>
            </w:r>
          </w:p>
        </w:tc>
        <w:tc>
          <w:tcPr>
            <w:tcW w:w="7997" w:type="dxa"/>
            <w:noWrap w:val="0"/>
            <w:vAlign w:val="center"/>
          </w:tcPr>
          <w:p w14:paraId="1DA6674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分</w:t>
            </w:r>
          </w:p>
        </w:tc>
      </w:tr>
      <w:tr w14:paraId="5C7D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noWrap w:val="0"/>
            <w:vAlign w:val="center"/>
          </w:tcPr>
          <w:p w14:paraId="77B6227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开标地点</w:t>
            </w:r>
          </w:p>
        </w:tc>
        <w:tc>
          <w:tcPr>
            <w:tcW w:w="7997" w:type="dxa"/>
            <w:noWrap w:val="0"/>
            <w:vAlign w:val="center"/>
          </w:tcPr>
          <w:p w14:paraId="3D3F20FE">
            <w:pPr>
              <w:keepNext w:val="0"/>
              <w:keepLines w:val="0"/>
              <w:pageBreakBefore w:val="0"/>
              <w:widowControl/>
              <w:kinsoku/>
              <w:wordWrap w:val="0"/>
              <w:overflowPunct/>
              <w:topLinePunct w:val="0"/>
              <w:autoSpaceDE w:val="0"/>
              <w:autoSpaceDN/>
              <w:bidi w:val="0"/>
              <w:adjustRightInd/>
              <w:snapToGrid/>
              <w:spacing w:line="480" w:lineRule="exact"/>
              <w:textAlignment w:val="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highlight w:val="none"/>
                <w:lang w:val="en-US" w:eastAsia="zh-CN"/>
              </w:rPr>
              <w:t>采用不见面开标，投标人登录滁州市城投工程咨询有限公司不见面开标系统参与网上开标（网址：http://js.etrading.cn/EpointBidOpening/bidopeninghallaction/hall/login）。</w:t>
            </w:r>
          </w:p>
        </w:tc>
      </w:tr>
      <w:tr w14:paraId="4E31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16377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招标文件</w:t>
            </w:r>
            <w:r>
              <w:rPr>
                <w:rFonts w:hint="eastAsia" w:ascii="宋体" w:hAnsi="宋体" w:cs="宋体"/>
                <w:color w:val="auto"/>
                <w:sz w:val="21"/>
                <w:szCs w:val="21"/>
                <w:highlight w:val="none"/>
                <w:lang w:val="en-US" w:eastAsia="zh-CN"/>
              </w:rPr>
              <w:t>售价</w:t>
            </w:r>
          </w:p>
        </w:tc>
        <w:tc>
          <w:tcPr>
            <w:tcW w:w="7997" w:type="dxa"/>
            <w:noWrap w:val="0"/>
            <w:vAlign w:val="center"/>
          </w:tcPr>
          <w:p w14:paraId="0FF1405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0元</w:t>
            </w:r>
          </w:p>
        </w:tc>
      </w:tr>
      <w:tr w14:paraId="7177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7C437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7997" w:type="dxa"/>
            <w:noWrap w:val="0"/>
            <w:vAlign w:val="center"/>
          </w:tcPr>
          <w:p w14:paraId="4E624FF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中国招标公共服务平台（http://www.cebpubservice.com/）</w:t>
            </w:r>
          </w:p>
          <w:p w14:paraId="41625809">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安徽省招标投标信息网（www.ahtba.org.cn）</w:t>
            </w:r>
          </w:p>
          <w:p w14:paraId="50C6D68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highlight w:val="none"/>
                <w:lang w:val="en-US" w:eastAsia="zh-CN"/>
              </w:rPr>
              <w:t>滁州市城投工程咨询管理有限公司（https://www.czctgczx.com/）</w:t>
            </w:r>
          </w:p>
        </w:tc>
      </w:tr>
      <w:tr w14:paraId="0857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930D4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14:paraId="453B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FC7C453">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保证金收取</w:t>
            </w:r>
          </w:p>
        </w:tc>
        <w:tc>
          <w:tcPr>
            <w:tcW w:w="7997" w:type="dxa"/>
            <w:noWrap w:val="0"/>
            <w:vAlign w:val="center"/>
          </w:tcPr>
          <w:p w14:paraId="0FEC0F17">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是否要求提交投标保证金：要求，投标保证金的金额：</w:t>
            </w:r>
            <w:r>
              <w:rPr>
                <w:rFonts w:hint="eastAsia" w:ascii="Times New Roman" w:hAnsi="Times New Roman" w:cs="Times New Roman"/>
                <w:highlight w:val="none"/>
                <w:lang w:val="en-US" w:eastAsia="zh-CN"/>
              </w:rPr>
              <w:t>2.3</w:t>
            </w:r>
            <w:r>
              <w:rPr>
                <w:rFonts w:hint="eastAsia" w:ascii="Times New Roman" w:hAnsi="Times New Roman" w:eastAsia="宋体" w:cs="Times New Roman"/>
                <w:highlight w:val="none"/>
                <w:lang w:val="en-US" w:eastAsia="zh-CN"/>
              </w:rPr>
              <w:t>万元。</w:t>
            </w:r>
          </w:p>
          <w:p w14:paraId="76E08EA9">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投标保证金的形式：☑银行转账 </w:t>
            </w:r>
          </w:p>
          <w:p w14:paraId="3F88C837">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09F319CD">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户  名：滁州市城投工程咨询管理有限公司 </w:t>
            </w:r>
          </w:p>
          <w:p w14:paraId="42B4FC66">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开户行：中国银行滁州分行营业部 </w:t>
            </w:r>
          </w:p>
          <w:p w14:paraId="30DB3AAE">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账  号：</w:t>
            </w:r>
            <w:r>
              <w:rPr>
                <w:rFonts w:hint="default" w:ascii="Times New Roman" w:hAnsi="Times New Roman" w:eastAsia="宋体" w:cs="Times New Roman"/>
                <w:highlight w:val="none"/>
                <w:lang w:val="en-US" w:eastAsia="zh-CN"/>
              </w:rPr>
              <w:t xml:space="preserve">184256514737 </w:t>
            </w:r>
          </w:p>
          <w:p w14:paraId="757005AB">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保证金到账截止时间同投标文件递交截止时间，交纳保证金时须在交易附言中注明：“滁州市第三污水处理厂分布式光伏工程施工项目”投标保证金。 </w:t>
            </w:r>
          </w:p>
          <w:p w14:paraId="4162EA8F">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注：各投标人请严格按照招标公告和招标文件载明的银行、账户汇入投标保证金，否则在开标时将无法查询保证金是否到账，导致评标委员会否决其投标！</w:t>
            </w:r>
          </w:p>
          <w:p w14:paraId="14C6C619">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Times New Roman" w:hAnsi="Times New Roman" w:eastAsia="宋体" w:cs="Times New Roman"/>
                <w:highlight w:val="none"/>
                <w:lang w:val="en-US" w:eastAsia="zh-CN"/>
              </w:rPr>
              <w:t>投标保证金退还期限：中标通知书发放后五个工作日内退还未中标单位的投标保证金，签订合同后五个工作日内退还中标单位的投标保证金。</w:t>
            </w:r>
          </w:p>
        </w:tc>
      </w:tr>
      <w:tr w14:paraId="711C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05DB97D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14:paraId="6F24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2E16C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招标人名称</w:t>
            </w:r>
          </w:p>
        </w:tc>
        <w:tc>
          <w:tcPr>
            <w:tcW w:w="7997" w:type="dxa"/>
            <w:noWrap w:val="0"/>
            <w:vAlign w:val="center"/>
          </w:tcPr>
          <w:p w14:paraId="2D2A6C29">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滁州市翼然新能源开发有限公司</w:t>
            </w:r>
            <w:r>
              <w:rPr>
                <w:rFonts w:hint="eastAsia" w:ascii="宋体" w:hAnsi="宋体" w:eastAsia="宋体" w:cs="宋体"/>
                <w:color w:val="auto"/>
                <w:kern w:val="0"/>
                <w:sz w:val="21"/>
                <w:szCs w:val="21"/>
                <w:highlight w:val="none"/>
                <w:lang w:eastAsia="zh-CN"/>
              </w:rPr>
              <w:t xml:space="preserve"> </w:t>
            </w:r>
          </w:p>
        </w:tc>
      </w:tr>
      <w:tr w14:paraId="5C15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A63B0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招标人地址</w:t>
            </w:r>
          </w:p>
        </w:tc>
        <w:tc>
          <w:tcPr>
            <w:tcW w:w="7997" w:type="dxa"/>
            <w:noWrap w:val="0"/>
            <w:vAlign w:val="center"/>
          </w:tcPr>
          <w:p w14:paraId="721F56AB">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安徽省滁州市南谯区中都大道1598号15层</w:t>
            </w:r>
          </w:p>
        </w:tc>
      </w:tr>
      <w:tr w14:paraId="53D1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C32FFC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招标人联系人</w:t>
            </w:r>
          </w:p>
        </w:tc>
        <w:tc>
          <w:tcPr>
            <w:tcW w:w="7997" w:type="dxa"/>
            <w:noWrap w:val="0"/>
            <w:vAlign w:val="center"/>
          </w:tcPr>
          <w:p w14:paraId="0CA615D4">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王以伟</w:t>
            </w:r>
          </w:p>
        </w:tc>
      </w:tr>
      <w:tr w14:paraId="79E3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C0D56E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招标人电话</w:t>
            </w:r>
          </w:p>
        </w:tc>
        <w:tc>
          <w:tcPr>
            <w:tcW w:w="7997" w:type="dxa"/>
            <w:noWrap w:val="0"/>
            <w:vAlign w:val="center"/>
          </w:tcPr>
          <w:p w14:paraId="0786EC85">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0550-2350288</w:t>
            </w:r>
          </w:p>
        </w:tc>
      </w:tr>
      <w:tr w14:paraId="555F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D32F6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招标代理机构名称</w:t>
            </w:r>
          </w:p>
        </w:tc>
        <w:tc>
          <w:tcPr>
            <w:tcW w:w="7997" w:type="dxa"/>
            <w:noWrap w:val="0"/>
            <w:vAlign w:val="center"/>
          </w:tcPr>
          <w:p w14:paraId="6FF9C0E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滁州市城投工程咨询管理有限公司</w:t>
            </w:r>
          </w:p>
        </w:tc>
      </w:tr>
      <w:tr w14:paraId="2D8B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C1F41F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招标代理机构地址</w:t>
            </w:r>
          </w:p>
        </w:tc>
        <w:tc>
          <w:tcPr>
            <w:tcW w:w="7997" w:type="dxa"/>
            <w:noWrap w:val="0"/>
            <w:vAlign w:val="center"/>
          </w:tcPr>
          <w:p w14:paraId="6D12C6B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滁州市龙蟠大道109号房产大厦6楼</w:t>
            </w:r>
            <w:r>
              <w:rPr>
                <w:rFonts w:hint="eastAsia" w:ascii="宋体" w:hAnsi="宋体" w:eastAsia="宋体" w:cs="宋体"/>
                <w:color w:val="auto"/>
                <w:sz w:val="21"/>
                <w:szCs w:val="21"/>
                <w:highlight w:val="none"/>
                <w:lang w:val="en-US" w:eastAsia="zh-CN"/>
              </w:rPr>
              <w:t>605室</w:t>
            </w:r>
          </w:p>
        </w:tc>
      </w:tr>
      <w:tr w14:paraId="5ECC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B2042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招标代理机构联系人</w:t>
            </w:r>
          </w:p>
        </w:tc>
        <w:tc>
          <w:tcPr>
            <w:tcW w:w="7997" w:type="dxa"/>
            <w:noWrap w:val="0"/>
            <w:vAlign w:val="center"/>
          </w:tcPr>
          <w:p w14:paraId="508420A3">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周蓓蕾</w:t>
            </w:r>
          </w:p>
        </w:tc>
      </w:tr>
      <w:tr w14:paraId="2DBA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D7E1BD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代理机构电话</w:t>
            </w:r>
          </w:p>
        </w:tc>
        <w:tc>
          <w:tcPr>
            <w:tcW w:w="7997" w:type="dxa"/>
            <w:noWrap w:val="0"/>
            <w:vAlign w:val="center"/>
          </w:tcPr>
          <w:p w14:paraId="57DEDBE8">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0550-3519519</w:t>
            </w:r>
            <w:r>
              <w:rPr>
                <w:rFonts w:hint="eastAsia" w:ascii="宋体" w:hAnsi="宋体" w:eastAsia="宋体" w:cs="宋体"/>
                <w:color w:val="auto"/>
                <w:sz w:val="21"/>
                <w:szCs w:val="21"/>
                <w:highlight w:val="none"/>
                <w:lang w:val="en-US" w:eastAsia="zh-CN"/>
              </w:rPr>
              <w:t>、18005505728</w:t>
            </w:r>
          </w:p>
        </w:tc>
      </w:tr>
    </w:tbl>
    <w:p w14:paraId="6E8DF290">
      <w:pPr>
        <w:jc w:val="left"/>
        <w:rPr>
          <w:highlight w:val="none"/>
        </w:rPr>
      </w:pPr>
    </w:p>
    <w:p w14:paraId="32A53F0D">
      <w:pPr>
        <w:pStyle w:val="44"/>
        <w:spacing w:beforeLines="50" w:afterLines="50" w:line="440" w:lineRule="exact"/>
        <w:rPr>
          <w:bCs/>
          <w:szCs w:val="32"/>
          <w:highlight w:val="none"/>
        </w:rPr>
      </w:pPr>
      <w:bookmarkStart w:id="32" w:name="_Toc78803321"/>
      <w:r>
        <w:rPr>
          <w:rFonts w:hint="eastAsia"/>
          <w:bCs/>
          <w:szCs w:val="32"/>
          <w:highlight w:val="none"/>
        </w:rPr>
        <w:br w:type="page"/>
      </w:r>
      <w:r>
        <w:rPr>
          <w:rFonts w:hint="eastAsia"/>
          <w:bCs/>
          <w:szCs w:val="32"/>
          <w:highlight w:val="none"/>
        </w:rPr>
        <w:t>第</w:t>
      </w:r>
      <w:r>
        <w:rPr>
          <w:rFonts w:hint="eastAsia"/>
          <w:bCs/>
          <w:szCs w:val="32"/>
          <w:highlight w:val="none"/>
          <w:lang w:val="en-US" w:eastAsia="zh-CN"/>
        </w:rPr>
        <w:t>二</w:t>
      </w:r>
      <w:r>
        <w:rPr>
          <w:rFonts w:hint="eastAsia"/>
          <w:bCs/>
          <w:szCs w:val="32"/>
          <w:highlight w:val="none"/>
        </w:rPr>
        <w:t>章  投标人须知</w:t>
      </w:r>
      <w:bookmarkEnd w:id="20"/>
      <w:bookmarkEnd w:id="21"/>
      <w:bookmarkEnd w:id="22"/>
      <w:bookmarkEnd w:id="23"/>
      <w:bookmarkEnd w:id="24"/>
      <w:bookmarkEnd w:id="25"/>
      <w:bookmarkEnd w:id="26"/>
      <w:bookmarkEnd w:id="27"/>
      <w:bookmarkEnd w:id="28"/>
      <w:bookmarkEnd w:id="29"/>
      <w:bookmarkEnd w:id="30"/>
      <w:bookmarkEnd w:id="31"/>
      <w:bookmarkEnd w:id="32"/>
    </w:p>
    <w:p w14:paraId="594BBBF6">
      <w:pPr>
        <w:spacing w:beforeLines="50" w:afterLines="50" w:line="440" w:lineRule="exact"/>
        <w:jc w:val="center"/>
        <w:rPr>
          <w:b/>
          <w:bCs/>
          <w:sz w:val="28"/>
          <w:szCs w:val="28"/>
          <w:highlight w:val="none"/>
        </w:rPr>
      </w:pPr>
      <w:bookmarkStart w:id="33" w:name="_Toc506107268"/>
      <w:bookmarkStart w:id="34" w:name="_Toc35424884"/>
      <w:bookmarkStart w:id="35" w:name="_Toc246996917"/>
      <w:bookmarkStart w:id="36" w:name="_Toc152042304"/>
      <w:bookmarkStart w:id="37" w:name="_Toc152045528"/>
      <w:bookmarkStart w:id="38" w:name="_Toc35425051"/>
      <w:bookmarkStart w:id="39" w:name="_Toc324404814"/>
      <w:bookmarkStart w:id="40" w:name="_Toc247085688"/>
      <w:bookmarkStart w:id="41" w:name="_Toc15058845"/>
      <w:bookmarkStart w:id="42" w:name="_Toc246996174"/>
      <w:bookmarkStart w:id="43" w:name="_Toc179632545"/>
      <w:bookmarkStart w:id="44" w:name="_Toc144974496"/>
      <w:r>
        <w:rPr>
          <w:rFonts w:hint="eastAsia"/>
          <w:b/>
          <w:bCs/>
          <w:sz w:val="28"/>
          <w:szCs w:val="28"/>
          <w:highlight w:val="none"/>
        </w:rPr>
        <w:t>投标人须知前附表</w:t>
      </w:r>
      <w:bookmarkEnd w:id="33"/>
      <w:bookmarkEnd w:id="34"/>
      <w:bookmarkEnd w:id="35"/>
      <w:bookmarkEnd w:id="36"/>
      <w:bookmarkEnd w:id="37"/>
      <w:bookmarkEnd w:id="38"/>
      <w:bookmarkEnd w:id="39"/>
      <w:bookmarkEnd w:id="40"/>
      <w:bookmarkEnd w:id="41"/>
      <w:bookmarkEnd w:id="42"/>
      <w:bookmarkEnd w:id="43"/>
      <w:bookmarkEnd w:id="44"/>
    </w:p>
    <w:tbl>
      <w:tblPr>
        <w:tblStyle w:val="47"/>
        <w:tblW w:w="10328" w:type="dxa"/>
        <w:jc w:val="center"/>
        <w:tblLayout w:type="fixed"/>
        <w:tblCellMar>
          <w:top w:w="0" w:type="dxa"/>
          <w:left w:w="108" w:type="dxa"/>
          <w:bottom w:w="0" w:type="dxa"/>
          <w:right w:w="108" w:type="dxa"/>
        </w:tblCellMar>
      </w:tblPr>
      <w:tblGrid>
        <w:gridCol w:w="868"/>
        <w:gridCol w:w="910"/>
        <w:gridCol w:w="1299"/>
        <w:gridCol w:w="7251"/>
      </w:tblGrid>
      <w:tr w14:paraId="37A3BBD6">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319F0F">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bookmarkStart w:id="45" w:name="_Toc247085689"/>
            <w:bookmarkStart w:id="46" w:name="_Toc246996175"/>
            <w:bookmarkStart w:id="47" w:name="_Toc179632546"/>
            <w:bookmarkStart w:id="48" w:name="_Toc144974497"/>
            <w:bookmarkStart w:id="49" w:name="_Toc152042305"/>
            <w:bookmarkStart w:id="50" w:name="_Toc506107269"/>
            <w:bookmarkStart w:id="51" w:name="_Toc324404815"/>
            <w:bookmarkStart w:id="52" w:name="_Toc152045529"/>
            <w:bookmarkStart w:id="53" w:name="_Toc246996918"/>
            <w:r>
              <w:rPr>
                <w:rFonts w:hint="eastAsia" w:ascii="宋体" w:hAnsi="宋体" w:cs="宋体"/>
                <w:b/>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109513C">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r>
              <w:rPr>
                <w:rFonts w:hint="eastAsia" w:ascii="宋体" w:hAnsi="宋体" w:cs="宋体"/>
                <w:b/>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5926BC">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r>
              <w:rPr>
                <w:rFonts w:hint="eastAsia" w:ascii="宋体" w:hAnsi="宋体" w:cs="宋体"/>
                <w:b/>
                <w:szCs w:val="21"/>
                <w:highlight w:val="none"/>
              </w:rPr>
              <w:t>编  列  内  容</w:t>
            </w:r>
          </w:p>
        </w:tc>
      </w:tr>
      <w:tr w14:paraId="399B882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EA00D8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4588F4B">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10407BB1">
            <w:pPr>
              <w:pStyle w:val="93"/>
              <w:keepNext w:val="0"/>
              <w:keepLines w:val="0"/>
              <w:pageBreakBefore w:val="0"/>
              <w:kinsoku/>
              <w:wordWrap/>
              <w:overflowPunct/>
              <w:autoSpaceDN/>
              <w:bidi w:val="0"/>
              <w:adjustRightInd w:val="0"/>
              <w:snapToGrid w:val="0"/>
              <w:spacing w:line="400" w:lineRule="exact"/>
              <w:jc w:val="left"/>
              <w:textAlignment w:val="auto"/>
              <w:rPr>
                <w:rFonts w:hint="eastAsia" w:eastAsia="宋体"/>
                <w:kern w:val="2"/>
                <w:sz w:val="21"/>
                <w:szCs w:val="21"/>
                <w:highlight w:val="none"/>
                <w:lang w:eastAsia="zh-CN"/>
              </w:rPr>
            </w:pPr>
            <w:r>
              <w:rPr>
                <w:rFonts w:hint="eastAsia" w:ascii="宋体" w:hAnsi="宋体" w:cs="宋体"/>
                <w:color w:val="auto"/>
                <w:sz w:val="21"/>
                <w:szCs w:val="21"/>
                <w:highlight w:val="none"/>
              </w:rPr>
              <w:t>见招标公告</w:t>
            </w:r>
          </w:p>
        </w:tc>
      </w:tr>
      <w:tr w14:paraId="2BB5094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F2ABC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88F0F1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10F9436F">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szCs w:val="21"/>
                <w:highlight w:val="none"/>
                <w:lang w:val="en-US" w:eastAsia="zh-CN"/>
              </w:rPr>
            </w:pPr>
            <w:r>
              <w:rPr>
                <w:rFonts w:hint="eastAsia" w:ascii="宋体" w:hAnsi="宋体" w:cs="宋体"/>
                <w:color w:val="auto"/>
                <w:sz w:val="21"/>
                <w:szCs w:val="21"/>
                <w:highlight w:val="none"/>
              </w:rPr>
              <w:t>见招标公告</w:t>
            </w:r>
          </w:p>
        </w:tc>
      </w:tr>
      <w:tr w14:paraId="6E88FEC4">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21D750">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1999A0">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3CF94C9C">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szCs w:val="21"/>
                <w:highlight w:val="none"/>
                <w:lang w:eastAsia="zh-CN"/>
              </w:rPr>
            </w:pPr>
            <w:r>
              <w:rPr>
                <w:rFonts w:hint="eastAsia" w:ascii="宋体" w:hAnsi="宋体" w:cs="宋体"/>
                <w:color w:val="auto"/>
                <w:sz w:val="21"/>
                <w:szCs w:val="21"/>
                <w:highlight w:val="none"/>
              </w:rPr>
              <w:t>见招标公告</w:t>
            </w:r>
          </w:p>
        </w:tc>
      </w:tr>
      <w:tr w14:paraId="0D5FE2E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C8FAF44">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0A58F7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7B346AFB">
            <w:pPr>
              <w:keepNext w:val="0"/>
              <w:keepLines w:val="0"/>
              <w:pageBreakBefore w:val="0"/>
              <w:kinsoku/>
              <w:wordWrap/>
              <w:overflowPunct/>
              <w:autoSpaceDN/>
              <w:bidi w:val="0"/>
              <w:adjustRightInd w:val="0"/>
              <w:snapToGrid w:val="0"/>
              <w:spacing w:line="400" w:lineRule="exact"/>
              <w:textAlignment w:val="auto"/>
              <w:rPr>
                <w:rFonts w:ascii="宋体" w:hAnsi="宋体" w:cs="宋体"/>
                <w:szCs w:val="21"/>
                <w:highlight w:val="none"/>
              </w:rPr>
            </w:pPr>
            <w:r>
              <w:rPr>
                <w:rFonts w:hint="eastAsia" w:ascii="宋体" w:hAnsi="宋体" w:cs="宋体"/>
                <w:color w:val="auto"/>
                <w:sz w:val="21"/>
                <w:szCs w:val="21"/>
                <w:highlight w:val="none"/>
              </w:rPr>
              <w:t>见招标公告</w:t>
            </w:r>
          </w:p>
        </w:tc>
      </w:tr>
      <w:tr w14:paraId="27E33739">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6EAEC2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CEC5559">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60460FF1">
            <w:pPr>
              <w:keepNext w:val="0"/>
              <w:keepLines w:val="0"/>
              <w:pageBreakBefore w:val="0"/>
              <w:kinsoku/>
              <w:wordWrap/>
              <w:overflowPunct/>
              <w:autoSpaceDN/>
              <w:bidi w:val="0"/>
              <w:adjustRightInd w:val="0"/>
              <w:snapToGrid w:val="0"/>
              <w:spacing w:line="400" w:lineRule="exact"/>
              <w:textAlignment w:val="auto"/>
              <w:rPr>
                <w:rFonts w:ascii="宋体" w:hAnsi="宋体" w:cs="宋体"/>
                <w:szCs w:val="21"/>
                <w:highlight w:val="none"/>
              </w:rPr>
            </w:pPr>
            <w:r>
              <w:rPr>
                <w:rFonts w:hint="eastAsia" w:ascii="宋体" w:hAnsi="宋体" w:cs="宋体"/>
                <w:color w:val="auto"/>
                <w:sz w:val="21"/>
                <w:szCs w:val="21"/>
                <w:highlight w:val="none"/>
                <w:lang w:val="en-US" w:eastAsia="zh-CN"/>
              </w:rPr>
              <w:t>已落实</w:t>
            </w:r>
          </w:p>
        </w:tc>
      </w:tr>
      <w:tr w14:paraId="64D296C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0EC8E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516917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6B3CA562">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color w:val="000000"/>
                <w:szCs w:val="21"/>
                <w:highlight w:val="none"/>
              </w:rPr>
              <w:t>见招标公告</w:t>
            </w:r>
          </w:p>
        </w:tc>
      </w:tr>
      <w:tr w14:paraId="4195E0D5">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ABF70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22F748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340D66FF">
            <w:pPr>
              <w:pStyle w:val="93"/>
              <w:keepNext w:val="0"/>
              <w:keepLines w:val="0"/>
              <w:pageBreakBefore w:val="0"/>
              <w:kinsoku/>
              <w:wordWrap/>
              <w:overflowPunct/>
              <w:autoSpaceDN/>
              <w:bidi w:val="0"/>
              <w:spacing w:line="400" w:lineRule="exact"/>
              <w:textAlignment w:val="auto"/>
              <w:rPr>
                <w:rFonts w:ascii="宋体" w:hAnsi="宋体" w:cs="宋体"/>
                <w:highlight w:val="none"/>
              </w:rPr>
            </w:pPr>
            <w:r>
              <w:rPr>
                <w:rFonts w:hint="eastAsia" w:ascii="宋体" w:hAnsi="宋体" w:cs="宋体"/>
                <w:color w:val="auto"/>
                <w:sz w:val="21"/>
                <w:szCs w:val="21"/>
                <w:highlight w:val="none"/>
              </w:rPr>
              <w:t>见招标公告</w:t>
            </w:r>
          </w:p>
        </w:tc>
      </w:tr>
      <w:tr w14:paraId="6E44BA5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B12E6D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9F9D96F">
            <w:pPr>
              <w:pageBreakBefore w:val="0"/>
              <w:kinsoku/>
              <w:wordWrap/>
              <w:overflowPunct/>
              <w:autoSpaceDE/>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计划工期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12C09492">
            <w:pPr>
              <w:pageBreakBefore w:val="0"/>
              <w:kinsoku/>
              <w:wordWrap/>
              <w:overflowPunct/>
              <w:autoSpaceDE/>
              <w:autoSpaceDN/>
              <w:bidi w:val="0"/>
              <w:adjustRightInd w:val="0"/>
              <w:snapToGrid w:val="0"/>
              <w:spacing w:line="4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计划工</w:t>
            </w:r>
            <w:r>
              <w:rPr>
                <w:rFonts w:hint="eastAsia" w:ascii="宋体" w:hAnsi="宋体" w:eastAsia="宋体" w:cs="宋体"/>
                <w:b/>
                <w:color w:val="auto"/>
                <w:sz w:val="21"/>
                <w:szCs w:val="21"/>
                <w:highlight w:val="none"/>
                <w:lang w:eastAsia="zh-CN"/>
              </w:rPr>
              <w:t>期：</w:t>
            </w:r>
            <w:r>
              <w:rPr>
                <w:rFonts w:hint="eastAsia" w:ascii="宋体" w:hAnsi="宋体" w:eastAsia="宋体" w:cs="宋体"/>
                <w:b/>
                <w:color w:val="auto"/>
                <w:sz w:val="21"/>
                <w:szCs w:val="21"/>
                <w:highlight w:val="none"/>
                <w:lang w:val="en-US" w:eastAsia="zh-CN"/>
              </w:rPr>
              <w:t>不高于</w:t>
            </w:r>
            <w:r>
              <w:rPr>
                <w:rFonts w:hint="eastAsia" w:ascii="宋体" w:hAnsi="宋体" w:cs="宋体"/>
                <w:b/>
                <w:color w:val="auto"/>
                <w:sz w:val="21"/>
                <w:szCs w:val="21"/>
                <w:highlight w:val="none"/>
                <w:u w:val="single"/>
                <w:lang w:val="en-US" w:eastAsia="zh-CN"/>
              </w:rPr>
              <w:t>90</w:t>
            </w:r>
            <w:r>
              <w:rPr>
                <w:rFonts w:hint="eastAsia" w:ascii="宋体" w:hAnsi="宋体" w:eastAsia="宋体" w:cs="宋体"/>
                <w:b/>
                <w:color w:val="auto"/>
                <w:sz w:val="21"/>
                <w:szCs w:val="21"/>
                <w:highlight w:val="none"/>
                <w:lang w:val="en-US" w:eastAsia="zh-CN"/>
              </w:rPr>
              <w:t>个日历天</w:t>
            </w:r>
            <w:r>
              <w:rPr>
                <w:rFonts w:hint="eastAsia" w:ascii="宋体" w:hAnsi="宋体" w:eastAsia="宋体" w:cs="宋体"/>
                <w:b/>
                <w:color w:val="auto"/>
                <w:sz w:val="21"/>
                <w:szCs w:val="21"/>
                <w:highlight w:val="none"/>
                <w:lang w:eastAsia="zh-CN"/>
              </w:rPr>
              <w:t>。</w:t>
            </w:r>
          </w:p>
          <w:p w14:paraId="385FC43D">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14:paraId="7365FC3B">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cs="宋体"/>
                <w:color w:val="auto"/>
                <w:szCs w:val="21"/>
                <w:highlight w:val="none"/>
              </w:rPr>
            </w:pPr>
            <w:r>
              <w:rPr>
                <w:rFonts w:hint="eastAsia" w:ascii="宋体" w:hAnsi="宋体" w:cs="宋体"/>
                <w:color w:val="auto"/>
                <w:sz w:val="21"/>
                <w:szCs w:val="21"/>
                <w:highlight w:val="none"/>
              </w:rPr>
              <w:t xml:space="preserve">计划竣工日期：双方签订合同时明确 </w:t>
            </w:r>
            <w:r>
              <w:rPr>
                <w:rFonts w:hint="eastAsia" w:ascii="Times New Roman" w:hAnsi="Times New Roman" w:eastAsia="宋体" w:cs="Times New Roman"/>
                <w:color w:val="auto"/>
                <w:highlight w:val="none"/>
                <w:lang w:val="en-US" w:eastAsia="zh-CN"/>
              </w:rPr>
              <w:t xml:space="preserve">  </w:t>
            </w:r>
            <w:r>
              <w:rPr>
                <w:rFonts w:hint="eastAsia" w:ascii="宋体" w:hAnsi="宋体" w:eastAsia="宋体" w:cs="宋体"/>
                <w:color w:val="auto"/>
                <w:sz w:val="21"/>
                <w:szCs w:val="21"/>
                <w:highlight w:val="none"/>
              </w:rPr>
              <w:t xml:space="preserve">       </w:t>
            </w:r>
          </w:p>
        </w:tc>
      </w:tr>
      <w:tr w14:paraId="4024D16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2B29A1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0FB8891">
            <w:pPr>
              <w:keepNext w:val="0"/>
              <w:keepLines w:val="0"/>
              <w:pageBreakBefore w:val="0"/>
              <w:kinsoku/>
              <w:wordWrap/>
              <w:overflowPunct/>
              <w:autoSpaceDN/>
              <w:bidi w:val="0"/>
              <w:spacing w:line="400" w:lineRule="exact"/>
              <w:jc w:val="center"/>
              <w:textAlignment w:val="auto"/>
              <w:rPr>
                <w:rFonts w:ascii="宋体" w:hAnsi="宋体" w:cs="宋体"/>
                <w:color w:val="FF0000"/>
                <w:szCs w:val="21"/>
                <w:highlight w:val="none"/>
              </w:rPr>
            </w:pPr>
            <w:r>
              <w:rPr>
                <w:rFonts w:hint="eastAsia" w:ascii="宋体" w:hAnsi="宋体" w:cs="宋体"/>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222B8DA3">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kern w:val="0"/>
                <w:szCs w:val="21"/>
              </w:rPr>
              <w:t>必须达到国家工程施工质量验收</w:t>
            </w:r>
            <w:r>
              <w:rPr>
                <w:rFonts w:hint="eastAsia" w:ascii="宋体" w:hAnsi="宋体" w:cs="宋体"/>
                <w:kern w:val="0"/>
                <w:szCs w:val="21"/>
                <w:u w:val="single"/>
              </w:rPr>
              <w:t xml:space="preserve"> 合格 </w:t>
            </w:r>
            <w:r>
              <w:rPr>
                <w:rFonts w:hint="eastAsia" w:ascii="宋体" w:hAnsi="宋体" w:cs="宋体"/>
                <w:kern w:val="0"/>
                <w:szCs w:val="21"/>
              </w:rPr>
              <w:t>标准</w:t>
            </w:r>
            <w:r>
              <w:rPr>
                <w:rFonts w:hint="eastAsia" w:ascii="宋体" w:hAnsi="宋体" w:cs="宋体"/>
                <w:szCs w:val="21"/>
              </w:rPr>
              <w:t xml:space="preserve">。 </w:t>
            </w:r>
          </w:p>
        </w:tc>
      </w:tr>
      <w:tr w14:paraId="0610F1B6">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6499B10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7F75B5F">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79A1E5A2">
            <w:pPr>
              <w:pStyle w:val="2"/>
              <w:keepNext w:val="0"/>
              <w:keepLines w:val="0"/>
              <w:pageBreakBefore w:val="0"/>
              <w:kinsoku/>
              <w:wordWrap/>
              <w:overflowPunct/>
              <w:autoSpaceDN/>
              <w:bidi w:val="0"/>
              <w:spacing w:line="400" w:lineRule="exact"/>
              <w:ind w:left="0" w:leftChars="0" w:firstLine="0" w:firstLineChars="0"/>
              <w:jc w:val="left"/>
              <w:textAlignment w:val="auto"/>
              <w:rPr>
                <w:rFonts w:hAnsi="宋体" w:cs="宋体"/>
                <w:szCs w:val="21"/>
                <w:highlight w:val="none"/>
                <w:u w:val="single"/>
              </w:rPr>
            </w:pPr>
            <w:r>
              <w:rPr>
                <w:rFonts w:hint="eastAsia" w:hAnsi="宋体" w:cs="宋体"/>
                <w:szCs w:val="21"/>
                <w:highlight w:val="none"/>
                <w:u w:val="single"/>
              </w:rPr>
              <w:t>见招标公告信息</w:t>
            </w:r>
          </w:p>
        </w:tc>
      </w:tr>
      <w:tr w14:paraId="34CDA60C">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193EBDF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BC1C10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00E3B91B">
            <w:pPr>
              <w:keepNext w:val="0"/>
              <w:keepLines w:val="0"/>
              <w:pageBreakBefore w:val="0"/>
              <w:kinsoku/>
              <w:wordWrap/>
              <w:overflowPunct/>
              <w:autoSpaceDN/>
              <w:bidi w:val="0"/>
              <w:spacing w:line="400" w:lineRule="exact"/>
              <w:textAlignment w:val="auto"/>
              <w:rPr>
                <w:rFonts w:ascii="宋体" w:hAnsi="宋体" w:cs="宋体"/>
                <w:kern w:val="0"/>
                <w:szCs w:val="21"/>
                <w:highlight w:val="none"/>
              </w:rPr>
            </w:pPr>
            <w:r>
              <w:rPr>
                <w:rFonts w:hint="eastAsia" w:ascii="宋体" w:hAnsi="宋体" w:cs="宋体"/>
                <w:kern w:val="0"/>
                <w:szCs w:val="21"/>
                <w:highlight w:val="none"/>
              </w:rPr>
              <w:t>见招标公告信息</w:t>
            </w:r>
          </w:p>
        </w:tc>
      </w:tr>
      <w:tr w14:paraId="52E33D5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2885CC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E7DF90">
            <w:pPr>
              <w:keepNext w:val="0"/>
              <w:keepLines w:val="0"/>
              <w:pageBreakBefore w:val="0"/>
              <w:kinsoku/>
              <w:wordWrap/>
              <w:overflowPunct/>
              <w:autoSpaceDN/>
              <w:bidi w:val="0"/>
              <w:spacing w:line="400" w:lineRule="exact"/>
              <w:jc w:val="center"/>
              <w:textAlignment w:val="auto"/>
              <w:rPr>
                <w:rFonts w:ascii="宋体" w:hAnsi="宋体" w:cs="宋体"/>
                <w:spacing w:val="-4"/>
                <w:kern w:val="0"/>
                <w:szCs w:val="21"/>
                <w:highlight w:val="none"/>
              </w:rPr>
            </w:pPr>
            <w:r>
              <w:rPr>
                <w:rFonts w:hint="eastAsia" w:ascii="宋体" w:hAnsi="宋体" w:cs="宋体"/>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2EB7922D">
            <w:pPr>
              <w:pStyle w:val="19"/>
              <w:keepNext w:val="0"/>
              <w:keepLines w:val="0"/>
              <w:pageBreakBefore w:val="0"/>
              <w:kinsoku/>
              <w:wordWrap/>
              <w:overflowPunct/>
              <w:topLinePunct/>
              <w:autoSpaceDN/>
              <w:bidi w:val="0"/>
              <w:spacing w:line="400" w:lineRule="exact"/>
              <w:textAlignment w:val="auto"/>
              <w:rPr>
                <w:rFonts w:hAnsi="宋体" w:cs="宋体"/>
                <w:spacing w:val="-4"/>
                <w:kern w:val="0"/>
                <w:sz w:val="21"/>
                <w:szCs w:val="21"/>
                <w:highlight w:val="none"/>
              </w:rPr>
            </w:pPr>
            <w:r>
              <w:rPr>
                <w:rFonts w:hint="eastAsia" w:hAnsi="宋体" w:cs="宋体"/>
                <w:sz w:val="21"/>
                <w:szCs w:val="21"/>
                <w:highlight w:val="none"/>
              </w:rPr>
              <w:t>☑</w:t>
            </w:r>
            <w:r>
              <w:rPr>
                <w:rFonts w:hint="eastAsia" w:hAnsi="宋体" w:cs="宋体"/>
                <w:spacing w:val="-4"/>
                <w:kern w:val="0"/>
                <w:sz w:val="21"/>
                <w:szCs w:val="21"/>
                <w:highlight w:val="none"/>
              </w:rPr>
              <w:t>不组织，投标人自行组织踏勘现场</w:t>
            </w:r>
            <w:r>
              <w:rPr>
                <w:rFonts w:hint="eastAsia" w:hAnsi="宋体" w:cs="宋体"/>
                <w:sz w:val="21"/>
                <w:szCs w:val="21"/>
                <w:highlight w:val="none"/>
              </w:rPr>
              <w:t>；□组织</w:t>
            </w:r>
          </w:p>
        </w:tc>
      </w:tr>
      <w:tr w14:paraId="5938BD5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77D58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9FD36A4">
            <w:pPr>
              <w:keepNext w:val="0"/>
              <w:keepLines w:val="0"/>
              <w:pageBreakBefore w:val="0"/>
              <w:kinsoku/>
              <w:wordWrap/>
              <w:overflowPunct/>
              <w:autoSpaceDN/>
              <w:bidi w:val="0"/>
              <w:spacing w:line="400" w:lineRule="exact"/>
              <w:jc w:val="center"/>
              <w:textAlignment w:val="auto"/>
              <w:rPr>
                <w:rFonts w:ascii="宋体" w:hAnsi="宋体" w:cs="宋体"/>
                <w:spacing w:val="-4"/>
                <w:kern w:val="0"/>
                <w:szCs w:val="21"/>
                <w:highlight w:val="none"/>
              </w:rPr>
            </w:pPr>
            <w:r>
              <w:rPr>
                <w:rFonts w:hint="eastAsia" w:ascii="宋体" w:hAnsi="宋体" w:cs="宋体"/>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3343207B">
            <w:pPr>
              <w:pStyle w:val="19"/>
              <w:keepNext w:val="0"/>
              <w:keepLines w:val="0"/>
              <w:pageBreakBefore w:val="0"/>
              <w:kinsoku/>
              <w:wordWrap/>
              <w:overflowPunct/>
              <w:topLinePunct/>
              <w:autoSpaceDN/>
              <w:bidi w:val="0"/>
              <w:spacing w:line="400" w:lineRule="exact"/>
              <w:textAlignment w:val="auto"/>
              <w:rPr>
                <w:rFonts w:hAnsi="宋体" w:cs="宋体"/>
                <w:spacing w:val="-4"/>
                <w:kern w:val="0"/>
                <w:sz w:val="21"/>
                <w:szCs w:val="21"/>
                <w:highlight w:val="none"/>
              </w:rPr>
            </w:pPr>
            <w:r>
              <w:rPr>
                <w:rFonts w:hint="eastAsia" w:hAnsi="宋体" w:cs="宋体"/>
                <w:sz w:val="21"/>
                <w:szCs w:val="21"/>
                <w:highlight w:val="none"/>
              </w:rPr>
              <w:t>☑</w:t>
            </w:r>
            <w:r>
              <w:rPr>
                <w:rFonts w:hint="eastAsia" w:hAnsi="宋体" w:cs="宋体"/>
                <w:spacing w:val="-4"/>
                <w:kern w:val="0"/>
                <w:sz w:val="21"/>
                <w:szCs w:val="21"/>
                <w:highlight w:val="none"/>
              </w:rPr>
              <w:t>不召开</w:t>
            </w:r>
            <w:r>
              <w:rPr>
                <w:rFonts w:hint="eastAsia" w:hAnsi="宋体" w:cs="宋体"/>
                <w:sz w:val="21"/>
                <w:szCs w:val="21"/>
                <w:highlight w:val="none"/>
              </w:rPr>
              <w:t>；□召开</w:t>
            </w:r>
          </w:p>
        </w:tc>
      </w:tr>
      <w:tr w14:paraId="1A70631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41845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11C62B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0FB0E6F2">
            <w:pPr>
              <w:pStyle w:val="24"/>
              <w:keepNext w:val="0"/>
              <w:keepLines w:val="0"/>
              <w:pageBreakBefore w:val="0"/>
              <w:kinsoku/>
              <w:wordWrap/>
              <w:overflowPunct/>
              <w:autoSpaceDN/>
              <w:bidi w:val="0"/>
              <w:spacing w:line="400" w:lineRule="exact"/>
              <w:textAlignment w:val="auto"/>
              <w:rPr>
                <w:rFonts w:hAnsi="宋体" w:cs="宋体"/>
                <w:szCs w:val="21"/>
                <w:highlight w:val="none"/>
              </w:rPr>
            </w:pPr>
            <w:r>
              <w:rPr>
                <w:rFonts w:hint="eastAsia" w:ascii="宋体" w:hAnsi="宋体" w:cs="宋体"/>
                <w:kern w:val="0"/>
                <w:szCs w:val="21"/>
                <w:highlight w:val="none"/>
              </w:rPr>
              <w:t>如投标人对招标文件有疑问，</w:t>
            </w:r>
            <w:r>
              <w:rPr>
                <w:rFonts w:hint="eastAsia" w:ascii="宋体" w:hAnsi="宋体" w:eastAsia="宋体" w:cs="宋体"/>
                <w:kern w:val="0"/>
                <w:szCs w:val="21"/>
                <w:highlight w:val="none"/>
              </w:rPr>
              <w:t>请于202</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年</w:t>
            </w:r>
            <w:r>
              <w:rPr>
                <w:rFonts w:hint="eastAsia" w:ascii="宋体" w:hAnsi="宋体" w:cs="宋体"/>
                <w:kern w:val="0"/>
                <w:szCs w:val="21"/>
                <w:highlight w:val="none"/>
                <w:lang w:val="en-US" w:eastAsia="zh-CN"/>
              </w:rPr>
              <w:t>10</w:t>
            </w:r>
            <w:r>
              <w:rPr>
                <w:rFonts w:hint="eastAsia" w:ascii="宋体" w:hAnsi="宋体" w:eastAsia="宋体" w:cs="宋体"/>
                <w:kern w:val="0"/>
                <w:szCs w:val="21"/>
                <w:highlight w:val="none"/>
              </w:rPr>
              <w:t>月</w:t>
            </w:r>
            <w:r>
              <w:rPr>
                <w:rFonts w:hint="eastAsia" w:ascii="宋体" w:hAnsi="宋体" w:cs="宋体"/>
                <w:kern w:val="0"/>
                <w:szCs w:val="21"/>
                <w:highlight w:val="none"/>
                <w:lang w:val="en-US" w:eastAsia="zh-CN"/>
              </w:rPr>
              <w:t>13</w:t>
            </w:r>
            <w:r>
              <w:rPr>
                <w:rFonts w:hint="eastAsia" w:ascii="宋体" w:hAnsi="宋体" w:eastAsia="宋体" w:cs="宋体"/>
                <w:kern w:val="0"/>
                <w:szCs w:val="21"/>
                <w:highlight w:val="none"/>
              </w:rPr>
              <w:t>日17时前</w:t>
            </w:r>
            <w:r>
              <w:rPr>
                <w:rFonts w:hint="eastAsia" w:ascii="宋体" w:hAnsi="宋体" w:eastAsia="宋体" w:cs="宋体"/>
                <w:color w:val="auto"/>
                <w:szCs w:val="21"/>
                <w:highlight w:val="none"/>
                <w:lang w:val="en-US" w:eastAsia="zh-CN"/>
              </w:rPr>
              <w:t>登录新点电子交易平台【滁州专区】线上提出</w:t>
            </w:r>
            <w:r>
              <w:rPr>
                <w:rFonts w:ascii="宋体" w:hAnsi="宋体" w:eastAsia="宋体" w:cs="宋体"/>
                <w:color w:val="auto"/>
                <w:highlight w:val="none"/>
              </w:rPr>
              <w:t>。</w:t>
            </w:r>
          </w:p>
        </w:tc>
      </w:tr>
      <w:tr w14:paraId="2634A73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D7940D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F9A4559">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3EA44CCA">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eastAsia="宋体" w:cs="宋体"/>
                <w:b w:val="0"/>
                <w:bCs w:val="0"/>
                <w:color w:val="000000"/>
                <w:kern w:val="2"/>
                <w:sz w:val="21"/>
                <w:szCs w:val="21"/>
                <w:highlight w:val="none"/>
                <w:u w:color="000000"/>
                <w:lang w:val="en-US" w:eastAsia="zh-CN" w:bidi="ar"/>
              </w:rPr>
              <w:t>招标人将在202</w:t>
            </w:r>
            <w:r>
              <w:rPr>
                <w:rFonts w:hint="eastAsia" w:ascii="宋体" w:hAnsi="宋体" w:cs="宋体"/>
                <w:b w:val="0"/>
                <w:bCs w:val="0"/>
                <w:color w:val="000000"/>
                <w:kern w:val="2"/>
                <w:sz w:val="21"/>
                <w:szCs w:val="21"/>
                <w:highlight w:val="none"/>
                <w:u w:color="000000"/>
                <w:lang w:val="en-US" w:eastAsia="zh-CN" w:bidi="ar"/>
              </w:rPr>
              <w:t>5</w:t>
            </w:r>
            <w:r>
              <w:rPr>
                <w:rFonts w:hint="eastAsia" w:ascii="宋体" w:hAnsi="宋体" w:eastAsia="宋体" w:cs="宋体"/>
                <w:b w:val="0"/>
                <w:bCs w:val="0"/>
                <w:color w:val="000000"/>
                <w:kern w:val="2"/>
                <w:sz w:val="21"/>
                <w:szCs w:val="21"/>
                <w:highlight w:val="none"/>
                <w:u w:color="000000"/>
                <w:lang w:val="en-US" w:eastAsia="zh-CN" w:bidi="ar"/>
              </w:rPr>
              <w:t>年</w:t>
            </w:r>
            <w:r>
              <w:rPr>
                <w:rFonts w:hint="eastAsia" w:ascii="宋体" w:hAnsi="宋体" w:cs="宋体"/>
                <w:b w:val="0"/>
                <w:bCs w:val="0"/>
                <w:color w:val="000000"/>
                <w:kern w:val="2"/>
                <w:sz w:val="21"/>
                <w:szCs w:val="21"/>
                <w:highlight w:val="none"/>
                <w:u w:color="000000"/>
                <w:lang w:val="en-US" w:eastAsia="zh-CN" w:bidi="ar"/>
              </w:rPr>
              <w:t>10</w:t>
            </w:r>
            <w:r>
              <w:rPr>
                <w:rFonts w:hint="eastAsia" w:ascii="宋体" w:hAnsi="宋体" w:eastAsia="宋体" w:cs="宋体"/>
                <w:b w:val="0"/>
                <w:bCs w:val="0"/>
                <w:color w:val="000000"/>
                <w:kern w:val="2"/>
                <w:sz w:val="21"/>
                <w:szCs w:val="21"/>
                <w:highlight w:val="none"/>
                <w:u w:color="000000"/>
                <w:lang w:val="en-US" w:eastAsia="zh-CN" w:bidi="ar"/>
              </w:rPr>
              <w:t>月</w:t>
            </w:r>
            <w:r>
              <w:rPr>
                <w:rFonts w:hint="eastAsia" w:ascii="宋体" w:hAnsi="宋体" w:cs="宋体"/>
                <w:b w:val="0"/>
                <w:bCs w:val="0"/>
                <w:color w:val="000000"/>
                <w:kern w:val="2"/>
                <w:sz w:val="21"/>
                <w:szCs w:val="21"/>
                <w:highlight w:val="none"/>
                <w:u w:color="000000"/>
                <w:lang w:val="en-US" w:eastAsia="zh-CN" w:bidi="ar"/>
              </w:rPr>
              <w:t>14</w:t>
            </w:r>
            <w:r>
              <w:rPr>
                <w:rFonts w:hint="eastAsia" w:ascii="宋体" w:hAnsi="宋体" w:eastAsia="宋体" w:cs="宋体"/>
                <w:b w:val="0"/>
                <w:bCs w:val="0"/>
                <w:color w:val="000000"/>
                <w:kern w:val="2"/>
                <w:sz w:val="21"/>
                <w:szCs w:val="21"/>
                <w:highlight w:val="none"/>
                <w:u w:color="000000"/>
                <w:lang w:val="en-US" w:eastAsia="zh-CN" w:bidi="ar"/>
              </w:rPr>
              <w:t>日17时后以澄清公告形式在滁州市城投工程咨询管理有限公司网站（</w:t>
            </w:r>
            <w:r>
              <w:rPr>
                <w:rFonts w:hint="eastAsia" w:ascii="宋体" w:hAnsi="宋体" w:cs="宋体"/>
                <w:b w:val="0"/>
                <w:bCs w:val="0"/>
                <w:color w:val="000000"/>
                <w:kern w:val="2"/>
                <w:sz w:val="21"/>
                <w:szCs w:val="21"/>
                <w:highlight w:val="none"/>
                <w:u w:color="000000"/>
                <w:lang w:val="en-US" w:eastAsia="zh-CN" w:bidi="ar"/>
              </w:rPr>
              <w:t>https://www.czctgczx.com/</w:t>
            </w:r>
            <w:r>
              <w:rPr>
                <w:rFonts w:hint="eastAsia" w:ascii="宋体" w:hAnsi="宋体" w:eastAsia="宋体" w:cs="宋体"/>
                <w:b w:val="0"/>
                <w:bCs w:val="0"/>
                <w:color w:val="000000"/>
                <w:kern w:val="2"/>
                <w:sz w:val="21"/>
                <w:szCs w:val="21"/>
                <w:highlight w:val="none"/>
                <w:u w:color="000000"/>
                <w:lang w:val="en-US" w:eastAsia="zh-CN" w:bidi="ar"/>
              </w:rPr>
              <w:t>）发布，但不指明澄清问题的来源。如果澄清内容影响投标文件编制的，将相应延长投标截止时间。</w:t>
            </w:r>
          </w:p>
        </w:tc>
      </w:tr>
      <w:tr w14:paraId="5AD993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ACCAE5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671273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6F323E2E">
            <w:pPr>
              <w:pStyle w:val="19"/>
              <w:keepNext w:val="0"/>
              <w:keepLines w:val="0"/>
              <w:pageBreakBefore w:val="0"/>
              <w:kinsoku/>
              <w:wordWrap/>
              <w:overflowPunct/>
              <w:topLinePunct/>
              <w:autoSpaceDN/>
              <w:bidi w:val="0"/>
              <w:spacing w:line="400" w:lineRule="exact"/>
              <w:textAlignment w:val="auto"/>
              <w:rPr>
                <w:rFonts w:hAnsi="宋体" w:cs="宋体"/>
                <w:sz w:val="21"/>
                <w:szCs w:val="21"/>
                <w:highlight w:val="none"/>
              </w:rPr>
            </w:pPr>
            <w:r>
              <w:rPr>
                <w:rFonts w:hint="eastAsia"/>
                <w:highlight w:val="none"/>
              </w:rPr>
              <w:t>☑</w:t>
            </w:r>
            <w:r>
              <w:rPr>
                <w:rFonts w:hint="eastAsia" w:hAnsi="宋体" w:cs="宋体"/>
                <w:sz w:val="21"/>
                <w:szCs w:val="21"/>
                <w:highlight w:val="none"/>
              </w:rPr>
              <w:t>不允许；□允许</w:t>
            </w:r>
          </w:p>
        </w:tc>
      </w:tr>
      <w:tr w14:paraId="462F3D5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61C053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7653BA3">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07A7DB3C">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招标澄清答疑文件等。</w:t>
            </w:r>
          </w:p>
        </w:tc>
      </w:tr>
      <w:tr w14:paraId="132ABAE6">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9A34F7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04F20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11154714">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同本表第13条</w:t>
            </w:r>
          </w:p>
        </w:tc>
      </w:tr>
      <w:tr w14:paraId="2A3378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49441D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0782B1E">
            <w:pPr>
              <w:pageBreakBefore w:val="0"/>
              <w:kinsoku/>
              <w:wordWrap/>
              <w:overflowPunct/>
              <w:autoSpaceDE/>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7FFE1B90">
            <w:pPr>
              <w:pageBreakBefore w:val="0"/>
              <w:kinsoku/>
              <w:wordWrap/>
              <w:overflowPunct/>
              <w:autoSpaceDE/>
              <w:autoSpaceDN/>
              <w:bidi w:val="0"/>
              <w:adjustRightInd w:val="0"/>
              <w:snapToGrid w:val="0"/>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u w:val="none"/>
              </w:rPr>
              <w:t>有</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公布的最高投标限价：</w:t>
            </w:r>
            <w:r>
              <w:rPr>
                <w:rFonts w:hint="eastAsia" w:ascii="宋体" w:hAnsi="宋体" w:cs="宋体"/>
                <w:color w:val="auto"/>
                <w:szCs w:val="21"/>
                <w:highlight w:val="none"/>
                <w:u w:val="single"/>
                <w:lang w:val="en-US" w:eastAsia="zh-CN"/>
              </w:rPr>
              <w:t>1183042.87</w:t>
            </w:r>
            <w:r>
              <w:rPr>
                <w:rFonts w:hint="eastAsia" w:ascii="宋体" w:hAnsi="宋体" w:eastAsia="宋体" w:cs="宋体"/>
                <w:color w:val="auto"/>
                <w:sz w:val="21"/>
                <w:szCs w:val="21"/>
                <w:highlight w:val="none"/>
              </w:rPr>
              <w:t>元。</w:t>
            </w:r>
          </w:p>
          <w:p w14:paraId="62B51156">
            <w:pPr>
              <w:pageBreakBefore w:val="0"/>
              <w:kinsoku/>
              <w:wordWrap/>
              <w:overflowPunct/>
              <w:autoSpaceDE/>
              <w:autoSpaceDN/>
              <w:bidi w:val="0"/>
              <w:adjustRightInd w:val="0"/>
              <w:snapToGrid w:val="0"/>
              <w:spacing w:line="440" w:lineRule="exact"/>
              <w:textAlignment w:val="auto"/>
              <w:rPr>
                <w:rFonts w:hint="default" w:ascii="宋体" w:hAnsi="宋体" w:eastAsia="宋体" w:cs="宋体"/>
                <w:b/>
                <w:color w:val="auto"/>
                <w:szCs w:val="21"/>
                <w:highlight w:val="none"/>
                <w:u w:val="single"/>
                <w:lang w:val="en-US" w:eastAsia="zh-CN"/>
              </w:rPr>
            </w:pPr>
            <w:r>
              <w:rPr>
                <w:rFonts w:hint="eastAsia" w:ascii="宋体" w:hAnsi="宋体" w:eastAsia="宋体" w:cs="宋体"/>
                <w:color w:val="auto"/>
                <w:sz w:val="21"/>
                <w:szCs w:val="21"/>
                <w:highlight w:val="none"/>
                <w:lang w:val="en-US" w:eastAsia="zh-CN"/>
              </w:rPr>
              <w:t>注：投标报价小数点后最多保留两位小数，如填报多位小数的，按小数点后第3位四舍五入修正投标报价。</w:t>
            </w:r>
          </w:p>
        </w:tc>
      </w:tr>
      <w:tr w14:paraId="6F126AF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A3375F5">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836684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3E143A0C">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投标有效期为</w:t>
            </w:r>
            <w:r>
              <w:rPr>
                <w:rFonts w:hint="eastAsia" w:ascii="宋体" w:hAnsi="宋体" w:cs="宋体"/>
                <w:szCs w:val="21"/>
                <w:highlight w:val="none"/>
                <w:u w:val="single"/>
              </w:rPr>
              <w:t>90</w:t>
            </w:r>
            <w:r>
              <w:rPr>
                <w:rFonts w:hint="eastAsia" w:ascii="宋体" w:hAnsi="宋体" w:cs="宋体"/>
                <w:szCs w:val="21"/>
                <w:highlight w:val="none"/>
              </w:rPr>
              <w:t>日历天（从投标截止之日算起）。在此期限内，凡符合本招标文件要求的投标文件均保持有效。</w:t>
            </w:r>
          </w:p>
        </w:tc>
      </w:tr>
      <w:tr w14:paraId="45AEDE17">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B6B29F">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0129E9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28186690">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详见招标公告信息</w:t>
            </w:r>
          </w:p>
        </w:tc>
      </w:tr>
      <w:tr w14:paraId="6E11FCA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739992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0DF28D">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5AFD1E77">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投标文件须按格式文件要求签字或盖章。否则经评委会一致认定后，按照无效投标处理。</w:t>
            </w:r>
          </w:p>
        </w:tc>
      </w:tr>
      <w:tr w14:paraId="2A0476EF">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596DF0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CA3299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62AE54">
            <w:pPr>
              <w:pStyle w:val="2"/>
              <w:keepNext w:val="0"/>
              <w:keepLines w:val="0"/>
              <w:pageBreakBefore w:val="0"/>
              <w:kinsoku/>
              <w:wordWrap/>
              <w:overflowPunct/>
              <w:autoSpaceDN/>
              <w:bidi w:val="0"/>
              <w:spacing w:line="400" w:lineRule="exact"/>
              <w:ind w:left="0" w:leftChars="0" w:firstLine="0" w:firstLineChars="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本项目仅接受投标人在投标截止时间前登录新点电子交易平台【滁州专区】（https://www.etrading.cn/BREpointSSO/login/oauth2login?regioncode=DQ_ChuZhou）交易系统递交的加密电子投标文件。</w:t>
            </w:r>
          </w:p>
          <w:p w14:paraId="59E67BFB">
            <w:pPr>
              <w:pStyle w:val="2"/>
              <w:keepNext w:val="0"/>
              <w:keepLines w:val="0"/>
              <w:pageBreakBefore w:val="0"/>
              <w:kinsoku/>
              <w:wordWrap/>
              <w:overflowPunct/>
              <w:autoSpaceDN/>
              <w:bidi w:val="0"/>
              <w:spacing w:line="400" w:lineRule="exact"/>
              <w:ind w:left="0" w:leftChars="0" w:firstLine="0" w:firstLineChars="0"/>
              <w:textAlignment w:val="auto"/>
              <w:rPr>
                <w:highlight w:val="none"/>
              </w:rPr>
            </w:pPr>
            <w:r>
              <w:rPr>
                <w:rFonts w:hint="eastAsia" w:ascii="宋体" w:hAnsi="宋体" w:eastAsia="宋体" w:cs="宋体"/>
                <w:b/>
                <w:bCs/>
                <w:i w:val="0"/>
                <w:iCs w:val="0"/>
                <w:color w:val="auto"/>
                <w:kern w:val="0"/>
                <w:sz w:val="21"/>
                <w:szCs w:val="21"/>
                <w:highlight w:val="none"/>
                <w:u w:val="single"/>
              </w:rPr>
              <w:t>（投标人中标后须递交与网上电子投标文件完全一致的纸质版投标文件，并按要求加盖单位章；</w:t>
            </w:r>
            <w:r>
              <w:rPr>
                <w:rFonts w:hint="eastAsia" w:ascii="宋体" w:hAnsi="宋体" w:cs="宋体"/>
                <w:b/>
                <w:bCs/>
                <w:i w:val="0"/>
                <w:iCs w:val="0"/>
                <w:color w:val="auto"/>
                <w:kern w:val="0"/>
                <w:sz w:val="21"/>
                <w:szCs w:val="21"/>
                <w:highlight w:val="none"/>
                <w:u w:val="single"/>
              </w:rPr>
              <w:t>份数：正本1份，副本</w:t>
            </w:r>
            <w:r>
              <w:rPr>
                <w:rFonts w:hint="eastAsia" w:ascii="宋体" w:hAnsi="宋体" w:cs="宋体"/>
                <w:b/>
                <w:bCs/>
                <w:i w:val="0"/>
                <w:iCs w:val="0"/>
                <w:color w:val="auto"/>
                <w:kern w:val="0"/>
                <w:sz w:val="21"/>
                <w:szCs w:val="21"/>
                <w:highlight w:val="none"/>
                <w:u w:val="single"/>
                <w:lang w:val="en-US" w:eastAsia="zh-CN"/>
              </w:rPr>
              <w:t>2</w:t>
            </w:r>
            <w:r>
              <w:rPr>
                <w:rFonts w:hint="eastAsia" w:ascii="宋体" w:hAnsi="宋体" w:cs="宋体"/>
                <w:b/>
                <w:bCs/>
                <w:i w:val="0"/>
                <w:iCs w:val="0"/>
                <w:color w:val="auto"/>
                <w:kern w:val="0"/>
                <w:sz w:val="21"/>
                <w:szCs w:val="21"/>
                <w:highlight w:val="none"/>
                <w:u w:val="single"/>
              </w:rPr>
              <w:t>份；中标单位领取中标通知书时，一并递交给代理机构）</w:t>
            </w:r>
          </w:p>
        </w:tc>
      </w:tr>
      <w:tr w14:paraId="0DE33C57">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0C592D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54E8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color w:val="auto"/>
                <w:sz w:val="21"/>
                <w:szCs w:val="21"/>
                <w:highlight w:val="none"/>
              </w:rPr>
              <w:t>投标文件提交截止时间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49C7DBFE">
            <w:pPr>
              <w:keepNext w:val="0"/>
              <w:keepLines w:val="0"/>
              <w:pageBreakBefore w:val="0"/>
              <w:kinsoku/>
              <w:wordWrap/>
              <w:overflowPunct/>
              <w:autoSpaceDN/>
              <w:bidi w:val="0"/>
              <w:spacing w:line="400" w:lineRule="exac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在 202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年</w:t>
            </w:r>
            <w:r>
              <w:rPr>
                <w:rFonts w:hint="eastAsia" w:ascii="宋体" w:hAnsi="宋体" w:cs="宋体"/>
                <w:szCs w:val="21"/>
                <w:highlight w:val="none"/>
                <w:lang w:val="en-US" w:eastAsia="zh-CN"/>
              </w:rPr>
              <w:t>10</w:t>
            </w:r>
            <w:r>
              <w:rPr>
                <w:rFonts w:hint="eastAsia" w:ascii="宋体" w:hAnsi="宋体" w:eastAsia="宋体" w:cs="宋体"/>
                <w:szCs w:val="21"/>
                <w:highlight w:val="none"/>
              </w:rPr>
              <w:t>月</w:t>
            </w:r>
            <w:r>
              <w:rPr>
                <w:rFonts w:hint="eastAsia" w:ascii="宋体" w:hAnsi="宋体" w:cs="宋体"/>
                <w:szCs w:val="21"/>
                <w:highlight w:val="none"/>
                <w:lang w:val="en-US" w:eastAsia="zh-CN"/>
              </w:rPr>
              <w:t>20</w:t>
            </w:r>
            <w:r>
              <w:rPr>
                <w:rFonts w:hint="eastAsia" w:ascii="宋体" w:hAnsi="宋体" w:eastAsia="宋体" w:cs="宋体"/>
                <w:szCs w:val="21"/>
                <w:highlight w:val="none"/>
              </w:rPr>
              <w:t>日</w:t>
            </w:r>
            <w:r>
              <w:rPr>
                <w:rFonts w:hint="eastAsia" w:ascii="宋体" w:hAnsi="宋体" w:eastAsia="宋体" w:cs="宋体"/>
                <w:szCs w:val="21"/>
                <w:highlight w:val="none"/>
                <w:lang w:val="en-US" w:eastAsia="zh-CN"/>
              </w:rPr>
              <w:t>15</w:t>
            </w:r>
            <w:r>
              <w:rPr>
                <w:rFonts w:hint="eastAsia" w:ascii="宋体" w:hAnsi="宋体" w:eastAsia="宋体" w:cs="宋体"/>
                <w:szCs w:val="21"/>
                <w:highlight w:val="none"/>
              </w:rPr>
              <w:t>时00分（北京时间）</w:t>
            </w:r>
          </w:p>
        </w:tc>
      </w:tr>
      <w:tr w14:paraId="13689E4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12D8F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C2F970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49837F3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2"/>
                <w:sz w:val="21"/>
                <w:szCs w:val="21"/>
                <w:highlight w:val="none"/>
                <w:u w:color="000000"/>
                <w:lang w:val="en-US" w:eastAsia="zh-CN" w:bidi="ar"/>
              </w:rPr>
              <w:t>否</w:t>
            </w:r>
          </w:p>
        </w:tc>
      </w:tr>
      <w:tr w14:paraId="3E085A9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99301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7A3327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55159CA4">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开标时间：同投标截止时间</w:t>
            </w:r>
          </w:p>
          <w:p w14:paraId="7D5F050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Times New Roman" w:hAnsi="Times New Roman" w:eastAsia="宋体" w:cs="Times New Roman"/>
                <w:highlight w:val="none"/>
                <w:lang w:val="en-US" w:eastAsia="zh-CN"/>
              </w:rPr>
            </w:pPr>
            <w:r>
              <w:rPr>
                <w:rFonts w:hint="eastAsia" w:ascii="宋体" w:hAnsi="宋体" w:eastAsia="宋体" w:cs="宋体"/>
                <w:color w:val="auto"/>
                <w:szCs w:val="21"/>
                <w:highlight w:val="none"/>
                <w:lang w:val="en-US" w:eastAsia="zh-CN"/>
              </w:rPr>
              <w:t>方式：</w:t>
            </w:r>
            <w:r>
              <w:rPr>
                <w:rFonts w:hint="eastAsia" w:ascii="Times New Roman" w:hAnsi="Times New Roman" w:eastAsia="宋体" w:cs="Times New Roman"/>
                <w:highlight w:val="none"/>
                <w:lang w:val="en-US" w:eastAsia="zh-CN"/>
              </w:rPr>
              <w:t>采用不见面开标，投标人登录滁州市城投工程咨询有限公司不见面开标系统参与网上开标（网址：</w:t>
            </w:r>
            <w:r>
              <w:rPr>
                <w:rFonts w:hint="eastAsia" w:ascii="Times New Roman" w:hAnsi="Times New Roman" w:eastAsia="宋体" w:cs="Times New Roman"/>
                <w:highlight w:val="none"/>
                <w:lang w:val="en-US" w:eastAsia="zh-CN"/>
              </w:rPr>
              <w:fldChar w:fldCharType="begin"/>
            </w:r>
            <w:r>
              <w:rPr>
                <w:rFonts w:hint="eastAsia" w:ascii="Times New Roman" w:hAnsi="Times New Roman" w:eastAsia="宋体" w:cs="Times New Roman"/>
                <w:highlight w:val="none"/>
                <w:lang w:val="en-US" w:eastAsia="zh-CN"/>
              </w:rPr>
              <w:instrText xml:space="preserve"> HYPERLINK "http://js.etrading.cn/EpointBidOpening/bidopeninghallaction/hall/login）。" </w:instrText>
            </w:r>
            <w:r>
              <w:rPr>
                <w:rFonts w:hint="eastAsia" w:ascii="Times New Roman" w:hAnsi="Times New Roman" w:eastAsia="宋体" w:cs="Times New Roman"/>
                <w:highlight w:val="none"/>
                <w:lang w:val="en-US" w:eastAsia="zh-CN"/>
              </w:rPr>
              <w:fldChar w:fldCharType="separate"/>
            </w:r>
            <w:r>
              <w:rPr>
                <w:rStyle w:val="58"/>
                <w:rFonts w:hint="eastAsia" w:ascii="Times New Roman" w:hAnsi="Times New Roman" w:eastAsia="宋体" w:cs="Times New Roman"/>
                <w:highlight w:val="none"/>
                <w:lang w:val="en-US" w:eastAsia="zh-CN"/>
              </w:rPr>
              <w:t>http://js.etrading.cn/EpointBidOpening/bidopeninghallaction/hall/login）。</w:t>
            </w:r>
            <w:r>
              <w:rPr>
                <w:rFonts w:hint="eastAsia" w:ascii="Times New Roman" w:hAnsi="Times New Roman" w:eastAsia="宋体" w:cs="Times New Roman"/>
                <w:highlight w:val="none"/>
                <w:lang w:val="en-US" w:eastAsia="zh-CN"/>
              </w:rPr>
              <w:fldChar w:fldCharType="end"/>
            </w:r>
          </w:p>
          <w:p w14:paraId="58E2D2E2">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解密时间：投标人须</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rPr>
              <w:t xml:space="preserve"> 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20</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u w:val="single"/>
                <w:lang w:val="en-US" w:eastAsia="zh-CN"/>
              </w:rPr>
              <w:t>15</w:t>
            </w:r>
            <w:r>
              <w:rPr>
                <w:rFonts w:hint="eastAsia" w:ascii="宋体" w:hAnsi="宋体" w:eastAsia="宋体" w:cs="宋体"/>
                <w:color w:val="auto"/>
                <w:szCs w:val="21"/>
                <w:highlight w:val="none"/>
                <w:u w:val="single"/>
                <w:lang w:eastAsia="zh-CN"/>
              </w:rPr>
              <w:t>时</w:t>
            </w:r>
            <w:r>
              <w:rPr>
                <w:rFonts w:hint="eastAsia" w:ascii="宋体" w:hAnsi="宋体" w:cs="宋体"/>
                <w:color w:val="auto"/>
                <w:szCs w:val="21"/>
                <w:highlight w:val="none"/>
                <w:u w:val="single"/>
                <w:lang w:val="en-US" w:eastAsia="zh-CN"/>
              </w:rPr>
              <w:t>00</w:t>
            </w:r>
            <w:r>
              <w:rPr>
                <w:rFonts w:hint="eastAsia" w:ascii="宋体" w:hAnsi="宋体" w:eastAsia="宋体" w:cs="宋体"/>
                <w:color w:val="auto"/>
                <w:szCs w:val="21"/>
                <w:highlight w:val="none"/>
                <w:u w:val="single"/>
                <w:lang w:eastAsia="zh-CN"/>
              </w:rPr>
              <w:t>分</w:t>
            </w:r>
            <w:r>
              <w:rPr>
                <w:rFonts w:hint="eastAsia" w:ascii="宋体" w:hAnsi="宋体" w:eastAsia="宋体" w:cs="宋体"/>
                <w:color w:val="auto"/>
                <w:szCs w:val="21"/>
                <w:highlight w:val="none"/>
                <w:u w:val="single"/>
                <w:lang w:val="en-US" w:eastAsia="zh-CN"/>
              </w:rPr>
              <w:t>至</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20</w:t>
            </w:r>
            <w:bookmarkStart w:id="1055" w:name="_GoBack"/>
            <w:bookmarkEnd w:id="1055"/>
            <w:r>
              <w:rPr>
                <w:rFonts w:hint="eastAsia" w:ascii="宋体" w:hAnsi="宋体" w:eastAsia="宋体" w:cs="宋体"/>
                <w:color w:val="auto"/>
                <w:szCs w:val="21"/>
                <w:highlight w:val="none"/>
                <w:u w:val="single"/>
              </w:rPr>
              <w:t>日1</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时</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0分</w:t>
            </w:r>
            <w:r>
              <w:rPr>
                <w:rFonts w:hint="eastAsia" w:ascii="宋体" w:hAnsi="宋体" w:eastAsia="宋体" w:cs="宋体"/>
                <w:color w:val="auto"/>
                <w:szCs w:val="21"/>
                <w:highlight w:val="none"/>
                <w:u w:val="single"/>
                <w:lang w:val="en-US" w:eastAsia="zh-CN"/>
              </w:rPr>
              <w:t>解密；未在规定时间内完成解密的，退回其投标文件；如有因系统因系统原因造成的故障，代理机构可申请延迟解密时间。</w:t>
            </w:r>
          </w:p>
        </w:tc>
      </w:tr>
      <w:tr w14:paraId="1992B37A">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95919A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C8E87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4FB8EA5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5625472C">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F3A70F5">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8336E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1846547D">
            <w:pPr>
              <w:keepNext w:val="0"/>
              <w:keepLines w:val="0"/>
              <w:pageBreakBefore w:val="0"/>
              <w:kinsoku/>
              <w:wordWrap/>
              <w:overflowPunct/>
              <w:autoSpaceDE/>
              <w:autoSpaceDN/>
              <w:bidi w:val="0"/>
              <w:spacing w:line="400" w:lineRule="exact"/>
              <w:textAlignment w:val="auto"/>
              <w:rPr>
                <w:rFonts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评标委员会由招标人依法组建。</w:t>
            </w:r>
          </w:p>
        </w:tc>
      </w:tr>
      <w:tr w14:paraId="7BAECC9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DBFFAA">
            <w:pPr>
              <w:keepNext w:val="0"/>
              <w:keepLines w:val="0"/>
              <w:pageBreakBefore w:val="0"/>
              <w:kinsoku/>
              <w:wordWrap/>
              <w:overflowPunct/>
              <w:autoSpaceDN/>
              <w:bidi w:val="0"/>
              <w:spacing w:line="400" w:lineRule="exact"/>
              <w:jc w:val="center"/>
              <w:textAlignment w:val="auto"/>
              <w:rPr>
                <w:rFonts w:ascii="宋体" w:hAnsi="宋体" w:cs="宋体"/>
                <w:b/>
                <w:bCs/>
                <w:szCs w:val="21"/>
                <w:highlight w:val="none"/>
              </w:rPr>
            </w:pPr>
            <w:r>
              <w:rPr>
                <w:rFonts w:hint="eastAsia" w:ascii="宋体" w:hAnsi="宋体" w:cs="宋体"/>
                <w:szCs w:val="21"/>
                <w:highlight w:val="none"/>
              </w:rPr>
              <w:t>28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E747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3FF3BC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0948E9B2">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CAD3EA1">
            <w:pPr>
              <w:keepNext w:val="0"/>
              <w:keepLines w:val="0"/>
              <w:pageBreakBefore w:val="0"/>
              <w:kinsoku/>
              <w:wordWrap/>
              <w:overflowPunct/>
              <w:autoSpaceDN/>
              <w:bidi w:val="0"/>
              <w:spacing w:line="40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29</w:t>
            </w:r>
          </w:p>
        </w:tc>
        <w:tc>
          <w:tcPr>
            <w:tcW w:w="2209" w:type="dxa"/>
            <w:gridSpan w:val="2"/>
            <w:tcBorders>
              <w:top w:val="single" w:color="auto" w:sz="4" w:space="0"/>
              <w:left w:val="single" w:color="auto" w:sz="4" w:space="0"/>
              <w:right w:val="single" w:color="auto" w:sz="4" w:space="0"/>
            </w:tcBorders>
            <w:noWrap/>
            <w:vAlign w:val="center"/>
          </w:tcPr>
          <w:p w14:paraId="397DB27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14:paraId="5A0118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62635D2D">
            <w:pPr>
              <w:keepNext w:val="0"/>
              <w:keepLines w:val="0"/>
              <w:pageBreakBefore w:val="0"/>
              <w:kinsoku/>
              <w:wordWrap/>
              <w:overflowPunct/>
              <w:autoSpaceDE/>
              <w:autoSpaceDN/>
              <w:bidi w:val="0"/>
              <w:spacing w:line="400" w:lineRule="exact"/>
              <w:textAlignment w:val="auto"/>
              <w:rPr>
                <w:rFonts w:ascii="宋体" w:hAnsi="宋体" w:cs="宋体"/>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5598C43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AF264B2">
            <w:pPr>
              <w:keepNext w:val="0"/>
              <w:keepLines w:val="0"/>
              <w:pageBreakBefore w:val="0"/>
              <w:kinsoku/>
              <w:wordWrap/>
              <w:overflowPunct/>
              <w:autoSpaceDN/>
              <w:bidi w:val="0"/>
              <w:spacing w:line="40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30</w:t>
            </w:r>
          </w:p>
        </w:tc>
        <w:tc>
          <w:tcPr>
            <w:tcW w:w="2209" w:type="dxa"/>
            <w:gridSpan w:val="2"/>
            <w:tcBorders>
              <w:top w:val="single" w:color="auto" w:sz="4" w:space="0"/>
              <w:left w:val="single" w:color="auto" w:sz="4" w:space="0"/>
              <w:right w:val="single" w:color="auto" w:sz="4" w:space="0"/>
            </w:tcBorders>
            <w:noWrap/>
            <w:vAlign w:val="center"/>
          </w:tcPr>
          <w:p w14:paraId="46AD0919">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000000"/>
                <w:kern w:val="2"/>
                <w:sz w:val="21"/>
                <w:szCs w:val="21"/>
                <w:highlight w:val="none"/>
                <w:lang w:val="en-US" w:eastAsia="zh-CN" w:bidi="ar-SA"/>
              </w:rPr>
            </w:pPr>
            <w:r>
              <w:rPr>
                <w:rFonts w:hint="eastAsia"/>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6F0D809A">
            <w:pPr>
              <w:keepNext w:val="0"/>
              <w:keepLines w:val="0"/>
              <w:pageBreakBefore w:val="0"/>
              <w:widowControl/>
              <w:kinsoku/>
              <w:wordWrap/>
              <w:overflowPunct/>
              <w:autoSpaceDE/>
              <w:autoSpaceDN/>
              <w:bidi w:val="0"/>
              <w:adjustRightInd w:val="0"/>
              <w:snapToGrid w:val="0"/>
              <w:spacing w:line="400" w:lineRule="exact"/>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u w:color="000000"/>
                <w:lang w:val="en-US" w:eastAsia="zh-CN" w:bidi="ar"/>
              </w:rPr>
              <w:t>中标通知书须加盖招标人、招标代理公司公章后发出。</w:t>
            </w:r>
          </w:p>
        </w:tc>
      </w:tr>
      <w:tr w14:paraId="036C355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0D4AB66">
            <w:pPr>
              <w:keepNext w:val="0"/>
              <w:keepLines w:val="0"/>
              <w:pageBreakBefore w:val="0"/>
              <w:kinsoku/>
              <w:wordWrap/>
              <w:overflowPunct/>
              <w:autoSpaceDN/>
              <w:bidi w:val="0"/>
              <w:spacing w:line="40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BDAC4D">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57A14FB2">
            <w:pPr>
              <w:keepNext w:val="0"/>
              <w:keepLines w:val="0"/>
              <w:pageBreakBefore w:val="0"/>
              <w:kinsoku/>
              <w:wordWrap/>
              <w:overflowPunct/>
              <w:autoSpaceDE/>
              <w:autoSpaceDN/>
              <w:bidi w:val="0"/>
              <w:spacing w:line="40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履约担保的形式：支持银行转账、银行保函（见索即付无条件保函）、担保保函、商业保险、第三方担保（无条件担保）使用</w:t>
            </w:r>
          </w:p>
          <w:p w14:paraId="64302322">
            <w:pPr>
              <w:keepNext w:val="0"/>
              <w:keepLines w:val="0"/>
              <w:pageBreakBefore w:val="0"/>
              <w:kinsoku/>
              <w:wordWrap/>
              <w:overflowPunct/>
              <w:autoSpaceDE/>
              <w:autoSpaceDN/>
              <w:bidi w:val="0"/>
              <w:spacing w:line="400" w:lineRule="exact"/>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履约担保的金额：</w:t>
            </w:r>
            <w:r>
              <w:rPr>
                <w:rFonts w:hint="eastAsia" w:ascii="宋体" w:hAnsi="宋体" w:eastAsia="宋体" w:cs="宋体"/>
                <w:bCs/>
                <w:color w:val="auto"/>
                <w:szCs w:val="21"/>
                <w:highlight w:val="none"/>
              </w:rPr>
              <w:t>中标合同金额×2%</w:t>
            </w:r>
          </w:p>
          <w:p w14:paraId="4F22EBF8">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420B8239">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7A8F1231">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6A6E6589">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缴纳时限：中标人须在中标通知书发出后30日内完成履约保证金缴纳及合同签订（先缴纳履约保证金后签合同）。中标单位原因造成合同延期签订的，延期签订情节严重的，招标人有权取消其中标资格。并承担给招标人造成的损失，同时依法承担相应法律责任。   </w:t>
            </w:r>
          </w:p>
          <w:p w14:paraId="7AD6BAEA">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履约保证金退还时限：履约保证金在工程竣工验收合格后一个月内无息退还。</w:t>
            </w:r>
          </w:p>
          <w:p w14:paraId="1944A556">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其他相关要求：</w:t>
            </w:r>
          </w:p>
          <w:p w14:paraId="5A2E52CB">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1、采用银行保函的具体要求:按招标人要求提供</w:t>
            </w:r>
          </w:p>
          <w:p w14:paraId="0404B97A">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2、采用担保保函的具体要求：按招标人要求提供</w:t>
            </w:r>
          </w:p>
          <w:p w14:paraId="75072C65">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3、采用商业保险的具体要求：按招标人要求提供</w:t>
            </w:r>
          </w:p>
          <w:p w14:paraId="3E915FC8">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ascii="宋体" w:hAnsi="宋体" w:cs="宋体"/>
                <w:color w:val="auto"/>
                <w:szCs w:val="21"/>
                <w:highlight w:val="none"/>
              </w:rPr>
            </w:pPr>
            <w:r>
              <w:rPr>
                <w:rFonts w:hint="eastAsia" w:ascii="宋体" w:hAnsi="宋体" w:eastAsia="宋体" w:cs="宋体"/>
                <w:color w:val="auto"/>
                <w:sz w:val="21"/>
                <w:szCs w:val="21"/>
                <w:highlight w:val="none"/>
                <w:lang w:val="en-US" w:eastAsia="zh-CN"/>
              </w:rPr>
              <w:t>4、采用第三方担保的具体要求：按招标人要求提供</w:t>
            </w:r>
          </w:p>
        </w:tc>
      </w:tr>
      <w:tr w14:paraId="35ED23D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0D14238">
            <w:pPr>
              <w:keepNext w:val="0"/>
              <w:keepLines w:val="0"/>
              <w:pageBreakBefore w:val="0"/>
              <w:kinsoku/>
              <w:wordWrap/>
              <w:overflowPunct/>
              <w:autoSpaceDN/>
              <w:bidi w:val="0"/>
              <w:spacing w:line="400" w:lineRule="exact"/>
              <w:jc w:val="center"/>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32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E77DE9E">
            <w:pPr>
              <w:adjustRightInd w:val="0"/>
              <w:snapToGrid w:val="0"/>
              <w:spacing w:line="560" w:lineRule="exact"/>
              <w:jc w:val="center"/>
              <w:rPr>
                <w:rFonts w:hint="eastAsia" w:ascii="宋体" w:hAnsi="宋体" w:cs="宋体"/>
                <w:color w:val="auto"/>
                <w:szCs w:val="21"/>
                <w:highlight w:val="none"/>
              </w:rPr>
            </w:pPr>
            <w:r>
              <w:rPr>
                <w:rFonts w:hint="eastAsia"/>
                <w:color w:val="000000"/>
                <w:sz w:val="24"/>
              </w:rPr>
              <w:t>签订合同</w:t>
            </w:r>
          </w:p>
        </w:tc>
        <w:tc>
          <w:tcPr>
            <w:tcW w:w="7251" w:type="dxa"/>
            <w:tcBorders>
              <w:top w:val="single" w:color="auto" w:sz="4" w:space="0"/>
              <w:left w:val="single" w:color="auto" w:sz="4" w:space="0"/>
              <w:bottom w:val="single" w:color="auto" w:sz="4" w:space="0"/>
              <w:right w:val="single" w:color="auto" w:sz="4" w:space="0"/>
            </w:tcBorders>
            <w:noWrap/>
            <w:vAlign w:val="top"/>
          </w:tcPr>
          <w:p w14:paraId="3C6915AB">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Cs w:val="21"/>
                <w:highlight w:val="none"/>
              </w:rPr>
              <w:t>中标通知书发出之日起</w:t>
            </w:r>
            <w:r>
              <w:rPr>
                <w:rFonts w:hint="eastAsia" w:ascii="宋体" w:hAnsi="宋体" w:eastAsia="宋体" w:cs="宋体"/>
                <w:bCs/>
                <w:color w:val="auto"/>
                <w:szCs w:val="21"/>
                <w:highlight w:val="none"/>
                <w:u w:val="single"/>
                <w:lang w:val="en-US" w:eastAsia="zh-CN"/>
              </w:rPr>
              <w:t>10</w:t>
            </w:r>
            <w:r>
              <w:rPr>
                <w:rFonts w:hint="eastAsia" w:ascii="宋体" w:hAnsi="宋体" w:eastAsia="宋体" w:cs="宋体"/>
                <w:bCs/>
                <w:color w:val="auto"/>
                <w:szCs w:val="21"/>
                <w:highlight w:val="none"/>
              </w:rPr>
              <w:t>日内，应委派代表与招标人联系并商讨书面合同签订事宜。中标人和招标人应在投标有效期内以及中标通知书发出之日起30日内，根据招标文件和中标人的投标文件订立书面合同。</w:t>
            </w:r>
          </w:p>
        </w:tc>
      </w:tr>
      <w:tr w14:paraId="1717AE69">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4FFCA40">
            <w:pPr>
              <w:keepNext w:val="0"/>
              <w:keepLines w:val="0"/>
              <w:pageBreakBefore w:val="0"/>
              <w:kinsoku/>
              <w:wordWrap/>
              <w:overflowPunct/>
              <w:autoSpaceDN/>
              <w:bidi w:val="0"/>
              <w:spacing w:line="40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E6E11B">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4B2F89E6">
            <w:pPr>
              <w:spacing w:line="420" w:lineRule="exact"/>
              <w:rPr>
                <w:rFonts w:ascii="宋体" w:hAnsi="宋体" w:cs="宋体"/>
                <w:color w:val="auto"/>
                <w:szCs w:val="21"/>
                <w:highlight w:val="none"/>
              </w:rPr>
            </w:pPr>
            <w:r>
              <w:rPr>
                <w:rFonts w:hint="eastAsia" w:ascii="宋体" w:hAnsi="宋体" w:eastAsia="宋体" w:cs="宋体"/>
                <w:color w:val="auto"/>
                <w:szCs w:val="21"/>
                <w:highlight w:val="none"/>
                <w:lang w:val="en-US" w:eastAsia="zh-CN"/>
              </w:rPr>
              <w:t>在具备施工条件的前提下，招标人在合同签订后一个月内或不迟于约定的开工日期前7天内预付工程款为</w:t>
            </w:r>
            <w:r>
              <w:rPr>
                <w:rFonts w:hint="eastAsia" w:ascii="宋体" w:hAnsi="宋体" w:cs="宋体"/>
                <w:color w:val="auto"/>
                <w:szCs w:val="21"/>
                <w:highlight w:val="none"/>
                <w:lang w:val="en-US" w:eastAsia="zh-CN"/>
              </w:rPr>
              <w:t>签约</w:t>
            </w:r>
            <w:r>
              <w:rPr>
                <w:rFonts w:hint="eastAsia" w:ascii="宋体" w:hAnsi="宋体" w:eastAsia="宋体" w:cs="宋体"/>
                <w:color w:val="auto"/>
                <w:szCs w:val="21"/>
                <w:highlight w:val="none"/>
                <w:lang w:val="en-US" w:eastAsia="zh-CN"/>
              </w:rPr>
              <w:t>合同总价的10%；完成全容量</w:t>
            </w:r>
            <w:r>
              <w:rPr>
                <w:rFonts w:hint="eastAsia" w:ascii="宋体" w:hAnsi="宋体" w:cs="宋体"/>
                <w:color w:val="auto"/>
                <w:szCs w:val="21"/>
                <w:highlight w:val="none"/>
                <w:lang w:val="en-US" w:eastAsia="zh-CN"/>
              </w:rPr>
              <w:t>发电</w:t>
            </w:r>
            <w:r>
              <w:rPr>
                <w:rFonts w:hint="eastAsia" w:ascii="宋体" w:hAnsi="宋体" w:eastAsia="宋体" w:cs="宋体"/>
                <w:color w:val="auto"/>
                <w:szCs w:val="21"/>
                <w:highlight w:val="none"/>
                <w:lang w:val="en-US" w:eastAsia="zh-CN"/>
              </w:rPr>
              <w:t>并网</w:t>
            </w:r>
            <w:r>
              <w:rPr>
                <w:rFonts w:hint="eastAsia" w:ascii="宋体" w:hAnsi="宋体" w:cs="宋体"/>
                <w:color w:val="auto"/>
                <w:szCs w:val="21"/>
                <w:highlight w:val="none"/>
                <w:lang w:val="en-US" w:eastAsia="zh-CN"/>
              </w:rPr>
              <w:t>验收付至签约合同价的90%（同期扣除预付工程款）；</w:t>
            </w:r>
            <w:r>
              <w:rPr>
                <w:rFonts w:hint="eastAsia" w:ascii="宋体" w:hAnsi="宋体" w:eastAsia="宋体" w:cs="宋体"/>
                <w:color w:val="auto"/>
                <w:szCs w:val="21"/>
                <w:highlight w:val="none"/>
                <w:lang w:val="en-US" w:eastAsia="zh-CN"/>
              </w:rPr>
              <w:t>项目</w:t>
            </w:r>
            <w:r>
              <w:rPr>
                <w:rFonts w:hint="eastAsia" w:ascii="宋体" w:hAnsi="宋体" w:cs="宋体"/>
                <w:color w:val="auto"/>
                <w:szCs w:val="21"/>
                <w:highlight w:val="none"/>
                <w:lang w:val="en-US" w:eastAsia="zh-CN"/>
              </w:rPr>
              <w:t>竣工</w:t>
            </w:r>
            <w:r>
              <w:rPr>
                <w:rFonts w:hint="eastAsia" w:ascii="宋体" w:hAnsi="宋体" w:eastAsia="宋体" w:cs="宋体"/>
                <w:color w:val="auto"/>
                <w:szCs w:val="21"/>
                <w:highlight w:val="none"/>
                <w:lang w:val="en-US" w:eastAsia="zh-CN"/>
              </w:rPr>
              <w:t>验收合格</w:t>
            </w:r>
            <w:r>
              <w:rPr>
                <w:rFonts w:hint="eastAsia" w:ascii="宋体" w:hAnsi="宋体" w:cs="宋体"/>
                <w:color w:val="auto"/>
                <w:szCs w:val="21"/>
                <w:highlight w:val="none"/>
                <w:lang w:val="en-US" w:eastAsia="zh-CN"/>
              </w:rPr>
              <w:t>后，经</w:t>
            </w:r>
            <w:r>
              <w:rPr>
                <w:rFonts w:hint="eastAsia" w:ascii="宋体" w:hAnsi="宋体" w:eastAsia="宋体" w:cs="宋体"/>
                <w:color w:val="auto"/>
                <w:szCs w:val="21"/>
                <w:highlight w:val="none"/>
                <w:lang w:val="en-US" w:eastAsia="zh-CN"/>
              </w:rPr>
              <w:t>工程结算审核完成付至</w:t>
            </w:r>
            <w:r>
              <w:rPr>
                <w:rFonts w:hint="eastAsia" w:ascii="宋体" w:hAnsi="宋体" w:cs="宋体"/>
                <w:color w:val="auto"/>
                <w:szCs w:val="21"/>
                <w:highlight w:val="none"/>
                <w:lang w:val="en-US" w:eastAsia="zh-CN"/>
              </w:rPr>
              <w:t>工程审计结算</w:t>
            </w:r>
            <w:r>
              <w:rPr>
                <w:rFonts w:hint="eastAsia" w:ascii="宋体" w:hAnsi="宋体" w:eastAsia="宋体" w:cs="宋体"/>
                <w:color w:val="auto"/>
                <w:szCs w:val="21"/>
                <w:highlight w:val="none"/>
                <w:lang w:val="en-US" w:eastAsia="zh-CN"/>
              </w:rPr>
              <w:t>价款的</w:t>
            </w:r>
            <w:r>
              <w:rPr>
                <w:rFonts w:hint="default" w:ascii="宋体" w:hAnsi="宋体" w:eastAsia="宋体" w:cs="宋体"/>
                <w:color w:val="auto"/>
                <w:szCs w:val="21"/>
                <w:highlight w:val="none"/>
                <w:lang w:val="en-US" w:eastAsia="zh-CN"/>
              </w:rPr>
              <w:t>98%</w:t>
            </w:r>
            <w:r>
              <w:rPr>
                <w:rFonts w:hint="eastAsia" w:ascii="宋体" w:hAnsi="宋体" w:eastAsia="宋体" w:cs="宋体"/>
                <w:color w:val="auto"/>
                <w:szCs w:val="21"/>
                <w:highlight w:val="none"/>
                <w:lang w:val="en-US" w:eastAsia="zh-CN"/>
              </w:rPr>
              <w:t>，剩余</w:t>
            </w:r>
            <w:r>
              <w:rPr>
                <w:rFonts w:hint="default"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en-US" w:eastAsia="zh-CN"/>
              </w:rPr>
              <w:t xml:space="preserve">作为质保金，工程缺陷责任期 </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自竣工验收合格之日起满2年</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满后付清余款。质量保证金支持保函（银行保函、担保机构担保、保证保险）使用。采用保函的不再从工程进度款中扣留质量保证金，保函有效期须与工程缺陷责任期截止时间保持一致。</w:t>
            </w:r>
          </w:p>
        </w:tc>
      </w:tr>
      <w:tr w14:paraId="7129CE18">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3E3A6409">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14:paraId="2AA9094C">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1490EC4">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2B12792">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5641</w:t>
            </w:r>
            <w:r>
              <w:rPr>
                <w:rFonts w:hint="eastAsia" w:ascii="宋体" w:hAnsi="宋体" w:cs="宋体"/>
                <w:color w:val="auto"/>
                <w:kern w:val="0"/>
                <w:szCs w:val="21"/>
                <w:highlight w:val="none"/>
              </w:rPr>
              <w:t>元。</w:t>
            </w:r>
          </w:p>
          <w:p w14:paraId="7550C2A5">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w:t>
            </w:r>
            <w:r>
              <w:rPr>
                <w:rFonts w:hint="eastAsia" w:ascii="宋体" w:hAnsi="宋体" w:cs="宋体"/>
                <w:color w:val="auto"/>
                <w:kern w:val="0"/>
                <w:szCs w:val="21"/>
                <w:highlight w:val="none"/>
              </w:rPr>
              <w:t>由中标单位在领取中标通知书时，一次性支付给代理机构。</w:t>
            </w:r>
          </w:p>
        </w:tc>
      </w:tr>
      <w:tr w14:paraId="0E8F1554">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B3101E2">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cs="宋体"/>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F5FAE4A">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0376B137">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宋体"/>
                <w:color w:val="auto"/>
                <w:kern w:val="0"/>
                <w:szCs w:val="21"/>
                <w:highlight w:val="none"/>
                <w:lang w:val="en-US"/>
              </w:rPr>
            </w:pPr>
            <w:r>
              <w:rPr>
                <w:rFonts w:hint="eastAsia"/>
                <w:color w:val="auto"/>
                <w:sz w:val="21"/>
                <w:szCs w:val="21"/>
                <w:highlight w:val="none"/>
              </w:rPr>
              <w:t>支付主体：</w:t>
            </w:r>
            <w:r>
              <w:rPr>
                <w:rFonts w:hint="eastAsia" w:cs="Times New Roman"/>
                <w:color w:val="auto"/>
                <w:sz w:val="21"/>
                <w:szCs w:val="21"/>
                <w:highlight w:val="none"/>
                <w:lang w:val="en-US" w:eastAsia="zh-CN"/>
              </w:rPr>
              <w:t>中标单位。</w:t>
            </w:r>
          </w:p>
        </w:tc>
      </w:tr>
      <w:tr w14:paraId="0533584B">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C774CFE">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主要材料要求</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BE80A5B">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主要</w:t>
            </w:r>
            <w:r>
              <w:rPr>
                <w:rFonts w:hint="eastAsia" w:ascii="宋体" w:hAnsi="宋体" w:eastAsia="宋体" w:cs="宋体"/>
                <w:color w:val="auto"/>
                <w:sz w:val="21"/>
                <w:szCs w:val="21"/>
                <w:highlight w:val="none"/>
                <w:lang w:val="en-US"/>
              </w:rPr>
              <w:t>材料由中标人自行采购</w:t>
            </w:r>
            <w:r>
              <w:rPr>
                <w:rFonts w:hint="eastAsia" w:ascii="宋体" w:hAnsi="宋体" w:cs="宋体"/>
                <w:bCs/>
                <w:color w:val="auto"/>
                <w:szCs w:val="21"/>
                <w:highlight w:val="none"/>
                <w:lang w:val="en-US" w:eastAsia="zh-CN"/>
              </w:rPr>
              <w:t>（光伏组件和逆变器由招标人提供）</w:t>
            </w:r>
          </w:p>
          <w:p w14:paraId="0C7E66E0">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1、本工程采用商品砼。</w:t>
            </w:r>
          </w:p>
          <w:p w14:paraId="4F62A9D2">
            <w:pPr>
              <w:keepNext w:val="0"/>
              <w:keepLines w:val="0"/>
              <w:pageBreakBefore w:val="0"/>
              <w:kinsoku/>
              <w:wordWrap/>
              <w:overflowPunct/>
              <w:autoSpaceDN/>
              <w:bidi w:val="0"/>
              <w:adjustRightInd w:val="0"/>
              <w:snapToGrid w:val="0"/>
              <w:spacing w:line="400" w:lineRule="exact"/>
              <w:textAlignment w:val="auto"/>
              <w:rPr>
                <w:rFonts w:hint="eastAsia"/>
                <w:color w:val="auto"/>
                <w:sz w:val="21"/>
                <w:szCs w:val="21"/>
                <w:highlight w:val="none"/>
              </w:rPr>
            </w:pPr>
            <w:r>
              <w:rPr>
                <w:rFonts w:hint="eastAsia" w:ascii="宋体" w:hAnsi="宋体" w:eastAsia="宋体" w:cs="宋体"/>
                <w:color w:val="auto"/>
                <w:sz w:val="21"/>
                <w:szCs w:val="21"/>
                <w:highlight w:val="none"/>
                <w:lang w:val="en-US"/>
              </w:rPr>
              <w:t>2、本项目采用预拌砂浆。</w:t>
            </w:r>
          </w:p>
        </w:tc>
      </w:tr>
      <w:tr w14:paraId="749E41E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2A0DB8A">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相关要求</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03DA450">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、承包人在工程实施过程中的用工行为，必须严格按照《保障农民工工资支付条例》（国务院令 第724号）、《安徽省人民政府办公厅关于全面治理拖欠农民工工资问题的实施意见》（皖政办〔2016〕22号）以及《贯彻落实&lt;工程建设领域农民工工资专用账户管理暂行办法&gt;的通知》（皖人社发〔2022〕5号）、《安徽省工程建设领域农民工工资保证金实施办法》（皖人社发〔2022〕8号）等文件精神的有关规定，依法与招用的农民工签订劳动合同，并按规定及时足额支付工资。</w:t>
            </w:r>
          </w:p>
          <w:p w14:paraId="7FBF0C07">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为切实保障建筑行业农民工工资支付、加快培育新时代建筑产业工人队伍、有效破解拖欠工程款问题，承包人应严格落实安徽省住建厅《关于建立长效机制切实保障建筑行业农民工工资支付工作的通知》（建市函〔2022〕490号），《关于加快培育和壮大我省建筑产业工人队伍的意见》（建市规〔2023〕1号）以及《关于印发〈安徽省房屋建筑和市政基础设施工程施工过程结算管理办法〉 的通知》（建市规〔2023〕2号）等文件要求。</w:t>
            </w:r>
          </w:p>
          <w:p w14:paraId="4BAC1587">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执行《贯彻落实&lt;工程建设领域农民工工资专用账户管理暂行办法&gt;的通知》（皖人社发〔2022〕5号），其中工资保证金和工资专户由工程建设项目的施工总承包企业（包括直接承包建设单位发包工程的专业承包企业）缴存和开设。若为联合体中标，由联合体中牵头人缴存和开设专户。</w:t>
            </w:r>
          </w:p>
          <w:p w14:paraId="15461FFC">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、保证保险产品应按《中国银保监会办公厅关于进一步加强和改进财产保险公司产品监管有关问题的通知》执行。</w:t>
            </w:r>
          </w:p>
        </w:tc>
      </w:tr>
      <w:tr w14:paraId="48F0B8E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7F2E76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Cs w:val="21"/>
                <w:highlight w:val="none"/>
              </w:rPr>
            </w:pPr>
            <w:r>
              <w:rPr>
                <w:rFonts w:hint="eastAsia" w:ascii="宋体" w:hAnsi="Times New Roman" w:eastAsia="宋体" w:cs="Times New Roman"/>
                <w:color w:val="auto"/>
                <w:sz w:val="21"/>
                <w:szCs w:val="21"/>
                <w:highlight w:val="none"/>
              </w:rPr>
              <w:t>解释权</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1A245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5ED4FD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7B0A50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0D3ADB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szCs w:val="21"/>
                <w:highlight w:val="none"/>
                <w:lang w:val="en-US" w:eastAsia="zh-CN"/>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2FCA490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5FC7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Cs w:val="21"/>
                <w:highlight w:val="none"/>
              </w:rPr>
            </w:pPr>
            <w:r>
              <w:rPr>
                <w:rFonts w:hint="eastAsia" w:ascii="宋体" w:hAnsi="Times New Roman" w:eastAsia="宋体" w:cs="Times New Roman"/>
                <w:color w:val="auto"/>
                <w:sz w:val="21"/>
                <w:szCs w:val="21"/>
                <w:highlight w:val="none"/>
              </w:rPr>
              <w:t>同义词语</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3E729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szCs w:val="21"/>
                <w:highlight w:val="none"/>
                <w:lang w:val="en-US" w:eastAsia="zh-CN"/>
              </w:rPr>
            </w:pPr>
            <w:r>
              <w:rPr>
                <w:rFonts w:hint="eastAsia" w:ascii="宋体" w:hAnsi="Times New Roman" w:eastAsia="宋体" w:cs="Times New Roman"/>
                <w:color w:val="auto"/>
                <w:sz w:val="21"/>
                <w:szCs w:val="21"/>
                <w:highlight w:val="none"/>
              </w:rPr>
              <w:t>构成招标文件组成部分的“通用合同条款”、“专用合同条款”、“技术标准和要求”等章节中 “发包人”和“承包人”，等同于招标投标阶段的“招标人”和“投标人/中标人”。</w:t>
            </w:r>
          </w:p>
        </w:tc>
      </w:tr>
      <w:tr w14:paraId="1D99C1F2">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2FCF1B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关于招标工程量清单、最高投标限价及投标报价编制特别说明</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08CE8E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cs="Times New Roman"/>
                <w:color w:val="auto"/>
                <w:sz w:val="21"/>
                <w:szCs w:val="21"/>
                <w:highlight w:val="none"/>
                <w:lang w:val="en-US" w:eastAsia="zh-CN"/>
              </w:rPr>
              <w:t>1.</w:t>
            </w:r>
            <w:r>
              <w:rPr>
                <w:rFonts w:hint="eastAsia" w:ascii="宋体" w:hAnsi="Times New Roman" w:eastAsia="宋体" w:cs="Times New Roman"/>
                <w:color w:val="auto"/>
                <w:sz w:val="21"/>
                <w:szCs w:val="21"/>
                <w:highlight w:val="none"/>
              </w:rPr>
              <w:t>本项目最高投标限价材料、设备价格依据造价管理部门发布的市场价格信息并结合市场实际价格综合考虑编制，投标人应根据</w:t>
            </w:r>
            <w:r>
              <w:rPr>
                <w:rFonts w:hint="eastAsia" w:ascii="宋体" w:hAnsi="Times New Roman" w:eastAsia="宋体" w:cs="Times New Roman"/>
                <w:color w:val="auto"/>
                <w:sz w:val="21"/>
                <w:szCs w:val="21"/>
                <w:highlight w:val="none"/>
                <w:lang w:val="en-US"/>
              </w:rPr>
              <w:t>施工</w:t>
            </w:r>
            <w:r>
              <w:rPr>
                <w:rFonts w:hint="eastAsia" w:ascii="宋体" w:hAnsi="Times New Roman" w:eastAsia="宋体" w:cs="Times New Roman"/>
                <w:color w:val="auto"/>
                <w:sz w:val="21"/>
                <w:szCs w:val="21"/>
                <w:highlight w:val="none"/>
              </w:rPr>
              <w:t>图纸、招标工程量清单、补遗，并结合企业自身实力理性报价。</w:t>
            </w:r>
          </w:p>
          <w:p w14:paraId="0658B1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cs="Times New Roman"/>
                <w:color w:val="auto"/>
                <w:sz w:val="21"/>
                <w:szCs w:val="21"/>
                <w:highlight w:val="none"/>
                <w:lang w:val="en-US" w:eastAsia="zh-CN"/>
              </w:rPr>
              <w:t>2.</w:t>
            </w:r>
            <w:r>
              <w:rPr>
                <w:rFonts w:hint="eastAsia" w:ascii="宋体" w:hAnsi="Times New Roman" w:eastAsia="宋体" w:cs="Times New Roman"/>
                <w:color w:val="auto"/>
                <w:sz w:val="21"/>
                <w:szCs w:val="21"/>
                <w:highlight w:val="none"/>
                <w:lang w:val="en-US" w:eastAsia="zh-CN"/>
              </w:rPr>
              <w:t>投标人应认真对照施工设计图纸等文件结合自行组织踏勘现场情况，核对招标人提供的工程量清单，发现工程量存在项目划分误差、计量单位误差、数量误差、遗漏项目等，必须在网上询问截止时间前向招标人提出疑问，否则招标人可不予答复。</w:t>
            </w:r>
          </w:p>
          <w:p w14:paraId="779520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cs="Times New Roman"/>
                <w:color w:val="auto"/>
                <w:sz w:val="21"/>
                <w:szCs w:val="21"/>
                <w:highlight w:val="none"/>
                <w:lang w:val="en-US" w:eastAsia="zh-CN"/>
              </w:rPr>
              <w:t>3.</w:t>
            </w:r>
            <w:r>
              <w:rPr>
                <w:rFonts w:hint="eastAsia" w:ascii="宋体" w:hAnsi="Times New Roman" w:eastAsia="宋体" w:cs="Times New Roman"/>
                <w:color w:val="auto"/>
                <w:sz w:val="21"/>
                <w:szCs w:val="21"/>
                <w:highlight w:val="none"/>
                <w:lang w:val="en-US" w:eastAsia="zh-CN"/>
              </w:rPr>
              <w:t>招标人对疑问应进行核实，确认工程量单项子目误差在±3%（含±3%）以内的，采购人可不予调整工程量，供应商应将其误差考虑在综合单价内；若有遗漏项目或单项子目工程量误差超过±3%的，招标人应进行修正并重新公布准确的工程量清单。</w:t>
            </w:r>
          </w:p>
          <w:p w14:paraId="1F7C02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default"/>
                <w:highlight w:val="none"/>
                <w:lang w:val="en-US" w:eastAsia="zh-CN"/>
              </w:rPr>
            </w:pPr>
            <w:r>
              <w:rPr>
                <w:rFonts w:hint="eastAsia" w:ascii="宋体" w:hAnsi="Times New Roman" w:eastAsia="宋体" w:cs="Times New Roman"/>
                <w:color w:val="auto"/>
                <w:sz w:val="21"/>
                <w:szCs w:val="21"/>
                <w:highlight w:val="none"/>
                <w:lang w:val="en-US" w:eastAsia="zh-CN"/>
              </w:rPr>
              <w:t>4.投标人在规定时间内未对工程量清单提出疑问的，</w:t>
            </w:r>
            <w:r>
              <w:rPr>
                <w:rFonts w:hint="eastAsia" w:ascii="宋体" w:hAnsi="Times New Roman" w:cs="Times New Roman"/>
                <w:color w:val="auto"/>
                <w:sz w:val="21"/>
                <w:szCs w:val="21"/>
                <w:highlight w:val="none"/>
                <w:lang w:val="en-US" w:eastAsia="zh-CN"/>
              </w:rPr>
              <w:t>中标</w:t>
            </w:r>
            <w:r>
              <w:rPr>
                <w:rFonts w:hint="eastAsia" w:ascii="宋体" w:hAnsi="Times New Roman" w:eastAsia="宋体" w:cs="Times New Roman"/>
                <w:color w:val="auto"/>
                <w:sz w:val="21"/>
                <w:szCs w:val="21"/>
                <w:highlight w:val="none"/>
                <w:lang w:val="en-US" w:eastAsia="zh-CN"/>
              </w:rPr>
              <w:t>后，招标人不再对工程量清单的项目和数量进行校对调整。中标人必须按其报价完成招标文件规定范围内的设计图纸规定的所有工程项目。</w:t>
            </w:r>
          </w:p>
        </w:tc>
      </w:tr>
      <w:tr w14:paraId="28675B8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EF7C88F">
            <w:pPr>
              <w:keepNext w:val="0"/>
              <w:keepLines w:val="0"/>
              <w:pageBreakBefore w:val="0"/>
              <w:kinsoku/>
              <w:wordWrap/>
              <w:overflowPunct/>
              <w:autoSpaceDN/>
              <w:bidi w:val="0"/>
              <w:spacing w:line="40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1D5DE8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rPr>
            </w:pPr>
            <w:r>
              <w:rPr>
                <w:rFonts w:hint="eastAsia" w:ascii="宋体" w:hAnsi="Times New Roman" w:eastAsia="宋体" w:cs="Times New Roman"/>
                <w:color w:val="auto"/>
                <w:sz w:val="21"/>
                <w:szCs w:val="21"/>
                <w:highlight w:val="none"/>
                <w:lang w:val="en-US"/>
              </w:rPr>
              <w:t>1、</w:t>
            </w:r>
            <w:r>
              <w:rPr>
                <w:rFonts w:hint="eastAsia" w:ascii="宋体" w:hAnsi="Times New Roman" w:eastAsia="宋体" w:cs="Times New Roman"/>
                <w:color w:val="auto"/>
                <w:sz w:val="21"/>
                <w:szCs w:val="21"/>
                <w:highlight w:val="none"/>
              </w:rPr>
              <w:t>如本项目招标文件中出现特定性、唯一性品牌的表述，该品牌仅作为参考，施工过程中不具有限定性。</w:t>
            </w:r>
          </w:p>
          <w:p w14:paraId="0D0958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rPr>
              <w:t>2、项目经理必须是投标人本单位工作人员，提供虚假资料谋取中标将被依法处罚。</w:t>
            </w:r>
            <w:r>
              <w:rPr>
                <w:rFonts w:hint="eastAsia" w:ascii="宋体" w:hAnsi="Times New Roman" w:eastAsia="宋体" w:cs="Times New Roman"/>
                <w:color w:val="auto"/>
                <w:sz w:val="21"/>
                <w:szCs w:val="21"/>
                <w:highlight w:val="none"/>
              </w:rPr>
              <w:t>投标人对所提交的投标人或拟派项目经理业绩、投标人资质等证明资料承担缔约过失责任和法律责任。若投诉人或举报人对前述资料或证明资料存在争议，进行有效投诉或举报， 被投诉人、被举报人应当主动配合执法机关调查，并在规定的期限内举证，提供有关证明资料的原件；拒不配合执法机构调查，且未在规定期限内举证、提供证明资料原件的，执法机构依法处理。</w:t>
            </w:r>
          </w:p>
          <w:p w14:paraId="6B0049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rPr>
              <w:t>3、</w:t>
            </w:r>
            <w:r>
              <w:rPr>
                <w:rFonts w:hint="eastAsia" w:ascii="宋体" w:hAnsi="Times New Roman" w:eastAsia="宋体" w:cs="Times New Roman"/>
                <w:color w:val="auto"/>
                <w:sz w:val="21"/>
                <w:szCs w:val="21"/>
                <w:highlight w:val="none"/>
              </w:rPr>
              <w:t>中标人未履行下述义务的，将依法对中标人追究相关责任：</w:t>
            </w:r>
          </w:p>
          <w:p w14:paraId="2A80F5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03557B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②合同签订后，中标人存在规定时间内不组织人员进场开工、不履行供货安装义务等情况，招标人有权解除合同，并追究违约责任，同时将相关违约行为报送监管部门处理。</w:t>
            </w:r>
          </w:p>
          <w:p w14:paraId="10AB54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rPr>
            </w:pPr>
            <w:r>
              <w:rPr>
                <w:rFonts w:hint="eastAsia" w:ascii="宋体" w:hAnsi="Times New Roman" w:eastAsia="宋体" w:cs="Times New Roman"/>
                <w:color w:val="auto"/>
                <w:sz w:val="21"/>
                <w:szCs w:val="21"/>
                <w:highlight w:val="none"/>
                <w:lang w:val="en-US"/>
              </w:rPr>
              <w:t>4、</w:t>
            </w:r>
            <w:r>
              <w:rPr>
                <w:rFonts w:hint="eastAsia" w:ascii="宋体" w:hAnsi="Times New Roman" w:eastAsia="宋体" w:cs="Times New Roman"/>
                <w:color w:val="auto"/>
                <w:sz w:val="21"/>
                <w:szCs w:val="21"/>
                <w:highlight w:val="none"/>
                <w:lang w:val="en-US" w:eastAsia="zh-CN"/>
              </w:rPr>
              <w:t>项目经理（建造师）、技术负责人变更需经发包人同意</w:t>
            </w:r>
            <w:r>
              <w:rPr>
                <w:rFonts w:hint="eastAsia" w:ascii="宋体" w:hAnsi="Times New Roman" w:eastAsia="宋体" w:cs="Times New Roman"/>
                <w:color w:val="auto"/>
                <w:sz w:val="21"/>
                <w:szCs w:val="21"/>
                <w:highlight w:val="none"/>
                <w:lang w:val="en-US"/>
              </w:rPr>
              <w:t>。</w:t>
            </w:r>
          </w:p>
          <w:p w14:paraId="2BC39E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rPr>
            </w:pPr>
            <w:r>
              <w:rPr>
                <w:rFonts w:hint="eastAsia" w:ascii="宋体" w:hAnsi="Times New Roman" w:eastAsia="宋体" w:cs="Times New Roman"/>
                <w:color w:val="auto"/>
                <w:sz w:val="21"/>
                <w:szCs w:val="21"/>
                <w:highlight w:val="none"/>
                <w:lang w:val="en-US"/>
              </w:rPr>
              <w:t>中标人因下列原因变更项目经理（建造师），须缴纳违约金</w:t>
            </w:r>
            <w:r>
              <w:rPr>
                <w:rFonts w:hint="eastAsia" w:ascii="宋体" w:hAnsi="Times New Roman" w:eastAsia="宋体" w:cs="Times New Roman"/>
                <w:color w:val="auto"/>
                <w:sz w:val="21"/>
                <w:szCs w:val="21"/>
                <w:highlight w:val="none"/>
                <w:lang w:val="en-US" w:eastAsia="zh-CN"/>
              </w:rPr>
              <w:t>10万</w:t>
            </w:r>
            <w:r>
              <w:rPr>
                <w:rFonts w:hint="eastAsia" w:ascii="宋体" w:hAnsi="Times New Roman" w:eastAsia="宋体" w:cs="Times New Roman"/>
                <w:color w:val="auto"/>
                <w:sz w:val="21"/>
                <w:szCs w:val="21"/>
                <w:highlight w:val="none"/>
                <w:lang w:val="en-US"/>
              </w:rPr>
              <w:t>元</w:t>
            </w:r>
            <w:r>
              <w:rPr>
                <w:rFonts w:hint="eastAsia" w:ascii="宋体" w:hAnsi="Times New Roman" w:eastAsia="宋体" w:cs="Times New Roman"/>
                <w:color w:val="auto"/>
                <w:sz w:val="21"/>
                <w:szCs w:val="21"/>
                <w:highlight w:val="none"/>
                <w:lang w:val="en-US" w:eastAsia="zh-CN"/>
              </w:rPr>
              <w:t>：</w:t>
            </w:r>
            <w:r>
              <w:rPr>
                <w:rFonts w:hint="eastAsia" w:ascii="宋体" w:hAnsi="Times New Roman" w:eastAsia="宋体" w:cs="Times New Roman"/>
                <w:color w:val="auto"/>
                <w:sz w:val="21"/>
                <w:szCs w:val="21"/>
                <w:highlight w:val="none"/>
                <w:lang w:val="en-US"/>
              </w:rPr>
              <w:t>①患重病、发生意外等身体原因不能在施工现场进行管理的；②离职的；③违法违规行为不能继续从事施工现场管理工作的；④无能力履行合同责任义务被建设行政主管部门或建设单位责令更换的。</w:t>
            </w:r>
          </w:p>
          <w:p w14:paraId="17FDB1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rPr>
              <w:t>中标人因下列原因变更技术负责人，须缴纳违约金</w:t>
            </w:r>
            <w:r>
              <w:rPr>
                <w:rFonts w:hint="eastAsia" w:ascii="宋体" w:hAnsi="Times New Roman" w:eastAsia="宋体" w:cs="Times New Roman"/>
                <w:color w:val="auto"/>
                <w:sz w:val="21"/>
                <w:szCs w:val="21"/>
                <w:highlight w:val="none"/>
                <w:lang w:val="en-US" w:eastAsia="zh-CN"/>
              </w:rPr>
              <w:t>5万</w:t>
            </w:r>
            <w:r>
              <w:rPr>
                <w:rFonts w:hint="eastAsia" w:ascii="宋体" w:hAnsi="Times New Roman" w:eastAsia="宋体" w:cs="Times New Roman"/>
                <w:color w:val="auto"/>
                <w:sz w:val="21"/>
                <w:szCs w:val="21"/>
                <w:highlight w:val="none"/>
                <w:lang w:val="en-US"/>
              </w:rPr>
              <w:t>元</w:t>
            </w:r>
            <w:r>
              <w:rPr>
                <w:rFonts w:hint="eastAsia" w:ascii="宋体" w:hAnsi="Times New Roman" w:eastAsia="宋体" w:cs="Times New Roman"/>
                <w:color w:val="auto"/>
                <w:sz w:val="21"/>
                <w:szCs w:val="21"/>
                <w:highlight w:val="none"/>
                <w:lang w:val="en-US" w:eastAsia="zh-CN"/>
              </w:rPr>
              <w:t>：</w:t>
            </w:r>
            <w:r>
              <w:rPr>
                <w:rFonts w:hint="eastAsia" w:ascii="宋体" w:hAnsi="Times New Roman" w:eastAsia="宋体" w:cs="Times New Roman"/>
                <w:color w:val="auto"/>
                <w:sz w:val="21"/>
                <w:szCs w:val="21"/>
                <w:highlight w:val="none"/>
                <w:lang w:val="en-US"/>
              </w:rPr>
              <w:t>①患重病、发生意外等身体原因不能在施工现场进行管理的；②离职的；③违法违规行为不能继续从事施工现场管理工作的；④无能力履行合同责任义务被建设行政主管部门或建设单位责令更换的。</w:t>
            </w:r>
          </w:p>
          <w:p w14:paraId="123A9A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eastAsia="zh-CN"/>
              </w:rPr>
              <w:t>5、</w:t>
            </w:r>
            <w:r>
              <w:rPr>
                <w:rFonts w:hint="eastAsia" w:ascii="宋体" w:hAnsi="Times New Roman" w:eastAsia="宋体" w:cs="Times New Roman"/>
                <w:color w:val="auto"/>
                <w:sz w:val="21"/>
                <w:szCs w:val="21"/>
                <w:highlight w:val="none"/>
              </w:rPr>
              <w:t>安全生产</w:t>
            </w:r>
          </w:p>
          <w:p w14:paraId="060747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①须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3504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rPr>
              <w:t>②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合同的各项规定，做到生产与安全工作同时计划、布置、检查、总结和评比。</w:t>
            </w:r>
          </w:p>
          <w:p w14:paraId="18FE7FDC">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strike/>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本项目严禁非法转包，一经发现，招标人依法处理。</w:t>
            </w:r>
          </w:p>
        </w:tc>
      </w:tr>
      <w:tr w14:paraId="0F24C4E8">
        <w:tblPrEx>
          <w:tblCellMar>
            <w:top w:w="0" w:type="dxa"/>
            <w:left w:w="108" w:type="dxa"/>
            <w:bottom w:w="0" w:type="dxa"/>
            <w:right w:w="108" w:type="dxa"/>
          </w:tblCellMar>
        </w:tblPrEx>
        <w:trPr>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7144710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1"/>
                <w:szCs w:val="21"/>
                <w:lang w:val="en-US" w:eastAsia="zh-CN"/>
              </w:rPr>
            </w:pPr>
            <w:bookmarkStart w:id="54" w:name="_Toc35424887"/>
            <w:bookmarkStart w:id="55" w:name="_Toc35425053"/>
            <w:bookmarkStart w:id="56" w:name="_Toc78803322"/>
            <w:bookmarkStart w:id="57" w:name="_Toc15058846"/>
            <w:bookmarkStart w:id="58" w:name="_Toc5813"/>
            <w:r>
              <w:rPr>
                <w:rFonts w:hint="eastAsia" w:ascii="宋体" w:hAnsi="宋体" w:cs="宋体"/>
                <w:sz w:val="21"/>
                <w:szCs w:val="21"/>
                <w:lang w:val="en-US" w:eastAsia="zh-CN"/>
              </w:rPr>
              <w:t>重要说明</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3B1753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请于公告发布之日起从滁州市城投工程咨询管理有限公司网站（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2E66151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 </w:t>
            </w:r>
          </w:p>
          <w:p w14:paraId="7641EF1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3.投标人登录新点电子交易平台【滁州专区】获取招标文件及其它资料（含澄清和补充说明等）。如在招标文件获取过程中遇到系统问题，请拨打技术支持服务热线4009280095或者网站首页在线客服。</w:t>
            </w:r>
          </w:p>
          <w:p w14:paraId="47DF65D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4.本项目采用不见面开标，投标人登录滁州市城投工程咨询有限公司不见面开标系统参与网上开标（网址：http://js.etrading.cn/EpointBidOpening/bidopeninghallaction/hall/login）。</w:t>
            </w:r>
          </w:p>
          <w:p w14:paraId="030ED2F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5.投标人应在投标截止时间之前，登录新点电子交易平台【滁州专区】上传投标文件。投标人逾期上传投标文件的，电子系统不予受理。</w:t>
            </w:r>
          </w:p>
          <w:p w14:paraId="6118BF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6.投标人的联系人电话(手机)、电子邮箱等通讯方式在开标过程中必须保持畅通，否则因上述原因造成的后果，责任自负。</w:t>
            </w:r>
          </w:p>
          <w:p w14:paraId="4E97232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9D69F8D">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default"/>
                <w:lang w:val="en-US" w:eastAsia="zh-CN"/>
              </w:rPr>
            </w:pPr>
            <w:r>
              <w:rPr>
                <w:rFonts w:hint="eastAsia" w:ascii="宋体" w:hAnsi="宋体" w:eastAsia="宋体" w:cs="宋体"/>
                <w:kern w:val="0"/>
                <w:sz w:val="21"/>
                <w:szCs w:val="21"/>
                <w:highlight w:val="none"/>
                <w:lang w:val="en-US" w:eastAsia="zh-CN" w:bidi="ar-SA"/>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tc>
      </w:tr>
    </w:tbl>
    <w:p w14:paraId="735D540F">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585086A">
      <w:pPr>
        <w:pStyle w:val="7"/>
        <w:spacing w:beforeLines="50" w:afterLines="50"/>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1. 总则</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AE7C8E8">
      <w:pPr>
        <w:pStyle w:val="7"/>
        <w:ind w:firstLine="422" w:firstLineChars="200"/>
        <w:rPr>
          <w:rFonts w:ascii="宋体" w:hAnsi="宋体" w:eastAsia="宋体" w:cs="宋体"/>
          <w:kern w:val="44"/>
          <w:highlight w:val="none"/>
        </w:rPr>
      </w:pPr>
      <w:bookmarkStart w:id="59" w:name="_Toc152045530"/>
      <w:bookmarkStart w:id="60" w:name="_Toc324404816"/>
      <w:bookmarkStart w:id="61" w:name="_Toc246996919"/>
      <w:bookmarkStart w:id="62" w:name="_Toc144974498"/>
      <w:bookmarkStart w:id="63" w:name="_Toc35425054"/>
      <w:bookmarkStart w:id="64" w:name="_Toc296602421"/>
      <w:bookmarkStart w:id="65" w:name="_Toc179632547"/>
      <w:bookmarkStart w:id="66" w:name="_Toc247085690"/>
      <w:bookmarkStart w:id="67" w:name="_Toc152042306"/>
      <w:bookmarkStart w:id="68" w:name="_Toc35424888"/>
      <w:bookmarkStart w:id="69" w:name="_Toc15058847"/>
      <w:bookmarkStart w:id="70" w:name="_Toc78803323"/>
      <w:bookmarkStart w:id="71" w:name="_Toc246996176"/>
      <w:bookmarkStart w:id="72" w:name="_Toc506107270"/>
      <w:bookmarkStart w:id="73" w:name="_Toc4678"/>
      <w:r>
        <w:rPr>
          <w:rFonts w:hint="eastAsia" w:ascii="宋体" w:hAnsi="宋体" w:eastAsia="宋体" w:cs="宋体"/>
          <w:kern w:val="44"/>
          <w:highlight w:val="none"/>
        </w:rPr>
        <w:t>1.1 项目概况</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7780BC3">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1.1.1根据《中华人民共和国招标投标法》《中华人民共和国招标投标法实施条例》等有关法律、法规和规章的规定，本招标项目已具备招标条件，现对本项目施工进行招标。</w:t>
      </w:r>
    </w:p>
    <w:p w14:paraId="5AB354A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1.1.2 本招标项目招标人：见投标人须知前附表。</w:t>
      </w:r>
    </w:p>
    <w:p w14:paraId="7E46A02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1.1.3 本招标项目招标代理机构：见投标人须知前附表。</w:t>
      </w:r>
    </w:p>
    <w:p w14:paraId="77102B8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1.1.4 本招标项目名称：见投标人须知前附表。</w:t>
      </w:r>
    </w:p>
    <w:p w14:paraId="6CBC3272">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1.1.5 本招标项目建设地点：见投标人须知前附表。</w:t>
      </w:r>
    </w:p>
    <w:p w14:paraId="036B2C8D">
      <w:pPr>
        <w:pStyle w:val="7"/>
        <w:ind w:firstLine="422" w:firstLineChars="200"/>
        <w:rPr>
          <w:rFonts w:ascii="宋体" w:hAnsi="宋体" w:eastAsia="宋体" w:cs="宋体"/>
          <w:highlight w:val="none"/>
        </w:rPr>
      </w:pPr>
      <w:bookmarkStart w:id="74" w:name="_Toc296602422"/>
      <w:bookmarkStart w:id="75" w:name="_Toc247085691"/>
      <w:bookmarkStart w:id="76" w:name="_Toc324404817"/>
      <w:bookmarkStart w:id="77" w:name="_Toc152045531"/>
      <w:bookmarkStart w:id="78" w:name="_Toc35424889"/>
      <w:bookmarkStart w:id="79" w:name="_Toc246996177"/>
      <w:bookmarkStart w:id="80" w:name="_Toc7142"/>
      <w:bookmarkStart w:id="81" w:name="_Toc506107271"/>
      <w:bookmarkStart w:id="82" w:name="_Toc152042307"/>
      <w:bookmarkStart w:id="83" w:name="_Toc78803324"/>
      <w:bookmarkStart w:id="84" w:name="_Toc144974499"/>
      <w:bookmarkStart w:id="85" w:name="_Toc35425055"/>
      <w:bookmarkStart w:id="86" w:name="_Toc15058848"/>
      <w:bookmarkStart w:id="87" w:name="_Toc179632548"/>
      <w:bookmarkStart w:id="88" w:name="_Toc246996920"/>
      <w:r>
        <w:rPr>
          <w:rFonts w:hint="eastAsia" w:ascii="宋体" w:hAnsi="宋体" w:eastAsia="宋体" w:cs="宋体"/>
          <w:highlight w:val="none"/>
        </w:rPr>
        <w:t>1.2 资金来源和落实情况</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62000A2">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1.2.1 本招标项目的资金来源及出资比例：见投标人须知前附表。</w:t>
      </w:r>
    </w:p>
    <w:p w14:paraId="2086A8C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1.2.2 本招标项目的资金落实情况：见投标人须知前附表。</w:t>
      </w:r>
    </w:p>
    <w:p w14:paraId="77419EB9">
      <w:pPr>
        <w:pStyle w:val="7"/>
        <w:ind w:firstLine="422" w:firstLineChars="200"/>
        <w:rPr>
          <w:rFonts w:ascii="宋体" w:hAnsi="宋体" w:eastAsia="宋体" w:cs="宋体"/>
          <w:highlight w:val="none"/>
        </w:rPr>
      </w:pPr>
      <w:bookmarkStart w:id="89" w:name="_Toc296602423"/>
      <w:bookmarkStart w:id="90" w:name="_Toc152045532"/>
      <w:bookmarkStart w:id="91" w:name="_Toc246996921"/>
      <w:bookmarkStart w:id="92" w:name="_Toc506107272"/>
      <w:bookmarkStart w:id="93" w:name="_Toc324404818"/>
      <w:bookmarkStart w:id="94" w:name="_Toc179632549"/>
      <w:bookmarkStart w:id="95" w:name="_Toc247085692"/>
      <w:bookmarkStart w:id="96" w:name="_Toc6330"/>
      <w:bookmarkStart w:id="97" w:name="_Toc78803325"/>
      <w:bookmarkStart w:id="98" w:name="_Toc15058849"/>
      <w:bookmarkStart w:id="99" w:name="_Toc246996178"/>
      <w:bookmarkStart w:id="100" w:name="_Toc35424890"/>
      <w:bookmarkStart w:id="101" w:name="_Toc35425056"/>
      <w:bookmarkStart w:id="102" w:name="_Toc144974500"/>
      <w:bookmarkStart w:id="103" w:name="_Toc152042308"/>
      <w:r>
        <w:rPr>
          <w:rFonts w:hint="eastAsia" w:ascii="宋体" w:hAnsi="宋体" w:eastAsia="宋体" w:cs="宋体"/>
          <w:highlight w:val="none"/>
        </w:rPr>
        <w:t>1.3 招标范围、计划工期、质量要求</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4E6EC99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1.3.1 本次招标范围：见投标人须知前附表。</w:t>
      </w:r>
    </w:p>
    <w:p w14:paraId="4738494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1.3.2 本招标项目的监理服务期限：见投标人须知前附表。</w:t>
      </w:r>
    </w:p>
    <w:p w14:paraId="1CB8FAD6">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1.3.3 本招标项目的质量要求：见投标人须知前附表。</w:t>
      </w:r>
    </w:p>
    <w:p w14:paraId="26E33D0B">
      <w:pPr>
        <w:pStyle w:val="7"/>
        <w:ind w:firstLine="422" w:firstLineChars="200"/>
        <w:rPr>
          <w:rFonts w:ascii="宋体" w:hAnsi="宋体" w:eastAsia="宋体" w:cs="宋体"/>
          <w:highlight w:val="none"/>
        </w:rPr>
      </w:pPr>
      <w:bookmarkStart w:id="104" w:name="_Toc15058850"/>
      <w:bookmarkStart w:id="105" w:name="_Toc246996922"/>
      <w:bookmarkStart w:id="106" w:name="_Toc247085693"/>
      <w:bookmarkStart w:id="107" w:name="_Toc78803326"/>
      <w:bookmarkStart w:id="108" w:name="_Toc152045534"/>
      <w:bookmarkStart w:id="109" w:name="_Toc179632551"/>
      <w:bookmarkStart w:id="110" w:name="_Toc246996179"/>
      <w:bookmarkStart w:id="111" w:name="_Toc144974502"/>
      <w:bookmarkStart w:id="112" w:name="_Toc296602424"/>
      <w:bookmarkStart w:id="113" w:name="_Toc324404819"/>
      <w:bookmarkStart w:id="114" w:name="_Toc35425057"/>
      <w:bookmarkStart w:id="115" w:name="_Toc35424891"/>
      <w:bookmarkStart w:id="116" w:name="_Toc506107273"/>
      <w:bookmarkStart w:id="117" w:name="_Toc26897"/>
      <w:bookmarkStart w:id="118" w:name="_Toc152042310"/>
      <w:r>
        <w:rPr>
          <w:rFonts w:hint="eastAsia" w:ascii="宋体" w:hAnsi="宋体" w:eastAsia="宋体" w:cs="宋体"/>
          <w:highlight w:val="none"/>
        </w:rPr>
        <w:t>1.4 投标人资格要求</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73C4A8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1.4.1 投标人应具备承担本项目</w:t>
      </w:r>
      <w:r>
        <w:rPr>
          <w:rFonts w:hint="eastAsia" w:ascii="宋体" w:hAnsi="宋体" w:eastAsia="宋体" w:cs="宋体"/>
          <w:szCs w:val="21"/>
          <w:highlight w:val="none"/>
          <w:lang w:val="en-US" w:eastAsia="zh-CN"/>
        </w:rPr>
        <w:t>施工</w:t>
      </w:r>
      <w:r>
        <w:rPr>
          <w:rFonts w:hint="eastAsia" w:ascii="宋体" w:hAnsi="宋体" w:eastAsia="宋体" w:cs="宋体"/>
          <w:szCs w:val="21"/>
          <w:highlight w:val="none"/>
        </w:rPr>
        <w:t>的资质条件、能力和信誉。</w:t>
      </w:r>
    </w:p>
    <w:p w14:paraId="42CF7408">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（1）资质条件：见投标人须知前附表；</w:t>
      </w:r>
    </w:p>
    <w:p w14:paraId="213F5755">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（2）项目负责人资格：见投标人须知前附表；</w:t>
      </w:r>
    </w:p>
    <w:p w14:paraId="77975E2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（3）信誉要求：见投标人须知前附表；</w:t>
      </w:r>
    </w:p>
    <w:p w14:paraId="1C33B20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）其他要求：见投标人须知前附表。</w:t>
      </w:r>
    </w:p>
    <w:p w14:paraId="66002C8A">
      <w:pPr>
        <w:spacing w:line="440" w:lineRule="exact"/>
        <w:ind w:firstLine="420" w:firstLineChars="200"/>
        <w:jc w:val="left"/>
        <w:rPr>
          <w:rFonts w:hint="eastAsia" w:ascii="宋体" w:hAnsi="宋体" w:eastAsia="宋体" w:cs="宋体"/>
          <w:szCs w:val="21"/>
          <w:highlight w:val="none"/>
        </w:rPr>
      </w:pPr>
      <w:bookmarkStart w:id="119" w:name="_Toc296602425"/>
      <w:bookmarkStart w:id="120" w:name="_Toc246996923"/>
      <w:bookmarkStart w:id="121" w:name="_Toc247085694"/>
      <w:bookmarkStart w:id="122" w:name="_Toc10179"/>
      <w:bookmarkStart w:id="123" w:name="_Toc35425058"/>
      <w:bookmarkStart w:id="124" w:name="_Toc15058851"/>
      <w:bookmarkStart w:id="125" w:name="_Toc152045535"/>
      <w:bookmarkStart w:id="126" w:name="_Toc324404820"/>
      <w:bookmarkStart w:id="127" w:name="_Toc506107274"/>
      <w:bookmarkStart w:id="128" w:name="_Toc152042311"/>
      <w:bookmarkStart w:id="129" w:name="_Toc179632552"/>
      <w:bookmarkStart w:id="130" w:name="_Toc35424892"/>
      <w:bookmarkStart w:id="131" w:name="_Toc246996180"/>
      <w:bookmarkStart w:id="132" w:name="_Toc78803327"/>
      <w:bookmarkStart w:id="133" w:name="_Toc144974503"/>
      <w:r>
        <w:rPr>
          <w:rFonts w:hint="eastAsia" w:ascii="宋体" w:hAnsi="宋体" w:eastAsia="宋体" w:cs="宋体"/>
          <w:szCs w:val="21"/>
          <w:highlight w:val="none"/>
        </w:rPr>
        <w:t>1.4.3投标人（包括联合体各成员）不得与本标段相关单位存在下列关联关系：</w:t>
      </w:r>
    </w:p>
    <w:p w14:paraId="5DE8D0B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（1）为招标人不具有独立法人资格的附属机构（单位）；</w:t>
      </w:r>
    </w:p>
    <w:p w14:paraId="09E6B8F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（2）与招标人存在利害关系且可能影响招标公正性；</w:t>
      </w:r>
    </w:p>
    <w:p w14:paraId="0505EF5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（3）与本标段的其他投标人同为一个单位负责人；</w:t>
      </w:r>
    </w:p>
    <w:p w14:paraId="36333F8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（4）与本标段的其他投标人存在控股、管理关系；</w:t>
      </w:r>
    </w:p>
    <w:p w14:paraId="4D18F6F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（5）为本标段前期准备提供设计或咨询服务的法人或其任何附属机构（单位）(工程总承包项目本目不采用)；</w:t>
      </w:r>
    </w:p>
    <w:p w14:paraId="73E2482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（6）为本标段的监理人；</w:t>
      </w:r>
    </w:p>
    <w:p w14:paraId="43DEC31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（7）为本标段的代建人；</w:t>
      </w:r>
    </w:p>
    <w:p w14:paraId="5653615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（8）为本标段的招标代理机构；</w:t>
      </w:r>
    </w:p>
    <w:p w14:paraId="3407078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（9）与本标段的监理人或代建人或招标代理机构同为一个法定代表人；</w:t>
      </w:r>
    </w:p>
    <w:p w14:paraId="5B21E9B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（10）与本标段的监理人或代建人或招标代理机构存在控股或参股关系；</w:t>
      </w:r>
    </w:p>
    <w:p w14:paraId="552CFA5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（11）法律法规或投标人须知前附表规定的其他情形。</w:t>
      </w:r>
    </w:p>
    <w:p w14:paraId="4D283291">
      <w:pPr>
        <w:pStyle w:val="7"/>
        <w:ind w:firstLine="422" w:firstLineChars="200"/>
        <w:rPr>
          <w:rFonts w:ascii="宋体" w:hAnsi="宋体" w:eastAsia="宋体" w:cs="宋体"/>
          <w:highlight w:val="none"/>
        </w:rPr>
      </w:pPr>
      <w:r>
        <w:rPr>
          <w:rFonts w:hint="eastAsia" w:ascii="宋体" w:hAnsi="宋体" w:eastAsia="宋体" w:cs="宋体"/>
          <w:highlight w:val="none"/>
        </w:rPr>
        <w:t>1.5 费用承担</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2CDB29E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投标人准备和参加投标活动发生的费用自理。</w:t>
      </w:r>
    </w:p>
    <w:p w14:paraId="6B9E8D17">
      <w:pPr>
        <w:pStyle w:val="7"/>
        <w:ind w:firstLine="422" w:firstLineChars="200"/>
        <w:rPr>
          <w:rFonts w:ascii="宋体" w:hAnsi="宋体" w:eastAsia="宋体" w:cs="宋体"/>
          <w:highlight w:val="none"/>
        </w:rPr>
      </w:pPr>
      <w:bookmarkStart w:id="134" w:name="_Toc35424893"/>
      <w:bookmarkStart w:id="135" w:name="_Toc246996924"/>
      <w:bookmarkStart w:id="136" w:name="_Toc78803328"/>
      <w:bookmarkStart w:id="137" w:name="_Toc296602426"/>
      <w:bookmarkStart w:id="138" w:name="_Toc179632553"/>
      <w:bookmarkStart w:id="139" w:name="_Toc15058852"/>
      <w:bookmarkStart w:id="140" w:name="_Toc506107275"/>
      <w:bookmarkStart w:id="141" w:name="_Toc144974504"/>
      <w:bookmarkStart w:id="142" w:name="_Toc246996181"/>
      <w:bookmarkStart w:id="143" w:name="_Toc324404821"/>
      <w:bookmarkStart w:id="144" w:name="_Toc35425059"/>
      <w:bookmarkStart w:id="145" w:name="_Toc247085695"/>
      <w:bookmarkStart w:id="146" w:name="_Toc152045536"/>
      <w:bookmarkStart w:id="147" w:name="_Toc152042312"/>
      <w:bookmarkStart w:id="148" w:name="_Toc4092"/>
      <w:r>
        <w:rPr>
          <w:rFonts w:hint="eastAsia" w:ascii="宋体" w:hAnsi="宋体" w:eastAsia="宋体" w:cs="宋体"/>
          <w:highlight w:val="none"/>
        </w:rPr>
        <w:t>1.6 保密</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09F25B8">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参与招标投标活动的各方应对招标文件和投标文件中的商业和技术等秘密保密，违者应对由此造成的后果承担法律责任。 </w:t>
      </w:r>
    </w:p>
    <w:p w14:paraId="17C94B32">
      <w:pPr>
        <w:pStyle w:val="7"/>
        <w:ind w:firstLine="422" w:firstLineChars="200"/>
        <w:rPr>
          <w:rFonts w:ascii="宋体" w:hAnsi="宋体" w:eastAsia="宋体" w:cs="宋体"/>
          <w:highlight w:val="none"/>
        </w:rPr>
      </w:pPr>
      <w:bookmarkStart w:id="149" w:name="_Toc144974505"/>
      <w:bookmarkStart w:id="150" w:name="_Toc4119"/>
      <w:bookmarkStart w:id="151" w:name="_Toc506107276"/>
      <w:bookmarkStart w:id="152" w:name="_Toc247085696"/>
      <w:bookmarkStart w:id="153" w:name="_Toc15058853"/>
      <w:bookmarkStart w:id="154" w:name="_Toc35425060"/>
      <w:bookmarkStart w:id="155" w:name="_Toc246996182"/>
      <w:bookmarkStart w:id="156" w:name="_Toc35424894"/>
      <w:bookmarkStart w:id="157" w:name="_Toc179632554"/>
      <w:bookmarkStart w:id="158" w:name="_Toc296602427"/>
      <w:bookmarkStart w:id="159" w:name="_Toc324404822"/>
      <w:bookmarkStart w:id="160" w:name="_Toc152045537"/>
      <w:bookmarkStart w:id="161" w:name="_Toc246996925"/>
      <w:bookmarkStart w:id="162" w:name="_Toc152042313"/>
      <w:bookmarkStart w:id="163" w:name="_Toc78803329"/>
      <w:r>
        <w:rPr>
          <w:rFonts w:hint="eastAsia" w:ascii="宋体" w:hAnsi="宋体" w:eastAsia="宋体" w:cs="宋体"/>
          <w:highlight w:val="none"/>
        </w:rPr>
        <w:t>1.7 语言</w:t>
      </w:r>
      <w:bookmarkEnd w:id="149"/>
      <w:r>
        <w:rPr>
          <w:rFonts w:hint="eastAsia" w:ascii="宋体" w:hAnsi="宋体" w:eastAsia="宋体" w:cs="宋体"/>
          <w:highlight w:val="none"/>
        </w:rPr>
        <w:t>文字</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3039B6C">
      <w:pPr>
        <w:spacing w:line="440" w:lineRule="exact"/>
        <w:ind w:firstLine="420" w:firstLineChars="200"/>
        <w:jc w:val="left"/>
        <w:rPr>
          <w:rFonts w:ascii="宋体" w:hAnsi="宋体" w:cs="宋体"/>
          <w:szCs w:val="21"/>
          <w:highlight w:val="none"/>
        </w:rPr>
      </w:pPr>
      <w:bookmarkStart w:id="164" w:name="_Toc247085697"/>
      <w:bookmarkStart w:id="165" w:name="_Toc144974506"/>
      <w:bookmarkStart w:id="166" w:name="_Toc246996926"/>
      <w:bookmarkStart w:id="167" w:name="_Toc179632555"/>
      <w:bookmarkStart w:id="168" w:name="_Toc152042314"/>
      <w:bookmarkStart w:id="169" w:name="_Toc246996183"/>
      <w:bookmarkStart w:id="170" w:name="_Toc152045538"/>
      <w:r>
        <w:rPr>
          <w:rFonts w:hint="eastAsia" w:ascii="宋体" w:hAnsi="宋体" w:cs="宋体"/>
          <w:szCs w:val="21"/>
          <w:highlight w:val="none"/>
        </w:rPr>
        <w:t>招标投标文件使用的语言文字为中文。专用术语使用外文的，应附有中文注释。</w:t>
      </w:r>
    </w:p>
    <w:p w14:paraId="07887133">
      <w:pPr>
        <w:pStyle w:val="7"/>
        <w:ind w:firstLine="422" w:firstLineChars="200"/>
        <w:rPr>
          <w:rFonts w:ascii="宋体" w:hAnsi="宋体" w:eastAsia="宋体" w:cs="宋体"/>
          <w:highlight w:val="none"/>
        </w:rPr>
      </w:pPr>
      <w:bookmarkStart w:id="171" w:name="_Toc15058854"/>
      <w:bookmarkStart w:id="172" w:name="_Toc324404823"/>
      <w:bookmarkStart w:id="173" w:name="_Toc78803330"/>
      <w:bookmarkStart w:id="174" w:name="_Toc35424895"/>
      <w:bookmarkStart w:id="175" w:name="_Toc35425061"/>
      <w:bookmarkStart w:id="176" w:name="_Toc296602428"/>
      <w:bookmarkStart w:id="177" w:name="_Toc13408"/>
      <w:bookmarkStart w:id="178" w:name="_Toc506107277"/>
      <w:r>
        <w:rPr>
          <w:rFonts w:hint="eastAsia" w:ascii="宋体" w:hAnsi="宋体" w:eastAsia="宋体" w:cs="宋体"/>
          <w:highlight w:val="none"/>
        </w:rPr>
        <w:t>1.8 计量单位</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3DEA88EB">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所有计量均采用中华人民共和国法定计量单位。</w:t>
      </w:r>
    </w:p>
    <w:p w14:paraId="6E75FA73">
      <w:pPr>
        <w:pStyle w:val="7"/>
        <w:ind w:firstLine="422" w:firstLineChars="200"/>
        <w:rPr>
          <w:rFonts w:ascii="宋体" w:hAnsi="宋体" w:eastAsia="宋体" w:cs="宋体"/>
          <w:highlight w:val="none"/>
        </w:rPr>
      </w:pPr>
      <w:bookmarkStart w:id="179" w:name="_Toc152042315"/>
      <w:bookmarkStart w:id="180" w:name="_Toc15058855"/>
      <w:bookmarkStart w:id="181" w:name="_Toc11493"/>
      <w:bookmarkStart w:id="182" w:name="_Toc144974507"/>
      <w:bookmarkStart w:id="183" w:name="_Toc152045539"/>
      <w:bookmarkStart w:id="184" w:name="_Toc35425062"/>
      <w:bookmarkStart w:id="185" w:name="_Toc296602429"/>
      <w:bookmarkStart w:id="186" w:name="_Toc78803331"/>
      <w:bookmarkStart w:id="187" w:name="_Toc247513962"/>
      <w:bookmarkStart w:id="188" w:name="_Toc506107278"/>
      <w:bookmarkStart w:id="189" w:name="_Toc247527563"/>
      <w:bookmarkStart w:id="190" w:name="_Toc247592876"/>
      <w:bookmarkStart w:id="191" w:name="_Toc35424896"/>
      <w:bookmarkStart w:id="192" w:name="_Toc324404824"/>
      <w:r>
        <w:rPr>
          <w:rFonts w:hint="eastAsia" w:ascii="宋体" w:hAnsi="宋体" w:eastAsia="宋体" w:cs="宋体"/>
          <w:highlight w:val="none"/>
        </w:rPr>
        <w:t>1.9 踏勘现场</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AA9B494">
      <w:pPr>
        <w:spacing w:line="440" w:lineRule="exact"/>
        <w:ind w:firstLine="420" w:firstLineChars="200"/>
        <w:jc w:val="left"/>
        <w:rPr>
          <w:rFonts w:hint="eastAsia" w:ascii="宋体" w:hAnsi="宋体" w:eastAsia="宋体" w:cs="宋体"/>
          <w:szCs w:val="21"/>
          <w:highlight w:val="none"/>
        </w:rPr>
      </w:pPr>
      <w:bookmarkStart w:id="193" w:name="_Toc78803332"/>
      <w:bookmarkStart w:id="194" w:name="_Toc296602430"/>
      <w:bookmarkStart w:id="195" w:name="_Toc247527564"/>
      <w:bookmarkStart w:id="196" w:name="_Toc247513963"/>
      <w:bookmarkStart w:id="197" w:name="_Toc144974508"/>
      <w:bookmarkStart w:id="198" w:name="_Toc35425063"/>
      <w:bookmarkStart w:id="199" w:name="_Toc15058856"/>
      <w:bookmarkStart w:id="200" w:name="_Toc35424897"/>
      <w:bookmarkStart w:id="201" w:name="_Toc152045540"/>
      <w:bookmarkStart w:id="202" w:name="_Toc324404825"/>
      <w:bookmarkStart w:id="203" w:name="_Toc152042316"/>
      <w:bookmarkStart w:id="204" w:name="_Toc506107279"/>
      <w:bookmarkStart w:id="205" w:name="_Toc22954"/>
      <w:bookmarkStart w:id="206" w:name="_Toc247592877"/>
      <w:r>
        <w:rPr>
          <w:rFonts w:hint="eastAsia" w:ascii="宋体" w:hAnsi="宋体" w:eastAsia="宋体" w:cs="宋体"/>
          <w:szCs w:val="21"/>
          <w:highlight w:val="none"/>
        </w:rPr>
        <w:t xml:space="preserve">1.9.1前附表规定组织踏勘现场的，招标人按投标人须知前附表规定的时间、地点组织投标人踏勘项目现场。部分投标人未按时参加踏勘现场的，不影响踏勘现场的正常进行。招标人不得组织单个或部分投标人踏勘项目现场。 </w:t>
      </w:r>
    </w:p>
    <w:p w14:paraId="1D49473C">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1.9.2 投标人踏勘现场发生的费用自理。</w:t>
      </w:r>
    </w:p>
    <w:p w14:paraId="4EA3604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1.9.3 除招标人的原因外，投标人自行负责在踏勘现场中所发生的人员伤亡和财产损失。</w:t>
      </w:r>
    </w:p>
    <w:p w14:paraId="50FCC1C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1.9.4 招标人在踏勘现场中介绍的工程场地和相关的周边环境情况，供投标人在编制投标文件时参考，招标人不对投标人据此作出的判断和决策负责。</w:t>
      </w:r>
    </w:p>
    <w:p w14:paraId="024D6A4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1.9.5无论投标人是否到施工现场实地踏勘，中标后签订合同时和履约过程中，投标人不得以不完全了解现场情况或现场情况与招标文件描述不一致等为由，提出任何形式的增加工程造价或索赔的要求。</w:t>
      </w:r>
    </w:p>
    <w:p w14:paraId="179FDA06">
      <w:pPr>
        <w:pStyle w:val="7"/>
        <w:ind w:firstLine="422" w:firstLineChars="200"/>
        <w:rPr>
          <w:rFonts w:ascii="宋体" w:hAnsi="宋体" w:eastAsia="宋体" w:cs="宋体"/>
          <w:highlight w:val="none"/>
        </w:rPr>
      </w:pPr>
      <w:r>
        <w:rPr>
          <w:rFonts w:hint="eastAsia" w:ascii="宋体" w:hAnsi="宋体" w:eastAsia="宋体" w:cs="宋体"/>
          <w:highlight w:val="none"/>
        </w:rPr>
        <w:t>1.10 投标预备会</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59781F3B">
      <w:pPr>
        <w:spacing w:line="440" w:lineRule="exact"/>
        <w:ind w:firstLine="420" w:firstLineChars="200"/>
        <w:jc w:val="left"/>
        <w:rPr>
          <w:rFonts w:hint="eastAsia" w:ascii="宋体" w:hAnsi="宋体" w:eastAsia="宋体" w:cs="宋体"/>
          <w:szCs w:val="21"/>
          <w:highlight w:val="none"/>
        </w:rPr>
      </w:pPr>
      <w:bookmarkStart w:id="207" w:name="_Toc60061444"/>
      <w:bookmarkStart w:id="208" w:name="_Toc83301699"/>
      <w:bookmarkStart w:id="209" w:name="_Toc95223347"/>
      <w:bookmarkStart w:id="210" w:name="_Toc324404826"/>
      <w:bookmarkStart w:id="211" w:name="_Toc35424898"/>
      <w:bookmarkStart w:id="212" w:name="_Toc32016"/>
      <w:bookmarkStart w:id="213" w:name="_Toc78803333"/>
      <w:bookmarkStart w:id="214" w:name="_Toc296602431"/>
      <w:bookmarkStart w:id="215" w:name="_Toc506107280"/>
      <w:bookmarkStart w:id="216" w:name="_Toc35425064"/>
      <w:bookmarkStart w:id="217" w:name="_Toc15058857"/>
      <w:r>
        <w:rPr>
          <w:rFonts w:hint="eastAsia" w:ascii="宋体" w:hAnsi="宋体" w:eastAsia="宋体" w:cs="宋体"/>
          <w:szCs w:val="21"/>
          <w:highlight w:val="none"/>
        </w:rPr>
        <w:t>1.10.1投标人须知前附表规定召开投标预备会的，招标人按投标人须知前附表规定的时间和地点召开投标预备会，澄清投标人提出的问题。</w:t>
      </w:r>
    </w:p>
    <w:p w14:paraId="68E1CBD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1.10.2投标人应在投标人须知前附表规定的时间前，将提出的问题送达招标人，以便招标人澄清。</w:t>
      </w:r>
    </w:p>
    <w:p w14:paraId="77334C7F">
      <w:pPr>
        <w:pStyle w:val="7"/>
        <w:ind w:firstLine="422" w:firstLineChars="200"/>
        <w:rPr>
          <w:rFonts w:hint="eastAsia" w:ascii="宋体" w:hAnsi="宋体" w:eastAsia="宋体" w:cs="宋体"/>
          <w:highlight w:val="none"/>
        </w:rPr>
      </w:pPr>
      <w:r>
        <w:rPr>
          <w:rFonts w:hint="eastAsia" w:ascii="宋体" w:hAnsi="宋体" w:eastAsia="宋体" w:cs="宋体"/>
          <w:highlight w:val="none"/>
        </w:rPr>
        <w:t>1.11 分包</w:t>
      </w:r>
      <w:bookmarkEnd w:id="207"/>
      <w:bookmarkEnd w:id="208"/>
      <w:bookmarkEnd w:id="209"/>
    </w:p>
    <w:p w14:paraId="4C37D79E">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1.11.1投标人拟在中标后将中标项目的部分非主体、非关键性工作进行分包的，应符合以下规定：</w:t>
      </w:r>
    </w:p>
    <w:p w14:paraId="656917F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（1）分包内容要求：招标人允许分包或不允许分包的专业工程（如有）应在投标人须知前附表中载明；</w:t>
      </w:r>
    </w:p>
    <w:p w14:paraId="5CB3AEC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（2）接受分包的第三人资格要求：分包人的资格能力应与其分包工程的标准和规模相适应，且具备投标人须知前附表中规定的资格条件；</w:t>
      </w:r>
    </w:p>
    <w:p w14:paraId="4C9BC43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（3）其他要求：投标人如有分包计划，应按第九章“投标文件格式”的要求填写“拟分包项目情况表”，明确拟分包的工程及规模，且投标人中标后的分包应满足合同条款的相关要求。</w:t>
      </w:r>
    </w:p>
    <w:p w14:paraId="25700247">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1.11.2中标人不得向他人转让中标项目，接受分包的人不得再次分包。中标人应就分包项目向招标人负责，接受分包的人就分包项目承担连带责任</w:t>
      </w:r>
      <w:r>
        <w:rPr>
          <w:rFonts w:hint="eastAsia" w:ascii="宋体" w:hAnsi="宋体" w:eastAsia="宋体" w:cs="宋体"/>
          <w:szCs w:val="21"/>
          <w:highlight w:val="none"/>
          <w:lang w:eastAsia="zh-CN"/>
        </w:rPr>
        <w:t>。</w:t>
      </w:r>
    </w:p>
    <w:p w14:paraId="01FA1CA0">
      <w:pPr>
        <w:pStyle w:val="7"/>
        <w:ind w:firstLine="422" w:firstLineChars="200"/>
        <w:rPr>
          <w:rFonts w:ascii="宋体" w:hAnsi="宋体" w:eastAsia="宋体" w:cs="宋体"/>
          <w:highlight w:val="none"/>
        </w:rPr>
      </w:pPr>
      <w:r>
        <w:rPr>
          <w:rFonts w:hint="eastAsia" w:ascii="宋体" w:hAnsi="宋体" w:eastAsia="宋体" w:cs="宋体"/>
          <w:highlight w:val="none"/>
        </w:rPr>
        <w:t>1.1</w:t>
      </w:r>
      <w:r>
        <w:rPr>
          <w:rFonts w:hint="eastAsia" w:ascii="宋体" w:hAnsi="宋体" w:eastAsia="宋体" w:cs="宋体"/>
          <w:highlight w:val="none"/>
          <w:lang w:val="en-US" w:eastAsia="zh-CN"/>
        </w:rPr>
        <w:t>2</w:t>
      </w:r>
      <w:r>
        <w:rPr>
          <w:rFonts w:hint="eastAsia" w:ascii="宋体" w:hAnsi="宋体" w:eastAsia="宋体" w:cs="宋体"/>
          <w:highlight w:val="none"/>
        </w:rPr>
        <w:t xml:space="preserve"> 偏离</w:t>
      </w:r>
      <w:bookmarkEnd w:id="210"/>
      <w:bookmarkEnd w:id="211"/>
      <w:bookmarkEnd w:id="212"/>
      <w:bookmarkEnd w:id="213"/>
      <w:bookmarkEnd w:id="214"/>
      <w:bookmarkEnd w:id="215"/>
      <w:bookmarkEnd w:id="216"/>
      <w:bookmarkEnd w:id="217"/>
    </w:p>
    <w:p w14:paraId="6C0210C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1.12.1投标文件偏离招标文件某些要求，视为投标文件存在偏差。偏差包括重大偏差和细微偏差。</w:t>
      </w:r>
    </w:p>
    <w:p w14:paraId="37CEA0B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1.12.2投标文件应对招标文件的实质性要求和条件作出满足性或更有利于招标人的响应，否则，视为投标文件存在重大偏差，投标人的投标将被否决。</w:t>
      </w:r>
    </w:p>
    <w:p w14:paraId="29D3BBD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投标文件存在第四章“评标办法”中所列任一无效投标情形的，均属于存在重大偏差。</w:t>
      </w:r>
    </w:p>
    <w:p w14:paraId="5FF54E7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1.12.3投标文件中的下列偏差为细微偏差：</w:t>
      </w:r>
    </w:p>
    <w:p w14:paraId="369FF23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0E80F0C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（2）投标文件个别文字有遗漏错误等不影响投标文件实质性内容的偏差。</w:t>
      </w:r>
    </w:p>
    <w:p w14:paraId="5169B9E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1.12.4评标委员会对投标文件中的细微偏差按如下规定处理：</w:t>
      </w:r>
    </w:p>
    <w:p w14:paraId="291A7C9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对于本章第 1.12.3 项（1）目所述的细微偏差，按照第四章“评标办法”的规定予以修正并要求投标人进行澄清；</w:t>
      </w:r>
    </w:p>
    <w:p w14:paraId="2BAB6D7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对于本章第 1.12.3 项（2）目所述的细微偏差，可要求投标人对细微偏差进行澄清。</w:t>
      </w:r>
    </w:p>
    <w:p w14:paraId="258F395D">
      <w:pPr>
        <w:pStyle w:val="7"/>
        <w:spacing w:beforeLines="50" w:afterLines="50"/>
        <w:ind w:firstLine="482" w:firstLineChars="200"/>
        <w:rPr>
          <w:rFonts w:ascii="宋体" w:hAnsi="宋体" w:eastAsia="宋体" w:cs="宋体"/>
          <w:sz w:val="24"/>
          <w:szCs w:val="24"/>
          <w:highlight w:val="none"/>
        </w:rPr>
      </w:pPr>
      <w:bookmarkStart w:id="218" w:name="_Toc152045542"/>
      <w:bookmarkStart w:id="219" w:name="_Toc15058858"/>
      <w:bookmarkStart w:id="220" w:name="_Toc179632560"/>
      <w:bookmarkStart w:id="221" w:name="_Toc324404827"/>
      <w:bookmarkStart w:id="222" w:name="_Toc35424899"/>
      <w:bookmarkStart w:id="223" w:name="_Toc35425065"/>
      <w:bookmarkStart w:id="224" w:name="_Toc246996930"/>
      <w:bookmarkStart w:id="225" w:name="_Toc152042318"/>
      <w:bookmarkStart w:id="226" w:name="_Toc78803334"/>
      <w:bookmarkStart w:id="227" w:name="_Toc144974510"/>
      <w:bookmarkStart w:id="228" w:name="_Toc247085701"/>
      <w:bookmarkStart w:id="229" w:name="_Toc4012"/>
      <w:bookmarkStart w:id="230" w:name="_Toc246996187"/>
      <w:bookmarkStart w:id="231" w:name="_Toc506107281"/>
      <w:r>
        <w:rPr>
          <w:rFonts w:hint="eastAsia" w:ascii="宋体" w:hAnsi="宋体" w:eastAsia="宋体" w:cs="宋体"/>
          <w:sz w:val="24"/>
          <w:szCs w:val="24"/>
          <w:highlight w:val="none"/>
        </w:rPr>
        <w:t>2. 招标文件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1E9A892E">
      <w:pPr>
        <w:pStyle w:val="7"/>
        <w:ind w:firstLine="422" w:firstLineChars="200"/>
        <w:rPr>
          <w:rFonts w:ascii="宋体" w:hAnsi="宋体" w:eastAsia="宋体" w:cs="宋体"/>
          <w:highlight w:val="none"/>
        </w:rPr>
      </w:pPr>
      <w:bookmarkStart w:id="232" w:name="_Toc15058859"/>
      <w:bookmarkStart w:id="233" w:name="_Toc152042319"/>
      <w:bookmarkStart w:id="234" w:name="_Toc247085702"/>
      <w:bookmarkStart w:id="235" w:name="_Toc246996188"/>
      <w:bookmarkStart w:id="236" w:name="_Toc152045543"/>
      <w:bookmarkStart w:id="237" w:name="_Toc506107282"/>
      <w:bookmarkStart w:id="238" w:name="_Toc324404828"/>
      <w:bookmarkStart w:id="239" w:name="_Toc144974511"/>
      <w:bookmarkStart w:id="240" w:name="_Toc13213"/>
      <w:bookmarkStart w:id="241" w:name="_Toc296602433"/>
      <w:bookmarkStart w:id="242" w:name="_Toc246996931"/>
      <w:bookmarkStart w:id="243" w:name="_Toc179632561"/>
      <w:bookmarkStart w:id="244" w:name="_Toc35424900"/>
      <w:bookmarkStart w:id="245" w:name="_Toc35425066"/>
      <w:bookmarkStart w:id="246" w:name="_Toc78803335"/>
      <w:r>
        <w:rPr>
          <w:rFonts w:hint="eastAsia" w:ascii="宋体" w:hAnsi="宋体" w:eastAsia="宋体" w:cs="宋体"/>
          <w:highlight w:val="none"/>
        </w:rPr>
        <w:t>2.1 招标文件的组成</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2F335EA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2.1.1 本招标文件包括：</w:t>
      </w:r>
    </w:p>
    <w:p w14:paraId="17A2542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（1）招标公告；</w:t>
      </w:r>
    </w:p>
    <w:p w14:paraId="309C973C">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（2）投标人须知；</w:t>
      </w:r>
    </w:p>
    <w:p w14:paraId="794E1BC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（3）资格审查办法</w:t>
      </w:r>
    </w:p>
    <w:p w14:paraId="0F96BD3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（4）评标办法；</w:t>
      </w:r>
    </w:p>
    <w:p w14:paraId="21E08D67">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（5）工程量清单</w:t>
      </w:r>
      <w:r>
        <w:rPr>
          <w:rFonts w:hint="eastAsia" w:ascii="宋体" w:hAnsi="宋体" w:eastAsia="宋体" w:cs="宋体"/>
          <w:szCs w:val="21"/>
          <w:highlight w:val="none"/>
          <w:lang w:eastAsia="zh-CN"/>
        </w:rPr>
        <w:t>；</w:t>
      </w:r>
    </w:p>
    <w:p w14:paraId="6614663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图纸</w:t>
      </w:r>
    </w:p>
    <w:p w14:paraId="70CE583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）合同条款及格式；</w:t>
      </w:r>
    </w:p>
    <w:p w14:paraId="3AB46C6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）投标文件格式；</w:t>
      </w:r>
    </w:p>
    <w:p w14:paraId="58EF797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）投标人须知前附表规定的其他材料。</w:t>
      </w:r>
    </w:p>
    <w:p w14:paraId="4A2A592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2.1.2 根据本章第1.10款、第2.2款和第2.3款对招标文件所作的澄清、修改，构成招标文件的组成部分。</w:t>
      </w:r>
    </w:p>
    <w:p w14:paraId="07992AB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2.1.3当招标文件、招标文件的澄清或修改等在同一内容的表述上不一致时，以最后发出的文件为准。</w:t>
      </w:r>
    </w:p>
    <w:p w14:paraId="3B513EA0">
      <w:pPr>
        <w:pStyle w:val="7"/>
        <w:ind w:firstLine="422" w:firstLineChars="200"/>
        <w:rPr>
          <w:rFonts w:hint="eastAsia" w:ascii="宋体" w:hAnsi="宋体" w:eastAsia="宋体" w:cs="宋体"/>
          <w:highlight w:val="none"/>
        </w:rPr>
      </w:pPr>
      <w:bookmarkStart w:id="247" w:name="_Toc32239"/>
      <w:bookmarkStart w:id="248" w:name="_Toc35425067"/>
      <w:bookmarkStart w:id="249" w:name="_Toc144974512"/>
      <w:bookmarkStart w:id="250" w:name="_Toc246996932"/>
      <w:bookmarkStart w:id="251" w:name="_Toc35424901"/>
      <w:bookmarkStart w:id="252" w:name="_Toc246996189"/>
      <w:bookmarkStart w:id="253" w:name="_Toc296602434"/>
      <w:bookmarkStart w:id="254" w:name="_Toc247085703"/>
      <w:bookmarkStart w:id="255" w:name="_Toc324404829"/>
      <w:bookmarkStart w:id="256" w:name="_Toc15058860"/>
      <w:bookmarkStart w:id="257" w:name="_Toc152045544"/>
      <w:bookmarkStart w:id="258" w:name="_Toc179632562"/>
      <w:bookmarkStart w:id="259" w:name="_Toc78803336"/>
      <w:bookmarkStart w:id="260" w:name="_Toc506107283"/>
      <w:bookmarkStart w:id="261" w:name="_Toc152042320"/>
      <w:r>
        <w:rPr>
          <w:rFonts w:hint="eastAsia" w:ascii="宋体" w:hAnsi="宋体" w:eastAsia="宋体" w:cs="宋体"/>
          <w:highlight w:val="none"/>
        </w:rPr>
        <w:t xml:space="preserve">2.2 </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宋体" w:hAnsi="宋体" w:eastAsia="宋体" w:cs="宋体"/>
          <w:highlight w:val="none"/>
        </w:rPr>
        <w:t>招标文件的异议</w:t>
      </w:r>
    </w:p>
    <w:p w14:paraId="47165EFB">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投标人应仔细阅读和检查招标文件的全部内容。如有疑问，应在投标人须知前附表规定的时间前</w:t>
      </w:r>
      <w:r>
        <w:rPr>
          <w:rFonts w:hint="eastAsia" w:ascii="宋体" w:hAnsi="宋体" w:eastAsia="宋体" w:cs="宋体"/>
          <w:color w:val="auto"/>
          <w:szCs w:val="21"/>
          <w:highlight w:val="none"/>
          <w:lang w:val="en-US" w:eastAsia="zh-CN"/>
        </w:rPr>
        <w:t>登录新点电子交易平台【滁州专区】线上提出</w:t>
      </w:r>
      <w:r>
        <w:rPr>
          <w:rFonts w:hint="eastAsia" w:ascii="宋体" w:hAnsi="宋体" w:cs="宋体"/>
          <w:szCs w:val="21"/>
          <w:highlight w:val="none"/>
        </w:rPr>
        <w:t>。</w:t>
      </w:r>
    </w:p>
    <w:p w14:paraId="5EC8A5BB">
      <w:pPr>
        <w:pStyle w:val="7"/>
        <w:ind w:firstLine="422" w:firstLineChars="200"/>
        <w:rPr>
          <w:rFonts w:hint="eastAsia" w:ascii="宋体" w:hAnsi="宋体" w:eastAsia="宋体" w:cs="宋体"/>
          <w:highlight w:val="none"/>
          <w:lang w:eastAsia="zh-CN"/>
        </w:rPr>
      </w:pPr>
      <w:bookmarkStart w:id="262" w:name="_Toc246996933"/>
      <w:bookmarkStart w:id="263" w:name="_Toc144974513"/>
      <w:bookmarkStart w:id="264" w:name="_Toc78803337"/>
      <w:bookmarkStart w:id="265" w:name="_Toc24633"/>
      <w:bookmarkStart w:id="266" w:name="_Toc15058861"/>
      <w:bookmarkStart w:id="267" w:name="_Toc246996190"/>
      <w:bookmarkStart w:id="268" w:name="_Toc247085704"/>
      <w:bookmarkStart w:id="269" w:name="_Toc152042321"/>
      <w:bookmarkStart w:id="270" w:name="_Toc324404830"/>
      <w:bookmarkStart w:id="271" w:name="_Toc296602435"/>
      <w:bookmarkStart w:id="272" w:name="_Toc506107284"/>
      <w:bookmarkStart w:id="273" w:name="_Toc152045545"/>
      <w:bookmarkStart w:id="274" w:name="_Toc179632563"/>
      <w:bookmarkStart w:id="275" w:name="_Toc35424902"/>
      <w:bookmarkStart w:id="276" w:name="_Toc35425068"/>
      <w:r>
        <w:rPr>
          <w:rFonts w:hint="eastAsia" w:ascii="宋体" w:hAnsi="宋体" w:eastAsia="宋体" w:cs="宋体"/>
          <w:highlight w:val="none"/>
        </w:rPr>
        <w:t>2.3 招标文件的</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Pr>
          <w:rFonts w:hint="eastAsia" w:ascii="宋体" w:hAnsi="宋体" w:eastAsia="宋体" w:cs="宋体"/>
          <w:highlight w:val="none"/>
          <w:lang w:val="en-US" w:eastAsia="zh-CN"/>
        </w:rPr>
        <w:t>澄清</w:t>
      </w:r>
    </w:p>
    <w:p w14:paraId="47D94C5D">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Cs w:val="21"/>
          <w:highlight w:val="none"/>
        </w:rPr>
      </w:pPr>
      <w:bookmarkStart w:id="277" w:name="_Toc35425069"/>
      <w:bookmarkStart w:id="278" w:name="_Toc35424903"/>
      <w:bookmarkStart w:id="279" w:name="_Toc15058862"/>
      <w:bookmarkStart w:id="280" w:name="_Toc2696"/>
      <w:bookmarkStart w:id="281" w:name="_Toc324404831"/>
      <w:bookmarkStart w:id="282" w:name="_Toc78803338"/>
      <w:r>
        <w:rPr>
          <w:rFonts w:hint="eastAsia" w:ascii="宋体" w:hAnsi="宋体" w:eastAsia="宋体" w:cs="宋体"/>
          <w:szCs w:val="21"/>
          <w:highlight w:val="none"/>
        </w:rPr>
        <w:t>招标文件的澄清将在</w:t>
      </w:r>
      <w:r>
        <w:rPr>
          <w:rFonts w:hint="eastAsia" w:ascii="宋体" w:hAnsi="宋体" w:eastAsia="宋体" w:cs="宋体"/>
          <w:szCs w:val="21"/>
          <w:highlight w:val="none"/>
          <w:lang w:val="en-US" w:eastAsia="zh-CN"/>
        </w:rPr>
        <w:t>滁州市城投工程咨询管理有限公司网站</w:t>
      </w:r>
      <w:r>
        <w:rPr>
          <w:rFonts w:hint="eastAsia" w:ascii="宋体" w:hAnsi="宋体" w:eastAsia="宋体" w:cs="宋体"/>
          <w:szCs w:val="21"/>
          <w:highlight w:val="none"/>
        </w:rPr>
        <w:t>（https://www.czctgczx.com/）发布，但不指明澄清问题的来源。如果澄清发出的时间距投标人须知前附表规定的投标截止时间不足15天，并且澄清内容影响投标文件编制的，将相应延长投标截止时间。</w:t>
      </w:r>
    </w:p>
    <w:bookmarkEnd w:id="277"/>
    <w:bookmarkEnd w:id="278"/>
    <w:bookmarkEnd w:id="279"/>
    <w:bookmarkEnd w:id="280"/>
    <w:bookmarkEnd w:id="281"/>
    <w:bookmarkEnd w:id="282"/>
    <w:p w14:paraId="5681C7DF">
      <w:pPr>
        <w:pStyle w:val="7"/>
        <w:spacing w:beforeLines="50" w:afterLines="50"/>
        <w:ind w:firstLine="482" w:firstLineChars="200"/>
        <w:rPr>
          <w:rFonts w:ascii="宋体" w:hAnsi="宋体" w:eastAsia="宋体" w:cs="宋体"/>
          <w:sz w:val="24"/>
          <w:szCs w:val="24"/>
          <w:highlight w:val="none"/>
        </w:rPr>
      </w:pPr>
      <w:bookmarkStart w:id="283" w:name="_Toc152042322"/>
      <w:bookmarkStart w:id="284" w:name="_Toc506107285"/>
      <w:bookmarkStart w:id="285" w:name="_Toc6464"/>
      <w:bookmarkStart w:id="286" w:name="_Toc15058863"/>
      <w:bookmarkStart w:id="287" w:name="_Toc144974514"/>
      <w:bookmarkStart w:id="288" w:name="_Toc247085705"/>
      <w:bookmarkStart w:id="289" w:name="_Toc246996934"/>
      <w:bookmarkStart w:id="290" w:name="_Toc179632564"/>
      <w:bookmarkStart w:id="291" w:name="_Toc78803339"/>
      <w:bookmarkStart w:id="292" w:name="_Toc35425070"/>
      <w:bookmarkStart w:id="293" w:name="_Toc152045546"/>
      <w:bookmarkStart w:id="294" w:name="_Toc246996191"/>
      <w:bookmarkStart w:id="295" w:name="_Toc35424904"/>
      <w:bookmarkStart w:id="296" w:name="_Toc324404832"/>
      <w:r>
        <w:rPr>
          <w:rFonts w:hint="eastAsia" w:ascii="宋体" w:hAnsi="宋体" w:eastAsia="宋体" w:cs="宋体"/>
          <w:sz w:val="24"/>
          <w:szCs w:val="24"/>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218225A2">
      <w:pPr>
        <w:pStyle w:val="7"/>
        <w:ind w:firstLine="422" w:firstLineChars="200"/>
        <w:rPr>
          <w:rFonts w:ascii="宋体" w:hAnsi="宋体" w:eastAsia="宋体" w:cs="宋体"/>
          <w:highlight w:val="none"/>
        </w:rPr>
      </w:pPr>
      <w:bookmarkStart w:id="297" w:name="_Toc506107286"/>
      <w:bookmarkStart w:id="298" w:name="_Toc247085706"/>
      <w:bookmarkStart w:id="299" w:name="_Toc152045547"/>
      <w:bookmarkStart w:id="300" w:name="_Toc296602437"/>
      <w:bookmarkStart w:id="301" w:name="_Toc179632565"/>
      <w:bookmarkStart w:id="302" w:name="_Toc246996192"/>
      <w:bookmarkStart w:id="303" w:name="_Toc144974515"/>
      <w:bookmarkStart w:id="304" w:name="_Toc324404833"/>
      <w:bookmarkStart w:id="305" w:name="_Toc246996935"/>
      <w:bookmarkStart w:id="306" w:name="_Toc15058864"/>
      <w:bookmarkStart w:id="307" w:name="_Toc78803340"/>
      <w:bookmarkStart w:id="308" w:name="_Toc152042323"/>
      <w:bookmarkStart w:id="309" w:name="_Toc35425071"/>
      <w:bookmarkStart w:id="310" w:name="_Toc157"/>
      <w:bookmarkStart w:id="311" w:name="_Toc35424905"/>
      <w:r>
        <w:rPr>
          <w:rFonts w:hint="eastAsia" w:ascii="宋体" w:hAnsi="宋体" w:eastAsia="宋体" w:cs="宋体"/>
          <w:highlight w:val="none"/>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6871D10E">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lang w:eastAsia="zh-CN"/>
        </w:rPr>
        <w:t>投标文件</w:t>
      </w:r>
      <w:r>
        <w:rPr>
          <w:rFonts w:hint="eastAsia" w:ascii="宋体" w:hAnsi="宋体" w:cs="宋体"/>
          <w:szCs w:val="21"/>
          <w:highlight w:val="none"/>
        </w:rPr>
        <w:t>由</w:t>
      </w:r>
      <w:r>
        <w:rPr>
          <w:rFonts w:hint="eastAsia" w:ascii="宋体" w:hAnsi="宋体" w:cs="宋体"/>
          <w:szCs w:val="21"/>
          <w:highlight w:val="none"/>
          <w:lang w:eastAsia="zh-CN"/>
        </w:rPr>
        <w:t>投标文件</w:t>
      </w:r>
      <w:r>
        <w:rPr>
          <w:rFonts w:hint="eastAsia" w:ascii="宋体" w:hAnsi="宋体" w:cs="宋体"/>
          <w:szCs w:val="21"/>
          <w:highlight w:val="none"/>
        </w:rPr>
        <w:t>一（资信证明文件）</w:t>
      </w:r>
      <w:r>
        <w:rPr>
          <w:rFonts w:hint="eastAsia" w:ascii="宋体" w:hAnsi="宋体" w:cs="宋体"/>
          <w:szCs w:val="21"/>
          <w:highlight w:val="none"/>
          <w:lang w:eastAsia="zh-CN"/>
        </w:rPr>
        <w:t>、投标文件</w:t>
      </w:r>
      <w:r>
        <w:rPr>
          <w:rFonts w:hint="eastAsia" w:ascii="宋体" w:hAnsi="宋体" w:cs="宋体"/>
          <w:szCs w:val="21"/>
          <w:highlight w:val="none"/>
          <w:lang w:val="en-US" w:eastAsia="zh-CN"/>
        </w:rPr>
        <w:t>二</w:t>
      </w:r>
      <w:r>
        <w:rPr>
          <w:rFonts w:hint="eastAsia" w:ascii="宋体" w:hAnsi="宋体" w:cs="宋体"/>
          <w:szCs w:val="21"/>
          <w:highlight w:val="none"/>
        </w:rPr>
        <w:t>（</w:t>
      </w:r>
      <w:r>
        <w:rPr>
          <w:rFonts w:hint="eastAsia" w:ascii="宋体" w:hAnsi="宋体" w:cs="宋体"/>
          <w:szCs w:val="21"/>
          <w:highlight w:val="none"/>
          <w:lang w:val="en-US" w:eastAsia="zh-CN"/>
        </w:rPr>
        <w:t>技术标文件</w:t>
      </w:r>
      <w:r>
        <w:rPr>
          <w:rFonts w:hint="eastAsia" w:ascii="宋体" w:hAnsi="宋体" w:cs="宋体"/>
          <w:szCs w:val="21"/>
          <w:highlight w:val="none"/>
        </w:rPr>
        <w:t>）</w:t>
      </w:r>
      <w:r>
        <w:rPr>
          <w:rFonts w:hint="eastAsia" w:ascii="宋体" w:hAnsi="宋体" w:cs="宋体"/>
          <w:szCs w:val="21"/>
          <w:highlight w:val="none"/>
          <w:lang w:val="en-US" w:eastAsia="zh-CN"/>
        </w:rPr>
        <w:t>和</w:t>
      </w:r>
      <w:r>
        <w:rPr>
          <w:rFonts w:hint="eastAsia" w:ascii="宋体" w:hAnsi="宋体" w:cs="宋体"/>
          <w:szCs w:val="21"/>
          <w:highlight w:val="none"/>
          <w:lang w:eastAsia="zh-CN"/>
        </w:rPr>
        <w:t>投标文件</w:t>
      </w:r>
      <w:r>
        <w:rPr>
          <w:rFonts w:hint="eastAsia" w:ascii="宋体" w:hAnsi="宋体" w:cs="宋体"/>
          <w:szCs w:val="21"/>
          <w:highlight w:val="none"/>
          <w:lang w:val="en-US" w:eastAsia="zh-CN"/>
        </w:rPr>
        <w:t>三</w:t>
      </w:r>
      <w:r>
        <w:rPr>
          <w:rFonts w:hint="eastAsia" w:ascii="宋体" w:hAnsi="宋体" w:cs="宋体"/>
          <w:szCs w:val="21"/>
          <w:highlight w:val="none"/>
        </w:rPr>
        <w:t>（商务标</w:t>
      </w:r>
      <w:r>
        <w:rPr>
          <w:rFonts w:hint="eastAsia" w:ascii="宋体" w:hAnsi="宋体" w:cs="宋体"/>
          <w:szCs w:val="21"/>
          <w:highlight w:val="none"/>
          <w:lang w:val="en-US" w:eastAsia="zh-CN"/>
        </w:rPr>
        <w:t>文件</w:t>
      </w:r>
      <w:r>
        <w:rPr>
          <w:rFonts w:hint="eastAsia" w:ascii="宋体" w:hAnsi="宋体" w:cs="宋体"/>
          <w:szCs w:val="21"/>
          <w:highlight w:val="none"/>
        </w:rPr>
        <w:t>）</w:t>
      </w:r>
      <w:r>
        <w:rPr>
          <w:rFonts w:hint="eastAsia" w:ascii="宋体" w:hAnsi="宋体" w:cs="宋体"/>
          <w:szCs w:val="21"/>
          <w:highlight w:val="none"/>
          <w:lang w:val="en-US" w:eastAsia="zh-CN"/>
        </w:rPr>
        <w:t>三</w:t>
      </w:r>
      <w:r>
        <w:rPr>
          <w:rFonts w:hint="eastAsia" w:ascii="宋体" w:hAnsi="宋体" w:cs="宋体"/>
          <w:szCs w:val="21"/>
          <w:highlight w:val="none"/>
        </w:rPr>
        <w:t>部分组成</w:t>
      </w:r>
      <w:r>
        <w:rPr>
          <w:rFonts w:hint="eastAsia" w:ascii="宋体" w:hAnsi="宋体" w:cs="宋体"/>
          <w:szCs w:val="21"/>
          <w:highlight w:val="none"/>
          <w:lang w:eastAsia="zh-CN"/>
        </w:rPr>
        <w:t>。</w:t>
      </w:r>
      <w:r>
        <w:rPr>
          <w:rFonts w:hint="eastAsia" w:ascii="宋体" w:hAnsi="宋体" w:cs="宋体"/>
          <w:szCs w:val="21"/>
          <w:highlight w:val="none"/>
        </w:rPr>
        <w:t>具体要求详见本招标文件第</w:t>
      </w:r>
      <w:r>
        <w:rPr>
          <w:rFonts w:hint="eastAsia" w:ascii="宋体" w:hAnsi="宋体" w:cs="宋体"/>
          <w:szCs w:val="21"/>
          <w:highlight w:val="none"/>
          <w:lang w:val="en-US" w:eastAsia="zh-CN"/>
        </w:rPr>
        <w:t>九</w:t>
      </w:r>
      <w:r>
        <w:rPr>
          <w:rFonts w:hint="eastAsia" w:ascii="宋体" w:hAnsi="宋体" w:cs="宋体"/>
          <w:szCs w:val="21"/>
          <w:highlight w:val="none"/>
        </w:rPr>
        <w:t>章“投标文件格式”。</w:t>
      </w:r>
    </w:p>
    <w:p w14:paraId="68B92645">
      <w:pPr>
        <w:pStyle w:val="7"/>
        <w:ind w:firstLine="422" w:firstLineChars="200"/>
        <w:rPr>
          <w:rFonts w:ascii="宋体" w:hAnsi="宋体" w:eastAsia="宋体" w:cs="宋体"/>
          <w:highlight w:val="none"/>
        </w:rPr>
      </w:pPr>
      <w:bookmarkStart w:id="312" w:name="_Toc15058865"/>
      <w:bookmarkStart w:id="313" w:name="_Toc506107287"/>
      <w:bookmarkStart w:id="314" w:name="_Toc35424906"/>
      <w:bookmarkStart w:id="315" w:name="_Toc246996936"/>
      <w:bookmarkStart w:id="316" w:name="_Toc152045548"/>
      <w:bookmarkStart w:id="317" w:name="_Toc324404834"/>
      <w:bookmarkStart w:id="318" w:name="_Toc78803341"/>
      <w:bookmarkStart w:id="319" w:name="_Toc179632566"/>
      <w:bookmarkStart w:id="320" w:name="_Toc35425072"/>
      <w:bookmarkStart w:id="321" w:name="_Toc296602438"/>
      <w:bookmarkStart w:id="322" w:name="_Toc6829"/>
      <w:bookmarkStart w:id="323" w:name="_Toc144974516"/>
      <w:bookmarkStart w:id="324" w:name="_Toc152042324"/>
      <w:bookmarkStart w:id="325" w:name="_Toc247085707"/>
      <w:bookmarkStart w:id="326" w:name="_Toc246996193"/>
      <w:r>
        <w:rPr>
          <w:rFonts w:hint="eastAsia" w:ascii="宋体" w:hAnsi="宋体" w:eastAsia="宋体" w:cs="宋体"/>
          <w:highlight w:val="none"/>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705FA1B6">
      <w:pPr>
        <w:spacing w:line="440" w:lineRule="exact"/>
        <w:ind w:firstLine="420" w:firstLineChars="200"/>
        <w:jc w:val="left"/>
        <w:rPr>
          <w:rFonts w:hint="eastAsia" w:ascii="宋体" w:hAnsi="宋体" w:eastAsia="宋体" w:cs="宋体"/>
          <w:szCs w:val="21"/>
          <w:highlight w:val="none"/>
          <w:lang w:eastAsia="zh-CN"/>
        </w:rPr>
      </w:pPr>
      <w:bookmarkStart w:id="327" w:name="_Toc144974517"/>
      <w:bookmarkStart w:id="328" w:name="_Toc296602439"/>
      <w:bookmarkStart w:id="329" w:name="_Toc152045549"/>
      <w:bookmarkStart w:id="330" w:name="_Toc35425073"/>
      <w:bookmarkStart w:id="331" w:name="_Toc179632567"/>
      <w:bookmarkStart w:id="332" w:name="_Toc31735"/>
      <w:bookmarkStart w:id="333" w:name="_Toc324404835"/>
      <w:bookmarkStart w:id="334" w:name="_Toc15058866"/>
      <w:bookmarkStart w:id="335" w:name="_Toc35424907"/>
      <w:bookmarkStart w:id="336" w:name="_Toc246996937"/>
      <w:bookmarkStart w:id="337" w:name="_Toc78803342"/>
      <w:bookmarkStart w:id="338" w:name="_Toc506107288"/>
      <w:bookmarkStart w:id="339" w:name="_Toc246996194"/>
      <w:bookmarkStart w:id="340" w:name="_Toc247085708"/>
      <w:bookmarkStart w:id="341" w:name="_Toc152042325"/>
      <w:r>
        <w:rPr>
          <w:rFonts w:hint="eastAsia" w:ascii="宋体" w:hAnsi="宋体" w:eastAsia="宋体" w:cs="宋体"/>
          <w:szCs w:val="21"/>
          <w:highlight w:val="none"/>
          <w:lang w:eastAsia="zh-CN"/>
        </w:rPr>
        <w:t>3.2.1投标报价应包括国家规定的增值税税金，除投标人须知前附表另有规定外，增值税税金按一般计税方法计算。投标人应按第</w:t>
      </w:r>
      <w:r>
        <w:rPr>
          <w:rFonts w:hint="eastAsia" w:ascii="宋体" w:hAnsi="宋体" w:eastAsia="宋体" w:cs="宋体"/>
          <w:szCs w:val="21"/>
          <w:highlight w:val="none"/>
          <w:lang w:val="en-US" w:eastAsia="zh-CN"/>
        </w:rPr>
        <w:t>九</w:t>
      </w:r>
      <w:r>
        <w:rPr>
          <w:rFonts w:hint="eastAsia" w:ascii="宋体" w:hAnsi="宋体" w:eastAsia="宋体" w:cs="宋体"/>
          <w:szCs w:val="21"/>
          <w:highlight w:val="none"/>
          <w:lang w:eastAsia="zh-CN"/>
        </w:rPr>
        <w:t>章“投标文件格式”的要求在投标函中进行报价并填写工程量清单相应表格。</w:t>
      </w:r>
    </w:p>
    <w:p w14:paraId="1192EB75">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3.2.2投标人应充分了解本项目的总体情况以及影响投标报价的其他要素。</w:t>
      </w:r>
    </w:p>
    <w:p w14:paraId="68694043">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3.2.3投标人在投标截止时间前修改投标函中的投标报价总额，应同时修改“已标价工程量清单”中的相应报价，投标报价总额为各分项金额之和。此修改须符合本章第4.4款的有关要求。</w:t>
      </w:r>
    </w:p>
    <w:p w14:paraId="037A7F9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3.2.4招标人设有最高投标限价的，投标人的投标报价不得超过最高投标限价，最高投标限价在投标人须知前附表中载明。</w:t>
      </w:r>
    </w:p>
    <w:p w14:paraId="7C1D3D58">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3.2.5 投标报价的其他要求见投标人须知前附表。</w:t>
      </w:r>
    </w:p>
    <w:p w14:paraId="454C15E1">
      <w:pPr>
        <w:pStyle w:val="7"/>
        <w:ind w:firstLine="422" w:firstLineChars="200"/>
        <w:rPr>
          <w:rFonts w:ascii="宋体" w:hAnsi="宋体" w:eastAsia="宋体" w:cs="宋体"/>
          <w:highlight w:val="none"/>
        </w:rPr>
      </w:pPr>
      <w:r>
        <w:rPr>
          <w:rFonts w:hint="eastAsia" w:ascii="宋体" w:hAnsi="宋体" w:eastAsia="宋体" w:cs="宋体"/>
          <w:highlight w:val="none"/>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38E346F9">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3.3.1 除投标人须知前附表另有规定外，投标有效期为90天。</w:t>
      </w:r>
    </w:p>
    <w:p w14:paraId="19262D1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3.3.2在投标有效期内，投标人撤销或修改其投标文件的，应承担招标文件和法律规定的责任。</w:t>
      </w:r>
    </w:p>
    <w:p w14:paraId="68D42DB1">
      <w:pPr>
        <w:spacing w:line="440" w:lineRule="exact"/>
        <w:ind w:firstLine="420" w:firstLineChars="200"/>
        <w:jc w:val="left"/>
        <w:rPr>
          <w:rFonts w:ascii="宋体" w:hAnsi="宋体" w:cs="宋体"/>
          <w:szCs w:val="21"/>
          <w:highlight w:val="none"/>
        </w:rPr>
      </w:pPr>
      <w:bookmarkStart w:id="342" w:name="_Toc144974518"/>
      <w:bookmarkStart w:id="343" w:name="_Toc35425074"/>
      <w:bookmarkStart w:id="344" w:name="_Toc15058867"/>
      <w:bookmarkStart w:id="345" w:name="_Toc296602440"/>
      <w:bookmarkStart w:id="346" w:name="_Toc10714"/>
      <w:bookmarkStart w:id="347" w:name="_Toc324404836"/>
      <w:bookmarkStart w:id="348" w:name="_Toc246996938"/>
      <w:bookmarkStart w:id="349" w:name="_Toc179632568"/>
      <w:bookmarkStart w:id="350" w:name="_Toc152045550"/>
      <w:bookmarkStart w:id="351" w:name="_Toc506107289"/>
      <w:bookmarkStart w:id="352" w:name="_Toc78803343"/>
      <w:bookmarkStart w:id="353" w:name="_Toc152042326"/>
      <w:bookmarkStart w:id="354" w:name="_Toc247085709"/>
      <w:bookmarkStart w:id="355" w:name="_Toc246996195"/>
      <w:bookmarkStart w:id="356" w:name="_Toc35424908"/>
      <w:r>
        <w:rPr>
          <w:rFonts w:hint="eastAsia" w:ascii="宋体" w:hAnsi="宋体" w:eastAsia="宋体" w:cs="宋体"/>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80A1DA0">
      <w:pPr>
        <w:pStyle w:val="7"/>
        <w:ind w:firstLine="422" w:firstLineChars="200"/>
        <w:rPr>
          <w:rFonts w:hint="eastAsia" w:ascii="宋体" w:hAnsi="宋体" w:eastAsia="宋体" w:cs="宋体"/>
          <w:highlight w:val="none"/>
        </w:rPr>
      </w:pPr>
      <w:r>
        <w:rPr>
          <w:rFonts w:hint="eastAsia" w:ascii="宋体" w:hAnsi="宋体" w:eastAsia="宋体" w:cs="宋体"/>
          <w:highlight w:val="none"/>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10C7E5CB">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bookmarkStart w:id="357" w:name="_Toc35424909"/>
      <w:bookmarkStart w:id="358" w:name="_Toc19037"/>
      <w:bookmarkStart w:id="359" w:name="_Toc506107290"/>
      <w:bookmarkStart w:id="360" w:name="_Toc15058868"/>
      <w:bookmarkStart w:id="361" w:name="_Toc324404837"/>
      <w:bookmarkStart w:id="362" w:name="_Toc296602442"/>
      <w:bookmarkStart w:id="363" w:name="_Toc78803344"/>
      <w:bookmarkStart w:id="364" w:name="_Toc35425075"/>
      <w:bookmarkStart w:id="365" w:name="_Toc246996940"/>
      <w:bookmarkStart w:id="366" w:name="_Toc152045553"/>
      <w:bookmarkStart w:id="367" w:name="_Toc246996197"/>
      <w:bookmarkStart w:id="368" w:name="_Toc144974521"/>
      <w:bookmarkStart w:id="369" w:name="_Toc179632571"/>
      <w:bookmarkStart w:id="370" w:name="_Toc247085711"/>
      <w:bookmarkStart w:id="371" w:name="_Toc152042329"/>
      <w:r>
        <w:rPr>
          <w:rFonts w:hint="eastAsia" w:ascii="宋体" w:hAnsi="宋体" w:cs="宋体"/>
          <w:color w:val="000000"/>
          <w:szCs w:val="21"/>
        </w:rPr>
        <w:t xml:space="preserve">3.4.1 </w:t>
      </w:r>
      <w:r>
        <w:rPr>
          <w:rFonts w:hint="eastAsia" w:ascii="宋体" w:hAnsi="宋体" w:cs="宋体"/>
          <w:color w:val="000000"/>
          <w:szCs w:val="21"/>
          <w:lang w:val="en-US" w:eastAsia="zh-CN"/>
        </w:rPr>
        <w:t>招标公告</w:t>
      </w:r>
      <w:r>
        <w:rPr>
          <w:rFonts w:hint="eastAsia" w:ascii="宋体" w:hAnsi="宋体" w:cs="宋体"/>
          <w:color w:val="000000"/>
          <w:szCs w:val="21"/>
        </w:rPr>
        <w:t>规定递交投标保证金的，投标人在递交投标文件的同时，应按</w:t>
      </w:r>
      <w:r>
        <w:rPr>
          <w:rFonts w:hint="eastAsia" w:ascii="宋体" w:hAnsi="宋体" w:cs="宋体"/>
          <w:color w:val="000000"/>
          <w:szCs w:val="21"/>
          <w:lang w:val="en-US" w:eastAsia="zh-CN"/>
        </w:rPr>
        <w:t>招标公告</w:t>
      </w:r>
      <w:r>
        <w:rPr>
          <w:rFonts w:hint="eastAsia" w:ascii="宋体" w:hAnsi="宋体" w:cs="宋体"/>
          <w:color w:val="000000"/>
          <w:szCs w:val="21"/>
        </w:rPr>
        <w:t>规定的金额、担保形式或者事先经过招标人认可的保证金格式递交保证金，并作为其投标文件的组成部分。</w:t>
      </w:r>
    </w:p>
    <w:p w14:paraId="1FA6B470">
      <w:pPr>
        <w:pageBreakBefore w:val="0"/>
        <w:widowControl w:val="0"/>
        <w:kinsoku/>
        <w:wordWrap/>
        <w:overflowPunct/>
        <w:topLinePunct w:val="0"/>
        <w:autoSpaceDE/>
        <w:autoSpaceDN/>
        <w:bidi w:val="0"/>
        <w:adjustRightInd w:val="0"/>
        <w:snapToGrid w:val="0"/>
        <w:spacing w:line="440" w:lineRule="exact"/>
        <w:textAlignment w:val="auto"/>
        <w:rPr>
          <w:rFonts w:ascii="宋体" w:hAnsi="宋体" w:cs="宋体"/>
          <w:color w:val="000000"/>
          <w:szCs w:val="21"/>
        </w:rPr>
      </w:pPr>
      <w:r>
        <w:rPr>
          <w:rFonts w:hint="eastAsia" w:ascii="宋体" w:hAnsi="宋体" w:cs="宋体"/>
          <w:color w:val="000000"/>
          <w:szCs w:val="21"/>
        </w:rPr>
        <w:t xml:space="preserve">    无论采取何种形式的投标保证金，投标保证金有效期均应与投标有效期一致（</w:t>
      </w:r>
      <w:r>
        <w:rPr>
          <w:rFonts w:hint="eastAsia"/>
          <w:color w:val="000000"/>
        </w:rPr>
        <w:t>采用投标电子保函的保证期截止时间不得早于该项目投标有效期的截止时间</w:t>
      </w:r>
      <w:r>
        <w:rPr>
          <w:rFonts w:hint="eastAsia" w:ascii="宋体" w:hAnsi="宋体" w:cs="宋体"/>
          <w:color w:val="000000"/>
          <w:szCs w:val="21"/>
        </w:rPr>
        <w:t>）。招标人如果按本章第3.3.3项的规定延长了投标有效期，则投标保证金的有效期也相应延长。</w:t>
      </w:r>
    </w:p>
    <w:p w14:paraId="218F6CA2">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3.4.2 投标人不按本章第3.4.1项要求提交投标保证金的，评标委员会将否决其投标。</w:t>
      </w:r>
    </w:p>
    <w:p w14:paraId="244A3FFB">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3.4.3 未中标投标人的投标保证金，</w:t>
      </w:r>
      <w:r>
        <w:rPr>
          <w:rFonts w:hint="eastAsia" w:ascii="宋体" w:hAnsi="宋体" w:eastAsia="宋体" w:cs="宋体"/>
          <w:color w:val="000000"/>
          <w:szCs w:val="21"/>
          <w:lang w:val="en-US" w:eastAsia="zh-CN"/>
        </w:rPr>
        <w:t>中标通知书发放后五个工作日内退还</w:t>
      </w:r>
      <w:r>
        <w:rPr>
          <w:rFonts w:hint="eastAsia" w:ascii="宋体" w:hAnsi="宋体" w:eastAsia="宋体" w:cs="宋体"/>
          <w:color w:val="000000"/>
          <w:szCs w:val="21"/>
        </w:rPr>
        <w:t>保证金到达原交纳的账户；中标人的投标保证金，</w:t>
      </w:r>
      <w:r>
        <w:rPr>
          <w:rFonts w:hint="eastAsia" w:ascii="宋体" w:hAnsi="宋体" w:eastAsia="宋体" w:cs="宋体"/>
          <w:color w:val="000000"/>
          <w:szCs w:val="21"/>
          <w:lang w:val="en-US" w:eastAsia="zh-CN"/>
        </w:rPr>
        <w:t>订合同后五个工作日内</w:t>
      </w:r>
      <w:r>
        <w:rPr>
          <w:rFonts w:hint="eastAsia" w:ascii="宋体" w:hAnsi="宋体" w:eastAsia="宋体" w:cs="宋体"/>
          <w:color w:val="000000"/>
          <w:szCs w:val="21"/>
        </w:rPr>
        <w:t>退付保证金到达原交纳的账户。</w:t>
      </w:r>
    </w:p>
    <w:p w14:paraId="3A7F9ECA">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 xml:space="preserve">3.4.4 有下列情形之一的，投标保证金将不予退还： </w:t>
      </w:r>
    </w:p>
    <w:p w14:paraId="7B47B873">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（1）投标截止后投标人撤销投标文件的；</w:t>
      </w:r>
    </w:p>
    <w:p w14:paraId="466F5123">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（2）中标人无正当理由不与招标人订立合同，在签订合同时向招标人提出附加条件，或者不按照招标文件要求提交履约保证金的。</w:t>
      </w:r>
    </w:p>
    <w:p w14:paraId="31A74824">
      <w:pPr>
        <w:pStyle w:val="7"/>
        <w:ind w:firstLine="422" w:firstLineChars="200"/>
        <w:rPr>
          <w:rFonts w:ascii="宋体" w:hAnsi="宋体" w:eastAsia="宋体" w:cs="宋体"/>
          <w:highlight w:val="none"/>
        </w:rPr>
      </w:pPr>
      <w:r>
        <w:rPr>
          <w:rFonts w:hint="eastAsia" w:ascii="宋体" w:hAnsi="宋体" w:eastAsia="宋体" w:cs="宋体"/>
          <w:highlight w:val="none"/>
        </w:rPr>
        <w:t>3.5投标文件的编制</w:t>
      </w:r>
      <w:bookmarkEnd w:id="357"/>
      <w:bookmarkEnd w:id="358"/>
      <w:bookmarkEnd w:id="359"/>
      <w:bookmarkEnd w:id="360"/>
      <w:bookmarkEnd w:id="361"/>
      <w:bookmarkEnd w:id="362"/>
      <w:bookmarkEnd w:id="363"/>
      <w:bookmarkEnd w:id="364"/>
    </w:p>
    <w:bookmarkEnd w:id="365"/>
    <w:bookmarkEnd w:id="366"/>
    <w:bookmarkEnd w:id="367"/>
    <w:bookmarkEnd w:id="368"/>
    <w:bookmarkEnd w:id="369"/>
    <w:bookmarkEnd w:id="370"/>
    <w:bookmarkEnd w:id="371"/>
    <w:p w14:paraId="5BD1A4A0">
      <w:pPr>
        <w:spacing w:line="440" w:lineRule="exact"/>
        <w:ind w:firstLine="420" w:firstLineChars="200"/>
        <w:jc w:val="left"/>
        <w:rPr>
          <w:rFonts w:hint="eastAsia" w:ascii="宋体" w:hAnsi="宋体" w:eastAsia="宋体" w:cs="宋体"/>
          <w:szCs w:val="21"/>
          <w:highlight w:val="none"/>
          <w:lang w:val="en-US" w:eastAsia="zh-CN"/>
        </w:rPr>
      </w:pPr>
      <w:bookmarkStart w:id="372" w:name="_Toc324404838"/>
      <w:bookmarkStart w:id="373" w:name="_Toc144974523"/>
      <w:bookmarkStart w:id="374" w:name="_Toc246996942"/>
      <w:bookmarkStart w:id="375" w:name="_Toc246996199"/>
      <w:bookmarkStart w:id="376" w:name="_Toc152042331"/>
      <w:bookmarkStart w:id="377" w:name="_Toc179632573"/>
      <w:bookmarkStart w:id="378" w:name="_Toc247085713"/>
      <w:bookmarkStart w:id="379" w:name="_Toc152045555"/>
      <w:r>
        <w:rPr>
          <w:rFonts w:hint="eastAsia" w:ascii="宋体" w:hAnsi="宋体" w:eastAsia="宋体" w:cs="宋体"/>
          <w:szCs w:val="21"/>
          <w:highlight w:val="none"/>
          <w:lang w:val="en-US" w:eastAsia="zh-CN"/>
        </w:rPr>
        <w:t>3.5.1投标文件应按第九章“投标文件格式”进行编写，如有必要，可以增加附页，作为投标文件的组成部分。其中，投标函在满足招标文件实质性要求的基础上，可以提出比招标文件要求更有利于招标人的承诺。</w:t>
      </w:r>
    </w:p>
    <w:p w14:paraId="14F1B8C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3.5.2本次投标不需要提供纸质投标文件，投标人应按照电子招标投标的要求，在投标人的电子系统中制作、签章、上传加密的电子投标文件。</w:t>
      </w:r>
    </w:p>
    <w:p w14:paraId="3C40A9D2">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3.5.3 投标文件应当对招标文件有关工期、投标有效期、质量要求、技术标准和要求、招标范围等实质性内容作出响应。</w:t>
      </w:r>
    </w:p>
    <w:p w14:paraId="5D83FF6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3.5.4 投标人须知前附表规定接受联合体投标的，资格审查资料应包括联合体各方相关情况 。</w:t>
      </w:r>
    </w:p>
    <w:p w14:paraId="6A9887E1">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3.5.5招标人有权核查投标人在投标文件中提供的资料，若发现投标人以他人名义投标或者以其他方式弄虚作假骗取中标的，中标无效；如果签订合同后发现中标人提供了虚假材料，招标人有权解除合同。</w:t>
      </w:r>
    </w:p>
    <w:p w14:paraId="093D5520">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3.5.6投标文件的制作应满足以下规定：</w:t>
      </w:r>
    </w:p>
    <w:p w14:paraId="0727C6AC">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招标文件中“签章”是指签字或盖章。在第九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19FF8C7E">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318FCD41">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3.5.7 因投标人自身原因而导致投标文件无法导入电子交易系统电子开标、评标系统，该投标视为无效投标，投标人自行承担由此导致的全部责任。</w:t>
      </w:r>
    </w:p>
    <w:p w14:paraId="18B9F40D">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3.5.8 投标人中标后须递交与网上电子投标文件完全一致的纸质版投标文件，在领取中标通知书时，一并递交给招标代理机构。</w:t>
      </w:r>
    </w:p>
    <w:p w14:paraId="6D17F42F">
      <w:pPr>
        <w:pStyle w:val="7"/>
        <w:ind w:firstLine="422" w:firstLineChars="200"/>
        <w:rPr>
          <w:rFonts w:hint="eastAsia" w:ascii="宋体" w:hAnsi="宋体" w:eastAsia="宋体" w:cs="宋体"/>
          <w:highlight w:val="none"/>
        </w:rPr>
      </w:pPr>
      <w:r>
        <w:rPr>
          <w:rFonts w:hint="eastAsia" w:ascii="宋体" w:hAnsi="宋体" w:eastAsia="宋体" w:cs="宋体"/>
          <w:highlight w:val="none"/>
        </w:rPr>
        <w:t>3.6 备选投标方案</w:t>
      </w:r>
    </w:p>
    <w:p w14:paraId="1CD0EBA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3.6.1 除投标人须知前附表规定允许外，投标人不得递交备选投标方案，否则其投标将被否决。</w:t>
      </w:r>
    </w:p>
    <w:p w14:paraId="2E592F8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186786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3.6.3 投标人提供两个或两个以上投标报价，或在投标文件中提供一个报价，但同时提供两个或两个以上施工组织设计的，视为提供备选方案。</w:t>
      </w:r>
    </w:p>
    <w:p w14:paraId="66C99F80">
      <w:pPr>
        <w:pStyle w:val="7"/>
        <w:spacing w:beforeLines="50" w:afterLines="50"/>
        <w:ind w:firstLine="482" w:firstLineChars="200"/>
        <w:rPr>
          <w:rFonts w:hint="eastAsia" w:ascii="宋体" w:hAnsi="宋体" w:eastAsia="宋体" w:cs="宋体"/>
          <w:sz w:val="24"/>
          <w:szCs w:val="24"/>
          <w:highlight w:val="none"/>
        </w:rPr>
      </w:pPr>
      <w:bookmarkStart w:id="380" w:name="_Toc35425076"/>
      <w:bookmarkStart w:id="381" w:name="_Toc506107291"/>
      <w:bookmarkStart w:id="382" w:name="_Toc35424910"/>
      <w:bookmarkStart w:id="383" w:name="_Toc78803345"/>
      <w:bookmarkStart w:id="384" w:name="_Toc15058869"/>
      <w:bookmarkStart w:id="385" w:name="_Toc19455"/>
      <w:r>
        <w:rPr>
          <w:rFonts w:hint="eastAsia" w:ascii="宋体" w:hAnsi="宋体" w:eastAsia="宋体" w:cs="宋体"/>
          <w:sz w:val="24"/>
          <w:szCs w:val="24"/>
          <w:highlight w:val="none"/>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3E108AB6">
      <w:pPr>
        <w:pStyle w:val="7"/>
        <w:ind w:firstLine="422" w:firstLineChars="200"/>
        <w:rPr>
          <w:rFonts w:hint="eastAsia" w:ascii="宋体" w:hAnsi="宋体" w:eastAsia="宋体" w:cs="宋体"/>
          <w:highlight w:val="none"/>
        </w:rPr>
      </w:pPr>
      <w:bookmarkStart w:id="386" w:name="_Toc83301713"/>
      <w:bookmarkStart w:id="387" w:name="_Toc60061458"/>
      <w:bookmarkStart w:id="388" w:name="_Toc95223361"/>
      <w:bookmarkStart w:id="389" w:name="_Toc15058870"/>
      <w:bookmarkStart w:id="390" w:name="_Toc35425077"/>
      <w:bookmarkStart w:id="391" w:name="_Toc14473"/>
      <w:bookmarkStart w:id="392" w:name="_Toc35424911"/>
      <w:bookmarkStart w:id="393" w:name="_Toc78803346"/>
      <w:r>
        <w:rPr>
          <w:rFonts w:hint="eastAsia" w:ascii="宋体" w:hAnsi="宋体" w:eastAsia="宋体" w:cs="宋体"/>
          <w:highlight w:val="none"/>
        </w:rPr>
        <w:t>4.1投标文件上传</w:t>
      </w:r>
      <w:bookmarkEnd w:id="386"/>
      <w:bookmarkEnd w:id="387"/>
      <w:bookmarkEnd w:id="388"/>
    </w:p>
    <w:p w14:paraId="491611B7">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4.1.1请投标人通过系统下载投标工具制作投标文件，并利用CA数字证书进行上传投标文件，上传已加密的投标文件，务必通过此方式上传投标文件。</w:t>
      </w:r>
    </w:p>
    <w:p w14:paraId="55CE6F7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4.1.2投标人在投标文件编制、签章、上传过程中如有任何操作的疑问请及时联系技术支持，</w:t>
      </w:r>
      <w:r>
        <w:rPr>
          <w:rFonts w:hint="eastAsia" w:ascii="宋体" w:hAnsi="宋体" w:eastAsia="宋体" w:cs="宋体"/>
          <w:kern w:val="0"/>
          <w:sz w:val="21"/>
          <w:szCs w:val="21"/>
          <w:highlight w:val="none"/>
          <w:lang w:val="en-US" w:eastAsia="zh-CN" w:bidi="ar-SA"/>
        </w:rPr>
        <w:t>请拨打服务电话：4009280095-5（工作日）。</w:t>
      </w:r>
    </w:p>
    <w:p w14:paraId="1CEF98C2">
      <w:pPr>
        <w:pStyle w:val="7"/>
        <w:ind w:firstLine="422" w:firstLineChars="200"/>
        <w:rPr>
          <w:rFonts w:hint="eastAsia" w:ascii="宋体" w:hAnsi="宋体" w:eastAsia="宋体" w:cs="宋体"/>
          <w:highlight w:val="none"/>
        </w:rPr>
      </w:pPr>
      <w:bookmarkStart w:id="394" w:name="_Toc83301714"/>
      <w:bookmarkStart w:id="395" w:name="_Toc144974524"/>
      <w:bookmarkStart w:id="396" w:name="_Toc246996943"/>
      <w:bookmarkStart w:id="397" w:name="_Toc60061459"/>
      <w:bookmarkStart w:id="398" w:name="_Toc246996200"/>
      <w:bookmarkStart w:id="399" w:name="_Toc179632574"/>
      <w:bookmarkStart w:id="400" w:name="_Toc506107292"/>
      <w:bookmarkStart w:id="401" w:name="_Toc152042332"/>
      <w:bookmarkStart w:id="402" w:name="_Toc15058871"/>
      <w:bookmarkStart w:id="403" w:name="_Toc152045556"/>
      <w:bookmarkStart w:id="404" w:name="_Toc324404839"/>
      <w:bookmarkStart w:id="405" w:name="_Toc296602444"/>
      <w:bookmarkStart w:id="406" w:name="_Toc247085714"/>
      <w:bookmarkStart w:id="407" w:name="_Toc95223362"/>
      <w:r>
        <w:rPr>
          <w:rFonts w:hint="eastAsia" w:ascii="宋体" w:hAnsi="宋体" w:eastAsia="宋体" w:cs="宋体"/>
          <w:highlight w:val="none"/>
        </w:rPr>
        <w:t>4.2投标文件的密封和标记</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39B65438">
      <w:pPr>
        <w:spacing w:line="440" w:lineRule="exact"/>
        <w:ind w:firstLine="420" w:firstLineChars="200"/>
        <w:jc w:val="left"/>
        <w:rPr>
          <w:rFonts w:hint="eastAsia" w:ascii="宋体" w:hAnsi="宋体" w:eastAsia="宋体" w:cs="宋体"/>
          <w:szCs w:val="21"/>
          <w:highlight w:val="none"/>
          <w:lang w:val="en-US" w:eastAsia="zh-CN"/>
        </w:rPr>
      </w:pPr>
      <w:bookmarkStart w:id="408" w:name="_Toc247085715"/>
      <w:bookmarkStart w:id="409" w:name="_Toc152042333"/>
      <w:bookmarkStart w:id="410" w:name="_Toc179632575"/>
      <w:bookmarkStart w:id="411" w:name="_Toc246996944"/>
      <w:bookmarkStart w:id="412" w:name="_Toc246996201"/>
      <w:bookmarkStart w:id="413" w:name="_Toc324404840"/>
      <w:bookmarkStart w:id="414" w:name="_Toc296602445"/>
      <w:bookmarkStart w:id="415" w:name="_Toc144974525"/>
      <w:bookmarkStart w:id="416" w:name="_Toc152045557"/>
      <w:r>
        <w:rPr>
          <w:rFonts w:hint="eastAsia" w:ascii="宋体" w:hAnsi="宋体" w:eastAsia="宋体" w:cs="宋体"/>
          <w:szCs w:val="21"/>
          <w:highlight w:val="none"/>
          <w:lang w:val="en-US" w:eastAsia="zh-CN"/>
        </w:rPr>
        <w:t>4.2.1投标文件应按照本章第3.5.6项要求制作并加密，未按要求加密的投标文件将被拒绝接收。以投标人在投标截止时间前网上递交的电子投标文件为准。</w:t>
      </w:r>
    </w:p>
    <w:p w14:paraId="1C1625AE">
      <w:pPr>
        <w:pStyle w:val="7"/>
        <w:ind w:firstLine="422" w:firstLineChars="200"/>
        <w:rPr>
          <w:rFonts w:hint="eastAsia" w:ascii="宋体" w:hAnsi="宋体" w:eastAsia="宋体" w:cs="宋体"/>
          <w:highlight w:val="none"/>
        </w:rPr>
      </w:pPr>
      <w:bookmarkStart w:id="417" w:name="_Toc15058872"/>
      <w:bookmarkStart w:id="418" w:name="_Toc95223363"/>
      <w:bookmarkStart w:id="419" w:name="_Toc506107293"/>
      <w:bookmarkStart w:id="420" w:name="_Toc83301715"/>
      <w:bookmarkStart w:id="421" w:name="_Toc60061460"/>
      <w:r>
        <w:rPr>
          <w:rFonts w:hint="eastAsia" w:ascii="宋体" w:hAnsi="宋体" w:eastAsia="宋体" w:cs="宋体"/>
          <w:highlight w:val="none"/>
        </w:rPr>
        <w:t>4.3 投标文件的递交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687499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4.3.1 投标人应当在第一章“招标公告”规定的投标截止时间前，将加密投标文件上传至</w:t>
      </w:r>
      <w:r>
        <w:rPr>
          <w:rFonts w:hint="eastAsia" w:ascii="Times New Roman" w:hAnsi="Times New Roman" w:eastAsia="宋体" w:cs="Times New Roman"/>
          <w:highlight w:val="none"/>
          <w:lang w:val="en-US" w:eastAsia="zh-CN"/>
        </w:rPr>
        <w:t>交易系统</w:t>
      </w:r>
      <w:r>
        <w:rPr>
          <w:rFonts w:hint="eastAsia" w:ascii="宋体" w:hAnsi="宋体" w:eastAsia="宋体" w:cs="宋体"/>
          <w:szCs w:val="21"/>
          <w:highlight w:val="none"/>
          <w:lang w:val="en-US" w:eastAsia="zh-CN"/>
        </w:rPr>
        <w:t>。</w:t>
      </w:r>
    </w:p>
    <w:p w14:paraId="267A96E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4.3.2 除投标人须知前附表另有规定外，投标人所递交的投标文件不予退还。</w:t>
      </w:r>
    </w:p>
    <w:p w14:paraId="1F9C95CD">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4.3.3 投标人应当在投标截止时间前完成投标文件的网上递交， 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10EA5B88">
      <w:pPr>
        <w:pStyle w:val="7"/>
        <w:ind w:firstLine="422" w:firstLineChars="200"/>
        <w:rPr>
          <w:rFonts w:hint="eastAsia" w:ascii="宋体" w:hAnsi="宋体" w:eastAsia="宋体" w:cs="宋体"/>
          <w:highlight w:val="none"/>
        </w:rPr>
      </w:pPr>
      <w:bookmarkStart w:id="422" w:name="_Toc83301716"/>
      <w:bookmarkStart w:id="423" w:name="_Toc60061461"/>
      <w:bookmarkStart w:id="424" w:name="_Toc95223364"/>
      <w:r>
        <w:rPr>
          <w:rFonts w:hint="eastAsia" w:ascii="宋体" w:hAnsi="宋体" w:eastAsia="宋体" w:cs="宋体"/>
          <w:highlight w:val="none"/>
        </w:rPr>
        <w:t>4.4 投标文件的修改与撤回</w:t>
      </w:r>
      <w:bookmarkEnd w:id="422"/>
      <w:bookmarkEnd w:id="423"/>
      <w:bookmarkEnd w:id="424"/>
    </w:p>
    <w:p w14:paraId="64F9784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4.4.1在第一章“招标公告”规定的投标截止时间前，投标人可以自行从网上交易系统撤回已递交的投标文件，并可修改后重新加密上传，开标时以投标截止时间前投标人最终上传的投标文件为准。</w:t>
      </w:r>
    </w:p>
    <w:bookmarkEnd w:id="389"/>
    <w:bookmarkEnd w:id="390"/>
    <w:bookmarkEnd w:id="391"/>
    <w:bookmarkEnd w:id="392"/>
    <w:bookmarkEnd w:id="393"/>
    <w:p w14:paraId="7AF40F87">
      <w:pPr>
        <w:pStyle w:val="7"/>
        <w:spacing w:beforeLines="50" w:afterLines="50"/>
        <w:ind w:firstLine="482" w:firstLineChars="200"/>
        <w:rPr>
          <w:rFonts w:ascii="宋体" w:hAnsi="宋体" w:eastAsia="宋体" w:cs="宋体"/>
          <w:sz w:val="24"/>
          <w:szCs w:val="24"/>
          <w:highlight w:val="none"/>
        </w:rPr>
      </w:pPr>
      <w:bookmarkStart w:id="425" w:name="_Toc324404842"/>
      <w:bookmarkStart w:id="426" w:name="_Toc179632577"/>
      <w:bookmarkStart w:id="427" w:name="_Toc152045559"/>
      <w:bookmarkStart w:id="428" w:name="_Toc144974527"/>
      <w:bookmarkStart w:id="429" w:name="_Toc15058874"/>
      <w:bookmarkStart w:id="430" w:name="_Toc152042335"/>
      <w:bookmarkStart w:id="431" w:name="_Toc247085717"/>
      <w:bookmarkStart w:id="432" w:name="_Toc29639"/>
      <w:bookmarkStart w:id="433" w:name="_Toc506107295"/>
      <w:bookmarkStart w:id="434" w:name="_Toc246996946"/>
      <w:bookmarkStart w:id="435" w:name="_Toc35425081"/>
      <w:bookmarkStart w:id="436" w:name="_Toc246996203"/>
      <w:bookmarkStart w:id="437" w:name="_Toc78803348"/>
      <w:bookmarkStart w:id="438" w:name="_Toc35424915"/>
      <w:r>
        <w:rPr>
          <w:rFonts w:hint="eastAsia" w:ascii="宋体" w:hAnsi="宋体" w:eastAsia="宋体" w:cs="宋体"/>
          <w:sz w:val="24"/>
          <w:szCs w:val="24"/>
          <w:highlight w:val="none"/>
        </w:rPr>
        <w:t>5. 开标</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44DFC292">
      <w:pPr>
        <w:pStyle w:val="7"/>
        <w:ind w:firstLine="422" w:firstLineChars="200"/>
        <w:rPr>
          <w:rFonts w:ascii="宋体" w:hAnsi="宋体" w:eastAsia="宋体" w:cs="宋体"/>
          <w:highlight w:val="none"/>
        </w:rPr>
      </w:pPr>
      <w:bookmarkStart w:id="439" w:name="_Toc296602448"/>
      <w:bookmarkStart w:id="440" w:name="_Toc246996947"/>
      <w:bookmarkStart w:id="441" w:name="_Toc35424916"/>
      <w:bookmarkStart w:id="442" w:name="_Toc152045560"/>
      <w:bookmarkStart w:id="443" w:name="_Toc152042336"/>
      <w:bookmarkStart w:id="444" w:name="_Toc506107296"/>
      <w:bookmarkStart w:id="445" w:name="_Toc35425082"/>
      <w:bookmarkStart w:id="446" w:name="_Toc78803349"/>
      <w:bookmarkStart w:id="447" w:name="_Toc13691"/>
      <w:bookmarkStart w:id="448" w:name="_Toc324404843"/>
      <w:bookmarkStart w:id="449" w:name="_Toc15058875"/>
      <w:bookmarkStart w:id="450" w:name="_Toc246996204"/>
      <w:bookmarkStart w:id="451" w:name="_Toc247085718"/>
      <w:bookmarkStart w:id="452" w:name="_Toc179632578"/>
      <w:bookmarkStart w:id="453" w:name="_Toc144974528"/>
      <w:r>
        <w:rPr>
          <w:rFonts w:hint="eastAsia" w:ascii="宋体" w:hAnsi="宋体" w:eastAsia="宋体" w:cs="宋体"/>
          <w:highlight w:val="none"/>
        </w:rPr>
        <w:t>5.1 开标时间和地点</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3EA480E2">
      <w:pPr>
        <w:adjustRightInd w:val="0"/>
        <w:snapToGrid w:val="0"/>
        <w:spacing w:line="560" w:lineRule="exact"/>
        <w:ind w:firstLine="420" w:firstLineChars="200"/>
        <w:rPr>
          <w:rFonts w:hint="eastAsia" w:ascii="宋体" w:hAnsi="宋体" w:cs="宋体"/>
          <w:color w:val="000000"/>
          <w:szCs w:val="21"/>
        </w:rPr>
      </w:pPr>
      <w:bookmarkStart w:id="454" w:name="_Toc152045561"/>
      <w:bookmarkStart w:id="455" w:name="_Toc506107297"/>
      <w:bookmarkStart w:id="456" w:name="_Toc324404844"/>
      <w:bookmarkStart w:id="457" w:name="_Toc15058876"/>
      <w:bookmarkStart w:id="458" w:name="_Toc179632579"/>
      <w:bookmarkStart w:id="459" w:name="_Toc247085719"/>
      <w:bookmarkStart w:id="460" w:name="_Toc246996948"/>
      <w:bookmarkStart w:id="461" w:name="_Toc152042337"/>
      <w:bookmarkStart w:id="462" w:name="_Toc35424917"/>
      <w:bookmarkStart w:id="463" w:name="_Toc296602449"/>
      <w:bookmarkStart w:id="464" w:name="_Toc144974529"/>
      <w:bookmarkStart w:id="465" w:name="_Toc35425083"/>
      <w:bookmarkStart w:id="466" w:name="_Toc78803350"/>
      <w:bookmarkStart w:id="467" w:name="_Toc32451"/>
      <w:bookmarkStart w:id="468" w:name="_Toc246996205"/>
      <w:r>
        <w:rPr>
          <w:rFonts w:hint="eastAsia" w:ascii="宋体" w:hAnsi="宋体" w:cs="宋体"/>
          <w:color w:val="000000"/>
          <w:szCs w:val="21"/>
        </w:rPr>
        <w:t>招标人在第一章“招标公告”规定的投标截止时间前（开标时间）和地点</w:t>
      </w:r>
      <w:r>
        <w:rPr>
          <w:color w:val="000000"/>
        </w:rPr>
        <w:t>通过交易系统公开开标</w:t>
      </w:r>
      <w:r>
        <w:rPr>
          <w:rFonts w:hint="eastAsia" w:ascii="宋体" w:hAnsi="宋体" w:cs="宋体"/>
          <w:color w:val="000000"/>
          <w:szCs w:val="21"/>
        </w:rPr>
        <w:t>。</w:t>
      </w:r>
    </w:p>
    <w:p w14:paraId="72027328">
      <w:pPr>
        <w:pStyle w:val="7"/>
        <w:ind w:firstLine="422" w:firstLineChars="200"/>
        <w:rPr>
          <w:rFonts w:ascii="宋体" w:hAnsi="宋体" w:eastAsia="宋体" w:cs="宋体"/>
          <w:highlight w:val="none"/>
        </w:rPr>
      </w:pPr>
      <w:r>
        <w:rPr>
          <w:rFonts w:hint="eastAsia" w:ascii="宋体" w:hAnsi="宋体" w:eastAsia="宋体" w:cs="宋体"/>
          <w:highlight w:val="none"/>
        </w:rPr>
        <w:t>5.2 开标程序</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0B511289">
      <w:pPr>
        <w:adjustRightInd w:val="0"/>
        <w:snapToGrid w:val="0"/>
        <w:spacing w:line="560" w:lineRule="exact"/>
        <w:ind w:firstLine="420" w:firstLineChars="200"/>
        <w:rPr>
          <w:rFonts w:hint="eastAsia" w:ascii="宋体" w:hAnsi="宋体" w:eastAsia="宋体" w:cs="宋体"/>
          <w:color w:val="000000"/>
          <w:szCs w:val="21"/>
        </w:rPr>
      </w:pPr>
      <w:bookmarkStart w:id="469" w:name="_Toc246996206"/>
      <w:bookmarkStart w:id="470" w:name="_Toc20689"/>
      <w:bookmarkStart w:id="471" w:name="_Toc506107299"/>
      <w:bookmarkStart w:id="472" w:name="_Toc179632580"/>
      <w:bookmarkStart w:id="473" w:name="_Toc144974530"/>
      <w:bookmarkStart w:id="474" w:name="_Toc35424919"/>
      <w:bookmarkStart w:id="475" w:name="_Toc35425085"/>
      <w:bookmarkStart w:id="476" w:name="_Toc15058884"/>
      <w:bookmarkStart w:id="477" w:name="_Toc247085720"/>
      <w:bookmarkStart w:id="478" w:name="_Toc152042338"/>
      <w:bookmarkStart w:id="479" w:name="_Toc152045562"/>
      <w:bookmarkStart w:id="480" w:name="_Toc246996949"/>
      <w:bookmarkStart w:id="481" w:name="_Toc78803352"/>
      <w:bookmarkStart w:id="482" w:name="_Toc324404846"/>
      <w:r>
        <w:rPr>
          <w:rFonts w:hint="eastAsia" w:ascii="宋体" w:hAnsi="宋体" w:eastAsia="宋体" w:cs="宋体"/>
          <w:color w:val="000000"/>
          <w:szCs w:val="21"/>
        </w:rPr>
        <w:t>主持人按下列程序进行开标：</w:t>
      </w:r>
    </w:p>
    <w:p w14:paraId="69335D40">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（1）公布在投标截止时间前通过电子交易系统完成投标文件递交的投标人名称；</w:t>
      </w:r>
    </w:p>
    <w:p w14:paraId="3FE3B9E5">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（2）投标人在投标截止时间后在投标人须知前附表规定的解密时间内完成投标文件的解密工作；</w:t>
      </w:r>
    </w:p>
    <w:p w14:paraId="09913E1C">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（3）招标人或招标代理机构完成解密工作，导入并读取所有成功解密的投标文件；</w:t>
      </w:r>
    </w:p>
    <w:p w14:paraId="3C9672BD">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（4）按投标人须知前附表规定公布投标人名称、标段名称、投标报价、质量目标、工期及其他内容；</w:t>
      </w:r>
    </w:p>
    <w:p w14:paraId="4611C8FD">
      <w:pPr>
        <w:adjustRightInd w:val="0"/>
        <w:snapToGrid w:val="0"/>
        <w:spacing w:line="560" w:lineRule="exact"/>
        <w:rPr>
          <w:rFonts w:hint="eastAsia" w:ascii="宋体" w:hAnsi="宋体" w:cs="宋体"/>
          <w:color w:val="000000"/>
          <w:szCs w:val="21"/>
        </w:rPr>
      </w:pPr>
      <w:r>
        <w:rPr>
          <w:rFonts w:hint="eastAsia" w:ascii="宋体" w:hAnsi="宋体" w:cs="宋体"/>
          <w:color w:val="000000"/>
          <w:szCs w:val="21"/>
        </w:rPr>
        <w:t xml:space="preserve">    （5）开标结束。</w:t>
      </w:r>
    </w:p>
    <w:p w14:paraId="0FABB25E">
      <w:pPr>
        <w:pStyle w:val="7"/>
        <w:spacing w:beforeLines="50" w:afterLines="50"/>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6. 评标</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6D7B4E38">
      <w:pPr>
        <w:pStyle w:val="7"/>
        <w:ind w:firstLine="422" w:firstLineChars="200"/>
        <w:rPr>
          <w:rFonts w:hint="eastAsia" w:ascii="宋体" w:hAnsi="宋体" w:eastAsia="宋体" w:cs="宋体"/>
          <w:highlight w:val="none"/>
        </w:rPr>
      </w:pPr>
      <w:bookmarkStart w:id="483" w:name="_Toc152042339"/>
      <w:bookmarkStart w:id="484" w:name="_Toc15058885"/>
      <w:bookmarkStart w:id="485" w:name="_Toc95223370"/>
      <w:bookmarkStart w:id="486" w:name="_Toc506107300"/>
      <w:bookmarkStart w:id="487" w:name="_Toc296602452"/>
      <w:bookmarkStart w:id="488" w:name="_Toc144974531"/>
      <w:bookmarkStart w:id="489" w:name="_Toc179632581"/>
      <w:bookmarkStart w:id="490" w:name="_Toc246996207"/>
      <w:bookmarkStart w:id="491" w:name="_Toc152045563"/>
      <w:bookmarkStart w:id="492" w:name="_Toc246996950"/>
      <w:bookmarkStart w:id="493" w:name="_Toc247085721"/>
      <w:bookmarkStart w:id="494" w:name="_Toc83301722"/>
      <w:bookmarkStart w:id="495" w:name="_Toc60061467"/>
      <w:bookmarkStart w:id="496" w:name="_Toc324404847"/>
      <w:bookmarkStart w:id="497" w:name="_Toc144974532"/>
      <w:bookmarkStart w:id="498" w:name="_Toc152042340"/>
      <w:bookmarkStart w:id="499" w:name="_Toc35425087"/>
      <w:bookmarkStart w:id="500" w:name="_Toc506107301"/>
      <w:bookmarkStart w:id="501" w:name="_Toc246996208"/>
      <w:bookmarkStart w:id="502" w:name="_Toc35424921"/>
      <w:bookmarkStart w:id="503" w:name="_Toc15058886"/>
      <w:bookmarkStart w:id="504" w:name="_Toc247085722"/>
      <w:bookmarkStart w:id="505" w:name="_Toc12948"/>
      <w:bookmarkStart w:id="506" w:name="_Toc78803354"/>
      <w:bookmarkStart w:id="507" w:name="_Toc324404848"/>
      <w:bookmarkStart w:id="508" w:name="_Toc296602453"/>
      <w:bookmarkStart w:id="509" w:name="_Toc179632582"/>
      <w:bookmarkStart w:id="510" w:name="_Toc246996951"/>
      <w:bookmarkStart w:id="511" w:name="_Toc152045564"/>
      <w:r>
        <w:rPr>
          <w:rFonts w:hint="eastAsia" w:ascii="宋体" w:hAnsi="宋体" w:eastAsia="宋体" w:cs="宋体"/>
          <w:highlight w:val="none"/>
        </w:rPr>
        <w:t>6.1 评标委员会</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4E04D39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9F69B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6.1.2 评标委员会成员有下列情形之一的，应当回避：</w:t>
      </w:r>
    </w:p>
    <w:p w14:paraId="73C97D4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（1）项目主管部门或行政监督管理部门的工作人员； </w:t>
      </w:r>
    </w:p>
    <w:p w14:paraId="2C74894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（2）与竞争主体主要负责人或者授权参与交易的代理人有近亲属关系的人员； </w:t>
      </w:r>
    </w:p>
    <w:p w14:paraId="2117A82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（3）竞争主体的工作人员或者退休人员； </w:t>
      </w:r>
    </w:p>
    <w:p w14:paraId="33843AD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（4）竞争主体的上级主管、控股或者被控股单位等相关利害关系的人员，或任职单位与竞争主体单位为同一法定代表人的。 </w:t>
      </w:r>
    </w:p>
    <w:p w14:paraId="0C395A6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（5）存在其他法定回避情形的</w:t>
      </w:r>
    </w:p>
    <w:p w14:paraId="175B40D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项目实施主体及其子公司、下属单位、上级主管部门或者控股公司的工作人员或者退休人员不得以专家身份参与本单位或者代理项目的评标评审。 </w:t>
      </w:r>
    </w:p>
    <w:p w14:paraId="3E7C33F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评标委员会或评审机构成员有前两款规定情形的，应当主动提出回避；已经进入的应当更换，被更换的成员评标评审意见无效。</w:t>
      </w:r>
    </w:p>
    <w:p w14:paraId="0DC1ABC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2C15BB0C">
      <w:pPr>
        <w:pStyle w:val="7"/>
        <w:ind w:firstLine="422" w:firstLineChars="200"/>
        <w:rPr>
          <w:rFonts w:ascii="宋体" w:hAnsi="宋体" w:eastAsia="宋体" w:cs="宋体"/>
          <w:highlight w:val="none"/>
        </w:rPr>
      </w:pPr>
      <w:r>
        <w:rPr>
          <w:rFonts w:hint="eastAsia" w:ascii="宋体" w:hAnsi="宋体" w:eastAsia="宋体" w:cs="宋体"/>
          <w:highlight w:val="none"/>
        </w:rPr>
        <w:t>6.2 评标原则</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47DBC71C">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评标活动遵循公平、公正、科学和择优的原则。</w:t>
      </w:r>
    </w:p>
    <w:p w14:paraId="298BCB48">
      <w:pPr>
        <w:pStyle w:val="7"/>
        <w:ind w:firstLine="422" w:firstLineChars="200"/>
        <w:rPr>
          <w:rFonts w:ascii="宋体" w:hAnsi="宋体" w:eastAsia="宋体" w:cs="宋体"/>
          <w:highlight w:val="none"/>
        </w:rPr>
      </w:pPr>
      <w:bookmarkStart w:id="512" w:name="_Toc78803355"/>
      <w:bookmarkStart w:id="513" w:name="_Toc246996209"/>
      <w:bookmarkStart w:id="514" w:name="_Toc324404849"/>
      <w:bookmarkStart w:id="515" w:name="_Toc246996952"/>
      <w:bookmarkStart w:id="516" w:name="_Toc35424922"/>
      <w:bookmarkStart w:id="517" w:name="_Toc152042341"/>
      <w:bookmarkStart w:id="518" w:name="_Toc14892"/>
      <w:bookmarkStart w:id="519" w:name="_Toc152045565"/>
      <w:bookmarkStart w:id="520" w:name="_Toc506107302"/>
      <w:bookmarkStart w:id="521" w:name="_Toc144974533"/>
      <w:bookmarkStart w:id="522" w:name="_Toc35425088"/>
      <w:bookmarkStart w:id="523" w:name="_Toc247085723"/>
      <w:bookmarkStart w:id="524" w:name="_Toc296602454"/>
      <w:bookmarkStart w:id="525" w:name="_Toc15058887"/>
      <w:bookmarkStart w:id="526" w:name="_Toc179632583"/>
      <w:r>
        <w:rPr>
          <w:rFonts w:hint="eastAsia" w:ascii="宋体" w:hAnsi="宋体" w:eastAsia="宋体" w:cs="宋体"/>
          <w:highlight w:val="none"/>
        </w:rPr>
        <w:t>6.3 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929DC3A">
      <w:pPr>
        <w:spacing w:line="440" w:lineRule="exact"/>
        <w:ind w:firstLine="420" w:firstLineChars="200"/>
        <w:jc w:val="left"/>
        <w:rPr>
          <w:rFonts w:ascii="宋体" w:hAnsi="宋体" w:cs="宋体"/>
          <w:szCs w:val="21"/>
          <w:highlight w:val="none"/>
        </w:rPr>
      </w:pPr>
      <w:bookmarkStart w:id="527" w:name="_Toc246996210"/>
      <w:bookmarkStart w:id="528" w:name="_Toc246996953"/>
      <w:bookmarkStart w:id="529" w:name="_Toc324404850"/>
      <w:bookmarkStart w:id="530" w:name="_Toc152042342"/>
      <w:bookmarkStart w:id="531" w:name="_Toc179632584"/>
      <w:bookmarkStart w:id="532" w:name="_Toc144974534"/>
      <w:bookmarkStart w:id="533" w:name="_Toc247085724"/>
      <w:bookmarkStart w:id="534" w:name="_Toc152045566"/>
      <w:r>
        <w:rPr>
          <w:rFonts w:hint="eastAsia" w:ascii="宋体" w:hAnsi="宋体" w:cs="宋体"/>
          <w:szCs w:val="21"/>
          <w:highlight w:val="none"/>
        </w:rPr>
        <w:t>6.3.1评标委员会按照第</w:t>
      </w:r>
      <w:r>
        <w:rPr>
          <w:rFonts w:hint="eastAsia" w:ascii="宋体" w:hAnsi="宋体" w:cs="宋体"/>
          <w:szCs w:val="21"/>
          <w:highlight w:val="none"/>
          <w:lang w:val="en-US" w:eastAsia="zh-CN"/>
        </w:rPr>
        <w:t>四</w:t>
      </w:r>
      <w:r>
        <w:rPr>
          <w:rFonts w:hint="eastAsia" w:ascii="宋体" w:hAnsi="宋体" w:cs="宋体"/>
          <w:szCs w:val="21"/>
          <w:highlight w:val="none"/>
        </w:rPr>
        <w:t>章“评标办法”规定的方法、评审因素、标准和程序对投标文件进行评审。第</w:t>
      </w:r>
      <w:r>
        <w:rPr>
          <w:rFonts w:hint="eastAsia" w:ascii="宋体" w:hAnsi="宋体" w:cs="宋体"/>
          <w:szCs w:val="21"/>
          <w:highlight w:val="none"/>
          <w:lang w:val="en-US" w:eastAsia="zh-CN"/>
        </w:rPr>
        <w:t>四</w:t>
      </w:r>
      <w:r>
        <w:rPr>
          <w:rFonts w:hint="eastAsia" w:ascii="宋体" w:hAnsi="宋体" w:cs="宋体"/>
          <w:szCs w:val="21"/>
          <w:highlight w:val="none"/>
        </w:rPr>
        <w:t>章“评标办法”没有规定的方法、评审因素和标准，不作为评标依据。</w:t>
      </w:r>
    </w:p>
    <w:p w14:paraId="7D4C112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6.3.2评标完成后，评标委员会应向招标人提交书面评标报告和中标候选人名单。评标委员会推荐中标候选人的人数见投标人须知前附表。</w:t>
      </w:r>
    </w:p>
    <w:p w14:paraId="1E17D868">
      <w:pPr>
        <w:pStyle w:val="7"/>
        <w:spacing w:beforeLines="50" w:afterLines="50"/>
        <w:ind w:firstLine="482" w:firstLineChars="200"/>
        <w:rPr>
          <w:rFonts w:ascii="宋体" w:hAnsi="宋体" w:eastAsia="宋体" w:cs="宋体"/>
          <w:sz w:val="24"/>
          <w:szCs w:val="24"/>
          <w:highlight w:val="none"/>
        </w:rPr>
      </w:pPr>
      <w:bookmarkStart w:id="535" w:name="_Toc35425089"/>
      <w:bookmarkStart w:id="536" w:name="_Toc26182"/>
      <w:bookmarkStart w:id="537" w:name="_Toc15058888"/>
      <w:bookmarkStart w:id="538" w:name="_Toc35424923"/>
      <w:bookmarkStart w:id="539" w:name="_Toc506107303"/>
      <w:bookmarkStart w:id="540" w:name="_Toc78803356"/>
      <w:r>
        <w:rPr>
          <w:rFonts w:hint="eastAsia" w:ascii="宋体" w:hAnsi="宋体" w:eastAsia="宋体" w:cs="宋体"/>
          <w:sz w:val="24"/>
          <w:szCs w:val="24"/>
          <w:highlight w:val="none"/>
        </w:rPr>
        <w:t>7. 合同授予</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070C7520">
      <w:pPr>
        <w:pStyle w:val="7"/>
        <w:ind w:firstLine="422" w:firstLineChars="200"/>
        <w:rPr>
          <w:rFonts w:hint="eastAsia" w:ascii="宋体" w:hAnsi="宋体" w:eastAsia="宋体" w:cs="宋体"/>
          <w:highlight w:val="none"/>
        </w:rPr>
      </w:pPr>
      <w:bookmarkStart w:id="541" w:name="_Toc15058890"/>
      <w:bookmarkStart w:id="542" w:name="_Toc95223374"/>
      <w:bookmarkStart w:id="543" w:name="_Toc296602457"/>
      <w:bookmarkStart w:id="544" w:name="_Toc324404852"/>
      <w:bookmarkStart w:id="545" w:name="_Toc506107305"/>
      <w:bookmarkStart w:id="546" w:name="_Toc60061472"/>
      <w:bookmarkStart w:id="547" w:name="_Toc83301726"/>
      <w:bookmarkStart w:id="548" w:name="_Toc8261"/>
      <w:bookmarkStart w:id="549" w:name="_Toc35425092"/>
      <w:bookmarkStart w:id="550" w:name="_Toc35424926"/>
      <w:bookmarkStart w:id="551" w:name="_Toc27040"/>
      <w:bookmarkStart w:id="552" w:name="_Toc78803359"/>
      <w:bookmarkStart w:id="553" w:name="_Toc152045568"/>
      <w:bookmarkStart w:id="554" w:name="_Toc152042344"/>
      <w:bookmarkStart w:id="555" w:name="_Toc179632586"/>
      <w:bookmarkStart w:id="556" w:name="_Toc506107306"/>
      <w:bookmarkStart w:id="557" w:name="_Toc247085726"/>
      <w:bookmarkStart w:id="558" w:name="_Toc144974536"/>
      <w:bookmarkStart w:id="559" w:name="_Toc246996212"/>
      <w:bookmarkStart w:id="560" w:name="_Toc15058891"/>
      <w:bookmarkStart w:id="561" w:name="_Toc14692"/>
      <w:bookmarkStart w:id="562" w:name="_Toc35424927"/>
      <w:bookmarkStart w:id="563" w:name="_Toc35425093"/>
      <w:bookmarkStart w:id="564" w:name="_Toc324404853"/>
      <w:bookmarkStart w:id="565" w:name="_Toc246996955"/>
      <w:bookmarkStart w:id="566" w:name="_Toc296602458"/>
      <w:r>
        <w:rPr>
          <w:rFonts w:hint="eastAsia" w:ascii="宋体" w:hAnsi="宋体" w:eastAsia="宋体" w:cs="宋体"/>
          <w:highlight w:val="none"/>
        </w:rPr>
        <w:t>7.1 中标候选人公示</w:t>
      </w:r>
      <w:bookmarkEnd w:id="541"/>
      <w:bookmarkEnd w:id="542"/>
      <w:bookmarkEnd w:id="543"/>
      <w:bookmarkEnd w:id="544"/>
      <w:bookmarkEnd w:id="545"/>
      <w:bookmarkEnd w:id="546"/>
      <w:bookmarkEnd w:id="547"/>
    </w:p>
    <w:p w14:paraId="3D3C9E8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招标人在收到评标报告之日起3日内，按照投标人须知前附表规定的公示媒介和期限依法公示。中标候选人公示期不得少于3日。</w:t>
      </w:r>
    </w:p>
    <w:p w14:paraId="02BCD838">
      <w:pPr>
        <w:pStyle w:val="7"/>
        <w:ind w:firstLine="422" w:firstLineChars="200"/>
        <w:rPr>
          <w:rFonts w:hint="eastAsia" w:ascii="宋体" w:hAnsi="宋体" w:eastAsia="宋体" w:cs="宋体"/>
          <w:highlight w:val="none"/>
        </w:rPr>
      </w:pPr>
      <w:r>
        <w:rPr>
          <w:rFonts w:hint="eastAsia" w:ascii="宋体" w:hAnsi="宋体" w:eastAsia="宋体" w:cs="宋体"/>
          <w:highlight w:val="none"/>
        </w:rPr>
        <w:t>7.2 评标结果异议</w:t>
      </w:r>
    </w:p>
    <w:p w14:paraId="6D874A6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投标人或其他利害关系人对评标结果有异议的，应在中标候选人公示期内提出。招标人将在收到异议之日起3日内作出答复；作出答复前，将暂停招标投标活动。</w:t>
      </w:r>
    </w:p>
    <w:p w14:paraId="1D0EB461">
      <w:pPr>
        <w:pStyle w:val="7"/>
        <w:ind w:firstLine="422" w:firstLineChars="200"/>
        <w:rPr>
          <w:rFonts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en-US" w:eastAsia="zh-CN"/>
        </w:rPr>
        <w:t>3</w:t>
      </w:r>
      <w:r>
        <w:rPr>
          <w:rFonts w:hint="eastAsia" w:ascii="宋体" w:hAnsi="宋体" w:eastAsia="宋体" w:cs="宋体"/>
          <w:highlight w:val="none"/>
        </w:rPr>
        <w:t xml:space="preserve"> </w:t>
      </w:r>
      <w:bookmarkEnd w:id="548"/>
      <w:bookmarkEnd w:id="549"/>
      <w:bookmarkEnd w:id="550"/>
      <w:bookmarkEnd w:id="551"/>
      <w:bookmarkEnd w:id="552"/>
      <w:r>
        <w:rPr>
          <w:rFonts w:hint="eastAsia" w:ascii="宋体" w:hAnsi="宋体" w:eastAsia="宋体" w:cs="宋体"/>
          <w:highlight w:val="none"/>
        </w:rPr>
        <w:t>定标</w:t>
      </w:r>
    </w:p>
    <w:p w14:paraId="117D2B8C">
      <w:pPr>
        <w:spacing w:line="440" w:lineRule="exact"/>
        <w:ind w:firstLine="420" w:firstLineChars="200"/>
        <w:jc w:val="left"/>
        <w:rPr>
          <w:rFonts w:hint="eastAsia" w:ascii="宋体" w:hAnsi="宋体" w:eastAsia="宋体" w:cs="宋体"/>
          <w:szCs w:val="21"/>
          <w:highlight w:val="none"/>
        </w:rPr>
      </w:pPr>
      <w:bookmarkStart w:id="567" w:name="_Toc78803360"/>
      <w:bookmarkStart w:id="568" w:name="_Toc4204"/>
      <w:r>
        <w:rPr>
          <w:rFonts w:hint="eastAsia" w:ascii="宋体" w:hAnsi="宋体" w:eastAsia="宋体" w:cs="宋体"/>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5B9A367">
      <w:pPr>
        <w:pStyle w:val="7"/>
        <w:ind w:firstLine="422" w:firstLineChars="200"/>
        <w:rPr>
          <w:rFonts w:hint="eastAsia" w:ascii="宋体" w:hAnsi="宋体" w:eastAsia="宋体" w:cs="宋体"/>
          <w:highlight w:val="none"/>
        </w:rPr>
      </w:pPr>
      <w:bookmarkStart w:id="569" w:name="_Toc95223376"/>
      <w:bookmarkStart w:id="570" w:name="_Toc83301728"/>
      <w:r>
        <w:rPr>
          <w:rFonts w:hint="eastAsia" w:ascii="宋体" w:hAnsi="宋体" w:eastAsia="宋体" w:cs="宋体"/>
          <w:highlight w:val="none"/>
        </w:rPr>
        <w:t>7.</w:t>
      </w:r>
      <w:r>
        <w:rPr>
          <w:rFonts w:hint="eastAsia" w:ascii="宋体" w:hAnsi="宋体" w:eastAsia="宋体" w:cs="宋体"/>
          <w:highlight w:val="none"/>
          <w:lang w:val="en-US" w:eastAsia="zh-CN"/>
        </w:rPr>
        <w:t>4</w:t>
      </w:r>
      <w:r>
        <w:rPr>
          <w:rFonts w:hint="eastAsia" w:ascii="宋体" w:hAnsi="宋体" w:eastAsia="宋体" w:cs="宋体"/>
          <w:highlight w:val="none"/>
        </w:rPr>
        <w:t xml:space="preserve"> 中标通知</w:t>
      </w:r>
      <w:bookmarkEnd w:id="569"/>
      <w:bookmarkEnd w:id="570"/>
    </w:p>
    <w:p w14:paraId="768E4E4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在本招标文件规定的投标有效期内，招标人向中标人发出中标通知书，同时将中标结果通知未中标的投标人。</w:t>
      </w:r>
    </w:p>
    <w:p w14:paraId="045D8AA7">
      <w:pPr>
        <w:pStyle w:val="7"/>
        <w:ind w:firstLine="422" w:firstLineChars="200"/>
        <w:rPr>
          <w:rFonts w:hint="eastAsia" w:ascii="宋体" w:hAnsi="宋体" w:eastAsia="宋体" w:cs="宋体"/>
          <w:highlight w:val="none"/>
        </w:rPr>
      </w:pPr>
      <w:bookmarkStart w:id="571" w:name="_Toc95223377"/>
      <w:r>
        <w:rPr>
          <w:rFonts w:hint="eastAsia" w:ascii="宋体" w:hAnsi="宋体" w:eastAsia="宋体" w:cs="宋体"/>
          <w:highlight w:val="none"/>
        </w:rPr>
        <w:t>7.</w:t>
      </w:r>
      <w:r>
        <w:rPr>
          <w:rFonts w:hint="eastAsia" w:ascii="宋体" w:hAnsi="宋体" w:eastAsia="宋体" w:cs="宋体"/>
          <w:highlight w:val="none"/>
          <w:lang w:val="en-US" w:eastAsia="zh-CN"/>
        </w:rPr>
        <w:t xml:space="preserve">5 </w:t>
      </w:r>
      <w:r>
        <w:rPr>
          <w:rFonts w:hint="eastAsia" w:ascii="宋体" w:hAnsi="宋体" w:eastAsia="宋体" w:cs="宋体"/>
          <w:highlight w:val="none"/>
        </w:rPr>
        <w:t>中标结果公示</w:t>
      </w:r>
      <w:bookmarkEnd w:id="571"/>
    </w:p>
    <w:p w14:paraId="0718115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招标人在确定中标人之日起3日内，按照投标人须知前附表规定的公示媒介和期限公示中标结果。</w:t>
      </w:r>
    </w:p>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76BD1912">
      <w:pPr>
        <w:pStyle w:val="7"/>
        <w:ind w:firstLine="422" w:firstLineChars="200"/>
        <w:rPr>
          <w:rFonts w:ascii="宋体" w:hAnsi="宋体" w:eastAsia="宋体" w:cs="宋体"/>
          <w:highlight w:val="none"/>
        </w:rPr>
      </w:pPr>
      <w:bookmarkStart w:id="572" w:name="_Toc324404854"/>
      <w:bookmarkStart w:id="573" w:name="_Toc35424929"/>
      <w:bookmarkStart w:id="574" w:name="_Toc296602459"/>
      <w:bookmarkStart w:id="575" w:name="_Toc152045569"/>
      <w:bookmarkStart w:id="576" w:name="_Toc78803362"/>
      <w:bookmarkStart w:id="577" w:name="_Toc152042345"/>
      <w:bookmarkStart w:id="578" w:name="_Toc144974537"/>
      <w:bookmarkStart w:id="579" w:name="_Toc246996956"/>
      <w:bookmarkStart w:id="580" w:name="_Toc246996213"/>
      <w:bookmarkStart w:id="581" w:name="_Toc247085727"/>
      <w:bookmarkStart w:id="582" w:name="_Toc506107307"/>
      <w:bookmarkStart w:id="583" w:name="_Toc35425095"/>
      <w:bookmarkStart w:id="584" w:name="_Toc25501"/>
      <w:bookmarkStart w:id="585" w:name="_Toc15058892"/>
      <w:bookmarkStart w:id="586" w:name="_Toc179632587"/>
      <w:r>
        <w:rPr>
          <w:rFonts w:hint="eastAsia" w:ascii="宋体" w:hAnsi="宋体" w:eastAsia="宋体" w:cs="宋体"/>
          <w:highlight w:val="none"/>
        </w:rPr>
        <w:t>7.</w:t>
      </w:r>
      <w:r>
        <w:rPr>
          <w:rFonts w:hint="eastAsia" w:ascii="宋体" w:hAnsi="宋体" w:eastAsia="宋体" w:cs="宋体"/>
          <w:highlight w:val="none"/>
          <w:lang w:val="en-US" w:eastAsia="zh-CN"/>
        </w:rPr>
        <w:t>6</w:t>
      </w:r>
      <w:r>
        <w:rPr>
          <w:rFonts w:hint="eastAsia" w:ascii="宋体" w:hAnsi="宋体" w:eastAsia="宋体" w:cs="宋体"/>
          <w:highlight w:val="none"/>
        </w:rPr>
        <w:t xml:space="preserve">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575A9D53">
      <w:pPr>
        <w:spacing w:line="440" w:lineRule="exact"/>
        <w:ind w:firstLine="420" w:firstLineChars="200"/>
        <w:jc w:val="left"/>
        <w:rPr>
          <w:rFonts w:hint="eastAsia" w:ascii="宋体" w:hAnsi="宋体" w:eastAsia="宋体" w:cs="宋体"/>
          <w:szCs w:val="21"/>
          <w:highlight w:val="none"/>
        </w:rPr>
      </w:pPr>
      <w:bookmarkStart w:id="587" w:name="_Toc152042346"/>
      <w:bookmarkStart w:id="588" w:name="_Toc78803363"/>
      <w:bookmarkStart w:id="589" w:name="_Toc179632588"/>
      <w:bookmarkStart w:id="590" w:name="_Toc296602460"/>
      <w:bookmarkStart w:id="591" w:name="_Toc506107308"/>
      <w:bookmarkStart w:id="592" w:name="_Toc35425096"/>
      <w:bookmarkStart w:id="593" w:name="_Toc15058893"/>
      <w:bookmarkStart w:id="594" w:name="_Toc144974538"/>
      <w:bookmarkStart w:id="595" w:name="_Toc324404855"/>
      <w:bookmarkStart w:id="596" w:name="_Toc246996214"/>
      <w:bookmarkStart w:id="597" w:name="_Toc11010"/>
      <w:bookmarkStart w:id="598" w:name="_Toc152045570"/>
      <w:bookmarkStart w:id="599" w:name="_Toc247085728"/>
      <w:bookmarkStart w:id="600" w:name="_Toc246996957"/>
      <w:bookmarkStart w:id="601" w:name="_Toc35424930"/>
      <w:r>
        <w:rPr>
          <w:rFonts w:hint="eastAsia" w:ascii="宋体" w:hAnsi="宋体" w:eastAsia="宋体" w:cs="宋体"/>
          <w:szCs w:val="21"/>
          <w:highlight w:val="none"/>
        </w:rPr>
        <w:t>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1在签订合同前，中标人应按投标人须知前附表规定的担保形式和招标文件第五章“合同条款及格式”规定的或者事先经过招标人书面认可的履约担保格式向招标人提交履约担保。联合体中标的，其履约担保应符合投标人须知前附表规定的金额、担保形式和招标文件第五章“合同条款及格式”规定的履约担保格式要求。</w:t>
      </w:r>
    </w:p>
    <w:p w14:paraId="4CB87898">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.2 中标人不能按本章第7.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.1项要求提交履约担保的，视为放弃中标，其投标保证金不予退还，给招标人造成的损失超过投标保证金数额的，中标人还应当对超过部分予以赔偿。</w:t>
      </w:r>
    </w:p>
    <w:p w14:paraId="3B4E380F">
      <w:pPr>
        <w:pStyle w:val="7"/>
        <w:ind w:firstLine="422" w:firstLineChars="200"/>
        <w:rPr>
          <w:rFonts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en-US" w:eastAsia="zh-CN"/>
        </w:rPr>
        <w:t>7</w:t>
      </w:r>
      <w:r>
        <w:rPr>
          <w:rFonts w:hint="eastAsia" w:ascii="宋体" w:hAnsi="宋体" w:eastAsia="宋体" w:cs="宋体"/>
          <w:highlight w:val="none"/>
        </w:rPr>
        <w:t xml:space="preserve"> 签订合同</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72DE0C53">
      <w:pPr>
        <w:wordWrap w:val="0"/>
        <w:spacing w:line="440" w:lineRule="exact"/>
        <w:ind w:firstLine="420" w:firstLineChars="200"/>
        <w:jc w:val="left"/>
        <w:rPr>
          <w:rFonts w:hint="eastAsia" w:ascii="宋体" w:hAnsi="宋体" w:eastAsia="宋体" w:cs="宋体"/>
          <w:bCs/>
          <w:szCs w:val="21"/>
          <w:highlight w:val="none"/>
        </w:rPr>
      </w:pPr>
      <w:bookmarkStart w:id="602" w:name="_Toc324404856"/>
      <w:bookmarkStart w:id="603" w:name="_Toc506107309"/>
      <w:bookmarkStart w:id="604" w:name="_Toc15058894"/>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.1本招标工程的施工合同将授予按本须知第7.</w:t>
      </w:r>
      <w:r>
        <w:rPr>
          <w:rFonts w:hint="eastAsia" w:ascii="宋体" w:hAnsi="宋体" w:cs="宋体"/>
          <w:bCs/>
          <w:szCs w:val="21"/>
          <w:highlight w:val="none"/>
          <w:lang w:val="en-US" w:eastAsia="zh-CN"/>
        </w:rPr>
        <w:t>3</w:t>
      </w:r>
      <w:r>
        <w:rPr>
          <w:rFonts w:hint="eastAsia" w:ascii="宋体" w:hAnsi="宋体" w:eastAsia="宋体" w:cs="宋体"/>
          <w:bCs/>
          <w:szCs w:val="21"/>
          <w:highlight w:val="none"/>
        </w:rPr>
        <w:t xml:space="preserve">条规定所确定的中标人。 </w:t>
      </w:r>
    </w:p>
    <w:p w14:paraId="01C1DF48">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给招标人造成的损失的，中标人还应当对予以赔偿。</w:t>
      </w:r>
    </w:p>
    <w:p w14:paraId="01E0BEC3">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.3发出中标通知书后，招标单位无正当理由拒签合同的，给中标人造成损失的，还应当赔偿损失。</w:t>
      </w:r>
    </w:p>
    <w:p w14:paraId="15321B34">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4除法定情形外，建设工程合同履行期间项目经理（建造师）不得更换。项目经理（建造师）确需变更的，应根据招标文件要求，变更后的项目经理（建造师）不低于投标文件中拟派项目经理（建造师）的资格条件。</w:t>
      </w:r>
    </w:p>
    <w:bookmarkEnd w:id="602"/>
    <w:bookmarkEnd w:id="603"/>
    <w:bookmarkEnd w:id="604"/>
    <w:p w14:paraId="57E42931">
      <w:pPr>
        <w:pStyle w:val="7"/>
        <w:spacing w:beforeLines="50" w:afterLines="50"/>
        <w:ind w:firstLine="422" w:firstLineChars="200"/>
        <w:rPr>
          <w:rFonts w:hint="eastAsia" w:ascii="宋体" w:hAnsi="宋体" w:eastAsia="宋体" w:cs="宋体"/>
          <w:highlight w:val="none"/>
        </w:rPr>
      </w:pPr>
      <w:bookmarkStart w:id="605" w:name="_Toc95223381"/>
      <w:bookmarkStart w:id="606" w:name="_Toc144974539"/>
      <w:bookmarkStart w:id="607" w:name="_Toc83301732"/>
      <w:bookmarkStart w:id="608" w:name="_Toc179632589"/>
      <w:bookmarkStart w:id="609" w:name="_Toc152045571"/>
      <w:bookmarkStart w:id="610" w:name="_Toc60061478"/>
      <w:bookmarkStart w:id="611" w:name="_Toc152042347"/>
      <w:bookmarkStart w:id="612" w:name="_Toc35424931"/>
      <w:bookmarkStart w:id="613" w:name="_Toc78803367"/>
      <w:bookmarkStart w:id="614" w:name="_Toc31686"/>
      <w:bookmarkStart w:id="615" w:name="_Toc35425097"/>
      <w:bookmarkStart w:id="616" w:name="_Toc25375"/>
      <w:bookmarkStart w:id="617" w:name="_Toc26974"/>
      <w:bookmarkStart w:id="618" w:name="_Toc324404864"/>
      <w:bookmarkStart w:id="619" w:name="_Toc35425105"/>
      <w:bookmarkStart w:id="620" w:name="_Toc35424939"/>
      <w:bookmarkStart w:id="621" w:name="_Toc15058902"/>
      <w:bookmarkStart w:id="622" w:name="_Toc506107317"/>
      <w:bookmarkStart w:id="623" w:name="_Toc296602475"/>
      <w:r>
        <w:rPr>
          <w:rFonts w:hint="eastAsia" w:ascii="宋体" w:hAnsi="宋体" w:eastAsia="宋体" w:cs="宋体"/>
          <w:highlight w:val="none"/>
        </w:rPr>
        <w:t>8. 重新招标和不再招标</w:t>
      </w:r>
      <w:bookmarkEnd w:id="605"/>
      <w:bookmarkEnd w:id="606"/>
      <w:bookmarkEnd w:id="607"/>
      <w:bookmarkEnd w:id="608"/>
      <w:bookmarkEnd w:id="609"/>
      <w:bookmarkEnd w:id="610"/>
      <w:bookmarkEnd w:id="611"/>
    </w:p>
    <w:p w14:paraId="774B94FD">
      <w:pPr>
        <w:pStyle w:val="7"/>
        <w:ind w:firstLine="422" w:firstLineChars="200"/>
        <w:rPr>
          <w:rFonts w:hint="eastAsia" w:ascii="宋体" w:hAnsi="宋体" w:eastAsia="宋体" w:cs="宋体"/>
          <w:highlight w:val="none"/>
        </w:rPr>
      </w:pPr>
      <w:bookmarkStart w:id="624" w:name="_Toc144974540"/>
      <w:bookmarkStart w:id="625" w:name="_Toc83301733"/>
      <w:bookmarkStart w:id="626" w:name="_Toc179632590"/>
      <w:bookmarkStart w:id="627" w:name="_Toc60061479"/>
      <w:bookmarkStart w:id="628" w:name="_Toc152042348"/>
      <w:bookmarkStart w:id="629" w:name="_Toc152045572"/>
      <w:bookmarkStart w:id="630" w:name="_Toc95223382"/>
      <w:r>
        <w:rPr>
          <w:rFonts w:hint="eastAsia" w:ascii="宋体" w:hAnsi="宋体" w:eastAsia="宋体" w:cs="宋体"/>
          <w:highlight w:val="none"/>
        </w:rPr>
        <w:t>8.1 重新招标</w:t>
      </w:r>
      <w:bookmarkEnd w:id="624"/>
      <w:bookmarkEnd w:id="625"/>
      <w:bookmarkEnd w:id="626"/>
      <w:bookmarkEnd w:id="627"/>
      <w:bookmarkEnd w:id="628"/>
      <w:bookmarkEnd w:id="629"/>
      <w:bookmarkEnd w:id="630"/>
    </w:p>
    <w:p w14:paraId="243115F1">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依法必须招标的项目有下列情形之一的，招标人将重新招标：</w:t>
      </w:r>
    </w:p>
    <w:p w14:paraId="71A327E5">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（1）投标截止时间止，投标人少于3个的；</w:t>
      </w:r>
    </w:p>
    <w:p w14:paraId="53761C98">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（2）经评标委员会评审后否决所有投标的；</w:t>
      </w:r>
    </w:p>
    <w:p w14:paraId="3412299B">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（3）中标候选人均未与招标人签订合同的；</w:t>
      </w:r>
    </w:p>
    <w:p w14:paraId="4115D547">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（4）法律、法规规定的其他情形。</w:t>
      </w:r>
    </w:p>
    <w:p w14:paraId="077F17AF">
      <w:pPr>
        <w:pStyle w:val="7"/>
        <w:ind w:firstLine="422" w:firstLineChars="200"/>
        <w:rPr>
          <w:rFonts w:hint="eastAsia" w:ascii="宋体" w:hAnsi="宋体" w:eastAsia="宋体" w:cs="宋体"/>
          <w:highlight w:val="none"/>
        </w:rPr>
      </w:pPr>
      <w:bookmarkStart w:id="631" w:name="_Toc179632591"/>
      <w:bookmarkStart w:id="632" w:name="_Toc83301734"/>
      <w:bookmarkStart w:id="633" w:name="_Toc152045573"/>
      <w:bookmarkStart w:id="634" w:name="_Toc60061480"/>
      <w:bookmarkStart w:id="635" w:name="_Toc95223383"/>
      <w:bookmarkStart w:id="636" w:name="_Toc152042349"/>
      <w:bookmarkStart w:id="637" w:name="_Toc144974541"/>
      <w:r>
        <w:rPr>
          <w:rFonts w:hint="eastAsia" w:ascii="宋体" w:hAnsi="宋体" w:eastAsia="宋体" w:cs="宋体"/>
          <w:highlight w:val="none"/>
        </w:rPr>
        <w:t>8.2 不再招标</w:t>
      </w:r>
      <w:bookmarkEnd w:id="631"/>
      <w:bookmarkEnd w:id="632"/>
      <w:bookmarkEnd w:id="633"/>
      <w:bookmarkEnd w:id="634"/>
      <w:bookmarkEnd w:id="635"/>
      <w:bookmarkEnd w:id="636"/>
      <w:bookmarkEnd w:id="637"/>
    </w:p>
    <w:p w14:paraId="79E8730A">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重新招标后投标人仍少于3个或者所有投标被否决的，属于必须审批或核准的工程建设项目，经原审批或核准部门批准后不再进行招标。</w:t>
      </w:r>
    </w:p>
    <w:p w14:paraId="31B2E77F">
      <w:pPr>
        <w:pStyle w:val="7"/>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9. 纪律和监督</w:t>
      </w:r>
      <w:bookmarkEnd w:id="612"/>
      <w:bookmarkEnd w:id="613"/>
      <w:bookmarkEnd w:id="614"/>
      <w:bookmarkEnd w:id="615"/>
      <w:bookmarkEnd w:id="616"/>
      <w:bookmarkEnd w:id="617"/>
    </w:p>
    <w:p w14:paraId="49CA1A8F">
      <w:pPr>
        <w:pStyle w:val="7"/>
        <w:ind w:firstLine="422" w:firstLineChars="200"/>
        <w:rPr>
          <w:rFonts w:ascii="宋体" w:hAnsi="宋体" w:eastAsia="宋体" w:cs="宋体"/>
          <w:highlight w:val="none"/>
        </w:rPr>
      </w:pPr>
      <w:bookmarkStart w:id="638" w:name="_Toc152045575"/>
      <w:bookmarkStart w:id="639" w:name="_Toc152042351"/>
      <w:bookmarkStart w:id="640" w:name="_Toc324404857"/>
      <w:bookmarkStart w:id="641" w:name="_Toc35424932"/>
      <w:bookmarkStart w:id="642" w:name="_Toc144974543"/>
      <w:bookmarkStart w:id="643" w:name="_Toc78803368"/>
      <w:bookmarkStart w:id="644" w:name="_Toc15058895"/>
      <w:bookmarkStart w:id="645" w:name="_Toc35425098"/>
      <w:bookmarkStart w:id="646" w:name="_Toc179632593"/>
      <w:bookmarkStart w:id="647" w:name="_Toc15607"/>
      <w:bookmarkStart w:id="648" w:name="_Toc296590983"/>
      <w:bookmarkStart w:id="649" w:name="_Toc296602462"/>
      <w:bookmarkStart w:id="650" w:name="_Toc2855"/>
      <w:bookmarkStart w:id="651" w:name="_Toc506107310"/>
      <w:bookmarkStart w:id="652" w:name="_Toc246996219"/>
      <w:bookmarkStart w:id="653" w:name="_Toc247085733"/>
      <w:bookmarkStart w:id="654" w:name="_Toc246996962"/>
      <w:r>
        <w:rPr>
          <w:rFonts w:hint="eastAsia" w:ascii="宋体" w:hAnsi="宋体" w:eastAsia="宋体" w:cs="宋体"/>
          <w:highlight w:val="none"/>
        </w:rPr>
        <w:t>9.1 对招标人的纪律要求</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25A9C8E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招标人不得泄漏招标投标活动中应当保密的情况和资料，不得与投标人串通损害国家利益、社会公共利益或者他人合法权益。</w:t>
      </w:r>
    </w:p>
    <w:p w14:paraId="6BA9BC3B">
      <w:pPr>
        <w:pStyle w:val="7"/>
        <w:ind w:firstLine="422" w:firstLineChars="200"/>
        <w:rPr>
          <w:rFonts w:ascii="宋体" w:hAnsi="宋体" w:eastAsia="宋体" w:cs="宋体"/>
          <w:highlight w:val="none"/>
        </w:rPr>
      </w:pPr>
      <w:bookmarkStart w:id="655" w:name="_Toc247085734"/>
      <w:bookmarkStart w:id="656" w:name="_Toc246996963"/>
      <w:bookmarkStart w:id="657" w:name="_Toc35425099"/>
      <w:bookmarkStart w:id="658" w:name="_Toc15058896"/>
      <w:bookmarkStart w:id="659" w:name="_Toc32177"/>
      <w:bookmarkStart w:id="660" w:name="_Toc152045576"/>
      <w:bookmarkStart w:id="661" w:name="_Toc144974544"/>
      <w:bookmarkStart w:id="662" w:name="_Toc506107311"/>
      <w:bookmarkStart w:id="663" w:name="_Toc179632594"/>
      <w:bookmarkStart w:id="664" w:name="_Toc324404858"/>
      <w:bookmarkStart w:id="665" w:name="_Toc152042352"/>
      <w:bookmarkStart w:id="666" w:name="_Toc296602463"/>
      <w:bookmarkStart w:id="667" w:name="_Toc246996220"/>
      <w:bookmarkStart w:id="668" w:name="_Toc78803369"/>
      <w:bookmarkStart w:id="669" w:name="_Toc19779"/>
      <w:bookmarkStart w:id="670" w:name="_Toc35424933"/>
      <w:r>
        <w:rPr>
          <w:rFonts w:hint="eastAsia" w:ascii="宋体" w:hAnsi="宋体" w:eastAsia="宋体" w:cs="宋体"/>
          <w:highlight w:val="none"/>
        </w:rPr>
        <w:t>9.2 对投标人的纪律要求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1B7AC34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33A1F0E">
      <w:pPr>
        <w:pStyle w:val="7"/>
        <w:ind w:firstLine="422" w:firstLineChars="200"/>
        <w:rPr>
          <w:rFonts w:ascii="宋体" w:hAnsi="宋体" w:eastAsia="宋体" w:cs="宋体"/>
          <w:highlight w:val="none"/>
        </w:rPr>
      </w:pPr>
      <w:bookmarkStart w:id="671" w:name="_Toc296602464"/>
      <w:bookmarkStart w:id="672" w:name="_Toc152045577"/>
      <w:bookmarkStart w:id="673" w:name="_Toc144974545"/>
      <w:bookmarkStart w:id="674" w:name="_Toc324404859"/>
      <w:bookmarkStart w:id="675" w:name="_Toc246996221"/>
      <w:bookmarkStart w:id="676" w:name="_Toc35425100"/>
      <w:bookmarkStart w:id="677" w:name="_Toc179632595"/>
      <w:bookmarkStart w:id="678" w:name="_Toc152042353"/>
      <w:bookmarkStart w:id="679" w:name="_Toc246996964"/>
      <w:bookmarkStart w:id="680" w:name="_Toc12564"/>
      <w:bookmarkStart w:id="681" w:name="_Toc15058897"/>
      <w:bookmarkStart w:id="682" w:name="_Toc78803370"/>
      <w:bookmarkStart w:id="683" w:name="_Toc35424934"/>
      <w:bookmarkStart w:id="684" w:name="_Toc13043"/>
      <w:bookmarkStart w:id="685" w:name="_Toc506107312"/>
      <w:bookmarkStart w:id="686" w:name="_Toc247085735"/>
      <w:r>
        <w:rPr>
          <w:rFonts w:hint="eastAsia" w:ascii="宋体" w:hAnsi="宋体" w:eastAsia="宋体" w:cs="宋体"/>
          <w:highlight w:val="none"/>
        </w:rPr>
        <w:t>9.3 对评标委员会成员的纪律要求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5256DC8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939E33C">
      <w:pPr>
        <w:pStyle w:val="7"/>
        <w:ind w:firstLine="422" w:firstLineChars="200"/>
        <w:rPr>
          <w:rFonts w:ascii="宋体" w:hAnsi="宋体" w:eastAsia="宋体" w:cs="宋体"/>
          <w:highlight w:val="none"/>
        </w:rPr>
      </w:pPr>
      <w:bookmarkStart w:id="687" w:name="_Toc179632596"/>
      <w:bookmarkStart w:id="688" w:name="_Toc506107313"/>
      <w:bookmarkStart w:id="689" w:name="_Toc152045578"/>
      <w:bookmarkStart w:id="690" w:name="_Toc18329"/>
      <w:bookmarkStart w:id="691" w:name="_Toc246996965"/>
      <w:bookmarkStart w:id="692" w:name="_Toc152042354"/>
      <w:bookmarkStart w:id="693" w:name="_Toc15058898"/>
      <w:bookmarkStart w:id="694" w:name="_Toc78803371"/>
      <w:bookmarkStart w:id="695" w:name="_Toc35425101"/>
      <w:bookmarkStart w:id="696" w:name="_Toc246996222"/>
      <w:bookmarkStart w:id="697" w:name="_Toc35424935"/>
      <w:bookmarkStart w:id="698" w:name="_Toc296602465"/>
      <w:bookmarkStart w:id="699" w:name="_Toc324404860"/>
      <w:bookmarkStart w:id="700" w:name="_Toc32214"/>
      <w:bookmarkStart w:id="701" w:name="_Toc247085736"/>
      <w:bookmarkStart w:id="702" w:name="_Toc144974546"/>
      <w:r>
        <w:rPr>
          <w:rFonts w:hint="eastAsia" w:ascii="宋体" w:hAnsi="宋体" w:eastAsia="宋体" w:cs="宋体"/>
          <w:highlight w:val="none"/>
        </w:rPr>
        <w:t>9.4 对与评标活动有关的工作人员的纪律要求</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766BE765">
      <w:pPr>
        <w:spacing w:line="440" w:lineRule="exact"/>
        <w:ind w:firstLine="420" w:firstLineChars="200"/>
        <w:jc w:val="left"/>
        <w:rPr>
          <w:rFonts w:ascii="宋体" w:hAnsi="宋体" w:cs="宋体"/>
          <w:szCs w:val="21"/>
          <w:highlight w:val="none"/>
        </w:rPr>
      </w:pPr>
      <w:bookmarkStart w:id="703" w:name="_Toc152042355"/>
      <w:r>
        <w:rPr>
          <w:rFonts w:hint="eastAsia" w:ascii="宋体" w:hAnsi="宋体" w:cs="宋体"/>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703"/>
    </w:p>
    <w:p w14:paraId="6EC5285F">
      <w:pPr>
        <w:pStyle w:val="7"/>
        <w:ind w:firstLine="422" w:firstLineChars="200"/>
        <w:rPr>
          <w:rFonts w:ascii="宋体" w:hAnsi="宋体" w:eastAsia="宋体" w:cs="宋体"/>
          <w:highlight w:val="none"/>
        </w:rPr>
      </w:pPr>
      <w:bookmarkStart w:id="704" w:name="_Toc506107314"/>
      <w:bookmarkStart w:id="705" w:name="_Toc23607"/>
      <w:bookmarkStart w:id="706" w:name="_Toc246996223"/>
      <w:bookmarkStart w:id="707" w:name="_Toc246996966"/>
      <w:bookmarkStart w:id="708" w:name="_Toc296602466"/>
      <w:bookmarkStart w:id="709" w:name="_Toc324404861"/>
      <w:bookmarkStart w:id="710" w:name="_Toc78803372"/>
      <w:bookmarkStart w:id="711" w:name="_Toc35425102"/>
      <w:bookmarkStart w:id="712" w:name="_Toc152042356"/>
      <w:bookmarkStart w:id="713" w:name="_Toc35424936"/>
      <w:bookmarkStart w:id="714" w:name="_Toc15058899"/>
      <w:bookmarkStart w:id="715" w:name="_Toc247085737"/>
      <w:bookmarkStart w:id="716" w:name="_Toc179632597"/>
      <w:bookmarkStart w:id="717" w:name="_Toc2811"/>
      <w:bookmarkStart w:id="718" w:name="_Toc152045579"/>
      <w:r>
        <w:rPr>
          <w:rFonts w:hint="eastAsia" w:ascii="宋体" w:hAnsi="宋体" w:eastAsia="宋体" w:cs="宋体"/>
          <w:highlight w:val="none"/>
        </w:rPr>
        <w:t>9.5 投诉</w:t>
      </w:r>
      <w:bookmarkEnd w:id="702"/>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18A92B0B">
      <w:pPr>
        <w:spacing w:line="440" w:lineRule="exact"/>
        <w:ind w:firstLine="420" w:firstLineChars="200"/>
        <w:jc w:val="left"/>
        <w:rPr>
          <w:rFonts w:hint="eastAsia" w:ascii="宋体" w:hAnsi="宋体" w:eastAsia="宋体" w:cs="宋体"/>
          <w:szCs w:val="21"/>
          <w:highlight w:val="none"/>
        </w:rPr>
      </w:pPr>
      <w:bookmarkStart w:id="719" w:name="_Toc20669"/>
      <w:bookmarkStart w:id="720" w:name="_Toc144974547"/>
      <w:bookmarkStart w:id="721" w:name="_Toc78803373"/>
      <w:bookmarkStart w:id="722" w:name="_Toc31643"/>
      <w:bookmarkStart w:id="723" w:name="_Toc15058900"/>
      <w:bookmarkStart w:id="724" w:name="_Toc152042357"/>
      <w:bookmarkStart w:id="725" w:name="_Toc246996967"/>
      <w:bookmarkStart w:id="726" w:name="_Toc247085738"/>
      <w:bookmarkStart w:id="727" w:name="_Toc35425103"/>
      <w:bookmarkStart w:id="728" w:name="_Toc152045580"/>
      <w:bookmarkStart w:id="729" w:name="_Toc246996224"/>
      <w:bookmarkStart w:id="730" w:name="_Toc35424937"/>
      <w:bookmarkStart w:id="731" w:name="_Toc179632598"/>
      <w:bookmarkStart w:id="732" w:name="_Toc16463"/>
      <w:bookmarkStart w:id="733" w:name="_Toc324404862"/>
      <w:bookmarkStart w:id="734" w:name="_Toc506107315"/>
      <w:r>
        <w:rPr>
          <w:rFonts w:hint="eastAsia" w:ascii="宋体" w:hAnsi="宋体" w:eastAsia="宋体" w:cs="宋体"/>
          <w:szCs w:val="21"/>
          <w:highlight w:val="none"/>
        </w:rPr>
        <w:t>9.5.1投标人或者其他利害关系人认为招标投标活动违反法律、法规和规章规定的，有权向相关行政监督部门投诉。投诉应当有明确的请求和必要的证明材料。</w:t>
      </w:r>
    </w:p>
    <w:p w14:paraId="64A3032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9.5.2投标人和其他利害关系人对招标文件、开标和评标结果事项投诉的，应当按照投标人须知的规定先向招标人提出异议。异议答复期间不计算在第9.5.1项规定的期限内。</w:t>
      </w:r>
    </w:p>
    <w:p w14:paraId="39FC7842">
      <w:pPr>
        <w:pStyle w:val="7"/>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10.需要补充的其他内容</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2610702A">
      <w:pPr>
        <w:spacing w:line="440" w:lineRule="exact"/>
        <w:ind w:firstLine="420" w:firstLineChars="200"/>
        <w:jc w:val="left"/>
        <w:rPr>
          <w:rFonts w:ascii="宋体" w:hAnsi="宋体" w:cs="宋体"/>
          <w:szCs w:val="21"/>
          <w:highlight w:val="none"/>
        </w:rPr>
      </w:pPr>
      <w:bookmarkStart w:id="735" w:name="_Toc15058901"/>
      <w:r>
        <w:rPr>
          <w:rFonts w:hint="eastAsia" w:ascii="宋体" w:hAnsi="宋体" w:cs="宋体"/>
          <w:szCs w:val="21"/>
          <w:highlight w:val="none"/>
        </w:rPr>
        <w:t>需要补充的其他内容：见投标人须知前附表。</w:t>
      </w:r>
      <w:bookmarkEnd w:id="735"/>
    </w:p>
    <w:p w14:paraId="13695F73">
      <w:pPr>
        <w:spacing w:line="440" w:lineRule="exact"/>
        <w:jc w:val="left"/>
        <w:rPr>
          <w:rFonts w:ascii="宋体" w:hAnsi="宋体" w:cs="宋体"/>
          <w:szCs w:val="21"/>
          <w:highlight w:val="none"/>
        </w:rPr>
      </w:pPr>
    </w:p>
    <w:p w14:paraId="146D6C50">
      <w:pPr>
        <w:pageBreakBefore/>
        <w:spacing w:beforeLines="80" w:afterLines="80" w:line="440" w:lineRule="exact"/>
        <w:jc w:val="center"/>
        <w:outlineLvl w:val="1"/>
        <w:rPr>
          <w:rFonts w:ascii="宋体"/>
          <w:b/>
          <w:sz w:val="32"/>
          <w:szCs w:val="32"/>
          <w:highlight w:val="none"/>
        </w:rPr>
      </w:pPr>
      <w:bookmarkStart w:id="736" w:name="_Toc78803375"/>
      <w:r>
        <w:rPr>
          <w:rFonts w:hint="eastAsia" w:ascii="宋体"/>
          <w:b/>
          <w:sz w:val="32"/>
          <w:szCs w:val="32"/>
          <w:highlight w:val="none"/>
        </w:rPr>
        <w:t>第</w:t>
      </w:r>
      <w:r>
        <w:rPr>
          <w:rFonts w:hint="eastAsia" w:ascii="宋体"/>
          <w:b/>
          <w:sz w:val="32"/>
          <w:szCs w:val="32"/>
          <w:highlight w:val="none"/>
          <w:lang w:val="en-US" w:eastAsia="zh-CN"/>
        </w:rPr>
        <w:t>三</w:t>
      </w:r>
      <w:r>
        <w:rPr>
          <w:rFonts w:hint="eastAsia" w:ascii="宋体"/>
          <w:b/>
          <w:sz w:val="32"/>
          <w:szCs w:val="32"/>
          <w:highlight w:val="none"/>
        </w:rPr>
        <w:t>章  资格审查</w:t>
      </w:r>
      <w:bookmarkEnd w:id="618"/>
      <w:r>
        <w:rPr>
          <w:rFonts w:hint="eastAsia" w:ascii="宋体"/>
          <w:b/>
          <w:sz w:val="32"/>
          <w:szCs w:val="32"/>
          <w:highlight w:val="none"/>
        </w:rPr>
        <w:t>办法</w:t>
      </w:r>
      <w:bookmarkEnd w:id="619"/>
      <w:bookmarkEnd w:id="620"/>
      <w:bookmarkEnd w:id="621"/>
      <w:bookmarkEnd w:id="622"/>
      <w:bookmarkEnd w:id="736"/>
    </w:p>
    <w:p w14:paraId="510BB1C6">
      <w:pPr>
        <w:spacing w:beforeLines="50" w:afterLines="50" w:line="440" w:lineRule="exact"/>
        <w:jc w:val="center"/>
        <w:rPr>
          <w:rFonts w:ascii="宋体" w:hAnsi="宋体" w:cs="宋体"/>
          <w:b/>
          <w:bCs/>
          <w:sz w:val="28"/>
          <w:szCs w:val="22"/>
          <w:highlight w:val="none"/>
        </w:rPr>
      </w:pPr>
      <w:bookmarkStart w:id="737" w:name="_Toc324404865"/>
      <w:bookmarkStart w:id="738" w:name="_Toc15058903"/>
      <w:bookmarkStart w:id="739" w:name="_Toc506107318"/>
      <w:bookmarkStart w:id="740" w:name="_Toc35424940"/>
      <w:bookmarkStart w:id="741" w:name="_Toc35425106"/>
      <w:r>
        <w:rPr>
          <w:rFonts w:hint="eastAsia" w:ascii="宋体" w:hAnsi="宋体" w:cs="宋体"/>
          <w:b/>
          <w:bCs/>
          <w:sz w:val="28"/>
          <w:szCs w:val="22"/>
          <w:highlight w:val="none"/>
        </w:rPr>
        <w:t>资格审查办法前附表</w:t>
      </w:r>
      <w:bookmarkEnd w:id="737"/>
      <w:bookmarkEnd w:id="738"/>
      <w:bookmarkEnd w:id="739"/>
      <w:bookmarkEnd w:id="740"/>
      <w:bookmarkEnd w:id="741"/>
    </w:p>
    <w:tbl>
      <w:tblPr>
        <w:tblStyle w:val="4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3443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21EA50D5">
            <w:pPr>
              <w:spacing w:line="440" w:lineRule="exact"/>
              <w:jc w:val="center"/>
              <w:rPr>
                <w:rFonts w:ascii="宋体" w:hAnsi="宋体" w:cs="宋体"/>
                <w:b/>
                <w:bCs/>
                <w:szCs w:val="21"/>
                <w:highlight w:val="none"/>
              </w:rPr>
            </w:pPr>
            <w:r>
              <w:rPr>
                <w:rFonts w:hint="eastAsia" w:ascii="宋体" w:hAnsi="宋体" w:cs="宋体"/>
                <w:b/>
                <w:bCs/>
                <w:szCs w:val="21"/>
                <w:highlight w:val="none"/>
              </w:rPr>
              <w:t>序号</w:t>
            </w:r>
          </w:p>
        </w:tc>
        <w:tc>
          <w:tcPr>
            <w:tcW w:w="6183" w:type="dxa"/>
            <w:noWrap/>
            <w:vAlign w:val="center"/>
          </w:tcPr>
          <w:p w14:paraId="737B946D">
            <w:pPr>
              <w:spacing w:line="440" w:lineRule="exact"/>
              <w:jc w:val="center"/>
              <w:rPr>
                <w:rFonts w:ascii="宋体" w:hAnsi="宋体" w:cs="宋体"/>
                <w:b/>
                <w:bCs/>
                <w:szCs w:val="21"/>
                <w:highlight w:val="none"/>
              </w:rPr>
            </w:pPr>
            <w:r>
              <w:rPr>
                <w:rFonts w:hint="eastAsia" w:ascii="宋体" w:hAnsi="宋体" w:cs="宋体"/>
                <w:b/>
                <w:bCs/>
                <w:szCs w:val="21"/>
                <w:highlight w:val="none"/>
              </w:rPr>
              <w:t>审查内容</w:t>
            </w:r>
          </w:p>
        </w:tc>
        <w:tc>
          <w:tcPr>
            <w:tcW w:w="1860" w:type="dxa"/>
            <w:noWrap/>
            <w:vAlign w:val="center"/>
          </w:tcPr>
          <w:p w14:paraId="10B4B499">
            <w:pPr>
              <w:spacing w:line="440" w:lineRule="exact"/>
              <w:jc w:val="center"/>
              <w:rPr>
                <w:rFonts w:ascii="宋体" w:hAnsi="宋体" w:cs="宋体"/>
                <w:b/>
                <w:bCs/>
                <w:szCs w:val="21"/>
                <w:highlight w:val="none"/>
              </w:rPr>
            </w:pPr>
            <w:r>
              <w:rPr>
                <w:rFonts w:hint="eastAsia" w:ascii="宋体" w:hAnsi="宋体" w:cs="宋体"/>
                <w:b/>
                <w:bCs/>
                <w:szCs w:val="21"/>
                <w:highlight w:val="none"/>
              </w:rPr>
              <w:t>评审标准</w:t>
            </w:r>
          </w:p>
        </w:tc>
      </w:tr>
      <w:tr w14:paraId="5E38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867F738">
            <w:pPr>
              <w:spacing w:line="440" w:lineRule="exact"/>
              <w:jc w:val="center"/>
              <w:rPr>
                <w:rFonts w:ascii="宋体" w:hAnsi="宋体" w:cs="宋体"/>
                <w:szCs w:val="21"/>
                <w:highlight w:val="none"/>
              </w:rPr>
            </w:pPr>
            <w:r>
              <w:rPr>
                <w:rFonts w:hint="eastAsia" w:ascii="宋体" w:hAnsi="宋体" w:cs="宋体"/>
                <w:szCs w:val="21"/>
                <w:highlight w:val="none"/>
              </w:rPr>
              <w:t>1</w:t>
            </w:r>
          </w:p>
        </w:tc>
        <w:tc>
          <w:tcPr>
            <w:tcW w:w="1258" w:type="dxa"/>
            <w:vMerge w:val="restart"/>
            <w:noWrap/>
            <w:vAlign w:val="center"/>
          </w:tcPr>
          <w:p w14:paraId="12F9F292">
            <w:pPr>
              <w:spacing w:line="440" w:lineRule="exact"/>
              <w:jc w:val="center"/>
              <w:rPr>
                <w:rFonts w:ascii="宋体" w:hAnsi="宋体" w:cs="宋体"/>
                <w:b/>
                <w:bCs/>
                <w:szCs w:val="21"/>
                <w:highlight w:val="none"/>
              </w:rPr>
            </w:pPr>
            <w:r>
              <w:rPr>
                <w:rFonts w:hint="eastAsia" w:ascii="宋体" w:hAnsi="宋体" w:cs="宋体"/>
                <w:b/>
                <w:bCs/>
                <w:szCs w:val="21"/>
                <w:highlight w:val="none"/>
              </w:rPr>
              <w:t>审查资料</w:t>
            </w:r>
          </w:p>
        </w:tc>
        <w:tc>
          <w:tcPr>
            <w:tcW w:w="6183" w:type="dxa"/>
            <w:noWrap/>
            <w:vAlign w:val="center"/>
          </w:tcPr>
          <w:p w14:paraId="4223BCB8">
            <w:pPr>
              <w:spacing w:line="440" w:lineRule="exact"/>
              <w:rPr>
                <w:rFonts w:ascii="宋体" w:hAnsi="宋体" w:cs="宋体"/>
                <w:szCs w:val="21"/>
                <w:highlight w:val="none"/>
              </w:rPr>
            </w:pPr>
            <w:r>
              <w:rPr>
                <w:rFonts w:hint="eastAsia" w:ascii="宋体" w:hAnsi="宋体" w:cs="宋体"/>
                <w:szCs w:val="21"/>
                <w:highlight w:val="none"/>
              </w:rPr>
              <w:t>法定代表人身份证明文件和本人有效身份证(或法定代表人授权委托书和委托代理人有效身份证)</w:t>
            </w:r>
          </w:p>
        </w:tc>
        <w:tc>
          <w:tcPr>
            <w:tcW w:w="1860" w:type="dxa"/>
            <w:noWrap/>
            <w:vAlign w:val="center"/>
          </w:tcPr>
          <w:p w14:paraId="08425CC0">
            <w:pPr>
              <w:spacing w:line="440" w:lineRule="exact"/>
              <w:jc w:val="center"/>
              <w:rPr>
                <w:rFonts w:ascii="宋体" w:hAnsi="宋体" w:cs="宋体"/>
                <w:b/>
                <w:szCs w:val="21"/>
                <w:highlight w:val="none"/>
              </w:rPr>
            </w:pPr>
            <w:r>
              <w:rPr>
                <w:rFonts w:hint="eastAsia" w:ascii="宋体" w:hAnsi="宋体" w:cs="宋体"/>
                <w:b/>
                <w:szCs w:val="21"/>
                <w:highlight w:val="none"/>
              </w:rPr>
              <w:t>检验电子标书</w:t>
            </w:r>
          </w:p>
        </w:tc>
      </w:tr>
      <w:tr w14:paraId="0BB7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0CBF773D">
            <w:pPr>
              <w:spacing w:line="440" w:lineRule="exact"/>
              <w:jc w:val="center"/>
              <w:rPr>
                <w:rFonts w:ascii="宋体" w:hAnsi="宋体" w:cs="宋体"/>
                <w:szCs w:val="21"/>
                <w:highlight w:val="none"/>
              </w:rPr>
            </w:pPr>
          </w:p>
        </w:tc>
        <w:tc>
          <w:tcPr>
            <w:tcW w:w="1258" w:type="dxa"/>
            <w:vMerge w:val="continue"/>
            <w:noWrap/>
            <w:vAlign w:val="center"/>
          </w:tcPr>
          <w:p w14:paraId="5DD98737">
            <w:pPr>
              <w:spacing w:line="440" w:lineRule="exact"/>
              <w:jc w:val="center"/>
              <w:rPr>
                <w:rFonts w:ascii="宋体" w:hAnsi="宋体" w:cs="宋体"/>
                <w:b/>
                <w:bCs/>
                <w:szCs w:val="21"/>
                <w:highlight w:val="none"/>
              </w:rPr>
            </w:pPr>
          </w:p>
        </w:tc>
        <w:tc>
          <w:tcPr>
            <w:tcW w:w="6183" w:type="dxa"/>
            <w:noWrap/>
            <w:vAlign w:val="center"/>
          </w:tcPr>
          <w:p w14:paraId="356F4FA9">
            <w:pPr>
              <w:spacing w:line="440" w:lineRule="exact"/>
              <w:rPr>
                <w:rFonts w:ascii="宋体" w:hAnsi="宋体" w:cs="宋体"/>
                <w:szCs w:val="21"/>
                <w:highlight w:val="none"/>
              </w:rPr>
            </w:pPr>
            <w:r>
              <w:rPr>
                <w:rFonts w:hint="eastAsia" w:ascii="宋体" w:hAnsi="宋体" w:cs="宋体"/>
                <w:szCs w:val="21"/>
                <w:highlight w:val="none"/>
              </w:rPr>
              <w:t>诚信投标承诺书</w:t>
            </w:r>
          </w:p>
        </w:tc>
        <w:tc>
          <w:tcPr>
            <w:tcW w:w="1860" w:type="dxa"/>
            <w:vMerge w:val="restart"/>
            <w:noWrap/>
            <w:vAlign w:val="center"/>
          </w:tcPr>
          <w:p w14:paraId="1D178232">
            <w:pPr>
              <w:spacing w:line="440" w:lineRule="exact"/>
              <w:jc w:val="center"/>
              <w:rPr>
                <w:rFonts w:ascii="宋体" w:hAnsi="宋体" w:cs="宋体"/>
                <w:b/>
                <w:szCs w:val="21"/>
                <w:highlight w:val="none"/>
              </w:rPr>
            </w:pPr>
            <w:r>
              <w:rPr>
                <w:rFonts w:hint="eastAsia" w:ascii="宋体" w:hAnsi="宋体" w:cs="宋体"/>
                <w:b/>
                <w:szCs w:val="21"/>
                <w:highlight w:val="none"/>
              </w:rPr>
              <w:t>检验电子标书</w:t>
            </w:r>
          </w:p>
        </w:tc>
      </w:tr>
      <w:tr w14:paraId="6FB2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7D8563C4">
            <w:pPr>
              <w:spacing w:line="440" w:lineRule="exact"/>
              <w:jc w:val="center"/>
              <w:rPr>
                <w:rFonts w:ascii="宋体" w:hAnsi="宋体" w:cs="宋体"/>
                <w:szCs w:val="21"/>
                <w:highlight w:val="none"/>
              </w:rPr>
            </w:pPr>
          </w:p>
        </w:tc>
        <w:tc>
          <w:tcPr>
            <w:tcW w:w="1258" w:type="dxa"/>
            <w:vMerge w:val="continue"/>
            <w:noWrap/>
            <w:vAlign w:val="center"/>
          </w:tcPr>
          <w:p w14:paraId="04C1B076">
            <w:pPr>
              <w:spacing w:line="440" w:lineRule="exact"/>
              <w:jc w:val="center"/>
              <w:rPr>
                <w:rFonts w:ascii="宋体" w:hAnsi="宋体" w:cs="宋体"/>
                <w:b/>
                <w:bCs/>
                <w:szCs w:val="21"/>
                <w:highlight w:val="none"/>
              </w:rPr>
            </w:pPr>
          </w:p>
        </w:tc>
        <w:tc>
          <w:tcPr>
            <w:tcW w:w="6183" w:type="dxa"/>
            <w:noWrap/>
            <w:vAlign w:val="center"/>
          </w:tcPr>
          <w:p w14:paraId="7DE2EBA3">
            <w:pPr>
              <w:spacing w:line="440" w:lineRule="exact"/>
              <w:rPr>
                <w:rFonts w:ascii="宋体" w:hAnsi="宋体" w:cs="宋体"/>
                <w:szCs w:val="21"/>
                <w:highlight w:val="none"/>
              </w:rPr>
            </w:pPr>
            <w:r>
              <w:rPr>
                <w:rFonts w:hint="eastAsia" w:ascii="宋体" w:hAnsi="宋体" w:cs="宋体"/>
                <w:szCs w:val="21"/>
                <w:highlight w:val="none"/>
              </w:rPr>
              <w:t>企业法人营业执照</w:t>
            </w:r>
          </w:p>
        </w:tc>
        <w:tc>
          <w:tcPr>
            <w:tcW w:w="1860" w:type="dxa"/>
            <w:vMerge w:val="continue"/>
            <w:noWrap/>
            <w:vAlign w:val="center"/>
          </w:tcPr>
          <w:p w14:paraId="779E57B8">
            <w:pPr>
              <w:spacing w:line="440" w:lineRule="exact"/>
              <w:rPr>
                <w:rFonts w:ascii="宋体" w:hAnsi="宋体" w:cs="宋体"/>
                <w:b/>
                <w:szCs w:val="21"/>
                <w:highlight w:val="none"/>
              </w:rPr>
            </w:pPr>
          </w:p>
        </w:tc>
      </w:tr>
      <w:tr w14:paraId="25FC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D4982A9">
            <w:pPr>
              <w:spacing w:line="440" w:lineRule="exact"/>
              <w:jc w:val="center"/>
              <w:rPr>
                <w:rFonts w:ascii="宋体" w:hAnsi="宋体" w:cs="宋体"/>
                <w:szCs w:val="21"/>
                <w:highlight w:val="none"/>
              </w:rPr>
            </w:pPr>
          </w:p>
        </w:tc>
        <w:tc>
          <w:tcPr>
            <w:tcW w:w="1258" w:type="dxa"/>
            <w:vMerge w:val="continue"/>
            <w:noWrap/>
            <w:vAlign w:val="center"/>
          </w:tcPr>
          <w:p w14:paraId="0B3A3CE4">
            <w:pPr>
              <w:spacing w:line="440" w:lineRule="exact"/>
              <w:jc w:val="center"/>
              <w:rPr>
                <w:rFonts w:ascii="宋体" w:hAnsi="宋体" w:cs="宋体"/>
                <w:b/>
                <w:bCs/>
                <w:szCs w:val="21"/>
                <w:highlight w:val="none"/>
              </w:rPr>
            </w:pPr>
          </w:p>
        </w:tc>
        <w:tc>
          <w:tcPr>
            <w:tcW w:w="6183" w:type="dxa"/>
            <w:noWrap/>
            <w:vAlign w:val="center"/>
          </w:tcPr>
          <w:p w14:paraId="5DF3ACB3">
            <w:pPr>
              <w:spacing w:line="440" w:lineRule="exact"/>
              <w:rPr>
                <w:rFonts w:hint="eastAsia" w:ascii="宋体" w:hAnsi="宋体" w:eastAsia="宋体" w:cs="宋体"/>
                <w:szCs w:val="21"/>
                <w:highlight w:val="none"/>
                <w:lang w:val="en-US" w:eastAsia="zh-CN"/>
              </w:rPr>
            </w:pPr>
            <w:r>
              <w:rPr>
                <w:rFonts w:hint="eastAsia" w:ascii="宋体" w:hAnsi="宋体" w:cs="宋体"/>
                <w:szCs w:val="21"/>
                <w:highlight w:val="none"/>
              </w:rPr>
              <w:t>企业资质证书</w:t>
            </w:r>
            <w:r>
              <w:rPr>
                <w:rFonts w:hint="eastAsia" w:ascii="宋体" w:hAnsi="宋体" w:cs="宋体"/>
                <w:szCs w:val="21"/>
                <w:highlight w:val="none"/>
                <w:lang w:val="en-US" w:eastAsia="zh-CN"/>
              </w:rPr>
              <w:t>及</w:t>
            </w:r>
            <w:r>
              <w:rPr>
                <w:rFonts w:hint="eastAsia" w:ascii="宋体" w:hAnsi="宋体" w:cs="宋体"/>
                <w:color w:val="000000"/>
                <w:szCs w:val="21"/>
              </w:rPr>
              <w:t>企业安全生产许可证</w:t>
            </w:r>
          </w:p>
        </w:tc>
        <w:tc>
          <w:tcPr>
            <w:tcW w:w="1860" w:type="dxa"/>
            <w:vMerge w:val="continue"/>
            <w:noWrap/>
            <w:vAlign w:val="center"/>
          </w:tcPr>
          <w:p w14:paraId="2E943AB5">
            <w:pPr>
              <w:spacing w:line="440" w:lineRule="exact"/>
              <w:rPr>
                <w:rFonts w:ascii="宋体" w:hAnsi="宋体" w:cs="宋体"/>
                <w:szCs w:val="21"/>
                <w:highlight w:val="none"/>
              </w:rPr>
            </w:pPr>
          </w:p>
        </w:tc>
      </w:tr>
      <w:tr w14:paraId="5484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44F29A8D">
            <w:pPr>
              <w:spacing w:line="440" w:lineRule="exact"/>
              <w:jc w:val="center"/>
              <w:rPr>
                <w:rFonts w:ascii="宋体" w:hAnsi="宋体" w:cs="宋体"/>
                <w:szCs w:val="21"/>
                <w:highlight w:val="none"/>
              </w:rPr>
            </w:pPr>
          </w:p>
        </w:tc>
        <w:tc>
          <w:tcPr>
            <w:tcW w:w="1258" w:type="dxa"/>
            <w:vMerge w:val="continue"/>
            <w:noWrap/>
            <w:vAlign w:val="center"/>
          </w:tcPr>
          <w:p w14:paraId="5172F027">
            <w:pPr>
              <w:spacing w:line="440" w:lineRule="exact"/>
              <w:jc w:val="center"/>
              <w:rPr>
                <w:rFonts w:ascii="宋体" w:hAnsi="宋体" w:cs="宋体"/>
                <w:b/>
                <w:bCs/>
                <w:szCs w:val="21"/>
                <w:highlight w:val="none"/>
              </w:rPr>
            </w:pPr>
          </w:p>
        </w:tc>
        <w:tc>
          <w:tcPr>
            <w:tcW w:w="6183" w:type="dxa"/>
            <w:noWrap/>
            <w:vAlign w:val="top"/>
          </w:tcPr>
          <w:p w14:paraId="7910A869">
            <w:pPr>
              <w:keepNext w:val="0"/>
              <w:keepLines w:val="0"/>
              <w:pageBreakBefore w:val="0"/>
              <w:kinsoku/>
              <w:wordWrap/>
              <w:overflowPunct/>
              <w:topLinePunct w:val="0"/>
              <w:autoSpaceDN/>
              <w:bidi w:val="0"/>
              <w:adjustRightInd/>
              <w:snapToGrid/>
              <w:spacing w:line="440" w:lineRule="exact"/>
              <w:textAlignment w:val="auto"/>
              <w:rPr>
                <w:rFonts w:ascii="宋体" w:hAnsi="宋体" w:cs="宋体"/>
                <w:szCs w:val="21"/>
                <w:highlight w:val="none"/>
              </w:rPr>
            </w:pPr>
            <w:r>
              <w:rPr>
                <w:rFonts w:hint="eastAsia" w:ascii="宋体" w:hAnsi="宋体" w:cs="宋体"/>
                <w:color w:val="000000"/>
                <w:szCs w:val="21"/>
              </w:rPr>
              <w:t>项目经理（建造师）有效身份证、注册证书以及安全生产考核合格证书（B证）</w:t>
            </w:r>
          </w:p>
        </w:tc>
        <w:tc>
          <w:tcPr>
            <w:tcW w:w="1860" w:type="dxa"/>
            <w:vMerge w:val="continue"/>
            <w:noWrap/>
            <w:vAlign w:val="center"/>
          </w:tcPr>
          <w:p w14:paraId="2BFDCB77">
            <w:pPr>
              <w:spacing w:line="440" w:lineRule="exact"/>
              <w:rPr>
                <w:rFonts w:ascii="宋体" w:hAnsi="宋体" w:cs="宋体"/>
                <w:szCs w:val="21"/>
                <w:highlight w:val="none"/>
              </w:rPr>
            </w:pPr>
          </w:p>
        </w:tc>
      </w:tr>
      <w:tr w14:paraId="4C6A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196A33EB">
            <w:pPr>
              <w:spacing w:line="440" w:lineRule="exact"/>
              <w:jc w:val="center"/>
              <w:rPr>
                <w:rFonts w:ascii="宋体" w:hAnsi="宋体" w:cs="宋体"/>
                <w:szCs w:val="21"/>
                <w:highlight w:val="none"/>
              </w:rPr>
            </w:pPr>
          </w:p>
        </w:tc>
        <w:tc>
          <w:tcPr>
            <w:tcW w:w="1258" w:type="dxa"/>
            <w:vMerge w:val="continue"/>
            <w:noWrap/>
            <w:vAlign w:val="center"/>
          </w:tcPr>
          <w:p w14:paraId="7D51B5B8">
            <w:pPr>
              <w:spacing w:line="440" w:lineRule="exact"/>
              <w:jc w:val="center"/>
              <w:rPr>
                <w:rFonts w:ascii="宋体" w:hAnsi="宋体" w:cs="宋体"/>
                <w:b/>
                <w:bCs/>
                <w:szCs w:val="21"/>
                <w:highlight w:val="none"/>
              </w:rPr>
            </w:pPr>
          </w:p>
        </w:tc>
        <w:tc>
          <w:tcPr>
            <w:tcW w:w="6183" w:type="dxa"/>
            <w:noWrap/>
            <w:vAlign w:val="top"/>
          </w:tcPr>
          <w:p w14:paraId="7DB448B8">
            <w:pPr>
              <w:spacing w:line="440" w:lineRule="exact"/>
              <w:rPr>
                <w:rFonts w:ascii="宋体" w:hAnsi="宋体" w:cs="宋体"/>
                <w:highlight w:val="none"/>
              </w:rPr>
            </w:pPr>
            <w:r>
              <w:rPr>
                <w:rFonts w:hint="eastAsia" w:ascii="宋体" w:hAnsi="宋体" w:cs="宋体"/>
                <w:color w:val="000000"/>
                <w:szCs w:val="21"/>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701C2C27">
            <w:pPr>
              <w:spacing w:line="440" w:lineRule="exact"/>
              <w:rPr>
                <w:rFonts w:ascii="宋体" w:hAnsi="宋体" w:cs="宋体"/>
                <w:szCs w:val="21"/>
                <w:highlight w:val="none"/>
              </w:rPr>
            </w:pPr>
          </w:p>
        </w:tc>
      </w:tr>
    </w:tbl>
    <w:p w14:paraId="44418C94">
      <w:pPr>
        <w:spacing w:line="440" w:lineRule="exact"/>
        <w:ind w:firstLine="422" w:firstLineChars="200"/>
        <w:jc w:val="left"/>
        <w:rPr>
          <w:rFonts w:ascii="宋体" w:hAnsi="宋体" w:cs="宋体"/>
          <w:b/>
          <w:bCs/>
          <w:szCs w:val="21"/>
          <w:highlight w:val="none"/>
        </w:rPr>
      </w:pPr>
      <w:r>
        <w:rPr>
          <w:rFonts w:hint="eastAsia" w:ascii="宋体" w:hAnsi="宋体" w:cs="宋体"/>
          <w:b/>
          <w:bCs/>
          <w:szCs w:val="21"/>
          <w:highlight w:val="none"/>
        </w:rPr>
        <w:t>重要提示：</w:t>
      </w:r>
    </w:p>
    <w:p w14:paraId="586303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szCs w:val="21"/>
          <w:highlight w:val="none"/>
        </w:rPr>
      </w:pPr>
      <w:bookmarkStart w:id="742" w:name="_Toc506107319"/>
      <w:bookmarkStart w:id="743" w:name="_Toc27127"/>
      <w:bookmarkStart w:id="744" w:name="_Toc35424941"/>
      <w:bookmarkStart w:id="745" w:name="_Toc15058904"/>
      <w:bookmarkStart w:id="746" w:name="_Toc78803376"/>
      <w:bookmarkStart w:id="747" w:name="_Toc35425107"/>
      <w:bookmarkStart w:id="748" w:name="_Toc324404866"/>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1）</w:t>
      </w:r>
      <w:r>
        <w:rPr>
          <w:rFonts w:hint="eastAsia" w:ascii="宋体" w:hAnsi="宋体" w:eastAsia="宋体" w:cs="宋体"/>
          <w:b/>
          <w:bCs/>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p>
    <w:p w14:paraId="47D2EA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2）</w:t>
      </w:r>
      <w:r>
        <w:rPr>
          <w:rFonts w:hint="eastAsia" w:ascii="宋体" w:hAnsi="宋体" w:eastAsia="宋体" w:cs="宋体"/>
          <w:b/>
          <w:bCs/>
          <w:szCs w:val="21"/>
          <w:highlight w:val="none"/>
        </w:rPr>
        <w:t>投标人拟委任项目经理为注册建造师（含一级、二级）的，须提供在电子证书使用有效期内的纸质版电子证书。一级建造师打印电子证书后，应在个人签名处手写本人签名，未手写签名或与签名图像笔迹不一致的，该电子证书无效。</w:t>
      </w:r>
    </w:p>
    <w:p w14:paraId="1D842A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left"/>
        <w:textAlignment w:val="auto"/>
      </w:pPr>
      <w:r>
        <w:rPr>
          <w:rFonts w:hint="eastAsia" w:ascii="宋体" w:hAnsi="宋体" w:eastAsia="宋体" w:cs="宋体"/>
          <w:b/>
          <w:bCs/>
          <w:szCs w:val="21"/>
          <w:highlight w:val="none"/>
        </w:rPr>
        <w:t>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p>
    <w:p w14:paraId="4A8A3FCB">
      <w:pPr>
        <w:pStyle w:val="7"/>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1.审查资料</w:t>
      </w:r>
      <w:bookmarkEnd w:id="742"/>
      <w:bookmarkEnd w:id="743"/>
      <w:bookmarkEnd w:id="744"/>
      <w:bookmarkEnd w:id="745"/>
      <w:bookmarkEnd w:id="746"/>
      <w:bookmarkEnd w:id="747"/>
      <w:bookmarkEnd w:id="748"/>
    </w:p>
    <w:p w14:paraId="2DC377C4">
      <w:pPr>
        <w:spacing w:line="440" w:lineRule="exact"/>
        <w:ind w:firstLine="420" w:firstLineChars="200"/>
        <w:jc w:val="left"/>
        <w:rPr>
          <w:rFonts w:hint="eastAsia" w:ascii="宋体" w:hAnsi="宋体" w:cs="宋体"/>
          <w:szCs w:val="21"/>
          <w:highlight w:val="none"/>
        </w:rPr>
      </w:pPr>
      <w:bookmarkStart w:id="749" w:name="_Toc15058905"/>
      <w:bookmarkStart w:id="750" w:name="_Toc324404867"/>
      <w:r>
        <w:rPr>
          <w:rFonts w:hint="eastAsia" w:ascii="宋体" w:hAnsi="宋体" w:cs="宋体"/>
          <w:szCs w:val="21"/>
          <w:highlight w:val="none"/>
        </w:rPr>
        <w:t>（1）法定代表人身份证明文件和本人有效身份证(或法定代表人授权委托书和委托代理人有效身份证)；</w:t>
      </w:r>
    </w:p>
    <w:p w14:paraId="3F0E71BB">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（2）诚信投标承诺书；</w:t>
      </w:r>
    </w:p>
    <w:p w14:paraId="12618AFF">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（3）企业法人营业执照；</w:t>
      </w:r>
    </w:p>
    <w:p w14:paraId="45677E5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（4）企业资质证书</w:t>
      </w:r>
      <w:r>
        <w:rPr>
          <w:rFonts w:hint="eastAsia" w:ascii="宋体" w:hAnsi="宋体" w:cs="宋体"/>
          <w:szCs w:val="21"/>
          <w:highlight w:val="none"/>
          <w:lang w:val="en-US" w:eastAsia="zh-CN"/>
        </w:rPr>
        <w:t>及</w:t>
      </w:r>
      <w:r>
        <w:rPr>
          <w:rFonts w:hint="eastAsia" w:ascii="宋体" w:hAnsi="宋体" w:cs="宋体"/>
          <w:color w:val="000000"/>
          <w:szCs w:val="21"/>
        </w:rPr>
        <w:t>企业安全生产许可证</w:t>
      </w:r>
      <w:r>
        <w:rPr>
          <w:rFonts w:hint="eastAsia" w:ascii="宋体" w:hAnsi="宋体" w:cs="宋体"/>
          <w:szCs w:val="21"/>
          <w:highlight w:val="none"/>
        </w:rPr>
        <w:t>；</w:t>
      </w:r>
    </w:p>
    <w:p w14:paraId="0ED50D4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（5）</w:t>
      </w:r>
      <w:r>
        <w:rPr>
          <w:rFonts w:hint="eastAsia" w:ascii="宋体" w:hAnsi="宋体" w:cs="宋体"/>
          <w:color w:val="000000"/>
          <w:szCs w:val="21"/>
        </w:rPr>
        <w:t>项目经理（建造师）有效身份证、注册证书以及安全生产考核合格证书（B证）</w:t>
      </w:r>
      <w:r>
        <w:rPr>
          <w:rFonts w:hint="eastAsia" w:ascii="宋体" w:hAnsi="宋体" w:cs="宋体"/>
          <w:szCs w:val="21"/>
          <w:highlight w:val="none"/>
        </w:rPr>
        <w:t>；</w:t>
      </w:r>
    </w:p>
    <w:p w14:paraId="57EC5BE4">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cs="宋体"/>
          <w:color w:val="000000"/>
          <w:szCs w:val="21"/>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000000"/>
          <w:szCs w:val="21"/>
          <w:lang w:eastAsia="zh-CN"/>
        </w:rPr>
        <w:t>。</w:t>
      </w:r>
    </w:p>
    <w:bookmarkEnd w:id="749"/>
    <w:p w14:paraId="5990719C">
      <w:pPr>
        <w:pStyle w:val="7"/>
        <w:spacing w:beforeLines="50" w:afterLines="50"/>
        <w:ind w:firstLine="422" w:firstLineChars="200"/>
        <w:rPr>
          <w:rFonts w:ascii="宋体" w:hAnsi="宋体" w:eastAsia="宋体" w:cs="宋体"/>
          <w:highlight w:val="none"/>
        </w:rPr>
      </w:pPr>
      <w:bookmarkStart w:id="751" w:name="_Toc12549"/>
      <w:bookmarkStart w:id="752" w:name="_Toc15058909"/>
      <w:bookmarkStart w:id="753" w:name="_Toc35425108"/>
      <w:bookmarkStart w:id="754" w:name="_Toc78803377"/>
      <w:bookmarkStart w:id="755" w:name="_Toc35424942"/>
      <w:bookmarkStart w:id="756" w:name="_Toc506107320"/>
      <w:r>
        <w:rPr>
          <w:rFonts w:hint="eastAsia" w:ascii="宋体" w:hAnsi="宋体" w:eastAsia="宋体" w:cs="宋体"/>
          <w:highlight w:val="none"/>
        </w:rPr>
        <w:t>2.审查办法</w:t>
      </w:r>
      <w:bookmarkEnd w:id="750"/>
      <w:bookmarkEnd w:id="751"/>
      <w:bookmarkEnd w:id="752"/>
      <w:bookmarkEnd w:id="753"/>
      <w:bookmarkEnd w:id="754"/>
      <w:bookmarkEnd w:id="755"/>
      <w:bookmarkEnd w:id="756"/>
    </w:p>
    <w:p w14:paraId="0B018554">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由资格审查委员会（评标委员会）按资格审查办法前附表中资格审查必要合格条件评审表要求对投标人审查资料进行核验。</w:t>
      </w:r>
    </w:p>
    <w:p w14:paraId="447D2762">
      <w:pPr>
        <w:pStyle w:val="7"/>
        <w:spacing w:beforeLines="50" w:afterLines="50"/>
        <w:ind w:firstLine="422" w:firstLineChars="200"/>
        <w:rPr>
          <w:rFonts w:ascii="宋体" w:hAnsi="宋体" w:eastAsia="宋体" w:cs="宋体"/>
          <w:highlight w:val="none"/>
        </w:rPr>
      </w:pPr>
      <w:bookmarkStart w:id="757" w:name="_Toc78803378"/>
      <w:bookmarkStart w:id="758" w:name="_Toc35424943"/>
      <w:bookmarkStart w:id="759" w:name="_Toc15626"/>
      <w:bookmarkStart w:id="760" w:name="_Toc35425109"/>
      <w:bookmarkStart w:id="761" w:name="_Toc324404868"/>
      <w:bookmarkStart w:id="762" w:name="_Toc15058910"/>
      <w:bookmarkStart w:id="763" w:name="_Toc506107321"/>
      <w:r>
        <w:rPr>
          <w:rFonts w:hint="eastAsia" w:ascii="宋体" w:hAnsi="宋体" w:eastAsia="宋体" w:cs="宋体"/>
          <w:highlight w:val="none"/>
        </w:rPr>
        <w:t>3.资格审查委员会和审查标准</w:t>
      </w:r>
      <w:bookmarkEnd w:id="757"/>
      <w:bookmarkEnd w:id="758"/>
      <w:bookmarkEnd w:id="759"/>
      <w:bookmarkEnd w:id="760"/>
      <w:bookmarkEnd w:id="761"/>
      <w:bookmarkEnd w:id="762"/>
      <w:bookmarkEnd w:id="763"/>
    </w:p>
    <w:p w14:paraId="48F20776">
      <w:pPr>
        <w:spacing w:line="440" w:lineRule="exact"/>
        <w:ind w:firstLine="420" w:firstLineChars="200"/>
        <w:jc w:val="left"/>
        <w:rPr>
          <w:rFonts w:hint="eastAsia" w:ascii="宋体" w:hAnsi="宋体" w:eastAsia="宋体" w:cs="宋体"/>
          <w:szCs w:val="21"/>
          <w:highlight w:val="none"/>
        </w:rPr>
      </w:pPr>
      <w:bookmarkStart w:id="764" w:name="_Toc15058911"/>
      <w:bookmarkStart w:id="765" w:name="_Toc78803379"/>
      <w:bookmarkStart w:id="766" w:name="_Toc506107322"/>
      <w:bookmarkStart w:id="767" w:name="_Toc35425110"/>
      <w:bookmarkStart w:id="768" w:name="_Toc324404869"/>
      <w:bookmarkStart w:id="769" w:name="_Toc35424944"/>
      <w:bookmarkStart w:id="770" w:name="_Toc10330"/>
      <w:r>
        <w:rPr>
          <w:rFonts w:hint="eastAsia" w:ascii="宋体" w:hAnsi="宋体" w:eastAsia="宋体" w:cs="宋体"/>
          <w:szCs w:val="21"/>
          <w:highlight w:val="none"/>
        </w:rPr>
        <w:t>3.1资格审查由招标人依法组建的资格审查委员会（或评标委员会）负责。审查标准见资格审查办法前附表。</w:t>
      </w:r>
    </w:p>
    <w:p w14:paraId="75FCAEF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3.2由资格审查委员会（评标委员会）按资格审查办法前附表要求对投标人的审查资料进行核验。投标申请人有下列情形之一的，其资格审查为不合格： </w:t>
      </w:r>
    </w:p>
    <w:p w14:paraId="465F4E8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（1）未上传电子标书或电子标书经审查不合格；</w:t>
      </w:r>
    </w:p>
    <w:p w14:paraId="526FEED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2</w:t>
      </w:r>
      <w:r>
        <w:rPr>
          <w:rFonts w:hint="eastAsia" w:ascii="宋体" w:hAnsi="宋体" w:eastAsia="宋体" w:cs="宋体"/>
          <w:szCs w:val="21"/>
          <w:highlight w:val="none"/>
        </w:rPr>
        <w:t>）法律、法规规定的其他情形。</w:t>
      </w:r>
    </w:p>
    <w:p w14:paraId="439F3B10">
      <w:pPr>
        <w:pStyle w:val="7"/>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4.审查结果</w:t>
      </w:r>
      <w:bookmarkEnd w:id="764"/>
      <w:bookmarkEnd w:id="765"/>
      <w:bookmarkEnd w:id="766"/>
      <w:bookmarkEnd w:id="767"/>
      <w:bookmarkEnd w:id="768"/>
      <w:bookmarkEnd w:id="769"/>
      <w:bookmarkEnd w:id="770"/>
    </w:p>
    <w:p w14:paraId="58D45548">
      <w:pPr>
        <w:spacing w:line="440" w:lineRule="exact"/>
        <w:ind w:firstLine="420" w:firstLineChars="200"/>
        <w:jc w:val="left"/>
        <w:rPr>
          <w:rFonts w:ascii="宋体" w:hAnsi="宋体" w:cs="宋体"/>
          <w:szCs w:val="21"/>
          <w:highlight w:val="none"/>
        </w:rPr>
      </w:pPr>
      <w:r>
        <w:rPr>
          <w:rFonts w:hint="eastAsia" w:ascii="宋体" w:hAnsi="宋体" w:cs="宋体"/>
          <w:highlight w:val="none"/>
        </w:rPr>
        <w:t>只有通过资格审查的投标人才能进入下一步的评标程序。</w:t>
      </w:r>
      <w:bookmarkStart w:id="771" w:name="_Toc506107323"/>
    </w:p>
    <w:p w14:paraId="500CB5F4">
      <w:pPr>
        <w:pStyle w:val="6"/>
        <w:numPr>
          <w:ilvl w:val="0"/>
          <w:numId w:val="1"/>
        </w:numPr>
        <w:spacing w:beforeLines="50" w:afterLines="50"/>
        <w:rPr>
          <w:rFonts w:hint="eastAsia" w:ascii="Arial" w:hAnsi="Arial"/>
          <w:kern w:val="0"/>
          <w:sz w:val="32"/>
          <w:szCs w:val="32"/>
          <w:highlight w:val="none"/>
        </w:rPr>
      </w:pPr>
      <w:bookmarkStart w:id="772" w:name="_Toc15058912"/>
      <w:bookmarkStart w:id="773" w:name="_Toc35424945"/>
      <w:bookmarkStart w:id="774" w:name="_Toc35425111"/>
      <w:r>
        <w:rPr>
          <w:rFonts w:hint="eastAsia"/>
          <w:highlight w:val="none"/>
        </w:rPr>
        <w:br w:type="page"/>
      </w:r>
      <w:bookmarkStart w:id="775" w:name="_Toc78803380"/>
      <w:r>
        <w:rPr>
          <w:rFonts w:hint="eastAsia" w:ascii="Arial" w:hAnsi="Arial"/>
          <w:kern w:val="0"/>
          <w:sz w:val="32"/>
          <w:szCs w:val="32"/>
          <w:highlight w:val="none"/>
        </w:rPr>
        <w:t>评标办法</w:t>
      </w:r>
      <w:bookmarkEnd w:id="623"/>
      <w:bookmarkEnd w:id="771"/>
      <w:bookmarkEnd w:id="772"/>
      <w:bookmarkEnd w:id="773"/>
      <w:bookmarkEnd w:id="774"/>
      <w:bookmarkEnd w:id="775"/>
    </w:p>
    <w:p w14:paraId="21C07B66">
      <w:pPr>
        <w:spacing w:line="560" w:lineRule="exact"/>
        <w:jc w:val="center"/>
        <w:rPr>
          <w:color w:val="000000"/>
        </w:rPr>
      </w:pPr>
      <w:bookmarkStart w:id="776" w:name="_Toc35425113"/>
      <w:bookmarkStart w:id="777" w:name="_Toc6491"/>
      <w:bookmarkStart w:id="778" w:name="_Toc78803381"/>
      <w:bookmarkStart w:id="779" w:name="_Toc152045589"/>
      <w:bookmarkStart w:id="780" w:name="_Toc179632607"/>
      <w:bookmarkStart w:id="781" w:name="_Toc246996975"/>
      <w:bookmarkStart w:id="782" w:name="_Toc246996232"/>
      <w:bookmarkStart w:id="783" w:name="_Toc152042366"/>
      <w:bookmarkStart w:id="784" w:name="_Toc324404872"/>
      <w:bookmarkStart w:id="785" w:name="_Toc247085747"/>
      <w:bookmarkStart w:id="786" w:name="_Toc35424947"/>
      <w:bookmarkStart w:id="787" w:name="_Toc15058913"/>
      <w:bookmarkStart w:id="788" w:name="_Toc144974556"/>
      <w:bookmarkStart w:id="789" w:name="_Toc506107324"/>
      <w:bookmarkStart w:id="790" w:name="_Toc506107325"/>
      <w:bookmarkStart w:id="791" w:name="_Toc78803382"/>
      <w:bookmarkStart w:id="792" w:name="_Toc324404873"/>
      <w:bookmarkStart w:id="793" w:name="_Toc15058914"/>
      <w:bookmarkStart w:id="794" w:name="_Toc11945"/>
      <w:bookmarkStart w:id="795" w:name="_Toc35424948"/>
      <w:bookmarkStart w:id="796" w:name="_Toc35425114"/>
      <w:bookmarkStart w:id="797" w:name="_Toc152042367"/>
      <w:bookmarkStart w:id="798" w:name="_Toc144974557"/>
      <w:bookmarkStart w:id="799" w:name="_Toc246996233"/>
      <w:bookmarkStart w:id="800" w:name="_Toc296602478"/>
      <w:bookmarkStart w:id="801" w:name="_Toc246996976"/>
      <w:bookmarkStart w:id="802" w:name="_Toc152045590"/>
      <w:bookmarkStart w:id="803" w:name="_Toc179632608"/>
      <w:bookmarkStart w:id="804" w:name="_Toc247085748"/>
      <w:r>
        <w:rPr>
          <w:rFonts w:hint="eastAsia"/>
          <w:b/>
          <w:bCs/>
          <w:color w:val="000000"/>
          <w:sz w:val="28"/>
          <w:szCs w:val="28"/>
        </w:rPr>
        <w:t>（一）</w:t>
      </w:r>
      <w:r>
        <w:rPr>
          <w:rFonts w:hint="eastAsia"/>
          <w:b/>
          <w:color w:val="000000"/>
          <w:sz w:val="28"/>
          <w:szCs w:val="21"/>
        </w:rPr>
        <w:t>中标候选人的确定</w:t>
      </w:r>
    </w:p>
    <w:p w14:paraId="084210A1">
      <w:pPr>
        <w:pStyle w:val="2"/>
        <w:spacing w:after="0" w:line="560" w:lineRule="exact"/>
        <w:ind w:left="0" w:leftChars="0"/>
        <w:rPr>
          <w:color w:val="000000"/>
        </w:rPr>
      </w:pPr>
      <w:r>
        <w:rPr>
          <w:rFonts w:hint="eastAsia"/>
          <w:color w:val="000000"/>
        </w:rPr>
        <w:t>评标委员会对投标人依次进行资信、技术、 商务文件审查，对均满足要求的投标人进行各项评审因素打分，合计的总得分按照从高到低进行排序，总得分第一的投标人为第一中标候选人。</w:t>
      </w:r>
      <w:r>
        <w:rPr>
          <w:rFonts w:hint="eastAsia" w:ascii="宋体" w:hAnsi="宋体" w:cs="宋体"/>
          <w:color w:val="000000"/>
          <w:szCs w:val="21"/>
        </w:rPr>
        <w:t>如总得分相等，以投标报价低的优先；投标报价仍相等，由招标人或评标委员会主任委员随机抽取确定排名。</w:t>
      </w:r>
    </w:p>
    <w:p w14:paraId="582708BB">
      <w:pPr>
        <w:pStyle w:val="2"/>
        <w:adjustRightInd w:val="0"/>
        <w:snapToGrid w:val="0"/>
        <w:spacing w:after="0" w:line="560" w:lineRule="exact"/>
        <w:ind w:left="0" w:leftChars="0" w:firstLine="0" w:firstLineChars="0"/>
        <w:jc w:val="center"/>
        <w:rPr>
          <w:rFonts w:hint="default" w:eastAsia="宋体"/>
          <w:b/>
          <w:color w:val="000000"/>
          <w:sz w:val="36"/>
          <w:lang w:val="en-US" w:eastAsia="zh-CN"/>
        </w:rPr>
      </w:pPr>
      <w:r>
        <w:rPr>
          <w:rFonts w:hint="eastAsia"/>
          <w:b/>
          <w:color w:val="000000"/>
          <w:sz w:val="28"/>
          <w:szCs w:val="21"/>
        </w:rPr>
        <w:t>（二）资信标评审</w:t>
      </w:r>
      <w:r>
        <w:rPr>
          <w:rFonts w:hint="eastAsia"/>
          <w:b/>
          <w:color w:val="000000"/>
          <w:sz w:val="28"/>
          <w:szCs w:val="21"/>
          <w:lang w:eastAsia="zh-CN"/>
        </w:rPr>
        <w:t>（</w:t>
      </w:r>
      <w:r>
        <w:rPr>
          <w:rFonts w:hint="eastAsia"/>
          <w:b/>
          <w:color w:val="000000"/>
          <w:sz w:val="28"/>
          <w:szCs w:val="21"/>
          <w:lang w:val="en-US" w:eastAsia="zh-CN"/>
        </w:rPr>
        <w:t>满分10分）</w:t>
      </w:r>
    </w:p>
    <w:tbl>
      <w:tblPr>
        <w:tblStyle w:val="47"/>
        <w:tblW w:w="9960" w:type="dxa"/>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1276"/>
        <w:gridCol w:w="1183"/>
        <w:gridCol w:w="6153"/>
      </w:tblGrid>
      <w:tr w14:paraId="25D5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348" w:type="dxa"/>
            <w:noWrap w:val="0"/>
            <w:vAlign w:val="top"/>
          </w:tcPr>
          <w:p w14:paraId="735D084D">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序号</w:t>
            </w:r>
          </w:p>
        </w:tc>
        <w:tc>
          <w:tcPr>
            <w:tcW w:w="1276" w:type="dxa"/>
            <w:noWrap w:val="0"/>
            <w:vAlign w:val="top"/>
          </w:tcPr>
          <w:p w14:paraId="1C521DDB">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评审因素</w:t>
            </w:r>
          </w:p>
        </w:tc>
        <w:tc>
          <w:tcPr>
            <w:tcW w:w="1183" w:type="dxa"/>
            <w:noWrap w:val="0"/>
            <w:vAlign w:val="top"/>
          </w:tcPr>
          <w:p w14:paraId="1CD875D2">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分值设置</w:t>
            </w:r>
          </w:p>
        </w:tc>
        <w:tc>
          <w:tcPr>
            <w:tcW w:w="6153" w:type="dxa"/>
            <w:noWrap w:val="0"/>
            <w:vAlign w:val="top"/>
          </w:tcPr>
          <w:p w14:paraId="23697A83">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评审标准</w:t>
            </w:r>
          </w:p>
        </w:tc>
      </w:tr>
      <w:tr w14:paraId="33D2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 w:type="dxa"/>
            <w:noWrap w:val="0"/>
            <w:vAlign w:val="center"/>
          </w:tcPr>
          <w:p w14:paraId="6DD2F205">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1</w:t>
            </w:r>
          </w:p>
        </w:tc>
        <w:tc>
          <w:tcPr>
            <w:tcW w:w="1276" w:type="dxa"/>
            <w:noWrap w:val="0"/>
            <w:vAlign w:val="center"/>
          </w:tcPr>
          <w:p w14:paraId="51A61C58">
            <w:pPr>
              <w:jc w:val="center"/>
              <w:rPr>
                <w:rFonts w:ascii="宋体" w:hAnsi="宋体" w:cs="宋体"/>
                <w:color w:val="000000"/>
                <w:szCs w:val="21"/>
              </w:rPr>
            </w:pPr>
            <w:r>
              <w:rPr>
                <w:rFonts w:ascii="宋体" w:hAnsi="宋体" w:cs="宋体"/>
                <w:spacing w:val="-3"/>
                <w:szCs w:val="21"/>
                <w:highlight w:val="none"/>
              </w:rPr>
              <w:t>企业业绩</w:t>
            </w:r>
          </w:p>
        </w:tc>
        <w:tc>
          <w:tcPr>
            <w:tcW w:w="1183" w:type="dxa"/>
            <w:noWrap w:val="0"/>
            <w:vAlign w:val="center"/>
          </w:tcPr>
          <w:p w14:paraId="57444518">
            <w:pPr>
              <w:jc w:val="center"/>
              <w:rPr>
                <w:rFonts w:ascii="宋体" w:hAnsi="宋体" w:cs="宋体"/>
                <w:color w:val="000000"/>
                <w:szCs w:val="21"/>
              </w:rPr>
            </w:pPr>
            <w:r>
              <w:rPr>
                <w:rFonts w:hint="eastAsia" w:ascii="宋体" w:hAnsi="宋体" w:cs="宋体"/>
                <w:spacing w:val="-8"/>
                <w:szCs w:val="21"/>
                <w:highlight w:val="none"/>
              </w:rPr>
              <w:t>10</w:t>
            </w:r>
            <w:r>
              <w:rPr>
                <w:rFonts w:ascii="宋体" w:hAnsi="宋体" w:cs="宋体"/>
                <w:spacing w:val="-8"/>
                <w:szCs w:val="21"/>
                <w:highlight w:val="none"/>
              </w:rPr>
              <w:t>分</w:t>
            </w:r>
          </w:p>
        </w:tc>
        <w:tc>
          <w:tcPr>
            <w:tcW w:w="6153" w:type="dxa"/>
            <w:noWrap w:val="0"/>
            <w:vAlign w:val="center"/>
          </w:tcPr>
          <w:p w14:paraId="378180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highlight w:val="none"/>
              </w:rPr>
            </w:pPr>
            <w:r>
              <w:rPr>
                <w:rFonts w:hint="eastAsia" w:ascii="Times New Roman" w:hAnsi="Times New Roman" w:eastAsia="宋体" w:cs="Times New Roman"/>
                <w:color w:val="000000"/>
                <w:highlight w:val="none"/>
              </w:rPr>
              <w:t>自 20</w:t>
            </w:r>
            <w:r>
              <w:rPr>
                <w:rFonts w:hint="eastAsia" w:ascii="Times New Roman" w:hAnsi="Times New Roman" w:eastAsia="宋体" w:cs="Times New Roman"/>
                <w:color w:val="000000"/>
                <w:highlight w:val="none"/>
                <w:lang w:val="en-US" w:eastAsia="zh-CN"/>
              </w:rPr>
              <w:t>20</w:t>
            </w:r>
            <w:r>
              <w:rPr>
                <w:rFonts w:hint="eastAsia" w:ascii="Times New Roman" w:hAnsi="Times New Roman" w:eastAsia="宋体" w:cs="Times New Roman"/>
                <w:color w:val="000000"/>
                <w:highlight w:val="none"/>
              </w:rPr>
              <w:t>年</w:t>
            </w:r>
            <w:r>
              <w:rPr>
                <w:rFonts w:hint="eastAsia" w:ascii="Times New Roman" w:hAnsi="Times New Roman" w:eastAsia="宋体" w:cs="Times New Roman"/>
                <w:color w:val="000000"/>
                <w:highlight w:val="none"/>
                <w:lang w:val="en-US" w:eastAsia="zh-CN"/>
              </w:rPr>
              <w:t>1</w:t>
            </w:r>
            <w:r>
              <w:rPr>
                <w:rFonts w:hint="eastAsia" w:ascii="Times New Roman" w:hAnsi="Times New Roman" w:eastAsia="宋体" w:cs="Times New Roman"/>
                <w:color w:val="000000"/>
                <w:highlight w:val="none"/>
              </w:rPr>
              <w:t>月 1 日至投标截止日</w:t>
            </w:r>
            <w:r>
              <w:rPr>
                <w:rFonts w:hint="eastAsia" w:ascii="宋体" w:hAnsi="宋体" w:eastAsia="宋体" w:cs="宋体"/>
                <w:color w:val="auto"/>
                <w:sz w:val="21"/>
                <w:highlight w:val="none"/>
                <w:u w:val="none"/>
              </w:rPr>
              <w:t>（以合同签订时间为准）</w:t>
            </w:r>
            <w:r>
              <w:rPr>
                <w:rFonts w:hint="eastAsia" w:ascii="Times New Roman" w:hAnsi="Times New Roman" w:eastAsia="宋体" w:cs="Times New Roman"/>
                <w:color w:val="000000"/>
                <w:highlight w:val="none"/>
              </w:rPr>
              <w:t>，</w:t>
            </w:r>
            <w:r>
              <w:rPr>
                <w:rFonts w:hint="eastAsia" w:ascii="Times New Roman" w:hAnsi="Times New Roman" w:eastAsia="宋体" w:cs="Times New Roman"/>
                <w:color w:val="000000"/>
                <w:highlight w:val="none"/>
                <w:lang w:val="en-US" w:eastAsia="zh-CN"/>
              </w:rPr>
              <w:t>投标人</w:t>
            </w:r>
            <w:r>
              <w:rPr>
                <w:rFonts w:hint="eastAsia" w:ascii="宋体" w:hAnsi="宋体" w:eastAsia="宋体" w:cs="宋体"/>
                <w:color w:val="auto"/>
                <w:sz w:val="21"/>
                <w:szCs w:val="21"/>
                <w:highlight w:val="none"/>
                <w:lang w:val="en-US" w:eastAsia="zh-CN"/>
              </w:rPr>
              <w:t>每</w:t>
            </w:r>
            <w:r>
              <w:rPr>
                <w:rFonts w:hint="eastAsia" w:ascii="宋体" w:hAnsi="宋体" w:eastAsia="宋体" w:cs="宋体"/>
                <w:color w:val="auto"/>
                <w:spacing w:val="-6"/>
                <w:kern w:val="0"/>
                <w:sz w:val="21"/>
                <w:szCs w:val="21"/>
                <w:highlight w:val="none"/>
              </w:rPr>
              <w:t>提供一个</w:t>
            </w:r>
            <w:r>
              <w:rPr>
                <w:rFonts w:hint="eastAsia" w:ascii="宋体" w:hAnsi="宋体" w:eastAsia="宋体" w:cs="宋体"/>
                <w:color w:val="auto"/>
                <w:sz w:val="21"/>
                <w:highlight w:val="none"/>
                <w:u w:val="none"/>
              </w:rPr>
              <w:t>单项合同</w:t>
            </w:r>
            <w:r>
              <w:rPr>
                <w:rFonts w:hint="eastAsia" w:ascii="宋体" w:hAnsi="宋体" w:eastAsia="宋体" w:cs="宋体"/>
                <w:color w:val="auto"/>
                <w:sz w:val="21"/>
                <w:highlight w:val="none"/>
                <w:u w:val="none"/>
                <w:lang w:val="en-US" w:eastAsia="zh-CN"/>
              </w:rPr>
              <w:t>金额</w:t>
            </w:r>
            <w:r>
              <w:rPr>
                <w:rFonts w:hint="eastAsia" w:ascii="宋体" w:hAnsi="宋体" w:eastAsia="宋体" w:cs="宋体"/>
                <w:color w:val="auto"/>
                <w:sz w:val="21"/>
                <w:highlight w:val="none"/>
                <w:u w:val="none"/>
              </w:rPr>
              <w:t>不低于</w:t>
            </w:r>
            <w:r>
              <w:rPr>
                <w:rFonts w:hint="eastAsia" w:ascii="宋体" w:hAnsi="宋体" w:eastAsia="宋体" w:cs="宋体"/>
                <w:color w:val="auto"/>
                <w:sz w:val="21"/>
                <w:highlight w:val="none"/>
                <w:u w:val="none"/>
                <w:lang w:val="en-US" w:eastAsia="zh-CN"/>
              </w:rPr>
              <w:t>100万元（含）</w:t>
            </w:r>
            <w:r>
              <w:rPr>
                <w:rFonts w:hint="eastAsia" w:ascii="宋体" w:hAnsi="宋体" w:eastAsia="宋体" w:cs="宋体"/>
                <w:color w:val="auto"/>
                <w:sz w:val="21"/>
                <w:highlight w:val="none"/>
                <w:u w:val="none"/>
              </w:rPr>
              <w:t>的光伏</w:t>
            </w:r>
            <w:r>
              <w:rPr>
                <w:rFonts w:hint="default"/>
                <w:color w:val="auto"/>
                <w:highlight w:val="none"/>
              </w:rPr>
              <w:t>施工</w:t>
            </w:r>
            <w:r>
              <w:rPr>
                <w:rFonts w:hint="eastAsia"/>
                <w:color w:val="auto"/>
                <w:highlight w:val="none"/>
                <w:lang w:val="en-US" w:eastAsia="zh-CN"/>
              </w:rPr>
              <w:t>或电力施工业绩</w:t>
            </w:r>
            <w:r>
              <w:rPr>
                <w:rFonts w:hint="eastAsia" w:ascii="宋体" w:hAnsi="宋体" w:eastAsia="宋体" w:cs="宋体"/>
                <w:color w:val="auto"/>
                <w:highlight w:val="none"/>
              </w:rPr>
              <w:t>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highlight w:val="none"/>
              </w:rPr>
              <w:t>其他的不得分，本项满分</w:t>
            </w:r>
            <w:r>
              <w:rPr>
                <w:rFonts w:hint="eastAsia" w:ascii="宋体" w:hAnsi="宋体" w:cs="宋体"/>
                <w:color w:val="auto"/>
                <w:highlight w:val="none"/>
                <w:lang w:val="en-US" w:eastAsia="zh-CN"/>
              </w:rPr>
              <w:t>10</w:t>
            </w:r>
            <w:r>
              <w:rPr>
                <w:rFonts w:hint="eastAsia" w:ascii="宋体" w:hAnsi="宋体" w:eastAsia="宋体" w:cs="宋体"/>
                <w:color w:val="auto"/>
                <w:highlight w:val="none"/>
              </w:rPr>
              <w:t>分。</w:t>
            </w:r>
          </w:p>
          <w:p w14:paraId="397D20EA">
            <w:pPr>
              <w:spacing w:line="440" w:lineRule="exact"/>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【须同时提供下列材料扫描件：①合同，合同内容须满足要求；②</w:t>
            </w:r>
            <w:r>
              <w:rPr>
                <w:rFonts w:hint="eastAsia" w:ascii="Times New Roman" w:hAnsi="Times New Roman" w:eastAsia="宋体" w:cs="Times New Roman"/>
                <w:color w:val="000000"/>
                <w:highlight w:val="none"/>
                <w:lang w:val="en-US" w:eastAsia="zh-CN"/>
              </w:rPr>
              <w:t>验收证明材料</w:t>
            </w:r>
            <w:r>
              <w:rPr>
                <w:rFonts w:hint="eastAsia" w:ascii="Times New Roman" w:hAnsi="Times New Roman" w:eastAsia="宋体" w:cs="Times New Roman"/>
                <w:color w:val="000000"/>
                <w:highlight w:val="none"/>
              </w:rPr>
              <w:t>，</w:t>
            </w:r>
            <w:r>
              <w:rPr>
                <w:rFonts w:hint="eastAsia" w:ascii="Times New Roman" w:hAnsi="Times New Roman" w:eastAsia="宋体" w:cs="Times New Roman"/>
                <w:color w:val="000000"/>
                <w:highlight w:val="none"/>
                <w:lang w:val="en-US" w:eastAsia="zh-CN"/>
              </w:rPr>
              <w:t>两</w:t>
            </w:r>
            <w:r>
              <w:rPr>
                <w:rFonts w:hint="eastAsia" w:ascii="Times New Roman" w:hAnsi="Times New Roman" w:eastAsia="宋体" w:cs="Times New Roman"/>
                <w:color w:val="000000"/>
                <w:highlight w:val="none"/>
              </w:rPr>
              <w:t>项材料缺一不可，如上述</w:t>
            </w:r>
            <w:r>
              <w:rPr>
                <w:rFonts w:hint="eastAsia" w:ascii="Times New Roman" w:hAnsi="Times New Roman" w:eastAsia="宋体" w:cs="Times New Roman"/>
                <w:color w:val="000000"/>
                <w:highlight w:val="none"/>
                <w:lang w:val="en-US" w:eastAsia="zh-CN"/>
              </w:rPr>
              <w:t>两</w:t>
            </w:r>
            <w:r>
              <w:rPr>
                <w:rFonts w:hint="eastAsia" w:ascii="Times New Roman" w:hAnsi="Times New Roman" w:eastAsia="宋体" w:cs="Times New Roman"/>
                <w:color w:val="000000"/>
                <w:highlight w:val="none"/>
              </w:rPr>
              <w:t>项材料不一致或不能够充分有效证明该工程业绩的工程类型等内容，则须提供建设单位出具的加盖建设单位公章的证明材料。</w:t>
            </w:r>
            <w:r>
              <w:rPr>
                <w:rFonts w:hint="eastAsia" w:ascii="Times New Roman" w:hAnsi="Times New Roman" w:eastAsia="宋体" w:cs="Times New Roman"/>
                <w:color w:val="000000"/>
                <w:highlight w:val="none"/>
                <w:lang w:val="en-US" w:eastAsia="zh-CN"/>
              </w:rPr>
              <w:t>合同签订</w:t>
            </w:r>
            <w:r>
              <w:rPr>
                <w:rFonts w:hint="eastAsia" w:ascii="Times New Roman" w:hAnsi="Times New Roman" w:eastAsia="宋体" w:cs="Times New Roman"/>
                <w:color w:val="000000"/>
                <w:highlight w:val="none"/>
              </w:rPr>
              <w:t>时间</w:t>
            </w:r>
            <w:r>
              <w:rPr>
                <w:rFonts w:hint="eastAsia" w:ascii="Times New Roman" w:hAnsi="Times New Roman" w:eastAsia="宋体" w:cs="Times New Roman"/>
                <w:color w:val="000000"/>
                <w:highlight w:val="none"/>
                <w:lang w:val="en-US" w:eastAsia="zh-CN"/>
              </w:rPr>
              <w:t>和合同金额均</w:t>
            </w:r>
            <w:r>
              <w:rPr>
                <w:rFonts w:hint="eastAsia" w:ascii="Times New Roman" w:hAnsi="Times New Roman" w:eastAsia="宋体" w:cs="Times New Roman"/>
                <w:color w:val="000000"/>
                <w:highlight w:val="none"/>
              </w:rPr>
              <w:t>以</w:t>
            </w:r>
            <w:r>
              <w:rPr>
                <w:rFonts w:hint="eastAsia" w:ascii="Times New Roman" w:hAnsi="Times New Roman" w:eastAsia="宋体" w:cs="Times New Roman"/>
                <w:color w:val="000000"/>
                <w:highlight w:val="none"/>
                <w:lang w:val="en-US" w:eastAsia="zh-CN"/>
              </w:rPr>
              <w:t>合同载明内容</w:t>
            </w:r>
            <w:r>
              <w:rPr>
                <w:rFonts w:hint="eastAsia" w:ascii="Times New Roman" w:hAnsi="Times New Roman" w:eastAsia="宋体" w:cs="Times New Roman"/>
                <w:color w:val="000000"/>
                <w:highlight w:val="none"/>
              </w:rPr>
              <w:t>为准。】</w:t>
            </w:r>
          </w:p>
          <w:p w14:paraId="1FD3C61B">
            <w:pPr>
              <w:spacing w:line="440" w:lineRule="exact"/>
              <w:jc w:val="left"/>
              <w:rPr>
                <w:color w:val="000000"/>
                <w:highlight w:val="none"/>
              </w:rPr>
            </w:pPr>
            <w:r>
              <w:rPr>
                <w:rFonts w:hint="eastAsia" w:ascii="Times New Roman" w:hAnsi="Times New Roman" w:eastAsia="宋体" w:cs="Times New Roman"/>
                <w:color w:val="000000"/>
                <w:highlight w:val="none"/>
              </w:rPr>
              <w:t>注：投标人投标时只须提供2个评审业绩，若投标人提供业绩个数超过2个，则按照排列顺序从首个业绩开始评审至对应数量（2个），超出部分业绩不进行评审。对应数量（2个）业绩不符合招标文件要求不得分的，不再补充评审超出部分业绩。如：提供2个业绩即得满分的，按照投标文件排序评审第一、第二项业绩，其余超出部分不再评审”。</w:t>
            </w:r>
          </w:p>
        </w:tc>
      </w:tr>
    </w:tbl>
    <w:p w14:paraId="046F1085">
      <w:pPr>
        <w:pStyle w:val="2"/>
        <w:adjustRightInd w:val="0"/>
        <w:snapToGrid w:val="0"/>
        <w:spacing w:after="0" w:line="560" w:lineRule="exact"/>
        <w:ind w:left="0" w:leftChars="0" w:firstLine="0" w:firstLineChars="0"/>
        <w:jc w:val="center"/>
        <w:rPr>
          <w:rFonts w:hint="default" w:eastAsia="宋体"/>
          <w:b/>
          <w:color w:val="000000"/>
          <w:sz w:val="28"/>
          <w:szCs w:val="21"/>
          <w:lang w:val="en-US" w:eastAsia="zh-CN"/>
        </w:rPr>
      </w:pPr>
      <w:r>
        <w:rPr>
          <w:rFonts w:hint="eastAsia"/>
          <w:b/>
          <w:color w:val="000000"/>
          <w:sz w:val="28"/>
          <w:szCs w:val="21"/>
        </w:rPr>
        <w:t>（三）技术标评审</w:t>
      </w:r>
      <w:r>
        <w:rPr>
          <w:rFonts w:hint="eastAsia"/>
          <w:b/>
          <w:color w:val="000000"/>
          <w:sz w:val="28"/>
          <w:szCs w:val="21"/>
          <w:lang w:eastAsia="zh-CN"/>
        </w:rPr>
        <w:t>（</w:t>
      </w:r>
      <w:r>
        <w:rPr>
          <w:rFonts w:hint="eastAsia"/>
          <w:b/>
          <w:color w:val="000000"/>
          <w:sz w:val="28"/>
          <w:szCs w:val="21"/>
          <w:lang w:val="en-US" w:eastAsia="zh-CN"/>
        </w:rPr>
        <w:t>满分30分）</w:t>
      </w:r>
    </w:p>
    <w:tbl>
      <w:tblPr>
        <w:tblStyle w:val="47"/>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45"/>
        <w:gridCol w:w="1276"/>
        <w:gridCol w:w="859"/>
        <w:gridCol w:w="1260"/>
        <w:gridCol w:w="1236"/>
        <w:gridCol w:w="4452"/>
      </w:tblGrid>
      <w:tr w14:paraId="5491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184" w:type="dxa"/>
            <w:gridSpan w:val="3"/>
            <w:noWrap w:val="0"/>
            <w:vAlign w:val="center"/>
          </w:tcPr>
          <w:p w14:paraId="73123221">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条款号</w:t>
            </w:r>
          </w:p>
        </w:tc>
        <w:tc>
          <w:tcPr>
            <w:tcW w:w="3355" w:type="dxa"/>
            <w:gridSpan w:val="3"/>
            <w:noWrap w:val="0"/>
            <w:vAlign w:val="center"/>
          </w:tcPr>
          <w:p w14:paraId="47B70137">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评审因素</w:t>
            </w:r>
          </w:p>
        </w:tc>
        <w:tc>
          <w:tcPr>
            <w:tcW w:w="4452" w:type="dxa"/>
            <w:noWrap w:val="0"/>
            <w:vAlign w:val="center"/>
          </w:tcPr>
          <w:p w14:paraId="3D1DB27C">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评审标准</w:t>
            </w:r>
          </w:p>
        </w:tc>
      </w:tr>
      <w:tr w14:paraId="1E4B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noWrap w:val="0"/>
            <w:vAlign w:val="center"/>
          </w:tcPr>
          <w:p w14:paraId="437A8DE9">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4.1.1</w:t>
            </w:r>
          </w:p>
        </w:tc>
        <w:tc>
          <w:tcPr>
            <w:tcW w:w="1276" w:type="dxa"/>
            <w:noWrap w:val="0"/>
            <w:vAlign w:val="center"/>
          </w:tcPr>
          <w:p w14:paraId="036F485E">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形式评审标准</w:t>
            </w:r>
          </w:p>
        </w:tc>
        <w:tc>
          <w:tcPr>
            <w:tcW w:w="3355" w:type="dxa"/>
            <w:gridSpan w:val="3"/>
            <w:noWrap w:val="0"/>
            <w:vAlign w:val="center"/>
          </w:tcPr>
          <w:p w14:paraId="43347AD4">
            <w:pPr>
              <w:spacing w:line="560" w:lineRule="exact"/>
              <w:jc w:val="center"/>
              <w:rPr>
                <w:color w:val="000000"/>
              </w:rPr>
            </w:pPr>
            <w:r>
              <w:rPr>
                <w:rFonts w:hint="eastAsia"/>
                <w:color w:val="000000"/>
              </w:rPr>
              <w:t>投标文件格式</w:t>
            </w:r>
          </w:p>
        </w:tc>
        <w:tc>
          <w:tcPr>
            <w:tcW w:w="4452" w:type="dxa"/>
            <w:noWrap w:val="0"/>
            <w:vAlign w:val="center"/>
          </w:tcPr>
          <w:p w14:paraId="63A4C66E">
            <w:pPr>
              <w:spacing w:line="440" w:lineRule="exact"/>
              <w:jc w:val="left"/>
              <w:rPr>
                <w:color w:val="000000"/>
              </w:rPr>
            </w:pPr>
            <w:r>
              <w:rPr>
                <w:rFonts w:hint="eastAsia"/>
                <w:color w:val="000000"/>
              </w:rPr>
              <w:t>符合第</w:t>
            </w:r>
            <w:r>
              <w:rPr>
                <w:rFonts w:hint="eastAsia"/>
                <w:color w:val="000000"/>
                <w:lang w:val="en-US" w:eastAsia="zh-CN"/>
              </w:rPr>
              <w:t>八</w:t>
            </w:r>
            <w:r>
              <w:rPr>
                <w:rFonts w:hint="eastAsia"/>
                <w:color w:val="000000"/>
              </w:rPr>
              <w:t>章“投标文件格式”的要求，否则经评委会一致认定后</w:t>
            </w:r>
            <w:r>
              <w:rPr>
                <w:rFonts w:hint="eastAsia"/>
                <w:color w:val="000000"/>
                <w:lang w:eastAsia="zh-CN"/>
              </w:rPr>
              <w:t>，</w:t>
            </w:r>
            <w:r>
              <w:rPr>
                <w:rFonts w:hint="eastAsia"/>
                <w:color w:val="000000"/>
              </w:rPr>
              <w:t>按照无效投标处理。</w:t>
            </w:r>
          </w:p>
        </w:tc>
      </w:tr>
      <w:tr w14:paraId="27EB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vMerge w:val="restart"/>
            <w:noWrap w:val="0"/>
            <w:vAlign w:val="center"/>
          </w:tcPr>
          <w:p w14:paraId="6615C1DA">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4.1.2</w:t>
            </w:r>
          </w:p>
        </w:tc>
        <w:tc>
          <w:tcPr>
            <w:tcW w:w="1276" w:type="dxa"/>
            <w:vMerge w:val="restart"/>
            <w:noWrap w:val="0"/>
            <w:vAlign w:val="center"/>
          </w:tcPr>
          <w:p w14:paraId="040035F5">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响应性评审标准</w:t>
            </w:r>
          </w:p>
        </w:tc>
        <w:tc>
          <w:tcPr>
            <w:tcW w:w="3355" w:type="dxa"/>
            <w:gridSpan w:val="3"/>
            <w:noWrap w:val="0"/>
            <w:vAlign w:val="center"/>
          </w:tcPr>
          <w:p w14:paraId="028BC8BD">
            <w:pPr>
              <w:adjustRightInd w:val="0"/>
              <w:snapToGrid w:val="0"/>
              <w:spacing w:line="560" w:lineRule="exact"/>
              <w:jc w:val="center"/>
              <w:textAlignment w:val="baseline"/>
              <w:rPr>
                <w:color w:val="000000"/>
                <w:szCs w:val="21"/>
              </w:rPr>
            </w:pPr>
            <w:r>
              <w:rPr>
                <w:color w:val="000000"/>
                <w:szCs w:val="21"/>
              </w:rPr>
              <w:t>投标内容</w:t>
            </w:r>
          </w:p>
        </w:tc>
        <w:tc>
          <w:tcPr>
            <w:tcW w:w="4452" w:type="dxa"/>
            <w:noWrap w:val="0"/>
            <w:vAlign w:val="center"/>
          </w:tcPr>
          <w:p w14:paraId="205991DC">
            <w:pPr>
              <w:adjustRightInd w:val="0"/>
              <w:snapToGrid w:val="0"/>
              <w:spacing w:line="560" w:lineRule="exact"/>
              <w:rPr>
                <w:rFonts w:ascii="宋体" w:hAnsi="宋体" w:cs="宋体"/>
                <w:color w:val="000000"/>
                <w:szCs w:val="21"/>
              </w:rPr>
            </w:pPr>
            <w:r>
              <w:rPr>
                <w:rFonts w:hint="eastAsia" w:ascii="宋体" w:hAnsi="宋体" w:cs="宋体"/>
                <w:color w:val="000000"/>
                <w:szCs w:val="21"/>
              </w:rPr>
              <w:t>符合第二章“投标人须知”规定。</w:t>
            </w:r>
          </w:p>
        </w:tc>
      </w:tr>
      <w:tr w14:paraId="0CC8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vMerge w:val="continue"/>
            <w:noWrap w:val="0"/>
            <w:vAlign w:val="top"/>
          </w:tcPr>
          <w:p w14:paraId="55AB51B4">
            <w:pPr>
              <w:adjustRightInd w:val="0"/>
              <w:snapToGrid w:val="0"/>
              <w:spacing w:line="560" w:lineRule="exact"/>
              <w:jc w:val="center"/>
              <w:rPr>
                <w:rFonts w:ascii="宋体" w:hAnsi="宋体" w:cs="宋体"/>
                <w:color w:val="000000"/>
                <w:szCs w:val="21"/>
              </w:rPr>
            </w:pPr>
          </w:p>
        </w:tc>
        <w:tc>
          <w:tcPr>
            <w:tcW w:w="1276" w:type="dxa"/>
            <w:vMerge w:val="continue"/>
            <w:noWrap w:val="0"/>
            <w:vAlign w:val="top"/>
          </w:tcPr>
          <w:p w14:paraId="446BD99D">
            <w:pPr>
              <w:adjustRightInd w:val="0"/>
              <w:snapToGrid w:val="0"/>
              <w:spacing w:line="560" w:lineRule="exact"/>
              <w:jc w:val="center"/>
              <w:rPr>
                <w:rFonts w:ascii="宋体" w:hAnsi="宋体" w:cs="宋体"/>
                <w:color w:val="000000"/>
                <w:szCs w:val="21"/>
              </w:rPr>
            </w:pPr>
          </w:p>
        </w:tc>
        <w:tc>
          <w:tcPr>
            <w:tcW w:w="3355" w:type="dxa"/>
            <w:gridSpan w:val="3"/>
            <w:noWrap w:val="0"/>
            <w:vAlign w:val="center"/>
          </w:tcPr>
          <w:p w14:paraId="0E2ADEC8">
            <w:pPr>
              <w:adjustRightInd w:val="0"/>
              <w:snapToGrid w:val="0"/>
              <w:spacing w:line="560" w:lineRule="exact"/>
              <w:jc w:val="center"/>
              <w:textAlignment w:val="baseline"/>
              <w:rPr>
                <w:color w:val="000000"/>
                <w:szCs w:val="21"/>
              </w:rPr>
            </w:pPr>
            <w:r>
              <w:rPr>
                <w:color w:val="000000"/>
                <w:szCs w:val="21"/>
              </w:rPr>
              <w:t>权利义务</w:t>
            </w:r>
          </w:p>
        </w:tc>
        <w:tc>
          <w:tcPr>
            <w:tcW w:w="4452" w:type="dxa"/>
            <w:noWrap w:val="0"/>
            <w:vAlign w:val="center"/>
          </w:tcPr>
          <w:p w14:paraId="5E53648D">
            <w:pPr>
              <w:adjustRightInd w:val="0"/>
              <w:snapToGrid w:val="0"/>
              <w:spacing w:line="560" w:lineRule="exact"/>
              <w:rPr>
                <w:rFonts w:ascii="宋体" w:hAnsi="宋体" w:cs="宋体"/>
                <w:color w:val="000000"/>
                <w:szCs w:val="21"/>
              </w:rPr>
            </w:pPr>
            <w:r>
              <w:rPr>
                <w:rFonts w:hint="eastAsia" w:ascii="宋体" w:hAnsi="宋体" w:cs="宋体"/>
                <w:color w:val="000000"/>
                <w:szCs w:val="21"/>
              </w:rPr>
              <w:t>符合第五章“合同条款及格式”规定。</w:t>
            </w:r>
          </w:p>
        </w:tc>
      </w:tr>
      <w:tr w14:paraId="03C2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08" w:type="dxa"/>
            <w:gridSpan w:val="2"/>
            <w:vMerge w:val="continue"/>
            <w:noWrap w:val="0"/>
            <w:vAlign w:val="top"/>
          </w:tcPr>
          <w:p w14:paraId="1EEA3D6F">
            <w:pPr>
              <w:adjustRightInd w:val="0"/>
              <w:snapToGrid w:val="0"/>
              <w:spacing w:line="560" w:lineRule="exact"/>
              <w:jc w:val="center"/>
              <w:rPr>
                <w:rFonts w:ascii="宋体" w:hAnsi="宋体" w:cs="宋体"/>
                <w:color w:val="000000"/>
                <w:szCs w:val="21"/>
              </w:rPr>
            </w:pPr>
          </w:p>
        </w:tc>
        <w:tc>
          <w:tcPr>
            <w:tcW w:w="1276" w:type="dxa"/>
            <w:vMerge w:val="continue"/>
            <w:noWrap w:val="0"/>
            <w:vAlign w:val="top"/>
          </w:tcPr>
          <w:p w14:paraId="0E1A5B93">
            <w:pPr>
              <w:adjustRightInd w:val="0"/>
              <w:snapToGrid w:val="0"/>
              <w:spacing w:line="560" w:lineRule="exact"/>
              <w:jc w:val="center"/>
              <w:rPr>
                <w:rFonts w:ascii="宋体" w:hAnsi="宋体" w:cs="宋体"/>
                <w:color w:val="000000"/>
                <w:szCs w:val="21"/>
              </w:rPr>
            </w:pPr>
          </w:p>
        </w:tc>
        <w:tc>
          <w:tcPr>
            <w:tcW w:w="3355" w:type="dxa"/>
            <w:gridSpan w:val="3"/>
            <w:noWrap w:val="0"/>
            <w:vAlign w:val="center"/>
          </w:tcPr>
          <w:p w14:paraId="4E0399FC">
            <w:pPr>
              <w:adjustRightInd w:val="0"/>
              <w:snapToGrid w:val="0"/>
              <w:spacing w:line="560" w:lineRule="exact"/>
              <w:jc w:val="center"/>
              <w:textAlignment w:val="baseline"/>
              <w:rPr>
                <w:color w:val="000000"/>
                <w:szCs w:val="21"/>
              </w:rPr>
            </w:pPr>
            <w:r>
              <w:rPr>
                <w:rFonts w:hint="eastAsia"/>
                <w:color w:val="000000"/>
                <w:szCs w:val="21"/>
              </w:rPr>
              <w:t>技术标准和要求</w:t>
            </w:r>
          </w:p>
        </w:tc>
        <w:tc>
          <w:tcPr>
            <w:tcW w:w="4452" w:type="dxa"/>
            <w:noWrap w:val="0"/>
            <w:vAlign w:val="center"/>
          </w:tcPr>
          <w:p w14:paraId="02F85B7E">
            <w:pPr>
              <w:adjustRightInd w:val="0"/>
              <w:snapToGrid w:val="0"/>
              <w:spacing w:line="560" w:lineRule="exact"/>
              <w:rPr>
                <w:rFonts w:ascii="宋体" w:hAnsi="宋体" w:cs="宋体"/>
                <w:color w:val="000000"/>
                <w:szCs w:val="21"/>
              </w:rPr>
            </w:pPr>
            <w:r>
              <w:rPr>
                <w:rFonts w:hint="eastAsia" w:ascii="宋体" w:hAnsi="宋体" w:cs="宋体"/>
                <w:color w:val="000000"/>
                <w:szCs w:val="21"/>
              </w:rPr>
              <w:t>符合第</w:t>
            </w:r>
            <w:r>
              <w:rPr>
                <w:rFonts w:hint="eastAsia" w:ascii="宋体" w:hAnsi="宋体" w:cs="宋体"/>
                <w:color w:val="000000"/>
                <w:szCs w:val="21"/>
                <w:lang w:val="en-US" w:eastAsia="zh-CN"/>
              </w:rPr>
              <w:t>七</w:t>
            </w:r>
            <w:r>
              <w:rPr>
                <w:rFonts w:hint="eastAsia" w:ascii="宋体" w:hAnsi="宋体" w:cs="宋体"/>
                <w:color w:val="000000"/>
                <w:szCs w:val="21"/>
              </w:rPr>
              <w:t>章“技术标准和要求”规定。</w:t>
            </w:r>
          </w:p>
        </w:tc>
      </w:tr>
      <w:tr w14:paraId="18D9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991" w:type="dxa"/>
            <w:gridSpan w:val="7"/>
            <w:noWrap w:val="0"/>
            <w:vAlign w:val="top"/>
          </w:tcPr>
          <w:p w14:paraId="74C6D241">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技术标评分细则</w:t>
            </w:r>
          </w:p>
        </w:tc>
      </w:tr>
      <w:tr w14:paraId="5E30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3" w:type="dxa"/>
            <w:noWrap w:val="0"/>
            <w:vAlign w:val="top"/>
          </w:tcPr>
          <w:p w14:paraId="5349EADB">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280" w:type="dxa"/>
            <w:gridSpan w:val="3"/>
            <w:noWrap w:val="0"/>
            <w:vAlign w:val="top"/>
          </w:tcPr>
          <w:p w14:paraId="33C65AEB">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评审因素</w:t>
            </w:r>
          </w:p>
        </w:tc>
        <w:tc>
          <w:tcPr>
            <w:tcW w:w="1260" w:type="dxa"/>
            <w:noWrap w:val="0"/>
            <w:vAlign w:val="top"/>
          </w:tcPr>
          <w:p w14:paraId="070843E6">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分值设置</w:t>
            </w:r>
          </w:p>
        </w:tc>
        <w:tc>
          <w:tcPr>
            <w:tcW w:w="5688" w:type="dxa"/>
            <w:gridSpan w:val="2"/>
            <w:noWrap w:val="0"/>
            <w:vAlign w:val="top"/>
          </w:tcPr>
          <w:p w14:paraId="47D17536">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评审标准</w:t>
            </w:r>
          </w:p>
        </w:tc>
      </w:tr>
      <w:tr w14:paraId="4671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3" w:type="dxa"/>
            <w:noWrap w:val="0"/>
            <w:vAlign w:val="center"/>
          </w:tcPr>
          <w:p w14:paraId="0B43C805">
            <w:pPr>
              <w:adjustRightInd w:val="0"/>
              <w:snapToGrid w:val="0"/>
              <w:spacing w:line="5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2280" w:type="dxa"/>
            <w:gridSpan w:val="3"/>
            <w:noWrap w:val="0"/>
            <w:vAlign w:val="center"/>
          </w:tcPr>
          <w:p w14:paraId="670E8B24">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施工组织设计</w:t>
            </w:r>
          </w:p>
        </w:tc>
        <w:tc>
          <w:tcPr>
            <w:tcW w:w="1260" w:type="dxa"/>
            <w:noWrap w:val="0"/>
            <w:vAlign w:val="center"/>
          </w:tcPr>
          <w:p w14:paraId="7DE9F983">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tc>
        <w:tc>
          <w:tcPr>
            <w:tcW w:w="5688" w:type="dxa"/>
            <w:gridSpan w:val="2"/>
            <w:noWrap w:val="0"/>
            <w:vAlign w:val="top"/>
          </w:tcPr>
          <w:p w14:paraId="0223EDDE">
            <w:pPr>
              <w:adjustRightInd w:val="0"/>
              <w:snapToGrid w:val="0"/>
              <w:spacing w:line="5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包括①主要施工方案与技术措施；②主要物资供应计划；③ 主要施工机械、设备进场计划；④劳动力安排计划；⑤确保工程质量的管理体系与措施；⑥确保安全生产的管理体系与措施；⑦工程进度计划与措施及施工图网络图；⑧确保文明施工的管理体系与措施；⑨总体筹划与总平面布置；⑩工程重难点及对应保证措施，危大工程安全管理等。</w:t>
            </w:r>
          </w:p>
          <w:p w14:paraId="1CAC0739">
            <w:pPr>
              <w:adjustRightInd w:val="0"/>
              <w:snapToGrid w:val="0"/>
              <w:spacing w:line="5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评标委员会根据各投标人提供的施工组织设计进行综合对比评审，每小项优秀得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分，良好得</w:t>
            </w:r>
            <w:r>
              <w:rPr>
                <w:rFonts w:hint="eastAsia" w:ascii="宋体" w:hAnsi="宋体" w:cs="宋体"/>
                <w:color w:val="auto"/>
                <w:szCs w:val="21"/>
                <w:highlight w:val="none"/>
                <w:lang w:val="en-US" w:eastAsia="zh-CN"/>
              </w:rPr>
              <w:t>2.7</w:t>
            </w:r>
            <w:r>
              <w:rPr>
                <w:rFonts w:hint="eastAsia" w:ascii="宋体" w:hAnsi="宋体" w:eastAsia="宋体" w:cs="宋体"/>
                <w:color w:val="auto"/>
                <w:szCs w:val="21"/>
                <w:highlight w:val="none"/>
              </w:rPr>
              <w:t>分，一般得</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rPr>
              <w:t>分，合格得</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较差或不提供的</w:t>
            </w:r>
            <w:r>
              <w:rPr>
                <w:rFonts w:hint="eastAsia" w:ascii="宋体" w:hAnsi="宋体" w:eastAsia="宋体" w:cs="宋体"/>
                <w:color w:val="auto"/>
                <w:szCs w:val="21"/>
                <w:highlight w:val="none"/>
                <w:lang w:val="en-US" w:eastAsia="zh-CN"/>
              </w:rPr>
              <w:t>不得分</w:t>
            </w:r>
            <w:r>
              <w:rPr>
                <w:rFonts w:hint="eastAsia" w:ascii="宋体" w:hAnsi="宋体" w:eastAsia="宋体" w:cs="宋体"/>
                <w:color w:val="auto"/>
                <w:szCs w:val="21"/>
                <w:highlight w:val="none"/>
              </w:rPr>
              <w:t>，本项共计满分</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w:t>
            </w:r>
          </w:p>
        </w:tc>
      </w:tr>
    </w:tbl>
    <w:p w14:paraId="7E39AACF">
      <w:pPr>
        <w:pStyle w:val="2"/>
        <w:spacing w:after="0" w:line="560" w:lineRule="exact"/>
        <w:ind w:left="0" w:leftChars="0" w:firstLine="422"/>
        <w:jc w:val="left"/>
        <w:rPr>
          <w:rFonts w:ascii="宋体" w:hAnsi="宋体" w:cs="宋体"/>
          <w:b/>
          <w:bCs/>
          <w:color w:val="auto"/>
          <w:highlight w:val="none"/>
        </w:rPr>
      </w:pPr>
      <w:r>
        <w:rPr>
          <w:rFonts w:hint="eastAsia" w:ascii="宋体" w:hAnsi="宋体" w:cs="宋体"/>
          <w:b/>
          <w:bCs/>
          <w:color w:val="auto"/>
          <w:highlight w:val="none"/>
        </w:rPr>
        <w:t>注：1、该项由专家评委评审打分，取所有评委评分的平均值为最终得分，保留两位小数点，第三位四舍五入。</w:t>
      </w:r>
    </w:p>
    <w:p w14:paraId="79167DF2">
      <w:pPr>
        <w:spacing w:line="560" w:lineRule="exact"/>
        <w:ind w:firstLine="411" w:firstLineChars="196"/>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具体篇幅(字数)要求及扣分标准（建议扣分值为0.2分）。偏离规定标准的，评标委员会应酌情扣分。</w:t>
      </w:r>
    </w:p>
    <w:p w14:paraId="688B6C45">
      <w:pPr>
        <w:spacing w:line="560" w:lineRule="exact"/>
        <w:ind w:firstLine="413" w:firstLineChars="196"/>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2.1</w:t>
      </w:r>
      <w:r>
        <w:rPr>
          <w:rFonts w:hint="eastAsia" w:ascii="宋体" w:hAnsi="宋体" w:eastAsia="宋体" w:cs="宋体"/>
          <w:b/>
          <w:bCs/>
          <w:color w:val="auto"/>
          <w:highlight w:val="none"/>
        </w:rPr>
        <w:t>施工组织设计</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根据评分细则设置各评分点</w:t>
      </w:r>
      <w:r>
        <w:rPr>
          <w:rFonts w:hint="eastAsia" w:ascii="宋体" w:hAnsi="宋体" w:cs="宋体"/>
          <w:b/>
          <w:bCs/>
          <w:color w:val="auto"/>
          <w:highlight w:val="none"/>
          <w:lang w:eastAsia="zh-CN"/>
        </w:rPr>
        <w:t>，</w:t>
      </w:r>
      <w:r>
        <w:rPr>
          <w:rFonts w:hint="eastAsia" w:ascii="宋体" w:hAnsi="宋体" w:eastAsia="宋体" w:cs="宋体"/>
          <w:b/>
          <w:bCs/>
          <w:color w:val="auto"/>
          <w:highlight w:val="none"/>
          <w:lang w:val="en-US" w:eastAsia="zh-CN"/>
        </w:rPr>
        <w:t>合计总</w:t>
      </w:r>
      <w:r>
        <w:rPr>
          <w:rFonts w:hint="eastAsia" w:ascii="宋体" w:hAnsi="宋体" w:eastAsia="宋体" w:cs="宋体"/>
          <w:b/>
          <w:bCs/>
          <w:color w:val="auto"/>
          <w:highlight w:val="none"/>
        </w:rPr>
        <w:t>页数不超过</w:t>
      </w:r>
      <w:r>
        <w:rPr>
          <w:rFonts w:hint="eastAsia" w:ascii="宋体" w:hAnsi="宋体" w:cs="宋体"/>
          <w:b/>
          <w:bCs/>
          <w:color w:val="auto"/>
          <w:highlight w:val="none"/>
          <w:lang w:val="en-US" w:eastAsia="zh-CN"/>
        </w:rPr>
        <w:t>100</w:t>
      </w:r>
      <w:r>
        <w:rPr>
          <w:rFonts w:hint="eastAsia" w:ascii="宋体" w:hAnsi="宋体" w:eastAsia="宋体" w:cs="宋体"/>
          <w:b/>
          <w:bCs/>
          <w:color w:val="auto"/>
          <w:highlight w:val="none"/>
        </w:rPr>
        <w:t>页</w:t>
      </w:r>
      <w:r>
        <w:rPr>
          <w:rFonts w:hint="eastAsia" w:ascii="宋体" w:hAnsi="宋体" w:cs="宋体"/>
          <w:b/>
          <w:bCs/>
          <w:color w:val="auto"/>
          <w:highlight w:val="none"/>
          <w:lang w:eastAsia="zh-CN"/>
        </w:rPr>
        <w:t>。</w:t>
      </w:r>
    </w:p>
    <w:p w14:paraId="3F90F92F">
      <w:pPr>
        <w:pStyle w:val="2"/>
        <w:adjustRightInd w:val="0"/>
        <w:snapToGrid w:val="0"/>
        <w:spacing w:after="0" w:line="560" w:lineRule="exact"/>
        <w:ind w:left="0" w:leftChars="0" w:firstLine="0" w:firstLineChars="0"/>
        <w:jc w:val="center"/>
        <w:rPr>
          <w:rFonts w:hint="eastAsia" w:ascii="宋体" w:hAnsi="Times New Roman" w:eastAsia="宋体" w:cs="Times New Roman"/>
          <w:b/>
          <w:color w:val="000000"/>
          <w:sz w:val="28"/>
          <w:szCs w:val="21"/>
        </w:rPr>
      </w:pPr>
      <w:r>
        <w:rPr>
          <w:rFonts w:hint="eastAsia" w:ascii="宋体" w:hAnsi="Times New Roman" w:eastAsia="宋体" w:cs="Times New Roman"/>
          <w:b/>
          <w:color w:val="000000"/>
          <w:sz w:val="28"/>
          <w:szCs w:val="21"/>
          <w:lang w:val="en-US" w:eastAsia="zh-CN"/>
        </w:rPr>
        <w:t>四</w:t>
      </w:r>
      <w:r>
        <w:rPr>
          <w:rFonts w:hint="eastAsia" w:ascii="宋体" w:hAnsi="Times New Roman" w:eastAsia="宋体" w:cs="Times New Roman"/>
          <w:b/>
          <w:color w:val="000000"/>
          <w:sz w:val="28"/>
          <w:szCs w:val="21"/>
        </w:rPr>
        <w:t>、商务标评审</w:t>
      </w:r>
    </w:p>
    <w:tbl>
      <w:tblPr>
        <w:tblStyle w:val="47"/>
        <w:tblW w:w="10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780"/>
        <w:gridCol w:w="1980"/>
        <w:gridCol w:w="6645"/>
      </w:tblGrid>
      <w:tr w14:paraId="0B0A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61" w:type="dxa"/>
            <w:gridSpan w:val="2"/>
            <w:noWrap w:val="0"/>
            <w:vAlign w:val="center"/>
          </w:tcPr>
          <w:p w14:paraId="0CC6517A">
            <w:pPr>
              <w:adjustRightInd w:val="0"/>
              <w:snapToGrid w:val="0"/>
              <w:spacing w:line="560" w:lineRule="exact"/>
              <w:jc w:val="center"/>
              <w:rPr>
                <w:rFonts w:ascii="宋体" w:hAnsi="宋体"/>
                <w:color w:val="000000"/>
                <w:szCs w:val="21"/>
              </w:rPr>
            </w:pPr>
            <w:r>
              <w:rPr>
                <w:rFonts w:hint="eastAsia" w:ascii="宋体" w:hAnsi="宋体"/>
                <w:color w:val="000000"/>
                <w:szCs w:val="21"/>
              </w:rPr>
              <w:t>条款号</w:t>
            </w:r>
          </w:p>
        </w:tc>
        <w:tc>
          <w:tcPr>
            <w:tcW w:w="1980" w:type="dxa"/>
            <w:noWrap w:val="0"/>
            <w:vAlign w:val="center"/>
          </w:tcPr>
          <w:p w14:paraId="1C0A8E20">
            <w:pPr>
              <w:adjustRightInd w:val="0"/>
              <w:snapToGrid w:val="0"/>
              <w:spacing w:line="560" w:lineRule="exact"/>
              <w:jc w:val="center"/>
              <w:rPr>
                <w:rFonts w:ascii="宋体" w:hAnsi="宋体"/>
                <w:color w:val="000000"/>
                <w:szCs w:val="21"/>
              </w:rPr>
            </w:pPr>
            <w:r>
              <w:rPr>
                <w:rFonts w:hint="eastAsia" w:ascii="宋体" w:hAnsi="宋体"/>
                <w:color w:val="000000"/>
                <w:szCs w:val="21"/>
              </w:rPr>
              <w:t>评审因素</w:t>
            </w:r>
          </w:p>
        </w:tc>
        <w:tc>
          <w:tcPr>
            <w:tcW w:w="6645" w:type="dxa"/>
            <w:noWrap w:val="0"/>
            <w:vAlign w:val="center"/>
          </w:tcPr>
          <w:p w14:paraId="094098D2">
            <w:pPr>
              <w:adjustRightInd w:val="0"/>
              <w:snapToGrid w:val="0"/>
              <w:spacing w:line="560" w:lineRule="exact"/>
              <w:jc w:val="center"/>
              <w:rPr>
                <w:rFonts w:ascii="宋体" w:hAnsi="宋体"/>
                <w:color w:val="000000"/>
                <w:szCs w:val="21"/>
              </w:rPr>
            </w:pPr>
            <w:r>
              <w:rPr>
                <w:rFonts w:hint="eastAsia" w:ascii="宋体" w:hAnsi="宋体"/>
                <w:color w:val="000000"/>
                <w:szCs w:val="21"/>
              </w:rPr>
              <w:t>评审标准</w:t>
            </w:r>
          </w:p>
        </w:tc>
      </w:tr>
      <w:tr w14:paraId="75B1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81" w:type="dxa"/>
            <w:vMerge w:val="restart"/>
            <w:noWrap w:val="0"/>
            <w:vAlign w:val="center"/>
          </w:tcPr>
          <w:p w14:paraId="31DE258C">
            <w:pPr>
              <w:adjustRightInd w:val="0"/>
              <w:snapToGrid w:val="0"/>
              <w:spacing w:line="560" w:lineRule="exact"/>
              <w:jc w:val="center"/>
              <w:rPr>
                <w:rFonts w:ascii="宋体" w:hAnsi="宋体"/>
                <w:color w:val="000000"/>
                <w:szCs w:val="21"/>
              </w:rPr>
            </w:pPr>
            <w:r>
              <w:rPr>
                <w:rFonts w:ascii="宋体" w:hAnsi="宋体"/>
                <w:color w:val="000000"/>
                <w:szCs w:val="21"/>
              </w:rPr>
              <w:t>4.2.1</w:t>
            </w:r>
          </w:p>
        </w:tc>
        <w:tc>
          <w:tcPr>
            <w:tcW w:w="780" w:type="dxa"/>
            <w:vMerge w:val="restart"/>
            <w:noWrap w:val="0"/>
            <w:vAlign w:val="center"/>
          </w:tcPr>
          <w:p w14:paraId="6637DB11">
            <w:pPr>
              <w:adjustRightInd w:val="0"/>
              <w:snapToGrid w:val="0"/>
              <w:spacing w:line="560" w:lineRule="exact"/>
              <w:jc w:val="center"/>
              <w:rPr>
                <w:rFonts w:ascii="宋体" w:hAnsi="宋体"/>
                <w:color w:val="000000"/>
                <w:szCs w:val="21"/>
              </w:rPr>
            </w:pPr>
            <w:r>
              <w:rPr>
                <w:rFonts w:hint="eastAsia" w:ascii="宋体" w:hAnsi="宋体"/>
                <w:color w:val="000000"/>
                <w:szCs w:val="21"/>
              </w:rPr>
              <w:t>形式评审标准</w:t>
            </w:r>
          </w:p>
        </w:tc>
        <w:tc>
          <w:tcPr>
            <w:tcW w:w="1980" w:type="dxa"/>
            <w:noWrap w:val="0"/>
            <w:vAlign w:val="center"/>
          </w:tcPr>
          <w:p w14:paraId="50103711">
            <w:pPr>
              <w:adjustRightInd w:val="0"/>
              <w:snapToGrid w:val="0"/>
              <w:spacing w:line="560" w:lineRule="exact"/>
              <w:rPr>
                <w:rFonts w:ascii="宋体" w:hAnsi="宋体"/>
                <w:color w:val="000000"/>
                <w:szCs w:val="21"/>
              </w:rPr>
            </w:pPr>
            <w:r>
              <w:rPr>
                <w:rFonts w:hint="eastAsia" w:ascii="宋体" w:hAnsi="宋体"/>
                <w:color w:val="000000"/>
                <w:szCs w:val="21"/>
              </w:rPr>
              <w:t>投标函签字盖章</w:t>
            </w:r>
          </w:p>
        </w:tc>
        <w:tc>
          <w:tcPr>
            <w:tcW w:w="6645" w:type="dxa"/>
            <w:noWrap w:val="0"/>
            <w:vAlign w:val="center"/>
          </w:tcPr>
          <w:p w14:paraId="76D9919F">
            <w:pPr>
              <w:adjustRightInd w:val="0"/>
              <w:snapToGrid w:val="0"/>
              <w:spacing w:line="560" w:lineRule="exact"/>
              <w:jc w:val="left"/>
              <w:rPr>
                <w:rFonts w:ascii="宋体" w:hAnsi="宋体"/>
                <w:color w:val="000000"/>
                <w:szCs w:val="21"/>
              </w:rPr>
            </w:pPr>
            <w:r>
              <w:rPr>
                <w:rFonts w:hint="eastAsia" w:ascii="宋体" w:hAnsi="宋体"/>
                <w:color w:val="000000"/>
                <w:szCs w:val="21"/>
              </w:rPr>
              <w:t>有投标人及其法定代表人签章。</w:t>
            </w:r>
          </w:p>
        </w:tc>
      </w:tr>
      <w:tr w14:paraId="467A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noWrap w:val="0"/>
            <w:vAlign w:val="center"/>
          </w:tcPr>
          <w:p w14:paraId="5704331B">
            <w:pPr>
              <w:widowControl/>
              <w:adjustRightInd w:val="0"/>
              <w:snapToGrid w:val="0"/>
              <w:spacing w:line="560" w:lineRule="exact"/>
              <w:jc w:val="left"/>
              <w:rPr>
                <w:rFonts w:ascii="宋体" w:hAnsi="宋体"/>
                <w:color w:val="000000"/>
                <w:szCs w:val="21"/>
              </w:rPr>
            </w:pPr>
          </w:p>
        </w:tc>
        <w:tc>
          <w:tcPr>
            <w:tcW w:w="780" w:type="dxa"/>
            <w:vMerge w:val="continue"/>
            <w:noWrap w:val="0"/>
            <w:vAlign w:val="center"/>
          </w:tcPr>
          <w:p w14:paraId="48F50855">
            <w:pPr>
              <w:widowControl/>
              <w:adjustRightInd w:val="0"/>
              <w:snapToGrid w:val="0"/>
              <w:spacing w:line="560" w:lineRule="exact"/>
              <w:jc w:val="left"/>
              <w:rPr>
                <w:rFonts w:ascii="宋体" w:hAnsi="宋体"/>
                <w:color w:val="000000"/>
                <w:szCs w:val="21"/>
              </w:rPr>
            </w:pPr>
          </w:p>
        </w:tc>
        <w:tc>
          <w:tcPr>
            <w:tcW w:w="1980" w:type="dxa"/>
            <w:noWrap w:val="0"/>
            <w:vAlign w:val="center"/>
          </w:tcPr>
          <w:p w14:paraId="262651E5">
            <w:pPr>
              <w:adjustRightInd w:val="0"/>
              <w:snapToGrid w:val="0"/>
              <w:spacing w:line="560" w:lineRule="exact"/>
              <w:rPr>
                <w:rFonts w:ascii="宋体" w:hAnsi="宋体"/>
                <w:color w:val="000000"/>
                <w:szCs w:val="21"/>
              </w:rPr>
            </w:pPr>
            <w:r>
              <w:rPr>
                <w:rFonts w:hint="eastAsia" w:ascii="宋体" w:hAnsi="宋体"/>
                <w:color w:val="000000"/>
                <w:szCs w:val="21"/>
              </w:rPr>
              <w:t>投标文件格式</w:t>
            </w:r>
          </w:p>
        </w:tc>
        <w:tc>
          <w:tcPr>
            <w:tcW w:w="6645" w:type="dxa"/>
            <w:noWrap w:val="0"/>
            <w:vAlign w:val="center"/>
          </w:tcPr>
          <w:p w14:paraId="4A230C62">
            <w:pPr>
              <w:adjustRightInd w:val="0"/>
              <w:snapToGrid w:val="0"/>
              <w:spacing w:line="560" w:lineRule="exact"/>
              <w:jc w:val="left"/>
              <w:rPr>
                <w:rFonts w:ascii="宋体" w:hAnsi="宋体"/>
                <w:color w:val="000000"/>
                <w:szCs w:val="21"/>
              </w:rPr>
            </w:pPr>
            <w:r>
              <w:rPr>
                <w:rFonts w:hint="eastAsia" w:ascii="宋体" w:hAnsi="宋体"/>
                <w:color w:val="000000"/>
                <w:szCs w:val="21"/>
              </w:rPr>
              <w:t>符合第</w:t>
            </w:r>
            <w:r>
              <w:rPr>
                <w:rFonts w:hint="eastAsia" w:ascii="宋体" w:hAnsi="宋体"/>
                <w:color w:val="000000"/>
                <w:szCs w:val="21"/>
                <w:lang w:val="en-US" w:eastAsia="zh-CN"/>
              </w:rPr>
              <w:t>八</w:t>
            </w:r>
            <w:r>
              <w:rPr>
                <w:rFonts w:hint="eastAsia" w:ascii="宋体" w:hAnsi="宋体"/>
                <w:color w:val="000000"/>
                <w:szCs w:val="21"/>
              </w:rPr>
              <w:t>章“投标文件格式”的要求。</w:t>
            </w:r>
          </w:p>
        </w:tc>
      </w:tr>
      <w:tr w14:paraId="0AD0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noWrap w:val="0"/>
            <w:vAlign w:val="center"/>
          </w:tcPr>
          <w:p w14:paraId="42A15927">
            <w:pPr>
              <w:widowControl/>
              <w:adjustRightInd w:val="0"/>
              <w:snapToGrid w:val="0"/>
              <w:spacing w:line="560" w:lineRule="exact"/>
              <w:jc w:val="left"/>
              <w:rPr>
                <w:rFonts w:ascii="宋体" w:hAnsi="宋体"/>
                <w:color w:val="000000"/>
                <w:szCs w:val="21"/>
              </w:rPr>
            </w:pPr>
          </w:p>
        </w:tc>
        <w:tc>
          <w:tcPr>
            <w:tcW w:w="780" w:type="dxa"/>
            <w:vMerge w:val="continue"/>
            <w:noWrap w:val="0"/>
            <w:vAlign w:val="center"/>
          </w:tcPr>
          <w:p w14:paraId="117704E8">
            <w:pPr>
              <w:widowControl/>
              <w:adjustRightInd w:val="0"/>
              <w:snapToGrid w:val="0"/>
              <w:spacing w:line="560" w:lineRule="exact"/>
              <w:jc w:val="left"/>
              <w:rPr>
                <w:rFonts w:ascii="宋体" w:hAnsi="宋体"/>
                <w:color w:val="000000"/>
                <w:szCs w:val="21"/>
              </w:rPr>
            </w:pPr>
          </w:p>
        </w:tc>
        <w:tc>
          <w:tcPr>
            <w:tcW w:w="1980" w:type="dxa"/>
            <w:noWrap w:val="0"/>
            <w:vAlign w:val="center"/>
          </w:tcPr>
          <w:p w14:paraId="3DA0AF02">
            <w:pPr>
              <w:adjustRightInd w:val="0"/>
              <w:snapToGrid w:val="0"/>
              <w:spacing w:line="560" w:lineRule="exact"/>
              <w:rPr>
                <w:rFonts w:ascii="宋体" w:hAnsi="宋体"/>
                <w:color w:val="000000"/>
                <w:szCs w:val="21"/>
              </w:rPr>
            </w:pPr>
            <w:r>
              <w:rPr>
                <w:rFonts w:hint="eastAsia" w:ascii="宋体" w:hAnsi="宋体"/>
                <w:color w:val="000000"/>
                <w:szCs w:val="21"/>
              </w:rPr>
              <w:t>商务标签字盖章</w:t>
            </w:r>
          </w:p>
        </w:tc>
        <w:tc>
          <w:tcPr>
            <w:tcW w:w="6645" w:type="dxa"/>
            <w:noWrap w:val="0"/>
            <w:vAlign w:val="center"/>
          </w:tcPr>
          <w:p w14:paraId="65B80844">
            <w:pPr>
              <w:adjustRightInd w:val="0"/>
              <w:snapToGrid w:val="0"/>
              <w:spacing w:line="560" w:lineRule="exact"/>
              <w:jc w:val="left"/>
              <w:rPr>
                <w:rFonts w:ascii="宋体" w:hAnsi="宋体"/>
                <w:color w:val="000000"/>
                <w:szCs w:val="21"/>
              </w:rPr>
            </w:pPr>
            <w:r>
              <w:rPr>
                <w:rFonts w:hint="eastAsia" w:ascii="宋体" w:hAnsi="宋体"/>
                <w:color w:val="000000"/>
                <w:szCs w:val="21"/>
              </w:rPr>
              <w:t>按投标文件格式要求签章。</w:t>
            </w:r>
          </w:p>
        </w:tc>
      </w:tr>
      <w:tr w14:paraId="67FE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81" w:type="dxa"/>
            <w:vMerge w:val="continue"/>
            <w:noWrap w:val="0"/>
            <w:vAlign w:val="center"/>
          </w:tcPr>
          <w:p w14:paraId="3463741A">
            <w:pPr>
              <w:widowControl/>
              <w:adjustRightInd w:val="0"/>
              <w:snapToGrid w:val="0"/>
              <w:spacing w:line="560" w:lineRule="exact"/>
              <w:jc w:val="left"/>
              <w:rPr>
                <w:rFonts w:ascii="宋体" w:hAnsi="宋体"/>
                <w:color w:val="000000"/>
                <w:szCs w:val="21"/>
              </w:rPr>
            </w:pPr>
          </w:p>
        </w:tc>
        <w:tc>
          <w:tcPr>
            <w:tcW w:w="780" w:type="dxa"/>
            <w:vMerge w:val="continue"/>
            <w:noWrap w:val="0"/>
            <w:vAlign w:val="center"/>
          </w:tcPr>
          <w:p w14:paraId="75CDABAA">
            <w:pPr>
              <w:widowControl/>
              <w:adjustRightInd w:val="0"/>
              <w:snapToGrid w:val="0"/>
              <w:spacing w:line="560" w:lineRule="exact"/>
              <w:jc w:val="left"/>
              <w:rPr>
                <w:rFonts w:ascii="宋体" w:hAnsi="宋体"/>
                <w:color w:val="000000"/>
                <w:szCs w:val="21"/>
              </w:rPr>
            </w:pPr>
          </w:p>
        </w:tc>
        <w:tc>
          <w:tcPr>
            <w:tcW w:w="1980" w:type="dxa"/>
            <w:noWrap w:val="0"/>
            <w:vAlign w:val="center"/>
          </w:tcPr>
          <w:p w14:paraId="71F65E91">
            <w:pPr>
              <w:adjustRightInd w:val="0"/>
              <w:snapToGrid w:val="0"/>
              <w:spacing w:line="560" w:lineRule="exact"/>
              <w:rPr>
                <w:rFonts w:ascii="宋体" w:hAnsi="宋体"/>
                <w:color w:val="000000"/>
                <w:szCs w:val="21"/>
              </w:rPr>
            </w:pPr>
            <w:r>
              <w:rPr>
                <w:rFonts w:hint="eastAsia" w:ascii="宋体" w:hAnsi="宋体"/>
                <w:color w:val="000000"/>
                <w:szCs w:val="21"/>
              </w:rPr>
              <w:t>报价唯一</w:t>
            </w:r>
          </w:p>
        </w:tc>
        <w:tc>
          <w:tcPr>
            <w:tcW w:w="6645" w:type="dxa"/>
            <w:noWrap w:val="0"/>
            <w:vAlign w:val="center"/>
          </w:tcPr>
          <w:p w14:paraId="22E1C074">
            <w:pPr>
              <w:adjustRightInd w:val="0"/>
              <w:snapToGrid w:val="0"/>
              <w:spacing w:line="560" w:lineRule="exact"/>
              <w:jc w:val="left"/>
              <w:rPr>
                <w:rFonts w:ascii="宋体" w:hAnsi="宋体"/>
                <w:color w:val="000000"/>
                <w:szCs w:val="21"/>
              </w:rPr>
            </w:pPr>
            <w:r>
              <w:rPr>
                <w:rFonts w:hint="eastAsia" w:ascii="宋体" w:hAnsi="宋体"/>
                <w:color w:val="000000"/>
                <w:szCs w:val="21"/>
              </w:rPr>
              <w:t>只能有一个报价。</w:t>
            </w:r>
          </w:p>
        </w:tc>
      </w:tr>
      <w:tr w14:paraId="75DE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81" w:type="dxa"/>
            <w:vMerge w:val="restart"/>
            <w:noWrap w:val="0"/>
            <w:vAlign w:val="center"/>
          </w:tcPr>
          <w:p w14:paraId="0A514A4E">
            <w:pPr>
              <w:adjustRightInd w:val="0"/>
              <w:snapToGrid w:val="0"/>
              <w:spacing w:line="560" w:lineRule="exact"/>
              <w:jc w:val="center"/>
              <w:rPr>
                <w:rFonts w:ascii="宋体" w:hAnsi="宋体"/>
                <w:color w:val="000000"/>
                <w:szCs w:val="21"/>
              </w:rPr>
            </w:pPr>
            <w:r>
              <w:rPr>
                <w:rFonts w:ascii="宋体" w:hAnsi="宋体"/>
                <w:color w:val="000000"/>
                <w:szCs w:val="21"/>
              </w:rPr>
              <w:t>4.2.2</w:t>
            </w:r>
          </w:p>
        </w:tc>
        <w:tc>
          <w:tcPr>
            <w:tcW w:w="780" w:type="dxa"/>
            <w:vMerge w:val="restart"/>
            <w:noWrap w:val="0"/>
            <w:vAlign w:val="center"/>
          </w:tcPr>
          <w:p w14:paraId="7BDDFDBC">
            <w:pPr>
              <w:adjustRightInd w:val="0"/>
              <w:snapToGrid w:val="0"/>
              <w:spacing w:line="560" w:lineRule="exact"/>
              <w:rPr>
                <w:rFonts w:ascii="宋体" w:hAnsi="宋体"/>
                <w:color w:val="000000"/>
                <w:szCs w:val="21"/>
              </w:rPr>
            </w:pPr>
            <w:r>
              <w:rPr>
                <w:rFonts w:hint="eastAsia" w:ascii="宋体" w:hAnsi="宋体"/>
                <w:color w:val="000000"/>
                <w:szCs w:val="21"/>
              </w:rPr>
              <w:t>响应性评审标准</w:t>
            </w:r>
          </w:p>
          <w:p w14:paraId="56239BC0">
            <w:pPr>
              <w:adjustRightInd w:val="0"/>
              <w:snapToGrid w:val="0"/>
              <w:spacing w:line="560" w:lineRule="exact"/>
              <w:jc w:val="center"/>
              <w:rPr>
                <w:rFonts w:ascii="宋体" w:hAnsi="宋体"/>
                <w:color w:val="000000"/>
                <w:szCs w:val="21"/>
              </w:rPr>
            </w:pPr>
          </w:p>
        </w:tc>
        <w:tc>
          <w:tcPr>
            <w:tcW w:w="1980" w:type="dxa"/>
            <w:noWrap w:val="0"/>
            <w:vAlign w:val="center"/>
          </w:tcPr>
          <w:p w14:paraId="2D47C8F8">
            <w:pPr>
              <w:adjustRightInd w:val="0"/>
              <w:snapToGrid w:val="0"/>
              <w:spacing w:line="560" w:lineRule="exact"/>
              <w:jc w:val="left"/>
              <w:rPr>
                <w:rFonts w:ascii="宋体" w:hAnsi="宋体"/>
                <w:color w:val="000000"/>
                <w:szCs w:val="21"/>
              </w:rPr>
            </w:pPr>
            <w:r>
              <w:rPr>
                <w:rFonts w:hint="eastAsia" w:ascii="宋体" w:hAnsi="宋体"/>
                <w:color w:val="000000"/>
                <w:szCs w:val="21"/>
              </w:rPr>
              <w:t>工期</w:t>
            </w:r>
          </w:p>
        </w:tc>
        <w:tc>
          <w:tcPr>
            <w:tcW w:w="6645" w:type="dxa"/>
            <w:noWrap w:val="0"/>
            <w:vAlign w:val="center"/>
          </w:tcPr>
          <w:p w14:paraId="7DDAFEE7">
            <w:pPr>
              <w:adjustRightInd w:val="0"/>
              <w:snapToGrid w:val="0"/>
              <w:spacing w:line="560" w:lineRule="exact"/>
              <w:rPr>
                <w:rFonts w:ascii="宋体" w:hAnsi="宋体"/>
                <w:color w:val="000000"/>
                <w:szCs w:val="21"/>
              </w:rPr>
            </w:pPr>
            <w:r>
              <w:rPr>
                <w:rFonts w:hint="eastAsia" w:ascii="宋体" w:hAnsi="宋体"/>
                <w:color w:val="000000"/>
                <w:szCs w:val="21"/>
              </w:rPr>
              <w:t>符合投标须知前附表规定。</w:t>
            </w:r>
          </w:p>
        </w:tc>
      </w:tr>
      <w:tr w14:paraId="35C2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noWrap w:val="0"/>
            <w:vAlign w:val="center"/>
          </w:tcPr>
          <w:p w14:paraId="09742E83">
            <w:pPr>
              <w:widowControl/>
              <w:adjustRightInd w:val="0"/>
              <w:snapToGrid w:val="0"/>
              <w:spacing w:line="560" w:lineRule="exact"/>
              <w:jc w:val="left"/>
              <w:rPr>
                <w:rFonts w:ascii="宋体" w:hAnsi="宋体"/>
                <w:color w:val="000000"/>
                <w:szCs w:val="21"/>
              </w:rPr>
            </w:pPr>
          </w:p>
        </w:tc>
        <w:tc>
          <w:tcPr>
            <w:tcW w:w="780" w:type="dxa"/>
            <w:vMerge w:val="continue"/>
            <w:noWrap w:val="0"/>
            <w:vAlign w:val="center"/>
          </w:tcPr>
          <w:p w14:paraId="4CDE5951">
            <w:pPr>
              <w:widowControl/>
              <w:adjustRightInd w:val="0"/>
              <w:snapToGrid w:val="0"/>
              <w:spacing w:line="560" w:lineRule="exact"/>
              <w:jc w:val="left"/>
              <w:rPr>
                <w:rFonts w:ascii="宋体" w:hAnsi="宋体"/>
                <w:color w:val="000000"/>
                <w:szCs w:val="21"/>
              </w:rPr>
            </w:pPr>
          </w:p>
        </w:tc>
        <w:tc>
          <w:tcPr>
            <w:tcW w:w="1980" w:type="dxa"/>
            <w:noWrap w:val="0"/>
            <w:vAlign w:val="center"/>
          </w:tcPr>
          <w:p w14:paraId="3C8C5A6E">
            <w:pPr>
              <w:adjustRightInd w:val="0"/>
              <w:snapToGrid w:val="0"/>
              <w:spacing w:line="560" w:lineRule="exact"/>
              <w:rPr>
                <w:rFonts w:ascii="宋体" w:hAnsi="宋体"/>
                <w:color w:val="000000"/>
                <w:szCs w:val="21"/>
              </w:rPr>
            </w:pPr>
            <w:r>
              <w:rPr>
                <w:rFonts w:hint="eastAsia" w:ascii="宋体" w:hAnsi="宋体"/>
                <w:color w:val="000000"/>
                <w:szCs w:val="21"/>
              </w:rPr>
              <w:t>工程质量</w:t>
            </w:r>
          </w:p>
        </w:tc>
        <w:tc>
          <w:tcPr>
            <w:tcW w:w="6645" w:type="dxa"/>
            <w:noWrap w:val="0"/>
            <w:vAlign w:val="center"/>
          </w:tcPr>
          <w:p w14:paraId="6447E52C">
            <w:pPr>
              <w:adjustRightInd w:val="0"/>
              <w:snapToGrid w:val="0"/>
              <w:spacing w:line="560" w:lineRule="exact"/>
              <w:rPr>
                <w:rFonts w:ascii="宋体" w:hAnsi="宋体"/>
                <w:color w:val="000000"/>
                <w:szCs w:val="21"/>
              </w:rPr>
            </w:pPr>
            <w:r>
              <w:rPr>
                <w:rFonts w:hint="eastAsia" w:ascii="宋体" w:hAnsi="宋体"/>
                <w:color w:val="000000"/>
                <w:szCs w:val="21"/>
              </w:rPr>
              <w:t>符合投标须知前附表规定。</w:t>
            </w:r>
          </w:p>
        </w:tc>
      </w:tr>
      <w:tr w14:paraId="3A76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noWrap w:val="0"/>
            <w:vAlign w:val="center"/>
          </w:tcPr>
          <w:p w14:paraId="4711A160">
            <w:pPr>
              <w:widowControl/>
              <w:adjustRightInd w:val="0"/>
              <w:snapToGrid w:val="0"/>
              <w:spacing w:line="560" w:lineRule="exact"/>
              <w:jc w:val="left"/>
              <w:rPr>
                <w:rFonts w:ascii="宋体" w:hAnsi="宋体"/>
                <w:color w:val="000000"/>
                <w:szCs w:val="21"/>
              </w:rPr>
            </w:pPr>
          </w:p>
        </w:tc>
        <w:tc>
          <w:tcPr>
            <w:tcW w:w="780" w:type="dxa"/>
            <w:vMerge w:val="continue"/>
            <w:noWrap w:val="0"/>
            <w:vAlign w:val="center"/>
          </w:tcPr>
          <w:p w14:paraId="6A9B59E2">
            <w:pPr>
              <w:widowControl/>
              <w:adjustRightInd w:val="0"/>
              <w:snapToGrid w:val="0"/>
              <w:spacing w:line="560" w:lineRule="exact"/>
              <w:jc w:val="left"/>
              <w:rPr>
                <w:rFonts w:ascii="宋体" w:hAnsi="宋体"/>
                <w:color w:val="000000"/>
                <w:szCs w:val="21"/>
              </w:rPr>
            </w:pPr>
          </w:p>
        </w:tc>
        <w:tc>
          <w:tcPr>
            <w:tcW w:w="1980" w:type="dxa"/>
            <w:noWrap w:val="0"/>
            <w:vAlign w:val="center"/>
          </w:tcPr>
          <w:p w14:paraId="540B66D5">
            <w:pPr>
              <w:adjustRightInd w:val="0"/>
              <w:snapToGrid w:val="0"/>
              <w:spacing w:line="560" w:lineRule="exact"/>
              <w:rPr>
                <w:rFonts w:ascii="宋体" w:hAnsi="宋体"/>
                <w:color w:val="000000"/>
                <w:szCs w:val="21"/>
              </w:rPr>
            </w:pPr>
            <w:r>
              <w:rPr>
                <w:rFonts w:hint="eastAsia" w:ascii="宋体" w:hAnsi="宋体"/>
                <w:color w:val="000000"/>
                <w:szCs w:val="21"/>
              </w:rPr>
              <w:t>投标有效期</w:t>
            </w:r>
          </w:p>
        </w:tc>
        <w:tc>
          <w:tcPr>
            <w:tcW w:w="6645" w:type="dxa"/>
            <w:noWrap w:val="0"/>
            <w:vAlign w:val="center"/>
          </w:tcPr>
          <w:p w14:paraId="6B99D234">
            <w:pPr>
              <w:adjustRightInd w:val="0"/>
              <w:snapToGrid w:val="0"/>
              <w:spacing w:line="560" w:lineRule="exact"/>
              <w:rPr>
                <w:rFonts w:ascii="宋体" w:hAnsi="宋体"/>
                <w:color w:val="000000"/>
                <w:szCs w:val="21"/>
              </w:rPr>
            </w:pPr>
            <w:r>
              <w:rPr>
                <w:rFonts w:hint="eastAsia" w:ascii="宋体" w:hAnsi="宋体"/>
                <w:color w:val="000000"/>
                <w:szCs w:val="21"/>
              </w:rPr>
              <w:t>符合投标须知前附表规定。</w:t>
            </w:r>
          </w:p>
        </w:tc>
      </w:tr>
      <w:tr w14:paraId="293C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1" w:type="dxa"/>
            <w:vMerge w:val="continue"/>
            <w:noWrap w:val="0"/>
            <w:vAlign w:val="center"/>
          </w:tcPr>
          <w:p w14:paraId="4EC241EA">
            <w:pPr>
              <w:widowControl/>
              <w:adjustRightInd w:val="0"/>
              <w:snapToGrid w:val="0"/>
              <w:spacing w:line="560" w:lineRule="exact"/>
              <w:jc w:val="left"/>
              <w:rPr>
                <w:rFonts w:ascii="宋体" w:hAnsi="宋体"/>
                <w:color w:val="000000"/>
                <w:szCs w:val="21"/>
              </w:rPr>
            </w:pPr>
          </w:p>
        </w:tc>
        <w:tc>
          <w:tcPr>
            <w:tcW w:w="780" w:type="dxa"/>
            <w:vMerge w:val="continue"/>
            <w:noWrap w:val="0"/>
            <w:vAlign w:val="center"/>
          </w:tcPr>
          <w:p w14:paraId="32F31F60">
            <w:pPr>
              <w:widowControl/>
              <w:adjustRightInd w:val="0"/>
              <w:snapToGrid w:val="0"/>
              <w:spacing w:line="560" w:lineRule="exact"/>
              <w:jc w:val="left"/>
              <w:rPr>
                <w:rFonts w:ascii="宋体" w:hAnsi="宋体"/>
                <w:color w:val="000000"/>
                <w:szCs w:val="21"/>
              </w:rPr>
            </w:pPr>
          </w:p>
        </w:tc>
        <w:tc>
          <w:tcPr>
            <w:tcW w:w="1980" w:type="dxa"/>
            <w:noWrap w:val="0"/>
            <w:vAlign w:val="center"/>
          </w:tcPr>
          <w:p w14:paraId="74F0C58C">
            <w:pPr>
              <w:adjustRightInd w:val="0"/>
              <w:snapToGrid w:val="0"/>
              <w:spacing w:line="560" w:lineRule="exact"/>
              <w:rPr>
                <w:rFonts w:ascii="宋体" w:hAnsi="宋体"/>
                <w:color w:val="000000"/>
                <w:szCs w:val="21"/>
              </w:rPr>
            </w:pPr>
            <w:r>
              <w:rPr>
                <w:rFonts w:hint="eastAsia" w:ascii="宋体" w:hAnsi="宋体"/>
                <w:color w:val="000000"/>
                <w:szCs w:val="21"/>
              </w:rPr>
              <w:t>工程成本评审</w:t>
            </w:r>
          </w:p>
        </w:tc>
        <w:tc>
          <w:tcPr>
            <w:tcW w:w="6645" w:type="dxa"/>
            <w:noWrap w:val="0"/>
            <w:vAlign w:val="center"/>
          </w:tcPr>
          <w:p w14:paraId="57798C55">
            <w:pPr>
              <w:adjustRightInd w:val="0"/>
              <w:snapToGrid w:val="0"/>
              <w:spacing w:line="560" w:lineRule="exact"/>
              <w:rPr>
                <w:rFonts w:ascii="宋体" w:hAnsi="宋体"/>
                <w:color w:val="000000"/>
                <w:szCs w:val="21"/>
              </w:rPr>
            </w:pPr>
            <w:r>
              <w:rPr>
                <w:rFonts w:hint="eastAsia"/>
                <w:color w:val="auto"/>
                <w:highlight w:val="none"/>
              </w:rPr>
              <w:t>投标报价</w:t>
            </w:r>
            <w:r>
              <w:rPr>
                <w:rFonts w:hint="eastAsia" w:ascii="宋体" w:hAnsi="宋体"/>
                <w:color w:val="auto"/>
                <w:szCs w:val="21"/>
                <w:highlight w:val="none"/>
              </w:rPr>
              <w:t>低于同一工程</w:t>
            </w:r>
            <w:r>
              <w:rPr>
                <w:rFonts w:hint="eastAsia"/>
                <w:color w:val="auto"/>
                <w:highlight w:val="none"/>
              </w:rPr>
              <w:t>投标报价</w:t>
            </w:r>
            <w:r>
              <w:rPr>
                <w:rFonts w:hint="eastAsia" w:ascii="宋体" w:hAnsi="宋体"/>
                <w:color w:val="auto"/>
                <w:szCs w:val="21"/>
                <w:highlight w:val="none"/>
              </w:rPr>
              <w:t>平均值10%以上的，由评标委员会重点评审后界定其报价是否低于工程成本。</w:t>
            </w:r>
          </w:p>
        </w:tc>
      </w:tr>
      <w:tr w14:paraId="3775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noWrap w:val="0"/>
            <w:vAlign w:val="center"/>
          </w:tcPr>
          <w:p w14:paraId="1FEEBE42">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7</w:t>
            </w:r>
            <w:r>
              <w:rPr>
                <w:rFonts w:hint="eastAsia" w:ascii="宋体" w:hAnsi="宋体"/>
                <w:color w:val="000000"/>
                <w:szCs w:val="21"/>
                <w:highlight w:val="none"/>
              </w:rPr>
              <w:t>.1</w:t>
            </w:r>
          </w:p>
        </w:tc>
        <w:tc>
          <w:tcPr>
            <w:tcW w:w="780" w:type="dxa"/>
            <w:noWrap w:val="0"/>
            <w:vAlign w:val="center"/>
          </w:tcPr>
          <w:p w14:paraId="5B2DF935">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商务</w:t>
            </w:r>
          </w:p>
          <w:p w14:paraId="4C22D19D">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评分</w:t>
            </w:r>
          </w:p>
          <w:p w14:paraId="3807F122">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w:t>
            </w:r>
            <w:r>
              <w:rPr>
                <w:rFonts w:hint="eastAsia" w:ascii="宋体" w:hAnsi="宋体"/>
                <w:color w:val="000000"/>
                <w:szCs w:val="21"/>
                <w:highlight w:val="none"/>
                <w:lang w:val="en-US" w:eastAsia="zh-CN"/>
              </w:rPr>
              <w:t>60</w:t>
            </w:r>
            <w:r>
              <w:rPr>
                <w:rFonts w:ascii="宋体" w:hAnsi="宋体"/>
                <w:color w:val="000000"/>
                <w:szCs w:val="21"/>
                <w:highlight w:val="none"/>
              </w:rPr>
              <w:t>分）</w:t>
            </w:r>
          </w:p>
        </w:tc>
        <w:tc>
          <w:tcPr>
            <w:tcW w:w="8625" w:type="dxa"/>
            <w:gridSpan w:val="2"/>
            <w:noWrap w:val="0"/>
            <w:vAlign w:val="center"/>
          </w:tcPr>
          <w:p w14:paraId="2D5A9941">
            <w:pPr>
              <w:spacing w:line="560" w:lineRule="exact"/>
              <w:ind w:firstLine="420" w:firstLineChars="200"/>
              <w:rPr>
                <w:rFonts w:hint="eastAsia" w:ascii="宋体" w:hAnsi="宋体" w:cs="宋体"/>
                <w:color w:val="000000"/>
                <w:highlight w:val="none"/>
              </w:rPr>
            </w:pPr>
            <w:r>
              <w:rPr>
                <w:rFonts w:hint="eastAsia" w:ascii="宋体" w:hAnsi="宋体" w:cs="宋体"/>
                <w:color w:val="000000"/>
                <w:highlight w:val="none"/>
              </w:rPr>
              <w:t>商务标评分按下列步骤计算：</w:t>
            </w:r>
          </w:p>
          <w:p w14:paraId="3E6A5535">
            <w:pPr>
              <w:spacing w:line="560" w:lineRule="exact"/>
              <w:ind w:firstLine="420" w:firstLineChars="200"/>
              <w:rPr>
                <w:rFonts w:hint="eastAsia" w:ascii="宋体" w:hAnsi="宋体" w:cs="宋体"/>
                <w:color w:val="000000"/>
                <w:highlight w:val="none"/>
              </w:rPr>
            </w:pPr>
            <w:r>
              <w:rPr>
                <w:rFonts w:hint="eastAsia" w:ascii="宋体" w:hAnsi="宋体" w:cs="宋体"/>
                <w:color w:val="000000"/>
                <w:highlight w:val="none"/>
              </w:rPr>
              <w:t>第一步：计算B值。</w:t>
            </w:r>
          </w:p>
          <w:p w14:paraId="773931F7">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①B</w:t>
            </w:r>
            <w:r>
              <w:rPr>
                <w:rFonts w:hint="eastAsia" w:ascii="宋体" w:hAnsi="宋体" w:cs="宋体"/>
                <w:color w:val="000000"/>
                <w:kern w:val="0"/>
                <w:szCs w:val="21"/>
                <w:highlight w:val="none"/>
              </w:rPr>
              <w:t>值</w:t>
            </w:r>
            <w:r>
              <w:rPr>
                <w:rFonts w:hint="eastAsia" w:ascii="宋体" w:hAnsi="宋体" w:cs="宋体"/>
                <w:color w:val="000000"/>
                <w:szCs w:val="21"/>
                <w:highlight w:val="none"/>
              </w:rPr>
              <w:t>为计算范围内有效投标人报价的算术平均值。</w:t>
            </w:r>
          </w:p>
          <w:p w14:paraId="4538732A">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第二步：计算评标基准价F值。</w:t>
            </w:r>
          </w:p>
          <w:p w14:paraId="2A436454">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①F=B×（1-K），其中K为调整系数，K的取值为-0.5%（1号），0%（2号），0.5%（3号），1.0%（4号），1.5%（5号）。</w:t>
            </w:r>
          </w:p>
          <w:p w14:paraId="5BB4F0A3">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第三步：计算报价偏差率。</w:t>
            </w:r>
          </w:p>
          <w:p w14:paraId="502F1F57">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①偏差率=|（投标报价-评标基准价）/评标基准价|×100%</w:t>
            </w:r>
          </w:p>
          <w:p w14:paraId="6089BC26">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第四步：计算报价得分</w:t>
            </w:r>
          </w:p>
          <w:p w14:paraId="59A3EB57">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①投标报价等于评标基准价的得满分。</w:t>
            </w:r>
          </w:p>
          <w:p w14:paraId="5C45B6BB">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②投标报价高于评标基准价的，投标报价得分=报价满分值-偏差率×100×1</w:t>
            </w:r>
          </w:p>
          <w:p w14:paraId="1464FE66">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③投标报价低于评标基准价的，投标报价得分=报价满分值-偏差率×100×0.5</w:t>
            </w:r>
          </w:p>
          <w:p w14:paraId="701AE7E0">
            <w:pPr>
              <w:pStyle w:val="2"/>
              <w:adjustRightInd w:val="0"/>
              <w:snapToGrid w:val="0"/>
              <w:spacing w:after="0" w:line="560" w:lineRule="exact"/>
              <w:ind w:left="0" w:leftChars="0" w:firstLine="422" w:firstLineChars="0"/>
              <w:jc w:val="left"/>
              <w:rPr>
                <w:color w:val="000000"/>
                <w:highlight w:val="none"/>
              </w:rPr>
            </w:pPr>
            <w:r>
              <w:rPr>
                <w:rFonts w:hint="eastAsia" w:ascii="宋体" w:hAnsi="宋体" w:cs="宋体"/>
                <w:b/>
                <w:color w:val="000000"/>
                <w:szCs w:val="21"/>
                <w:highlight w:val="none"/>
              </w:rPr>
              <w:t>注：计算过程中，B值、评标基准价F值、偏差率、报价得分均保留两位小数，小数点后第三位四舍五入。</w:t>
            </w:r>
          </w:p>
        </w:tc>
      </w:tr>
    </w:tbl>
    <w:p w14:paraId="13E59263">
      <w:pPr>
        <w:adjustRightInd w:val="0"/>
        <w:snapToGrid w:val="0"/>
        <w:spacing w:line="560" w:lineRule="exact"/>
        <w:ind w:firstLine="316" w:firstLineChars="150"/>
        <w:rPr>
          <w:rFonts w:hint="eastAsia" w:ascii="黑体" w:hAnsi="黑体" w:eastAsia="黑体" w:cs="黑体"/>
          <w:b/>
          <w:color w:val="000000"/>
          <w:szCs w:val="21"/>
          <w:highlight w:val="none"/>
        </w:rPr>
      </w:pPr>
      <w:r>
        <w:rPr>
          <w:rFonts w:hint="eastAsia" w:ascii="黑体" w:hAnsi="黑体" w:eastAsia="黑体" w:cs="黑体"/>
          <w:b/>
          <w:color w:val="000000"/>
          <w:szCs w:val="21"/>
          <w:highlight w:val="none"/>
        </w:rPr>
        <w:t>商务标评审表注：</w:t>
      </w:r>
    </w:p>
    <w:p w14:paraId="7081FED6">
      <w:pPr>
        <w:adjustRightInd w:val="0"/>
        <w:snapToGrid w:val="0"/>
        <w:spacing w:line="560" w:lineRule="exact"/>
        <w:ind w:firstLine="422" w:firstLineChars="200"/>
        <w:rPr>
          <w:rFonts w:hint="eastAsia" w:ascii="黑体" w:hAnsi="黑体" w:eastAsia="黑体" w:cs="黑体"/>
          <w:b/>
          <w:bCs/>
          <w:color w:val="000000"/>
          <w:szCs w:val="21"/>
          <w:u w:val="single"/>
        </w:rPr>
      </w:pPr>
      <w:r>
        <w:rPr>
          <w:rFonts w:hint="eastAsia" w:ascii="黑体" w:hAnsi="黑体" w:eastAsia="黑体" w:cs="黑体"/>
          <w:b/>
          <w:color w:val="000000"/>
          <w:szCs w:val="21"/>
          <w:highlight w:val="none"/>
        </w:rPr>
        <w:t>1、</w:t>
      </w:r>
      <w:r>
        <w:rPr>
          <w:rFonts w:hint="eastAsia" w:ascii="黑体" w:hAnsi="黑体" w:eastAsia="黑体" w:cs="黑体"/>
          <w:b/>
          <w:bCs/>
          <w:color w:val="000000"/>
          <w:szCs w:val="21"/>
          <w:highlight w:val="none"/>
        </w:rPr>
        <w:t>投标人总报价如超过A值，A值=</w:t>
      </w:r>
      <w:r>
        <w:rPr>
          <w:rFonts w:hint="eastAsia" w:ascii="黑体" w:hAnsi="黑体" w:eastAsia="黑体" w:cs="黑体"/>
          <w:b/>
          <w:bCs/>
          <w:color w:val="000000"/>
          <w:szCs w:val="21"/>
          <w:highlight w:val="none"/>
          <w:u w:val="single"/>
        </w:rPr>
        <w:t>最高投标限价×（1-J） +（暂列金额+暂估价）</w:t>
      </w:r>
      <w:r>
        <w:rPr>
          <w:rFonts w:hint="eastAsia" w:ascii="黑体" w:hAnsi="黑体" w:eastAsia="黑体" w:cs="黑体"/>
          <w:b/>
          <w:bCs/>
          <w:strike w:val="0"/>
          <w:dstrike w:val="0"/>
          <w:color w:val="000000"/>
          <w:szCs w:val="21"/>
          <w:highlight w:val="none"/>
          <w:u w:val="single"/>
        </w:rPr>
        <w:t>×1.09</w:t>
      </w:r>
      <w:r>
        <w:rPr>
          <w:rFonts w:hint="eastAsia" w:ascii="黑体" w:hAnsi="黑体" w:eastAsia="黑体" w:cs="黑体"/>
          <w:b/>
          <w:bCs/>
          <w:color w:val="000000"/>
          <w:szCs w:val="21"/>
          <w:highlight w:val="none"/>
          <w:u w:val="single"/>
        </w:rPr>
        <w:t>×J（其中J=</w:t>
      </w:r>
      <w:r>
        <w:rPr>
          <w:rFonts w:hint="eastAsia" w:ascii="黑体" w:hAnsi="黑体" w:eastAsia="黑体" w:cs="黑体"/>
          <w:b/>
          <w:bCs/>
          <w:color w:val="000000"/>
          <w:szCs w:val="21"/>
          <w:highlight w:val="none"/>
          <w:u w:val="single"/>
          <w:lang w:val="en-US" w:eastAsia="zh-CN"/>
        </w:rPr>
        <w:t>8</w:t>
      </w:r>
      <w:r>
        <w:rPr>
          <w:rFonts w:hint="eastAsia" w:ascii="黑体" w:hAnsi="黑体" w:eastAsia="黑体" w:cs="黑体"/>
          <w:b/>
          <w:bCs/>
          <w:color w:val="000000"/>
          <w:szCs w:val="21"/>
          <w:highlight w:val="none"/>
          <w:u w:val="single"/>
        </w:rPr>
        <w:t xml:space="preserve">%，该值由招标人根据具体项目情况自行设定），则商务标不得分，且该投标报价不参与B值计算。 </w:t>
      </w:r>
    </w:p>
    <w:p w14:paraId="77C01149">
      <w:pPr>
        <w:adjustRightInd w:val="0"/>
        <w:snapToGrid w:val="0"/>
        <w:spacing w:line="560" w:lineRule="exact"/>
        <w:ind w:firstLine="420" w:firstLineChars="200"/>
        <w:rPr>
          <w:rFonts w:hint="eastAsia" w:ascii="宋体" w:hAnsi="宋体" w:cs="宋体"/>
          <w:color w:val="000000"/>
          <w:szCs w:val="21"/>
        </w:rPr>
      </w:pPr>
      <w:r>
        <w:rPr>
          <w:rFonts w:ascii="宋体" w:hAnsi="宋体" w:cs="宋体"/>
          <w:color w:val="000000"/>
          <w:szCs w:val="21"/>
        </w:rPr>
        <w:t>2</w:t>
      </w:r>
      <w:r>
        <w:rPr>
          <w:rFonts w:hint="eastAsia" w:ascii="宋体" w:hAnsi="宋体" w:cs="宋体"/>
          <w:color w:val="000000"/>
          <w:szCs w:val="21"/>
        </w:rPr>
        <w:t>、只有通过详细评审的投标人才能参加评分。</w:t>
      </w:r>
    </w:p>
    <w:p w14:paraId="53BC5050">
      <w:pPr>
        <w:adjustRightInd w:val="0"/>
        <w:snapToGrid w:val="0"/>
        <w:spacing w:line="560" w:lineRule="exact"/>
        <w:ind w:firstLine="420" w:firstLineChars="200"/>
        <w:rPr>
          <w:rFonts w:hint="eastAsia" w:ascii="宋体" w:hAnsi="宋体" w:cs="宋体"/>
          <w:strike/>
          <w:dstrike w:val="0"/>
          <w:color w:val="000000"/>
          <w:szCs w:val="21"/>
        </w:rPr>
      </w:pPr>
      <w:r>
        <w:rPr>
          <w:rFonts w:ascii="宋体" w:hAnsi="宋体" w:cs="宋体"/>
          <w:color w:val="000000"/>
          <w:szCs w:val="21"/>
        </w:rPr>
        <w:t>3</w:t>
      </w:r>
      <w:r>
        <w:rPr>
          <w:rFonts w:hint="eastAsia" w:ascii="宋体" w:hAnsi="宋体" w:cs="宋体"/>
          <w:color w:val="000000"/>
          <w:szCs w:val="21"/>
        </w:rPr>
        <w:t>、本表所称投标报价是指按招标文件规定修正后的投标总报价（多算投标报价、多报费用不扣减），报价以元为单位，保留两位小数，小数点后第三位四舍五入。</w:t>
      </w:r>
    </w:p>
    <w:p w14:paraId="524EA0C4">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rPr>
        <w:t>4、B 值计算方法</w:t>
      </w:r>
      <w:r>
        <w:rPr>
          <w:rFonts w:hint="eastAsia" w:ascii="宋体" w:hAnsi="宋体" w:eastAsia="宋体" w:cs="宋体"/>
          <w:color w:val="000000"/>
          <w:szCs w:val="21"/>
          <w:highlight w:val="none"/>
        </w:rPr>
        <w:t>：</w:t>
      </w:r>
    </w:p>
    <w:p w14:paraId="6C44C60B">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（1）本项目 T 取值为</w:t>
      </w:r>
      <w:r>
        <w:rPr>
          <w:rFonts w:hint="eastAsia" w:ascii="宋体" w:hAnsi="宋体" w:eastAsia="宋体" w:cs="宋体"/>
          <w:color w:val="000000"/>
          <w:szCs w:val="21"/>
          <w:highlight w:val="none"/>
          <w:u w:val="single"/>
          <w:lang w:val="en-US" w:eastAsia="zh-CN"/>
        </w:rPr>
        <w:t>10</w:t>
      </w:r>
      <w:r>
        <w:rPr>
          <w:rFonts w:hint="eastAsia" w:ascii="宋体" w:hAnsi="宋体" w:eastAsia="宋体" w:cs="宋体"/>
          <w:color w:val="000000"/>
          <w:szCs w:val="21"/>
          <w:highlight w:val="none"/>
        </w:rPr>
        <w:t>。</w:t>
      </w:r>
    </w:p>
    <w:p w14:paraId="3B7E3A02">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（2）投标报价不超过A值且资信技术合计分值大于等于所有通过（资信、技术、商务）详细评审有效投标人资信技术平均分值的投标人数量为M。</w:t>
      </w:r>
    </w:p>
    <w:p w14:paraId="058CB3CC">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（3）若M 未超过 T 时，B 值为符合上述条件的 M 个投标人投标报价的算术平均值。</w:t>
      </w:r>
    </w:p>
    <w:p w14:paraId="510A0D73">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（4）若M 超过 T 时，B 值为符合上述条件的 M 个投标人投标报价中去除(M-T)/2【M-T 为奇数时，则为(M-T+1)/2】个最高价和(M-T)/2【M-T 为奇数时，则为(M-T-1)/2】个最低价后，剩余有效投标报价的算术平均值（如去高去低的最后一名存在报价相同的，则通过随机抽取确定被去除的投标人。只保留T个投标人的投标报价）。</w:t>
      </w:r>
    </w:p>
    <w:p w14:paraId="60DB574F">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5、K值（评标基准价系数）的抽取：资信标、技术标、商务标详细评审完成后，招标人</w:t>
      </w:r>
      <w:r>
        <w:rPr>
          <w:rFonts w:hint="eastAsia" w:ascii="宋体" w:hAnsi="宋体" w:cs="宋体"/>
          <w:color w:val="000000"/>
          <w:szCs w:val="21"/>
          <w:lang w:val="en-US" w:eastAsia="zh-CN"/>
        </w:rPr>
        <w:t>现场</w:t>
      </w:r>
      <w:r>
        <w:rPr>
          <w:rFonts w:hint="eastAsia" w:ascii="宋体" w:hAnsi="宋体" w:eastAsia="宋体" w:cs="宋体"/>
          <w:color w:val="000000"/>
          <w:szCs w:val="21"/>
        </w:rPr>
        <w:t>抽取K值，并根据抽取的K值计算F值，评标办法中的评标基准价计算出来后，除数字计算错误外，其他情况均不再调整。</w:t>
      </w:r>
    </w:p>
    <w:p w14:paraId="26E54616">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6、其他</w:t>
      </w:r>
    </w:p>
    <w:p w14:paraId="70F7A924">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6.1 缺漏项金额是指投标人漏计招标人发布的清单项目，按最高投标限价对应清单综合单价计算缺漏金额。</w:t>
      </w:r>
    </w:p>
    <w:p w14:paraId="63107DE4">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6.2 本表所述累计投标报价缺漏错总额占原投标报价格 5%以下者，视为投标人主动让利或包含在其他项目中，不修正总价，工程结算时亦不予调整。</w:t>
      </w:r>
    </w:p>
    <w:p w14:paraId="1D9AEA50">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7、投标人的注册建造师必须满足相应建筑业企业资质标准要求，评标委员会在评审时，将对此进行评审。投标单位应在商务标文件中提供全国建筑市场监管公共服务平台(四库一平台)企业注册人员网页截图，未提供相关截图，按无效标处理。</w:t>
      </w:r>
    </w:p>
    <w:p w14:paraId="7E9F80EE">
      <w:pPr>
        <w:pStyle w:val="7"/>
        <w:pageBreakBefore w:val="0"/>
        <w:kinsoku/>
        <w:overflowPunct/>
        <w:topLinePunct w:val="0"/>
        <w:autoSpaceDE/>
        <w:autoSpaceDN/>
        <w:bidi w:val="0"/>
        <w:spacing w:beforeLines="50" w:afterLines="50" w:line="44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1.评标方法</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162D8EEC">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rPr>
      </w:pPr>
      <w:r>
        <w:rPr>
          <w:rFonts w:hint="eastAsia" w:ascii="宋体" w:hAnsi="宋体" w:cs="宋体"/>
          <w:color w:val="000000"/>
          <w:szCs w:val="21"/>
        </w:rPr>
        <w:t>本次评标采用综合评估法。评标委员会对满足招标文件实质性要求的投标文件，按照本章规定的评分标准计算得分，并按总得分由高到低顺序推荐中标候选人（3名），并标明排序，但投标报价低于其成本的除外。如总得分相等，以投标报价低的优先，投标报价仍相等，由评标委员会主任委员或招标人随机抽取确定排名。</w:t>
      </w:r>
    </w:p>
    <w:p w14:paraId="2B6F7F43">
      <w:pPr>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rPr>
        <w:t>（1）根据评标委员会评审初步结论，项目单位（代理机构）对预中标候选人、法定代表人及其项目经理（建造师）是否存在招标文件要求查询的失信行为进行网上核查后，提交网站截图等查</w:t>
      </w:r>
      <w:r>
        <w:rPr>
          <w:rFonts w:hint="eastAsia" w:ascii="宋体" w:hAnsi="宋体" w:cs="宋体"/>
          <w:color w:val="000000"/>
          <w:szCs w:val="21"/>
          <w:highlight w:val="none"/>
        </w:rPr>
        <w:t>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785A2C6">
      <w:pPr>
        <w:pageBreakBefore w:val="0"/>
        <w:kinsoku/>
        <w:wordWrap w:val="0"/>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（2）评标委员会登录全国建筑市场监管公共服务平台(四库-平台)https://jzsc.mohurd.gov.cn/home 进行实时查询，并结合《住房城乡建设部关于进一步加强建设工程企业资质审批管理工作的通知》（建市规〔2023〕3号）、《住房和城乡建设部办公厅关于建设工程企业资质有关事项的通知》（建办市函〔2022〕361号）和安徽省住建厅《关于建设工程企业资质有关事宜的通知》（建市函〔2022〕748 号），对中标候选人的关系企业履约能力的建造师数量进行评审：</w:t>
      </w:r>
    </w:p>
    <w:p w14:paraId="5939E452">
      <w:pPr>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宋体" w:hAnsi="宋体" w:eastAsia="宋体" w:cs="宋体"/>
          <w:color w:val="000000"/>
          <w:szCs w:val="21"/>
          <w:highlight w:val="none"/>
        </w:rPr>
        <w:t>①</w:t>
      </w:r>
      <w:r>
        <w:rPr>
          <w:rFonts w:hint="eastAsia" w:ascii="宋体" w:hAnsi="宋体" w:eastAsia="宋体" w:cs="宋体"/>
          <w:color w:val="000000"/>
          <w:szCs w:val="21"/>
          <w:highlight w:val="none"/>
          <w:lang w:val="en-US" w:eastAsia="zh-CN"/>
        </w:rPr>
        <w:t>电力</w:t>
      </w:r>
      <w:r>
        <w:rPr>
          <w:rFonts w:hint="eastAsia" w:ascii="宋体" w:hAnsi="宋体" w:eastAsia="宋体" w:cs="宋体"/>
          <w:color w:val="000000"/>
          <w:szCs w:val="21"/>
          <w:highlight w:val="none"/>
        </w:rPr>
        <w:t>工程施工总承包特级资质企业：注册一级建造师50人以上</w:t>
      </w:r>
      <w:r>
        <w:rPr>
          <w:rFonts w:hint="eastAsia" w:ascii="宋体" w:hAnsi="宋体" w:cs="宋体"/>
          <w:color w:val="000000"/>
          <w:szCs w:val="21"/>
          <w:highlight w:val="none"/>
        </w:rPr>
        <w:t>。</w:t>
      </w:r>
    </w:p>
    <w:p w14:paraId="6D5A37E2">
      <w:pPr>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仿宋_GB2312" w:hAnsi="宋体" w:eastAsia="仿宋_GB2312" w:cs="宋体"/>
          <w:color w:val="000000"/>
          <w:szCs w:val="21"/>
          <w:highlight w:val="none"/>
        </w:rPr>
        <w:t>②</w:t>
      </w:r>
      <w:r>
        <w:rPr>
          <w:rFonts w:hint="eastAsia" w:ascii="宋体" w:hAnsi="宋体" w:eastAsia="宋体" w:cs="宋体"/>
          <w:color w:val="000000"/>
          <w:szCs w:val="21"/>
          <w:highlight w:val="none"/>
          <w:lang w:val="en-US" w:eastAsia="zh-CN"/>
        </w:rPr>
        <w:t>电力</w:t>
      </w:r>
      <w:r>
        <w:rPr>
          <w:rFonts w:hint="eastAsia" w:ascii="宋体" w:hAnsi="宋体" w:eastAsia="宋体" w:cs="宋体"/>
          <w:color w:val="000000"/>
          <w:szCs w:val="21"/>
          <w:highlight w:val="none"/>
        </w:rPr>
        <w:t>工程</w:t>
      </w:r>
      <w:r>
        <w:rPr>
          <w:rFonts w:hint="eastAsia" w:ascii="宋体" w:hAnsi="宋体" w:cs="宋体"/>
          <w:color w:val="000000"/>
          <w:szCs w:val="21"/>
          <w:highlight w:val="none"/>
        </w:rPr>
        <w:t>施工总承包壹级资质企业：</w:t>
      </w:r>
      <w:r>
        <w:rPr>
          <w:rFonts w:hint="eastAsia"/>
          <w:szCs w:val="21"/>
          <w:highlight w:val="none"/>
        </w:rPr>
        <w:t>机电工程专业一级注册建造师</w:t>
      </w:r>
      <w:r>
        <w:rPr>
          <w:rFonts w:hint="eastAsia" w:ascii="宋体" w:hAnsi="宋体" w:cs="宋体"/>
          <w:color w:val="000000"/>
          <w:szCs w:val="21"/>
          <w:highlight w:val="none"/>
        </w:rPr>
        <w:t>不少于1</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人。</w:t>
      </w:r>
    </w:p>
    <w:p w14:paraId="548E5C49">
      <w:pPr>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仿宋_GB2312" w:hAnsi="宋体" w:eastAsia="仿宋_GB2312" w:cs="宋体"/>
          <w:color w:val="000000"/>
          <w:szCs w:val="21"/>
          <w:highlight w:val="none"/>
        </w:rPr>
        <w:t>③</w:t>
      </w:r>
      <w:r>
        <w:rPr>
          <w:rFonts w:hint="eastAsia" w:ascii="宋体" w:hAnsi="宋体" w:eastAsia="宋体" w:cs="宋体"/>
          <w:color w:val="000000"/>
          <w:szCs w:val="21"/>
          <w:highlight w:val="none"/>
          <w:lang w:val="en-US" w:eastAsia="zh-CN"/>
        </w:rPr>
        <w:t>电力</w:t>
      </w:r>
      <w:r>
        <w:rPr>
          <w:rFonts w:hint="eastAsia" w:ascii="宋体" w:hAnsi="宋体" w:eastAsia="宋体" w:cs="宋体"/>
          <w:color w:val="000000"/>
          <w:szCs w:val="21"/>
          <w:highlight w:val="none"/>
        </w:rPr>
        <w:t>工程</w:t>
      </w:r>
      <w:r>
        <w:rPr>
          <w:rFonts w:hint="eastAsia" w:ascii="宋体" w:hAnsi="宋体" w:cs="宋体"/>
          <w:color w:val="000000"/>
          <w:szCs w:val="21"/>
          <w:highlight w:val="none"/>
        </w:rPr>
        <w:t>施工总承包贰级、叁级资质企业：</w:t>
      </w:r>
      <w:r>
        <w:rPr>
          <w:rFonts w:hint="eastAsia"/>
          <w:szCs w:val="21"/>
          <w:highlight w:val="none"/>
        </w:rPr>
        <w:t>机电工程专业</w:t>
      </w:r>
      <w:r>
        <w:rPr>
          <w:rFonts w:hint="eastAsia" w:ascii="宋体" w:hAnsi="宋体" w:cs="宋体"/>
          <w:color w:val="000000"/>
          <w:szCs w:val="21"/>
          <w:highlight w:val="none"/>
        </w:rPr>
        <w:t>注册建造师不少于5人。</w:t>
      </w:r>
    </w:p>
    <w:p w14:paraId="322A2384">
      <w:pPr>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中标候选人的注册建造师不满足上述要求的，评标委员会对该投标不予认可，并将该情形报送相关行政主管部门。中标候选人依次替补，评标委员会再次对替补单位进行核查。</w:t>
      </w:r>
    </w:p>
    <w:p w14:paraId="3F12DD3B">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2.评标委员会的职责</w:t>
      </w:r>
      <w:bookmarkEnd w:id="790"/>
      <w:bookmarkEnd w:id="791"/>
      <w:bookmarkEnd w:id="792"/>
      <w:bookmarkEnd w:id="793"/>
      <w:bookmarkEnd w:id="794"/>
      <w:bookmarkEnd w:id="795"/>
      <w:bookmarkEnd w:id="796"/>
    </w:p>
    <w:p w14:paraId="2366AE8E">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bookmarkStart w:id="805" w:name="_Toc17377"/>
      <w:bookmarkStart w:id="806" w:name="_Toc324404874"/>
      <w:bookmarkStart w:id="807" w:name="_Toc35425115"/>
      <w:bookmarkStart w:id="808" w:name="_Toc506107326"/>
      <w:bookmarkStart w:id="809" w:name="_Toc78803384"/>
      <w:bookmarkStart w:id="810" w:name="_Toc35424949"/>
      <w:bookmarkStart w:id="811" w:name="_Toc15058915"/>
      <w:r>
        <w:rPr>
          <w:rFonts w:hint="eastAsia" w:ascii="宋体" w:hAnsi="宋体" w:eastAsia="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220F0DC">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2EE942C7">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3.评标程序</w:t>
      </w:r>
      <w:bookmarkEnd w:id="805"/>
      <w:bookmarkEnd w:id="806"/>
      <w:bookmarkEnd w:id="807"/>
      <w:bookmarkEnd w:id="808"/>
      <w:bookmarkEnd w:id="809"/>
      <w:bookmarkEnd w:id="810"/>
      <w:bookmarkEnd w:id="811"/>
    </w:p>
    <w:p w14:paraId="74F4CF37">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bookmarkStart w:id="812" w:name="_Toc27389"/>
      <w:bookmarkStart w:id="813" w:name="_Toc15058916"/>
      <w:bookmarkStart w:id="814" w:name="_Toc35425116"/>
      <w:bookmarkStart w:id="815" w:name="_Toc35424950"/>
      <w:bookmarkStart w:id="816" w:name="_Toc78803385"/>
      <w:r>
        <w:rPr>
          <w:rFonts w:hint="eastAsia" w:ascii="宋体" w:hAnsi="宋体" w:eastAsia="宋体" w:cs="宋体"/>
          <w:color w:val="auto"/>
          <w:szCs w:val="21"/>
          <w:highlight w:val="none"/>
        </w:rPr>
        <w:t>评标先做准备工作，再进行资格、技术标评审，然后进行商务标评审。</w:t>
      </w:r>
    </w:p>
    <w:p w14:paraId="6E980930">
      <w:pPr>
        <w:pStyle w:val="7"/>
        <w:pageBreakBefore w:val="0"/>
        <w:kinsoku/>
        <w:overflowPunct/>
        <w:topLinePunct w:val="0"/>
        <w:autoSpaceDE/>
        <w:autoSpaceDN/>
        <w:bidi w:val="0"/>
        <w:spacing w:line="44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3.1评标准备工作</w:t>
      </w:r>
      <w:bookmarkEnd w:id="812"/>
      <w:bookmarkEnd w:id="813"/>
      <w:bookmarkEnd w:id="814"/>
      <w:bookmarkEnd w:id="815"/>
      <w:bookmarkEnd w:id="816"/>
    </w:p>
    <w:p w14:paraId="12DD11ED">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评标委员会熟悉评标工作情况：</w:t>
      </w:r>
    </w:p>
    <w:p w14:paraId="61A7679E">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（1）阅读由招标人或者其委托的工程代理机构编制的招标项目情况材料。</w:t>
      </w:r>
    </w:p>
    <w:p w14:paraId="33273880">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（2）阅读、研究招标文件和相关评标资料，获取评标所需要的重要信息和数据，至少应了解和熟悉以下内容：招标项目的范围和性质，招标文件规定的主要技术要求、标准和商务条款。</w:t>
      </w:r>
    </w:p>
    <w:p w14:paraId="3514C364">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（3）熟悉招标文件规定的评标标准和评标方法及在评标过程中需要考虑的相关因素。</w:t>
      </w:r>
    </w:p>
    <w:p w14:paraId="0377C0C5">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（4）核对评标工作用表。</w:t>
      </w:r>
    </w:p>
    <w:p w14:paraId="11CF5DD7">
      <w:pPr>
        <w:pStyle w:val="7"/>
        <w:pageBreakBefore w:val="0"/>
        <w:kinsoku/>
        <w:overflowPunct/>
        <w:topLinePunct w:val="0"/>
        <w:autoSpaceDE/>
        <w:autoSpaceDN/>
        <w:bidi w:val="0"/>
        <w:adjustRightInd w:val="0"/>
        <w:snapToGrid w:val="0"/>
        <w:spacing w:before="0" w:after="0" w:line="440" w:lineRule="exact"/>
        <w:ind w:firstLine="422" w:firstLineChars="200"/>
        <w:textAlignment w:val="auto"/>
        <w:rPr>
          <w:rFonts w:hint="eastAsia" w:ascii="黑体" w:hAnsi="黑体" w:cs="黑体"/>
          <w:color w:val="000000"/>
          <w:sz w:val="21"/>
          <w:szCs w:val="21"/>
        </w:rPr>
      </w:pPr>
      <w:bookmarkStart w:id="817" w:name="_Toc95223433"/>
      <w:bookmarkStart w:id="818" w:name="_Toc78803389"/>
      <w:bookmarkStart w:id="819" w:name="_Toc35424954"/>
      <w:bookmarkStart w:id="820" w:name="_Toc506107327"/>
      <w:bookmarkStart w:id="821" w:name="_Toc15058919"/>
      <w:bookmarkStart w:id="822" w:name="_Toc324404875"/>
      <w:bookmarkStart w:id="823" w:name="_Toc12200"/>
      <w:bookmarkStart w:id="824" w:name="_Toc35425120"/>
      <w:r>
        <w:rPr>
          <w:rFonts w:hint="eastAsia" w:ascii="黑体" w:hAnsi="黑体" w:cs="黑体"/>
          <w:color w:val="000000"/>
          <w:sz w:val="21"/>
          <w:szCs w:val="21"/>
        </w:rPr>
        <w:t>3.2技术标评审</w:t>
      </w:r>
      <w:bookmarkEnd w:id="817"/>
    </w:p>
    <w:p w14:paraId="0D2D6BD1">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详见技术标评审表。</w:t>
      </w:r>
    </w:p>
    <w:p w14:paraId="2DE8CA6E">
      <w:pPr>
        <w:pStyle w:val="7"/>
        <w:pageBreakBefore w:val="0"/>
        <w:kinsoku/>
        <w:overflowPunct/>
        <w:topLinePunct w:val="0"/>
        <w:autoSpaceDE/>
        <w:autoSpaceDN/>
        <w:bidi w:val="0"/>
        <w:adjustRightInd w:val="0"/>
        <w:snapToGrid w:val="0"/>
        <w:spacing w:before="0" w:after="0" w:line="440" w:lineRule="exact"/>
        <w:ind w:firstLine="422" w:firstLineChars="200"/>
        <w:textAlignment w:val="auto"/>
        <w:rPr>
          <w:rFonts w:hint="eastAsia" w:ascii="黑体" w:hAnsi="黑体" w:cs="黑体"/>
          <w:color w:val="000000"/>
          <w:sz w:val="21"/>
          <w:szCs w:val="21"/>
        </w:rPr>
      </w:pPr>
      <w:bookmarkStart w:id="825" w:name="_Toc95223434"/>
      <w:r>
        <w:rPr>
          <w:rFonts w:hint="eastAsia" w:ascii="黑体" w:hAnsi="黑体" w:cs="黑体"/>
          <w:color w:val="000000"/>
          <w:sz w:val="21"/>
          <w:szCs w:val="21"/>
        </w:rPr>
        <w:t>3.3商务标评审</w:t>
      </w:r>
      <w:bookmarkEnd w:id="825"/>
    </w:p>
    <w:p w14:paraId="53463FF0">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详见商务标评审表。</w:t>
      </w:r>
    </w:p>
    <w:p w14:paraId="617E89B0">
      <w:pPr>
        <w:pStyle w:val="7"/>
        <w:pageBreakBefore w:val="0"/>
        <w:kinsoku/>
        <w:overflowPunct/>
        <w:topLinePunct w:val="0"/>
        <w:autoSpaceDE/>
        <w:autoSpaceDN/>
        <w:bidi w:val="0"/>
        <w:adjustRightInd w:val="0"/>
        <w:snapToGrid w:val="0"/>
        <w:spacing w:before="0" w:after="0" w:line="440" w:lineRule="exact"/>
        <w:ind w:firstLine="422" w:firstLineChars="200"/>
        <w:textAlignment w:val="auto"/>
        <w:rPr>
          <w:rFonts w:hint="eastAsia" w:ascii="黑体" w:hAnsi="黑体" w:cs="黑体"/>
          <w:color w:val="000000"/>
          <w:sz w:val="21"/>
          <w:szCs w:val="21"/>
        </w:rPr>
      </w:pPr>
      <w:r>
        <w:rPr>
          <w:rFonts w:hint="eastAsia" w:ascii="黑体" w:hAnsi="黑体" w:cs="黑体"/>
          <w:color w:val="000000"/>
          <w:sz w:val="21"/>
          <w:szCs w:val="21"/>
        </w:rPr>
        <w:t>3.4推荐中标候选人</w:t>
      </w:r>
    </w:p>
    <w:p w14:paraId="18371287">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资信评审、技术标评审、商务标评审后，推荐中标候选人，并标明排序。</w:t>
      </w:r>
    </w:p>
    <w:p w14:paraId="3113A55A">
      <w:pPr>
        <w:pStyle w:val="7"/>
        <w:pageBreakBefore w:val="0"/>
        <w:kinsoku/>
        <w:overflowPunct/>
        <w:topLinePunct w:val="0"/>
        <w:autoSpaceDE/>
        <w:autoSpaceDN/>
        <w:bidi w:val="0"/>
        <w:spacing w:beforeLines="50" w:afterLines="50" w:line="44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4.评审内容</w:t>
      </w:r>
      <w:bookmarkEnd w:id="818"/>
      <w:bookmarkEnd w:id="819"/>
      <w:bookmarkEnd w:id="820"/>
      <w:bookmarkEnd w:id="821"/>
      <w:bookmarkEnd w:id="822"/>
      <w:bookmarkEnd w:id="823"/>
      <w:bookmarkEnd w:id="824"/>
    </w:p>
    <w:p w14:paraId="3980C2DF">
      <w:pPr>
        <w:pStyle w:val="7"/>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highlight w:val="none"/>
        </w:rPr>
      </w:pPr>
      <w:bookmarkStart w:id="826" w:name="_Toc95223436"/>
      <w:bookmarkStart w:id="827" w:name="_Toc78803390"/>
      <w:bookmarkStart w:id="828" w:name="_Toc9630"/>
      <w:r>
        <w:rPr>
          <w:rFonts w:hint="eastAsia" w:ascii="宋体" w:hAnsi="宋体" w:eastAsia="宋体" w:cs="宋体"/>
          <w:highlight w:val="none"/>
        </w:rPr>
        <w:t>4.1技术标评审</w:t>
      </w:r>
      <w:bookmarkEnd w:id="826"/>
    </w:p>
    <w:p w14:paraId="4D238764">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4.1.1形式性评审标准：见技术标评审表。</w:t>
      </w:r>
    </w:p>
    <w:p w14:paraId="24C8A179">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4.1.2响应性评审标准：见技术标评审表。</w:t>
      </w:r>
    </w:p>
    <w:p w14:paraId="4B6D9D4A">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评标委员会依据上述标准对投标文件进行形式性评审和响应性评审。有一项不符合评审标准的，作无效投标处理。对否定的技术标，评标委员会要提出充足的否定理由，并填写在技术标评标记录上。</w:t>
      </w:r>
    </w:p>
    <w:bookmarkEnd w:id="827"/>
    <w:bookmarkEnd w:id="828"/>
    <w:p w14:paraId="55926CFF">
      <w:pPr>
        <w:pStyle w:val="7"/>
        <w:pageBreakBefore w:val="0"/>
        <w:kinsoku/>
        <w:overflowPunct/>
        <w:topLinePunct w:val="0"/>
        <w:autoSpaceDE/>
        <w:autoSpaceDN/>
        <w:bidi w:val="0"/>
        <w:adjustRightInd w:val="0"/>
        <w:snapToGrid w:val="0"/>
        <w:spacing w:before="0" w:after="0" w:line="440" w:lineRule="exact"/>
        <w:ind w:firstLine="422" w:firstLineChars="200"/>
        <w:textAlignment w:val="auto"/>
        <w:rPr>
          <w:rFonts w:hint="eastAsia" w:ascii="黑体" w:hAnsi="黑体" w:cs="黑体"/>
          <w:color w:val="000000"/>
          <w:sz w:val="21"/>
          <w:szCs w:val="21"/>
        </w:rPr>
      </w:pPr>
      <w:bookmarkStart w:id="829" w:name="_Toc95223437"/>
      <w:bookmarkStart w:id="830" w:name="_Toc13125"/>
      <w:bookmarkStart w:id="831" w:name="_Toc324404876"/>
      <w:bookmarkStart w:id="832" w:name="_Toc35424957"/>
      <w:bookmarkStart w:id="833" w:name="_Toc15058922"/>
      <w:bookmarkStart w:id="834" w:name="_Toc506107328"/>
      <w:bookmarkStart w:id="835" w:name="_Toc78803392"/>
      <w:bookmarkStart w:id="836" w:name="_Toc35425123"/>
      <w:r>
        <w:rPr>
          <w:rFonts w:hint="eastAsia" w:ascii="黑体" w:hAnsi="黑体" w:cs="黑体"/>
          <w:color w:val="000000"/>
          <w:sz w:val="21"/>
          <w:szCs w:val="21"/>
        </w:rPr>
        <w:t>4.2商务标评审</w:t>
      </w:r>
      <w:bookmarkEnd w:id="829"/>
    </w:p>
    <w:p w14:paraId="05C9FD15">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只有通过技术标评审的投标才能够进入本阶段评审。</w:t>
      </w:r>
    </w:p>
    <w:p w14:paraId="640ECBF6">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4.2.1形式性评审标准：见商务标评审表。</w:t>
      </w:r>
    </w:p>
    <w:p w14:paraId="4F79532E">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4.2.2响应性评审标准：见商务标评审表。</w:t>
      </w:r>
    </w:p>
    <w:p w14:paraId="2AEC4164">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评标委员会依据上述标准对投标文件进行初步评审。有一项不符合评审标准的，作无效投标处理。</w:t>
      </w:r>
    </w:p>
    <w:p w14:paraId="3D50DD69">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4.2.3详细评审标准：见商务标评审表。</w:t>
      </w:r>
    </w:p>
    <w:p w14:paraId="7DFCA053">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1FF06586">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（1）投标文件中的大写金额与小写金额不一致的，以大写金额为准。</w:t>
      </w:r>
    </w:p>
    <w:p w14:paraId="5C529CE2">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（2）总价金额与依据单价计算出的结果不一致的，以单价金额为准修正总价，但单价金额小数点有明显错误的除外。</w:t>
      </w:r>
    </w:p>
    <w:p w14:paraId="7371A27A">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（3）工程量清单报价表中综合单价与工程量清单项目价格分析表相对应综合单价不一致时，以工程量清单项目价格分析表中标出的综合单价为准。</w:t>
      </w:r>
    </w:p>
    <w:p w14:paraId="255794AA">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0D8AA3CD">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5.无效投标条款</w:t>
      </w:r>
      <w:bookmarkEnd w:id="830"/>
      <w:bookmarkEnd w:id="831"/>
      <w:bookmarkEnd w:id="832"/>
      <w:bookmarkEnd w:id="833"/>
      <w:bookmarkEnd w:id="834"/>
      <w:bookmarkEnd w:id="835"/>
      <w:bookmarkEnd w:id="836"/>
    </w:p>
    <w:p w14:paraId="3E3E65E8">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bookmarkStart w:id="837" w:name="_Toc78803393"/>
      <w:bookmarkStart w:id="838" w:name="_Toc35425124"/>
      <w:bookmarkStart w:id="839" w:name="_Toc324404877"/>
      <w:bookmarkStart w:id="840" w:name="_Toc27846"/>
      <w:bookmarkStart w:id="841" w:name="_Toc35424958"/>
      <w:bookmarkStart w:id="842" w:name="_Toc15058923"/>
      <w:bookmarkStart w:id="843" w:name="_Toc506107329"/>
      <w:r>
        <w:rPr>
          <w:rFonts w:hint="eastAsia" w:ascii="宋体" w:hAnsi="宋体" w:eastAsia="宋体" w:cs="宋体"/>
          <w:highlight w:val="none"/>
        </w:rPr>
        <w:t>5.1投标人存在下列情形的招标人将拒收投标文件：</w:t>
      </w:r>
    </w:p>
    <w:p w14:paraId="7C3A9FFB">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lang w:eastAsia="zh-CN"/>
        </w:rPr>
      </w:pPr>
      <w:bookmarkStart w:id="844" w:name="_Toc60061505"/>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）未在投标截止时</w:t>
      </w:r>
      <w:bookmarkEnd w:id="844"/>
      <w:r>
        <w:rPr>
          <w:rFonts w:hint="eastAsia" w:ascii="宋体" w:hAnsi="宋体" w:eastAsia="宋体" w:cs="宋体"/>
          <w:highlight w:val="none"/>
        </w:rPr>
        <w:t>间前通过网上招标投标系统递交有效电子投标文件的，开标系统不予接收，投标将被拒绝</w:t>
      </w:r>
      <w:r>
        <w:rPr>
          <w:rFonts w:hint="eastAsia" w:ascii="宋体" w:hAnsi="宋体" w:eastAsia="宋体" w:cs="宋体"/>
          <w:highlight w:val="none"/>
          <w:lang w:eastAsia="zh-CN"/>
        </w:rPr>
        <w:t>。</w:t>
      </w:r>
    </w:p>
    <w:p w14:paraId="0794123B">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所有投标人应在规定时间里完成投标文件的解密工作【投标企业接到远程解密指令后，须在规定时间内解密（以网上开评标系统解密倒计时为准）。因投标人自身原因导致投标文件在规定时间内未能解密、解密失败或解密超时，投标文件无效</w:t>
      </w:r>
      <w:r>
        <w:rPr>
          <w:rFonts w:hint="eastAsia" w:ascii="宋体" w:hAnsi="宋体" w:eastAsia="宋体" w:cs="宋体"/>
          <w:highlight w:val="none"/>
          <w:lang w:eastAsia="zh-CN"/>
        </w:rPr>
        <w:t>。</w:t>
      </w:r>
      <w:r>
        <w:rPr>
          <w:rFonts w:hint="eastAsia" w:ascii="宋体" w:hAnsi="宋体" w:eastAsia="宋体" w:cs="宋体"/>
          <w:highlight w:val="none"/>
        </w:rPr>
        <w:t>】。</w:t>
      </w:r>
    </w:p>
    <w:p w14:paraId="66C9671D">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5.2投标人有下列情形的，经评审后其投标作无效投标处理：</w:t>
      </w:r>
    </w:p>
    <w:p w14:paraId="34DC5366">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5.2.1技术标评审</w:t>
      </w:r>
    </w:p>
    <w:p w14:paraId="039E0426">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评标委员会依据《技术标评审表》进行形式性评审和响应性评审。有一项不符合评审标准的，做无效投标处理；对否定的技术标，评标委员会要提出充足的否定理由，并填写在技术标评标记录上。</w:t>
      </w:r>
    </w:p>
    <w:p w14:paraId="7B09A123">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5.2.2商务标评审</w:t>
      </w:r>
    </w:p>
    <w:p w14:paraId="169EECD8">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(1)评标委员会依据《商务标评审表》进行形式性评审和响应性评审。有一项不符合评审标准的，做无效投标处理；</w:t>
      </w:r>
    </w:p>
    <w:p w14:paraId="520DB812">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（2）商务标详细评审标准中有任何一项不能通过评审的，作无效投标处理。</w:t>
      </w:r>
    </w:p>
    <w:p w14:paraId="11B68C2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5.3其他无效投标情况：</w:t>
      </w:r>
    </w:p>
    <w:p w14:paraId="5D501451">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214A4A8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（2）按第四章“评标方法”第4.2.4项修正错误的原则及方法调整或修正投标文件的投标报价，调整或修正的价格经投标人书面确认后具有约束力。投标人不接受修正价格的，其投标将被拒绝。</w:t>
      </w:r>
    </w:p>
    <w:p w14:paraId="7C1D2B26">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（3）第二章“投标人须知”第1.4.3项规定的任何一种情形的。</w:t>
      </w:r>
    </w:p>
    <w:p w14:paraId="48DD6505">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（4）投标人有串通投标、视为串通投标、弄虚作假、行贿等违法行为。</w:t>
      </w:r>
    </w:p>
    <w:p w14:paraId="7AE90BB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（5）投标文件没有对招标文件的实质性要求和条件作出响应。</w:t>
      </w:r>
    </w:p>
    <w:p w14:paraId="08A9016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（6）未按规定的格式填写导致实质性内容不全以及实质上不响应，或者关键字迹模糊、无法辨认。</w:t>
      </w:r>
    </w:p>
    <w:p w14:paraId="00808C1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（7）同一投标人提交两个以上不同的投标文件或者投标报价，但招标文件规定提交备选投标的除外。</w:t>
      </w:r>
    </w:p>
    <w:p w14:paraId="2533827A">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（8）投标文件中存在招标人不能接受的其他实质性条件。</w:t>
      </w:r>
    </w:p>
    <w:p w14:paraId="524D53D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（9）投标文件中填报的拟任项目经理（建造师）与资格审查通过的项目经理（建造师）前后不一致的。</w:t>
      </w:r>
    </w:p>
    <w:p w14:paraId="3D744B31">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（10）投标人拒不按照要求对投标文件进行澄清、说明、补正的，或评标委员会根据招标文件的规定对招标文件的计算错误进行修正后，投标人不接受修正的投标报价的。</w:t>
      </w:r>
    </w:p>
    <w:p w14:paraId="512E080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1</w:t>
      </w:r>
      <w:r>
        <w:rPr>
          <w:rFonts w:hint="eastAsia" w:ascii="宋体" w:hAnsi="宋体" w:eastAsia="宋体" w:cs="宋体"/>
          <w:highlight w:val="none"/>
        </w:rPr>
        <w:t>）投标人单方面出现其他投标人材料。</w:t>
      </w:r>
    </w:p>
    <w:p w14:paraId="47D8332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2</w:t>
      </w:r>
      <w:r>
        <w:rPr>
          <w:rFonts w:hint="eastAsia" w:ascii="宋体" w:hAnsi="宋体" w:eastAsia="宋体" w:cs="宋体"/>
          <w:highlight w:val="none"/>
        </w:rPr>
        <w:t>）投标人联系人或联系电话相同的。</w:t>
      </w:r>
    </w:p>
    <w:p w14:paraId="14639CA5">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13</w:t>
      </w:r>
      <w:r>
        <w:rPr>
          <w:rFonts w:hint="eastAsia" w:ascii="宋体" w:hAnsi="宋体" w:eastAsia="宋体" w:cs="宋体"/>
          <w:highlight w:val="none"/>
        </w:rPr>
        <w:t>）法律、法规规定的其他情形。</w:t>
      </w:r>
    </w:p>
    <w:p w14:paraId="5A018EF6">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45" w:name="_Toc95223409"/>
      <w:r>
        <w:rPr>
          <w:rFonts w:hint="eastAsia" w:ascii="宋体" w:hAnsi="宋体" w:eastAsia="宋体" w:cs="宋体"/>
          <w:highlight w:val="none"/>
        </w:rPr>
        <w:t>6.投标文件的澄清和补正</w:t>
      </w:r>
      <w:bookmarkEnd w:id="845"/>
    </w:p>
    <w:p w14:paraId="4C9D7324">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6.1在评标过程中，评标委员会可以书面形式要求投标</w:t>
      </w:r>
      <w:bookmarkStart w:id="846" w:name="_Toc60061506"/>
      <w:r>
        <w:rPr>
          <w:rFonts w:hint="eastAsia" w:ascii="宋体" w:hAnsi="宋体" w:eastAsia="宋体" w:cs="宋体"/>
          <w:highlight w:val="none"/>
        </w:rPr>
        <w:t>人对所提交的投标文件中含</w:t>
      </w:r>
      <w:bookmarkEnd w:id="846"/>
      <w:r>
        <w:rPr>
          <w:rFonts w:hint="eastAsia" w:ascii="宋体" w:hAnsi="宋体" w:eastAsia="宋体" w:cs="宋体"/>
          <w:highlight w:val="none"/>
        </w:rPr>
        <w:t>义不明确、对同类问题表述不一致或者有明显文字和计算错误的内容进行书面澄清或说明，或者对细微偏差进行补正。评标委员会不接受投标人主动提出的澄清、说明或补正。</w:t>
      </w:r>
    </w:p>
    <w:p w14:paraId="4AF5F2B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6.2澄清、说明和补正不得改变投标文件的实质性内容（算术性错误修正的除外）。投标人的书面澄清、说明和补正属于投标文件的组成部分。</w:t>
      </w:r>
    </w:p>
    <w:p w14:paraId="5067B074">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6.3评标委员会对投标人提交的澄清、说明和补正有疑问的，可以要求投标人进一步澄清、说明或补正、直至满足评标委员会的要求。</w:t>
      </w:r>
    </w:p>
    <w:p w14:paraId="42BDF8A3">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按照投标文件规定进行澄清、补正后的投标报价经投标人的法定代表人或其委托代理人确认后即为该投标人的最终投标报价。投标人一旦中标，此报价即为中标价。</w:t>
      </w:r>
    </w:p>
    <w:bookmarkEnd w:id="797"/>
    <w:bookmarkEnd w:id="798"/>
    <w:bookmarkEnd w:id="799"/>
    <w:bookmarkEnd w:id="800"/>
    <w:bookmarkEnd w:id="801"/>
    <w:bookmarkEnd w:id="802"/>
    <w:bookmarkEnd w:id="803"/>
    <w:bookmarkEnd w:id="804"/>
    <w:bookmarkEnd w:id="837"/>
    <w:bookmarkEnd w:id="838"/>
    <w:bookmarkEnd w:id="839"/>
    <w:bookmarkEnd w:id="840"/>
    <w:bookmarkEnd w:id="841"/>
    <w:bookmarkEnd w:id="842"/>
    <w:bookmarkEnd w:id="843"/>
    <w:p w14:paraId="7BC20C8A">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47" w:name="_Toc95223410"/>
      <w:bookmarkStart w:id="848" w:name="_Toc506107333"/>
      <w:bookmarkStart w:id="849" w:name="_Toc15058927"/>
      <w:bookmarkStart w:id="850" w:name="_Toc35424962"/>
      <w:bookmarkStart w:id="851" w:name="_Toc35425128"/>
      <w:bookmarkStart w:id="852" w:name="_Toc179632785"/>
      <w:bookmarkStart w:id="853" w:name="_Toc152042546"/>
      <w:bookmarkStart w:id="854" w:name="_Toc144974826"/>
      <w:bookmarkStart w:id="855" w:name="_Toc152045767"/>
      <w:r>
        <w:rPr>
          <w:rFonts w:hint="eastAsia" w:ascii="宋体" w:hAnsi="宋体" w:eastAsia="宋体" w:cs="宋体"/>
          <w:highlight w:val="none"/>
        </w:rPr>
        <w:t>7.评分标准</w:t>
      </w:r>
      <w:bookmarkEnd w:id="847"/>
    </w:p>
    <w:p w14:paraId="7967A07C">
      <w:pPr>
        <w:shd w:val="clear"/>
        <w:adjustRightInd w:val="0"/>
        <w:snapToGrid w:val="0"/>
        <w:spacing w:line="560" w:lineRule="exact"/>
        <w:ind w:firstLine="420" w:firstLineChars="200"/>
        <w:rPr>
          <w:rFonts w:hint="eastAsia" w:ascii="宋体" w:hAnsi="宋体" w:cs="宋体"/>
          <w:color w:val="auto"/>
          <w:szCs w:val="21"/>
          <w:highlight w:val="none"/>
        </w:rPr>
      </w:pPr>
      <w:bookmarkStart w:id="856" w:name="_Toc95223411"/>
      <w:r>
        <w:rPr>
          <w:rFonts w:hint="eastAsia" w:ascii="宋体" w:hAnsi="宋体" w:cs="宋体"/>
          <w:color w:val="auto"/>
          <w:szCs w:val="21"/>
          <w:highlight w:val="none"/>
        </w:rPr>
        <w:t>7.1评分标准：见资信、技术及商务评分表。</w:t>
      </w:r>
    </w:p>
    <w:p w14:paraId="1ED9F886">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8.评审结果</w:t>
      </w:r>
      <w:bookmarkEnd w:id="856"/>
    </w:p>
    <w:p w14:paraId="57B55835">
      <w:pPr>
        <w:shd w:val="clear"/>
        <w:adjustRightInd w:val="0"/>
        <w:snapToGrid w:val="0"/>
        <w:spacing w:line="5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8.1除第二章“投标人须知”及其前附表授权直接确定中标人外，评标委员会按照总得分由高到低顺序推荐中标候选人</w:t>
      </w:r>
      <w:r>
        <w:rPr>
          <w:rFonts w:hint="eastAsia" w:ascii="宋体" w:hAnsi="宋体" w:eastAsia="宋体" w:cs="宋体"/>
          <w:color w:val="auto"/>
          <w:szCs w:val="21"/>
          <w:highlight w:val="none"/>
          <w:lang w:eastAsia="zh-CN"/>
        </w:rPr>
        <w:t>。</w:t>
      </w:r>
    </w:p>
    <w:p w14:paraId="0586443D">
      <w:pPr>
        <w:shd w:val="clear"/>
        <w:adjustRightInd w:val="0"/>
        <w:snapToGrid w:val="0"/>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8.2评标委员会完成评标后，应当向招标人提交书面评标报告。评标报告应当如实记载以下内容：</w:t>
      </w:r>
    </w:p>
    <w:p w14:paraId="60C496F3">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（1）基本情况和数据表。</w:t>
      </w:r>
    </w:p>
    <w:p w14:paraId="2FF3825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（2）评标委员会成员名单。</w:t>
      </w:r>
    </w:p>
    <w:p w14:paraId="3E8F5A8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（3）开标记录。</w:t>
      </w:r>
    </w:p>
    <w:p w14:paraId="77CE3783">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（4）符合要求的投标人一览表。</w:t>
      </w:r>
    </w:p>
    <w:p w14:paraId="1A0FCCDD">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（5）否决投标情况说明。</w:t>
      </w:r>
    </w:p>
    <w:p w14:paraId="18FE4A2D">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（6）评标标准、评标方法或者评标因素。</w:t>
      </w:r>
    </w:p>
    <w:p w14:paraId="4F8B3E86">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（7）经评审的价格比较一览表。</w:t>
      </w:r>
    </w:p>
    <w:p w14:paraId="4B89E24A">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（8）经评审的投标人排序。</w:t>
      </w:r>
    </w:p>
    <w:p w14:paraId="3C2A0C7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（9）推荐的中标候选人名单与签订合同前要处理的事宜。</w:t>
      </w:r>
    </w:p>
    <w:p w14:paraId="03A977F1">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（10）澄清、说明、补正事项纪要。</w:t>
      </w:r>
    </w:p>
    <w:p w14:paraId="7CC0D938">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bookmarkStart w:id="857" w:name="_Toc95223412"/>
      <w:r>
        <w:rPr>
          <w:rFonts w:hint="eastAsia" w:ascii="宋体" w:hAnsi="宋体" w:eastAsia="宋体" w:cs="宋体"/>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5095E2F">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22FE37EA">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9.其他</w:t>
      </w:r>
      <w:bookmarkEnd w:id="857"/>
    </w:p>
    <w:p w14:paraId="754314B4">
      <w:pPr>
        <w:pageBreakBefore w:val="0"/>
        <w:kinsoku/>
        <w:overflowPunct/>
        <w:topLinePunct w:val="0"/>
        <w:autoSpaceDE/>
        <w:autoSpaceDN/>
        <w:bidi w:val="0"/>
        <w:adjustRightInd w:val="0"/>
        <w:snapToGrid w:val="0"/>
        <w:spacing w:line="440" w:lineRule="exact"/>
        <w:ind w:firstLine="420" w:firstLineChars="200"/>
        <w:textAlignment w:val="auto"/>
        <w:rPr>
          <w:color w:val="000000"/>
        </w:rPr>
        <w:sectPr>
          <w:footerReference r:id="rId6" w:type="default"/>
          <w:footnotePr>
            <w:numFmt w:val="decimalEnclosedCircleChinese"/>
            <w:numRestart w:val="eachPage"/>
          </w:footnotePr>
          <w:pgSz w:w="11907" w:h="16840"/>
          <w:pgMar w:top="1474" w:right="1474" w:bottom="1474" w:left="1474" w:header="799" w:footer="907" w:gutter="0"/>
          <w:pgNumType w:start="1"/>
          <w:cols w:space="720" w:num="1"/>
          <w:docGrid w:linePitch="271" w:charSpace="0"/>
        </w:sectPr>
      </w:pPr>
      <w:r>
        <w:rPr>
          <w:rFonts w:hint="eastAsia" w:ascii="宋体" w:hAnsi="宋体" w:cs="宋体"/>
          <w:color w:val="000000"/>
          <w:szCs w:val="21"/>
        </w:rPr>
        <w:t>投标人提供的与投标文件有关的各类证书、证明、文件、资料等的真实性、合法性由投标人负全责。</w:t>
      </w:r>
    </w:p>
    <w:p w14:paraId="65923B12">
      <w:pPr>
        <w:rPr>
          <w:rFonts w:hint="eastAsia"/>
        </w:rPr>
      </w:pPr>
      <w:bookmarkStart w:id="858" w:name="_Toc78803397"/>
    </w:p>
    <w:bookmarkEnd w:id="848"/>
    <w:bookmarkEnd w:id="849"/>
    <w:bookmarkEnd w:id="850"/>
    <w:bookmarkEnd w:id="851"/>
    <w:bookmarkEnd w:id="858"/>
    <w:p w14:paraId="226BC7FC">
      <w:pPr>
        <w:pStyle w:val="6"/>
        <w:spacing w:beforeLines="50" w:afterLines="50"/>
        <w:rPr>
          <w:rFonts w:hint="eastAsia" w:ascii="Arial" w:hAnsi="Arial" w:eastAsia="宋体" w:cs="Times New Roman"/>
          <w:kern w:val="0"/>
          <w:sz w:val="32"/>
          <w:szCs w:val="32"/>
          <w:highlight w:val="none"/>
          <w:lang w:val="en-US" w:eastAsia="zh-CN"/>
        </w:rPr>
      </w:pPr>
      <w:bookmarkStart w:id="859" w:name="_Toc16721"/>
      <w:r>
        <w:rPr>
          <w:rFonts w:hint="eastAsia" w:ascii="Arial" w:hAnsi="Arial" w:eastAsia="宋体" w:cs="Times New Roman"/>
          <w:kern w:val="0"/>
          <w:sz w:val="32"/>
          <w:szCs w:val="32"/>
          <w:highlight w:val="none"/>
          <w:lang w:val="en-US" w:eastAsia="zh-CN"/>
        </w:rPr>
        <w:t>第五章  合同条款及格式</w:t>
      </w:r>
      <w:bookmarkEnd w:id="859"/>
    </w:p>
    <w:p w14:paraId="4CE3F04B">
      <w:pPr>
        <w:spacing w:line="360" w:lineRule="auto"/>
        <w:jc w:val="center"/>
        <w:rPr>
          <w:rFonts w:ascii="仿宋_GB2312" w:eastAsia="仿宋_GB2312"/>
          <w:b/>
          <w:sz w:val="28"/>
          <w:szCs w:val="28"/>
        </w:rPr>
      </w:pPr>
    </w:p>
    <w:p w14:paraId="5957ECD4">
      <w:pPr>
        <w:jc w:val="center"/>
        <w:rPr>
          <w:rFonts w:hint="eastAsia" w:ascii="宋体" w:hAnsi="宋体" w:cs="宋体"/>
          <w:bCs/>
          <w:color w:val="auto"/>
          <w:sz w:val="32"/>
          <w:szCs w:val="32"/>
          <w:highlight w:val="none"/>
          <w:u w:val="single"/>
        </w:rPr>
      </w:pPr>
      <w:r>
        <w:rPr>
          <w:rFonts w:hint="eastAsia" w:ascii="宋体" w:hAnsi="宋体" w:cs="宋体"/>
          <w:bCs/>
          <w:color w:val="auto"/>
          <w:sz w:val="32"/>
          <w:szCs w:val="32"/>
          <w:highlight w:val="none"/>
        </w:rPr>
        <w:t>合同编号：</w:t>
      </w:r>
      <w:r>
        <w:rPr>
          <w:rFonts w:hint="eastAsia" w:ascii="宋体" w:hAnsi="宋体" w:cs="宋体"/>
          <w:bCs/>
          <w:color w:val="auto"/>
          <w:sz w:val="32"/>
          <w:szCs w:val="32"/>
          <w:highlight w:val="none"/>
          <w:u w:val="single"/>
        </w:rPr>
        <w:t>（HT-YL- ）</w:t>
      </w:r>
    </w:p>
    <w:p w14:paraId="00921190">
      <w:pPr>
        <w:ind w:firstLine="1771" w:firstLineChars="245"/>
        <w:rPr>
          <w:rFonts w:hint="eastAsia" w:ascii="宋体" w:hAnsi="宋体" w:cs="宋体"/>
          <w:b/>
          <w:sz w:val="72"/>
          <w:szCs w:val="52"/>
          <w:highlight w:val="none"/>
        </w:rPr>
      </w:pPr>
    </w:p>
    <w:p w14:paraId="01221F91">
      <w:pPr>
        <w:jc w:val="center"/>
        <w:rPr>
          <w:rFonts w:hint="eastAsia" w:ascii="宋体" w:hAnsi="宋体" w:cs="宋体"/>
          <w:b/>
          <w:sz w:val="52"/>
          <w:szCs w:val="52"/>
          <w:highlight w:val="none"/>
        </w:rPr>
      </w:pPr>
      <w:r>
        <w:rPr>
          <w:rFonts w:hint="eastAsia" w:ascii="宋体" w:hAnsi="宋体" w:cs="宋体"/>
          <w:b/>
          <w:sz w:val="56"/>
          <w:szCs w:val="44"/>
          <w:highlight w:val="none"/>
          <w:lang w:eastAsia="zh-CN"/>
        </w:rPr>
        <w:t>滁州市第三污水处理厂分布式光伏工程施工项目</w:t>
      </w:r>
      <w:r>
        <w:rPr>
          <w:rFonts w:hint="eastAsia" w:ascii="宋体" w:hAnsi="宋体" w:cs="宋体"/>
          <w:b/>
          <w:sz w:val="56"/>
          <w:szCs w:val="44"/>
          <w:highlight w:val="none"/>
        </w:rPr>
        <w:t>施工合同</w:t>
      </w:r>
      <w:r>
        <w:rPr>
          <w:rFonts w:hint="eastAsia" w:ascii="宋体" w:hAnsi="宋体" w:cs="宋体"/>
          <w:b/>
          <w:sz w:val="52"/>
          <w:szCs w:val="52"/>
          <w:highlight w:val="none"/>
        </w:rPr>
        <w:br w:type="textWrapping"/>
      </w:r>
    </w:p>
    <w:p w14:paraId="48820318">
      <w:pPr>
        <w:jc w:val="center"/>
        <w:rPr>
          <w:rFonts w:hint="eastAsia" w:ascii="宋体" w:hAnsi="宋体" w:cs="宋体"/>
          <w:b/>
          <w:sz w:val="52"/>
          <w:szCs w:val="52"/>
          <w:highlight w:val="none"/>
        </w:rPr>
      </w:pPr>
    </w:p>
    <w:p w14:paraId="2F116064">
      <w:pPr>
        <w:jc w:val="center"/>
        <w:rPr>
          <w:rFonts w:hint="eastAsia" w:ascii="宋体" w:hAnsi="宋体" w:cs="宋体"/>
          <w:b/>
          <w:sz w:val="72"/>
          <w:szCs w:val="72"/>
          <w:highlight w:val="none"/>
        </w:rPr>
      </w:pPr>
    </w:p>
    <w:p w14:paraId="57BFE166">
      <w:pPr>
        <w:jc w:val="center"/>
        <w:rPr>
          <w:rFonts w:hint="eastAsia" w:ascii="宋体" w:hAnsi="宋体" w:cs="宋体"/>
          <w:b/>
          <w:sz w:val="72"/>
          <w:szCs w:val="72"/>
          <w:highlight w:val="none"/>
        </w:rPr>
      </w:pPr>
    </w:p>
    <w:p w14:paraId="4ACEE727">
      <w:pPr>
        <w:jc w:val="center"/>
        <w:rPr>
          <w:rFonts w:hint="eastAsia" w:ascii="宋体" w:hAnsi="宋体" w:cs="宋体"/>
          <w:b/>
          <w:sz w:val="52"/>
          <w:szCs w:val="52"/>
          <w:highlight w:val="none"/>
        </w:rPr>
      </w:pPr>
    </w:p>
    <w:p w14:paraId="24241A9D">
      <w:pPr>
        <w:rPr>
          <w:rFonts w:hint="eastAsia" w:ascii="宋体" w:hAnsi="宋体" w:cs="宋体"/>
          <w:b/>
          <w:sz w:val="28"/>
          <w:szCs w:val="28"/>
          <w:highlight w:val="none"/>
        </w:rPr>
      </w:pPr>
    </w:p>
    <w:p w14:paraId="7E8F0CD5">
      <w:pPr>
        <w:pStyle w:val="2"/>
        <w:rPr>
          <w:rFonts w:hint="eastAsia" w:ascii="宋体" w:hAnsi="宋体" w:cs="宋体"/>
          <w:b/>
          <w:sz w:val="28"/>
          <w:szCs w:val="28"/>
          <w:highlight w:val="none"/>
        </w:rPr>
      </w:pPr>
    </w:p>
    <w:p w14:paraId="07304872">
      <w:pPr>
        <w:rPr>
          <w:rFonts w:hint="eastAsia" w:ascii="宋体" w:hAnsi="宋体" w:cs="宋体"/>
          <w:b/>
          <w:sz w:val="28"/>
          <w:szCs w:val="28"/>
          <w:highlight w:val="none"/>
        </w:rPr>
      </w:pPr>
    </w:p>
    <w:p w14:paraId="632E45DF">
      <w:pPr>
        <w:pStyle w:val="2"/>
        <w:rPr>
          <w:rFonts w:hint="eastAsia" w:ascii="宋体" w:hAnsi="宋体" w:cs="宋体"/>
          <w:b/>
          <w:sz w:val="28"/>
          <w:szCs w:val="28"/>
          <w:highlight w:val="none"/>
        </w:rPr>
      </w:pPr>
    </w:p>
    <w:p w14:paraId="2591F34C">
      <w:pPr>
        <w:rPr>
          <w:rFonts w:hint="eastAsia"/>
        </w:rPr>
      </w:pPr>
    </w:p>
    <w:p w14:paraId="6BF65F7C">
      <w:pPr>
        <w:pStyle w:val="27"/>
        <w:rPr>
          <w:rFonts w:hint="eastAsia" w:ascii="宋体" w:hAnsi="宋体" w:cs="宋体"/>
          <w:b/>
          <w:sz w:val="28"/>
          <w:szCs w:val="28"/>
          <w:highlight w:val="none"/>
        </w:rPr>
      </w:pPr>
    </w:p>
    <w:p w14:paraId="6A708499">
      <w:pPr>
        <w:rPr>
          <w:b/>
          <w:sz w:val="28"/>
          <w:szCs w:val="28"/>
          <w:highlight w:val="none"/>
        </w:rPr>
      </w:pPr>
    </w:p>
    <w:p w14:paraId="0EBB5AE7">
      <w:pPr>
        <w:jc w:val="center"/>
        <w:rPr>
          <w:b/>
          <w:sz w:val="28"/>
          <w:szCs w:val="28"/>
          <w:highlight w:val="none"/>
        </w:rPr>
      </w:pPr>
    </w:p>
    <w:p w14:paraId="2405A6FC">
      <w:pPr>
        <w:jc w:val="center"/>
        <w:rPr>
          <w:b/>
          <w:sz w:val="32"/>
          <w:szCs w:val="28"/>
          <w:highlight w:val="none"/>
        </w:rPr>
      </w:pPr>
      <w:r>
        <w:rPr>
          <w:szCs w:val="22"/>
          <w:highlight w:val="none"/>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30" name="文本框 30"/>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0C2B60C3">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4pt;margin-top:16.8pt;height:36pt;width:57pt;z-index:251659264;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7cypq2QAAAAoBAAAPAAAAAAAAAAEAIAAA&#10;ACIAAABkcnMvZG93bnJldi54bWxQSwECFAAUAAAACACHTuJA/8oVsQsCAAAcBAAADgAAAAAAAAAB&#10;ACAAAAAoAQAAZHJzL2Uyb0RvYy54bWxQSwUGAAAAAAYABgBZAQAApQUAAAAA&#10;">
                <v:fill on="f" focussize="0,0"/>
                <v:stroke color="#FFFFFF" joinstyle="miter"/>
                <v:imagedata o:title=""/>
                <o:lock v:ext="edit" aspectratio="f"/>
                <v:textbox>
                  <w:txbxContent>
                    <w:p w14:paraId="0C2B60C3">
                      <w:pPr>
                        <w:rPr>
                          <w:b/>
                          <w:bCs/>
                          <w:sz w:val="32"/>
                        </w:rPr>
                      </w:pPr>
                      <w:r>
                        <w:rPr>
                          <w:rFonts w:hint="eastAsia"/>
                          <w:b/>
                          <w:bCs/>
                          <w:sz w:val="32"/>
                        </w:rPr>
                        <w:t>制定</w:t>
                      </w:r>
                    </w:p>
                  </w:txbxContent>
                </v:textbox>
              </v:shape>
            </w:pict>
          </mc:Fallback>
        </mc:AlternateContent>
      </w:r>
      <w:r>
        <w:rPr>
          <w:rFonts w:hint="eastAsia"/>
          <w:b/>
          <w:sz w:val="32"/>
          <w:szCs w:val="28"/>
          <w:highlight w:val="none"/>
        </w:rPr>
        <w:t>住房和城乡建设部</w:t>
      </w:r>
    </w:p>
    <w:p w14:paraId="7F94B3DC">
      <w:pPr>
        <w:jc w:val="center"/>
        <w:rPr>
          <w:rFonts w:hint="eastAsia" w:ascii="黑体" w:eastAsia="黑体" w:cs="黑体"/>
        </w:rPr>
      </w:pPr>
      <w:r>
        <w:rPr>
          <w:rFonts w:hint="eastAsia"/>
          <w:b/>
          <w:sz w:val="32"/>
          <w:szCs w:val="28"/>
          <w:highlight w:val="none"/>
        </w:rPr>
        <w:t>国家工商行政管理总局</w:t>
      </w:r>
    </w:p>
    <w:p w14:paraId="2758F104">
      <w:pPr>
        <w:rPr>
          <w:rFonts w:hint="eastAsia" w:ascii="黑体" w:eastAsia="黑体" w:cs="黑体"/>
        </w:rPr>
      </w:pPr>
      <w:r>
        <w:rPr>
          <w:rFonts w:hint="eastAsia" w:ascii="黑体" w:eastAsia="黑体" w:cs="黑体"/>
        </w:rPr>
        <w:br w:type="page"/>
      </w:r>
    </w:p>
    <w:p w14:paraId="5CFCB6A7">
      <w:pPr>
        <w:pStyle w:val="8"/>
        <w:jc w:val="center"/>
        <w:rPr>
          <w:rFonts w:ascii="黑体" w:eastAsia="黑体" w:cs="黑体"/>
          <w:b w:val="0"/>
        </w:rPr>
      </w:pPr>
      <w:r>
        <w:rPr>
          <w:rFonts w:hint="eastAsia" w:ascii="黑体" w:eastAsia="黑体" w:cs="黑体"/>
        </w:rPr>
        <w:t>第一节 合同协议书</w:t>
      </w:r>
    </w:p>
    <w:p w14:paraId="2A6C10D9">
      <w:pPr>
        <w:spacing w:line="440" w:lineRule="exact"/>
        <w:ind w:firstLine="420" w:firstLineChars="200"/>
        <w:rPr>
          <w:rFonts w:hint="eastAsia" w:ascii="宋体" w:cs="宋体"/>
          <w:szCs w:val="21"/>
          <w:u w:val="single"/>
        </w:rPr>
      </w:pPr>
      <w:r>
        <w:rPr>
          <w:rFonts w:hint="eastAsia" w:ascii="宋体" w:cs="宋体"/>
          <w:szCs w:val="21"/>
        </w:rPr>
        <w:t>发包人（全称）：</w:t>
      </w:r>
      <w:r>
        <w:rPr>
          <w:rFonts w:hint="eastAsia" w:ascii="宋体" w:cs="宋体"/>
          <w:szCs w:val="21"/>
          <w:u w:val="single"/>
        </w:rPr>
        <w:t xml:space="preserve">    </w:t>
      </w:r>
      <w:r>
        <w:rPr>
          <w:rFonts w:hint="eastAsia" w:ascii="宋体" w:cs="宋体"/>
          <w:szCs w:val="21"/>
          <w:u w:val="single"/>
          <w:lang w:eastAsia="zh-CN"/>
        </w:rPr>
        <w:t>滁州市翼然新能源开发有限公司</w:t>
      </w:r>
      <w:r>
        <w:rPr>
          <w:rFonts w:hint="eastAsia" w:ascii="宋体" w:cs="宋体"/>
          <w:szCs w:val="21"/>
          <w:u w:val="single"/>
        </w:rPr>
        <w:t xml:space="preserve">     </w:t>
      </w:r>
    </w:p>
    <w:p w14:paraId="6B96C0CD">
      <w:pPr>
        <w:spacing w:line="440" w:lineRule="exact"/>
        <w:ind w:firstLine="420" w:firstLineChars="200"/>
        <w:rPr>
          <w:rFonts w:hint="eastAsia" w:ascii="宋体" w:cs="宋体"/>
          <w:szCs w:val="21"/>
          <w:u w:val="single"/>
        </w:rPr>
      </w:pPr>
      <w:r>
        <w:rPr>
          <w:rFonts w:hint="eastAsia" w:ascii="宋体" w:cs="宋体"/>
          <w:szCs w:val="21"/>
        </w:rPr>
        <w:t>承包人（全称）：</w:t>
      </w:r>
      <w:r>
        <w:rPr>
          <w:rFonts w:hint="eastAsia" w:ascii="宋体" w:cs="宋体"/>
          <w:szCs w:val="21"/>
          <w:u w:val="single"/>
        </w:rPr>
        <w:t xml:space="preserve">                                    </w:t>
      </w:r>
    </w:p>
    <w:p w14:paraId="3DCEDB6F">
      <w:pPr>
        <w:spacing w:line="440" w:lineRule="exact"/>
        <w:ind w:firstLine="420" w:firstLineChars="200"/>
        <w:rPr>
          <w:rFonts w:hint="eastAsia" w:ascii="宋体" w:cs="宋体"/>
          <w:szCs w:val="21"/>
        </w:rPr>
      </w:pPr>
      <w:r>
        <w:rPr>
          <w:rFonts w:hint="eastAsia" w:ascii="宋体" w:cs="宋体"/>
          <w:szCs w:val="21"/>
        </w:rPr>
        <w:t>根据《中华人民共和国民法典》、《中华人民共和国建筑法》及有关法律规定，遵循平等、自愿、公平和诚实信用的原则，双方就</w:t>
      </w:r>
      <w:r>
        <w:rPr>
          <w:rFonts w:hint="eastAsia" w:ascii="宋体" w:cs="宋体"/>
          <w:szCs w:val="21"/>
          <w:u w:val="single"/>
          <w:lang w:val="en-US" w:eastAsia="zh-CN"/>
        </w:rPr>
        <w:t xml:space="preserve"> 滁州市第三污水处理厂分布式光伏工程</w:t>
      </w:r>
      <w:r>
        <w:rPr>
          <w:rFonts w:hint="eastAsia" w:ascii="宋体" w:cs="宋体"/>
          <w:szCs w:val="21"/>
          <w:u w:val="single"/>
        </w:rPr>
        <w:t xml:space="preserve"> </w:t>
      </w:r>
      <w:r>
        <w:rPr>
          <w:rFonts w:hint="eastAsia" w:ascii="宋体" w:cs="宋体"/>
          <w:szCs w:val="21"/>
        </w:rPr>
        <w:t>施工及有关事项协商一致，共同达成如下协议：</w:t>
      </w:r>
    </w:p>
    <w:p w14:paraId="1300C206">
      <w:pPr>
        <w:pStyle w:val="9"/>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一、工程概况</w:t>
      </w:r>
    </w:p>
    <w:p w14:paraId="236F5668">
      <w:pPr>
        <w:spacing w:line="440" w:lineRule="exact"/>
        <w:ind w:firstLine="420" w:firstLineChars="200"/>
        <w:rPr>
          <w:rFonts w:hint="eastAsia" w:ascii="宋体" w:cs="宋体"/>
          <w:szCs w:val="21"/>
          <w:u w:val="single"/>
        </w:rPr>
      </w:pPr>
      <w:r>
        <w:rPr>
          <w:rFonts w:hint="eastAsia" w:ascii="宋体" w:cs="宋体"/>
          <w:bCs/>
          <w:szCs w:val="21"/>
        </w:rPr>
        <w:t>1.工程名称</w:t>
      </w:r>
      <w:r>
        <w:rPr>
          <w:rFonts w:hint="eastAsia" w:ascii="宋体" w:cs="宋体"/>
          <w:szCs w:val="21"/>
        </w:rPr>
        <w:t>：</w:t>
      </w:r>
      <w:r>
        <w:rPr>
          <w:rFonts w:hint="eastAsia" w:ascii="宋体" w:cs="宋体"/>
          <w:szCs w:val="21"/>
          <w:u w:val="single"/>
        </w:rPr>
        <w:t xml:space="preserve">  </w:t>
      </w:r>
      <w:r>
        <w:rPr>
          <w:rFonts w:hint="eastAsia" w:ascii="宋体" w:cs="宋体"/>
          <w:szCs w:val="21"/>
          <w:u w:val="single"/>
          <w:lang w:eastAsia="zh-CN"/>
        </w:rPr>
        <w:t>滁州市第三污水处理厂分布式光伏工程施工项目</w:t>
      </w:r>
      <w:r>
        <w:rPr>
          <w:rFonts w:hint="eastAsia" w:ascii="宋体" w:cs="宋体"/>
          <w:szCs w:val="21"/>
          <w:u w:val="single"/>
        </w:rPr>
        <w:t xml:space="preserve"> </w:t>
      </w:r>
      <w:r>
        <w:rPr>
          <w:rFonts w:hint="eastAsia" w:ascii="宋体" w:cs="宋体"/>
          <w:szCs w:val="21"/>
        </w:rPr>
        <w:t>。</w:t>
      </w:r>
    </w:p>
    <w:p w14:paraId="05EDF5A6">
      <w:pPr>
        <w:spacing w:line="440" w:lineRule="exact"/>
        <w:ind w:firstLine="420" w:firstLineChars="200"/>
        <w:rPr>
          <w:rFonts w:hint="eastAsia" w:ascii="宋体" w:cs="宋体"/>
          <w:bCs/>
          <w:szCs w:val="21"/>
        </w:rPr>
      </w:pPr>
      <w:r>
        <w:rPr>
          <w:rFonts w:hint="eastAsia" w:ascii="宋体" w:cs="宋体"/>
          <w:bCs/>
          <w:szCs w:val="21"/>
        </w:rPr>
        <w:t>2.工程地点：</w:t>
      </w:r>
      <w:r>
        <w:rPr>
          <w:rFonts w:hint="eastAsia" w:ascii="宋体" w:cs="宋体"/>
          <w:szCs w:val="21"/>
          <w:u w:val="single"/>
        </w:rPr>
        <w:t xml:space="preserve">  </w:t>
      </w:r>
      <w:r>
        <w:rPr>
          <w:rFonts w:hint="eastAsia" w:ascii="宋体" w:hAnsi="Times New Roman" w:eastAsia="宋体" w:cs="宋体"/>
          <w:szCs w:val="21"/>
          <w:u w:val="single"/>
          <w:lang w:val="en-US" w:eastAsia="zh-CN"/>
        </w:rPr>
        <w:t>招标人指定地点</w:t>
      </w:r>
      <w:r>
        <w:rPr>
          <w:rFonts w:hint="eastAsia" w:ascii="宋体" w:cs="宋体"/>
          <w:szCs w:val="21"/>
          <w:u w:val="single"/>
        </w:rPr>
        <w:t xml:space="preserve">  </w:t>
      </w:r>
      <w:r>
        <w:rPr>
          <w:rFonts w:hint="eastAsia" w:ascii="宋体" w:cs="宋体"/>
          <w:szCs w:val="21"/>
        </w:rPr>
        <w:t>。</w:t>
      </w:r>
    </w:p>
    <w:p w14:paraId="22B63F7C">
      <w:pPr>
        <w:spacing w:line="440" w:lineRule="exact"/>
        <w:ind w:firstLine="420" w:firstLineChars="200"/>
        <w:rPr>
          <w:rFonts w:hint="eastAsia" w:ascii="宋体" w:cs="宋体"/>
          <w:bCs/>
          <w:strike w:val="0"/>
          <w:dstrike w:val="0"/>
          <w:szCs w:val="21"/>
          <w:highlight w:val="none"/>
        </w:rPr>
      </w:pPr>
      <w:r>
        <w:rPr>
          <w:rFonts w:hint="eastAsia" w:ascii="宋体" w:cs="宋体"/>
          <w:bCs/>
          <w:strike w:val="0"/>
          <w:dstrike w:val="0"/>
          <w:szCs w:val="21"/>
          <w:highlight w:val="none"/>
        </w:rPr>
        <w:t>3.工程立项批准文号：</w:t>
      </w:r>
      <w:r>
        <w:rPr>
          <w:rFonts w:hint="eastAsia" w:ascii="宋体" w:cs="宋体"/>
          <w:bCs/>
          <w:strike w:val="0"/>
          <w:dstrike w:val="0"/>
          <w:szCs w:val="21"/>
          <w:highlight w:val="none"/>
          <w:u w:val="single"/>
          <w:lang w:val="en-US" w:eastAsia="zh-CN"/>
        </w:rPr>
        <w:t xml:space="preserve"> </w:t>
      </w:r>
      <w:r>
        <w:rPr>
          <w:rFonts w:hint="eastAsia" w:ascii="宋体" w:hAnsi="宋体"/>
          <w:strike w:val="0"/>
          <w:dstrike w:val="0"/>
          <w:szCs w:val="21"/>
          <w:highlight w:val="none"/>
          <w:u w:val="single"/>
          <w:lang w:val="en-US" w:eastAsia="zh-CN"/>
        </w:rPr>
        <w:t>/</w:t>
      </w:r>
      <w:r>
        <w:rPr>
          <w:rFonts w:hint="eastAsia" w:ascii="宋体" w:cs="宋体"/>
          <w:bCs/>
          <w:strike w:val="0"/>
          <w:dstrike w:val="0"/>
          <w:szCs w:val="21"/>
          <w:highlight w:val="none"/>
        </w:rPr>
        <w:t>。</w:t>
      </w:r>
    </w:p>
    <w:p w14:paraId="2A46B856">
      <w:pPr>
        <w:spacing w:line="440" w:lineRule="exact"/>
        <w:ind w:firstLine="420" w:firstLineChars="200"/>
        <w:rPr>
          <w:rFonts w:hint="eastAsia" w:ascii="宋体" w:cs="宋体"/>
          <w:bCs/>
          <w:szCs w:val="21"/>
        </w:rPr>
      </w:pPr>
      <w:r>
        <w:rPr>
          <w:rFonts w:hint="eastAsia" w:ascii="宋体" w:cs="宋体"/>
          <w:bCs/>
          <w:szCs w:val="21"/>
        </w:rPr>
        <w:t>4.资金来源：</w:t>
      </w:r>
      <w:r>
        <w:rPr>
          <w:rFonts w:hint="eastAsia" w:ascii="宋体" w:cs="宋体"/>
          <w:bCs/>
          <w:szCs w:val="21"/>
          <w:u w:val="single"/>
        </w:rPr>
        <w:t xml:space="preserve">         </w:t>
      </w:r>
      <w:r>
        <w:rPr>
          <w:rFonts w:hint="eastAsia" w:ascii="宋体" w:cs="宋体"/>
          <w:bCs/>
          <w:szCs w:val="21"/>
          <w:u w:val="single"/>
          <w:lang w:val="en-US" w:eastAsia="zh-CN"/>
        </w:rPr>
        <w:t>自筹资金</w:t>
      </w:r>
      <w:r>
        <w:rPr>
          <w:rFonts w:hint="eastAsia" w:ascii="宋体" w:cs="宋体"/>
          <w:bCs/>
          <w:szCs w:val="21"/>
          <w:u w:val="single"/>
        </w:rPr>
        <w:t xml:space="preserve">           </w:t>
      </w:r>
      <w:r>
        <w:rPr>
          <w:rFonts w:hint="eastAsia" w:ascii="宋体" w:cs="宋体"/>
          <w:szCs w:val="21"/>
          <w:u w:val="single"/>
        </w:rPr>
        <w:t xml:space="preserve">       </w:t>
      </w:r>
      <w:r>
        <w:rPr>
          <w:rFonts w:hint="eastAsia" w:ascii="宋体" w:cs="宋体"/>
          <w:bCs/>
          <w:szCs w:val="21"/>
        </w:rPr>
        <w:t>。</w:t>
      </w:r>
    </w:p>
    <w:p w14:paraId="2F00C2D8">
      <w:pPr>
        <w:spacing w:line="440" w:lineRule="exact"/>
        <w:ind w:firstLine="420" w:firstLineChars="200"/>
        <w:rPr>
          <w:rFonts w:hint="eastAsia" w:ascii="宋体" w:cs="宋体"/>
          <w:bCs/>
          <w:szCs w:val="21"/>
        </w:rPr>
      </w:pPr>
      <w:r>
        <w:rPr>
          <w:rFonts w:hint="eastAsia" w:ascii="宋体" w:cs="宋体"/>
          <w:bCs/>
          <w:szCs w:val="21"/>
        </w:rPr>
        <w:t>5.工程内容：</w:t>
      </w:r>
      <w:r>
        <w:rPr>
          <w:rFonts w:hint="eastAsia" w:ascii="宋体" w:hAnsi="Times New Roman" w:cs="宋体"/>
          <w:bCs/>
          <w:szCs w:val="21"/>
          <w:u w:val="single"/>
          <w:lang w:val="en-US" w:eastAsia="zh-CN"/>
        </w:rPr>
        <w:t xml:space="preserve"> </w:t>
      </w:r>
      <w:r>
        <w:rPr>
          <w:rFonts w:hint="eastAsia" w:ascii="宋体" w:hAnsi="Times New Roman" w:eastAsia="宋体" w:cs="宋体"/>
          <w:bCs/>
          <w:szCs w:val="21"/>
          <w:u w:val="single"/>
          <w:lang w:val="en-US" w:eastAsia="zh-CN"/>
        </w:rPr>
        <w:t xml:space="preserve">本工程施工图纸和工程量清单中的所有内容 </w:t>
      </w:r>
      <w:r>
        <w:rPr>
          <w:rFonts w:hint="eastAsia" w:ascii="宋体" w:cs="宋体"/>
          <w:bCs/>
          <w:szCs w:val="21"/>
        </w:rPr>
        <w:t>。</w:t>
      </w:r>
    </w:p>
    <w:p w14:paraId="0B09708D">
      <w:pPr>
        <w:spacing w:line="440" w:lineRule="exact"/>
        <w:ind w:firstLine="420" w:firstLineChars="200"/>
        <w:rPr>
          <w:rFonts w:hint="eastAsia" w:ascii="宋体" w:cs="宋体"/>
          <w:bCs/>
          <w:szCs w:val="21"/>
        </w:rPr>
      </w:pPr>
      <w:r>
        <w:rPr>
          <w:rFonts w:hint="eastAsia" w:ascii="宋体" w:cs="宋体"/>
          <w:szCs w:val="21"/>
        </w:rPr>
        <w:t>群体工程应附《承包人承揽工程项目一览表》（附件1）。</w:t>
      </w:r>
    </w:p>
    <w:p w14:paraId="3EA9822A">
      <w:pPr>
        <w:spacing w:line="440" w:lineRule="exact"/>
        <w:ind w:firstLine="420" w:firstLineChars="200"/>
        <w:rPr>
          <w:rFonts w:hint="eastAsia" w:ascii="宋体" w:cs="宋体"/>
          <w:szCs w:val="21"/>
          <w:highlight w:val="none"/>
        </w:rPr>
      </w:pPr>
      <w:r>
        <w:rPr>
          <w:rFonts w:hint="eastAsia" w:ascii="宋体" w:cs="宋体"/>
          <w:bCs/>
          <w:szCs w:val="21"/>
          <w:highlight w:val="none"/>
        </w:rPr>
        <w:t>6.工程承包范围：</w:t>
      </w:r>
      <w:r>
        <w:rPr>
          <w:rFonts w:hint="eastAsia" w:ascii="宋体" w:cs="宋体"/>
          <w:szCs w:val="21"/>
          <w:highlight w:val="none"/>
          <w:u w:val="single"/>
        </w:rPr>
        <w:t xml:space="preserve">  </w:t>
      </w:r>
      <w:r>
        <w:rPr>
          <w:rFonts w:hint="eastAsia" w:ascii="宋体" w:hAnsi="宋体" w:cs="宋体"/>
          <w:b/>
          <w:bCs/>
          <w:szCs w:val="21"/>
          <w:highlight w:val="none"/>
          <w:u w:val="single"/>
        </w:rPr>
        <w:t>施工图纸</w:t>
      </w:r>
      <w:r>
        <w:rPr>
          <w:rFonts w:hint="eastAsia" w:ascii="宋体" w:hAnsi="宋体" w:cs="宋体"/>
          <w:b/>
          <w:bCs/>
          <w:strike w:val="0"/>
          <w:dstrike w:val="0"/>
          <w:szCs w:val="21"/>
          <w:highlight w:val="none"/>
          <w:u w:val="single"/>
        </w:rPr>
        <w:t>和工程量清单</w:t>
      </w:r>
      <w:r>
        <w:rPr>
          <w:rFonts w:hint="eastAsia" w:ascii="宋体" w:hAnsi="宋体" w:cs="宋体"/>
          <w:b/>
          <w:bCs/>
          <w:szCs w:val="21"/>
          <w:highlight w:val="none"/>
          <w:u w:val="single"/>
        </w:rPr>
        <w:t>载明的施工内容及施工过程中的变更调整内容（如施工图纸和工程量清单不一致，由</w:t>
      </w:r>
      <w:r>
        <w:rPr>
          <w:rFonts w:hint="eastAsia" w:ascii="宋体" w:hAnsi="宋体" w:cs="宋体"/>
          <w:b/>
          <w:bCs/>
          <w:szCs w:val="21"/>
          <w:highlight w:val="none"/>
          <w:u w:val="single"/>
          <w:lang w:eastAsia="zh-CN"/>
        </w:rPr>
        <w:t>发包人</w:t>
      </w:r>
      <w:r>
        <w:rPr>
          <w:rFonts w:hint="eastAsia" w:ascii="宋体" w:hAnsi="宋体" w:cs="宋体"/>
          <w:b/>
          <w:bCs/>
          <w:szCs w:val="21"/>
          <w:highlight w:val="none"/>
          <w:u w:val="single"/>
        </w:rPr>
        <w:t>负责解释</w:t>
      </w:r>
      <w:r>
        <w:rPr>
          <w:rFonts w:hint="eastAsia" w:ascii="宋体" w:hAnsi="宋体" w:cs="宋体"/>
          <w:szCs w:val="21"/>
          <w:highlight w:val="none"/>
          <w:u w:val="single"/>
        </w:rPr>
        <w:t>）</w:t>
      </w:r>
      <w:r>
        <w:rPr>
          <w:rFonts w:hint="eastAsia" w:ascii="宋体" w:cs="宋体"/>
          <w:szCs w:val="21"/>
          <w:highlight w:val="none"/>
          <w:u w:val="single"/>
        </w:rPr>
        <w:t></w:t>
      </w:r>
      <w:r>
        <w:rPr>
          <w:rFonts w:hint="eastAsia" w:ascii="宋体" w:cs="宋体"/>
          <w:szCs w:val="21"/>
          <w:highlight w:val="none"/>
        </w:rPr>
        <w:t>。</w:t>
      </w:r>
    </w:p>
    <w:p w14:paraId="497ADE28">
      <w:pPr>
        <w:pStyle w:val="9"/>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二、合同工期</w:t>
      </w:r>
    </w:p>
    <w:p w14:paraId="73E52071">
      <w:pPr>
        <w:spacing w:line="440" w:lineRule="exact"/>
        <w:ind w:firstLine="420" w:firstLineChars="200"/>
        <w:rPr>
          <w:rFonts w:hint="eastAsia" w:ascii="宋体" w:cs="宋体"/>
          <w:szCs w:val="21"/>
        </w:rPr>
      </w:pPr>
      <w:r>
        <w:rPr>
          <w:rFonts w:hint="eastAsia" w:ascii="宋体" w:cs="宋体"/>
          <w:szCs w:val="21"/>
        </w:rPr>
        <w:t>计划开工日期：</w:t>
      </w:r>
      <w:r>
        <w:rPr>
          <w:rFonts w:hint="eastAsia" w:ascii="宋体" w:cs="宋体"/>
          <w:szCs w:val="21"/>
          <w:u w:val="single"/>
        </w:rPr>
        <w:t xml:space="preserve">       </w:t>
      </w:r>
      <w:r>
        <w:rPr>
          <w:rFonts w:hint="eastAsia" w:ascii="宋体" w:cs="宋体"/>
          <w:szCs w:val="21"/>
        </w:rPr>
        <w:t>年</w:t>
      </w:r>
      <w:r>
        <w:rPr>
          <w:rFonts w:hint="eastAsia" w:ascii="宋体" w:cs="宋体"/>
          <w:szCs w:val="21"/>
          <w:u w:val="single"/>
        </w:rPr>
        <w:t xml:space="preserve">          </w:t>
      </w:r>
      <w:r>
        <w:rPr>
          <w:rFonts w:hint="eastAsia" w:ascii="宋体" w:cs="宋体"/>
          <w:szCs w:val="21"/>
        </w:rPr>
        <w:t>月</w:t>
      </w:r>
      <w:r>
        <w:rPr>
          <w:rFonts w:hint="eastAsia" w:ascii="宋体" w:cs="宋体"/>
          <w:szCs w:val="21"/>
          <w:u w:val="single"/>
        </w:rPr>
        <w:t xml:space="preserve">       </w:t>
      </w:r>
      <w:r>
        <w:rPr>
          <w:rFonts w:hint="eastAsia" w:ascii="宋体" w:cs="宋体"/>
          <w:szCs w:val="21"/>
        </w:rPr>
        <w:t>日。</w:t>
      </w:r>
      <w:r>
        <w:rPr>
          <w:rFonts w:hint="eastAsia" w:ascii="宋体" w:cs="宋体"/>
          <w:szCs w:val="21"/>
          <w:lang w:eastAsia="zh-CN"/>
        </w:rPr>
        <w:t>（</w:t>
      </w:r>
      <w:r>
        <w:rPr>
          <w:rFonts w:hint="eastAsia" w:ascii="宋体" w:cs="宋体"/>
          <w:szCs w:val="21"/>
        </w:rPr>
        <w:t>以开工令为准</w:t>
      </w:r>
      <w:r>
        <w:rPr>
          <w:rFonts w:hint="eastAsia" w:ascii="宋体" w:cs="宋体"/>
          <w:szCs w:val="21"/>
          <w:lang w:eastAsia="zh-CN"/>
        </w:rPr>
        <w:t>）</w:t>
      </w:r>
    </w:p>
    <w:p w14:paraId="094895E8">
      <w:pPr>
        <w:spacing w:line="440" w:lineRule="exact"/>
        <w:ind w:firstLine="420" w:firstLineChars="200"/>
        <w:rPr>
          <w:rFonts w:hint="eastAsia" w:ascii="宋体" w:cs="宋体"/>
          <w:szCs w:val="21"/>
        </w:rPr>
      </w:pPr>
      <w:r>
        <w:rPr>
          <w:rFonts w:hint="eastAsia" w:ascii="宋体" w:cs="宋体"/>
          <w:szCs w:val="21"/>
        </w:rPr>
        <w:t>计划竣工日期：</w:t>
      </w:r>
      <w:r>
        <w:rPr>
          <w:rFonts w:hint="eastAsia" w:ascii="宋体" w:cs="宋体"/>
          <w:szCs w:val="21"/>
          <w:u w:val="single"/>
        </w:rPr>
        <w:t xml:space="preserve">       </w:t>
      </w:r>
      <w:r>
        <w:rPr>
          <w:rFonts w:hint="eastAsia" w:ascii="宋体" w:cs="宋体"/>
          <w:szCs w:val="21"/>
        </w:rPr>
        <w:t>年</w:t>
      </w:r>
      <w:r>
        <w:rPr>
          <w:rFonts w:hint="eastAsia" w:ascii="宋体" w:cs="宋体"/>
          <w:szCs w:val="21"/>
          <w:u w:val="single"/>
        </w:rPr>
        <w:t xml:space="preserve">          </w:t>
      </w:r>
      <w:r>
        <w:rPr>
          <w:rFonts w:hint="eastAsia" w:ascii="宋体" w:cs="宋体"/>
          <w:szCs w:val="21"/>
        </w:rPr>
        <w:t>月</w:t>
      </w:r>
      <w:r>
        <w:rPr>
          <w:rFonts w:hint="eastAsia" w:ascii="宋体" w:cs="宋体"/>
          <w:szCs w:val="21"/>
          <w:u w:val="single"/>
        </w:rPr>
        <w:t xml:space="preserve">       </w:t>
      </w:r>
      <w:r>
        <w:rPr>
          <w:rFonts w:hint="eastAsia" w:ascii="宋体" w:cs="宋体"/>
          <w:szCs w:val="21"/>
        </w:rPr>
        <w:t>日。</w:t>
      </w:r>
    </w:p>
    <w:p w14:paraId="1FB9E0BE">
      <w:pPr>
        <w:spacing w:line="440" w:lineRule="exact"/>
        <w:ind w:firstLine="420" w:firstLineChars="200"/>
        <w:rPr>
          <w:rFonts w:hint="eastAsia" w:ascii="宋体" w:cs="宋体"/>
          <w:szCs w:val="21"/>
        </w:rPr>
      </w:pPr>
      <w:r>
        <w:rPr>
          <w:rFonts w:hint="eastAsia" w:ascii="宋体" w:cs="宋体"/>
          <w:szCs w:val="21"/>
        </w:rPr>
        <w:t>工期总日历天数：</w:t>
      </w:r>
      <w:r>
        <w:rPr>
          <w:rFonts w:hint="eastAsia" w:ascii="宋体" w:cs="宋体"/>
          <w:szCs w:val="21"/>
          <w:u w:val="single"/>
        </w:rPr>
        <w:t xml:space="preserve">  </w:t>
      </w:r>
      <w:r>
        <w:rPr>
          <w:rFonts w:hint="eastAsia" w:ascii="宋体" w:cs="宋体"/>
          <w:szCs w:val="21"/>
          <w:u w:val="single"/>
          <w:lang w:val="en-US" w:eastAsia="zh-CN"/>
        </w:rPr>
        <w:t xml:space="preserve">  </w:t>
      </w:r>
      <w:r>
        <w:rPr>
          <w:rFonts w:hint="eastAsia" w:ascii="宋体" w:cs="宋体"/>
          <w:szCs w:val="21"/>
          <w:u w:val="single"/>
        </w:rPr>
        <w:t xml:space="preserve">  </w:t>
      </w:r>
      <w:r>
        <w:rPr>
          <w:rFonts w:hint="eastAsia" w:ascii="宋体" w:cs="宋体"/>
          <w:szCs w:val="21"/>
        </w:rPr>
        <w:t>天</w:t>
      </w:r>
      <w:r>
        <w:rPr>
          <w:rFonts w:hint="eastAsia" w:ascii="宋体" w:cs="宋体"/>
          <w:szCs w:val="21"/>
          <w:lang w:eastAsia="zh-CN"/>
        </w:rPr>
        <w:t>。</w:t>
      </w:r>
      <w:r>
        <w:rPr>
          <w:rFonts w:hint="eastAsia" w:ascii="宋体" w:cs="宋体"/>
          <w:szCs w:val="21"/>
        </w:rPr>
        <w:t>工期总日历天数与根据前述计划开竣工日期计算的工期天数不一致的，以工期总日历天数为准。</w:t>
      </w:r>
    </w:p>
    <w:p w14:paraId="5131FFEB">
      <w:pPr>
        <w:pStyle w:val="9"/>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三、质量标准</w:t>
      </w:r>
    </w:p>
    <w:p w14:paraId="6380E96E">
      <w:pPr>
        <w:spacing w:line="440" w:lineRule="exact"/>
        <w:ind w:firstLine="420" w:firstLineChars="200"/>
        <w:rPr>
          <w:rFonts w:hint="eastAsia" w:ascii="宋体" w:cs="宋体"/>
          <w:szCs w:val="21"/>
        </w:rPr>
      </w:pPr>
      <w:r>
        <w:rPr>
          <w:rFonts w:hint="eastAsia"/>
          <w:szCs w:val="21"/>
        </w:rPr>
        <w:t>工程质量必须达到国家工程施工质量验收</w:t>
      </w:r>
      <w:r>
        <w:rPr>
          <w:rFonts w:hint="eastAsia"/>
          <w:b/>
          <w:szCs w:val="21"/>
          <w:u w:val="single"/>
        </w:rPr>
        <w:t xml:space="preserve">  合格  </w:t>
      </w:r>
      <w:r>
        <w:rPr>
          <w:rFonts w:hint="eastAsia"/>
          <w:szCs w:val="21"/>
        </w:rPr>
        <w:t>标准。</w:t>
      </w:r>
    </w:p>
    <w:p w14:paraId="5A41FA8D">
      <w:pPr>
        <w:pStyle w:val="9"/>
        <w:pageBreakBefore w:val="0"/>
        <w:widowControl w:val="0"/>
        <w:kinsoku/>
        <w:wordWrap/>
        <w:overflowPunct/>
        <w:topLinePunct w:val="0"/>
        <w:autoSpaceDE/>
        <w:autoSpaceDN/>
        <w:bidi w:val="0"/>
        <w:adjustRightInd/>
        <w:snapToGrid/>
        <w:spacing w:before="0" w:after="0" w:line="440" w:lineRule="exact"/>
        <w:ind w:firstLine="420" w:firstLineChars="200"/>
        <w:textAlignment w:val="auto"/>
        <w:rPr>
          <w:rFonts w:hint="eastAsia" w:ascii="宋体" w:eastAsia="宋体" w:cs="宋体"/>
          <w:bCs w:val="0"/>
          <w:sz w:val="21"/>
          <w:szCs w:val="21"/>
        </w:rPr>
      </w:pPr>
      <w:r>
        <w:rPr>
          <w:rFonts w:hint="eastAsia" w:ascii="宋体" w:eastAsia="宋体" w:cs="宋体"/>
          <w:b w:val="0"/>
          <w:sz w:val="21"/>
          <w:szCs w:val="21"/>
        </w:rPr>
        <w:t>四、签约合同价与合同价格形式</w:t>
      </w:r>
      <w:r>
        <w:rPr>
          <w:rFonts w:hint="eastAsia" w:ascii="宋体" w:eastAsia="宋体" w:cs="宋体"/>
          <w:b w:val="0"/>
          <w:sz w:val="21"/>
          <w:szCs w:val="21"/>
        </w:rPr>
        <w:tab/>
      </w:r>
    </w:p>
    <w:p w14:paraId="2A2832C0">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u w:val="single"/>
          <w:lang w:val="en-US" w:eastAsia="zh-CN"/>
        </w:rPr>
      </w:pPr>
      <w:r>
        <w:rPr>
          <w:rFonts w:hint="eastAsia" w:ascii="宋体" w:hAnsi="宋体" w:cs="宋体"/>
          <w:color w:val="000000"/>
          <w:szCs w:val="21"/>
          <w:highlight w:val="none"/>
          <w:u w:val="single"/>
        </w:rPr>
        <w:t>1. 签约合同价为：人民币（大写）                 (¥          元)；</w:t>
      </w:r>
      <w:r>
        <w:rPr>
          <w:rFonts w:hint="eastAsia" w:ascii="宋体" w:hAnsi="宋体" w:cs="宋体"/>
          <w:color w:val="000000"/>
          <w:szCs w:val="21"/>
          <w:highlight w:val="none"/>
          <w:u w:val="single"/>
          <w:lang w:eastAsia="zh-CN"/>
        </w:rPr>
        <w:t>其中不含税价为　　　元，税费　　　　元。</w:t>
      </w:r>
    </w:p>
    <w:p w14:paraId="2319A16F">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2. 合同价格形式：</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固定单价合同，单价为</w:t>
      </w:r>
      <w:r>
        <w:rPr>
          <w:rFonts w:hint="eastAsia" w:ascii="宋体" w:cs="宋体"/>
          <w:color w:val="auto"/>
          <w:szCs w:val="21"/>
          <w:highlight w:val="none"/>
          <w:u w:val="single"/>
          <w:lang w:val="en-US" w:eastAsia="zh-CN"/>
        </w:rPr>
        <w:t>全费用综合</w:t>
      </w:r>
      <w:r>
        <w:rPr>
          <w:rFonts w:hint="eastAsia" w:ascii="宋体" w:cs="宋体"/>
          <w:color w:val="auto"/>
          <w:szCs w:val="21"/>
          <w:highlight w:val="none"/>
          <w:u w:val="single"/>
        </w:rPr>
        <w:t>单价</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14:paraId="6952254A">
      <w:pPr>
        <w:pStyle w:val="9"/>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五、项目</w:t>
      </w:r>
      <w:r>
        <w:rPr>
          <w:rFonts w:hint="eastAsia" w:ascii="宋体" w:eastAsia="宋体" w:cs="宋体"/>
          <w:b w:val="0"/>
          <w:sz w:val="21"/>
          <w:szCs w:val="21"/>
          <w:lang w:val="en-US" w:eastAsia="zh-CN"/>
        </w:rPr>
        <w:t>经理</w:t>
      </w:r>
    </w:p>
    <w:p w14:paraId="71CB4DD1">
      <w:pPr>
        <w:spacing w:line="440" w:lineRule="exact"/>
        <w:ind w:firstLine="420" w:firstLineChars="200"/>
        <w:rPr>
          <w:rFonts w:hint="eastAsia" w:ascii="宋体" w:cs="宋体"/>
          <w:szCs w:val="21"/>
        </w:rPr>
      </w:pPr>
      <w:r>
        <w:rPr>
          <w:rFonts w:hint="eastAsia" w:ascii="宋体" w:cs="宋体"/>
          <w:szCs w:val="21"/>
        </w:rPr>
        <w:t>承包人项目经理：</w:t>
      </w:r>
      <w:r>
        <w:rPr>
          <w:rFonts w:hint="eastAsia" w:ascii="宋体" w:cs="宋体"/>
          <w:szCs w:val="21"/>
          <w:u w:val="single"/>
        </w:rPr>
        <w:t xml:space="preserve">               </w:t>
      </w:r>
      <w:r>
        <w:rPr>
          <w:rFonts w:hint="eastAsia" w:ascii="宋体" w:cs="宋体"/>
          <w:szCs w:val="21"/>
        </w:rPr>
        <w:t>。</w:t>
      </w:r>
    </w:p>
    <w:p w14:paraId="32977BEF">
      <w:pPr>
        <w:pStyle w:val="9"/>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六、合同文件构成</w:t>
      </w:r>
    </w:p>
    <w:p w14:paraId="3F438B89">
      <w:pPr>
        <w:spacing w:line="440" w:lineRule="exact"/>
        <w:ind w:firstLine="420" w:firstLineChars="200"/>
        <w:rPr>
          <w:rFonts w:hint="eastAsia" w:ascii="宋体" w:cs="宋体"/>
          <w:bCs/>
          <w:szCs w:val="21"/>
        </w:rPr>
      </w:pPr>
      <w:r>
        <w:rPr>
          <w:rFonts w:hint="eastAsia" w:ascii="宋体" w:cs="宋体"/>
          <w:bCs/>
          <w:szCs w:val="21"/>
        </w:rPr>
        <w:t>本协议书与下列文件一起构成合同文件：</w:t>
      </w:r>
    </w:p>
    <w:p w14:paraId="45E7BAD1">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（1）中</w:t>
      </w:r>
      <w:r>
        <w:rPr>
          <w:rFonts w:hint="eastAsia" w:ascii="宋体" w:cs="宋体"/>
          <w:szCs w:val="21"/>
          <w:lang w:val="en-US" w:eastAsia="zh-CN"/>
        </w:rPr>
        <w:t>标</w:t>
      </w:r>
      <w:r>
        <w:rPr>
          <w:rFonts w:hint="eastAsia" w:ascii="宋体" w:cs="宋体"/>
          <w:szCs w:val="21"/>
        </w:rPr>
        <w:t>通知书；</w:t>
      </w:r>
    </w:p>
    <w:p w14:paraId="53227739">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 xml:space="preserve">（2）确认函及其附录； </w:t>
      </w:r>
    </w:p>
    <w:p w14:paraId="46087623">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（3）专用合同条款及其附件；</w:t>
      </w:r>
    </w:p>
    <w:p w14:paraId="39FFA3B8">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（4）通用合同条款；</w:t>
      </w:r>
    </w:p>
    <w:p w14:paraId="36334CD8">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（5）技术标准和要求；</w:t>
      </w:r>
    </w:p>
    <w:p w14:paraId="30225A2D">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（6）图纸；</w:t>
      </w:r>
    </w:p>
    <w:p w14:paraId="0F8AFA18">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（7）已标价工程量清单或预算书；</w:t>
      </w:r>
    </w:p>
    <w:p w14:paraId="5EB9179B">
      <w:pPr>
        <w:spacing w:line="440" w:lineRule="exact"/>
        <w:ind w:firstLine="420" w:firstLineChars="200"/>
        <w:rPr>
          <w:rFonts w:hint="eastAsia" w:ascii="宋体" w:hAnsi="Times New Roman" w:eastAsia="宋体" w:cs="宋体"/>
          <w:szCs w:val="21"/>
        </w:rPr>
      </w:pPr>
      <w:r>
        <w:rPr>
          <w:rFonts w:hint="eastAsia" w:ascii="宋体" w:hAnsi="Times New Roman" w:eastAsia="宋体" w:cs="宋体"/>
          <w:szCs w:val="21"/>
        </w:rPr>
        <w:t>（8）其他合同文件。</w:t>
      </w:r>
    </w:p>
    <w:p w14:paraId="6BD3A458">
      <w:pPr>
        <w:spacing w:line="440" w:lineRule="exact"/>
        <w:ind w:firstLine="420" w:firstLineChars="200"/>
        <w:rPr>
          <w:rFonts w:hint="eastAsia" w:ascii="宋体" w:hAnsi="Times New Roman" w:eastAsia="宋体" w:cs="宋体"/>
          <w:szCs w:val="21"/>
        </w:rPr>
      </w:pPr>
      <w:r>
        <w:rPr>
          <w:rFonts w:hint="eastAsia" w:ascii="宋体" w:hAnsi="Times New Roman" w:eastAsia="宋体" w:cs="宋体"/>
          <w:szCs w:val="21"/>
        </w:rPr>
        <w:t>在合同订立及履行过程中形成的与合同有关的文件均构成合同文件组成部分。</w:t>
      </w:r>
    </w:p>
    <w:p w14:paraId="7E9714A5">
      <w:pPr>
        <w:spacing w:line="440" w:lineRule="exact"/>
        <w:ind w:firstLine="420" w:firstLineChars="200"/>
        <w:rPr>
          <w:rFonts w:hint="eastAsia" w:ascii="宋体" w:hAnsi="Times New Roman" w:eastAsia="宋体" w:cs="宋体"/>
          <w:szCs w:val="21"/>
        </w:rPr>
      </w:pPr>
      <w:r>
        <w:rPr>
          <w:rFonts w:hint="eastAsia" w:ascii="宋体" w:hAnsi="Times New Roman" w:eastAsia="宋体" w:cs="宋体"/>
          <w:szCs w:val="21"/>
        </w:rPr>
        <w:t>上述各项合同文件包括合同当事人就该项合同文件所作出的补充和修改，属于同一类内容的文件，应以最新签署的为准。专用合同条款及其附件须经合同当事人签字或盖章。</w:t>
      </w:r>
    </w:p>
    <w:p w14:paraId="16010B41">
      <w:pPr>
        <w:pStyle w:val="9"/>
        <w:spacing w:before="0" w:after="0" w:line="440" w:lineRule="exact"/>
        <w:ind w:firstLine="420" w:firstLineChars="200"/>
        <w:rPr>
          <w:rFonts w:hint="eastAsia" w:ascii="宋体" w:eastAsia="宋体" w:cs="宋体"/>
          <w:b w:val="0"/>
          <w:bCs w:val="0"/>
          <w:sz w:val="21"/>
          <w:szCs w:val="21"/>
        </w:rPr>
      </w:pPr>
      <w:r>
        <w:rPr>
          <w:rFonts w:hint="eastAsia" w:ascii="宋体" w:eastAsia="宋体" w:cs="宋体"/>
          <w:b w:val="0"/>
          <w:sz w:val="21"/>
          <w:szCs w:val="21"/>
        </w:rPr>
        <w:t>七、承诺</w:t>
      </w:r>
    </w:p>
    <w:p w14:paraId="4EB03A8A">
      <w:pPr>
        <w:spacing w:line="440" w:lineRule="exact"/>
        <w:ind w:firstLine="420" w:firstLineChars="200"/>
        <w:rPr>
          <w:rFonts w:hint="eastAsia" w:ascii="宋体" w:cs="宋体"/>
          <w:bCs/>
          <w:szCs w:val="21"/>
        </w:rPr>
      </w:pPr>
      <w:r>
        <w:rPr>
          <w:rFonts w:hint="eastAsia" w:ascii="宋体" w:cs="宋体"/>
          <w:bCs/>
          <w:szCs w:val="21"/>
        </w:rPr>
        <w:t>1.发包人承诺按照法律规定履行项目审批手续、筹集工程建设资金并按照合同约定的期限和方式支付合同价款。</w:t>
      </w:r>
    </w:p>
    <w:p w14:paraId="3C0F0D61">
      <w:pPr>
        <w:spacing w:line="440" w:lineRule="exact"/>
        <w:ind w:firstLine="420" w:firstLineChars="200"/>
        <w:rPr>
          <w:rFonts w:hint="eastAsia" w:ascii="宋体" w:cs="宋体"/>
          <w:bCs/>
          <w:szCs w:val="21"/>
        </w:rPr>
      </w:pPr>
      <w:r>
        <w:rPr>
          <w:rFonts w:hint="eastAsia" w:ascii="宋体" w:cs="宋体"/>
          <w:bCs/>
          <w:szCs w:val="21"/>
        </w:rPr>
        <w:t>2.承包人承诺按照法律规定及合同约定组织完成工程施工，确保工程质量和安全，不进行转包及违法分包，并在缺陷责任期及保修期内承担相应的工程维修责任。</w:t>
      </w:r>
    </w:p>
    <w:p w14:paraId="2928C31B">
      <w:pPr>
        <w:spacing w:line="440" w:lineRule="exact"/>
        <w:ind w:firstLine="420" w:firstLineChars="200"/>
        <w:rPr>
          <w:rFonts w:hint="eastAsia" w:ascii="宋体" w:cs="宋体"/>
          <w:bCs/>
          <w:szCs w:val="21"/>
        </w:rPr>
      </w:pPr>
      <w:r>
        <w:rPr>
          <w:rFonts w:hint="eastAsia" w:ascii="宋体" w:cs="宋体"/>
          <w:bCs/>
          <w:szCs w:val="21"/>
        </w:rPr>
        <w:t>3.发包人和承包人通过招投标形式签订合同的，双方理解并承诺不再就同一工程另行签订与合同实质性内容相背离的协议。</w:t>
      </w:r>
    </w:p>
    <w:p w14:paraId="08E1DCA2">
      <w:pPr>
        <w:spacing w:line="440" w:lineRule="exact"/>
        <w:ind w:firstLine="420" w:firstLineChars="200"/>
        <w:rPr>
          <w:rFonts w:hint="eastAsia" w:ascii="宋体" w:cs="宋体"/>
          <w:bCs/>
          <w:szCs w:val="21"/>
        </w:rPr>
      </w:pPr>
      <w:r>
        <w:rPr>
          <w:rFonts w:hint="eastAsia" w:ascii="宋体" w:cs="宋体"/>
          <w:szCs w:val="21"/>
        </w:rPr>
        <w:t>八、词语含义</w:t>
      </w:r>
    </w:p>
    <w:p w14:paraId="31689870">
      <w:pPr>
        <w:spacing w:line="440" w:lineRule="exact"/>
        <w:ind w:firstLine="420" w:firstLineChars="200"/>
        <w:rPr>
          <w:rFonts w:hint="eastAsia" w:ascii="宋体" w:cs="宋体"/>
          <w:bCs/>
          <w:szCs w:val="21"/>
        </w:rPr>
      </w:pPr>
      <w:r>
        <w:rPr>
          <w:rFonts w:hint="eastAsia" w:ascii="宋体" w:cs="宋体"/>
          <w:bCs/>
          <w:szCs w:val="21"/>
        </w:rPr>
        <w:t>本协议书中词语含义与第二部分通用合同条款中赋予的含义相同。</w:t>
      </w:r>
    </w:p>
    <w:p w14:paraId="31603E32">
      <w:pPr>
        <w:pStyle w:val="9"/>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九、签订时间</w:t>
      </w:r>
    </w:p>
    <w:p w14:paraId="168B7B41">
      <w:pPr>
        <w:spacing w:line="440" w:lineRule="exact"/>
        <w:ind w:firstLine="420" w:firstLineChars="200"/>
        <w:rPr>
          <w:rFonts w:hint="eastAsia" w:ascii="宋体" w:cs="宋体"/>
          <w:bCs/>
          <w:szCs w:val="21"/>
        </w:rPr>
      </w:pPr>
      <w:r>
        <w:rPr>
          <w:rFonts w:hint="eastAsia" w:ascii="宋体" w:cs="宋体"/>
          <w:bCs/>
          <w:szCs w:val="21"/>
        </w:rPr>
        <w:t>本合同于</w:t>
      </w:r>
      <w:r>
        <w:rPr>
          <w:rFonts w:hint="eastAsia" w:ascii="宋体" w:cs="宋体"/>
          <w:bCs/>
          <w:szCs w:val="21"/>
          <w:u w:val="single"/>
        </w:rPr>
        <w:t xml:space="preserve">         </w:t>
      </w:r>
      <w:r>
        <w:rPr>
          <w:rFonts w:hint="eastAsia" w:ascii="宋体" w:cs="宋体"/>
          <w:bCs/>
          <w:szCs w:val="21"/>
        </w:rPr>
        <w:t>年</w:t>
      </w:r>
      <w:r>
        <w:rPr>
          <w:rFonts w:hint="eastAsia" w:ascii="宋体" w:cs="宋体"/>
          <w:bCs/>
          <w:szCs w:val="21"/>
          <w:u w:val="single"/>
        </w:rPr>
        <w:t xml:space="preserve">       </w:t>
      </w:r>
      <w:r>
        <w:rPr>
          <w:rFonts w:hint="eastAsia" w:ascii="宋体" w:cs="宋体"/>
          <w:bCs/>
          <w:szCs w:val="21"/>
        </w:rPr>
        <w:t>月</w:t>
      </w:r>
      <w:r>
        <w:rPr>
          <w:rFonts w:hint="eastAsia" w:ascii="宋体" w:cs="宋体"/>
          <w:bCs/>
          <w:szCs w:val="21"/>
          <w:u w:val="single"/>
        </w:rPr>
        <w:t xml:space="preserve">        </w:t>
      </w:r>
      <w:r>
        <w:rPr>
          <w:rFonts w:hint="eastAsia" w:ascii="宋体" w:cs="宋体"/>
          <w:bCs/>
          <w:szCs w:val="21"/>
        </w:rPr>
        <w:t>日签订。</w:t>
      </w:r>
    </w:p>
    <w:p w14:paraId="6A42F258">
      <w:pPr>
        <w:pStyle w:val="9"/>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十、签订地点</w:t>
      </w:r>
    </w:p>
    <w:p w14:paraId="6BF73051">
      <w:pPr>
        <w:spacing w:line="440" w:lineRule="exact"/>
        <w:ind w:firstLine="420" w:firstLineChars="200"/>
        <w:rPr>
          <w:rFonts w:hint="eastAsia" w:ascii="宋体" w:cs="宋体"/>
          <w:bCs/>
          <w:szCs w:val="21"/>
          <w:highlight w:val="none"/>
        </w:rPr>
      </w:pPr>
      <w:r>
        <w:rPr>
          <w:rFonts w:hint="eastAsia" w:ascii="宋体" w:cs="宋体"/>
          <w:bCs/>
          <w:szCs w:val="21"/>
          <w:highlight w:val="none"/>
        </w:rPr>
        <w:t>本合同在</w:t>
      </w:r>
      <w:r>
        <w:rPr>
          <w:rFonts w:hint="eastAsia" w:ascii="宋体" w:cs="宋体"/>
          <w:bCs/>
          <w:szCs w:val="21"/>
          <w:highlight w:val="none"/>
          <w:u w:val="single"/>
        </w:rPr>
        <w:t xml:space="preserve">              </w:t>
      </w:r>
      <w:r>
        <w:rPr>
          <w:rFonts w:hint="eastAsia" w:ascii="宋体" w:cs="宋体"/>
          <w:bCs/>
          <w:szCs w:val="21"/>
          <w:highlight w:val="none"/>
        </w:rPr>
        <w:t>签订。</w:t>
      </w:r>
    </w:p>
    <w:p w14:paraId="12148FBD">
      <w:pPr>
        <w:pStyle w:val="9"/>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十一、补充协议</w:t>
      </w:r>
    </w:p>
    <w:p w14:paraId="55238B76">
      <w:pPr>
        <w:spacing w:line="440" w:lineRule="exact"/>
        <w:ind w:firstLine="420" w:firstLineChars="200"/>
        <w:rPr>
          <w:rFonts w:hint="eastAsia" w:ascii="宋体" w:cs="宋体"/>
          <w:b/>
          <w:bCs/>
          <w:szCs w:val="21"/>
        </w:rPr>
      </w:pPr>
      <w:r>
        <w:rPr>
          <w:rFonts w:hint="eastAsia" w:ascii="宋体" w:cs="宋体"/>
          <w:bCs/>
          <w:szCs w:val="21"/>
        </w:rPr>
        <w:t>合同未尽事宜，合同当事人另行签订补充协议，补充协议是合同的组成部分。</w:t>
      </w:r>
    </w:p>
    <w:p w14:paraId="0C8BEAE8">
      <w:pPr>
        <w:pStyle w:val="9"/>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十二、合同生效</w:t>
      </w:r>
    </w:p>
    <w:p w14:paraId="5BF34A4F">
      <w:pPr>
        <w:spacing w:line="440" w:lineRule="exact"/>
        <w:ind w:firstLine="420" w:firstLineChars="200"/>
        <w:rPr>
          <w:rFonts w:hint="eastAsia" w:ascii="宋体" w:cs="宋体"/>
          <w:bCs/>
          <w:szCs w:val="21"/>
        </w:rPr>
      </w:pPr>
      <w:r>
        <w:rPr>
          <w:rFonts w:hint="eastAsia" w:ascii="宋体" w:cs="宋体"/>
          <w:bCs/>
          <w:szCs w:val="21"/>
        </w:rPr>
        <w:t>本合同自</w:t>
      </w:r>
      <w:r>
        <w:rPr>
          <w:rFonts w:hint="eastAsia" w:ascii="宋体" w:cs="宋体"/>
          <w:bCs/>
          <w:szCs w:val="21"/>
          <w:u w:val="single"/>
        </w:rPr>
        <w:t xml:space="preserve">  </w:t>
      </w:r>
      <w:r>
        <w:rPr>
          <w:rFonts w:hint="eastAsia" w:ascii="宋体" w:hAnsi="宋体"/>
          <w:szCs w:val="21"/>
          <w:u w:val="single"/>
        </w:rPr>
        <w:t xml:space="preserve">  </w:t>
      </w:r>
      <w:r>
        <w:rPr>
          <w:rFonts w:hint="eastAsia" w:ascii="宋体" w:hAnsi="宋体" w:eastAsia="宋体" w:cs="宋体"/>
          <w:color w:val="auto"/>
          <w:sz w:val="21"/>
          <w:szCs w:val="21"/>
          <w:highlight w:val="none"/>
          <w:u w:val="single"/>
          <w:shd w:val="clear" w:color="auto" w:fill="auto"/>
        </w:rPr>
        <w:t>双方签字盖章后</w:t>
      </w:r>
      <w:r>
        <w:rPr>
          <w:rFonts w:hint="eastAsia" w:ascii="宋体" w:cs="宋体"/>
          <w:szCs w:val="21"/>
          <w:u w:val="single"/>
        </w:rPr>
        <w:t xml:space="preserve">   </w:t>
      </w:r>
      <w:r>
        <w:rPr>
          <w:rFonts w:hint="eastAsia" w:ascii="宋体" w:cs="宋体"/>
          <w:bCs/>
          <w:szCs w:val="21"/>
        </w:rPr>
        <w:t>生效。</w:t>
      </w:r>
    </w:p>
    <w:p w14:paraId="0CD88474">
      <w:pPr>
        <w:pStyle w:val="9"/>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十三、合同份数</w:t>
      </w:r>
    </w:p>
    <w:p w14:paraId="5C5834D4">
      <w:pPr>
        <w:spacing w:line="440" w:lineRule="exact"/>
        <w:ind w:firstLine="420" w:firstLineChars="200"/>
        <w:rPr>
          <w:rFonts w:hint="eastAsia" w:ascii="宋体" w:cs="宋体"/>
          <w:bCs/>
          <w:szCs w:val="21"/>
        </w:rPr>
      </w:pPr>
      <w:r>
        <w:rPr>
          <w:rFonts w:hint="eastAsia" w:ascii="宋体" w:cs="宋体"/>
          <w:bCs/>
          <w:szCs w:val="21"/>
          <w:highlight w:val="none"/>
        </w:rPr>
        <w:t>本合同一式</w:t>
      </w:r>
      <w:r>
        <w:rPr>
          <w:rFonts w:hint="eastAsia" w:ascii="宋体" w:cs="宋体"/>
          <w:bCs/>
          <w:szCs w:val="21"/>
          <w:highlight w:val="none"/>
          <w:lang w:eastAsia="zh-CN"/>
        </w:rPr>
        <w:t>肆</w:t>
      </w:r>
      <w:r>
        <w:rPr>
          <w:rFonts w:hint="eastAsia" w:ascii="宋体" w:cs="宋体"/>
          <w:bCs/>
          <w:szCs w:val="21"/>
          <w:highlight w:val="none"/>
        </w:rPr>
        <w:t>份，正本贰份、副本贰份，</w:t>
      </w:r>
      <w:r>
        <w:rPr>
          <w:rFonts w:hint="eastAsia" w:ascii="宋体" w:cs="宋体"/>
          <w:bCs/>
          <w:szCs w:val="21"/>
        </w:rPr>
        <w:t>均具有同等法律效力，发包人执正本壹份、副本叁份，承包人执正本壹份、副本叁份。</w:t>
      </w:r>
    </w:p>
    <w:tbl>
      <w:tblPr>
        <w:tblStyle w:val="47"/>
        <w:tblpPr w:leftFromText="180" w:rightFromText="180" w:vertAnchor="text" w:horzAnchor="page" w:tblpX="1702" w:tblpY="119"/>
        <w:tblW w:w="9072" w:type="dxa"/>
        <w:tblInd w:w="0" w:type="dxa"/>
        <w:tblLayout w:type="fixed"/>
        <w:tblCellMar>
          <w:top w:w="0" w:type="dxa"/>
          <w:left w:w="108" w:type="dxa"/>
          <w:bottom w:w="0" w:type="dxa"/>
          <w:right w:w="108" w:type="dxa"/>
        </w:tblCellMar>
      </w:tblPr>
      <w:tblGrid>
        <w:gridCol w:w="4507"/>
        <w:gridCol w:w="4565"/>
      </w:tblGrid>
      <w:tr w14:paraId="3C620217">
        <w:tblPrEx>
          <w:tblCellMar>
            <w:top w:w="0" w:type="dxa"/>
            <w:left w:w="108" w:type="dxa"/>
            <w:bottom w:w="0" w:type="dxa"/>
            <w:right w:w="108" w:type="dxa"/>
          </w:tblCellMar>
        </w:tblPrEx>
        <w:trPr>
          <w:trHeight w:val="535" w:hRule="atLeast"/>
        </w:trPr>
        <w:tc>
          <w:tcPr>
            <w:tcW w:w="4507" w:type="dxa"/>
            <w:noWrap w:val="0"/>
            <w:vAlign w:val="center"/>
          </w:tcPr>
          <w:p w14:paraId="767BB201">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发包人：（公章）</w:t>
            </w:r>
          </w:p>
        </w:tc>
        <w:tc>
          <w:tcPr>
            <w:tcW w:w="4565" w:type="dxa"/>
            <w:noWrap w:val="0"/>
            <w:vAlign w:val="center"/>
          </w:tcPr>
          <w:p w14:paraId="2E70C625">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承包人：（公章）</w:t>
            </w:r>
          </w:p>
        </w:tc>
      </w:tr>
      <w:tr w14:paraId="39CCE870">
        <w:tblPrEx>
          <w:tblCellMar>
            <w:top w:w="0" w:type="dxa"/>
            <w:left w:w="108" w:type="dxa"/>
            <w:bottom w:w="0" w:type="dxa"/>
            <w:right w:w="108" w:type="dxa"/>
          </w:tblCellMar>
        </w:tblPrEx>
        <w:trPr>
          <w:trHeight w:val="930" w:hRule="atLeast"/>
        </w:trPr>
        <w:tc>
          <w:tcPr>
            <w:tcW w:w="4507" w:type="dxa"/>
            <w:noWrap w:val="0"/>
            <w:vAlign w:val="center"/>
          </w:tcPr>
          <w:p w14:paraId="325670F8">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法定代表人或其委托代理人：</w:t>
            </w:r>
          </w:p>
          <w:p w14:paraId="37B501DF">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（签字）</w:t>
            </w:r>
          </w:p>
        </w:tc>
        <w:tc>
          <w:tcPr>
            <w:tcW w:w="4565" w:type="dxa"/>
            <w:noWrap w:val="0"/>
            <w:vAlign w:val="center"/>
          </w:tcPr>
          <w:p w14:paraId="0B928B4C">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法定代表人或其委托代理人：</w:t>
            </w:r>
          </w:p>
          <w:p w14:paraId="6300316E">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（签字）</w:t>
            </w:r>
          </w:p>
        </w:tc>
      </w:tr>
      <w:tr w14:paraId="49D26254">
        <w:tblPrEx>
          <w:tblCellMar>
            <w:top w:w="0" w:type="dxa"/>
            <w:left w:w="108" w:type="dxa"/>
            <w:bottom w:w="0" w:type="dxa"/>
            <w:right w:w="108" w:type="dxa"/>
          </w:tblCellMar>
        </w:tblPrEx>
        <w:trPr>
          <w:trHeight w:val="4445" w:hRule="atLeast"/>
        </w:trPr>
        <w:tc>
          <w:tcPr>
            <w:tcW w:w="4507" w:type="dxa"/>
            <w:noWrap w:val="0"/>
            <w:vAlign w:val="top"/>
          </w:tcPr>
          <w:p w14:paraId="41BA7F06">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统一社会信用代码：</w:t>
            </w:r>
            <w:r>
              <w:rPr>
                <w:rFonts w:hint="eastAsia" w:hAnsi="宋体" w:cs="宋体"/>
                <w:color w:val="auto"/>
                <w:kern w:val="0"/>
                <w:sz w:val="21"/>
                <w:szCs w:val="21"/>
                <w:highlight w:val="none"/>
                <w:u w:val="single"/>
              </w:rPr>
              <w:t xml:space="preserve">            </w:t>
            </w:r>
          </w:p>
          <w:p w14:paraId="58297E91">
            <w:pPr>
              <w:keepNext w:val="0"/>
              <w:keepLines w:val="0"/>
              <w:widowControl/>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0"/>
                <w:sz w:val="21"/>
                <w:szCs w:val="21"/>
                <w:highlight w:val="none"/>
                <w:u w:val="single"/>
                <w:lang w:val="en-US" w:eastAsia="zh-CN" w:bidi="ar-SA"/>
              </w:rPr>
            </w:pPr>
            <w:r>
              <w:rPr>
                <w:rFonts w:hint="eastAsia" w:hAnsi="宋体" w:cs="宋体"/>
                <w:color w:val="auto"/>
                <w:sz w:val="21"/>
                <w:szCs w:val="21"/>
                <w:highlight w:val="none"/>
              </w:rPr>
              <w:t>地址：</w:t>
            </w:r>
            <w:r>
              <w:rPr>
                <w:rFonts w:hint="eastAsia" w:ascii="宋体" w:hAnsi="宋体" w:eastAsia="宋体" w:cs="宋体"/>
                <w:color w:val="auto"/>
                <w:kern w:val="0"/>
                <w:sz w:val="21"/>
                <w:szCs w:val="21"/>
                <w:highlight w:val="none"/>
                <w:u w:val="single"/>
                <w:lang w:val="en-US" w:eastAsia="zh-CN" w:bidi="ar-SA"/>
              </w:rPr>
              <w:t>安徽省滁州市南谯区中都大道1598号15层</w:t>
            </w:r>
          </w:p>
          <w:p w14:paraId="00A439A8">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邮政编码：</w:t>
            </w:r>
            <w:r>
              <w:rPr>
                <w:rFonts w:hint="eastAsia" w:ascii="宋体" w:hAnsi="宋体" w:cs="宋体"/>
                <w:color w:val="auto"/>
                <w:kern w:val="0"/>
                <w:highlight w:val="none"/>
                <w:u w:val="single"/>
                <w:lang w:val="en-US" w:eastAsia="zh-CN"/>
              </w:rPr>
              <w:t>239000</w:t>
            </w:r>
          </w:p>
          <w:p w14:paraId="5FD42647">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法定代表人：</w:t>
            </w:r>
            <w:r>
              <w:rPr>
                <w:rFonts w:hint="eastAsia" w:hAnsi="宋体" w:cs="宋体"/>
                <w:color w:val="auto"/>
                <w:kern w:val="0"/>
                <w:sz w:val="21"/>
                <w:szCs w:val="21"/>
                <w:highlight w:val="none"/>
                <w:u w:val="single"/>
              </w:rPr>
              <w:t xml:space="preserve">                 </w:t>
            </w:r>
          </w:p>
          <w:p w14:paraId="084F11C0">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委托代理人：</w:t>
            </w:r>
            <w:r>
              <w:rPr>
                <w:rFonts w:hint="eastAsia" w:hAnsi="宋体" w:cs="宋体"/>
                <w:color w:val="auto"/>
                <w:kern w:val="0"/>
                <w:sz w:val="21"/>
                <w:szCs w:val="21"/>
                <w:highlight w:val="none"/>
                <w:u w:val="single"/>
              </w:rPr>
              <w:t xml:space="preserve">                 </w:t>
            </w:r>
          </w:p>
          <w:p w14:paraId="2D04A8F9">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电话：</w:t>
            </w:r>
            <w:r>
              <w:rPr>
                <w:rFonts w:hint="eastAsia" w:hAnsi="宋体" w:cs="宋体"/>
                <w:color w:val="auto"/>
                <w:kern w:val="0"/>
                <w:sz w:val="21"/>
                <w:szCs w:val="21"/>
                <w:highlight w:val="none"/>
                <w:u w:val="single"/>
                <w:lang w:eastAsia="zh-CN"/>
              </w:rPr>
              <w:t>0550-2350288</w:t>
            </w:r>
          </w:p>
          <w:p w14:paraId="79FA4523">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rPr>
              <w:t>传真：</w:t>
            </w:r>
            <w:r>
              <w:rPr>
                <w:rFonts w:hint="eastAsia" w:hAnsi="宋体" w:cs="宋体"/>
                <w:color w:val="auto"/>
                <w:kern w:val="0"/>
                <w:sz w:val="21"/>
                <w:szCs w:val="21"/>
                <w:highlight w:val="none"/>
                <w:u w:val="single"/>
                <w:lang w:val="en-US" w:eastAsia="zh-CN"/>
              </w:rPr>
              <w:t>/</w:t>
            </w:r>
          </w:p>
          <w:p w14:paraId="28C533FD">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电子信箱：</w:t>
            </w:r>
            <w:r>
              <w:rPr>
                <w:rFonts w:hint="eastAsia" w:hAnsi="宋体" w:cs="宋体"/>
                <w:color w:val="auto"/>
                <w:kern w:val="0"/>
                <w:sz w:val="21"/>
                <w:szCs w:val="21"/>
                <w:highlight w:val="none"/>
                <w:u w:val="single"/>
                <w:lang w:val="en-US" w:eastAsia="zh-CN"/>
              </w:rPr>
              <w:t>/</w:t>
            </w:r>
          </w:p>
          <w:p w14:paraId="456C2D50">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开户银行：</w:t>
            </w:r>
            <w:r>
              <w:rPr>
                <w:rFonts w:hint="eastAsia" w:hAnsi="宋体" w:cs="宋体"/>
                <w:color w:val="auto"/>
                <w:kern w:val="0"/>
                <w:sz w:val="21"/>
                <w:szCs w:val="21"/>
                <w:highlight w:val="none"/>
                <w:u w:val="single"/>
                <w:lang w:val="en-US" w:eastAsia="zh-CN"/>
              </w:rPr>
              <w:t>/</w:t>
            </w:r>
          </w:p>
          <w:p w14:paraId="7C1D1103">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账号：</w:t>
            </w:r>
            <w:r>
              <w:rPr>
                <w:rFonts w:hint="eastAsia" w:hAnsi="宋体" w:cs="宋体"/>
                <w:color w:val="auto"/>
                <w:kern w:val="0"/>
                <w:sz w:val="21"/>
                <w:szCs w:val="21"/>
                <w:highlight w:val="none"/>
                <w:u w:val="single"/>
                <w:lang w:val="en-US" w:eastAsia="zh-CN"/>
              </w:rPr>
              <w:t>/</w:t>
            </w:r>
          </w:p>
        </w:tc>
        <w:tc>
          <w:tcPr>
            <w:tcW w:w="4565" w:type="dxa"/>
            <w:noWrap w:val="0"/>
            <w:vAlign w:val="top"/>
          </w:tcPr>
          <w:p w14:paraId="54C0FB4B">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统一社会信用代码：</w:t>
            </w:r>
            <w:r>
              <w:rPr>
                <w:rFonts w:hint="eastAsia" w:hAnsi="宋体" w:cs="宋体"/>
                <w:color w:val="auto"/>
                <w:kern w:val="0"/>
                <w:sz w:val="21"/>
                <w:szCs w:val="21"/>
                <w:highlight w:val="none"/>
                <w:u w:val="single"/>
              </w:rPr>
              <w:t xml:space="preserve">            </w:t>
            </w:r>
          </w:p>
          <w:p w14:paraId="742B4A2B">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地址：</w:t>
            </w:r>
            <w:r>
              <w:rPr>
                <w:rFonts w:hint="eastAsia" w:hAnsi="宋体" w:cs="宋体"/>
                <w:color w:val="auto"/>
                <w:kern w:val="0"/>
                <w:sz w:val="21"/>
                <w:szCs w:val="21"/>
                <w:highlight w:val="none"/>
                <w:u w:val="single"/>
              </w:rPr>
              <w:t xml:space="preserve">                        </w:t>
            </w:r>
          </w:p>
          <w:p w14:paraId="000701D5">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邮政编码：</w:t>
            </w:r>
            <w:r>
              <w:rPr>
                <w:rFonts w:hint="eastAsia" w:hAnsi="宋体" w:cs="宋体"/>
                <w:color w:val="auto"/>
                <w:kern w:val="0"/>
                <w:sz w:val="21"/>
                <w:szCs w:val="21"/>
                <w:highlight w:val="none"/>
                <w:u w:val="single"/>
              </w:rPr>
              <w:t xml:space="preserve">                      </w:t>
            </w:r>
          </w:p>
          <w:p w14:paraId="195737DB">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法定代表人：</w:t>
            </w:r>
            <w:r>
              <w:rPr>
                <w:rFonts w:hint="eastAsia" w:hAnsi="宋体" w:cs="宋体"/>
                <w:color w:val="auto"/>
                <w:kern w:val="0"/>
                <w:sz w:val="21"/>
                <w:szCs w:val="21"/>
                <w:highlight w:val="none"/>
                <w:u w:val="single"/>
              </w:rPr>
              <w:t xml:space="preserve">                  </w:t>
            </w:r>
          </w:p>
          <w:p w14:paraId="59688CFD">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委托代理人：</w:t>
            </w:r>
            <w:r>
              <w:rPr>
                <w:rFonts w:hint="eastAsia" w:hAnsi="宋体" w:cs="宋体"/>
                <w:color w:val="auto"/>
                <w:kern w:val="0"/>
                <w:sz w:val="21"/>
                <w:szCs w:val="21"/>
                <w:highlight w:val="none"/>
                <w:u w:val="single"/>
              </w:rPr>
              <w:t xml:space="preserve">                 </w:t>
            </w:r>
          </w:p>
          <w:p w14:paraId="2A24C2DC">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电话：</w:t>
            </w:r>
            <w:r>
              <w:rPr>
                <w:rFonts w:hint="eastAsia" w:hAnsi="宋体" w:cs="宋体"/>
                <w:color w:val="auto"/>
                <w:kern w:val="0"/>
                <w:sz w:val="21"/>
                <w:szCs w:val="21"/>
                <w:highlight w:val="none"/>
                <w:u w:val="single"/>
              </w:rPr>
              <w:t xml:space="preserve">                       </w:t>
            </w:r>
          </w:p>
          <w:p w14:paraId="14A94376">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传真：</w:t>
            </w:r>
            <w:r>
              <w:rPr>
                <w:rFonts w:hint="eastAsia" w:hAnsi="宋体" w:cs="宋体"/>
                <w:color w:val="auto"/>
                <w:kern w:val="0"/>
                <w:sz w:val="21"/>
                <w:szCs w:val="21"/>
                <w:highlight w:val="none"/>
                <w:u w:val="single"/>
              </w:rPr>
              <w:t xml:space="preserve">                       </w:t>
            </w:r>
          </w:p>
          <w:p w14:paraId="24EA8B29">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电子信箱：</w:t>
            </w:r>
            <w:r>
              <w:rPr>
                <w:rFonts w:hint="eastAsia" w:hAnsi="宋体" w:cs="宋体"/>
                <w:color w:val="auto"/>
                <w:kern w:val="0"/>
                <w:sz w:val="21"/>
                <w:szCs w:val="21"/>
                <w:highlight w:val="none"/>
                <w:u w:val="single"/>
              </w:rPr>
              <w:t xml:space="preserve">                   </w:t>
            </w:r>
          </w:p>
          <w:p w14:paraId="204F9C21">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开户银行：</w:t>
            </w:r>
            <w:r>
              <w:rPr>
                <w:rFonts w:hint="eastAsia" w:hAnsi="宋体" w:cs="宋体"/>
                <w:color w:val="auto"/>
                <w:kern w:val="0"/>
                <w:sz w:val="21"/>
                <w:szCs w:val="21"/>
                <w:highlight w:val="none"/>
                <w:u w:val="single"/>
              </w:rPr>
              <w:t xml:space="preserve">                   </w:t>
            </w:r>
          </w:p>
          <w:p w14:paraId="6DFD805E">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账号：</w:t>
            </w:r>
            <w:r>
              <w:rPr>
                <w:rFonts w:hint="eastAsia" w:hAnsi="宋体" w:cs="宋体"/>
                <w:color w:val="auto"/>
                <w:sz w:val="21"/>
                <w:szCs w:val="21"/>
                <w:highlight w:val="none"/>
                <w:u w:val="single"/>
              </w:rPr>
              <w:t xml:space="preserve">                       </w:t>
            </w:r>
          </w:p>
        </w:tc>
      </w:tr>
    </w:tbl>
    <w:p w14:paraId="2421115B">
      <w:pPr>
        <w:spacing w:line="440" w:lineRule="exact"/>
        <w:rPr>
          <w:rFonts w:hint="eastAsia" w:ascii="宋体" w:cs="宋体"/>
          <w:szCs w:val="21"/>
        </w:rPr>
      </w:pPr>
      <w:r>
        <w:rPr>
          <w:rFonts w:hint="eastAsia" w:ascii="宋体" w:cs="宋体"/>
          <w:szCs w:val="21"/>
        </w:rPr>
        <w:t xml:space="preserve">                     </w:t>
      </w:r>
    </w:p>
    <w:p w14:paraId="47DE9D2C">
      <w:pPr>
        <w:spacing w:line="440" w:lineRule="exact"/>
        <w:ind w:firstLine="4410" w:firstLineChars="2100"/>
        <w:rPr>
          <w:rFonts w:hint="eastAsia" w:ascii="宋体" w:cs="宋体"/>
          <w:szCs w:val="21"/>
        </w:rPr>
      </w:pPr>
    </w:p>
    <w:p w14:paraId="73F4574A">
      <w:pPr>
        <w:spacing w:line="440" w:lineRule="exact"/>
        <w:ind w:firstLine="4410" w:firstLineChars="2100"/>
        <w:rPr>
          <w:rFonts w:hint="eastAsia" w:ascii="宋体" w:cs="宋体"/>
          <w:szCs w:val="21"/>
        </w:rPr>
      </w:pPr>
    </w:p>
    <w:p w14:paraId="3943C5F0">
      <w:pPr>
        <w:spacing w:line="440" w:lineRule="exact"/>
        <w:ind w:firstLine="4410" w:firstLineChars="2100"/>
        <w:rPr>
          <w:rFonts w:hint="eastAsia" w:ascii="宋体" w:cs="宋体"/>
          <w:szCs w:val="21"/>
        </w:rPr>
      </w:pPr>
    </w:p>
    <w:p w14:paraId="7FDB86E4">
      <w:pPr>
        <w:pStyle w:val="2"/>
        <w:rPr>
          <w:rFonts w:hint="eastAsia" w:ascii="宋体" w:cs="宋体"/>
          <w:szCs w:val="21"/>
        </w:rPr>
      </w:pPr>
    </w:p>
    <w:p w14:paraId="45D8C436">
      <w:pPr>
        <w:rPr>
          <w:rFonts w:hint="eastAsia" w:ascii="宋体" w:cs="宋体"/>
          <w:szCs w:val="21"/>
        </w:rPr>
      </w:pPr>
    </w:p>
    <w:p w14:paraId="68996332">
      <w:pPr>
        <w:spacing w:line="440" w:lineRule="exact"/>
        <w:rPr>
          <w:rFonts w:hint="eastAsia" w:ascii="宋体" w:cs="宋体"/>
          <w:szCs w:val="21"/>
        </w:rPr>
      </w:pPr>
      <w:r>
        <w:rPr>
          <w:rFonts w:hint="eastAsia" w:ascii="宋体" w:cs="宋体"/>
          <w:szCs w:val="21"/>
        </w:rPr>
        <w:t xml:space="preserve">           </w:t>
      </w:r>
    </w:p>
    <w:p w14:paraId="6E6FB372">
      <w:pPr>
        <w:rPr>
          <w:rFonts w:hint="eastAsia" w:ascii="黑体" w:eastAsia="黑体" w:cs="黑体"/>
        </w:rPr>
      </w:pPr>
      <w:r>
        <w:rPr>
          <w:rFonts w:hint="eastAsia" w:ascii="黑体" w:eastAsia="黑体" w:cs="黑体"/>
        </w:rPr>
        <w:br w:type="page"/>
      </w:r>
    </w:p>
    <w:p w14:paraId="5D951C3C">
      <w:pPr>
        <w:pStyle w:val="8"/>
        <w:jc w:val="center"/>
        <w:rPr>
          <w:rFonts w:hint="eastAsia" w:ascii="黑体" w:eastAsia="黑体" w:cs="黑体"/>
        </w:rPr>
      </w:pPr>
      <w:r>
        <w:rPr>
          <w:rFonts w:hint="eastAsia" w:ascii="黑体" w:eastAsia="黑体" w:cs="黑体"/>
        </w:rPr>
        <w:t>第二节 通用合同条款</w:t>
      </w:r>
    </w:p>
    <w:p w14:paraId="3BD1B480">
      <w:pPr>
        <w:adjustRightInd w:val="0"/>
        <w:snapToGrid w:val="0"/>
        <w:spacing w:line="480" w:lineRule="auto"/>
        <w:ind w:firstLine="562" w:firstLineChars="200"/>
        <w:rPr>
          <w:rFonts w:hint="eastAsia" w:ascii="宋体" w:hAnsi="宋体" w:cs="宋体"/>
          <w:b/>
          <w:bCs/>
          <w:snapToGrid w:val="0"/>
          <w:color w:val="000000"/>
          <w:kern w:val="0"/>
          <w:sz w:val="28"/>
        </w:rPr>
      </w:pPr>
      <w:r>
        <w:rPr>
          <w:rFonts w:hint="eastAsia" w:ascii="宋体" w:hAnsi="宋体" w:cs="宋体"/>
          <w:b/>
          <w:bCs/>
          <w:snapToGrid w:val="0"/>
          <w:color w:val="000000"/>
          <w:kern w:val="0"/>
          <w:sz w:val="28"/>
        </w:rPr>
        <w:t>采用《建设工程施工合同(示范文本)》（GF-2017-0201）中通用合同条款。上述资料由</w:t>
      </w:r>
      <w:r>
        <w:rPr>
          <w:rFonts w:hint="eastAsia" w:ascii="宋体" w:hAnsi="宋体" w:cs="宋体"/>
          <w:b/>
          <w:bCs/>
          <w:snapToGrid w:val="0"/>
          <w:color w:val="000000"/>
          <w:kern w:val="0"/>
          <w:sz w:val="28"/>
          <w:lang w:val="en-US" w:eastAsia="zh-CN"/>
        </w:rPr>
        <w:t>中</w:t>
      </w:r>
      <w:r>
        <w:rPr>
          <w:rFonts w:hint="eastAsia" w:ascii="宋体" w:hAnsi="宋体" w:cs="宋体"/>
          <w:b/>
          <w:bCs/>
          <w:snapToGrid w:val="0"/>
          <w:color w:val="000000"/>
          <w:kern w:val="0"/>
          <w:sz w:val="28"/>
        </w:rPr>
        <w:t>标人自行准备。</w:t>
      </w:r>
    </w:p>
    <w:p w14:paraId="48D17398">
      <w:pPr>
        <w:spacing w:line="440" w:lineRule="exact"/>
        <w:ind w:firstLine="420" w:firstLineChars="200"/>
        <w:rPr>
          <w:rFonts w:hint="eastAsia"/>
        </w:rPr>
      </w:pPr>
    </w:p>
    <w:p w14:paraId="20A9D62C">
      <w:pPr>
        <w:pStyle w:val="8"/>
        <w:jc w:val="center"/>
        <w:rPr>
          <w:rFonts w:hint="eastAsia" w:ascii="黑体" w:eastAsia="黑体" w:cs="黑体"/>
        </w:rPr>
      </w:pPr>
      <w:r>
        <w:rPr>
          <w:rFonts w:hint="eastAsia" w:ascii="黑体" w:eastAsia="黑体" w:cs="黑体"/>
        </w:rPr>
        <w:t>第三节 专用合同条款</w:t>
      </w:r>
    </w:p>
    <w:p w14:paraId="0E66893B">
      <w:pPr>
        <w:pStyle w:val="9"/>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1. 一般约定</w:t>
      </w:r>
    </w:p>
    <w:p w14:paraId="564E7E8D">
      <w:pPr>
        <w:snapToGrid w:val="0"/>
        <w:spacing w:line="440" w:lineRule="exact"/>
        <w:ind w:firstLine="420" w:firstLineChars="200"/>
        <w:rPr>
          <w:rFonts w:hint="eastAsia" w:ascii="宋体" w:cs="宋体"/>
          <w:szCs w:val="21"/>
        </w:rPr>
      </w:pPr>
      <w:r>
        <w:rPr>
          <w:rFonts w:hint="eastAsia" w:ascii="宋体" w:cs="宋体"/>
          <w:szCs w:val="21"/>
        </w:rPr>
        <w:t>1.1 词语定义</w:t>
      </w:r>
    </w:p>
    <w:p w14:paraId="0352C5D3">
      <w:pPr>
        <w:snapToGrid w:val="0"/>
        <w:spacing w:line="440" w:lineRule="exact"/>
        <w:ind w:firstLine="420" w:firstLineChars="200"/>
        <w:rPr>
          <w:rFonts w:hint="eastAsia" w:ascii="宋体" w:cs="宋体"/>
          <w:kern w:val="0"/>
          <w:szCs w:val="21"/>
        </w:rPr>
      </w:pPr>
      <w:r>
        <w:rPr>
          <w:rFonts w:hint="eastAsia" w:ascii="宋体" w:cs="宋体"/>
          <w:kern w:val="0"/>
          <w:szCs w:val="21"/>
        </w:rPr>
        <w:t>1.1.1合同</w:t>
      </w:r>
    </w:p>
    <w:p w14:paraId="6EA12D57">
      <w:pPr>
        <w:snapToGrid w:val="0"/>
        <w:spacing w:line="440" w:lineRule="exact"/>
        <w:ind w:firstLine="420" w:firstLineChars="200"/>
        <w:rPr>
          <w:rFonts w:hint="eastAsia" w:ascii="宋体" w:cs="宋体"/>
          <w:kern w:val="0"/>
          <w:szCs w:val="21"/>
        </w:rPr>
      </w:pPr>
      <w:r>
        <w:rPr>
          <w:rFonts w:hint="eastAsia" w:ascii="宋体" w:cs="宋体"/>
          <w:kern w:val="0"/>
          <w:szCs w:val="21"/>
        </w:rPr>
        <w:t>1.1.1.1其他合同文件包括：</w:t>
      </w:r>
      <w:r>
        <w:rPr>
          <w:rFonts w:hint="eastAsia" w:ascii="宋体" w:cs="宋体"/>
          <w:szCs w:val="21"/>
          <w:u w:val="single"/>
        </w:rPr>
        <w:t xml:space="preserve">本项目招标文件、在合同订立及履行过程中形成的与合同有关的文件均构成合同文件组成部分。 </w:t>
      </w:r>
    </w:p>
    <w:p w14:paraId="3A8F2FC2">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lang w:eastAsia="zh-CN"/>
        </w:rPr>
      </w:pPr>
      <w:r>
        <w:rPr>
          <w:rFonts w:hint="eastAsia" w:ascii="宋体" w:cs="宋体"/>
          <w:szCs w:val="21"/>
        </w:rPr>
        <w:t>1.1.2 合同其他相关方</w:t>
      </w:r>
      <w:r>
        <w:rPr>
          <w:rFonts w:hint="eastAsia" w:ascii="宋体" w:cs="宋体"/>
          <w:szCs w:val="21"/>
          <w:lang w:eastAsia="zh-CN"/>
        </w:rPr>
        <w:t>：</w:t>
      </w:r>
    </w:p>
    <w:p w14:paraId="6FC2FD5D">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1.1.2.4 监理人：</w:t>
      </w:r>
    </w:p>
    <w:p w14:paraId="77E4271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名    称：</w:t>
      </w:r>
      <w:r>
        <w:rPr>
          <w:rFonts w:hint="eastAsia" w:ascii="宋体" w:hAnsi="宋体" w:cs="宋体"/>
          <w:color w:val="000000"/>
          <w:highlight w:val="none"/>
          <w:u w:val="single"/>
        </w:rPr>
        <w:t xml:space="preserve">  </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1DF6448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资质类别和等级：</w:t>
      </w:r>
      <w:r>
        <w:rPr>
          <w:rFonts w:hint="eastAsia" w:ascii="宋体" w:hAnsi="宋体" w:cs="宋体"/>
          <w:color w:val="000000"/>
          <w:highlight w:val="none"/>
          <w:u w:val="single"/>
        </w:rPr>
        <w:t xml:space="preserve">    </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single"/>
        </w:rPr>
        <w:t></w:t>
      </w:r>
      <w:r>
        <w:rPr>
          <w:rFonts w:hint="eastAsia" w:ascii="宋体" w:hAnsi="宋体" w:cs="宋体"/>
          <w:color w:val="000000"/>
          <w:highlight w:val="none"/>
        </w:rPr>
        <w:t>；</w:t>
      </w:r>
    </w:p>
    <w:p w14:paraId="05C8B7B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联系电话：</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281D6EB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电子信箱：</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08AA596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通信地址：</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43B9DEF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1.1.2.5 设计人：</w:t>
      </w:r>
    </w:p>
    <w:p w14:paraId="18D24B2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名    称：</w:t>
      </w:r>
      <w:r>
        <w:rPr>
          <w:rFonts w:hint="eastAsia" w:ascii="宋体" w:hAnsi="宋体" w:cs="宋体"/>
          <w:color w:val="000000"/>
          <w:highlight w:val="none"/>
          <w:u w:val="single"/>
        </w:rPr>
        <w:t xml:space="preserve">     </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08FA030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资质类别和等级：</w:t>
      </w:r>
      <w:r>
        <w:rPr>
          <w:rFonts w:hint="eastAsia" w:ascii="宋体" w:hAnsi="宋体" w:cs="宋体"/>
          <w:color w:val="000000"/>
          <w:highlight w:val="none"/>
          <w:u w:val="single"/>
        </w:rPr>
        <w:t></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single"/>
        </w:rPr>
        <w:t></w:t>
      </w:r>
      <w:r>
        <w:rPr>
          <w:rFonts w:hint="eastAsia" w:ascii="宋体" w:hAnsi="宋体" w:cs="宋体"/>
          <w:color w:val="000000"/>
          <w:highlight w:val="none"/>
        </w:rPr>
        <w:t>；</w:t>
      </w:r>
    </w:p>
    <w:p w14:paraId="30AB894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联系电话：</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1C7D3A0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电子信箱：</w:t>
      </w:r>
      <w:r>
        <w:rPr>
          <w:rFonts w:hint="eastAsia" w:ascii="宋体" w:hAnsi="宋体" w:cs="宋体"/>
          <w:color w:val="000000"/>
          <w:highlight w:val="none"/>
          <w:u w:val="single"/>
        </w:rPr>
        <w:t xml:space="preserve">                                           </w:t>
      </w:r>
      <w:r>
        <w:rPr>
          <w:rFonts w:hint="eastAsia" w:ascii="宋体" w:hAnsi="宋体" w:cs="宋体"/>
          <w:color w:val="000000"/>
          <w:highlight w:val="none"/>
        </w:rPr>
        <w:t>；</w:t>
      </w:r>
    </w:p>
    <w:p w14:paraId="0F3F02F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通信地址：</w:t>
      </w:r>
      <w:r>
        <w:rPr>
          <w:rFonts w:hint="eastAsia" w:ascii="宋体" w:hAnsi="宋体" w:cs="宋体"/>
          <w:color w:val="000000"/>
          <w:highlight w:val="none"/>
          <w:u w:val="single"/>
        </w:rPr>
        <w:t xml:space="preserve">                                         </w:t>
      </w:r>
      <w:r>
        <w:rPr>
          <w:rFonts w:hint="eastAsia" w:ascii="宋体" w:hAnsi="宋体" w:cs="宋体"/>
          <w:color w:val="000000"/>
          <w:highlight w:val="none"/>
        </w:rPr>
        <w:t>。</w:t>
      </w:r>
    </w:p>
    <w:p w14:paraId="72FB988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1.1.3 工程和设备</w:t>
      </w:r>
    </w:p>
    <w:p w14:paraId="3185AED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1.1.3.7 作为施工现场组成部分的其他场所包括：</w:t>
      </w:r>
      <w:r>
        <w:rPr>
          <w:rFonts w:hint="eastAsia" w:ascii="宋体" w:hAnsi="宋体" w:cs="宋体"/>
          <w:color w:val="000000"/>
          <w:u w:val="single"/>
        </w:rPr>
        <w:t xml:space="preserve">  </w:t>
      </w:r>
      <w:r>
        <w:rPr>
          <w:rFonts w:hint="eastAsia" w:ascii="宋体" w:hAnsi="宋体" w:eastAsia="宋体" w:cs="宋体"/>
          <w:color w:val="auto"/>
          <w:szCs w:val="21"/>
          <w:highlight w:val="none"/>
          <w:u w:val="single"/>
        </w:rPr>
        <w:t>见施工图纸并现场确定</w:t>
      </w:r>
      <w:r>
        <w:rPr>
          <w:rFonts w:hint="eastAsia" w:ascii="宋体" w:hAnsi="宋体" w:cs="宋体"/>
          <w:color w:val="000000"/>
          <w:u w:val="single"/>
        </w:rPr>
        <w:t xml:space="preserve">  </w:t>
      </w:r>
      <w:r>
        <w:rPr>
          <w:rFonts w:hint="eastAsia" w:ascii="宋体" w:hAnsi="宋体" w:cs="宋体"/>
          <w:color w:val="000000"/>
        </w:rPr>
        <w:t>。</w:t>
      </w:r>
    </w:p>
    <w:p w14:paraId="3AF81C8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1.1.3.9 永久占地包括：</w:t>
      </w:r>
      <w:r>
        <w:rPr>
          <w:rFonts w:hint="eastAsia" w:ascii="宋体" w:hAnsi="宋体" w:cs="宋体"/>
          <w:color w:val="000000"/>
          <w:u w:val="single"/>
        </w:rPr>
        <w:t xml:space="preserve">     </w:t>
      </w:r>
      <w:r>
        <w:rPr>
          <w:rFonts w:hint="eastAsia" w:ascii="宋体" w:hAnsi="宋体" w:eastAsia="宋体" w:cs="宋体"/>
          <w:color w:val="auto"/>
          <w:szCs w:val="21"/>
          <w:highlight w:val="none"/>
          <w:u w:val="single"/>
        </w:rPr>
        <w:t>见施工图纸</w:t>
      </w:r>
      <w:r>
        <w:rPr>
          <w:rFonts w:hint="eastAsia" w:ascii="宋体" w:hAnsi="宋体" w:cs="宋体"/>
          <w:color w:val="000000"/>
          <w:u w:val="single"/>
        </w:rPr>
        <w:t xml:space="preserve">       </w:t>
      </w:r>
      <w:r>
        <w:rPr>
          <w:rFonts w:hint="eastAsia" w:ascii="宋体" w:hAnsi="宋体" w:cs="宋体"/>
          <w:color w:val="000000"/>
          <w:kern w:val="0"/>
        </w:rPr>
        <w:t>。</w:t>
      </w:r>
    </w:p>
    <w:p w14:paraId="02E584D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kern w:val="0"/>
        </w:rPr>
        <w:t>1.1.3.10 临时占地包括：</w:t>
      </w:r>
      <w:r>
        <w:rPr>
          <w:rFonts w:hint="eastAsia" w:ascii="宋体" w:hAnsi="宋体" w:cs="宋体"/>
          <w:color w:val="000000"/>
          <w:u w:val="single"/>
        </w:rPr>
        <w:t xml:space="preserve">     </w:t>
      </w:r>
      <w:r>
        <w:rPr>
          <w:rFonts w:hint="eastAsia" w:ascii="宋体" w:hAnsi="宋体" w:eastAsia="宋体" w:cs="宋体"/>
          <w:color w:val="auto"/>
          <w:szCs w:val="21"/>
          <w:highlight w:val="none"/>
          <w:u w:val="single"/>
          <w:lang w:val="en-US" w:eastAsia="zh-CN"/>
        </w:rPr>
        <w:t>自行解决</w:t>
      </w:r>
      <w:r>
        <w:rPr>
          <w:rFonts w:hint="eastAsia" w:ascii="宋体" w:hAnsi="宋体" w:cs="宋体"/>
          <w:color w:val="000000"/>
          <w:u w:val="single"/>
        </w:rPr>
        <w:t>  </w:t>
      </w:r>
      <w:r>
        <w:rPr>
          <w:rFonts w:hint="eastAsia" w:ascii="宋体" w:hAnsi="宋体" w:cs="宋体"/>
          <w:color w:val="000000"/>
          <w:kern w:val="0"/>
        </w:rPr>
        <w:t>。</w:t>
      </w:r>
    </w:p>
    <w:p w14:paraId="3C9BD105">
      <w:pPr>
        <w:snapToGrid w:val="0"/>
        <w:spacing w:line="440" w:lineRule="exact"/>
        <w:ind w:firstLine="420" w:firstLineChars="200"/>
        <w:rPr>
          <w:rFonts w:hint="eastAsia" w:ascii="宋体" w:cs="宋体"/>
          <w:szCs w:val="21"/>
        </w:rPr>
      </w:pPr>
      <w:r>
        <w:rPr>
          <w:rFonts w:hint="eastAsia" w:ascii="宋体" w:cs="宋体"/>
          <w:szCs w:val="21"/>
        </w:rPr>
        <w:t xml:space="preserve">1.3法律 </w:t>
      </w:r>
    </w:p>
    <w:p w14:paraId="606A4442">
      <w:pPr>
        <w:autoSpaceDE w:val="0"/>
        <w:autoSpaceDN w:val="0"/>
        <w:adjustRightInd w:val="0"/>
        <w:snapToGrid w:val="0"/>
        <w:spacing w:line="440" w:lineRule="exact"/>
        <w:ind w:firstLine="420" w:firstLineChars="200"/>
        <w:jc w:val="left"/>
        <w:rPr>
          <w:rFonts w:hint="eastAsia" w:ascii="宋体" w:eastAsia="宋体" w:cs="宋体"/>
          <w:szCs w:val="21"/>
          <w:highlight w:val="none"/>
          <w:u w:val="none"/>
          <w:lang w:eastAsia="zh-CN"/>
        </w:rPr>
      </w:pPr>
      <w:r>
        <w:rPr>
          <w:rFonts w:hint="eastAsia" w:ascii="宋体" w:cs="宋体"/>
          <w:szCs w:val="21"/>
          <w:highlight w:val="none"/>
        </w:rPr>
        <w:t>适用于合同的其他规范性文件：</w:t>
      </w:r>
      <w:r>
        <w:rPr>
          <w:rFonts w:hint="eastAsia" w:ascii="宋体" w:cs="宋体"/>
          <w:szCs w:val="21"/>
          <w:highlight w:val="none"/>
          <w:u w:val="single"/>
        </w:rPr>
        <w:t xml:space="preserve"> </w:t>
      </w:r>
      <w:r>
        <w:rPr>
          <w:rFonts w:hint="eastAsia" w:ascii="宋体" w:hAnsi="宋体" w:cs="宋体"/>
          <w:color w:val="000000"/>
          <w:szCs w:val="21"/>
          <w:highlight w:val="none"/>
          <w:u w:val="single"/>
        </w:rPr>
        <w:t>《中华人民共和国民法典》、《中华人民共和国建筑法》、《中华人民共和国招标投标法》、《建设工程质量管理条例》、《建设工程安全生产管理条例》等国家及工程所在地现行有效的法律法规和规章</w:t>
      </w:r>
      <w:r>
        <w:rPr>
          <w:rFonts w:hint="eastAsia" w:ascii="宋体" w:hAnsi="宋体" w:cs="宋体"/>
          <w:color w:val="000000"/>
          <w:szCs w:val="21"/>
          <w:highlight w:val="none"/>
          <w:u w:val="none"/>
          <w:lang w:eastAsia="zh-CN"/>
        </w:rPr>
        <w:t>。</w:t>
      </w:r>
    </w:p>
    <w:p w14:paraId="2E3CF4FF">
      <w:pPr>
        <w:snapToGrid w:val="0"/>
        <w:spacing w:line="440" w:lineRule="exact"/>
        <w:ind w:firstLine="420" w:firstLineChars="200"/>
        <w:rPr>
          <w:rFonts w:hint="eastAsia" w:ascii="宋体" w:cs="宋体"/>
          <w:szCs w:val="21"/>
        </w:rPr>
      </w:pPr>
      <w:r>
        <w:rPr>
          <w:rFonts w:hint="eastAsia" w:ascii="宋体" w:cs="宋体"/>
          <w:szCs w:val="21"/>
        </w:rPr>
        <w:t>1.4 标准和规范</w:t>
      </w:r>
    </w:p>
    <w:p w14:paraId="2A881762">
      <w:pPr>
        <w:snapToGrid w:val="0"/>
        <w:spacing w:line="440" w:lineRule="exact"/>
        <w:ind w:firstLine="420" w:firstLineChars="200"/>
        <w:rPr>
          <w:rFonts w:hint="eastAsia" w:ascii="宋体" w:cs="宋体"/>
          <w:szCs w:val="21"/>
        </w:rPr>
      </w:pPr>
      <w:r>
        <w:rPr>
          <w:rFonts w:hint="eastAsia" w:ascii="宋体" w:cs="宋体"/>
          <w:szCs w:val="21"/>
        </w:rPr>
        <w:t>1.4.1适用于工程的标准规范包括：</w:t>
      </w:r>
      <w:r>
        <w:rPr>
          <w:rFonts w:hint="eastAsia" w:ascii="宋体" w:cs="宋体"/>
          <w:szCs w:val="21"/>
          <w:u w:val="single"/>
        </w:rPr>
        <w:t>中华人民共和国住房和城乡建设部等部门及省、市发布的有关文件</w:t>
      </w:r>
      <w:r>
        <w:rPr>
          <w:rFonts w:hint="eastAsia" w:ascii="宋体" w:cs="宋体"/>
          <w:szCs w:val="21"/>
        </w:rPr>
        <w:t>。</w:t>
      </w:r>
    </w:p>
    <w:p w14:paraId="17E50D49">
      <w:pPr>
        <w:snapToGrid w:val="0"/>
        <w:spacing w:line="440" w:lineRule="exact"/>
        <w:ind w:firstLine="420" w:firstLineChars="200"/>
        <w:rPr>
          <w:rFonts w:hint="eastAsia" w:ascii="宋体" w:cs="宋体"/>
          <w:kern w:val="0"/>
          <w:szCs w:val="21"/>
        </w:rPr>
      </w:pPr>
      <w:r>
        <w:rPr>
          <w:rFonts w:hint="eastAsia" w:ascii="宋体" w:cs="宋体"/>
          <w:kern w:val="0"/>
          <w:szCs w:val="21"/>
        </w:rPr>
        <w:t>1.4.2 发包人提供国外标准、规范的名称：</w:t>
      </w:r>
      <w:r>
        <w:rPr>
          <w:rFonts w:hint="eastAsia" w:ascii="宋体" w:cs="宋体"/>
          <w:kern w:val="0"/>
          <w:szCs w:val="21"/>
          <w:u w:val="single"/>
        </w:rPr>
        <w:t xml:space="preserve"> </w:t>
      </w:r>
      <w:r>
        <w:rPr>
          <w:rFonts w:hint="eastAsia" w:ascii="宋体" w:cs="宋体"/>
          <w:szCs w:val="21"/>
          <w:u w:val="single"/>
        </w:rPr>
        <w:t>承包人自备国内现行适用的标准、规范</w:t>
      </w:r>
      <w:r>
        <w:rPr>
          <w:rFonts w:hint="eastAsia" w:ascii="宋体" w:cs="宋体"/>
          <w:kern w:val="0"/>
          <w:szCs w:val="21"/>
          <w:u w:val="single"/>
        </w:rPr>
        <w:t xml:space="preserve"> </w:t>
      </w:r>
      <w:r>
        <w:rPr>
          <w:rFonts w:hint="eastAsia" w:ascii="宋体" w:cs="宋体"/>
          <w:kern w:val="0"/>
          <w:szCs w:val="21"/>
        </w:rPr>
        <w:t>；</w:t>
      </w:r>
    </w:p>
    <w:p w14:paraId="5628EBE8">
      <w:pPr>
        <w:snapToGrid w:val="0"/>
        <w:spacing w:line="440" w:lineRule="exact"/>
        <w:ind w:firstLine="420" w:firstLineChars="200"/>
        <w:rPr>
          <w:rFonts w:hint="eastAsia" w:ascii="宋体" w:cs="宋体"/>
          <w:kern w:val="0"/>
          <w:szCs w:val="21"/>
        </w:rPr>
      </w:pPr>
      <w:r>
        <w:rPr>
          <w:rFonts w:hint="eastAsia" w:ascii="宋体" w:cs="宋体"/>
          <w:kern w:val="0"/>
          <w:szCs w:val="21"/>
        </w:rPr>
        <w:t>发包人提供国外标准、规范的份数：</w:t>
      </w:r>
      <w:r>
        <w:rPr>
          <w:rFonts w:hint="eastAsia" w:ascii="宋体" w:cs="宋体"/>
          <w:kern w:val="0"/>
          <w:szCs w:val="21"/>
          <w:u w:val="single"/>
        </w:rPr>
        <w:t xml:space="preserve">   无   </w:t>
      </w:r>
      <w:r>
        <w:rPr>
          <w:rFonts w:hint="eastAsia" w:ascii="宋体" w:cs="宋体"/>
          <w:kern w:val="0"/>
          <w:szCs w:val="21"/>
        </w:rPr>
        <w:t>；</w:t>
      </w:r>
    </w:p>
    <w:p w14:paraId="51E7E4F3">
      <w:pPr>
        <w:snapToGrid w:val="0"/>
        <w:spacing w:line="440" w:lineRule="exact"/>
        <w:ind w:firstLine="420" w:firstLineChars="200"/>
        <w:rPr>
          <w:rFonts w:hint="eastAsia" w:ascii="宋体" w:cs="宋体"/>
          <w:szCs w:val="21"/>
        </w:rPr>
      </w:pPr>
      <w:r>
        <w:rPr>
          <w:rFonts w:hint="eastAsia" w:ascii="宋体" w:cs="宋体"/>
          <w:kern w:val="0"/>
          <w:szCs w:val="21"/>
        </w:rPr>
        <w:t>发包人提供国外标准、规范的名称：</w:t>
      </w:r>
      <w:r>
        <w:rPr>
          <w:rFonts w:hint="eastAsia" w:ascii="宋体" w:cs="宋体"/>
          <w:kern w:val="0"/>
          <w:szCs w:val="21"/>
          <w:u w:val="single"/>
        </w:rPr>
        <w:t xml:space="preserve">   无   </w:t>
      </w:r>
      <w:r>
        <w:rPr>
          <w:rFonts w:hint="eastAsia" w:ascii="宋体" w:cs="宋体"/>
          <w:kern w:val="0"/>
          <w:szCs w:val="21"/>
        </w:rPr>
        <w:t>。</w:t>
      </w:r>
    </w:p>
    <w:p w14:paraId="111A04CD">
      <w:pPr>
        <w:snapToGrid w:val="0"/>
        <w:spacing w:line="440" w:lineRule="exact"/>
        <w:ind w:firstLine="420" w:firstLineChars="200"/>
        <w:rPr>
          <w:rFonts w:hint="eastAsia" w:ascii="宋体" w:cs="宋体"/>
          <w:szCs w:val="21"/>
        </w:rPr>
      </w:pPr>
      <w:r>
        <w:rPr>
          <w:rFonts w:hint="eastAsia" w:ascii="宋体" w:cs="宋体"/>
          <w:szCs w:val="21"/>
        </w:rPr>
        <w:t>1.4.3发包人对工程的技术标准和功能要求的特殊要求：</w:t>
      </w:r>
      <w:r>
        <w:rPr>
          <w:rFonts w:hint="eastAsia" w:ascii="宋体" w:cs="宋体"/>
          <w:szCs w:val="21"/>
          <w:u w:val="single"/>
        </w:rPr>
        <w:t xml:space="preserve">按现行规范执行  </w:t>
      </w:r>
      <w:r>
        <w:rPr>
          <w:rFonts w:hint="eastAsia" w:ascii="宋体" w:cs="宋体"/>
          <w:szCs w:val="21"/>
        </w:rPr>
        <w:t>。</w:t>
      </w:r>
    </w:p>
    <w:p w14:paraId="55F86147">
      <w:pPr>
        <w:snapToGrid w:val="0"/>
        <w:spacing w:line="440" w:lineRule="exact"/>
        <w:ind w:firstLine="420" w:firstLineChars="200"/>
        <w:rPr>
          <w:rFonts w:hint="eastAsia" w:ascii="宋体" w:cs="宋体"/>
          <w:szCs w:val="21"/>
        </w:rPr>
      </w:pPr>
      <w:r>
        <w:rPr>
          <w:rFonts w:hint="eastAsia" w:ascii="宋体" w:cs="宋体"/>
          <w:szCs w:val="21"/>
        </w:rPr>
        <w:t>1.5 合同文件的优先顺序</w:t>
      </w:r>
    </w:p>
    <w:p w14:paraId="07F18978">
      <w:pPr>
        <w:snapToGrid w:val="0"/>
        <w:spacing w:line="440" w:lineRule="exact"/>
        <w:ind w:firstLine="420" w:firstLineChars="200"/>
      </w:pPr>
      <w:r>
        <w:rPr>
          <w:rFonts w:hint="eastAsia" w:ascii="宋体" w:cs="宋体"/>
          <w:szCs w:val="21"/>
        </w:rPr>
        <w:t>合同文件组成及优先顺序为：</w:t>
      </w:r>
      <w:r>
        <w:rPr>
          <w:rFonts w:hint="eastAsia" w:ascii="宋体" w:cs="宋体"/>
          <w:szCs w:val="21"/>
          <w:u w:val="single"/>
        </w:rPr>
        <w:t>（1）合同协议书；（2）中</w:t>
      </w:r>
      <w:r>
        <w:rPr>
          <w:rFonts w:hint="eastAsia" w:ascii="宋体" w:cs="宋体"/>
          <w:szCs w:val="21"/>
          <w:u w:val="single"/>
          <w:lang w:val="en-US" w:eastAsia="zh-CN"/>
        </w:rPr>
        <w:t>标</w:t>
      </w:r>
      <w:r>
        <w:rPr>
          <w:rFonts w:hint="eastAsia" w:ascii="宋体" w:cs="宋体"/>
          <w:szCs w:val="21"/>
          <w:u w:val="single"/>
        </w:rPr>
        <w:t>通知书；（3）确认函及其附录；（4）招标文件；（5）专用合同条款及其附件；（6）通用合同条款；（7）技术标准和要求；（8）图纸；（9）已标价工程量清单或预算书；（10）其他合同文件。</w:t>
      </w:r>
    </w:p>
    <w:p w14:paraId="2514E7E6">
      <w:pPr>
        <w:pStyle w:val="2"/>
        <w:spacing w:after="0" w:line="440" w:lineRule="exact"/>
        <w:ind w:left="0" w:leftChars="0"/>
      </w:pPr>
      <w:r>
        <w:t>上述各项合同文件包括合同当事人就该项合同文件所作出的补充和修改，属于同一类内容的文件，应以最新签署的为准。</w:t>
      </w:r>
    </w:p>
    <w:p w14:paraId="3FF7D5E3">
      <w:pPr>
        <w:pStyle w:val="2"/>
        <w:spacing w:after="0" w:line="440" w:lineRule="exact"/>
        <w:ind w:left="0" w:leftChars="0"/>
      </w:pPr>
      <w:r>
        <w:t>在合同订立及履行过程中形成的与合同有关的文件均构成合同文件组成部分，并根据其性质确定优先解释顺序。</w:t>
      </w:r>
    </w:p>
    <w:p w14:paraId="6CE4F3DC">
      <w:pPr>
        <w:snapToGrid w:val="0"/>
        <w:spacing w:line="440" w:lineRule="exact"/>
        <w:ind w:firstLine="420" w:firstLineChars="200"/>
        <w:rPr>
          <w:rFonts w:hint="eastAsia" w:ascii="宋体" w:cs="宋体"/>
          <w:szCs w:val="21"/>
        </w:rPr>
      </w:pPr>
      <w:r>
        <w:rPr>
          <w:rFonts w:hint="eastAsia" w:ascii="宋体" w:cs="宋体"/>
          <w:szCs w:val="21"/>
        </w:rPr>
        <w:t>1.6 图纸和承包人文件</w:t>
      </w:r>
      <w:r>
        <w:rPr>
          <w:rFonts w:hint="eastAsia" w:ascii="宋体" w:cs="宋体"/>
          <w:szCs w:val="21"/>
        </w:rPr>
        <w:tab/>
      </w:r>
    </w:p>
    <w:p w14:paraId="49AE4B8A">
      <w:pPr>
        <w:snapToGrid w:val="0"/>
        <w:spacing w:line="440" w:lineRule="exact"/>
        <w:ind w:firstLine="420" w:firstLineChars="200"/>
        <w:rPr>
          <w:rFonts w:hint="eastAsia" w:ascii="宋体" w:cs="宋体"/>
          <w:szCs w:val="21"/>
        </w:rPr>
      </w:pPr>
      <w:r>
        <w:rPr>
          <w:rFonts w:hint="eastAsia" w:ascii="宋体" w:cs="宋体"/>
          <w:szCs w:val="21"/>
        </w:rPr>
        <w:t>1.6.1 图纸的提供</w:t>
      </w:r>
    </w:p>
    <w:p w14:paraId="4006C2E0">
      <w:pPr>
        <w:snapToGrid w:val="0"/>
        <w:spacing w:line="440" w:lineRule="exact"/>
        <w:ind w:firstLine="420" w:firstLineChars="200"/>
        <w:rPr>
          <w:rFonts w:hint="eastAsia" w:ascii="宋体" w:cs="宋体"/>
          <w:szCs w:val="21"/>
        </w:rPr>
      </w:pPr>
      <w:r>
        <w:rPr>
          <w:rFonts w:hint="eastAsia" w:ascii="宋体" w:cs="宋体"/>
          <w:szCs w:val="21"/>
        </w:rPr>
        <w:t>发包人向承包人提供图纸的期限：</w:t>
      </w:r>
      <w:r>
        <w:rPr>
          <w:rFonts w:hint="eastAsia" w:ascii="宋体" w:cs="宋体"/>
          <w:szCs w:val="21"/>
          <w:u w:val="single"/>
        </w:rPr>
        <w:t xml:space="preserve"> 开工前</w:t>
      </w:r>
      <w:r>
        <w:rPr>
          <w:rFonts w:hint="eastAsia" w:ascii="宋体" w:cs="宋体"/>
          <w:szCs w:val="21"/>
          <w:u w:val="single"/>
          <w:lang w:val="en-US" w:eastAsia="zh-CN"/>
        </w:rPr>
        <w:t>14</w:t>
      </w:r>
      <w:r>
        <w:rPr>
          <w:rFonts w:hint="eastAsia" w:ascii="宋体" w:cs="宋体"/>
          <w:szCs w:val="21"/>
          <w:u w:val="single"/>
        </w:rPr>
        <w:t>天</w:t>
      </w:r>
      <w:r>
        <w:rPr>
          <w:rFonts w:hint="eastAsia" w:ascii="宋体" w:cs="宋体"/>
          <w:szCs w:val="21"/>
        </w:rPr>
        <w:t>；</w:t>
      </w:r>
    </w:p>
    <w:p w14:paraId="0DB10BD2">
      <w:pPr>
        <w:snapToGrid w:val="0"/>
        <w:spacing w:line="440" w:lineRule="exact"/>
        <w:ind w:firstLine="420" w:firstLineChars="200"/>
        <w:rPr>
          <w:rFonts w:hint="eastAsia" w:ascii="宋体" w:cs="宋体"/>
          <w:szCs w:val="21"/>
        </w:rPr>
      </w:pPr>
      <w:r>
        <w:rPr>
          <w:rFonts w:hint="eastAsia" w:ascii="宋体" w:cs="宋体"/>
          <w:szCs w:val="21"/>
        </w:rPr>
        <w:t>发包人向承包人提供图纸的数量：</w:t>
      </w:r>
      <w:r>
        <w:rPr>
          <w:rFonts w:hint="eastAsia" w:ascii="宋体" w:cs="宋体"/>
          <w:szCs w:val="21"/>
          <w:u w:val="single"/>
        </w:rPr>
        <w:t>3份</w:t>
      </w:r>
      <w:r>
        <w:rPr>
          <w:rFonts w:hint="eastAsia" w:ascii="宋体" w:cs="宋体"/>
          <w:szCs w:val="21"/>
          <w:u w:val="single"/>
          <w:lang w:eastAsia="zh-CN"/>
        </w:rPr>
        <w:t>，</w:t>
      </w:r>
      <w:r>
        <w:rPr>
          <w:rFonts w:hint="eastAsia" w:ascii="宋体" w:hAnsi="宋体" w:cs="宋体"/>
          <w:color w:val="000000"/>
          <w:szCs w:val="21"/>
          <w:u w:val="single"/>
        </w:rPr>
        <w:t>不足的由承包人自行复制，费用自理</w:t>
      </w:r>
      <w:r>
        <w:rPr>
          <w:rFonts w:hint="eastAsia" w:ascii="宋体" w:cs="宋体"/>
          <w:szCs w:val="21"/>
          <w:u w:val="single"/>
        </w:rPr>
        <w:t xml:space="preserve"> </w:t>
      </w:r>
      <w:r>
        <w:rPr>
          <w:rFonts w:hint="eastAsia" w:ascii="宋体" w:cs="宋体"/>
          <w:szCs w:val="21"/>
        </w:rPr>
        <w:t>；</w:t>
      </w:r>
    </w:p>
    <w:p w14:paraId="6F027253">
      <w:pPr>
        <w:snapToGrid w:val="0"/>
        <w:spacing w:line="440" w:lineRule="exact"/>
        <w:ind w:firstLine="420" w:firstLineChars="200"/>
        <w:rPr>
          <w:rFonts w:hint="eastAsia" w:ascii="宋体" w:cs="宋体"/>
          <w:szCs w:val="21"/>
        </w:rPr>
      </w:pPr>
      <w:r>
        <w:rPr>
          <w:rFonts w:hint="eastAsia" w:ascii="宋体" w:cs="宋体"/>
          <w:szCs w:val="21"/>
        </w:rPr>
        <w:t>发包人向承包人提供图纸的内容：</w:t>
      </w:r>
      <w:r>
        <w:rPr>
          <w:rFonts w:hint="eastAsia" w:ascii="宋体" w:cs="宋体"/>
          <w:szCs w:val="21"/>
          <w:u w:val="single"/>
        </w:rPr>
        <w:t>全套施工图 </w:t>
      </w:r>
      <w:r>
        <w:rPr>
          <w:rFonts w:hint="eastAsia" w:ascii="宋体" w:cs="宋体"/>
          <w:szCs w:val="21"/>
        </w:rPr>
        <w:t>。</w:t>
      </w:r>
    </w:p>
    <w:p w14:paraId="0FFF32E7">
      <w:pPr>
        <w:snapToGrid w:val="0"/>
        <w:spacing w:line="440" w:lineRule="exact"/>
        <w:ind w:firstLine="420" w:firstLineChars="200"/>
        <w:rPr>
          <w:rFonts w:hint="eastAsia" w:ascii="宋体" w:cs="宋体"/>
          <w:szCs w:val="21"/>
        </w:rPr>
      </w:pPr>
      <w:r>
        <w:rPr>
          <w:rFonts w:hint="eastAsia" w:ascii="宋体" w:cs="宋体"/>
          <w:szCs w:val="21"/>
        </w:rPr>
        <w:t>1.6.4 承包人文件</w:t>
      </w:r>
    </w:p>
    <w:p w14:paraId="4D3450EB">
      <w:pPr>
        <w:snapToGrid w:val="0"/>
        <w:spacing w:line="440" w:lineRule="exact"/>
        <w:ind w:firstLine="420" w:firstLineChars="200"/>
        <w:jc w:val="left"/>
        <w:rPr>
          <w:rFonts w:hint="eastAsia" w:ascii="宋体" w:cs="宋体"/>
          <w:szCs w:val="21"/>
          <w:u w:val="single"/>
        </w:rPr>
      </w:pPr>
      <w:r>
        <w:rPr>
          <w:rFonts w:hint="eastAsia" w:ascii="宋体" w:cs="宋体"/>
          <w:szCs w:val="21"/>
        </w:rPr>
        <w:t>需要由承包人提供的文件，包括：</w:t>
      </w:r>
      <w:r>
        <w:rPr>
          <w:rFonts w:hint="eastAsia" w:ascii="宋体" w:cs="宋体"/>
          <w:szCs w:val="21"/>
          <w:u w:val="single"/>
        </w:rPr>
        <w:t></w:t>
      </w:r>
      <w:r>
        <w:rPr>
          <w:rFonts w:hint="eastAsia" w:ascii="宋体" w:hAnsi="宋体" w:eastAsia="宋体" w:cs="宋体"/>
          <w:color w:val="auto"/>
          <w:szCs w:val="21"/>
          <w:highlight w:val="none"/>
          <w:u w:val="single"/>
        </w:rPr>
        <w:t>按监理要求执行，包括但不限于项目部人员证书、项目部任命文、实施性施工组织设计等</w:t>
      </w:r>
      <w:r>
        <w:rPr>
          <w:rFonts w:hint="eastAsia" w:ascii="宋体" w:cs="宋体"/>
          <w:szCs w:val="21"/>
          <w:u w:val="single"/>
        </w:rPr>
        <w:t xml:space="preserve">  </w:t>
      </w:r>
      <w:r>
        <w:rPr>
          <w:rFonts w:hint="eastAsia" w:ascii="宋体" w:cs="宋体"/>
          <w:szCs w:val="21"/>
        </w:rPr>
        <w:t>；</w:t>
      </w:r>
    </w:p>
    <w:p w14:paraId="7F094FB9">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承包人提供的文件的期限为：</w:t>
      </w:r>
      <w:r>
        <w:rPr>
          <w:rFonts w:hint="eastAsia" w:ascii="宋体" w:cs="宋体"/>
          <w:szCs w:val="21"/>
          <w:highlight w:val="none"/>
          <w:u w:val="single"/>
        </w:rPr>
        <w:t xml:space="preserve">按监理要求执行    </w:t>
      </w:r>
      <w:r>
        <w:rPr>
          <w:rFonts w:hint="eastAsia" w:ascii="宋体" w:cs="宋体"/>
          <w:szCs w:val="21"/>
          <w:highlight w:val="none"/>
        </w:rPr>
        <w:t>；</w:t>
      </w:r>
    </w:p>
    <w:p w14:paraId="4FDFFB2E">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承包人提供的文件的数量为：</w:t>
      </w:r>
      <w:r>
        <w:rPr>
          <w:rFonts w:hint="eastAsia" w:ascii="宋体" w:cs="宋体"/>
          <w:szCs w:val="21"/>
          <w:highlight w:val="none"/>
          <w:u w:val="single"/>
        </w:rPr>
        <w:t>  按</w:t>
      </w:r>
      <w:r>
        <w:rPr>
          <w:rFonts w:hint="eastAsia" w:ascii="宋体" w:hAnsi="Times New Roman" w:eastAsia="宋体" w:cs="宋体"/>
          <w:szCs w:val="21"/>
          <w:highlight w:val="none"/>
          <w:u w:val="single"/>
        </w:rPr>
        <w:t>监理</w:t>
      </w:r>
      <w:r>
        <w:rPr>
          <w:rFonts w:hint="eastAsia" w:ascii="宋体" w:cs="宋体"/>
          <w:szCs w:val="21"/>
          <w:highlight w:val="none"/>
          <w:u w:val="single"/>
        </w:rPr>
        <w:t xml:space="preserve">要求执行    </w:t>
      </w:r>
      <w:r>
        <w:rPr>
          <w:rFonts w:hint="eastAsia" w:ascii="宋体" w:cs="宋体"/>
          <w:szCs w:val="21"/>
          <w:highlight w:val="none"/>
        </w:rPr>
        <w:t>；</w:t>
      </w:r>
    </w:p>
    <w:p w14:paraId="0D7ADC33">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承包人提供的文件的形式为：</w:t>
      </w:r>
      <w:r>
        <w:rPr>
          <w:rFonts w:hint="eastAsia" w:ascii="宋体" w:cs="宋体"/>
          <w:szCs w:val="21"/>
          <w:highlight w:val="none"/>
          <w:u w:val="single"/>
        </w:rPr>
        <w:t>按</w:t>
      </w:r>
      <w:r>
        <w:rPr>
          <w:rFonts w:hint="eastAsia" w:ascii="宋体" w:hAnsi="Times New Roman" w:eastAsia="宋体" w:cs="宋体"/>
          <w:szCs w:val="21"/>
          <w:highlight w:val="none"/>
          <w:u w:val="single"/>
        </w:rPr>
        <w:t>监理</w:t>
      </w:r>
      <w:r>
        <w:rPr>
          <w:rFonts w:hint="eastAsia" w:ascii="宋体" w:cs="宋体"/>
          <w:szCs w:val="21"/>
          <w:highlight w:val="none"/>
          <w:u w:val="single"/>
        </w:rPr>
        <w:t>要求执行  </w:t>
      </w:r>
      <w:r>
        <w:rPr>
          <w:rFonts w:hint="eastAsia" w:ascii="宋体" w:cs="宋体"/>
          <w:szCs w:val="21"/>
          <w:highlight w:val="none"/>
        </w:rPr>
        <w:t>；</w:t>
      </w:r>
    </w:p>
    <w:p w14:paraId="46811BDE">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发包人审批承包人文件的期限：</w:t>
      </w:r>
      <w:r>
        <w:rPr>
          <w:rFonts w:hint="eastAsia" w:ascii="宋体" w:cs="宋体"/>
          <w:szCs w:val="21"/>
          <w:highlight w:val="none"/>
          <w:u w:val="single"/>
        </w:rPr>
        <w:t></w:t>
      </w:r>
      <w:r>
        <w:rPr>
          <w:rFonts w:ascii="宋体" w:hAnsi="宋体" w:eastAsia="宋体" w:cs="宋体"/>
          <w:spacing w:val="-1"/>
          <w:sz w:val="21"/>
          <w:szCs w:val="21"/>
          <w:highlight w:val="none"/>
          <w:u w:val="single" w:color="auto"/>
        </w:rPr>
        <w:t>收到文件后七日内</w:t>
      </w:r>
      <w:r>
        <w:rPr>
          <w:rFonts w:hint="eastAsia" w:ascii="宋体" w:cs="宋体"/>
          <w:szCs w:val="21"/>
          <w:highlight w:val="none"/>
          <w:u w:val="single"/>
        </w:rPr>
        <w:t xml:space="preserve"> </w:t>
      </w:r>
      <w:r>
        <w:rPr>
          <w:rFonts w:hint="eastAsia" w:ascii="宋体" w:cs="宋体"/>
          <w:szCs w:val="21"/>
          <w:highlight w:val="none"/>
        </w:rPr>
        <w:t>。</w:t>
      </w:r>
    </w:p>
    <w:p w14:paraId="459C45CB">
      <w:pPr>
        <w:snapToGrid w:val="0"/>
        <w:spacing w:line="440" w:lineRule="exact"/>
        <w:ind w:firstLine="420" w:firstLineChars="200"/>
        <w:rPr>
          <w:rFonts w:hint="eastAsia" w:ascii="宋体" w:cs="宋体"/>
          <w:szCs w:val="21"/>
        </w:rPr>
      </w:pPr>
      <w:r>
        <w:rPr>
          <w:rFonts w:hint="eastAsia" w:ascii="宋体" w:cs="宋体"/>
          <w:szCs w:val="21"/>
        </w:rPr>
        <w:t>1.6.5 图纸和承包人文件的保管</w:t>
      </w:r>
    </w:p>
    <w:p w14:paraId="31BDD3BA">
      <w:pPr>
        <w:snapToGrid w:val="0"/>
        <w:spacing w:line="440" w:lineRule="exact"/>
        <w:ind w:firstLine="420" w:firstLineChars="200"/>
        <w:rPr>
          <w:rFonts w:hint="eastAsia" w:ascii="宋体" w:cs="宋体"/>
          <w:szCs w:val="21"/>
          <w:highlight w:val="none"/>
        </w:rPr>
      </w:pPr>
      <w:r>
        <w:rPr>
          <w:rFonts w:hint="eastAsia" w:ascii="宋体" w:cs="宋体"/>
          <w:szCs w:val="21"/>
        </w:rPr>
        <w:t>关于图纸和承包人文件的保管的约定：</w:t>
      </w:r>
      <w:r>
        <w:rPr>
          <w:rFonts w:hint="eastAsia" w:ascii="宋体" w:cs="宋体"/>
          <w:szCs w:val="21"/>
          <w:u w:val="single"/>
        </w:rPr>
        <w:t>除专用合同条款另有约定外，承包人应在施工现场另外</w:t>
      </w:r>
      <w:r>
        <w:rPr>
          <w:rFonts w:hint="eastAsia" w:ascii="宋体" w:cs="宋体"/>
          <w:szCs w:val="21"/>
          <w:highlight w:val="none"/>
          <w:u w:val="single"/>
        </w:rPr>
        <w:t>保存一套完整的图纸和承包人文件，供发包人、</w:t>
      </w:r>
      <w:r>
        <w:rPr>
          <w:rFonts w:hint="eastAsia" w:ascii="宋体" w:hAnsi="Times New Roman" w:eastAsia="宋体" w:cs="宋体"/>
          <w:szCs w:val="21"/>
          <w:highlight w:val="none"/>
          <w:u w:val="single"/>
        </w:rPr>
        <w:t>监理人</w:t>
      </w:r>
      <w:r>
        <w:rPr>
          <w:rFonts w:hint="eastAsia" w:ascii="宋体" w:cs="宋体"/>
          <w:szCs w:val="21"/>
          <w:highlight w:val="none"/>
          <w:u w:val="single"/>
        </w:rPr>
        <w:t>及有关人员进行工程检查时使用</w:t>
      </w:r>
      <w:r>
        <w:rPr>
          <w:rFonts w:hint="eastAsia" w:ascii="宋体" w:cs="宋体"/>
          <w:szCs w:val="21"/>
          <w:highlight w:val="none"/>
        </w:rPr>
        <w:t>。</w:t>
      </w:r>
    </w:p>
    <w:p w14:paraId="1B98A67A">
      <w:pPr>
        <w:snapToGrid w:val="0"/>
        <w:spacing w:line="440" w:lineRule="exact"/>
        <w:ind w:firstLine="420" w:firstLineChars="200"/>
        <w:rPr>
          <w:rFonts w:hint="eastAsia" w:ascii="宋体" w:cs="宋体"/>
          <w:szCs w:val="21"/>
        </w:rPr>
      </w:pPr>
      <w:r>
        <w:rPr>
          <w:rFonts w:hint="eastAsia" w:ascii="宋体" w:cs="宋体"/>
          <w:szCs w:val="21"/>
        </w:rPr>
        <w:t>1.7 联络</w:t>
      </w:r>
    </w:p>
    <w:p w14:paraId="5082B600">
      <w:pPr>
        <w:snapToGrid w:val="0"/>
        <w:spacing w:line="440" w:lineRule="exact"/>
        <w:ind w:firstLine="420" w:firstLineChars="200"/>
        <w:jc w:val="left"/>
        <w:rPr>
          <w:rFonts w:hint="eastAsia" w:ascii="宋体" w:cs="宋体"/>
          <w:kern w:val="0"/>
          <w:szCs w:val="21"/>
        </w:rPr>
      </w:pPr>
      <w:r>
        <w:rPr>
          <w:rFonts w:hint="eastAsia" w:ascii="宋体" w:cs="宋体"/>
          <w:kern w:val="0"/>
          <w:szCs w:val="21"/>
        </w:rPr>
        <w:t>1.7.1发包人和承包人应当在</w:t>
      </w:r>
      <w:r>
        <w:rPr>
          <w:rFonts w:hint="eastAsia" w:ascii="宋体" w:cs="宋体"/>
          <w:szCs w:val="21"/>
          <w:u w:val="single"/>
        </w:rPr>
        <w:t xml:space="preserve">7  </w:t>
      </w:r>
      <w:r>
        <w:rPr>
          <w:rFonts w:hint="eastAsia" w:ascii="宋体" w:cs="宋体"/>
          <w:kern w:val="0"/>
          <w:szCs w:val="21"/>
        </w:rPr>
        <w:t>天内将与合同有关的通知、批准、证明、证书、指示、指令、要求、请求、同意、意见、确定和决定等书面函件送达对方当事人。</w:t>
      </w:r>
    </w:p>
    <w:p w14:paraId="49589ADB">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1.7.2 发包人接收文件的地点：</w:t>
      </w:r>
      <w:r>
        <w:rPr>
          <w:rFonts w:hint="eastAsia" w:ascii="宋体" w:cs="宋体"/>
          <w:szCs w:val="21"/>
          <w:highlight w:val="none"/>
          <w:u w:val="single"/>
        </w:rPr>
        <w:t></w:t>
      </w:r>
      <w:r>
        <w:rPr>
          <w:rFonts w:hint="eastAsia" w:ascii="宋体" w:hAnsi="Times New Roman" w:eastAsia="宋体" w:cs="宋体"/>
          <w:szCs w:val="21"/>
          <w:highlight w:val="none"/>
          <w:u w:val="single"/>
          <w:lang w:val="en-US" w:eastAsia="zh-CN"/>
        </w:rPr>
        <w:t>安徽省滁州市南谯区中都大道1598号15层</w:t>
      </w:r>
      <w:r>
        <w:rPr>
          <w:rFonts w:hint="eastAsia" w:ascii="宋体" w:cs="宋体"/>
          <w:szCs w:val="21"/>
          <w:highlight w:val="none"/>
          <w:u w:val="single"/>
        </w:rPr>
        <w:t></w:t>
      </w:r>
      <w:r>
        <w:rPr>
          <w:rFonts w:hint="eastAsia" w:ascii="宋体" w:cs="宋体"/>
          <w:kern w:val="0"/>
          <w:szCs w:val="21"/>
          <w:highlight w:val="none"/>
        </w:rPr>
        <w:t>；</w:t>
      </w:r>
    </w:p>
    <w:p w14:paraId="7F9F8532">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发包人指定的接收人为：</w:t>
      </w:r>
      <w:r>
        <w:rPr>
          <w:rFonts w:hint="eastAsia" w:ascii="宋体" w:cs="宋体"/>
          <w:szCs w:val="21"/>
          <w:highlight w:val="none"/>
          <w:u w:val="single"/>
        </w:rPr>
        <w:t>发包人代表</w:t>
      </w:r>
      <w:r>
        <w:rPr>
          <w:rFonts w:hint="eastAsia" w:ascii="宋体" w:cs="宋体"/>
          <w:kern w:val="0"/>
          <w:szCs w:val="21"/>
          <w:highlight w:val="none"/>
        </w:rPr>
        <w:t>；</w:t>
      </w:r>
    </w:p>
    <w:p w14:paraId="1AB726B2">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承包人接收文件的地点：</w:t>
      </w:r>
      <w:r>
        <w:rPr>
          <w:rFonts w:hint="eastAsia" w:ascii="宋体" w:cs="宋体"/>
          <w:szCs w:val="21"/>
          <w:highlight w:val="none"/>
          <w:u w:val="single"/>
        </w:rPr>
        <w:t></w:t>
      </w:r>
      <w:r>
        <w:rPr>
          <w:rFonts w:hint="eastAsia"/>
          <w:color w:val="auto"/>
          <w:highlight w:val="none"/>
          <w:u w:val="single"/>
        </w:rPr>
        <w:t>项目所在地承包人项目部</w:t>
      </w:r>
      <w:r>
        <w:rPr>
          <w:rFonts w:hint="eastAsia" w:ascii="宋体" w:cs="宋体"/>
          <w:szCs w:val="21"/>
          <w:highlight w:val="none"/>
          <w:u w:val="single"/>
        </w:rPr>
        <w:t></w:t>
      </w:r>
      <w:r>
        <w:rPr>
          <w:rFonts w:hint="eastAsia" w:ascii="宋体" w:cs="宋体"/>
          <w:kern w:val="0"/>
          <w:szCs w:val="21"/>
          <w:highlight w:val="none"/>
        </w:rPr>
        <w:t>；</w:t>
      </w:r>
    </w:p>
    <w:p w14:paraId="07356DA8">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承包人指定的接收人为：</w:t>
      </w:r>
      <w:r>
        <w:rPr>
          <w:rFonts w:hint="eastAsia" w:ascii="宋体" w:cs="宋体"/>
          <w:szCs w:val="21"/>
          <w:highlight w:val="none"/>
          <w:u w:val="single"/>
        </w:rPr>
        <w:t>项目负责人</w:t>
      </w:r>
      <w:r>
        <w:rPr>
          <w:rFonts w:hint="eastAsia" w:ascii="宋体" w:cs="宋体"/>
          <w:kern w:val="0"/>
          <w:szCs w:val="21"/>
          <w:highlight w:val="none"/>
        </w:rPr>
        <w:t>。</w:t>
      </w:r>
    </w:p>
    <w:p w14:paraId="4C410AE1">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监理人接收文件的地点：</w:t>
      </w:r>
      <w:r>
        <w:rPr>
          <w:rFonts w:hint="eastAsia" w:ascii="宋体" w:cs="宋体"/>
          <w:szCs w:val="21"/>
          <w:highlight w:val="none"/>
          <w:u w:val="single"/>
        </w:rPr>
        <w:t xml:space="preserve"> </w:t>
      </w:r>
      <w:r>
        <w:rPr>
          <w:rFonts w:hint="eastAsia"/>
          <w:color w:val="auto"/>
          <w:highlight w:val="none"/>
          <w:u w:val="single"/>
        </w:rPr>
        <w:t>项目所在地监理人</w:t>
      </w:r>
      <w:r>
        <w:rPr>
          <w:rFonts w:hint="eastAsia"/>
          <w:color w:val="auto"/>
          <w:highlight w:val="none"/>
          <w:u w:val="single"/>
          <w:lang w:eastAsia="zh-CN"/>
        </w:rPr>
        <w:t>办公处</w:t>
      </w:r>
      <w:r>
        <w:rPr>
          <w:rFonts w:hint="eastAsia" w:ascii="宋体" w:cs="宋体"/>
          <w:szCs w:val="21"/>
          <w:highlight w:val="none"/>
          <w:u w:val="single"/>
        </w:rPr>
        <w:t></w:t>
      </w:r>
      <w:r>
        <w:rPr>
          <w:rFonts w:hint="eastAsia" w:ascii="宋体" w:cs="宋体"/>
          <w:kern w:val="0"/>
          <w:szCs w:val="21"/>
          <w:highlight w:val="none"/>
        </w:rPr>
        <w:t>；</w:t>
      </w:r>
    </w:p>
    <w:p w14:paraId="3E8F5999">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监理人指定的接收人为：</w:t>
      </w:r>
      <w:r>
        <w:rPr>
          <w:rFonts w:hint="eastAsia" w:ascii="宋体" w:cs="宋体"/>
          <w:szCs w:val="21"/>
          <w:highlight w:val="none"/>
          <w:u w:val="single"/>
        </w:rPr>
        <w:t></w:t>
      </w:r>
      <w:r>
        <w:rPr>
          <w:rFonts w:hint="eastAsia" w:ascii="宋体" w:hAnsi="Times New Roman" w:eastAsia="宋体" w:cs="宋体"/>
          <w:szCs w:val="21"/>
          <w:highlight w:val="none"/>
          <w:u w:val="single"/>
        </w:rPr>
        <w:t xml:space="preserve">总监理工程师或总监代表 </w:t>
      </w:r>
      <w:r>
        <w:rPr>
          <w:rFonts w:hint="eastAsia" w:ascii="宋体" w:cs="宋体"/>
          <w:szCs w:val="21"/>
          <w:highlight w:val="none"/>
          <w:u w:val="single"/>
        </w:rPr>
        <w:t></w:t>
      </w:r>
      <w:r>
        <w:rPr>
          <w:rFonts w:hint="eastAsia" w:ascii="宋体" w:cs="宋体"/>
          <w:kern w:val="0"/>
          <w:szCs w:val="21"/>
          <w:highlight w:val="none"/>
        </w:rPr>
        <w:t>。</w:t>
      </w:r>
    </w:p>
    <w:p w14:paraId="4F9B4DB7">
      <w:pPr>
        <w:snapToGrid w:val="0"/>
        <w:spacing w:line="440" w:lineRule="exact"/>
        <w:ind w:firstLine="420" w:firstLineChars="200"/>
        <w:rPr>
          <w:rFonts w:hint="eastAsia" w:ascii="宋体" w:cs="宋体"/>
          <w:szCs w:val="21"/>
        </w:rPr>
      </w:pPr>
      <w:r>
        <w:rPr>
          <w:rFonts w:hint="eastAsia" w:ascii="宋体" w:cs="宋体"/>
          <w:szCs w:val="21"/>
        </w:rPr>
        <w:t>1.10 交通运输</w:t>
      </w:r>
    </w:p>
    <w:p w14:paraId="617E6E39">
      <w:pPr>
        <w:snapToGrid w:val="0"/>
        <w:spacing w:line="440" w:lineRule="exact"/>
        <w:ind w:firstLine="420" w:firstLineChars="200"/>
        <w:rPr>
          <w:rFonts w:hint="eastAsia" w:ascii="宋体" w:cs="宋体"/>
          <w:szCs w:val="21"/>
        </w:rPr>
      </w:pPr>
      <w:r>
        <w:rPr>
          <w:rFonts w:hint="eastAsia" w:ascii="宋体" w:cs="宋体"/>
          <w:szCs w:val="21"/>
        </w:rPr>
        <w:t>1.10.1 出入现场的权利</w:t>
      </w:r>
    </w:p>
    <w:p w14:paraId="634FADF8">
      <w:pPr>
        <w:snapToGrid w:val="0"/>
        <w:spacing w:line="440" w:lineRule="exact"/>
        <w:ind w:firstLine="420" w:firstLineChars="200"/>
        <w:rPr>
          <w:rFonts w:hint="eastAsia" w:ascii="宋体" w:cs="宋体"/>
          <w:szCs w:val="21"/>
          <w:u w:val="single"/>
        </w:rPr>
      </w:pPr>
      <w:r>
        <w:rPr>
          <w:rFonts w:hint="eastAsia" w:ascii="宋体" w:cs="宋体"/>
          <w:szCs w:val="21"/>
        </w:rPr>
        <w:t>关于出入现场的权利的约定：</w:t>
      </w:r>
      <w:r>
        <w:rPr>
          <w:rFonts w:hint="eastAsia" w:ascii="宋体" w:hAnsi="宋体" w:cs="宋体"/>
          <w:color w:val="auto"/>
          <w:szCs w:val="21"/>
          <w:u w:val="single"/>
          <w:lang w:val="en-US" w:eastAsia="zh-CN"/>
        </w:rPr>
        <w:t>承包人</w:t>
      </w:r>
      <w:r>
        <w:rPr>
          <w:rFonts w:hint="eastAsia" w:ascii="宋体" w:hAnsi="宋体" w:eastAsia="宋体" w:cs="宋体"/>
          <w:color w:val="auto"/>
          <w:szCs w:val="21"/>
          <w:highlight w:val="none"/>
          <w:u w:val="single"/>
        </w:rPr>
        <w:t>应根据施工需要，</w:t>
      </w:r>
      <w:r>
        <w:rPr>
          <w:rFonts w:hint="eastAsia" w:ascii="宋体" w:hAnsi="宋体" w:eastAsia="宋体" w:cs="宋体"/>
          <w:color w:val="auto"/>
          <w:szCs w:val="21"/>
          <w:highlight w:val="none"/>
          <w:u w:val="single"/>
          <w:lang w:val="en-US" w:eastAsia="zh-CN"/>
        </w:rPr>
        <w:t>自行</w:t>
      </w:r>
      <w:r>
        <w:rPr>
          <w:rFonts w:hint="eastAsia" w:ascii="宋体" w:hAnsi="宋体" w:eastAsia="宋体" w:cs="宋体"/>
          <w:color w:val="auto"/>
          <w:szCs w:val="21"/>
          <w:highlight w:val="none"/>
          <w:u w:val="single"/>
        </w:rPr>
        <w:t>负责取得出入施工现场所需的批准手续，以及取得因施工所需修建道路、桥梁以及其他基础设施并承担相关手续费用和建设费用</w:t>
      </w:r>
      <w:r>
        <w:rPr>
          <w:rFonts w:hint="eastAsia" w:ascii="宋体" w:cs="宋体"/>
          <w:szCs w:val="21"/>
          <w:u w:val="single"/>
        </w:rPr>
        <w:t>。</w:t>
      </w:r>
    </w:p>
    <w:p w14:paraId="38163A1B">
      <w:pPr>
        <w:widowControl/>
        <w:snapToGrid w:val="0"/>
        <w:spacing w:line="440" w:lineRule="exact"/>
        <w:ind w:firstLine="420" w:firstLineChars="200"/>
        <w:rPr>
          <w:rFonts w:hint="eastAsia" w:ascii="宋体" w:cs="宋体"/>
          <w:szCs w:val="21"/>
        </w:rPr>
      </w:pPr>
      <w:r>
        <w:rPr>
          <w:rFonts w:hint="eastAsia" w:ascii="宋体" w:cs="宋体"/>
          <w:szCs w:val="21"/>
        </w:rPr>
        <w:t>1.10.3 场内交通</w:t>
      </w:r>
    </w:p>
    <w:p w14:paraId="77E56A02">
      <w:pPr>
        <w:snapToGrid w:val="0"/>
        <w:spacing w:line="440" w:lineRule="exact"/>
        <w:ind w:firstLine="420" w:firstLineChars="200"/>
        <w:jc w:val="left"/>
        <w:rPr>
          <w:rFonts w:hint="eastAsia" w:ascii="宋体" w:cs="宋体"/>
          <w:szCs w:val="21"/>
          <w:u w:val="single"/>
        </w:rPr>
      </w:pPr>
      <w:r>
        <w:rPr>
          <w:rFonts w:hint="eastAsia" w:ascii="宋体" w:cs="宋体"/>
          <w:kern w:val="0"/>
          <w:szCs w:val="21"/>
        </w:rPr>
        <w:t>关于场外交通和场内交通的边界的约定：</w:t>
      </w:r>
      <w:r>
        <w:rPr>
          <w:rFonts w:hint="eastAsia" w:ascii="宋体" w:hAnsi="宋体" w:eastAsia="宋体" w:cs="宋体"/>
          <w:color w:val="auto"/>
          <w:szCs w:val="21"/>
          <w:highlight w:val="none"/>
          <w:u w:val="single"/>
        </w:rPr>
        <w:t>场内交通设施和道路由承包人负责建设，发包人不另支付费用，场内交通边界现场确定</w:t>
      </w:r>
      <w:r>
        <w:rPr>
          <w:rFonts w:hint="eastAsia" w:ascii="宋体" w:cs="宋体"/>
          <w:szCs w:val="21"/>
        </w:rPr>
        <w:t>。</w:t>
      </w:r>
    </w:p>
    <w:p w14:paraId="214E44E9">
      <w:pPr>
        <w:snapToGrid w:val="0"/>
        <w:spacing w:line="440" w:lineRule="exact"/>
        <w:ind w:firstLine="420" w:firstLineChars="200"/>
        <w:jc w:val="left"/>
        <w:rPr>
          <w:rFonts w:hint="eastAsia" w:ascii="宋体" w:cs="宋体"/>
          <w:szCs w:val="21"/>
        </w:rPr>
      </w:pPr>
      <w:r>
        <w:rPr>
          <w:rFonts w:hint="eastAsia" w:ascii="宋体" w:cs="宋体"/>
          <w:szCs w:val="21"/>
        </w:rPr>
        <w:t>关于发包人向承包人免费提供满足工程施工需要的场内道路和交通设施的约定：</w:t>
      </w:r>
      <w:r>
        <w:rPr>
          <w:rFonts w:hint="eastAsia" w:ascii="宋体" w:cs="宋体"/>
          <w:szCs w:val="21"/>
          <w:u w:val="single"/>
        </w:rPr>
        <w:t xml:space="preserve">自行踏勘，自行解决 </w:t>
      </w:r>
      <w:r>
        <w:rPr>
          <w:rFonts w:hint="eastAsia" w:ascii="宋体" w:cs="宋体"/>
          <w:szCs w:val="21"/>
        </w:rPr>
        <w:t>。</w:t>
      </w:r>
    </w:p>
    <w:p w14:paraId="7078FB7B">
      <w:pPr>
        <w:snapToGrid w:val="0"/>
        <w:spacing w:line="440" w:lineRule="exact"/>
        <w:ind w:firstLine="420" w:firstLineChars="200"/>
        <w:jc w:val="left"/>
        <w:rPr>
          <w:rFonts w:hint="eastAsia" w:ascii="宋体" w:cs="宋体"/>
          <w:szCs w:val="21"/>
        </w:rPr>
      </w:pPr>
      <w:r>
        <w:rPr>
          <w:rFonts w:hint="eastAsia" w:ascii="宋体" w:cs="宋体"/>
          <w:szCs w:val="21"/>
        </w:rPr>
        <w:t>1.10.4超大件和超重件的运输</w:t>
      </w:r>
    </w:p>
    <w:p w14:paraId="6D788909">
      <w:pPr>
        <w:snapToGrid w:val="0"/>
        <w:spacing w:line="440" w:lineRule="exact"/>
        <w:ind w:firstLine="420" w:firstLineChars="200"/>
        <w:jc w:val="left"/>
        <w:rPr>
          <w:rFonts w:hint="eastAsia" w:ascii="宋体" w:cs="宋体"/>
          <w:szCs w:val="21"/>
        </w:rPr>
      </w:pPr>
      <w:r>
        <w:rPr>
          <w:rFonts w:hint="eastAsia" w:ascii="宋体" w:cs="宋体"/>
          <w:szCs w:val="21"/>
        </w:rPr>
        <w:t>运输超大件或超重件所需的道路和桥梁临时加固改造费用和其他有关费用由</w:t>
      </w:r>
      <w:r>
        <w:rPr>
          <w:rFonts w:hint="eastAsia" w:ascii="宋体" w:cs="宋体"/>
          <w:szCs w:val="21"/>
          <w:u w:val="single"/>
        </w:rPr>
        <w:t xml:space="preserve">  承包</w:t>
      </w:r>
      <w:r>
        <w:rPr>
          <w:rFonts w:hint="eastAsia" w:ascii="宋体" w:cs="宋体"/>
          <w:szCs w:val="21"/>
          <w:u w:val="single"/>
          <w:lang w:val="en-US" w:eastAsia="zh-CN"/>
        </w:rPr>
        <w:t>人</w:t>
      </w:r>
      <w:r>
        <w:rPr>
          <w:rFonts w:hint="eastAsia" w:ascii="宋体" w:cs="宋体"/>
          <w:szCs w:val="21"/>
          <w:u w:val="single"/>
        </w:rPr>
        <w:t xml:space="preserve"> </w:t>
      </w:r>
      <w:r>
        <w:rPr>
          <w:rFonts w:hint="eastAsia" w:ascii="宋体" w:cs="宋体"/>
          <w:szCs w:val="21"/>
        </w:rPr>
        <w:t>承担。</w:t>
      </w:r>
    </w:p>
    <w:p w14:paraId="35C87F96">
      <w:pPr>
        <w:snapToGrid w:val="0"/>
        <w:spacing w:line="440" w:lineRule="exact"/>
        <w:ind w:firstLine="420" w:firstLineChars="200"/>
        <w:rPr>
          <w:rFonts w:hint="eastAsia" w:ascii="宋体" w:cs="宋体"/>
          <w:szCs w:val="21"/>
        </w:rPr>
      </w:pPr>
      <w:r>
        <w:rPr>
          <w:rFonts w:hint="eastAsia" w:ascii="宋体" w:cs="宋体"/>
          <w:szCs w:val="21"/>
        </w:rPr>
        <w:t>1.11 知识产权</w:t>
      </w:r>
    </w:p>
    <w:p w14:paraId="544F09B6">
      <w:pPr>
        <w:snapToGrid w:val="0"/>
        <w:spacing w:line="440" w:lineRule="exact"/>
        <w:ind w:firstLine="420" w:firstLineChars="200"/>
        <w:rPr>
          <w:rFonts w:hint="eastAsia" w:ascii="宋体" w:cs="宋体"/>
          <w:szCs w:val="21"/>
          <w:u w:val="single"/>
        </w:rPr>
      </w:pPr>
      <w:r>
        <w:rPr>
          <w:rFonts w:hint="eastAsia" w:ascii="宋体" w:cs="宋体"/>
          <w:szCs w:val="21"/>
        </w:rPr>
        <w:t>1.11.1关于发包人提供给承包人的图纸、发包人为实施工程自行编制或委托编制的技术规范以及反映发包人关于合同要求或其他类似性质的文件的著作权的归属：</w:t>
      </w:r>
      <w:r>
        <w:rPr>
          <w:rFonts w:hint="eastAsia" w:ascii="宋体" w:cs="宋体"/>
          <w:szCs w:val="21"/>
          <w:u w:val="single"/>
        </w:rPr>
        <w:t xml:space="preserve">发包人 </w:t>
      </w:r>
      <w:r>
        <w:rPr>
          <w:rFonts w:hint="eastAsia" w:ascii="宋体" w:cs="宋体"/>
          <w:szCs w:val="21"/>
        </w:rPr>
        <w:t>。</w:t>
      </w:r>
    </w:p>
    <w:p w14:paraId="577765A7">
      <w:pPr>
        <w:snapToGrid w:val="0"/>
        <w:spacing w:line="440" w:lineRule="exact"/>
        <w:ind w:firstLine="420" w:firstLineChars="200"/>
        <w:rPr>
          <w:rFonts w:hint="eastAsia" w:ascii="宋体" w:cs="宋体"/>
          <w:szCs w:val="21"/>
        </w:rPr>
      </w:pPr>
      <w:r>
        <w:rPr>
          <w:rFonts w:hint="eastAsia" w:ascii="宋体" w:cs="宋体"/>
          <w:szCs w:val="21"/>
        </w:rPr>
        <w:t>关于发包人提供的上述文件的使用限制的要求：</w:t>
      </w:r>
      <w:r>
        <w:rPr>
          <w:rFonts w:hint="eastAsia" w:ascii="宋体" w:hAnsi="宋体" w:eastAsia="宋体" w:cs="宋体"/>
          <w:color w:val="auto"/>
          <w:szCs w:val="21"/>
          <w:highlight w:val="none"/>
          <w:u w:val="single"/>
        </w:rPr>
        <w:t>未经发包人书面同意，承包人不得为了合同以外的目的而复制、使用上述文件或将之提供给任何第三方</w:t>
      </w:r>
      <w:r>
        <w:rPr>
          <w:rFonts w:hint="eastAsia" w:ascii="宋体" w:cs="宋体"/>
          <w:szCs w:val="21"/>
          <w:u w:val="single"/>
        </w:rPr>
        <w:t>。</w:t>
      </w:r>
    </w:p>
    <w:p w14:paraId="0A5E29E5">
      <w:pPr>
        <w:snapToGrid w:val="0"/>
        <w:spacing w:line="440" w:lineRule="exact"/>
        <w:ind w:firstLine="420" w:firstLineChars="200"/>
        <w:rPr>
          <w:rFonts w:hint="eastAsia" w:ascii="宋体" w:cs="宋体"/>
          <w:szCs w:val="21"/>
        </w:rPr>
      </w:pPr>
      <w:r>
        <w:rPr>
          <w:rFonts w:hint="eastAsia" w:ascii="宋体" w:cs="宋体"/>
          <w:szCs w:val="21"/>
        </w:rPr>
        <w:t>1.11.2 关于承包人为实施工程所编制文件的著作权的归属：</w:t>
      </w:r>
      <w:r>
        <w:rPr>
          <w:rFonts w:hint="eastAsia" w:ascii="宋体" w:cs="宋体"/>
          <w:szCs w:val="21"/>
          <w:u w:val="single"/>
        </w:rPr>
        <w:t xml:space="preserve"> 发包人  </w:t>
      </w:r>
      <w:r>
        <w:rPr>
          <w:rFonts w:hint="eastAsia" w:ascii="宋体" w:cs="宋体"/>
          <w:szCs w:val="21"/>
        </w:rPr>
        <w:t>。</w:t>
      </w:r>
    </w:p>
    <w:p w14:paraId="0A376C87">
      <w:pPr>
        <w:snapToGrid w:val="0"/>
        <w:spacing w:line="440" w:lineRule="exact"/>
        <w:ind w:firstLine="420" w:firstLineChars="200"/>
        <w:rPr>
          <w:rFonts w:hint="eastAsia" w:ascii="宋体" w:cs="宋体"/>
          <w:szCs w:val="21"/>
          <w:u w:val="single"/>
        </w:rPr>
      </w:pPr>
      <w:r>
        <w:rPr>
          <w:rFonts w:hint="eastAsia" w:ascii="宋体" w:cs="宋体"/>
          <w:szCs w:val="21"/>
        </w:rPr>
        <w:t>关于承包人提供的上述文件的使用限制的要求：</w:t>
      </w:r>
      <w:r>
        <w:rPr>
          <w:rFonts w:hint="eastAsia" w:ascii="宋体" w:cs="宋体"/>
          <w:szCs w:val="21"/>
          <w:u w:val="single"/>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595F448B">
      <w:pPr>
        <w:snapToGrid w:val="0"/>
        <w:spacing w:line="440" w:lineRule="exact"/>
        <w:ind w:firstLine="420" w:firstLineChars="200"/>
        <w:rPr>
          <w:rFonts w:hint="eastAsia" w:ascii="宋体" w:cs="宋体"/>
          <w:kern w:val="0"/>
          <w:szCs w:val="21"/>
        </w:rPr>
      </w:pPr>
      <w:r>
        <w:rPr>
          <w:rFonts w:hint="eastAsia" w:ascii="宋体" w:cs="宋体"/>
          <w:szCs w:val="21"/>
        </w:rPr>
        <w:t>1.11.4 承包人在施工过程中所采用的专利、专有技术、技术秘密的使用费的承担方式：</w:t>
      </w:r>
      <w:r>
        <w:rPr>
          <w:rFonts w:hint="eastAsia" w:ascii="宋体" w:cs="宋体"/>
          <w:szCs w:val="21"/>
          <w:u w:val="single"/>
        </w:rPr>
        <w:t>该费用已包含在签约合同价中。</w:t>
      </w:r>
    </w:p>
    <w:p w14:paraId="64136266">
      <w:pPr>
        <w:snapToGrid w:val="0"/>
        <w:spacing w:line="440" w:lineRule="exact"/>
        <w:ind w:firstLine="420" w:firstLineChars="200"/>
        <w:rPr>
          <w:rFonts w:hint="eastAsia" w:ascii="宋体" w:hAnsi="宋体" w:cs="宋体"/>
          <w:szCs w:val="21"/>
        </w:rPr>
      </w:pPr>
      <w:r>
        <w:rPr>
          <w:rFonts w:hint="eastAsia" w:ascii="宋体" w:hAnsi="宋体" w:cs="宋体"/>
          <w:szCs w:val="21"/>
        </w:rPr>
        <w:t>1.13工程量清单错误的修正</w:t>
      </w:r>
    </w:p>
    <w:p w14:paraId="092541A9">
      <w:pPr>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出现工程量清单错误时，是否调整合同价格：</w:t>
      </w:r>
      <w:r>
        <w:rPr>
          <w:rFonts w:hint="eastAsia" w:ascii="宋体" w:hAnsi="宋体" w:cs="宋体"/>
          <w:szCs w:val="21"/>
          <w:highlight w:val="none"/>
          <w:u w:val="single"/>
        </w:rPr>
        <w:t xml:space="preserve">  是，具体调整方式见下款  </w:t>
      </w:r>
      <w:r>
        <w:rPr>
          <w:rFonts w:hint="eastAsia" w:ascii="宋体" w:hAnsi="宋体" w:cs="宋体"/>
          <w:szCs w:val="21"/>
          <w:highlight w:val="none"/>
        </w:rPr>
        <w:t>。</w:t>
      </w:r>
    </w:p>
    <w:p w14:paraId="3BDB4DB3">
      <w:pPr>
        <w:snapToGrid w:val="0"/>
        <w:spacing w:line="44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允许调整合同价格的工程量偏差范围：</w:t>
      </w:r>
      <w:r>
        <w:rPr>
          <w:rFonts w:hint="eastAsia" w:ascii="宋体" w:hAnsi="宋体" w:cs="宋体"/>
          <w:color w:val="auto"/>
          <w:szCs w:val="21"/>
          <w:highlight w:val="none"/>
          <w:lang w:eastAsia="zh-CN"/>
        </w:rPr>
        <w:t>招标发布的施工图纸以外的，在施工过程中工程量。</w:t>
      </w:r>
    </w:p>
    <w:p w14:paraId="4F56EEE7">
      <w:pPr>
        <w:spacing w:line="440" w:lineRule="exact"/>
        <w:ind w:firstLine="420" w:firstLineChars="200"/>
        <w:rPr>
          <w:rFonts w:hint="eastAsia"/>
          <w:highlight w:val="none"/>
          <w:lang w:eastAsia="zh-CN"/>
        </w:rPr>
      </w:pPr>
      <w:r>
        <w:rPr>
          <w:rFonts w:hint="eastAsia" w:ascii="宋体" w:hAnsi="Times New Roman" w:eastAsia="宋体" w:cs="宋体"/>
          <w:b w:val="0"/>
          <w:bCs w:val="0"/>
          <w:color w:val="auto"/>
          <w:kern w:val="2"/>
          <w:sz w:val="21"/>
          <w:szCs w:val="21"/>
          <w:highlight w:val="none"/>
          <w:u w:val="single"/>
          <w:lang w:val="en-US" w:eastAsia="zh-CN" w:bidi="ar-SA"/>
        </w:rPr>
        <w:t>施工过程出现招标发布的施工设计文件范围以外的项目，以及业主新增工作要求，通过变更方式计入暂列金进行结算。</w:t>
      </w:r>
    </w:p>
    <w:p w14:paraId="1265A23C">
      <w:pPr>
        <w:snapToGrid w:val="0"/>
        <w:spacing w:line="440" w:lineRule="exact"/>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u w:val="single"/>
        </w:rPr>
        <w:t>承包人拒绝实施因</w:t>
      </w:r>
      <w:r>
        <w:rPr>
          <w:rFonts w:hint="eastAsia" w:ascii="宋体" w:hAnsi="宋体" w:eastAsia="宋体" w:cs="宋体"/>
          <w:b/>
          <w:bCs/>
          <w:color w:val="auto"/>
          <w:spacing w:val="-6"/>
          <w:kern w:val="0"/>
          <w:szCs w:val="21"/>
          <w:highlight w:val="none"/>
          <w:u w:val="single"/>
        </w:rPr>
        <w:t>此产生变化的施工内容或范围</w:t>
      </w:r>
      <w:r>
        <w:rPr>
          <w:rFonts w:hint="eastAsia" w:ascii="宋体" w:hAnsi="宋体" w:eastAsia="宋体" w:cs="宋体"/>
          <w:b/>
          <w:bCs/>
          <w:color w:val="auto"/>
          <w:szCs w:val="21"/>
          <w:highlight w:val="none"/>
          <w:u w:val="single"/>
        </w:rPr>
        <w:t>，将被视为违约，发包人视情节轻重给予违约处罚。结算时，工程量按实计算。结算工程量减少或增加</w:t>
      </w:r>
      <w:r>
        <w:rPr>
          <w:rFonts w:hint="eastAsia" w:ascii="宋体" w:hAnsi="宋体" w:cs="宋体"/>
          <w:b/>
          <w:bCs/>
          <w:color w:val="auto"/>
          <w:szCs w:val="21"/>
          <w:highlight w:val="none"/>
          <w:u w:val="single"/>
          <w:lang w:val="en-US" w:eastAsia="zh-CN"/>
        </w:rPr>
        <w:t>的</w:t>
      </w:r>
      <w:r>
        <w:rPr>
          <w:rFonts w:hint="eastAsia" w:ascii="宋体" w:hAnsi="宋体" w:eastAsia="宋体" w:cs="宋体"/>
          <w:b/>
          <w:bCs/>
          <w:color w:val="auto"/>
          <w:szCs w:val="21"/>
          <w:highlight w:val="none"/>
          <w:u w:val="single"/>
        </w:rPr>
        <w:t>部分，</w:t>
      </w:r>
      <w:r>
        <w:rPr>
          <w:rFonts w:hint="eastAsia" w:ascii="宋体" w:hAnsi="宋体" w:eastAsia="宋体" w:cs="宋体"/>
          <w:b/>
          <w:bCs/>
          <w:color w:val="auto"/>
          <w:szCs w:val="21"/>
          <w:highlight w:val="none"/>
        </w:rPr>
        <w:t>执行</w:t>
      </w:r>
      <w:r>
        <w:rPr>
          <w:rFonts w:hint="eastAsia" w:ascii="宋体" w:hAnsi="宋体" w:cs="宋体"/>
          <w:b/>
          <w:bCs/>
          <w:color w:val="auto"/>
          <w:szCs w:val="21"/>
          <w:highlight w:val="none"/>
          <w:lang w:val="en-US" w:eastAsia="zh-CN"/>
        </w:rPr>
        <w:t>下列</w:t>
      </w:r>
      <w:r>
        <w:rPr>
          <w:rFonts w:hint="eastAsia" w:ascii="宋体" w:hAnsi="宋体" w:eastAsia="宋体" w:cs="宋体"/>
          <w:b/>
          <w:bCs/>
          <w:color w:val="auto"/>
          <w:szCs w:val="21"/>
          <w:highlight w:val="none"/>
        </w:rPr>
        <w:t>第（1）款或第（2）款</w:t>
      </w:r>
      <w:r>
        <w:rPr>
          <w:rFonts w:hint="eastAsia" w:ascii="宋体" w:hAnsi="宋体" w:cs="宋体"/>
          <w:b/>
          <w:bCs/>
          <w:color w:val="auto"/>
          <w:szCs w:val="21"/>
          <w:highlight w:val="none"/>
          <w:lang w:val="en-US" w:eastAsia="zh-CN"/>
        </w:rPr>
        <w:t>或第</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rPr>
        <w:t>）款确定的单价</w:t>
      </w:r>
      <w:r>
        <w:rPr>
          <w:rFonts w:hint="eastAsia" w:ascii="宋体" w:hAnsi="宋体" w:cs="宋体"/>
          <w:b/>
          <w:color w:val="auto"/>
          <w:highlight w:val="none"/>
          <w:u w:val="none"/>
          <w:lang w:eastAsia="zh-CN"/>
        </w:rPr>
        <w:t>。</w:t>
      </w:r>
    </w:p>
    <w:p w14:paraId="2D0E079E">
      <w:pPr>
        <w:snapToGrid w:val="0"/>
        <w:spacing w:line="440" w:lineRule="exact"/>
        <w:ind w:firstLine="422" w:firstLineChars="200"/>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1.13.1</w:t>
      </w:r>
    </w:p>
    <w:p w14:paraId="34D5324B">
      <w:pPr>
        <w:snapToGrid w:val="0"/>
        <w:spacing w:line="440" w:lineRule="exact"/>
        <w:ind w:firstLine="422" w:firstLineChars="200"/>
        <w:rPr>
          <w:rFonts w:hint="eastAsia" w:ascii="宋体" w:eastAsia="宋体" w:cs="宋体"/>
          <w:b w:val="0"/>
          <w:color w:val="auto"/>
          <w:sz w:val="21"/>
          <w:szCs w:val="21"/>
          <w:highlight w:val="none"/>
        </w:rPr>
      </w:pPr>
      <w:r>
        <w:rPr>
          <w:rFonts w:hint="eastAsia" w:ascii="宋体" w:hAnsi="宋体" w:eastAsia="宋体" w:cs="宋体"/>
          <w:b/>
          <w:color w:val="auto"/>
          <w:highlight w:val="none"/>
          <w:u w:val="none"/>
        </w:rPr>
        <w:t>（1）已标价工程量清单或预算书有相同项目的，按照相同项目单价认定；（2）已标价工程量清单或预算书中无相同项目，但有类似项目的，参照类似项目的单价认定</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类似项目的单价是指其采用的材料、施工工艺和方法基本相似的项目</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3</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已标价工程量清单或预算书</w:t>
      </w:r>
      <w:r>
        <w:rPr>
          <w:rFonts w:hint="eastAsia" w:ascii="宋体" w:hAnsi="宋体" w:eastAsia="宋体" w:cs="宋体"/>
          <w:b/>
          <w:color w:val="auto"/>
          <w:highlight w:val="none"/>
          <w:u w:val="none"/>
          <w:lang w:val="en-US" w:eastAsia="zh-CN"/>
        </w:rPr>
        <w:t>既无</w:t>
      </w:r>
      <w:r>
        <w:rPr>
          <w:rFonts w:hint="eastAsia" w:ascii="宋体" w:hAnsi="宋体" w:eastAsia="宋体" w:cs="宋体"/>
          <w:b/>
          <w:color w:val="auto"/>
          <w:highlight w:val="none"/>
          <w:u w:val="none"/>
        </w:rPr>
        <w:t>相同项目</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也无类似项目的单价</w:t>
      </w:r>
      <w:r>
        <w:rPr>
          <w:rFonts w:hint="eastAsia" w:ascii="宋体" w:hAnsi="宋体" w:eastAsia="宋体" w:cs="宋体"/>
          <w:b/>
          <w:color w:val="auto"/>
          <w:highlight w:val="none"/>
          <w:u w:val="none"/>
        </w:rPr>
        <w:t>按照最高投标限价的编制原则重新组价×投标让利幅度（上述投标让利幅度为中标价/最高投标限价，其中中标价和最高投标限价均扣除暂列金额、暂估价及相应税金</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材料</w:t>
      </w:r>
      <w:r>
        <w:rPr>
          <w:rFonts w:hint="eastAsia" w:ascii="宋体" w:hAnsi="宋体" w:eastAsia="宋体" w:cs="宋体"/>
          <w:b/>
          <w:color w:val="auto"/>
          <w:highlight w:val="none"/>
          <w:u w:val="none"/>
          <w:lang w:val="en-US" w:eastAsia="zh-CN"/>
        </w:rPr>
        <w:t>价</w:t>
      </w:r>
      <w:r>
        <w:rPr>
          <w:rFonts w:hint="eastAsia" w:ascii="宋体" w:hAnsi="宋体" w:eastAsia="宋体" w:cs="宋体"/>
          <w:b/>
          <w:color w:val="auto"/>
          <w:highlight w:val="none"/>
          <w:u w:val="none"/>
        </w:rPr>
        <w:t>按施工当期《</w:t>
      </w:r>
      <w:r>
        <w:rPr>
          <w:rFonts w:hint="eastAsia" w:ascii="宋体" w:hAnsi="宋体" w:eastAsia="宋体" w:cs="宋体"/>
          <w:b/>
          <w:color w:val="auto"/>
          <w:highlight w:val="none"/>
          <w:u w:val="none"/>
          <w:lang w:val="en-US" w:eastAsia="zh-CN"/>
        </w:rPr>
        <w:t>滁</w:t>
      </w:r>
      <w:r>
        <w:rPr>
          <w:rFonts w:hint="eastAsia" w:ascii="宋体" w:hAnsi="宋体" w:eastAsia="宋体" w:cs="宋体"/>
          <w:b/>
          <w:color w:val="auto"/>
          <w:highlight w:val="none"/>
          <w:u w:val="none"/>
        </w:rPr>
        <w:t>州</w:t>
      </w:r>
      <w:r>
        <w:rPr>
          <w:rFonts w:hint="eastAsia" w:ascii="宋体" w:hAnsi="宋体" w:eastAsia="宋体" w:cs="宋体"/>
          <w:b/>
          <w:color w:val="auto"/>
          <w:highlight w:val="none"/>
          <w:u w:val="none"/>
          <w:lang w:val="en-US" w:eastAsia="zh-CN"/>
        </w:rPr>
        <w:t>市</w:t>
      </w:r>
      <w:r>
        <w:rPr>
          <w:rFonts w:hint="eastAsia" w:ascii="宋体" w:hAnsi="宋体" w:eastAsia="宋体" w:cs="宋体"/>
          <w:b/>
          <w:color w:val="auto"/>
          <w:highlight w:val="none"/>
          <w:u w:val="none"/>
        </w:rPr>
        <w:t>建设工程</w:t>
      </w:r>
      <w:r>
        <w:rPr>
          <w:rFonts w:hint="eastAsia" w:ascii="宋体" w:hAnsi="宋体" w:eastAsia="宋体" w:cs="宋体"/>
          <w:b/>
          <w:color w:val="auto"/>
          <w:highlight w:val="none"/>
          <w:u w:val="none"/>
          <w:lang w:val="en-US" w:eastAsia="zh-CN"/>
        </w:rPr>
        <w:t>材料市场价格</w:t>
      </w:r>
      <w:r>
        <w:rPr>
          <w:rFonts w:hint="eastAsia" w:ascii="宋体" w:hAnsi="宋体" w:eastAsia="宋体" w:cs="宋体"/>
          <w:b/>
          <w:color w:val="auto"/>
          <w:highlight w:val="none"/>
          <w:u w:val="none"/>
        </w:rPr>
        <w:t>信息》确定：若信息价为区间价的，则按区间价的算术平均值计取；信息价中没有的材料，由业主、监理、施工三方核定后确定，认价材料不参与下浮</w:t>
      </w:r>
      <w:r>
        <w:rPr>
          <w:rFonts w:hint="eastAsia" w:ascii="宋体" w:hAnsi="宋体" w:cs="宋体"/>
          <w:b/>
          <w:color w:val="auto"/>
          <w:highlight w:val="none"/>
          <w:u w:val="none"/>
          <w:lang w:eastAsia="zh-CN"/>
        </w:rPr>
        <w:t>；</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4</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若取消某工程项目，则该项目的价款不予支付</w:t>
      </w:r>
      <w:r>
        <w:rPr>
          <w:rFonts w:hint="eastAsia" w:ascii="宋体" w:hAnsi="宋体" w:cs="宋体"/>
          <w:b/>
          <w:color w:val="auto"/>
          <w:highlight w:val="none"/>
          <w:u w:val="none"/>
          <w:lang w:eastAsia="zh-CN"/>
        </w:rPr>
        <w:t>。</w:t>
      </w:r>
    </w:p>
    <w:p w14:paraId="0E87E501">
      <w:pPr>
        <w:pStyle w:val="9"/>
        <w:pageBreakBefore w:val="0"/>
        <w:widowControl w:val="0"/>
        <w:kinsoku/>
        <w:wordWrap/>
        <w:overflowPunct/>
        <w:topLinePunct w:val="0"/>
        <w:autoSpaceDE/>
        <w:autoSpaceDN/>
        <w:bidi w:val="0"/>
        <w:snapToGrid w:val="0"/>
        <w:spacing w:before="0" w:after="0" w:line="440" w:lineRule="exact"/>
        <w:ind w:firstLine="420" w:firstLineChars="200"/>
        <w:textAlignment w:val="auto"/>
        <w:rPr>
          <w:rFonts w:hint="eastAsia" w:ascii="宋体" w:eastAsia="宋体" w:cs="宋体"/>
          <w:b w:val="0"/>
          <w:color w:val="auto"/>
          <w:sz w:val="21"/>
          <w:szCs w:val="21"/>
        </w:rPr>
      </w:pPr>
      <w:r>
        <w:rPr>
          <w:rFonts w:hint="eastAsia" w:ascii="宋体" w:eastAsia="宋体" w:cs="宋体"/>
          <w:b w:val="0"/>
          <w:color w:val="auto"/>
          <w:sz w:val="21"/>
          <w:szCs w:val="21"/>
        </w:rPr>
        <w:t>2. 发包人</w:t>
      </w:r>
    </w:p>
    <w:p w14:paraId="2B2D6BFC">
      <w:pPr>
        <w:keepNext/>
        <w:keepLines/>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3"/>
        <w:rPr>
          <w:rFonts w:hint="eastAsia" w:ascii="宋体" w:hAnsi="宋体" w:cs="宋体"/>
          <w:bCs/>
          <w:color w:val="000000"/>
          <w:szCs w:val="28"/>
        </w:rPr>
      </w:pPr>
      <w:r>
        <w:rPr>
          <w:rFonts w:hint="eastAsia" w:ascii="宋体" w:hAnsi="宋体" w:cs="宋体"/>
          <w:bCs/>
          <w:color w:val="000000"/>
          <w:szCs w:val="28"/>
        </w:rPr>
        <w:t>2.2 发包人代表</w:t>
      </w:r>
    </w:p>
    <w:p w14:paraId="01AD4559">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发包人代表：</w:t>
      </w:r>
    </w:p>
    <w:p w14:paraId="410A721D">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姓    名：</w:t>
      </w:r>
      <w:r>
        <w:rPr>
          <w:rFonts w:hint="eastAsia" w:ascii="宋体" w:hAnsi="宋体" w:cs="宋体"/>
          <w:color w:val="000000"/>
          <w:highlight w:val="none"/>
          <w:u w:val="single"/>
        </w:rPr>
        <w:t xml:space="preserve">                                 </w:t>
      </w:r>
      <w:r>
        <w:rPr>
          <w:rFonts w:hint="eastAsia" w:ascii="宋体" w:hAnsi="宋体" w:cs="宋体"/>
          <w:color w:val="000000"/>
          <w:highlight w:val="none"/>
        </w:rPr>
        <w:t>；</w:t>
      </w:r>
    </w:p>
    <w:p w14:paraId="7F53E848">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身份证号：</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1D1A7BF2">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职    务：</w:t>
      </w:r>
      <w:r>
        <w:rPr>
          <w:rFonts w:hint="eastAsia" w:ascii="宋体" w:hAnsi="宋体" w:cs="宋体"/>
          <w:color w:val="000000"/>
          <w:highlight w:val="none"/>
          <w:u w:val="single"/>
        </w:rPr>
        <w:t xml:space="preserve">                                 </w:t>
      </w:r>
      <w:r>
        <w:rPr>
          <w:rFonts w:hint="eastAsia" w:ascii="宋体" w:hAnsi="宋体" w:cs="宋体"/>
          <w:color w:val="000000"/>
          <w:highlight w:val="none"/>
        </w:rPr>
        <w:t>；</w:t>
      </w:r>
    </w:p>
    <w:p w14:paraId="7DDD61B6">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联系电话：</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1124C25A">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电子信箱：</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0906ABFF">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通信地址：</w:t>
      </w:r>
      <w:r>
        <w:rPr>
          <w:rFonts w:hint="eastAsia" w:ascii="宋体" w:hAnsi="宋体" w:cs="宋体"/>
          <w:color w:val="000000"/>
          <w:highlight w:val="none"/>
          <w:u w:val="single"/>
        </w:rPr>
        <w:t xml:space="preserve">                                 </w:t>
      </w:r>
      <w:r>
        <w:rPr>
          <w:rFonts w:hint="eastAsia" w:ascii="宋体" w:hAnsi="宋体" w:cs="宋体"/>
          <w:color w:val="000000"/>
          <w:highlight w:val="none"/>
        </w:rPr>
        <w:t>。</w:t>
      </w:r>
    </w:p>
    <w:p w14:paraId="6137865A">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
          <w:color w:val="000000"/>
          <w:highlight w:val="none"/>
        </w:rPr>
      </w:pPr>
      <w:r>
        <w:rPr>
          <w:rFonts w:hint="eastAsia" w:ascii="宋体" w:hAnsi="宋体" w:cs="宋体"/>
          <w:color w:val="000000"/>
          <w:highlight w:val="none"/>
        </w:rPr>
        <w:t>发包人对发包人代表的授权范围如下：</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31BD9F5C">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rPr>
      </w:pPr>
      <w:r>
        <w:rPr>
          <w:rFonts w:hint="eastAsia" w:ascii="宋体" w:cs="宋体"/>
          <w:szCs w:val="21"/>
        </w:rPr>
        <w:t>2.4 施工现场、施工条件和基础资料的提供</w:t>
      </w:r>
    </w:p>
    <w:p w14:paraId="05BCD48F">
      <w:pPr>
        <w:snapToGrid w:val="0"/>
        <w:spacing w:line="440" w:lineRule="exact"/>
        <w:ind w:firstLine="420" w:firstLineChars="200"/>
        <w:rPr>
          <w:rFonts w:hint="eastAsia" w:ascii="宋体" w:cs="宋体"/>
          <w:szCs w:val="21"/>
        </w:rPr>
      </w:pPr>
      <w:r>
        <w:rPr>
          <w:rFonts w:hint="eastAsia" w:ascii="宋体" w:cs="宋体"/>
          <w:szCs w:val="21"/>
        </w:rPr>
        <w:t>2.4.1 提供施工现场</w:t>
      </w:r>
    </w:p>
    <w:p w14:paraId="11142D30">
      <w:pPr>
        <w:snapToGrid w:val="0"/>
        <w:spacing w:line="440" w:lineRule="exact"/>
        <w:ind w:firstLine="420" w:firstLineChars="200"/>
        <w:jc w:val="left"/>
        <w:rPr>
          <w:rFonts w:hint="eastAsia" w:ascii="宋体" w:cs="宋体"/>
          <w:szCs w:val="21"/>
        </w:rPr>
      </w:pPr>
      <w:r>
        <w:rPr>
          <w:rFonts w:hint="eastAsia" w:ascii="宋体" w:cs="宋体"/>
          <w:szCs w:val="21"/>
        </w:rPr>
        <w:t>关于发包人移交施工现场的期限要求：</w:t>
      </w:r>
      <w:r>
        <w:rPr>
          <w:rFonts w:hint="eastAsia" w:ascii="宋体" w:cs="宋体"/>
          <w:szCs w:val="21"/>
          <w:u w:val="single"/>
        </w:rPr>
        <w:t>发包人应最迟于开工日期7天前向承包人移交施工现场。</w:t>
      </w:r>
    </w:p>
    <w:p w14:paraId="586AEF0C">
      <w:pPr>
        <w:snapToGrid w:val="0"/>
        <w:spacing w:line="440" w:lineRule="exact"/>
        <w:ind w:firstLine="420" w:firstLineChars="200"/>
        <w:rPr>
          <w:rFonts w:hint="eastAsia" w:ascii="宋体" w:cs="宋体"/>
          <w:szCs w:val="21"/>
        </w:rPr>
      </w:pPr>
      <w:r>
        <w:rPr>
          <w:rFonts w:hint="eastAsia" w:ascii="宋体" w:cs="宋体"/>
          <w:szCs w:val="21"/>
        </w:rPr>
        <w:t>2.4.2 提供施工条件</w:t>
      </w:r>
    </w:p>
    <w:p w14:paraId="694C47BD">
      <w:pPr>
        <w:snapToGrid w:val="0"/>
        <w:spacing w:line="440" w:lineRule="exact"/>
        <w:ind w:firstLine="420" w:firstLineChars="200"/>
        <w:rPr>
          <w:rFonts w:hint="eastAsia" w:ascii="宋体" w:cs="宋体"/>
          <w:szCs w:val="21"/>
          <w:u w:val="single"/>
        </w:rPr>
      </w:pPr>
      <w:r>
        <w:rPr>
          <w:rFonts w:hint="eastAsia" w:ascii="宋体" w:cs="宋体"/>
          <w:szCs w:val="21"/>
        </w:rPr>
        <w:t>关于发包人应负责提供施工所需要的条件，包括：</w:t>
      </w:r>
      <w:r>
        <w:rPr>
          <w:rFonts w:hint="eastAsia" w:ascii="宋体" w:hAnsi="宋体" w:eastAsia="宋体" w:cs="宋体"/>
          <w:color w:val="auto"/>
          <w:szCs w:val="21"/>
          <w:highlight w:val="none"/>
          <w:u w:val="single"/>
          <w:lang w:val="en-US" w:eastAsia="zh-CN"/>
        </w:rPr>
        <w:t>现场所需所有施工条件均由承包人自行解决并承担相关费用。</w:t>
      </w:r>
    </w:p>
    <w:p w14:paraId="6143E00C">
      <w:pPr>
        <w:snapToGrid w:val="0"/>
        <w:spacing w:line="440" w:lineRule="exact"/>
        <w:ind w:firstLine="420" w:firstLineChars="200"/>
        <w:rPr>
          <w:rFonts w:hint="eastAsia" w:ascii="宋体" w:cs="宋体"/>
          <w:szCs w:val="21"/>
        </w:rPr>
      </w:pPr>
      <w:r>
        <w:rPr>
          <w:rFonts w:hint="eastAsia" w:ascii="宋体" w:cs="宋体"/>
          <w:szCs w:val="21"/>
        </w:rPr>
        <w:t>2.5 资金来源证明及支付担保</w:t>
      </w:r>
    </w:p>
    <w:p w14:paraId="7F5C1413">
      <w:pPr>
        <w:snapToGrid w:val="0"/>
        <w:spacing w:line="440" w:lineRule="exact"/>
        <w:ind w:firstLine="420" w:firstLineChars="200"/>
        <w:rPr>
          <w:rFonts w:hint="eastAsia" w:ascii="宋体" w:cs="宋体"/>
          <w:szCs w:val="21"/>
        </w:rPr>
      </w:pPr>
      <w:r>
        <w:rPr>
          <w:rFonts w:hint="eastAsia" w:ascii="宋体" w:cs="宋体"/>
          <w:szCs w:val="21"/>
        </w:rPr>
        <w:t>发包人提供资金来源证明的期限要求：</w:t>
      </w:r>
      <w:r>
        <w:rPr>
          <w:rFonts w:hint="eastAsia" w:ascii="宋体" w:cs="宋体"/>
          <w:szCs w:val="21"/>
          <w:u w:val="single"/>
        </w:rPr>
        <w:t></w:t>
      </w:r>
      <w:r>
        <w:rPr>
          <w:rFonts w:hint="eastAsia" w:ascii="宋体" w:cs="宋体"/>
          <w:szCs w:val="21"/>
          <w:u w:val="single"/>
          <w:lang w:val="en-US" w:eastAsia="zh-CN"/>
        </w:rPr>
        <w:t>自筹</w:t>
      </w:r>
      <w:r>
        <w:rPr>
          <w:rFonts w:hint="eastAsia" w:ascii="宋体" w:cs="宋体"/>
          <w:szCs w:val="21"/>
          <w:u w:val="single"/>
        </w:rPr>
        <w:t xml:space="preserve">资金   </w:t>
      </w:r>
      <w:r>
        <w:rPr>
          <w:rFonts w:hint="eastAsia" w:ascii="宋体" w:cs="宋体"/>
          <w:szCs w:val="21"/>
        </w:rPr>
        <w:t>。</w:t>
      </w:r>
    </w:p>
    <w:p w14:paraId="3FB71AC4">
      <w:pPr>
        <w:snapToGrid w:val="0"/>
        <w:spacing w:line="440" w:lineRule="exact"/>
        <w:ind w:firstLine="420" w:firstLineChars="200"/>
        <w:rPr>
          <w:rFonts w:hint="eastAsia" w:ascii="宋体" w:cs="宋体"/>
          <w:szCs w:val="21"/>
        </w:rPr>
      </w:pPr>
      <w:r>
        <w:rPr>
          <w:rFonts w:hint="eastAsia" w:ascii="宋体" w:cs="宋体"/>
          <w:szCs w:val="21"/>
        </w:rPr>
        <w:t>发包人是否提供支付担保：</w:t>
      </w:r>
      <w:r>
        <w:rPr>
          <w:rFonts w:hint="eastAsia" w:ascii="宋体" w:cs="宋体"/>
          <w:szCs w:val="21"/>
          <w:u w:val="single"/>
        </w:rPr>
        <w:t xml:space="preserve">不提供   </w:t>
      </w:r>
      <w:r>
        <w:rPr>
          <w:rFonts w:hint="eastAsia" w:ascii="宋体" w:cs="宋体"/>
          <w:szCs w:val="21"/>
        </w:rPr>
        <w:t>。</w:t>
      </w:r>
    </w:p>
    <w:p w14:paraId="3C6886CB">
      <w:pPr>
        <w:snapToGrid w:val="0"/>
        <w:spacing w:line="440" w:lineRule="exact"/>
        <w:ind w:firstLine="420" w:firstLineChars="200"/>
        <w:rPr>
          <w:rFonts w:hint="eastAsia" w:ascii="宋体" w:cs="宋体"/>
          <w:szCs w:val="21"/>
          <w:u w:val="single"/>
        </w:rPr>
      </w:pPr>
      <w:r>
        <w:rPr>
          <w:rFonts w:hint="eastAsia" w:ascii="宋体" w:cs="宋体"/>
          <w:szCs w:val="21"/>
        </w:rPr>
        <w:t>发包人提供支付担保的形式：</w:t>
      </w:r>
      <w:r>
        <w:rPr>
          <w:rFonts w:hint="eastAsia" w:ascii="宋体" w:cs="宋体"/>
          <w:szCs w:val="21"/>
          <w:u w:val="single"/>
        </w:rPr>
        <w:t>无  </w:t>
      </w:r>
      <w:r>
        <w:rPr>
          <w:rFonts w:hint="eastAsia" w:ascii="宋体" w:cs="宋体"/>
          <w:szCs w:val="21"/>
        </w:rPr>
        <w:t>。</w:t>
      </w:r>
    </w:p>
    <w:p w14:paraId="05ABEF29">
      <w:pPr>
        <w:pStyle w:val="9"/>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3. 承包人</w:t>
      </w:r>
    </w:p>
    <w:p w14:paraId="4941BCD2">
      <w:pPr>
        <w:snapToGrid w:val="0"/>
        <w:spacing w:line="440" w:lineRule="exact"/>
        <w:ind w:firstLine="420" w:firstLineChars="200"/>
        <w:rPr>
          <w:rFonts w:hint="eastAsia" w:ascii="宋体" w:cs="宋体"/>
          <w:szCs w:val="21"/>
        </w:rPr>
      </w:pPr>
      <w:r>
        <w:rPr>
          <w:rFonts w:hint="eastAsia" w:ascii="宋体" w:cs="宋体"/>
          <w:szCs w:val="21"/>
        </w:rPr>
        <w:t>3.1 承包人的一般义务</w:t>
      </w:r>
    </w:p>
    <w:p w14:paraId="2240B1EC">
      <w:pPr>
        <w:snapToGrid w:val="0"/>
        <w:spacing w:line="440" w:lineRule="exact"/>
        <w:ind w:firstLine="420" w:firstLineChars="200"/>
        <w:jc w:val="left"/>
        <w:rPr>
          <w:rFonts w:hint="eastAsia" w:ascii="宋体" w:cs="宋体"/>
          <w:szCs w:val="21"/>
          <w:u w:val="single"/>
        </w:rPr>
      </w:pPr>
      <w:r>
        <w:rPr>
          <w:rFonts w:hint="eastAsia" w:ascii="宋体" w:cs="宋体"/>
          <w:kern w:val="0"/>
          <w:szCs w:val="21"/>
        </w:rPr>
        <w:t>（9）</w:t>
      </w:r>
      <w:r>
        <w:rPr>
          <w:rFonts w:hint="eastAsia" w:ascii="宋体" w:cs="宋体"/>
          <w:szCs w:val="21"/>
        </w:rPr>
        <w:t>承包人提交的竣工资料的内容：</w:t>
      </w:r>
      <w:r>
        <w:rPr>
          <w:rFonts w:hint="eastAsia" w:ascii="宋体" w:cs="宋体"/>
          <w:szCs w:val="21"/>
          <w:u w:val="single"/>
        </w:rPr>
        <w:t xml:space="preserve">   按相关要求执行，包括但不限于竣工图、竣工报告、项目质检资料、结算资料等  </w:t>
      </w:r>
      <w:r>
        <w:rPr>
          <w:rFonts w:hint="eastAsia" w:ascii="宋体" w:cs="宋体"/>
          <w:szCs w:val="21"/>
        </w:rPr>
        <w:t>。</w:t>
      </w:r>
    </w:p>
    <w:p w14:paraId="1CA1DB90">
      <w:pPr>
        <w:snapToGrid w:val="0"/>
        <w:spacing w:line="440" w:lineRule="exact"/>
        <w:ind w:firstLine="420" w:firstLineChars="200"/>
        <w:jc w:val="left"/>
        <w:rPr>
          <w:rFonts w:hint="eastAsia" w:ascii="宋体" w:cs="宋体"/>
          <w:szCs w:val="21"/>
        </w:rPr>
      </w:pPr>
      <w:r>
        <w:rPr>
          <w:rFonts w:hint="eastAsia" w:ascii="宋体" w:cs="宋体"/>
          <w:szCs w:val="21"/>
        </w:rPr>
        <w:t>承包人需要提交的竣工资料套数：</w:t>
      </w:r>
      <w:r>
        <w:rPr>
          <w:rFonts w:hint="eastAsia" w:ascii="宋体" w:cs="宋体"/>
          <w:szCs w:val="21"/>
          <w:u w:val="single"/>
        </w:rPr>
        <w:t xml:space="preserve">      按相关要求执行，且不少于3套    </w:t>
      </w:r>
      <w:r>
        <w:rPr>
          <w:rFonts w:hint="eastAsia" w:ascii="宋体" w:cs="宋体"/>
          <w:szCs w:val="21"/>
        </w:rPr>
        <w:t>。</w:t>
      </w:r>
    </w:p>
    <w:p w14:paraId="5FF31C14">
      <w:pPr>
        <w:snapToGrid w:val="0"/>
        <w:spacing w:line="440" w:lineRule="exact"/>
        <w:ind w:firstLine="420" w:firstLineChars="200"/>
        <w:jc w:val="left"/>
        <w:rPr>
          <w:rFonts w:hint="eastAsia" w:ascii="宋体" w:cs="宋体"/>
          <w:szCs w:val="21"/>
        </w:rPr>
      </w:pPr>
      <w:r>
        <w:rPr>
          <w:rFonts w:hint="eastAsia" w:ascii="宋体" w:cs="宋体"/>
          <w:szCs w:val="21"/>
        </w:rPr>
        <w:t>承包人提交的竣工资料的费用承担：</w:t>
      </w:r>
      <w:r>
        <w:rPr>
          <w:rFonts w:hint="eastAsia" w:ascii="宋体" w:cs="宋体"/>
          <w:szCs w:val="21"/>
          <w:u w:val="single"/>
        </w:rPr>
        <w:t xml:space="preserve">   承包人           </w:t>
      </w:r>
      <w:r>
        <w:rPr>
          <w:rFonts w:hint="eastAsia" w:ascii="宋体" w:cs="宋体"/>
          <w:szCs w:val="21"/>
        </w:rPr>
        <w:t>。</w:t>
      </w:r>
    </w:p>
    <w:p w14:paraId="3670ED4C">
      <w:pPr>
        <w:snapToGrid w:val="0"/>
        <w:spacing w:line="440" w:lineRule="exact"/>
        <w:ind w:firstLine="420" w:firstLineChars="200"/>
        <w:jc w:val="left"/>
        <w:rPr>
          <w:rFonts w:hint="eastAsia" w:ascii="宋体" w:cs="宋体"/>
          <w:szCs w:val="21"/>
        </w:rPr>
      </w:pPr>
      <w:r>
        <w:rPr>
          <w:rFonts w:hint="eastAsia" w:ascii="宋体" w:cs="宋体"/>
          <w:szCs w:val="21"/>
        </w:rPr>
        <w:t>承包人提交的竣工资料移交时间：</w:t>
      </w:r>
      <w:r>
        <w:rPr>
          <w:rFonts w:hint="eastAsia" w:ascii="宋体" w:cs="宋体"/>
          <w:szCs w:val="21"/>
          <w:u w:val="single"/>
        </w:rPr>
        <w:t xml:space="preserve">     竣工验收合格后</w:t>
      </w:r>
      <w:r>
        <w:rPr>
          <w:rFonts w:hint="eastAsia" w:ascii="宋体" w:cs="宋体"/>
          <w:szCs w:val="21"/>
          <w:u w:val="single"/>
          <w:lang w:val="en-US" w:eastAsia="zh-CN"/>
        </w:rPr>
        <w:t>30</w:t>
      </w:r>
      <w:r>
        <w:rPr>
          <w:rFonts w:hint="eastAsia" w:ascii="宋体" w:cs="宋体"/>
          <w:szCs w:val="21"/>
          <w:u w:val="single"/>
        </w:rPr>
        <w:t xml:space="preserve">日内   </w:t>
      </w:r>
      <w:r>
        <w:rPr>
          <w:rFonts w:hint="eastAsia" w:ascii="宋体" w:cs="宋体"/>
          <w:szCs w:val="21"/>
        </w:rPr>
        <w:t>。</w:t>
      </w:r>
    </w:p>
    <w:p w14:paraId="0DFB5EF9">
      <w:pPr>
        <w:snapToGrid w:val="0"/>
        <w:spacing w:line="440" w:lineRule="exact"/>
        <w:ind w:firstLine="420" w:firstLineChars="200"/>
        <w:jc w:val="left"/>
        <w:rPr>
          <w:rFonts w:hint="eastAsia" w:ascii="宋体" w:cs="宋体"/>
          <w:szCs w:val="21"/>
        </w:rPr>
      </w:pPr>
      <w:r>
        <w:rPr>
          <w:rFonts w:hint="eastAsia" w:ascii="宋体" w:cs="宋体"/>
          <w:szCs w:val="21"/>
        </w:rPr>
        <w:t>承包人提交的竣工资料形式要求：</w:t>
      </w:r>
      <w:r>
        <w:rPr>
          <w:rFonts w:hint="eastAsia" w:ascii="宋体" w:cs="宋体"/>
          <w:szCs w:val="21"/>
          <w:u w:val="single"/>
        </w:rPr>
        <w:t xml:space="preserve">     纸质及电子形式   </w:t>
      </w:r>
      <w:r>
        <w:rPr>
          <w:rFonts w:hint="eastAsia" w:ascii="宋体" w:cs="宋体"/>
          <w:szCs w:val="21"/>
        </w:rPr>
        <w:t>。</w:t>
      </w:r>
    </w:p>
    <w:p w14:paraId="57AC80D3">
      <w:pPr>
        <w:snapToGrid w:val="0"/>
        <w:spacing w:line="440" w:lineRule="exact"/>
        <w:ind w:firstLine="420" w:firstLineChars="200"/>
        <w:jc w:val="left"/>
        <w:rPr>
          <w:rFonts w:hint="eastAsia" w:ascii="宋体" w:cs="宋体"/>
          <w:szCs w:val="21"/>
        </w:rPr>
      </w:pPr>
      <w:r>
        <w:rPr>
          <w:rFonts w:hint="eastAsia" w:ascii="宋体" w:cs="宋体"/>
          <w:szCs w:val="21"/>
          <w:lang w:eastAsia="zh-CN"/>
        </w:rPr>
        <w:t>（</w:t>
      </w:r>
      <w:r>
        <w:rPr>
          <w:rFonts w:hint="eastAsia" w:ascii="宋体" w:cs="宋体"/>
          <w:szCs w:val="21"/>
          <w:lang w:val="en-US" w:eastAsia="zh-CN"/>
        </w:rPr>
        <w:t>10）</w:t>
      </w:r>
      <w:r>
        <w:rPr>
          <w:rFonts w:hint="eastAsia" w:ascii="宋体" w:cs="宋体"/>
          <w:kern w:val="0"/>
          <w:szCs w:val="21"/>
        </w:rPr>
        <w:t>承包人应履行的其他义务：</w:t>
      </w:r>
      <w:r>
        <w:rPr>
          <w:rFonts w:hint="eastAsia" w:ascii="宋体" w:cs="宋体"/>
          <w:strike w:val="0"/>
          <w:dstrike w:val="0"/>
          <w:szCs w:val="21"/>
          <w:highlight w:val="none"/>
          <w:u w:val="single"/>
        </w:rPr>
        <w:t>①工程竣工半年</w:t>
      </w:r>
      <w:r>
        <w:rPr>
          <w:rFonts w:hint="eastAsia" w:ascii="宋体" w:cs="宋体"/>
          <w:strike w:val="0"/>
          <w:dstrike w:val="0"/>
          <w:szCs w:val="21"/>
          <w:highlight w:val="none"/>
          <w:u w:val="single"/>
          <w:lang w:eastAsia="zh-CN"/>
        </w:rPr>
        <w:t>（</w:t>
      </w:r>
      <w:r>
        <w:rPr>
          <w:rFonts w:hint="eastAsia" w:ascii="宋体" w:cs="宋体"/>
          <w:strike w:val="0"/>
          <w:dstrike w:val="0"/>
          <w:szCs w:val="21"/>
          <w:highlight w:val="none"/>
          <w:u w:val="single"/>
        </w:rPr>
        <w:t>含</w:t>
      </w:r>
      <w:r>
        <w:rPr>
          <w:rFonts w:hint="eastAsia" w:ascii="宋体" w:cs="宋体"/>
          <w:strike w:val="0"/>
          <w:dstrike w:val="0"/>
          <w:szCs w:val="21"/>
          <w:highlight w:val="none"/>
          <w:u w:val="single"/>
          <w:lang w:eastAsia="zh-CN"/>
        </w:rPr>
        <w:t>）</w:t>
      </w:r>
      <w:r>
        <w:rPr>
          <w:rFonts w:hint="eastAsia" w:ascii="宋体" w:cs="宋体"/>
          <w:strike w:val="0"/>
          <w:dstrike w:val="0"/>
          <w:szCs w:val="21"/>
          <w:highlight w:val="none"/>
          <w:u w:val="single"/>
        </w:rPr>
        <w:t>内完成竣工结算；</w:t>
      </w:r>
      <w:r>
        <w:rPr>
          <w:rFonts w:hint="eastAsia" w:ascii="宋体" w:cs="宋体"/>
          <w:szCs w:val="21"/>
          <w:u w:val="single"/>
        </w:rPr>
        <w:t>②无合同纠纷等原因拖欠农民工工资、材料款，出现群访及时处理；③质量无缺陷，及时整改到位，处理及时；④施工现场服从调度或工程进度不超过合同工期或按合同期限按时移交的；⑤月工程量进度及时完成；⑥按规定提供工程资料并及时归档的；</w:t>
      </w:r>
    </w:p>
    <w:p w14:paraId="083F7B13">
      <w:pPr>
        <w:snapToGrid w:val="0"/>
        <w:spacing w:line="440" w:lineRule="exact"/>
        <w:ind w:firstLine="420" w:firstLineChars="200"/>
        <w:rPr>
          <w:rFonts w:hint="eastAsia" w:ascii="宋体" w:cs="宋体"/>
          <w:szCs w:val="21"/>
        </w:rPr>
      </w:pPr>
      <w:r>
        <w:rPr>
          <w:rFonts w:hint="eastAsia" w:ascii="宋体" w:cs="宋体"/>
          <w:szCs w:val="21"/>
        </w:rPr>
        <w:t>3.2 项目经理</w:t>
      </w:r>
    </w:p>
    <w:p w14:paraId="13611687">
      <w:pPr>
        <w:snapToGrid w:val="0"/>
        <w:spacing w:line="440" w:lineRule="exact"/>
        <w:ind w:firstLine="420" w:firstLineChars="200"/>
        <w:rPr>
          <w:rFonts w:hint="eastAsia" w:ascii="宋体" w:cs="宋体"/>
          <w:szCs w:val="21"/>
        </w:rPr>
      </w:pPr>
      <w:r>
        <w:rPr>
          <w:rFonts w:hint="eastAsia" w:ascii="宋体" w:cs="宋体"/>
          <w:kern w:val="0"/>
          <w:szCs w:val="21"/>
        </w:rPr>
        <w:t xml:space="preserve">3.2.1 </w:t>
      </w:r>
      <w:r>
        <w:rPr>
          <w:rFonts w:hint="eastAsia" w:ascii="宋体" w:cs="宋体"/>
          <w:szCs w:val="21"/>
        </w:rPr>
        <w:t>项目经理：</w:t>
      </w:r>
    </w:p>
    <w:p w14:paraId="14770DDB">
      <w:pPr>
        <w:snapToGrid w:val="0"/>
        <w:spacing w:line="440" w:lineRule="exact"/>
        <w:ind w:firstLine="420" w:firstLineChars="200"/>
        <w:rPr>
          <w:rFonts w:hint="eastAsia" w:ascii="宋体" w:cs="宋体"/>
          <w:szCs w:val="21"/>
        </w:rPr>
      </w:pPr>
      <w:r>
        <w:rPr>
          <w:rFonts w:hint="eastAsia" w:ascii="宋体" w:cs="宋体"/>
          <w:szCs w:val="21"/>
        </w:rPr>
        <w:t>姓    名：</w:t>
      </w:r>
      <w:r>
        <w:rPr>
          <w:rFonts w:hint="eastAsia" w:ascii="宋体" w:cs="宋体"/>
          <w:szCs w:val="21"/>
          <w:u w:val="single"/>
        </w:rPr>
        <w:t>         </w:t>
      </w:r>
      <w:r>
        <w:rPr>
          <w:rFonts w:hint="eastAsia" w:ascii="宋体" w:cs="宋体"/>
          <w:szCs w:val="21"/>
        </w:rPr>
        <w:t>；</w:t>
      </w:r>
    </w:p>
    <w:p w14:paraId="3BA17073">
      <w:pPr>
        <w:snapToGrid w:val="0"/>
        <w:spacing w:line="440" w:lineRule="exact"/>
        <w:ind w:firstLine="420" w:firstLineChars="200"/>
        <w:rPr>
          <w:rFonts w:hint="eastAsia" w:ascii="宋体" w:cs="宋体"/>
          <w:szCs w:val="21"/>
        </w:rPr>
      </w:pPr>
      <w:r>
        <w:rPr>
          <w:rFonts w:hint="eastAsia" w:ascii="宋体" w:cs="宋体"/>
          <w:szCs w:val="21"/>
        </w:rPr>
        <w:t>身份证号：</w:t>
      </w:r>
      <w:r>
        <w:rPr>
          <w:rFonts w:hint="eastAsia" w:ascii="宋体" w:cs="宋体"/>
          <w:szCs w:val="21"/>
          <w:u w:val="single"/>
        </w:rPr>
        <w:t>         </w:t>
      </w:r>
      <w:r>
        <w:rPr>
          <w:rFonts w:hint="eastAsia" w:ascii="宋体" w:cs="宋体"/>
          <w:szCs w:val="21"/>
        </w:rPr>
        <w:t>；</w:t>
      </w:r>
    </w:p>
    <w:p w14:paraId="47204064">
      <w:pPr>
        <w:snapToGrid w:val="0"/>
        <w:spacing w:line="440" w:lineRule="exact"/>
        <w:ind w:firstLine="420" w:firstLineChars="200"/>
        <w:rPr>
          <w:rFonts w:hint="eastAsia" w:ascii="宋体" w:cs="宋体"/>
          <w:szCs w:val="21"/>
        </w:rPr>
      </w:pPr>
      <w:r>
        <w:rPr>
          <w:rFonts w:hint="eastAsia" w:ascii="宋体" w:cs="宋体"/>
          <w:szCs w:val="21"/>
        </w:rPr>
        <w:t>建造师执业资格等级：</w:t>
      </w:r>
      <w:r>
        <w:rPr>
          <w:rFonts w:hint="eastAsia" w:ascii="宋体" w:cs="宋体"/>
          <w:szCs w:val="21"/>
          <w:u w:val="single"/>
        </w:rPr>
        <w:t>   </w:t>
      </w:r>
      <w:r>
        <w:rPr>
          <w:rFonts w:hint="eastAsia" w:ascii="宋体" w:cs="宋体"/>
          <w:szCs w:val="21"/>
        </w:rPr>
        <w:t>；</w:t>
      </w:r>
    </w:p>
    <w:p w14:paraId="60174993">
      <w:pPr>
        <w:snapToGrid w:val="0"/>
        <w:spacing w:line="440" w:lineRule="exact"/>
        <w:ind w:firstLine="420" w:firstLineChars="200"/>
        <w:rPr>
          <w:rFonts w:hint="eastAsia" w:ascii="宋体" w:cs="宋体"/>
          <w:szCs w:val="21"/>
        </w:rPr>
      </w:pPr>
      <w:r>
        <w:rPr>
          <w:rFonts w:hint="eastAsia" w:ascii="宋体" w:cs="宋体"/>
          <w:szCs w:val="21"/>
        </w:rPr>
        <w:t>建造师注册证书号：</w:t>
      </w:r>
      <w:r>
        <w:rPr>
          <w:rFonts w:hint="eastAsia" w:ascii="宋体" w:cs="宋体"/>
          <w:szCs w:val="21"/>
          <w:u w:val="single"/>
        </w:rPr>
        <w:t> </w:t>
      </w:r>
      <w:r>
        <w:rPr>
          <w:rFonts w:hint="eastAsia" w:ascii="宋体" w:cs="宋体"/>
          <w:szCs w:val="21"/>
        </w:rPr>
        <w:t>；</w:t>
      </w:r>
    </w:p>
    <w:p w14:paraId="433B24F4">
      <w:pPr>
        <w:snapToGrid w:val="0"/>
        <w:spacing w:line="440" w:lineRule="exact"/>
        <w:ind w:firstLine="420" w:firstLineChars="200"/>
        <w:rPr>
          <w:rFonts w:hint="eastAsia" w:ascii="宋体" w:cs="宋体"/>
          <w:szCs w:val="21"/>
        </w:rPr>
      </w:pPr>
      <w:r>
        <w:rPr>
          <w:rFonts w:hint="eastAsia" w:ascii="宋体" w:cs="宋体"/>
          <w:szCs w:val="21"/>
        </w:rPr>
        <w:t>建造师执业印章号：</w:t>
      </w:r>
      <w:r>
        <w:rPr>
          <w:rFonts w:hint="eastAsia" w:ascii="宋体" w:cs="宋体"/>
          <w:szCs w:val="21"/>
          <w:u w:val="single"/>
        </w:rPr>
        <w:t> </w:t>
      </w:r>
      <w:r>
        <w:rPr>
          <w:rFonts w:hint="eastAsia" w:ascii="宋体" w:cs="宋体"/>
          <w:szCs w:val="21"/>
        </w:rPr>
        <w:t>；</w:t>
      </w:r>
    </w:p>
    <w:p w14:paraId="61D36B67">
      <w:pPr>
        <w:snapToGrid w:val="0"/>
        <w:spacing w:line="440" w:lineRule="exact"/>
        <w:ind w:firstLine="420" w:firstLineChars="200"/>
        <w:rPr>
          <w:rFonts w:hint="eastAsia" w:ascii="宋体" w:cs="宋体"/>
          <w:szCs w:val="21"/>
        </w:rPr>
      </w:pPr>
      <w:r>
        <w:rPr>
          <w:rFonts w:hint="eastAsia" w:ascii="宋体" w:cs="宋体"/>
          <w:szCs w:val="21"/>
        </w:rPr>
        <w:t>安全生产考核合格证书号：</w:t>
      </w:r>
      <w:r>
        <w:rPr>
          <w:rFonts w:hint="eastAsia" w:ascii="宋体" w:cs="宋体"/>
          <w:szCs w:val="21"/>
          <w:u w:val="single"/>
        </w:rPr>
        <w:t> </w:t>
      </w:r>
      <w:r>
        <w:rPr>
          <w:rFonts w:hint="eastAsia" w:ascii="宋体" w:cs="宋体"/>
          <w:szCs w:val="21"/>
        </w:rPr>
        <w:t>；</w:t>
      </w:r>
    </w:p>
    <w:p w14:paraId="7E9E6C57">
      <w:pPr>
        <w:snapToGrid w:val="0"/>
        <w:spacing w:line="440" w:lineRule="exact"/>
        <w:ind w:firstLine="420" w:firstLineChars="200"/>
        <w:rPr>
          <w:rFonts w:hint="eastAsia" w:ascii="宋体" w:cs="宋体"/>
          <w:szCs w:val="21"/>
        </w:rPr>
      </w:pPr>
      <w:r>
        <w:rPr>
          <w:rFonts w:hint="eastAsia" w:ascii="宋体" w:cs="宋体"/>
          <w:szCs w:val="21"/>
        </w:rPr>
        <w:t>联系电话：</w:t>
      </w:r>
      <w:r>
        <w:rPr>
          <w:rFonts w:hint="eastAsia" w:ascii="宋体" w:cs="宋体"/>
          <w:szCs w:val="21"/>
          <w:u w:val="single"/>
        </w:rPr>
        <w:t>         </w:t>
      </w:r>
      <w:r>
        <w:rPr>
          <w:rFonts w:hint="eastAsia" w:ascii="宋体" w:cs="宋体"/>
          <w:szCs w:val="21"/>
        </w:rPr>
        <w:t>；</w:t>
      </w:r>
    </w:p>
    <w:p w14:paraId="3F583591">
      <w:pPr>
        <w:snapToGrid w:val="0"/>
        <w:spacing w:line="440" w:lineRule="exact"/>
        <w:ind w:firstLine="420" w:firstLineChars="200"/>
        <w:rPr>
          <w:rFonts w:hint="eastAsia" w:ascii="宋体" w:cs="宋体"/>
          <w:szCs w:val="21"/>
        </w:rPr>
      </w:pPr>
      <w:r>
        <w:rPr>
          <w:rFonts w:hint="eastAsia" w:ascii="宋体" w:cs="宋体"/>
          <w:szCs w:val="21"/>
        </w:rPr>
        <w:t>电子信箱：</w:t>
      </w:r>
      <w:r>
        <w:rPr>
          <w:rFonts w:hint="eastAsia" w:ascii="宋体" w:cs="宋体"/>
          <w:szCs w:val="21"/>
          <w:u w:val="single"/>
        </w:rPr>
        <w:t>         </w:t>
      </w:r>
      <w:r>
        <w:rPr>
          <w:rFonts w:hint="eastAsia" w:ascii="宋体" w:cs="宋体"/>
          <w:szCs w:val="21"/>
        </w:rPr>
        <w:t>；</w:t>
      </w:r>
    </w:p>
    <w:p w14:paraId="1099BF5D">
      <w:pPr>
        <w:snapToGrid w:val="0"/>
        <w:spacing w:line="440" w:lineRule="exact"/>
        <w:ind w:firstLine="420" w:firstLineChars="200"/>
        <w:rPr>
          <w:rFonts w:hint="eastAsia" w:ascii="宋体" w:cs="宋体"/>
          <w:szCs w:val="21"/>
        </w:rPr>
      </w:pPr>
      <w:r>
        <w:rPr>
          <w:rFonts w:hint="eastAsia" w:ascii="宋体" w:cs="宋体"/>
          <w:szCs w:val="21"/>
        </w:rPr>
        <w:t>通信地址：</w:t>
      </w:r>
      <w:r>
        <w:rPr>
          <w:rFonts w:hint="eastAsia" w:ascii="宋体" w:cs="宋体"/>
          <w:szCs w:val="21"/>
          <w:u w:val="single"/>
        </w:rPr>
        <w:t>         </w:t>
      </w:r>
      <w:r>
        <w:rPr>
          <w:rFonts w:hint="eastAsia" w:ascii="宋体" w:cs="宋体"/>
          <w:szCs w:val="21"/>
        </w:rPr>
        <w:t>；</w:t>
      </w:r>
    </w:p>
    <w:p w14:paraId="037BD6D9">
      <w:pPr>
        <w:snapToGrid w:val="0"/>
        <w:spacing w:line="440" w:lineRule="exact"/>
        <w:ind w:firstLine="420" w:firstLineChars="200"/>
        <w:rPr>
          <w:rFonts w:hint="eastAsia" w:ascii="宋体" w:cs="宋体"/>
          <w:szCs w:val="21"/>
        </w:rPr>
      </w:pPr>
      <w:r>
        <w:rPr>
          <w:rFonts w:hint="eastAsia" w:ascii="宋体" w:cs="宋体"/>
          <w:szCs w:val="21"/>
        </w:rPr>
        <w:t>承包人对项目负责人的授权范围如下：</w:t>
      </w:r>
      <w:r>
        <w:rPr>
          <w:rFonts w:hint="eastAsia" w:ascii="宋体" w:cs="宋体"/>
          <w:szCs w:val="21"/>
          <w:u w:val="single"/>
        </w:rPr>
        <w:t xml:space="preserve">由承包人明确授权范围  </w:t>
      </w:r>
      <w:r>
        <w:rPr>
          <w:rFonts w:hint="eastAsia" w:ascii="宋体" w:cs="宋体"/>
          <w:szCs w:val="21"/>
        </w:rPr>
        <w:t>。</w:t>
      </w:r>
    </w:p>
    <w:p w14:paraId="0B02DEDD">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kern w:val="0"/>
          <w:szCs w:val="21"/>
        </w:rPr>
        <w:t>关于项目负责人每月在施工现场的时间</w:t>
      </w:r>
      <w:r>
        <w:rPr>
          <w:rFonts w:hint="eastAsia" w:ascii="宋体" w:cs="宋体"/>
          <w:kern w:val="0"/>
          <w:szCs w:val="21"/>
          <w:highlight w:val="none"/>
        </w:rPr>
        <w:t>要求：</w:t>
      </w:r>
      <w:r>
        <w:rPr>
          <w:rFonts w:hint="eastAsia" w:ascii="宋体" w:cs="宋体"/>
          <w:szCs w:val="21"/>
          <w:highlight w:val="none"/>
          <w:u w:val="single"/>
        </w:rPr>
        <w:t>项目经理每月在岗时间</w:t>
      </w:r>
      <w:r>
        <w:rPr>
          <w:rFonts w:hint="eastAsia" w:ascii="宋体" w:cs="宋体"/>
          <w:color w:val="auto"/>
          <w:szCs w:val="21"/>
          <w:highlight w:val="none"/>
          <w:u w:val="single"/>
        </w:rPr>
        <w:t>不得少于2</w:t>
      </w:r>
      <w:r>
        <w:rPr>
          <w:rFonts w:hint="eastAsia" w:ascii="宋体" w:cs="宋体"/>
          <w:color w:val="auto"/>
          <w:szCs w:val="21"/>
          <w:highlight w:val="none"/>
          <w:u w:val="single"/>
          <w:lang w:val="en-US" w:eastAsia="zh-CN"/>
        </w:rPr>
        <w:t>2</w:t>
      </w:r>
      <w:r>
        <w:rPr>
          <w:rFonts w:hint="eastAsia" w:ascii="宋体" w:cs="宋体"/>
          <w:color w:val="auto"/>
          <w:szCs w:val="21"/>
          <w:highlight w:val="none"/>
          <w:u w:val="single"/>
        </w:rPr>
        <w:t>天。</w:t>
      </w:r>
    </w:p>
    <w:p w14:paraId="5C830A13">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承包人未提交劳动合同，以及没有为建造师缴纳社会保险证明的违约责任：</w:t>
      </w:r>
      <w:r>
        <w:rPr>
          <w:rFonts w:hint="eastAsia" w:ascii="宋体" w:cs="宋体"/>
          <w:kern w:val="0"/>
          <w:szCs w:val="21"/>
          <w:highlight w:val="none"/>
          <w:u w:val="single"/>
        </w:rPr>
        <w:t xml:space="preserve"> </w:t>
      </w:r>
      <w:r>
        <w:rPr>
          <w:rFonts w:hint="eastAsia" w:ascii="宋体" w:cs="宋体"/>
          <w:szCs w:val="21"/>
          <w:highlight w:val="none"/>
          <w:u w:val="single"/>
        </w:rPr>
        <w:t>签订本合同前提供，资格审查时已提供的，不再重复提供</w:t>
      </w:r>
      <w:r>
        <w:rPr>
          <w:rFonts w:hint="eastAsia" w:ascii="宋体" w:cs="宋体"/>
          <w:szCs w:val="21"/>
          <w:highlight w:val="none"/>
        </w:rPr>
        <w:t>。</w:t>
      </w:r>
    </w:p>
    <w:p w14:paraId="4B079E8B">
      <w:pPr>
        <w:snapToGrid w:val="0"/>
        <w:spacing w:line="440" w:lineRule="exact"/>
        <w:ind w:firstLine="420" w:firstLineChars="200"/>
        <w:rPr>
          <w:rFonts w:hint="eastAsia" w:ascii="宋体" w:hAnsi="宋体" w:eastAsia="宋体" w:cs="宋体"/>
          <w:color w:val="auto"/>
          <w:szCs w:val="21"/>
          <w:highlight w:val="none"/>
          <w:u w:val="single"/>
        </w:rPr>
      </w:pPr>
      <w:r>
        <w:rPr>
          <w:rFonts w:hint="eastAsia" w:ascii="宋体" w:cs="宋体"/>
          <w:kern w:val="0"/>
          <w:szCs w:val="21"/>
          <w:highlight w:val="none"/>
        </w:rPr>
        <w:t>项目负责人未经批准，擅自离开施工现场的违约责任：</w:t>
      </w:r>
      <w:r>
        <w:rPr>
          <w:rFonts w:hint="eastAsia" w:ascii="宋体" w:hAnsi="宋体" w:eastAsia="宋体" w:cs="宋体"/>
          <w:color w:val="auto"/>
          <w:szCs w:val="21"/>
          <w:highlight w:val="none"/>
          <w:u w:val="single"/>
        </w:rPr>
        <w:t>发包人、监理人将对项目经理、</w:t>
      </w:r>
      <w:r>
        <w:rPr>
          <w:rFonts w:hint="default" w:ascii="宋体" w:hAnsi="宋体" w:eastAsia="宋体" w:cs="宋体"/>
          <w:color w:val="auto"/>
          <w:szCs w:val="21"/>
          <w:highlight w:val="none"/>
          <w:u w:val="single"/>
          <w:lang w:val="en-US" w:eastAsia="zh-CN"/>
        </w:rPr>
        <w:t>其他管理和技术人员</w:t>
      </w:r>
      <w:r>
        <w:rPr>
          <w:rFonts w:hint="eastAsia" w:ascii="宋体" w:hAnsi="宋体" w:eastAsia="宋体" w:cs="宋体"/>
          <w:color w:val="auto"/>
          <w:szCs w:val="21"/>
          <w:highlight w:val="none"/>
          <w:u w:val="single"/>
        </w:rPr>
        <w:t>实行考勤制度，必须保证上述人员每月至少有22天在本项目工地现场，短期离开施工场地，应事先征得监理人、发包人书面同意，并委派代表代行其职责。在工程实施期间，项目经理未经批准离开工地的或月考勤不足22天的，按</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000元/人•天</w:t>
      </w:r>
      <w:r>
        <w:rPr>
          <w:rFonts w:hint="eastAsia" w:ascii="宋体" w:hAnsi="宋体" w:eastAsia="宋体" w:cs="宋体"/>
          <w:color w:val="auto"/>
          <w:szCs w:val="21"/>
          <w:highlight w:val="none"/>
          <w:u w:val="single"/>
          <w:lang w:val="en-US" w:eastAsia="zh-CN"/>
        </w:rPr>
        <w:t>处以</w:t>
      </w:r>
      <w:r>
        <w:rPr>
          <w:rFonts w:hint="eastAsia" w:ascii="宋体" w:hAnsi="宋体" w:eastAsia="宋体" w:cs="宋体"/>
          <w:color w:val="auto"/>
          <w:szCs w:val="21"/>
          <w:highlight w:val="none"/>
          <w:u w:val="single"/>
        </w:rPr>
        <w:t>违约金。</w:t>
      </w:r>
    </w:p>
    <w:p w14:paraId="5B2257F3">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3.2.3 承包人擅自更换项目负责人的违约责任：</w:t>
      </w:r>
      <w:r>
        <w:rPr>
          <w:rFonts w:hint="eastAsia" w:ascii="宋体" w:hAnsi="宋体" w:cs="宋体"/>
          <w:color w:val="000000"/>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w:t>
      </w:r>
      <w:r>
        <w:rPr>
          <w:rFonts w:hint="eastAsia" w:ascii="宋体" w:hAnsi="宋体" w:cs="宋体"/>
          <w:b/>
          <w:bCs/>
          <w:color w:val="000000"/>
          <w:szCs w:val="21"/>
          <w:highlight w:val="none"/>
          <w:u w:val="single"/>
        </w:rPr>
        <w:t>并</w:t>
      </w:r>
      <w:r>
        <w:rPr>
          <w:rFonts w:hint="eastAsia" w:ascii="宋体" w:hAnsi="宋体" w:cs="宋体"/>
          <w:b/>
          <w:bCs/>
          <w:color w:val="auto"/>
          <w:szCs w:val="21"/>
          <w:highlight w:val="none"/>
          <w:u w:val="single"/>
        </w:rPr>
        <w:t>支付</w:t>
      </w:r>
      <w:r>
        <w:rPr>
          <w:rFonts w:hint="eastAsia" w:ascii="宋体" w:hAnsi="宋体" w:cs="宋体"/>
          <w:b/>
          <w:bCs/>
          <w:color w:val="auto"/>
          <w:szCs w:val="21"/>
          <w:highlight w:val="none"/>
          <w:u w:val="single"/>
          <w:lang w:val="en-US" w:eastAsia="zh-CN"/>
        </w:rPr>
        <w:t>10</w:t>
      </w:r>
      <w:r>
        <w:rPr>
          <w:rFonts w:hint="eastAsia" w:ascii="宋体" w:hAnsi="宋体" w:cs="宋体"/>
          <w:b/>
          <w:bCs/>
          <w:color w:val="auto"/>
          <w:szCs w:val="21"/>
          <w:highlight w:val="none"/>
          <w:u w:val="single"/>
        </w:rPr>
        <w:t>万元的</w:t>
      </w:r>
      <w:r>
        <w:rPr>
          <w:rFonts w:hint="eastAsia" w:ascii="宋体" w:hAnsi="宋体" w:cs="宋体"/>
          <w:b/>
          <w:bCs/>
          <w:color w:val="000000"/>
          <w:szCs w:val="21"/>
          <w:highlight w:val="none"/>
          <w:u w:val="single"/>
        </w:rPr>
        <w:t>违约金</w:t>
      </w:r>
      <w:r>
        <w:rPr>
          <w:rFonts w:hint="eastAsia" w:ascii="宋体" w:hAnsi="宋体" w:cs="宋体"/>
          <w:color w:val="000000"/>
          <w:szCs w:val="21"/>
          <w:highlight w:val="none"/>
          <w:u w:val="single"/>
        </w:rPr>
        <w:t>，更换后的人员不得低于承包人投标时所报人员资质和技术水平</w:t>
      </w:r>
      <w:r>
        <w:rPr>
          <w:rFonts w:hint="eastAsia" w:ascii="宋体" w:cs="宋体"/>
          <w:szCs w:val="21"/>
          <w:highlight w:val="none"/>
          <w:u w:val="single"/>
        </w:rPr>
        <w:t>。</w:t>
      </w:r>
    </w:p>
    <w:p w14:paraId="3B022719">
      <w:pPr>
        <w:snapToGrid w:val="0"/>
        <w:spacing w:line="440" w:lineRule="exact"/>
        <w:ind w:firstLine="420" w:firstLineChars="200"/>
        <w:rPr>
          <w:rFonts w:hint="eastAsia" w:ascii="宋体" w:eastAsia="宋体" w:cs="宋体"/>
          <w:szCs w:val="21"/>
          <w:highlight w:val="none"/>
          <w:u w:val="single"/>
          <w:lang w:eastAsia="zh-CN"/>
        </w:rPr>
      </w:pPr>
      <w:r>
        <w:rPr>
          <w:rFonts w:hint="eastAsia" w:ascii="宋体" w:cs="宋体"/>
          <w:szCs w:val="21"/>
          <w:highlight w:val="none"/>
        </w:rPr>
        <w:t>3.2.4 承包人无正当理由拒绝更换项目经理的违约责任：</w:t>
      </w:r>
      <w:r>
        <w:rPr>
          <w:rFonts w:hint="eastAsia" w:ascii="宋体" w:hAnsi="宋体" w:eastAsia="宋体" w:cs="宋体"/>
          <w:color w:val="auto"/>
          <w:szCs w:val="21"/>
          <w:highlight w:val="none"/>
          <w:u w:val="single"/>
        </w:rPr>
        <w:t>发包人将组织对项目经理进行业务能力考核，对未按投标文件配备或经考核不合格要求更换人员的，承包人7日内必须整改调整到位。否则，对于项目经理和技术负责人，按照</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000元/人·天</w:t>
      </w:r>
      <w:r>
        <w:rPr>
          <w:rFonts w:hint="eastAsia" w:ascii="宋体" w:hAnsi="宋体" w:eastAsia="宋体" w:cs="宋体"/>
          <w:color w:val="auto"/>
          <w:szCs w:val="21"/>
          <w:highlight w:val="none"/>
          <w:u w:val="single"/>
          <w:lang w:val="en-US" w:eastAsia="zh-CN"/>
        </w:rPr>
        <w:t>处以</w:t>
      </w:r>
      <w:r>
        <w:rPr>
          <w:rFonts w:hint="eastAsia" w:ascii="宋体" w:hAnsi="宋体" w:eastAsia="宋体" w:cs="宋体"/>
          <w:color w:val="auto"/>
          <w:szCs w:val="21"/>
          <w:highlight w:val="none"/>
          <w:u w:val="single"/>
        </w:rPr>
        <w:t>违约金，28日内未整改调整到位的，发包人有权终止合同，并提请相关行政主管部门对企业和人员进行“黑名单”处罚</w:t>
      </w:r>
      <w:r>
        <w:rPr>
          <w:rFonts w:hint="eastAsia" w:ascii="宋体" w:hAnsi="宋体" w:eastAsia="宋体" w:cs="宋体"/>
          <w:color w:val="000000"/>
          <w:highlight w:val="none"/>
          <w:u w:val="single"/>
          <w:lang w:eastAsia="zh-CN"/>
        </w:rPr>
        <w:t>。</w:t>
      </w:r>
    </w:p>
    <w:p w14:paraId="6E545C3E">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highlight w:val="none"/>
        </w:rPr>
      </w:pPr>
      <w:r>
        <w:rPr>
          <w:rFonts w:hint="eastAsia" w:ascii="宋体" w:cs="宋体"/>
          <w:szCs w:val="21"/>
          <w:highlight w:val="none"/>
        </w:rPr>
        <w:t>3.3 承包人人员</w:t>
      </w:r>
    </w:p>
    <w:p w14:paraId="255F90F6">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highlight w:val="none"/>
        </w:rPr>
      </w:pPr>
      <w:r>
        <w:rPr>
          <w:rFonts w:hint="eastAsia" w:ascii="宋体" w:cs="宋体"/>
          <w:szCs w:val="21"/>
          <w:highlight w:val="none"/>
        </w:rPr>
        <w:t>3.3.1 承包人提交项目管理机构及施工现场管理人员安排报告的期限：</w:t>
      </w:r>
      <w:r>
        <w:rPr>
          <w:rFonts w:hint="eastAsia" w:ascii="宋体" w:cs="宋体"/>
          <w:szCs w:val="21"/>
          <w:highlight w:val="none"/>
          <w:u w:val="single"/>
        </w:rPr>
        <w:t>承包人应在</w:t>
      </w:r>
      <w:r>
        <w:rPr>
          <w:rFonts w:hint="eastAsia"/>
          <w:highlight w:val="none"/>
          <w:u w:val="single"/>
        </w:rPr>
        <w:t>合同签订</w:t>
      </w:r>
      <w:r>
        <w:rPr>
          <w:rFonts w:hint="eastAsia" w:ascii="宋体" w:cs="宋体"/>
          <w:szCs w:val="21"/>
          <w:highlight w:val="none"/>
          <w:u w:val="single"/>
        </w:rPr>
        <w:t>后7日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0ABFF03D">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u w:val="single"/>
        </w:rPr>
      </w:pPr>
      <w:r>
        <w:rPr>
          <w:rFonts w:hint="eastAsia" w:ascii="宋体" w:cs="宋体"/>
          <w:szCs w:val="21"/>
          <w:highlight w:val="none"/>
        </w:rPr>
        <w:t>3.3.3 承包人无正当理由拒绝撤换主要施工管理人员的违约责任：</w:t>
      </w:r>
      <w:r>
        <w:rPr>
          <w:rFonts w:hint="eastAsia" w:ascii="宋体" w:cs="宋体"/>
          <w:szCs w:val="21"/>
          <w:highlight w:val="none"/>
          <w:u w:val="single"/>
        </w:rPr>
        <w:t xml:space="preserve"> </w:t>
      </w:r>
      <w:r>
        <w:rPr>
          <w:rFonts w:hint="eastAsia" w:ascii="宋体" w:hAnsi="宋体" w:eastAsia="宋体" w:cs="宋体"/>
          <w:color w:val="auto"/>
          <w:szCs w:val="21"/>
          <w:highlight w:val="none"/>
          <w:u w:val="single"/>
        </w:rPr>
        <w:t>发包人将组织对人员进行业务能力考核，对未按投标文件配备或经考核不合格要求更换人员的，承包人7日内必须整改调整到位。否则，对于施工现场其他管理人员按照1000元/人·天</w:t>
      </w:r>
      <w:r>
        <w:rPr>
          <w:rFonts w:hint="eastAsia" w:ascii="宋体" w:hAnsi="宋体" w:eastAsia="宋体" w:cs="宋体"/>
          <w:color w:val="auto"/>
          <w:szCs w:val="21"/>
          <w:highlight w:val="none"/>
          <w:u w:val="single"/>
          <w:lang w:val="en-US" w:eastAsia="zh-CN"/>
        </w:rPr>
        <w:t>处以</w:t>
      </w:r>
      <w:r>
        <w:rPr>
          <w:rFonts w:hint="eastAsia" w:ascii="宋体" w:hAnsi="宋体" w:eastAsia="宋体" w:cs="宋体"/>
          <w:color w:val="auto"/>
          <w:szCs w:val="21"/>
          <w:highlight w:val="none"/>
          <w:u w:val="single"/>
        </w:rPr>
        <w:t>违约金。28日内未整改调整到位的，发包人有权终止合同，并提请相关行政主管部门对企业和人员进行“黑名单”处罚</w:t>
      </w:r>
      <w:r>
        <w:rPr>
          <w:rFonts w:hint="eastAsia" w:ascii="宋体" w:cs="宋体"/>
          <w:szCs w:val="21"/>
          <w:u w:val="single"/>
        </w:rPr>
        <w:t>。</w:t>
      </w:r>
    </w:p>
    <w:p w14:paraId="0D17F701">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Cs w:val="21"/>
          <w:u w:val="single"/>
        </w:rPr>
      </w:pPr>
      <w:r>
        <w:rPr>
          <w:rFonts w:hint="eastAsia" w:ascii="宋体" w:cs="宋体"/>
          <w:szCs w:val="21"/>
        </w:rPr>
        <w:t>3.3.4 承包人主要施工管理人员离开施工现场的批准要求：</w:t>
      </w:r>
      <w:r>
        <w:rPr>
          <w:rFonts w:hint="eastAsia" w:ascii="宋体" w:hAnsi="宋体" w:eastAsia="宋体" w:cs="宋体"/>
          <w:color w:val="auto"/>
          <w:szCs w:val="21"/>
          <w:u w:val="single"/>
        </w:rPr>
        <w:t>发包人、监理人将对项目经理、</w:t>
      </w:r>
      <w:r>
        <w:rPr>
          <w:rFonts w:hint="default" w:ascii="宋体" w:hAnsi="宋体" w:eastAsia="宋体" w:cs="宋体"/>
          <w:color w:val="auto"/>
          <w:szCs w:val="21"/>
          <w:u w:val="single"/>
          <w:lang w:val="en-US" w:eastAsia="zh-CN"/>
        </w:rPr>
        <w:t>其他管理和技术人员</w:t>
      </w:r>
      <w:r>
        <w:rPr>
          <w:rFonts w:hint="eastAsia" w:ascii="宋体" w:hAnsi="宋体" w:eastAsia="宋体" w:cs="宋体"/>
          <w:color w:val="auto"/>
          <w:szCs w:val="21"/>
          <w:u w:val="single"/>
        </w:rPr>
        <w:t>实行考勤制度，必须保证上述人员每月至少有22天在本项目工地现场，短期离开施工场地，应事先征得监理人、发包人书面同意，并委派代表代行其职责。在工程实施期间，项目经理、总工未经批准离开工地的或月考勤不足22天的，</w:t>
      </w:r>
      <w:r>
        <w:rPr>
          <w:rFonts w:hint="eastAsia" w:ascii="宋体" w:hAnsi="宋体" w:eastAsia="宋体" w:cs="宋体"/>
          <w:color w:val="auto"/>
          <w:szCs w:val="21"/>
          <w:highlight w:val="none"/>
          <w:u w:val="single"/>
        </w:rPr>
        <w:t>按</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000元/人•天</w:t>
      </w:r>
      <w:r>
        <w:rPr>
          <w:rFonts w:hint="eastAsia" w:ascii="宋体" w:hAnsi="宋体" w:eastAsia="宋体" w:cs="宋体"/>
          <w:color w:val="auto"/>
          <w:szCs w:val="21"/>
          <w:highlight w:val="none"/>
          <w:u w:val="single"/>
          <w:lang w:val="en-US" w:eastAsia="zh-CN"/>
        </w:rPr>
        <w:t>处以</w:t>
      </w:r>
      <w:r>
        <w:rPr>
          <w:rFonts w:hint="eastAsia" w:ascii="宋体" w:hAnsi="宋体" w:eastAsia="宋体" w:cs="宋体"/>
          <w:color w:val="auto"/>
          <w:szCs w:val="21"/>
          <w:highlight w:val="none"/>
          <w:u w:val="single"/>
        </w:rPr>
        <w:t>违约金</w:t>
      </w:r>
      <w:r>
        <w:rPr>
          <w:rFonts w:hint="eastAsia" w:ascii="宋体" w:hAnsi="宋体" w:eastAsia="宋体" w:cs="宋体"/>
          <w:color w:val="auto"/>
          <w:szCs w:val="21"/>
          <w:u w:val="single"/>
        </w:rPr>
        <w:t>，同时将作为承包人信誉评价的不良行为，上报</w:t>
      </w:r>
      <w:r>
        <w:rPr>
          <w:rFonts w:hint="eastAsia" w:ascii="宋体" w:hAnsi="宋体" w:eastAsia="宋体" w:cs="宋体"/>
          <w:color w:val="auto"/>
          <w:szCs w:val="21"/>
          <w:u w:val="single"/>
          <w:lang w:val="en-US" w:eastAsia="zh-CN"/>
        </w:rPr>
        <w:t>行政</w:t>
      </w:r>
      <w:r>
        <w:rPr>
          <w:rFonts w:hint="eastAsia" w:ascii="宋体" w:hAnsi="宋体" w:eastAsia="宋体" w:cs="宋体"/>
          <w:color w:val="auto"/>
          <w:szCs w:val="21"/>
          <w:u w:val="single"/>
        </w:rPr>
        <w:t>主管部门。</w:t>
      </w:r>
    </w:p>
    <w:p w14:paraId="4EEE0B3C">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u w:val="single"/>
        </w:rPr>
      </w:pPr>
      <w:r>
        <w:rPr>
          <w:rFonts w:hint="eastAsia" w:ascii="宋体" w:cs="宋体"/>
          <w:szCs w:val="21"/>
        </w:rPr>
        <w:t>3.3.5承包人擅自更换主要施工管理人员的违约责任：</w:t>
      </w:r>
      <w:r>
        <w:rPr>
          <w:rFonts w:hint="eastAsia" w:ascii="宋体" w:cs="宋体"/>
          <w:szCs w:val="21"/>
          <w:u w:val="single"/>
        </w:rPr>
        <w:t>按照未按规定在岗履责进行处罚。</w:t>
      </w:r>
    </w:p>
    <w:p w14:paraId="3A806AB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承包人主要施工管理人员擅自离开施工现场的违约责任：</w:t>
      </w:r>
      <w:r>
        <w:rPr>
          <w:rFonts w:hint="eastAsia" w:ascii="宋体" w:hAnsi="宋体" w:cs="宋体"/>
          <w:color w:val="000000"/>
          <w:u w:val="single"/>
        </w:rPr>
        <w:t xml:space="preserve"> </w:t>
      </w:r>
      <w:r>
        <w:rPr>
          <w:rFonts w:hint="eastAsia" w:ascii="宋体" w:hAnsi="宋体" w:cs="宋体"/>
          <w:color w:val="000000"/>
          <w:szCs w:val="21"/>
          <w:u w:val="single"/>
          <w:lang w:val="en-US" w:eastAsia="zh-CN"/>
        </w:rPr>
        <w:t>按照</w:t>
      </w:r>
      <w:r>
        <w:rPr>
          <w:rFonts w:hint="eastAsia" w:ascii="宋体" w:hAnsi="宋体" w:eastAsia="宋体" w:cs="宋体"/>
          <w:color w:val="auto"/>
          <w:szCs w:val="21"/>
          <w:highlight w:val="none"/>
          <w:u w:val="single"/>
        </w:rPr>
        <w:t>未按规定在岗履责进行处罚</w:t>
      </w:r>
      <w:r>
        <w:rPr>
          <w:rFonts w:hint="eastAsia" w:ascii="宋体" w:hAnsi="宋体" w:cs="宋体"/>
          <w:color w:val="000000"/>
          <w:u w:val="single"/>
        </w:rPr>
        <w:t xml:space="preserve"> </w:t>
      </w:r>
      <w:r>
        <w:rPr>
          <w:rFonts w:hint="eastAsia" w:ascii="宋体" w:hAnsi="宋体" w:cs="宋体"/>
          <w:color w:val="000000"/>
        </w:rPr>
        <w:t>。</w:t>
      </w:r>
    </w:p>
    <w:p w14:paraId="36036898">
      <w:pPr>
        <w:snapToGrid w:val="0"/>
        <w:spacing w:line="440" w:lineRule="exact"/>
        <w:ind w:firstLine="420" w:firstLineChars="200"/>
        <w:rPr>
          <w:rFonts w:hint="eastAsia" w:ascii="宋体" w:cs="宋体"/>
          <w:szCs w:val="21"/>
        </w:rPr>
      </w:pPr>
      <w:r>
        <w:rPr>
          <w:rFonts w:hint="eastAsia" w:ascii="宋体" w:cs="宋体"/>
          <w:szCs w:val="21"/>
        </w:rPr>
        <w:t>3.5 分包</w:t>
      </w:r>
    </w:p>
    <w:p w14:paraId="75D5498A">
      <w:pPr>
        <w:snapToGrid w:val="0"/>
        <w:spacing w:line="440" w:lineRule="exact"/>
        <w:ind w:firstLine="420" w:firstLineChars="200"/>
        <w:rPr>
          <w:rFonts w:hint="eastAsia" w:ascii="宋体" w:cs="宋体"/>
          <w:szCs w:val="21"/>
        </w:rPr>
      </w:pPr>
      <w:r>
        <w:rPr>
          <w:rFonts w:hint="eastAsia" w:ascii="宋体" w:cs="宋体"/>
          <w:szCs w:val="21"/>
        </w:rPr>
        <w:t>3.5.1 分包的一般约定</w:t>
      </w:r>
    </w:p>
    <w:p w14:paraId="179597DD">
      <w:pPr>
        <w:snapToGrid w:val="0"/>
        <w:spacing w:line="440" w:lineRule="exact"/>
        <w:ind w:firstLine="420" w:firstLineChars="200"/>
        <w:jc w:val="left"/>
        <w:rPr>
          <w:rFonts w:hint="eastAsia" w:ascii="宋体" w:cs="宋体"/>
          <w:szCs w:val="21"/>
          <w:u w:val="single"/>
        </w:rPr>
      </w:pPr>
      <w:r>
        <w:rPr>
          <w:rFonts w:hint="eastAsia" w:ascii="宋体" w:cs="宋体"/>
          <w:szCs w:val="21"/>
        </w:rPr>
        <w:t>禁止分包的工程包括：</w:t>
      </w:r>
      <w:r>
        <w:rPr>
          <w:rFonts w:hint="eastAsia" w:ascii="宋体" w:cs="宋体"/>
          <w:szCs w:val="21"/>
          <w:u w:val="single"/>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14:paraId="1BD0FF18">
      <w:pPr>
        <w:snapToGrid w:val="0"/>
        <w:spacing w:line="440" w:lineRule="exact"/>
        <w:ind w:firstLine="420" w:firstLineChars="200"/>
        <w:jc w:val="left"/>
        <w:rPr>
          <w:rFonts w:hint="eastAsia" w:ascii="宋体" w:cs="宋体"/>
          <w:szCs w:val="21"/>
          <w:highlight w:val="none"/>
          <w:u w:val="single"/>
        </w:rPr>
      </w:pPr>
      <w:r>
        <w:rPr>
          <w:rFonts w:hint="eastAsia" w:ascii="宋体" w:cs="宋体"/>
          <w:szCs w:val="21"/>
          <w:highlight w:val="none"/>
        </w:rPr>
        <w:t>主体结构、关键性工作的范围：</w:t>
      </w:r>
      <w:r>
        <w:rPr>
          <w:rFonts w:hint="eastAsia" w:ascii="宋体" w:cs="宋体"/>
          <w:szCs w:val="21"/>
          <w:highlight w:val="none"/>
          <w:u w:val="single"/>
          <w:lang w:val="en-US" w:eastAsia="zh-CN"/>
        </w:rPr>
        <w:t>/</w:t>
      </w:r>
      <w:r>
        <w:rPr>
          <w:rFonts w:hint="eastAsia" w:ascii="宋体" w:cs="宋体"/>
          <w:szCs w:val="21"/>
          <w:highlight w:val="none"/>
        </w:rPr>
        <w:t>。</w:t>
      </w:r>
    </w:p>
    <w:p w14:paraId="604036AC">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3.5.2分包的确定</w:t>
      </w:r>
    </w:p>
    <w:p w14:paraId="61D1440D">
      <w:pPr>
        <w:snapToGrid w:val="0"/>
        <w:spacing w:line="440" w:lineRule="exact"/>
        <w:ind w:firstLine="420" w:firstLineChars="200"/>
        <w:rPr>
          <w:rFonts w:hint="eastAsia" w:ascii="宋体" w:cs="宋体"/>
          <w:szCs w:val="21"/>
          <w:highlight w:val="yellow"/>
          <w:u w:val="single"/>
        </w:rPr>
      </w:pPr>
      <w:r>
        <w:rPr>
          <w:rFonts w:hint="eastAsia" w:ascii="宋体" w:cs="宋体"/>
          <w:szCs w:val="21"/>
          <w:highlight w:val="none"/>
        </w:rPr>
        <w:t>允许分包的专业工程包括：</w:t>
      </w:r>
      <w:r>
        <w:rPr>
          <w:rFonts w:hint="eastAsia" w:ascii="宋体" w:cs="宋体"/>
          <w:szCs w:val="21"/>
          <w:highlight w:val="none"/>
          <w:u w:val="single"/>
        </w:rPr>
        <w:t>主体结构、关键性工作的范围以外的专业工程。 承包人应按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F098825">
      <w:pPr>
        <w:snapToGrid w:val="0"/>
        <w:spacing w:line="440" w:lineRule="exact"/>
        <w:ind w:firstLine="420" w:firstLineChars="200"/>
        <w:rPr>
          <w:rFonts w:hint="eastAsia" w:ascii="宋体" w:cs="宋体"/>
          <w:szCs w:val="21"/>
          <w:highlight w:val="none"/>
          <w:u w:val="single"/>
        </w:rPr>
      </w:pPr>
      <w:r>
        <w:rPr>
          <w:rFonts w:hint="eastAsia" w:ascii="宋体" w:cs="宋体"/>
          <w:szCs w:val="21"/>
          <w:highlight w:val="none"/>
        </w:rPr>
        <w:t>其他关于分包的约定：</w:t>
      </w:r>
      <w:r>
        <w:rPr>
          <w:rFonts w:hint="eastAsia" w:ascii="宋体" w:cs="宋体"/>
          <w:szCs w:val="21"/>
          <w:highlight w:val="none"/>
          <w:u w:val="single"/>
        </w:rPr>
        <w:t xml:space="preserve"> 承包人不得以劳务分包的名义转包或违法分包工程。</w:t>
      </w:r>
      <w:r>
        <w:rPr>
          <w:rFonts w:hint="eastAsia" w:ascii="宋体" w:hAnsi="宋体" w:cs="宋体"/>
          <w:b/>
          <w:bCs/>
          <w:szCs w:val="21"/>
          <w:highlight w:val="none"/>
          <w:u w:val="single"/>
        </w:rPr>
        <w:t>发包人在施工进场第一个月或施工过程中发现承包人转包、挂靠等行为的，发包人立即解除合同，清退出场，承包人已完合格工程量按合同价款60%进行结算。</w:t>
      </w:r>
    </w:p>
    <w:p w14:paraId="6D539E9D">
      <w:pPr>
        <w:snapToGrid w:val="0"/>
        <w:spacing w:line="440" w:lineRule="exact"/>
        <w:ind w:firstLine="420" w:firstLineChars="200"/>
        <w:rPr>
          <w:rFonts w:hint="eastAsia" w:ascii="宋体" w:cs="宋体"/>
          <w:szCs w:val="21"/>
        </w:rPr>
      </w:pPr>
      <w:r>
        <w:rPr>
          <w:rFonts w:hint="eastAsia" w:ascii="宋体" w:cs="宋体"/>
          <w:szCs w:val="21"/>
        </w:rPr>
        <w:t>3.5.4 分包合同价款</w:t>
      </w:r>
    </w:p>
    <w:p w14:paraId="2AB133F9">
      <w:pPr>
        <w:snapToGrid w:val="0"/>
        <w:spacing w:line="440" w:lineRule="exact"/>
        <w:ind w:firstLine="420" w:firstLineChars="200"/>
        <w:rPr>
          <w:rFonts w:hint="eastAsia" w:ascii="宋体" w:cs="宋体"/>
          <w:szCs w:val="21"/>
          <w:u w:val="single"/>
        </w:rPr>
      </w:pPr>
      <w:r>
        <w:rPr>
          <w:rFonts w:hint="eastAsia" w:ascii="宋体" w:cs="宋体"/>
          <w:szCs w:val="21"/>
        </w:rPr>
        <w:t>关于分包合同价款支付的约定：</w:t>
      </w:r>
      <w:r>
        <w:rPr>
          <w:rFonts w:hint="eastAsia" w:ascii="宋体" w:cs="宋体"/>
          <w:szCs w:val="21"/>
          <w:u w:val="single"/>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cs="宋体"/>
          <w:szCs w:val="21"/>
        </w:rPr>
        <w:t>。</w:t>
      </w:r>
    </w:p>
    <w:p w14:paraId="3890FC7F">
      <w:pPr>
        <w:snapToGrid w:val="0"/>
        <w:spacing w:line="440" w:lineRule="exact"/>
        <w:ind w:firstLine="420" w:firstLineChars="200"/>
        <w:rPr>
          <w:rFonts w:hint="eastAsia" w:ascii="宋体" w:cs="宋体"/>
          <w:szCs w:val="21"/>
        </w:rPr>
      </w:pPr>
      <w:r>
        <w:rPr>
          <w:rFonts w:hint="eastAsia" w:ascii="宋体" w:cs="宋体"/>
          <w:szCs w:val="21"/>
        </w:rPr>
        <w:t>3.6 工程照管与成品、半成品保护</w:t>
      </w:r>
    </w:p>
    <w:p w14:paraId="2F3165FC">
      <w:pPr>
        <w:snapToGrid w:val="0"/>
        <w:spacing w:line="440" w:lineRule="exact"/>
        <w:ind w:firstLine="420" w:firstLineChars="200"/>
        <w:rPr>
          <w:rFonts w:hint="eastAsia" w:ascii="宋体" w:cs="宋体"/>
          <w:kern w:val="0"/>
          <w:szCs w:val="21"/>
          <w:u w:val="single"/>
        </w:rPr>
      </w:pPr>
      <w:r>
        <w:rPr>
          <w:rFonts w:hint="eastAsia" w:ascii="宋体" w:cs="宋体"/>
          <w:kern w:val="0"/>
          <w:szCs w:val="21"/>
        </w:rPr>
        <w:t>承包人负责照管工程及工程相关的材料、工程设备的起始时间：</w:t>
      </w:r>
      <w:r>
        <w:rPr>
          <w:rFonts w:hint="eastAsia" w:ascii="宋体" w:hAnsi="宋体" w:cs="宋体"/>
          <w:color w:val="000000"/>
          <w:szCs w:val="21"/>
          <w:u w:val="single"/>
        </w:rPr>
        <w:t>自发包人向承包人移交施工现场之日起，承包人应负责照管工程及工程相关的材料、工程设备，直到颁发工程</w:t>
      </w:r>
      <w:r>
        <w:rPr>
          <w:rFonts w:hint="eastAsia" w:ascii="宋体" w:hAnsi="宋体" w:cs="宋体"/>
          <w:color w:val="auto"/>
          <w:szCs w:val="21"/>
          <w:u w:val="single"/>
          <w:lang w:val="en-US" w:eastAsia="zh-CN"/>
        </w:rPr>
        <w:t>移交</w:t>
      </w:r>
      <w:r>
        <w:rPr>
          <w:rFonts w:hint="eastAsia" w:ascii="宋体" w:hAnsi="宋体" w:cs="宋体"/>
          <w:color w:val="auto"/>
          <w:szCs w:val="21"/>
          <w:u w:val="single"/>
        </w:rPr>
        <w:t>之</w:t>
      </w:r>
      <w:r>
        <w:rPr>
          <w:rFonts w:hint="eastAsia" w:ascii="宋体" w:hAnsi="宋体" w:cs="宋体"/>
          <w:color w:val="000000"/>
          <w:szCs w:val="21"/>
          <w:u w:val="single"/>
        </w:rPr>
        <w:t>日止</w:t>
      </w:r>
      <w:r>
        <w:rPr>
          <w:rFonts w:hint="eastAsia" w:ascii="宋体" w:cs="宋体"/>
          <w:kern w:val="0"/>
          <w:szCs w:val="21"/>
          <w:u w:val="single"/>
        </w:rPr>
        <w:t>。</w:t>
      </w:r>
    </w:p>
    <w:p w14:paraId="7F366C5E">
      <w:pPr>
        <w:tabs>
          <w:tab w:val="left" w:pos="7740"/>
        </w:tabs>
        <w:snapToGrid w:val="0"/>
        <w:spacing w:line="440" w:lineRule="exact"/>
        <w:ind w:firstLine="420" w:firstLineChars="200"/>
        <w:rPr>
          <w:rFonts w:hint="eastAsia" w:ascii="宋体" w:cs="宋体"/>
          <w:szCs w:val="21"/>
        </w:rPr>
      </w:pPr>
      <w:r>
        <w:rPr>
          <w:rFonts w:hint="eastAsia" w:ascii="宋体" w:cs="宋体"/>
          <w:szCs w:val="21"/>
        </w:rPr>
        <w:t>3.7 履约担保</w:t>
      </w:r>
    </w:p>
    <w:p w14:paraId="214B02E2">
      <w:pPr>
        <w:tabs>
          <w:tab w:val="left" w:pos="7740"/>
        </w:tabs>
        <w:snapToGrid w:val="0"/>
        <w:spacing w:line="440" w:lineRule="exact"/>
        <w:ind w:firstLine="420" w:firstLineChars="200"/>
        <w:rPr>
          <w:rFonts w:hint="eastAsia" w:ascii="宋体" w:cs="宋体"/>
          <w:szCs w:val="21"/>
          <w:highlight w:val="none"/>
        </w:rPr>
      </w:pPr>
      <w:r>
        <w:rPr>
          <w:rFonts w:hint="eastAsia" w:ascii="宋体" w:cs="宋体"/>
          <w:szCs w:val="21"/>
          <w:highlight w:val="none"/>
        </w:rPr>
        <w:t>承包人是否提供履约担保：</w:t>
      </w:r>
      <w:r>
        <w:rPr>
          <w:rFonts w:hint="eastAsia" w:ascii="宋体" w:cs="宋体"/>
          <w:szCs w:val="21"/>
          <w:highlight w:val="none"/>
          <w:u w:val="single"/>
        </w:rPr>
        <w:t xml:space="preserve"> </w:t>
      </w:r>
      <w:r>
        <w:rPr>
          <w:rFonts w:hint="eastAsia" w:ascii="宋体" w:hAnsi="宋体" w:cs="宋体"/>
          <w:color w:val="000000"/>
          <w:szCs w:val="21"/>
          <w:highlight w:val="none"/>
          <w:u w:val="single"/>
        </w:rPr>
        <w:t>提供</w:t>
      </w:r>
      <w:r>
        <w:rPr>
          <w:rFonts w:hint="eastAsia" w:ascii="宋体" w:cs="宋体"/>
          <w:szCs w:val="21"/>
          <w:highlight w:val="none"/>
          <w:u w:val="single"/>
        </w:rPr>
        <w:t xml:space="preserve">  </w:t>
      </w:r>
      <w:r>
        <w:rPr>
          <w:rFonts w:hint="eastAsia" w:ascii="宋体" w:cs="宋体"/>
          <w:szCs w:val="21"/>
          <w:highlight w:val="none"/>
        </w:rPr>
        <w:t>。</w:t>
      </w:r>
    </w:p>
    <w:p w14:paraId="683A46A0">
      <w:pPr>
        <w:tabs>
          <w:tab w:val="left" w:pos="7740"/>
        </w:tabs>
        <w:snapToGrid w:val="0"/>
        <w:spacing w:line="440" w:lineRule="exact"/>
        <w:ind w:firstLine="420" w:firstLineChars="200"/>
        <w:rPr>
          <w:rFonts w:hint="eastAsia" w:ascii="宋体" w:cs="宋体"/>
          <w:szCs w:val="21"/>
          <w:highlight w:val="none"/>
        </w:rPr>
      </w:pPr>
      <w:r>
        <w:rPr>
          <w:rFonts w:hint="eastAsia" w:ascii="宋体" w:cs="宋体"/>
          <w:szCs w:val="21"/>
          <w:highlight w:val="none"/>
        </w:rPr>
        <w:t>承包人提供履约担保的形式、金额及期限的：</w:t>
      </w:r>
      <w:r>
        <w:rPr>
          <w:rFonts w:hint="eastAsia" w:ascii="宋体" w:cs="宋体"/>
          <w:szCs w:val="21"/>
          <w:highlight w:val="none"/>
          <w:lang w:val="en-US" w:eastAsia="zh-CN"/>
        </w:rPr>
        <w:t>具体要求详见投标人须知前附表</w:t>
      </w:r>
      <w:r>
        <w:rPr>
          <w:rFonts w:hint="eastAsia" w:ascii="宋体" w:cs="宋体"/>
          <w:szCs w:val="21"/>
          <w:highlight w:val="none"/>
        </w:rPr>
        <w:t>。</w:t>
      </w:r>
    </w:p>
    <w:p w14:paraId="38296A20">
      <w:pPr>
        <w:tabs>
          <w:tab w:val="left" w:pos="7740"/>
        </w:tabs>
        <w:snapToGrid w:val="0"/>
        <w:spacing w:line="440" w:lineRule="exact"/>
        <w:ind w:firstLine="420" w:firstLineChars="200"/>
        <w:rPr>
          <w:rFonts w:hint="eastAsia" w:ascii="宋体" w:cs="宋体"/>
          <w:szCs w:val="21"/>
          <w:highlight w:val="none"/>
        </w:rPr>
      </w:pPr>
      <w:r>
        <w:rPr>
          <w:rFonts w:hint="eastAsia" w:ascii="宋体" w:cs="宋体"/>
          <w:szCs w:val="21"/>
          <w:highlight w:val="none"/>
        </w:rPr>
        <w:t>4. 监理人</w:t>
      </w:r>
    </w:p>
    <w:p w14:paraId="007344C9">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4.1监理人的一般规定</w:t>
      </w:r>
    </w:p>
    <w:p w14:paraId="09044A47">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关于监理人的监理内容：</w:t>
      </w:r>
      <w:r>
        <w:rPr>
          <w:rFonts w:hint="eastAsia" w:ascii="宋体" w:cs="宋体"/>
          <w:szCs w:val="21"/>
          <w:highlight w:val="none"/>
          <w:u w:val="single"/>
        </w:rPr>
        <w:t xml:space="preserve">  详见监理合同 </w:t>
      </w:r>
      <w:r>
        <w:rPr>
          <w:rFonts w:hint="eastAsia" w:ascii="宋体" w:cs="宋体"/>
          <w:szCs w:val="21"/>
          <w:highlight w:val="none"/>
        </w:rPr>
        <w:t>。</w:t>
      </w:r>
    </w:p>
    <w:p w14:paraId="7F628324">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关于监理人的监理权限：</w:t>
      </w:r>
      <w:r>
        <w:rPr>
          <w:rFonts w:hint="eastAsia" w:ascii="宋体" w:cs="宋体"/>
          <w:szCs w:val="21"/>
          <w:highlight w:val="none"/>
          <w:u w:val="single"/>
        </w:rPr>
        <w:t xml:space="preserve"> 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项目负责人及有关人员的建议权；分包单位资质及能力的审查权；等等  </w:t>
      </w:r>
      <w:r>
        <w:rPr>
          <w:rFonts w:hint="eastAsia" w:ascii="宋体" w:cs="宋体"/>
          <w:szCs w:val="21"/>
          <w:highlight w:val="none"/>
        </w:rPr>
        <w:t xml:space="preserve">。 </w:t>
      </w:r>
    </w:p>
    <w:p w14:paraId="2993D52B">
      <w:pPr>
        <w:snapToGrid w:val="0"/>
        <w:spacing w:line="440" w:lineRule="exact"/>
        <w:ind w:firstLine="420" w:firstLineChars="200"/>
        <w:rPr>
          <w:rFonts w:hint="eastAsia" w:ascii="宋体" w:cs="宋体"/>
          <w:szCs w:val="21"/>
          <w:highlight w:val="none"/>
          <w:u w:val="single"/>
        </w:rPr>
      </w:pPr>
      <w:r>
        <w:rPr>
          <w:rFonts w:hint="eastAsia" w:ascii="宋体" w:cs="宋体"/>
          <w:szCs w:val="21"/>
          <w:highlight w:val="none"/>
        </w:rPr>
        <w:t>关于监理人在施工现场的办公场所、生活场所的提供和费用承担的约定：</w:t>
      </w:r>
      <w:r>
        <w:rPr>
          <w:rFonts w:hint="eastAsia" w:ascii="宋体" w:cs="宋体"/>
          <w:szCs w:val="21"/>
          <w:highlight w:val="none"/>
          <w:u w:val="single"/>
        </w:rPr>
        <w:t>办公场所由承包人提供和承担，生活场所由监理人自行解决和承担 。</w:t>
      </w:r>
    </w:p>
    <w:p w14:paraId="68744750">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4.2 监理人员</w:t>
      </w:r>
    </w:p>
    <w:p w14:paraId="1A37E990">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总监理工程师：</w:t>
      </w:r>
    </w:p>
    <w:p w14:paraId="4683FF8C">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姓    名：</w:t>
      </w:r>
      <w:r>
        <w:rPr>
          <w:rFonts w:hint="eastAsia" w:ascii="宋体" w:cs="宋体"/>
          <w:szCs w:val="21"/>
          <w:highlight w:val="none"/>
          <w:u w:val="single"/>
        </w:rPr>
        <w:t>   </w:t>
      </w:r>
      <w:r>
        <w:rPr>
          <w:rFonts w:hint="eastAsia" w:ascii="宋体" w:cs="宋体"/>
          <w:szCs w:val="21"/>
          <w:highlight w:val="none"/>
        </w:rPr>
        <w:t>；</w:t>
      </w:r>
    </w:p>
    <w:p w14:paraId="5904DAFE">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职    务：</w:t>
      </w:r>
      <w:r>
        <w:rPr>
          <w:rFonts w:hint="eastAsia" w:ascii="宋体" w:cs="宋体"/>
          <w:szCs w:val="21"/>
          <w:highlight w:val="none"/>
          <w:u w:val="single"/>
        </w:rPr>
        <w:t>   </w:t>
      </w:r>
      <w:r>
        <w:rPr>
          <w:rFonts w:hint="eastAsia" w:ascii="宋体" w:cs="宋体"/>
          <w:szCs w:val="21"/>
          <w:highlight w:val="none"/>
        </w:rPr>
        <w:t>；</w:t>
      </w:r>
    </w:p>
    <w:p w14:paraId="58C9F6F8">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监理工程师执业资格证书号：</w:t>
      </w:r>
      <w:r>
        <w:rPr>
          <w:rFonts w:hint="eastAsia" w:ascii="宋体" w:cs="宋体"/>
          <w:szCs w:val="21"/>
          <w:highlight w:val="none"/>
          <w:u w:val="single"/>
        </w:rPr>
        <w:t> </w:t>
      </w:r>
      <w:r>
        <w:rPr>
          <w:rFonts w:hint="eastAsia" w:ascii="宋体" w:cs="宋体"/>
          <w:szCs w:val="21"/>
          <w:highlight w:val="none"/>
        </w:rPr>
        <w:t>；</w:t>
      </w:r>
    </w:p>
    <w:p w14:paraId="56E09EDD">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联系电话：</w:t>
      </w:r>
      <w:r>
        <w:rPr>
          <w:rFonts w:hint="eastAsia" w:ascii="宋体" w:cs="宋体"/>
          <w:szCs w:val="21"/>
          <w:highlight w:val="none"/>
          <w:u w:val="single"/>
        </w:rPr>
        <w:t>   </w:t>
      </w:r>
      <w:r>
        <w:rPr>
          <w:rFonts w:hint="eastAsia" w:ascii="宋体" w:cs="宋体"/>
          <w:szCs w:val="21"/>
          <w:highlight w:val="none"/>
        </w:rPr>
        <w:t>；</w:t>
      </w:r>
    </w:p>
    <w:p w14:paraId="44319910">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电子信箱：</w:t>
      </w:r>
      <w:r>
        <w:rPr>
          <w:rFonts w:hint="eastAsia" w:ascii="宋体" w:cs="宋体"/>
          <w:szCs w:val="21"/>
          <w:highlight w:val="none"/>
          <w:u w:val="single"/>
        </w:rPr>
        <w:t>   </w:t>
      </w:r>
      <w:r>
        <w:rPr>
          <w:rFonts w:hint="eastAsia" w:ascii="宋体" w:cs="宋体"/>
          <w:szCs w:val="21"/>
          <w:highlight w:val="none"/>
        </w:rPr>
        <w:t>；</w:t>
      </w:r>
    </w:p>
    <w:p w14:paraId="7B91E098">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通信地址：</w:t>
      </w:r>
      <w:r>
        <w:rPr>
          <w:rFonts w:hint="eastAsia" w:ascii="宋体" w:cs="宋体"/>
          <w:szCs w:val="21"/>
          <w:highlight w:val="none"/>
          <w:u w:val="single"/>
        </w:rPr>
        <w:t>   </w:t>
      </w:r>
      <w:r>
        <w:rPr>
          <w:rFonts w:hint="eastAsia" w:ascii="宋体" w:cs="宋体"/>
          <w:szCs w:val="21"/>
          <w:highlight w:val="none"/>
        </w:rPr>
        <w:t>；</w:t>
      </w:r>
    </w:p>
    <w:p w14:paraId="7C3A346F">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关于监理人的其他约定：</w:t>
      </w:r>
      <w:r>
        <w:rPr>
          <w:rFonts w:hint="eastAsia" w:ascii="宋体" w:cs="宋体"/>
          <w:szCs w:val="21"/>
          <w:highlight w:val="none"/>
          <w:u w:val="single"/>
        </w:rPr>
        <w:t>   </w:t>
      </w:r>
      <w:r>
        <w:rPr>
          <w:rFonts w:hint="eastAsia" w:ascii="宋体" w:cs="宋体"/>
          <w:szCs w:val="21"/>
          <w:highlight w:val="none"/>
        </w:rPr>
        <w:t>。</w:t>
      </w:r>
    </w:p>
    <w:p w14:paraId="436AC609">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4.4 商定或确定</w:t>
      </w:r>
    </w:p>
    <w:p w14:paraId="25D9F5A9">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在发包人和承包人不能通过协商达成一致意见时，发包人授权监理人对以下事项进行确定：</w:t>
      </w:r>
    </w:p>
    <w:p w14:paraId="5D80E276">
      <w:pPr>
        <w:autoSpaceDE w:val="0"/>
        <w:autoSpaceDN w:val="0"/>
        <w:adjustRightInd w:val="0"/>
        <w:snapToGrid w:val="0"/>
        <w:spacing w:line="440" w:lineRule="exact"/>
        <w:ind w:firstLine="420" w:firstLineChars="200"/>
        <w:jc w:val="left"/>
        <w:rPr>
          <w:rFonts w:hint="eastAsia" w:ascii="宋体" w:cs="宋体"/>
          <w:kern w:val="0"/>
          <w:szCs w:val="21"/>
          <w:highlight w:val="none"/>
        </w:rPr>
      </w:pPr>
      <w:r>
        <w:rPr>
          <w:rFonts w:hint="eastAsia" w:ascii="宋体" w:cs="宋体"/>
          <w:kern w:val="0"/>
          <w:szCs w:val="21"/>
          <w:highlight w:val="none"/>
        </w:rPr>
        <w:t>（1）</w:t>
      </w:r>
      <w:r>
        <w:rPr>
          <w:rFonts w:hint="eastAsia" w:ascii="宋体" w:cs="宋体"/>
          <w:szCs w:val="21"/>
          <w:highlight w:val="none"/>
          <w:u w:val="single"/>
        </w:rPr>
        <w:t xml:space="preserve">   施工方案    </w:t>
      </w:r>
      <w:r>
        <w:rPr>
          <w:rFonts w:hint="eastAsia" w:ascii="宋体" w:cs="宋体"/>
          <w:szCs w:val="21"/>
          <w:highlight w:val="none"/>
        </w:rPr>
        <w:t>；</w:t>
      </w:r>
    </w:p>
    <w:p w14:paraId="47EE63B8">
      <w:pPr>
        <w:autoSpaceDE w:val="0"/>
        <w:autoSpaceDN w:val="0"/>
        <w:adjustRightInd w:val="0"/>
        <w:snapToGrid w:val="0"/>
        <w:spacing w:line="440" w:lineRule="exact"/>
        <w:ind w:firstLine="420" w:firstLineChars="200"/>
        <w:jc w:val="left"/>
        <w:rPr>
          <w:rFonts w:hint="eastAsia" w:ascii="宋体" w:cs="宋体"/>
          <w:kern w:val="0"/>
          <w:szCs w:val="21"/>
          <w:highlight w:val="none"/>
        </w:rPr>
      </w:pPr>
      <w:r>
        <w:rPr>
          <w:rFonts w:hint="eastAsia" w:ascii="宋体" w:cs="宋体"/>
          <w:kern w:val="0"/>
          <w:szCs w:val="21"/>
          <w:highlight w:val="none"/>
        </w:rPr>
        <w:t>（2）</w:t>
      </w:r>
      <w:r>
        <w:rPr>
          <w:rFonts w:hint="eastAsia" w:ascii="宋体" w:cs="宋体"/>
          <w:szCs w:val="21"/>
          <w:highlight w:val="none"/>
          <w:u w:val="single"/>
        </w:rPr>
        <w:t xml:space="preserve">   索赔事项等    </w:t>
      </w:r>
      <w:r>
        <w:rPr>
          <w:rFonts w:hint="eastAsia" w:ascii="宋体" w:cs="宋体"/>
          <w:szCs w:val="21"/>
          <w:highlight w:val="none"/>
        </w:rPr>
        <w:t>；</w:t>
      </w:r>
    </w:p>
    <w:p w14:paraId="0B4B73F6">
      <w:pPr>
        <w:pStyle w:val="9"/>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5. 工程质量</w:t>
      </w:r>
    </w:p>
    <w:p w14:paraId="725B46FA">
      <w:pPr>
        <w:snapToGrid w:val="0"/>
        <w:spacing w:line="440" w:lineRule="exact"/>
        <w:ind w:firstLine="420" w:firstLineChars="200"/>
        <w:rPr>
          <w:rFonts w:hint="eastAsia" w:ascii="宋体" w:cs="宋体"/>
          <w:szCs w:val="21"/>
        </w:rPr>
      </w:pPr>
      <w:r>
        <w:rPr>
          <w:rFonts w:hint="eastAsia" w:ascii="宋体" w:cs="宋体"/>
          <w:szCs w:val="21"/>
        </w:rPr>
        <w:t>5.1 质量要求</w:t>
      </w:r>
    </w:p>
    <w:p w14:paraId="7F8BE9EA">
      <w:pPr>
        <w:snapToGrid w:val="0"/>
        <w:spacing w:line="440" w:lineRule="exact"/>
        <w:ind w:firstLine="420" w:firstLineChars="200"/>
        <w:jc w:val="left"/>
        <w:rPr>
          <w:rFonts w:hint="eastAsia" w:ascii="宋体" w:cs="宋体"/>
          <w:szCs w:val="21"/>
        </w:rPr>
      </w:pPr>
      <w:r>
        <w:rPr>
          <w:rFonts w:hint="eastAsia" w:ascii="宋体" w:cs="宋体"/>
          <w:szCs w:val="21"/>
        </w:rPr>
        <w:t>5.1.1 特殊质量标准和要求：</w:t>
      </w:r>
      <w:r>
        <w:rPr>
          <w:rFonts w:hint="eastAsia" w:ascii="宋体" w:cs="宋体"/>
          <w:szCs w:val="21"/>
          <w:u w:val="single"/>
        </w:rPr>
        <w:t xml:space="preserve"> 工程质量必须达到国家工程施工质量验收 合格 标准。 </w:t>
      </w:r>
    </w:p>
    <w:p w14:paraId="52928622">
      <w:pPr>
        <w:snapToGrid w:val="0"/>
        <w:spacing w:line="440" w:lineRule="exact"/>
        <w:ind w:firstLine="420" w:firstLineChars="200"/>
        <w:jc w:val="left"/>
        <w:rPr>
          <w:rFonts w:hint="eastAsia" w:ascii="宋体" w:cs="宋体"/>
          <w:szCs w:val="21"/>
          <w:u w:val="single"/>
        </w:rPr>
      </w:pPr>
      <w:r>
        <w:rPr>
          <w:rFonts w:hint="eastAsia" w:ascii="宋体" w:cs="宋体"/>
          <w:szCs w:val="21"/>
        </w:rPr>
        <w:t>关于工程奖项的约定：</w:t>
      </w:r>
      <w:r>
        <w:rPr>
          <w:rFonts w:hint="eastAsia" w:ascii="宋体" w:cs="宋体"/>
          <w:szCs w:val="21"/>
          <w:u w:val="single"/>
        </w:rPr>
        <w:t xml:space="preserve"> / </w:t>
      </w:r>
      <w:r>
        <w:rPr>
          <w:rFonts w:hint="eastAsia" w:ascii="宋体" w:cs="宋体"/>
          <w:szCs w:val="21"/>
        </w:rPr>
        <w:t>。</w:t>
      </w:r>
    </w:p>
    <w:p w14:paraId="36944099">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rPr>
      </w:pPr>
      <w:r>
        <w:rPr>
          <w:rFonts w:hint="eastAsia" w:ascii="宋体" w:cs="宋体"/>
          <w:szCs w:val="21"/>
        </w:rPr>
        <w:t>5.3 隐蔽工程检查</w:t>
      </w:r>
    </w:p>
    <w:p w14:paraId="749E1B7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u w:val="single"/>
          <w:lang w:eastAsia="zh-CN"/>
        </w:rPr>
      </w:pPr>
      <w:r>
        <w:rPr>
          <w:rFonts w:hint="eastAsia" w:ascii="宋体" w:hAnsi="宋体" w:cs="宋体"/>
          <w:color w:val="000000"/>
          <w:highlight w:val="none"/>
        </w:rPr>
        <w:t>5.3.2 承包人提前通知监理人隐蔽工程检查的期限的约定：</w:t>
      </w:r>
      <w:r>
        <w:rPr>
          <w:rFonts w:hint="eastAsia" w:ascii="宋体" w:hAnsi="宋体" w:cs="宋体"/>
          <w:color w:val="000000"/>
          <w:szCs w:val="21"/>
          <w:highlight w:val="none"/>
          <w:u w:val="single"/>
        </w:rPr>
        <w:t xml:space="preserve">  </w:t>
      </w:r>
      <w:r>
        <w:rPr>
          <w:rFonts w:hint="eastAsia" w:ascii="宋体" w:hAnsi="宋体" w:eastAsia="宋体" w:cs="宋体"/>
          <w:color w:val="auto"/>
          <w:szCs w:val="21"/>
          <w:highlight w:val="none"/>
          <w:u w:val="single"/>
        </w:rPr>
        <w:t>工程隐蔽部位经承包人自检确认具备覆盖条件的，承包人应在共同检查前6小时书面通知监理人检查，通知中应载明隐蔽检查的内容、时间和地点，并应附有自检记录和必要的检查资料</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包含不限于影像等相关资料</w:t>
      </w:r>
      <w:r>
        <w:rPr>
          <w:rFonts w:hint="eastAsia" w:ascii="宋体" w:hAnsi="宋体" w:eastAsia="宋体" w:cs="宋体"/>
          <w:color w:val="auto"/>
          <w:szCs w:val="21"/>
          <w:highlight w:val="none"/>
          <w:u w:val="single"/>
          <w:lang w:eastAsia="zh-CN"/>
        </w:rPr>
        <w:t>）。</w:t>
      </w:r>
    </w:p>
    <w:p w14:paraId="0C38704B">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4B4DE38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u w:val="single"/>
        </w:rPr>
      </w:pPr>
      <w:r>
        <w:rPr>
          <w:rFonts w:hint="eastAsia" w:ascii="宋体" w:hAnsi="宋体" w:eastAsia="宋体" w:cs="宋体"/>
          <w:color w:val="auto"/>
          <w:szCs w:val="21"/>
          <w:highlight w:val="none"/>
          <w:u w:val="single"/>
        </w:rPr>
        <w:t>监理人不能按时进行检查的，应在检查前3小时向承包人提交书面延期要求，但延期不能超过6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r>
        <w:rPr>
          <w:rFonts w:hint="eastAsia" w:ascii="宋体" w:hAnsi="宋体" w:cs="宋体"/>
          <w:color w:val="000000"/>
          <w:szCs w:val="21"/>
          <w:highlight w:val="none"/>
          <w:u w:val="single"/>
        </w:rPr>
        <w:t xml:space="preserve">  </w:t>
      </w:r>
      <w:r>
        <w:rPr>
          <w:rFonts w:hint="eastAsia" w:ascii="宋体" w:hAnsi="宋体" w:cs="宋体"/>
          <w:color w:val="000000"/>
          <w:highlight w:val="none"/>
        </w:rPr>
        <w:t>。</w:t>
      </w:r>
    </w:p>
    <w:p w14:paraId="63C243D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监理人不能按时进行检查时，应提前</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3</w:t>
      </w:r>
      <w:r>
        <w:rPr>
          <w:rFonts w:hint="eastAsia" w:ascii="宋体" w:hAnsi="宋体" w:cs="宋体"/>
          <w:color w:val="000000"/>
          <w:szCs w:val="21"/>
          <w:u w:val="single"/>
        </w:rPr>
        <w:t xml:space="preserve"> </w:t>
      </w:r>
      <w:r>
        <w:rPr>
          <w:rFonts w:hint="eastAsia" w:ascii="宋体" w:hAnsi="宋体" w:cs="宋体"/>
          <w:color w:val="000000"/>
        </w:rPr>
        <w:t>小时提交书面延期要求。</w:t>
      </w:r>
    </w:p>
    <w:p w14:paraId="1A5BDEE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关于延期最长不得超过：</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6</w:t>
      </w:r>
      <w:r>
        <w:rPr>
          <w:rFonts w:hint="eastAsia" w:ascii="宋体" w:hAnsi="宋体" w:cs="宋体"/>
          <w:color w:val="000000"/>
          <w:szCs w:val="21"/>
          <w:u w:val="single"/>
        </w:rPr>
        <w:t xml:space="preserve"> </w:t>
      </w:r>
      <w:r>
        <w:rPr>
          <w:rFonts w:hint="eastAsia" w:ascii="宋体" w:hAnsi="宋体" w:cs="宋体"/>
          <w:color w:val="000000"/>
        </w:rPr>
        <w:t>小时。</w:t>
      </w:r>
    </w:p>
    <w:p w14:paraId="1F4986B0">
      <w:pPr>
        <w:pStyle w:val="9"/>
        <w:tabs>
          <w:tab w:val="left" w:pos="3315"/>
        </w:tabs>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6. 安全文明施工与环境保护</w:t>
      </w:r>
      <w:r>
        <w:rPr>
          <w:rFonts w:hint="eastAsia" w:ascii="宋体" w:eastAsia="宋体" w:cs="宋体"/>
          <w:b w:val="0"/>
          <w:sz w:val="21"/>
          <w:szCs w:val="21"/>
        </w:rPr>
        <w:tab/>
      </w:r>
    </w:p>
    <w:p w14:paraId="09FD88B5">
      <w:pPr>
        <w:snapToGrid w:val="0"/>
        <w:spacing w:line="440" w:lineRule="exact"/>
        <w:ind w:firstLine="420" w:firstLineChars="200"/>
        <w:rPr>
          <w:rFonts w:hint="eastAsia" w:ascii="宋体" w:cs="宋体"/>
          <w:szCs w:val="21"/>
        </w:rPr>
      </w:pPr>
      <w:r>
        <w:rPr>
          <w:rFonts w:hint="eastAsia" w:ascii="宋体" w:cs="宋体"/>
          <w:szCs w:val="21"/>
        </w:rPr>
        <w:t>6.1安全文明施工</w:t>
      </w:r>
    </w:p>
    <w:p w14:paraId="7B5AA553">
      <w:pPr>
        <w:snapToGrid w:val="0"/>
        <w:spacing w:line="440" w:lineRule="exact"/>
        <w:ind w:firstLine="420" w:firstLineChars="200"/>
        <w:jc w:val="left"/>
        <w:rPr>
          <w:rFonts w:hint="eastAsia" w:ascii="宋体" w:cs="宋体"/>
          <w:szCs w:val="21"/>
        </w:rPr>
      </w:pPr>
      <w:r>
        <w:rPr>
          <w:rFonts w:hint="eastAsia" w:ascii="宋体" w:cs="宋体"/>
          <w:szCs w:val="21"/>
        </w:rPr>
        <w:t>6.1.1 项目安全生产的达标目标及相应事项的约定</w:t>
      </w:r>
      <w:r>
        <w:rPr>
          <w:rFonts w:hint="eastAsia" w:ascii="宋体" w:cs="宋体"/>
          <w:szCs w:val="21"/>
          <w:u w:val="single"/>
        </w:rPr>
        <w:t xml:space="preserve">  </w:t>
      </w:r>
      <w:r>
        <w:rPr>
          <w:rFonts w:hint="eastAsia" w:ascii="宋体" w:cs="宋体"/>
          <w:szCs w:val="21"/>
          <w:u w:val="single"/>
          <w:lang w:val="en-US" w:eastAsia="zh-CN"/>
        </w:rPr>
        <w:t xml:space="preserve">  </w:t>
      </w:r>
      <w:r>
        <w:rPr>
          <w:rFonts w:hint="eastAsia" w:ascii="宋体" w:cs="宋体"/>
          <w:szCs w:val="21"/>
          <w:u w:val="single"/>
        </w:rPr>
        <w:t xml:space="preserve">    。</w:t>
      </w:r>
    </w:p>
    <w:p w14:paraId="4907B10C">
      <w:pPr>
        <w:snapToGrid w:val="0"/>
        <w:spacing w:line="440" w:lineRule="exact"/>
        <w:ind w:firstLine="420" w:firstLineChars="200"/>
        <w:jc w:val="left"/>
        <w:rPr>
          <w:rFonts w:hint="eastAsia" w:ascii="宋体" w:cs="宋体"/>
          <w:szCs w:val="21"/>
          <w:u w:val="single"/>
        </w:rPr>
      </w:pPr>
      <w:r>
        <w:rPr>
          <w:rFonts w:hint="eastAsia" w:ascii="宋体" w:cs="宋体"/>
          <w:szCs w:val="21"/>
        </w:rPr>
        <w:t>6.1.4 关于治安保卫的特别约定：</w:t>
      </w:r>
      <w:r>
        <w:rPr>
          <w:rFonts w:hint="eastAsia" w:ascii="宋体" w:cs="宋体"/>
          <w:szCs w:val="21"/>
          <w:u w:val="single"/>
        </w:rPr>
        <w:t xml:space="preserve"> </w:t>
      </w:r>
      <w:r>
        <w:rPr>
          <w:rFonts w:hint="eastAsia" w:ascii="宋体" w:cs="宋体"/>
          <w:szCs w:val="21"/>
          <w:u w:val="single"/>
          <w:lang w:val="en-US" w:eastAsia="zh-CN"/>
        </w:rPr>
        <w:t xml:space="preserve">     </w:t>
      </w:r>
      <w:r>
        <w:rPr>
          <w:rFonts w:hint="eastAsia" w:ascii="宋体" w:cs="宋体"/>
          <w:szCs w:val="21"/>
          <w:u w:val="single"/>
        </w:rPr>
        <w:t>。</w:t>
      </w:r>
    </w:p>
    <w:p w14:paraId="75767E2F">
      <w:pPr>
        <w:snapToGrid w:val="0"/>
        <w:spacing w:line="440" w:lineRule="exact"/>
        <w:ind w:firstLine="420" w:firstLineChars="200"/>
        <w:jc w:val="left"/>
        <w:rPr>
          <w:rFonts w:hint="eastAsia" w:ascii="宋体" w:cs="宋体"/>
          <w:szCs w:val="21"/>
        </w:rPr>
      </w:pPr>
      <w:r>
        <w:rPr>
          <w:rFonts w:hint="eastAsia" w:ascii="宋体" w:cs="宋体"/>
          <w:szCs w:val="21"/>
        </w:rPr>
        <w:t>关于编制施工场地治安管理计划的约定：</w:t>
      </w:r>
      <w:r>
        <w:rPr>
          <w:rFonts w:hint="eastAsia" w:ascii="宋体" w:cs="宋体"/>
          <w:szCs w:val="21"/>
          <w:u w:val="single"/>
        </w:rPr>
        <w:t xml:space="preserve">   由承包人负责       </w:t>
      </w:r>
      <w:r>
        <w:rPr>
          <w:rFonts w:hint="eastAsia" w:ascii="宋体" w:cs="宋体"/>
          <w:szCs w:val="21"/>
        </w:rPr>
        <w:t>。</w:t>
      </w:r>
    </w:p>
    <w:p w14:paraId="471254C5">
      <w:pPr>
        <w:snapToGrid w:val="0"/>
        <w:spacing w:line="440" w:lineRule="exact"/>
        <w:ind w:firstLine="420" w:firstLineChars="200"/>
        <w:jc w:val="left"/>
        <w:rPr>
          <w:rFonts w:hint="eastAsia" w:ascii="宋体" w:cs="宋体"/>
          <w:szCs w:val="21"/>
        </w:rPr>
      </w:pPr>
      <w:r>
        <w:rPr>
          <w:rFonts w:hint="eastAsia" w:ascii="宋体" w:cs="宋体"/>
          <w:szCs w:val="21"/>
        </w:rPr>
        <w:t>6.1.5 文明施工</w:t>
      </w:r>
    </w:p>
    <w:p w14:paraId="531A3B2F">
      <w:pPr>
        <w:snapToGrid w:val="0"/>
        <w:spacing w:line="440" w:lineRule="exact"/>
        <w:ind w:firstLine="420" w:firstLineChars="200"/>
        <w:jc w:val="left"/>
        <w:rPr>
          <w:rFonts w:hint="eastAsia" w:ascii="宋体" w:cs="宋体"/>
          <w:szCs w:val="21"/>
          <w:u w:val="single"/>
        </w:rPr>
      </w:pPr>
      <w:r>
        <w:rPr>
          <w:rFonts w:hint="eastAsia" w:ascii="宋体" w:cs="宋体"/>
          <w:szCs w:val="21"/>
        </w:rPr>
        <w:t>合同当事人对文明施工的要求：</w:t>
      </w:r>
      <w:r>
        <w:rPr>
          <w:rFonts w:hint="eastAsia" w:ascii="宋体" w:cs="宋体"/>
          <w:szCs w:val="21"/>
          <w:u w:val="single"/>
        </w:rPr>
        <w:t xml:space="preserve">   执行</w:t>
      </w:r>
      <w:r>
        <w:rPr>
          <w:rFonts w:hint="eastAsia" w:ascii="宋体" w:cs="宋体"/>
          <w:szCs w:val="21"/>
          <w:u w:val="single"/>
          <w:lang w:val="en-US" w:eastAsia="zh-CN"/>
        </w:rPr>
        <w:t>招标</w:t>
      </w:r>
      <w:r>
        <w:rPr>
          <w:rFonts w:hint="eastAsia" w:ascii="宋体" w:cs="宋体"/>
          <w:szCs w:val="21"/>
          <w:u w:val="single"/>
        </w:rPr>
        <w:t xml:space="preserve">文件   </w:t>
      </w:r>
      <w:r>
        <w:rPr>
          <w:rFonts w:hint="eastAsia" w:ascii="宋体" w:cs="宋体"/>
          <w:szCs w:val="21"/>
        </w:rPr>
        <w:t>。</w:t>
      </w:r>
    </w:p>
    <w:p w14:paraId="2873FDB8">
      <w:pPr>
        <w:snapToGrid w:val="0"/>
        <w:spacing w:line="440" w:lineRule="exact"/>
        <w:ind w:firstLine="420" w:firstLineChars="200"/>
        <w:jc w:val="left"/>
        <w:rPr>
          <w:rFonts w:hint="eastAsia" w:ascii="宋体" w:hAnsi="宋体" w:cs="宋体"/>
          <w:bCs/>
          <w:szCs w:val="21"/>
          <w:highlight w:val="none"/>
          <w:u w:val="single"/>
        </w:rPr>
      </w:pPr>
      <w:r>
        <w:rPr>
          <w:rFonts w:hint="eastAsia" w:ascii="宋体" w:hAnsi="宋体" w:cs="宋体"/>
          <w:bCs/>
          <w:szCs w:val="21"/>
        </w:rPr>
        <w:t>6.1.6 关于安全文明施工费支付比例和支付期限的约定：</w:t>
      </w:r>
      <w:r>
        <w:rPr>
          <w:rFonts w:hint="eastAsia" w:ascii="宋体" w:hAnsi="宋体" w:cs="宋体"/>
          <w:bCs/>
          <w:szCs w:val="21"/>
          <w:u w:val="single"/>
          <w:lang w:val="en-US" w:eastAsia="zh-CN"/>
        </w:rPr>
        <w:t xml:space="preserve">              </w:t>
      </w:r>
      <w:r>
        <w:rPr>
          <w:rFonts w:hint="eastAsia" w:ascii="宋体" w:hAnsi="宋体" w:cs="宋体"/>
          <w:bCs/>
          <w:szCs w:val="21"/>
          <w:highlight w:val="none"/>
          <w:u w:val="single"/>
        </w:rPr>
        <w:t>。</w:t>
      </w:r>
    </w:p>
    <w:p w14:paraId="7B42C225">
      <w:pPr>
        <w:pStyle w:val="9"/>
        <w:snapToGrid w:val="0"/>
        <w:spacing w:before="0" w:after="0" w:line="440" w:lineRule="exact"/>
        <w:ind w:firstLine="420" w:firstLineChars="200"/>
        <w:rPr>
          <w:rFonts w:hint="eastAsia" w:ascii="宋体" w:eastAsia="宋体" w:cs="宋体"/>
          <w:b w:val="0"/>
          <w:sz w:val="21"/>
          <w:szCs w:val="21"/>
          <w:highlight w:val="none"/>
        </w:rPr>
      </w:pPr>
      <w:r>
        <w:rPr>
          <w:rFonts w:hint="eastAsia" w:ascii="宋体" w:eastAsia="宋体" w:cs="宋体"/>
          <w:b w:val="0"/>
          <w:sz w:val="21"/>
          <w:szCs w:val="21"/>
          <w:highlight w:val="none"/>
        </w:rPr>
        <w:t>7. 工期和进度</w:t>
      </w:r>
    </w:p>
    <w:p w14:paraId="31B76BC6">
      <w:pPr>
        <w:tabs>
          <w:tab w:val="left" w:pos="3240"/>
        </w:tabs>
        <w:snapToGrid w:val="0"/>
        <w:spacing w:line="440" w:lineRule="exact"/>
        <w:ind w:firstLine="420" w:firstLineChars="200"/>
        <w:rPr>
          <w:rFonts w:hint="eastAsia" w:ascii="宋体" w:cs="宋体"/>
          <w:szCs w:val="21"/>
          <w:highlight w:val="none"/>
        </w:rPr>
      </w:pPr>
      <w:r>
        <w:rPr>
          <w:rFonts w:hint="eastAsia" w:ascii="宋体" w:cs="宋体"/>
          <w:szCs w:val="21"/>
          <w:highlight w:val="none"/>
        </w:rPr>
        <w:t>7.1 施工组织设计</w:t>
      </w:r>
      <w:r>
        <w:rPr>
          <w:rFonts w:hint="eastAsia" w:ascii="宋体" w:cs="宋体"/>
          <w:szCs w:val="21"/>
          <w:highlight w:val="none"/>
        </w:rPr>
        <w:tab/>
      </w:r>
    </w:p>
    <w:p w14:paraId="7C6BE0DC">
      <w:pPr>
        <w:autoSpaceDE w:val="0"/>
        <w:autoSpaceDN w:val="0"/>
        <w:adjustRightInd w:val="0"/>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7.1.1 （9）合</w:t>
      </w:r>
      <w:r>
        <w:rPr>
          <w:rFonts w:hint="eastAsia" w:ascii="宋体" w:cs="宋体"/>
          <w:kern w:val="0"/>
          <w:szCs w:val="21"/>
          <w:highlight w:val="none"/>
        </w:rPr>
        <w:t>同当事人约定的施工组织设计应包括的其他内容：</w:t>
      </w:r>
      <w:r>
        <w:rPr>
          <w:rFonts w:hint="eastAsia" w:ascii="宋体" w:cs="宋体"/>
          <w:szCs w:val="21"/>
          <w:highlight w:val="none"/>
          <w:u w:val="single"/>
        </w:rPr>
        <w:t xml:space="preserve"> </w:t>
      </w:r>
      <w:r>
        <w:rPr>
          <w:rFonts w:hint="eastAsia" w:ascii="宋体" w:hAnsi="宋体" w:cs="宋体"/>
          <w:color w:val="000000"/>
          <w:szCs w:val="21"/>
          <w:highlight w:val="none"/>
          <w:u w:val="single"/>
        </w:rPr>
        <w:t>总进度计划须含网络图、横道图</w:t>
      </w:r>
      <w:r>
        <w:rPr>
          <w:rFonts w:hint="eastAsia" w:ascii="宋体" w:cs="宋体"/>
          <w:szCs w:val="21"/>
          <w:highlight w:val="none"/>
          <w:u w:val="single"/>
        </w:rPr>
        <w:t xml:space="preserve">  </w:t>
      </w:r>
      <w:r>
        <w:rPr>
          <w:rFonts w:hint="eastAsia" w:ascii="宋体" w:cs="宋体"/>
          <w:szCs w:val="21"/>
          <w:highlight w:val="none"/>
        </w:rPr>
        <w:t>。</w:t>
      </w:r>
    </w:p>
    <w:p w14:paraId="447E4154">
      <w:pPr>
        <w:autoSpaceDE w:val="0"/>
        <w:autoSpaceDN w:val="0"/>
        <w:adjustRightInd w:val="0"/>
        <w:snapToGrid w:val="0"/>
        <w:spacing w:line="440" w:lineRule="exact"/>
        <w:ind w:firstLine="420" w:firstLineChars="200"/>
        <w:jc w:val="left"/>
        <w:rPr>
          <w:rFonts w:hint="eastAsia" w:ascii="宋体" w:cs="宋体"/>
          <w:kern w:val="0"/>
          <w:szCs w:val="21"/>
          <w:highlight w:val="none"/>
        </w:rPr>
      </w:pPr>
      <w:r>
        <w:rPr>
          <w:rFonts w:hint="eastAsia" w:ascii="宋体" w:cs="宋体"/>
          <w:szCs w:val="21"/>
          <w:highlight w:val="none"/>
        </w:rPr>
        <w:t xml:space="preserve">7.1.2 </w:t>
      </w:r>
      <w:r>
        <w:rPr>
          <w:rFonts w:hint="eastAsia" w:ascii="宋体" w:cs="宋体"/>
          <w:kern w:val="0"/>
          <w:szCs w:val="21"/>
          <w:highlight w:val="none"/>
        </w:rPr>
        <w:t>施工组织设计的提交和修改</w:t>
      </w:r>
    </w:p>
    <w:p w14:paraId="34820E1B">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kern w:val="0"/>
          <w:szCs w:val="21"/>
        </w:rPr>
        <w:t>承包人提交详细施工组织设计的期限的约定：</w:t>
      </w:r>
      <w:r>
        <w:rPr>
          <w:rFonts w:hint="eastAsia" w:ascii="宋体" w:cs="宋体"/>
          <w:szCs w:val="21"/>
          <w:u w:val="single"/>
        </w:rPr>
        <w:t xml:space="preserve">图纸会审及设计交底后一周内提供标后实施性施工组织设计 </w:t>
      </w:r>
      <w:r>
        <w:rPr>
          <w:rFonts w:hint="eastAsia" w:ascii="宋体" w:cs="宋体"/>
          <w:szCs w:val="21"/>
        </w:rPr>
        <w:t>。</w:t>
      </w:r>
    </w:p>
    <w:p w14:paraId="1D955992">
      <w:pPr>
        <w:snapToGrid w:val="0"/>
        <w:spacing w:line="440" w:lineRule="exact"/>
        <w:ind w:firstLine="420" w:firstLineChars="200"/>
        <w:jc w:val="left"/>
        <w:rPr>
          <w:rFonts w:hint="eastAsia" w:ascii="宋体" w:cs="宋体"/>
          <w:szCs w:val="21"/>
        </w:rPr>
      </w:pPr>
      <w:r>
        <w:rPr>
          <w:rFonts w:hint="eastAsia" w:ascii="宋体" w:cs="宋体"/>
          <w:szCs w:val="21"/>
        </w:rPr>
        <w:t>发包人和监理人在收到详细的施工组织设计后确认或提出修改意见的期限：</w:t>
      </w:r>
      <w:r>
        <w:rPr>
          <w:rFonts w:hint="eastAsia" w:ascii="宋体" w:cs="宋体"/>
          <w:szCs w:val="21"/>
          <w:highlight w:val="none"/>
          <w:u w:val="single"/>
        </w:rPr>
        <w:t>发包人和监理人应在</w:t>
      </w:r>
      <w:r>
        <w:rPr>
          <w:rFonts w:hint="eastAsia" w:ascii="宋体" w:hAnsi="Times New Roman" w:eastAsia="宋体" w:cs="宋体"/>
          <w:szCs w:val="21"/>
          <w:highlight w:val="none"/>
          <w:u w:val="single"/>
        </w:rPr>
        <w:t>监理人</w:t>
      </w:r>
      <w:r>
        <w:rPr>
          <w:rFonts w:hint="eastAsia" w:ascii="宋体" w:cs="宋体"/>
          <w:szCs w:val="21"/>
          <w:highlight w:val="none"/>
          <w:u w:val="single"/>
        </w:rPr>
        <w:t>收到施工组织设计后7天内确认或提出修改意见。对发包人和</w:t>
      </w:r>
      <w:r>
        <w:rPr>
          <w:rFonts w:hint="eastAsia" w:ascii="宋体" w:hAnsi="Times New Roman" w:eastAsia="宋体" w:cs="宋体"/>
          <w:szCs w:val="21"/>
          <w:highlight w:val="none"/>
          <w:u w:val="single"/>
        </w:rPr>
        <w:t>监理人</w:t>
      </w:r>
      <w:r>
        <w:rPr>
          <w:rFonts w:hint="eastAsia" w:ascii="宋体" w:cs="宋体"/>
          <w:szCs w:val="21"/>
          <w:highlight w:val="none"/>
          <w:u w:val="single"/>
        </w:rPr>
        <w:t>提出的合理意见和要求，承包人应自费修改完善。根据工程实际情况需要修改施工组织设计的，承包人应向发包人和</w:t>
      </w:r>
      <w:r>
        <w:rPr>
          <w:rFonts w:hint="eastAsia" w:ascii="宋体" w:hAnsi="Times New Roman" w:eastAsia="宋体" w:cs="宋体"/>
          <w:szCs w:val="21"/>
          <w:highlight w:val="none"/>
          <w:u w:val="single"/>
        </w:rPr>
        <w:t>监理人</w:t>
      </w:r>
      <w:r>
        <w:rPr>
          <w:rFonts w:hint="eastAsia" w:ascii="宋体" w:cs="宋体"/>
          <w:szCs w:val="21"/>
          <w:highlight w:val="none"/>
          <w:u w:val="single"/>
        </w:rPr>
        <w:t>提交修改</w:t>
      </w:r>
      <w:r>
        <w:rPr>
          <w:rFonts w:hint="eastAsia" w:ascii="宋体" w:cs="宋体"/>
          <w:szCs w:val="21"/>
          <w:u w:val="single"/>
        </w:rPr>
        <w:t>后的施工组织设计。</w:t>
      </w:r>
    </w:p>
    <w:p w14:paraId="58C52619">
      <w:pPr>
        <w:snapToGrid w:val="0"/>
        <w:spacing w:line="440" w:lineRule="exact"/>
        <w:ind w:firstLine="420" w:firstLineChars="200"/>
        <w:rPr>
          <w:rFonts w:hint="eastAsia" w:ascii="宋体" w:cs="宋体"/>
          <w:szCs w:val="21"/>
        </w:rPr>
      </w:pPr>
      <w:r>
        <w:rPr>
          <w:rFonts w:hint="eastAsia" w:ascii="宋体" w:cs="宋体"/>
          <w:szCs w:val="21"/>
        </w:rPr>
        <w:t>7.2 施工进度计划</w:t>
      </w:r>
    </w:p>
    <w:p w14:paraId="2B31F985">
      <w:pPr>
        <w:snapToGrid w:val="0"/>
        <w:spacing w:line="440" w:lineRule="exact"/>
        <w:ind w:firstLine="420" w:firstLineChars="200"/>
        <w:jc w:val="left"/>
        <w:rPr>
          <w:rFonts w:hint="eastAsia" w:ascii="宋体" w:cs="宋体"/>
          <w:szCs w:val="21"/>
        </w:rPr>
      </w:pPr>
      <w:r>
        <w:rPr>
          <w:rFonts w:hint="eastAsia" w:ascii="宋体" w:cs="宋体"/>
          <w:szCs w:val="21"/>
        </w:rPr>
        <w:t>7.2.2 施工进度计划的修订</w:t>
      </w:r>
    </w:p>
    <w:p w14:paraId="670071B5">
      <w:pPr>
        <w:snapToGrid w:val="0"/>
        <w:spacing w:line="440" w:lineRule="exact"/>
        <w:ind w:firstLine="420" w:firstLineChars="200"/>
        <w:jc w:val="left"/>
        <w:rPr>
          <w:rFonts w:hint="eastAsia" w:ascii="宋体" w:cs="宋体"/>
          <w:szCs w:val="21"/>
          <w:highlight w:val="none"/>
          <w:u w:val="single"/>
        </w:rPr>
      </w:pPr>
      <w:r>
        <w:rPr>
          <w:rFonts w:hint="eastAsia" w:ascii="宋体" w:cs="宋体"/>
          <w:szCs w:val="21"/>
        </w:rPr>
        <w:t>发包人</w:t>
      </w:r>
      <w:r>
        <w:rPr>
          <w:rFonts w:hint="eastAsia" w:ascii="宋体" w:cs="宋体"/>
          <w:szCs w:val="21"/>
          <w:highlight w:val="none"/>
        </w:rPr>
        <w:t>和</w:t>
      </w:r>
      <w:r>
        <w:rPr>
          <w:rFonts w:hint="eastAsia" w:ascii="宋体" w:hAnsi="Times New Roman" w:eastAsia="宋体" w:cs="宋体"/>
          <w:szCs w:val="21"/>
          <w:highlight w:val="none"/>
          <w:u w:val="single"/>
        </w:rPr>
        <w:t>监理人</w:t>
      </w:r>
      <w:r>
        <w:rPr>
          <w:rFonts w:hint="eastAsia" w:ascii="宋体" w:cs="宋体"/>
          <w:szCs w:val="21"/>
          <w:highlight w:val="none"/>
        </w:rPr>
        <w:t>在收到修订的施工进度计划后确认或提出修改意见的期限：</w:t>
      </w:r>
      <w:r>
        <w:rPr>
          <w:rFonts w:hint="eastAsia" w:ascii="宋体" w:cs="宋体"/>
          <w:szCs w:val="21"/>
          <w:highlight w:val="none"/>
          <w:u w:val="single"/>
        </w:rPr>
        <w:t>发包人和</w:t>
      </w:r>
      <w:r>
        <w:rPr>
          <w:rFonts w:hint="eastAsia" w:ascii="宋体" w:hAnsi="Times New Roman" w:eastAsia="宋体" w:cs="宋体"/>
          <w:szCs w:val="21"/>
          <w:highlight w:val="none"/>
          <w:u w:val="single"/>
        </w:rPr>
        <w:t>监理人</w:t>
      </w:r>
      <w:r>
        <w:rPr>
          <w:rFonts w:hint="eastAsia" w:ascii="宋体" w:cs="宋体"/>
          <w:szCs w:val="21"/>
          <w:highlight w:val="none"/>
          <w:u w:val="single"/>
        </w:rPr>
        <w:t>应在收到修订的施工进度计划后7天内完成审核和批准或提出修改意见。发包人和</w:t>
      </w:r>
      <w:r>
        <w:rPr>
          <w:rFonts w:hint="eastAsia" w:ascii="宋体" w:hAnsi="Times New Roman" w:eastAsia="宋体" w:cs="宋体"/>
          <w:szCs w:val="21"/>
          <w:highlight w:val="none"/>
          <w:u w:val="single"/>
        </w:rPr>
        <w:t>监理人</w:t>
      </w:r>
      <w:r>
        <w:rPr>
          <w:rFonts w:hint="eastAsia" w:ascii="宋体" w:cs="宋体"/>
          <w:szCs w:val="21"/>
          <w:highlight w:val="none"/>
          <w:u w:val="single"/>
        </w:rPr>
        <w:t>对承包人提交的施工进度计划的确认，不能减轻或免除承包人根据法律规定和合同约定应承担的任何责任或义务。承包人必须按照批准的进度计划组织施工，接受发包人对进度的检查、监督，工程实际进展与进度计划不符时，应提供修改，调整后的进度计划及相应的措施报发包人批准后执行。</w:t>
      </w:r>
    </w:p>
    <w:p w14:paraId="62980897">
      <w:pPr>
        <w:snapToGrid w:val="0"/>
        <w:spacing w:line="440" w:lineRule="exact"/>
        <w:ind w:firstLine="420" w:firstLineChars="200"/>
        <w:rPr>
          <w:rFonts w:hint="eastAsia" w:ascii="宋体" w:cs="宋体"/>
          <w:szCs w:val="21"/>
        </w:rPr>
      </w:pPr>
      <w:r>
        <w:rPr>
          <w:rFonts w:hint="eastAsia" w:ascii="宋体" w:cs="宋体"/>
          <w:szCs w:val="21"/>
        </w:rPr>
        <w:t>7.3 开工</w:t>
      </w:r>
    </w:p>
    <w:p w14:paraId="2B2F126F">
      <w:pPr>
        <w:snapToGrid w:val="0"/>
        <w:spacing w:line="440" w:lineRule="exact"/>
        <w:ind w:firstLine="420" w:firstLineChars="200"/>
        <w:jc w:val="left"/>
        <w:rPr>
          <w:rFonts w:hint="eastAsia" w:ascii="宋体" w:cs="宋体"/>
          <w:szCs w:val="21"/>
        </w:rPr>
      </w:pPr>
      <w:r>
        <w:rPr>
          <w:rFonts w:hint="eastAsia" w:ascii="宋体" w:cs="宋体"/>
          <w:szCs w:val="21"/>
        </w:rPr>
        <w:t>7.3.1 开工准备</w:t>
      </w:r>
    </w:p>
    <w:p w14:paraId="7A11D914">
      <w:pPr>
        <w:snapToGrid w:val="0"/>
        <w:spacing w:line="440" w:lineRule="exact"/>
        <w:ind w:firstLine="420" w:firstLineChars="200"/>
        <w:jc w:val="left"/>
        <w:rPr>
          <w:rFonts w:hint="eastAsia" w:ascii="宋体" w:cs="宋体"/>
          <w:szCs w:val="21"/>
          <w:highlight w:val="none"/>
          <w:u w:val="single"/>
        </w:rPr>
      </w:pPr>
      <w:r>
        <w:rPr>
          <w:rFonts w:hint="eastAsia" w:ascii="宋体" w:cs="宋体"/>
          <w:szCs w:val="21"/>
        </w:rPr>
        <w:t>关于承包人</w:t>
      </w:r>
      <w:r>
        <w:rPr>
          <w:rFonts w:hint="eastAsia" w:ascii="宋体" w:cs="宋体"/>
          <w:szCs w:val="21"/>
          <w:highlight w:val="none"/>
        </w:rPr>
        <w:t>提交</w:t>
      </w:r>
      <w:r>
        <w:rPr>
          <w:rFonts w:hint="eastAsia" w:ascii="宋体" w:cs="宋体"/>
          <w:kern w:val="0"/>
          <w:szCs w:val="21"/>
          <w:highlight w:val="none"/>
        </w:rPr>
        <w:t>工程开工报审表的期限：</w:t>
      </w:r>
      <w:r>
        <w:rPr>
          <w:rFonts w:hint="eastAsia" w:ascii="宋体" w:cs="宋体"/>
          <w:szCs w:val="21"/>
          <w:highlight w:val="none"/>
          <w:u w:val="single"/>
        </w:rPr>
        <w:t xml:space="preserve"> 承包人应按照第7.1款〔施工组织设计〕约定的期限，向</w:t>
      </w:r>
      <w:r>
        <w:rPr>
          <w:rFonts w:hint="eastAsia" w:ascii="宋体" w:hAnsi="Times New Roman" w:eastAsia="宋体" w:cs="宋体"/>
          <w:szCs w:val="21"/>
          <w:highlight w:val="none"/>
          <w:u w:val="single"/>
        </w:rPr>
        <w:t>监理人</w:t>
      </w:r>
      <w:r>
        <w:rPr>
          <w:rFonts w:hint="eastAsia" w:ascii="宋体" w:cs="宋体"/>
          <w:szCs w:val="21"/>
          <w:highlight w:val="none"/>
          <w:u w:val="single"/>
        </w:rPr>
        <w:t>提交工程开工报审表，经</w:t>
      </w:r>
      <w:r>
        <w:rPr>
          <w:rFonts w:hint="eastAsia" w:ascii="宋体" w:hAnsi="Times New Roman" w:eastAsia="宋体" w:cs="宋体"/>
          <w:szCs w:val="21"/>
          <w:highlight w:val="none"/>
          <w:u w:val="single"/>
        </w:rPr>
        <w:t>监理人</w:t>
      </w:r>
      <w:r>
        <w:rPr>
          <w:rFonts w:hint="eastAsia" w:ascii="宋体" w:cs="宋体"/>
          <w:szCs w:val="21"/>
          <w:highlight w:val="none"/>
          <w:u w:val="single"/>
        </w:rPr>
        <w:t>报发包人批准后执行。开工报审表应详细说明按施工进度计划正常施工所需的施工道路、临时设施、材料、工程设备、施工设备、施工人员等落实情况以及工程的进度安排。</w:t>
      </w:r>
    </w:p>
    <w:p w14:paraId="53B6030B">
      <w:pPr>
        <w:snapToGrid w:val="0"/>
        <w:spacing w:line="440" w:lineRule="exact"/>
        <w:ind w:firstLine="420" w:firstLineChars="200"/>
        <w:jc w:val="left"/>
        <w:rPr>
          <w:rFonts w:hint="eastAsia" w:ascii="宋体" w:cs="宋体"/>
          <w:szCs w:val="21"/>
          <w:highlight w:val="none"/>
          <w:u w:val="single"/>
        </w:rPr>
      </w:pPr>
      <w:r>
        <w:rPr>
          <w:rFonts w:hint="eastAsia" w:ascii="宋体" w:cs="宋体"/>
          <w:szCs w:val="21"/>
          <w:highlight w:val="none"/>
        </w:rPr>
        <w:t>关于承包人应完成的其他开工准备工作及期限：</w:t>
      </w:r>
      <w:r>
        <w:rPr>
          <w:rFonts w:hint="eastAsia" w:ascii="宋体" w:cs="宋体"/>
          <w:szCs w:val="21"/>
          <w:highlight w:val="none"/>
          <w:u w:val="single"/>
        </w:rPr>
        <w:t>合同当事人应按约定完成开工准备工作。</w:t>
      </w:r>
    </w:p>
    <w:p w14:paraId="58018775">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7.3.2开工通知</w:t>
      </w:r>
    </w:p>
    <w:p w14:paraId="1D19E8AF">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因发包人原因造成</w:t>
      </w:r>
      <w:r>
        <w:rPr>
          <w:rFonts w:hint="eastAsia" w:ascii="宋体" w:hAnsi="Times New Roman" w:eastAsia="宋体" w:cs="宋体"/>
          <w:szCs w:val="21"/>
          <w:highlight w:val="none"/>
          <w:u w:val="single"/>
        </w:rPr>
        <w:t>监理人</w:t>
      </w:r>
      <w:r>
        <w:rPr>
          <w:rFonts w:hint="eastAsia" w:ascii="宋体" w:cs="宋体"/>
          <w:szCs w:val="21"/>
          <w:highlight w:val="none"/>
        </w:rPr>
        <w:t>未能在计划开工日期之日起</w:t>
      </w:r>
      <w:r>
        <w:rPr>
          <w:rFonts w:hint="eastAsia" w:ascii="宋体" w:cs="宋体"/>
          <w:szCs w:val="21"/>
          <w:highlight w:val="none"/>
          <w:u w:val="single"/>
        </w:rPr>
        <w:t xml:space="preserve">  90  </w:t>
      </w:r>
      <w:r>
        <w:rPr>
          <w:rFonts w:hint="eastAsia" w:ascii="宋体" w:cs="宋体"/>
          <w:szCs w:val="21"/>
          <w:highlight w:val="none"/>
        </w:rPr>
        <w:t>天内发出开工通知的，承包人有权提出价格调整要求，或者解除合同。</w:t>
      </w:r>
    </w:p>
    <w:p w14:paraId="42564535">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7.4 测量放线</w:t>
      </w:r>
    </w:p>
    <w:p w14:paraId="72BAFC92">
      <w:pPr>
        <w:snapToGrid w:val="0"/>
        <w:spacing w:line="440" w:lineRule="exact"/>
        <w:ind w:firstLine="420" w:firstLineChars="200"/>
        <w:jc w:val="left"/>
        <w:rPr>
          <w:rFonts w:hint="eastAsia" w:ascii="宋体" w:hAnsi="宋体" w:cs="宋体"/>
        </w:rPr>
      </w:pPr>
      <w:r>
        <w:rPr>
          <w:rFonts w:hint="eastAsia" w:ascii="宋体" w:cs="宋体"/>
          <w:szCs w:val="21"/>
          <w:highlight w:val="none"/>
        </w:rPr>
        <w:t>7.4.1发包人通过</w:t>
      </w:r>
      <w:r>
        <w:rPr>
          <w:rFonts w:hint="eastAsia" w:ascii="宋体" w:hAnsi="Times New Roman" w:eastAsia="宋体" w:cs="宋体"/>
          <w:szCs w:val="21"/>
          <w:highlight w:val="none"/>
          <w:u w:val="single"/>
        </w:rPr>
        <w:t>监理人</w:t>
      </w:r>
      <w:r>
        <w:rPr>
          <w:rFonts w:hint="eastAsia" w:ascii="宋体" w:cs="宋体"/>
          <w:szCs w:val="21"/>
          <w:highlight w:val="none"/>
        </w:rPr>
        <w:t>向承包人提供测量基准点、基准线和水准点及其书面资料的期限：</w:t>
      </w:r>
      <w:r>
        <w:rPr>
          <w:rFonts w:hint="eastAsia" w:ascii="宋体" w:cs="宋体"/>
          <w:szCs w:val="21"/>
          <w:highlight w:val="none"/>
          <w:u w:val="single"/>
        </w:rPr>
        <w:t xml:space="preserve"> </w:t>
      </w:r>
      <w:r>
        <w:rPr>
          <w:rFonts w:hint="eastAsia" w:ascii="宋体" w:hAnsi="宋体" w:cs="宋体"/>
          <w:highlight w:val="none"/>
          <w:u w:val="single"/>
        </w:rPr>
        <w:t>发包人应在至迟不得晚于第7.3.2项〔开工通知〕载明的开工日期前7天通过</w:t>
      </w:r>
      <w:r>
        <w:rPr>
          <w:rFonts w:hint="eastAsia" w:ascii="宋体" w:hAnsi="Times New Roman" w:eastAsia="宋体" w:cs="宋体"/>
          <w:szCs w:val="21"/>
          <w:highlight w:val="none"/>
          <w:u w:val="single"/>
        </w:rPr>
        <w:t>监理人</w:t>
      </w:r>
      <w:r>
        <w:rPr>
          <w:rFonts w:hint="eastAsia" w:ascii="宋体" w:hAnsi="宋体" w:cs="宋体"/>
          <w:highlight w:val="none"/>
          <w:u w:val="single"/>
        </w:rPr>
        <w:t>向承包人提供测量基</w:t>
      </w:r>
      <w:r>
        <w:rPr>
          <w:rFonts w:hint="eastAsia" w:ascii="宋体" w:hAnsi="宋体" w:cs="宋体"/>
          <w:u w:val="single"/>
        </w:rPr>
        <w:t>准点、基准线和水准点及其书面资料。</w:t>
      </w:r>
    </w:p>
    <w:p w14:paraId="32B2DD48">
      <w:pPr>
        <w:snapToGrid w:val="0"/>
        <w:spacing w:line="440" w:lineRule="exact"/>
        <w:ind w:firstLine="420" w:firstLineChars="200"/>
        <w:rPr>
          <w:rFonts w:hint="eastAsia" w:ascii="宋体" w:cs="宋体"/>
          <w:szCs w:val="21"/>
        </w:rPr>
      </w:pPr>
      <w:r>
        <w:rPr>
          <w:rFonts w:hint="eastAsia" w:ascii="宋体" w:cs="宋体"/>
          <w:szCs w:val="21"/>
        </w:rPr>
        <w:t>7.5 工期延误</w:t>
      </w:r>
    </w:p>
    <w:p w14:paraId="11A63017">
      <w:pPr>
        <w:snapToGrid w:val="0"/>
        <w:spacing w:line="440" w:lineRule="exact"/>
        <w:ind w:firstLine="420" w:firstLineChars="200"/>
        <w:jc w:val="left"/>
        <w:rPr>
          <w:rFonts w:hint="eastAsia" w:ascii="宋体" w:cs="宋体"/>
          <w:szCs w:val="21"/>
        </w:rPr>
      </w:pPr>
      <w:r>
        <w:rPr>
          <w:rFonts w:hint="eastAsia" w:ascii="宋体" w:cs="宋体"/>
          <w:szCs w:val="21"/>
        </w:rPr>
        <w:t>7.5.1 因发包人原因导致工期延误</w:t>
      </w:r>
    </w:p>
    <w:p w14:paraId="16126CC6">
      <w:pPr>
        <w:snapToGrid w:val="0"/>
        <w:spacing w:line="440" w:lineRule="exact"/>
        <w:ind w:firstLine="420" w:firstLineChars="200"/>
        <w:jc w:val="left"/>
        <w:rPr>
          <w:rFonts w:hint="eastAsia" w:ascii="宋体" w:cs="宋体"/>
          <w:szCs w:val="21"/>
        </w:rPr>
      </w:pPr>
      <w:r>
        <w:rPr>
          <w:rFonts w:hint="eastAsia" w:ascii="宋体" w:cs="宋体"/>
          <w:szCs w:val="21"/>
        </w:rPr>
        <w:t>（7）因发包人原因导致工期延误的其他情形：</w:t>
      </w:r>
      <w:r>
        <w:rPr>
          <w:rFonts w:hint="eastAsia" w:ascii="宋体" w:cs="宋体"/>
          <w:szCs w:val="21"/>
          <w:u w:val="single"/>
        </w:rPr>
        <w:t xml:space="preserve"> 无     。</w:t>
      </w:r>
      <w:r>
        <w:rPr>
          <w:rFonts w:hint="eastAsia" w:ascii="宋体" w:cs="宋体"/>
          <w:szCs w:val="21"/>
        </w:rPr>
        <w:t xml:space="preserve">        </w:t>
      </w:r>
    </w:p>
    <w:p w14:paraId="1D361BB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cs="宋体"/>
          <w:color w:val="auto"/>
          <w:szCs w:val="21"/>
        </w:rPr>
      </w:pPr>
      <w:r>
        <w:rPr>
          <w:rFonts w:hint="eastAsia" w:ascii="宋体" w:cs="宋体"/>
          <w:szCs w:val="21"/>
        </w:rPr>
        <w:t>7.5.2 因</w:t>
      </w:r>
      <w:r>
        <w:rPr>
          <w:rFonts w:hint="eastAsia" w:ascii="宋体" w:cs="宋体"/>
          <w:color w:val="auto"/>
          <w:szCs w:val="21"/>
        </w:rPr>
        <w:t>承包人原因导致工期延误</w:t>
      </w:r>
    </w:p>
    <w:p w14:paraId="6AD28E21">
      <w:pPr>
        <w:pStyle w:val="2"/>
        <w:keepNext w:val="0"/>
        <w:keepLines w:val="0"/>
        <w:pageBreakBefore w:val="0"/>
        <w:widowControl w:val="0"/>
        <w:kinsoku/>
        <w:wordWrap/>
        <w:overflowPunct/>
        <w:topLinePunct w:val="0"/>
        <w:autoSpaceDE/>
        <w:autoSpaceDN/>
        <w:bidi w:val="0"/>
        <w:adjustRightInd/>
        <w:spacing w:after="0" w:line="440" w:lineRule="exact"/>
        <w:ind w:left="0" w:leftChars="0"/>
        <w:textAlignment w:val="auto"/>
        <w:rPr>
          <w:rFonts w:hint="eastAsia"/>
          <w:color w:val="auto"/>
          <w:u w:val="single"/>
          <w:lang w:val="en-US" w:eastAsia="zh-CN"/>
        </w:rPr>
      </w:pPr>
      <w:r>
        <w:rPr>
          <w:rFonts w:hint="eastAsia"/>
          <w:color w:val="auto"/>
        </w:rPr>
        <w:t>因承包人原因造成工期延误，逾期竣工违约金的计算方法为：</w:t>
      </w:r>
      <w:r>
        <w:rPr>
          <w:rFonts w:hint="eastAsia"/>
          <w:color w:val="auto"/>
          <w:u w:val="single"/>
        </w:rPr>
        <w:t xml:space="preserve"> </w:t>
      </w:r>
      <w:r>
        <w:rPr>
          <w:rFonts w:hint="eastAsia" w:ascii="宋体" w:hAnsi="宋体" w:cs="宋体"/>
          <w:color w:val="000000"/>
          <w:szCs w:val="21"/>
          <w:u w:val="single"/>
        </w:rPr>
        <w:t xml:space="preserve"> </w:t>
      </w:r>
      <w:r>
        <w:rPr>
          <w:rFonts w:hint="eastAsia" w:ascii="宋体" w:hAnsi="宋体" w:eastAsia="宋体" w:cs="宋体"/>
          <w:color w:val="auto"/>
          <w:highlight w:val="none"/>
          <w:u w:val="single"/>
        </w:rPr>
        <w:t>因承包</w:t>
      </w:r>
      <w:r>
        <w:rPr>
          <w:rFonts w:hint="eastAsia" w:ascii="宋体" w:hAnsi="宋体" w:eastAsia="宋体" w:cs="宋体"/>
          <w:color w:val="auto"/>
          <w:highlight w:val="none"/>
          <w:u w:val="single"/>
          <w:lang w:val="en-US" w:eastAsia="zh-CN"/>
        </w:rPr>
        <w:t>人</w:t>
      </w:r>
      <w:r>
        <w:rPr>
          <w:rFonts w:hint="eastAsia" w:ascii="宋体" w:hAnsi="宋体" w:eastAsia="宋体" w:cs="宋体"/>
          <w:color w:val="auto"/>
          <w:highlight w:val="none"/>
          <w:u w:val="single"/>
        </w:rPr>
        <w:t>原因造成的工期延误，</w:t>
      </w:r>
      <w:r>
        <w:rPr>
          <w:rFonts w:hint="eastAsia" w:ascii="宋体" w:hAnsi="宋体" w:eastAsia="宋体" w:cs="宋体"/>
          <w:color w:val="auto"/>
          <w:sz w:val="21"/>
          <w:szCs w:val="21"/>
          <w:highlight w:val="none"/>
          <w:u w:val="single"/>
          <w:lang w:eastAsia="zh-CN"/>
        </w:rPr>
        <w:t>工期每推迟一天，按</w:t>
      </w:r>
      <w:r>
        <w:rPr>
          <w:rFonts w:hint="eastAsia" w:hAnsi="宋体" w:cs="宋体"/>
          <w:color w:val="auto"/>
          <w:sz w:val="21"/>
          <w:szCs w:val="21"/>
          <w:highlight w:val="none"/>
          <w:u w:val="single"/>
          <w:lang w:val="en-US" w:eastAsia="zh-CN"/>
        </w:rPr>
        <w:t>3000</w:t>
      </w:r>
      <w:r>
        <w:rPr>
          <w:rFonts w:hint="eastAsia" w:ascii="宋体" w:hAnsi="宋体" w:eastAsia="宋体" w:cs="宋体"/>
          <w:color w:val="auto"/>
          <w:sz w:val="21"/>
          <w:szCs w:val="21"/>
          <w:highlight w:val="none"/>
          <w:u w:val="single"/>
        </w:rPr>
        <w:t>元/天处以违约金</w:t>
      </w:r>
      <w:r>
        <w:rPr>
          <w:rFonts w:hint="eastAsia"/>
          <w:color w:val="auto"/>
          <w:highlight w:val="none"/>
          <w:u w:val="single"/>
          <w:lang w:val="en-US" w:eastAsia="zh-CN"/>
        </w:rPr>
        <w:t>。</w:t>
      </w:r>
    </w:p>
    <w:p w14:paraId="6D2F809F">
      <w:pPr>
        <w:pStyle w:val="2"/>
        <w:keepNext w:val="0"/>
        <w:keepLines w:val="0"/>
        <w:pageBreakBefore w:val="0"/>
        <w:widowControl w:val="0"/>
        <w:kinsoku/>
        <w:wordWrap/>
        <w:overflowPunct/>
        <w:topLinePunct w:val="0"/>
        <w:autoSpaceDE/>
        <w:autoSpaceDN/>
        <w:bidi w:val="0"/>
        <w:adjustRightInd/>
        <w:spacing w:after="0" w:line="440" w:lineRule="exact"/>
        <w:ind w:left="0" w:leftChars="0"/>
        <w:textAlignment w:val="auto"/>
        <w:rPr>
          <w:rFonts w:hint="eastAsia"/>
        </w:rPr>
      </w:pPr>
      <w:r>
        <w:rPr>
          <w:rFonts w:hint="eastAsia"/>
        </w:rPr>
        <w:t>因承包人原因造成工期延误，逾期竣工违约金的上限：</w:t>
      </w:r>
      <w:r>
        <w:rPr>
          <w:rFonts w:hint="eastAsia"/>
          <w:u w:val="single"/>
        </w:rPr>
        <w:t xml:space="preserve"> 全额履约保证金 </w:t>
      </w:r>
      <w:r>
        <w:rPr>
          <w:rFonts w:hint="eastAsia"/>
        </w:rPr>
        <w:t>。</w:t>
      </w:r>
    </w:p>
    <w:p w14:paraId="1812848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szCs w:val="21"/>
          <w:u w:val="single"/>
          <w:lang w:eastAsia="zh-CN"/>
        </w:rPr>
      </w:pPr>
      <w:r>
        <w:rPr>
          <w:rFonts w:hint="eastAsia" w:ascii="宋体" w:hAnsi="宋体" w:eastAsia="宋体" w:cs="宋体"/>
          <w:bCs/>
          <w:strike w:val="0"/>
          <w:dstrike w:val="0"/>
          <w:color w:val="auto"/>
          <w:szCs w:val="21"/>
          <w:highlight w:val="none"/>
          <w:u w:val="single"/>
          <w:lang w:val="en-US" w:eastAsia="zh-CN"/>
        </w:rPr>
        <w:t>发包人</w:t>
      </w:r>
      <w:r>
        <w:rPr>
          <w:rFonts w:hint="eastAsia" w:ascii="宋体" w:hAnsi="宋体" w:eastAsia="宋体" w:cs="宋体"/>
          <w:bCs/>
          <w:strike w:val="0"/>
          <w:dstrike w:val="0"/>
          <w:color w:val="auto"/>
          <w:szCs w:val="21"/>
          <w:highlight w:val="none"/>
          <w:u w:val="single"/>
        </w:rPr>
        <w:t>根据拖延工期的严重程度采用以下方法处理</w:t>
      </w:r>
      <w:r>
        <w:rPr>
          <w:rFonts w:hint="eastAsia" w:ascii="宋体" w:hAnsi="宋体" w:eastAsia="宋体" w:cs="宋体"/>
          <w:bCs/>
          <w:strike w:val="0"/>
          <w:dstrike w:val="0"/>
          <w:color w:val="auto"/>
          <w:szCs w:val="21"/>
          <w:highlight w:val="none"/>
          <w:u w:val="single"/>
          <w:lang w:eastAsia="zh-CN"/>
        </w:rPr>
        <w:t>：（</w:t>
      </w:r>
      <w:r>
        <w:rPr>
          <w:rFonts w:hint="eastAsia" w:ascii="宋体" w:hAnsi="宋体" w:eastAsia="宋体" w:cs="宋体"/>
          <w:bCs/>
          <w:strike w:val="0"/>
          <w:dstrike w:val="0"/>
          <w:color w:val="auto"/>
          <w:szCs w:val="21"/>
          <w:highlight w:val="none"/>
          <w:u w:val="single"/>
          <w:lang w:val="en-US" w:eastAsia="zh-CN"/>
        </w:rPr>
        <w:t>1</w:t>
      </w:r>
      <w:r>
        <w:rPr>
          <w:rFonts w:hint="eastAsia" w:ascii="宋体" w:hAnsi="宋体" w:eastAsia="宋体" w:cs="宋体"/>
          <w:bCs/>
          <w:strike w:val="0"/>
          <w:dstrike w:val="0"/>
          <w:color w:val="auto"/>
          <w:szCs w:val="21"/>
          <w:highlight w:val="none"/>
          <w:u w:val="single"/>
          <w:lang w:eastAsia="zh-CN"/>
        </w:rPr>
        <w:t>）</w:t>
      </w:r>
      <w:r>
        <w:rPr>
          <w:rFonts w:hint="eastAsia" w:ascii="宋体" w:hAnsi="宋体" w:eastAsia="宋体" w:cs="宋体"/>
          <w:bCs/>
          <w:strike w:val="0"/>
          <w:dstrike w:val="0"/>
          <w:color w:val="auto"/>
          <w:szCs w:val="21"/>
          <w:highlight w:val="none"/>
          <w:u w:val="single"/>
        </w:rPr>
        <w:t>督促承包人采取有效的赶工措施（费用自理）；</w:t>
      </w:r>
      <w:r>
        <w:rPr>
          <w:rFonts w:hint="eastAsia" w:ascii="宋体" w:hAnsi="宋体" w:eastAsia="宋体" w:cs="宋体"/>
          <w:strike w:val="0"/>
          <w:dstrike w:val="0"/>
          <w:color w:val="auto"/>
          <w:szCs w:val="21"/>
          <w:highlight w:val="none"/>
          <w:u w:val="single"/>
        </w:rPr>
        <w:t>（</w:t>
      </w:r>
      <w:r>
        <w:rPr>
          <w:rFonts w:hint="eastAsia" w:ascii="宋体" w:hAnsi="宋体" w:eastAsia="宋体" w:cs="宋体"/>
          <w:strike w:val="0"/>
          <w:dstrike w:val="0"/>
          <w:color w:val="auto"/>
          <w:szCs w:val="21"/>
          <w:highlight w:val="none"/>
          <w:u w:val="single"/>
          <w:lang w:val="en-US" w:eastAsia="zh-CN"/>
        </w:rPr>
        <w:t>2</w:t>
      </w:r>
      <w:r>
        <w:rPr>
          <w:rFonts w:hint="eastAsia" w:ascii="宋体" w:hAnsi="宋体" w:eastAsia="宋体" w:cs="宋体"/>
          <w:strike w:val="0"/>
          <w:dstrike w:val="0"/>
          <w:color w:val="auto"/>
          <w:szCs w:val="21"/>
          <w:highlight w:val="none"/>
          <w:u w:val="single"/>
        </w:rPr>
        <w:t>）</w:t>
      </w:r>
      <w:r>
        <w:rPr>
          <w:rFonts w:hint="eastAsia" w:ascii="宋体" w:hAnsi="宋体" w:eastAsia="宋体" w:cs="宋体"/>
          <w:bCs/>
          <w:strike w:val="0"/>
          <w:dstrike w:val="0"/>
          <w:color w:val="auto"/>
          <w:szCs w:val="21"/>
          <w:highlight w:val="none"/>
          <w:u w:val="single"/>
        </w:rPr>
        <w:t>对严重拖延工期，经发包人多次督促，承包人拒不执行的，发包人可</w:t>
      </w:r>
      <w:r>
        <w:rPr>
          <w:rFonts w:hint="eastAsia" w:ascii="宋体" w:hAnsi="宋体" w:eastAsia="宋体" w:cs="宋体"/>
          <w:strike w:val="0"/>
          <w:dstrike w:val="0"/>
          <w:color w:val="auto"/>
          <w:szCs w:val="21"/>
          <w:highlight w:val="none"/>
          <w:u w:val="single"/>
        </w:rPr>
        <w:t>终止</w:t>
      </w:r>
      <w:r>
        <w:rPr>
          <w:rFonts w:hint="eastAsia" w:ascii="宋体" w:hAnsi="宋体" w:eastAsia="宋体" w:cs="宋体"/>
          <w:bCs/>
          <w:strike w:val="0"/>
          <w:dstrike w:val="0"/>
          <w:color w:val="auto"/>
          <w:szCs w:val="21"/>
          <w:highlight w:val="none"/>
          <w:u w:val="single"/>
        </w:rPr>
        <w:t>施工合同，并和承包人进行清算。同时按原中标价格另选同样资质的施工队伍进场施工，原承包人须无条件配合，不得以任何借口阻挠另选的施工队伍施工，不得向发包人提出任何索赔要求</w:t>
      </w:r>
      <w:r>
        <w:rPr>
          <w:rFonts w:hint="eastAsia" w:ascii="宋体" w:hAnsi="宋体" w:cs="宋体"/>
          <w:color w:val="000000"/>
          <w:szCs w:val="21"/>
          <w:u w:val="single"/>
        </w:rPr>
        <w:t xml:space="preserve"> </w:t>
      </w:r>
      <w:r>
        <w:rPr>
          <w:rFonts w:hint="eastAsia" w:ascii="宋体" w:hAnsi="宋体" w:cs="宋体"/>
          <w:color w:val="000000"/>
          <w:szCs w:val="21"/>
          <w:u w:val="single"/>
          <w:lang w:eastAsia="zh-CN"/>
        </w:rPr>
        <w:t>。</w:t>
      </w:r>
    </w:p>
    <w:p w14:paraId="7BD0E645">
      <w:pPr>
        <w:snapToGrid w:val="0"/>
        <w:spacing w:line="440" w:lineRule="exact"/>
        <w:ind w:firstLine="420" w:firstLineChars="200"/>
        <w:rPr>
          <w:rFonts w:hint="eastAsia" w:ascii="宋体" w:cs="宋体"/>
          <w:szCs w:val="21"/>
        </w:rPr>
      </w:pPr>
      <w:r>
        <w:rPr>
          <w:rFonts w:hint="eastAsia" w:ascii="宋体" w:cs="宋体"/>
          <w:szCs w:val="21"/>
        </w:rPr>
        <w:t>7.6 不利物质条件</w:t>
      </w:r>
    </w:p>
    <w:p w14:paraId="2645C99D">
      <w:pPr>
        <w:snapToGrid w:val="0"/>
        <w:spacing w:line="440" w:lineRule="exact"/>
        <w:ind w:firstLine="420" w:firstLineChars="200"/>
        <w:jc w:val="left"/>
        <w:rPr>
          <w:rFonts w:ascii="宋体" w:cs="宋体"/>
          <w:szCs w:val="21"/>
          <w:u w:val="single"/>
        </w:rPr>
      </w:pPr>
      <w:r>
        <w:rPr>
          <w:rFonts w:hint="eastAsia" w:ascii="宋体" w:cs="宋体"/>
          <w:szCs w:val="21"/>
        </w:rPr>
        <w:t>不利物质条件的其他情形和有关约定：</w:t>
      </w:r>
      <w:r>
        <w:rPr>
          <w:rFonts w:hint="eastAsia" w:ascii="宋体" w:cs="宋体"/>
          <w:szCs w:val="21"/>
          <w:u w:val="single"/>
        </w:rPr>
        <w:t xml:space="preserve"> 无  。</w:t>
      </w:r>
    </w:p>
    <w:p w14:paraId="049DF00A">
      <w:pPr>
        <w:snapToGrid w:val="0"/>
        <w:spacing w:line="440" w:lineRule="exact"/>
        <w:ind w:firstLine="420" w:firstLineChars="200"/>
        <w:rPr>
          <w:rFonts w:hint="eastAsia" w:ascii="宋体" w:cs="宋体"/>
          <w:szCs w:val="21"/>
        </w:rPr>
      </w:pPr>
      <w:r>
        <w:rPr>
          <w:rFonts w:hint="eastAsia" w:ascii="宋体" w:cs="宋体"/>
          <w:szCs w:val="21"/>
        </w:rPr>
        <w:t>7.7异常恶劣的气候条件</w:t>
      </w:r>
    </w:p>
    <w:p w14:paraId="1EEDCDCF">
      <w:pPr>
        <w:snapToGrid w:val="0"/>
        <w:spacing w:line="440" w:lineRule="exact"/>
        <w:ind w:firstLine="420" w:firstLineChars="200"/>
        <w:jc w:val="left"/>
        <w:rPr>
          <w:rFonts w:hint="eastAsia" w:ascii="宋体" w:cs="宋体"/>
          <w:szCs w:val="21"/>
        </w:rPr>
      </w:pPr>
      <w:r>
        <w:rPr>
          <w:rFonts w:hint="eastAsia" w:ascii="宋体" w:cs="宋体"/>
          <w:szCs w:val="21"/>
        </w:rPr>
        <w:t>发包人和承包人同意以下情形视为异常恶劣的气候条件：</w:t>
      </w:r>
    </w:p>
    <w:p w14:paraId="06996BDA">
      <w:pPr>
        <w:numPr>
          <w:ilvl w:val="0"/>
          <w:numId w:val="2"/>
        </w:numPr>
        <w:snapToGrid w:val="0"/>
        <w:spacing w:line="440" w:lineRule="exact"/>
        <w:ind w:firstLine="420" w:firstLineChars="200"/>
        <w:jc w:val="left"/>
        <w:rPr>
          <w:rFonts w:hint="eastAsia"/>
        </w:rPr>
      </w:pPr>
      <w:r>
        <w:rPr>
          <w:rFonts w:hint="eastAsia" w:ascii="宋体" w:cs="宋体"/>
          <w:szCs w:val="21"/>
          <w:u w:val="single"/>
        </w:rPr>
        <w:t xml:space="preserve"> 无   </w:t>
      </w:r>
      <w:r>
        <w:rPr>
          <w:rFonts w:hint="eastAsia" w:ascii="宋体" w:cs="宋体"/>
          <w:szCs w:val="21"/>
        </w:rPr>
        <w:t>；</w:t>
      </w:r>
    </w:p>
    <w:p w14:paraId="419186D3">
      <w:pPr>
        <w:numPr>
          <w:ilvl w:val="0"/>
          <w:numId w:val="2"/>
        </w:numPr>
        <w:snapToGrid w:val="0"/>
        <w:spacing w:line="440" w:lineRule="exact"/>
        <w:ind w:firstLine="420" w:firstLineChars="200"/>
        <w:jc w:val="left"/>
        <w:rPr>
          <w:rFonts w:hint="eastAsia"/>
        </w:rPr>
      </w:pPr>
      <w:r>
        <w:rPr>
          <w:rFonts w:hint="eastAsia" w:ascii="宋体" w:cs="宋体"/>
          <w:szCs w:val="21"/>
          <w:u w:val="single"/>
        </w:rPr>
        <w:t xml:space="preserve"> 无   </w:t>
      </w:r>
      <w:r>
        <w:rPr>
          <w:rFonts w:hint="eastAsia" w:ascii="宋体" w:cs="宋体"/>
          <w:szCs w:val="21"/>
        </w:rPr>
        <w:t>；</w:t>
      </w:r>
    </w:p>
    <w:p w14:paraId="5A5BAC38">
      <w:pPr>
        <w:numPr>
          <w:ilvl w:val="0"/>
          <w:numId w:val="2"/>
        </w:numPr>
        <w:snapToGrid w:val="0"/>
        <w:spacing w:line="440" w:lineRule="exact"/>
        <w:ind w:firstLine="420" w:firstLineChars="200"/>
        <w:jc w:val="left"/>
        <w:rPr>
          <w:rFonts w:hint="eastAsia"/>
        </w:rPr>
      </w:pPr>
      <w:r>
        <w:rPr>
          <w:rFonts w:hint="eastAsia" w:ascii="宋体" w:cs="宋体"/>
          <w:szCs w:val="21"/>
          <w:u w:val="single"/>
        </w:rPr>
        <w:t xml:space="preserve"> 无   </w:t>
      </w:r>
      <w:r>
        <w:rPr>
          <w:rFonts w:hint="eastAsia" w:ascii="宋体" w:cs="宋体"/>
          <w:szCs w:val="21"/>
        </w:rPr>
        <w:t>；</w:t>
      </w:r>
    </w:p>
    <w:p w14:paraId="72D8DA8A">
      <w:pPr>
        <w:snapToGrid w:val="0"/>
        <w:spacing w:line="440" w:lineRule="exact"/>
        <w:ind w:firstLine="420" w:firstLineChars="200"/>
        <w:jc w:val="left"/>
        <w:rPr>
          <w:rFonts w:hint="eastAsia" w:ascii="宋体" w:hAnsi="宋体" w:cs="宋体"/>
        </w:rPr>
      </w:pPr>
      <w:r>
        <w:rPr>
          <w:rFonts w:hint="eastAsia" w:ascii="宋体" w:hAnsi="宋体" w:cs="宋体"/>
        </w:rPr>
        <w:t>7.9 提前竣工的奖励</w:t>
      </w:r>
    </w:p>
    <w:p w14:paraId="6C6ED465">
      <w:pPr>
        <w:pStyle w:val="2"/>
        <w:spacing w:after="0" w:line="440" w:lineRule="exact"/>
        <w:ind w:left="0" w:leftChars="0"/>
        <w:rPr>
          <w:rFonts w:hint="eastAsia"/>
        </w:rPr>
      </w:pPr>
      <w:r>
        <w:rPr>
          <w:rFonts w:hint="eastAsia"/>
        </w:rPr>
        <w:t>7.9.2提前竣工的奖励：</w:t>
      </w:r>
      <w:r>
        <w:rPr>
          <w:rFonts w:hint="eastAsia"/>
          <w:u w:val="single"/>
        </w:rPr>
        <w:t xml:space="preserve"> </w:t>
      </w:r>
      <w:r>
        <w:rPr>
          <w:rFonts w:hint="eastAsia" w:ascii="宋体" w:hAnsi="宋体" w:cs="宋体"/>
          <w:color w:val="auto"/>
          <w:highlight w:val="none"/>
          <w:u w:val="single"/>
          <w:lang w:val="en-US" w:eastAsia="zh-CN"/>
        </w:rPr>
        <w:t>此条不执行</w:t>
      </w:r>
      <w:r>
        <w:rPr>
          <w:rFonts w:hint="eastAsia"/>
          <w:u w:val="single"/>
        </w:rPr>
        <w:t xml:space="preserve">   </w:t>
      </w:r>
      <w:r>
        <w:rPr>
          <w:rFonts w:hint="eastAsia"/>
        </w:rPr>
        <w:t>。</w:t>
      </w:r>
    </w:p>
    <w:p w14:paraId="394DFA65">
      <w:pPr>
        <w:pStyle w:val="9"/>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8. 材料与设备</w:t>
      </w:r>
    </w:p>
    <w:p w14:paraId="2A8390C2">
      <w:pPr>
        <w:snapToGrid w:val="0"/>
        <w:spacing w:line="440" w:lineRule="exact"/>
        <w:ind w:firstLine="420" w:firstLineChars="200"/>
        <w:rPr>
          <w:rFonts w:hint="eastAsia" w:ascii="宋体" w:cs="宋体"/>
          <w:szCs w:val="21"/>
        </w:rPr>
      </w:pPr>
      <w:r>
        <w:rPr>
          <w:rFonts w:hint="eastAsia" w:ascii="宋体" w:cs="宋体"/>
          <w:szCs w:val="21"/>
        </w:rPr>
        <w:t>8.4材料与工程设备的保管与使用</w:t>
      </w:r>
    </w:p>
    <w:p w14:paraId="7406874C">
      <w:pPr>
        <w:snapToGrid w:val="0"/>
        <w:spacing w:line="440" w:lineRule="exact"/>
        <w:ind w:firstLine="420" w:firstLineChars="200"/>
        <w:jc w:val="left"/>
        <w:rPr>
          <w:rFonts w:hint="eastAsia" w:ascii="宋体" w:cs="宋体"/>
          <w:color w:val="auto"/>
          <w:szCs w:val="21"/>
          <w:u w:val="single"/>
        </w:rPr>
      </w:pPr>
      <w:r>
        <w:rPr>
          <w:rFonts w:hint="eastAsia" w:ascii="宋体" w:cs="宋体"/>
          <w:color w:val="auto"/>
          <w:szCs w:val="21"/>
        </w:rPr>
        <w:t>8.4.1发包人供应的材料设备的保管费用的承担：</w:t>
      </w:r>
      <w:r>
        <w:rPr>
          <w:rFonts w:hint="eastAsia" w:ascii="宋体" w:hAnsi="宋体" w:cs="宋体"/>
          <w:color w:val="auto"/>
          <w:highlight w:val="none"/>
          <w:u w:val="single"/>
          <w:lang w:val="en-US" w:eastAsia="zh-CN"/>
        </w:rPr>
        <w:t>此条不执行</w:t>
      </w:r>
      <w:r>
        <w:rPr>
          <w:rFonts w:hint="eastAsia" w:ascii="宋体" w:cs="宋体"/>
          <w:color w:val="auto"/>
          <w:szCs w:val="21"/>
          <w:u w:val="single"/>
        </w:rPr>
        <w:t>。</w:t>
      </w:r>
    </w:p>
    <w:p w14:paraId="44B60519">
      <w:pPr>
        <w:snapToGrid w:val="0"/>
        <w:spacing w:line="440" w:lineRule="exact"/>
        <w:ind w:firstLine="420" w:firstLineChars="200"/>
        <w:rPr>
          <w:rFonts w:hint="eastAsia" w:ascii="宋体" w:cs="宋体"/>
          <w:color w:val="auto"/>
          <w:szCs w:val="21"/>
        </w:rPr>
      </w:pPr>
      <w:r>
        <w:rPr>
          <w:rFonts w:hint="eastAsia" w:ascii="宋体" w:cs="宋体"/>
          <w:color w:val="auto"/>
          <w:szCs w:val="21"/>
        </w:rPr>
        <w:t>8.6 样品</w:t>
      </w:r>
    </w:p>
    <w:p w14:paraId="53B79BFB">
      <w:pPr>
        <w:autoSpaceDE w:val="0"/>
        <w:autoSpaceDN w:val="0"/>
        <w:adjustRightInd w:val="0"/>
        <w:snapToGrid w:val="0"/>
        <w:spacing w:line="440" w:lineRule="exact"/>
        <w:ind w:firstLine="420" w:firstLineChars="200"/>
        <w:jc w:val="left"/>
        <w:rPr>
          <w:rFonts w:hint="eastAsia" w:ascii="宋体" w:cs="宋体"/>
          <w:color w:val="auto"/>
          <w:kern w:val="0"/>
          <w:szCs w:val="21"/>
        </w:rPr>
      </w:pPr>
      <w:r>
        <w:rPr>
          <w:rFonts w:hint="eastAsia" w:ascii="宋体" w:cs="宋体"/>
          <w:color w:val="auto"/>
          <w:kern w:val="0"/>
          <w:szCs w:val="21"/>
        </w:rPr>
        <w:t>8.6.1样品的报送与封存</w:t>
      </w:r>
    </w:p>
    <w:p w14:paraId="1C7AD2DF">
      <w:pPr>
        <w:snapToGrid w:val="0"/>
        <w:spacing w:line="440" w:lineRule="exact"/>
        <w:ind w:firstLine="420" w:firstLineChars="200"/>
        <w:rPr>
          <w:rFonts w:hint="eastAsia" w:ascii="宋体" w:cs="宋体"/>
          <w:color w:val="auto"/>
          <w:szCs w:val="21"/>
          <w:u w:val="single"/>
        </w:rPr>
      </w:pPr>
      <w:r>
        <w:rPr>
          <w:rFonts w:hint="eastAsia" w:ascii="宋体" w:cs="宋体"/>
          <w:color w:val="auto"/>
          <w:szCs w:val="21"/>
        </w:rPr>
        <w:t>需要承包人报送样品的材料或工程设备，样品的种类、名称、规格、数量要求：</w:t>
      </w:r>
      <w:r>
        <w:rPr>
          <w:rFonts w:hint="eastAsia" w:ascii="宋体" w:cs="宋体"/>
          <w:color w:val="auto"/>
          <w:szCs w:val="21"/>
          <w:u w:val="single"/>
        </w:rPr>
        <w:t xml:space="preserve"> 执行</w:t>
      </w:r>
      <w:r>
        <w:rPr>
          <w:rFonts w:hint="eastAsia" w:ascii="宋体" w:cs="宋体"/>
          <w:color w:val="auto"/>
          <w:szCs w:val="21"/>
          <w:u w:val="single"/>
          <w:lang w:val="en-US" w:eastAsia="zh-CN"/>
        </w:rPr>
        <w:t>招标</w:t>
      </w:r>
      <w:r>
        <w:rPr>
          <w:rFonts w:hint="eastAsia" w:ascii="宋体" w:cs="宋体"/>
          <w:color w:val="auto"/>
          <w:szCs w:val="21"/>
          <w:u w:val="single"/>
        </w:rPr>
        <w:t xml:space="preserve">文件。 </w:t>
      </w:r>
    </w:p>
    <w:p w14:paraId="15D5C90B">
      <w:pPr>
        <w:snapToGrid w:val="0"/>
        <w:spacing w:line="440" w:lineRule="exact"/>
        <w:ind w:firstLine="420" w:firstLineChars="200"/>
        <w:rPr>
          <w:rFonts w:hint="eastAsia" w:ascii="宋体" w:cs="宋体"/>
          <w:color w:val="auto"/>
          <w:szCs w:val="21"/>
        </w:rPr>
      </w:pPr>
      <w:r>
        <w:rPr>
          <w:rFonts w:hint="eastAsia" w:ascii="宋体" w:cs="宋体"/>
          <w:color w:val="auto"/>
          <w:szCs w:val="21"/>
        </w:rPr>
        <w:t>8.8 施工设备和临时设施</w:t>
      </w:r>
    </w:p>
    <w:p w14:paraId="7E2E2EF1">
      <w:pPr>
        <w:autoSpaceDE w:val="0"/>
        <w:autoSpaceDN w:val="0"/>
        <w:adjustRightInd w:val="0"/>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8.8.1 承包人提供的施工设备和临时设施</w:t>
      </w:r>
    </w:p>
    <w:p w14:paraId="52BEE37C">
      <w:pPr>
        <w:autoSpaceDE w:val="0"/>
        <w:autoSpaceDN w:val="0"/>
        <w:adjustRightInd w:val="0"/>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关于修建临时设施费用承担的约定：</w:t>
      </w:r>
      <w:r>
        <w:rPr>
          <w:rFonts w:hint="eastAsia" w:ascii="宋体" w:cs="宋体"/>
          <w:color w:val="auto"/>
          <w:szCs w:val="21"/>
          <w:u w:val="single"/>
        </w:rPr>
        <w:t xml:space="preserve">  由承包人自行承担费用   </w:t>
      </w:r>
      <w:r>
        <w:rPr>
          <w:rFonts w:hint="eastAsia" w:ascii="宋体" w:cs="宋体"/>
          <w:color w:val="auto"/>
          <w:szCs w:val="21"/>
        </w:rPr>
        <w:t>。</w:t>
      </w:r>
    </w:p>
    <w:p w14:paraId="348BE2C6">
      <w:pPr>
        <w:pStyle w:val="9"/>
        <w:snapToGrid w:val="0"/>
        <w:spacing w:before="0" w:after="0" w:line="440" w:lineRule="exact"/>
        <w:ind w:firstLine="420" w:firstLineChars="200"/>
        <w:rPr>
          <w:rFonts w:hint="eastAsia" w:ascii="宋体" w:eastAsia="宋体" w:cs="宋体"/>
          <w:b w:val="0"/>
          <w:color w:val="auto"/>
          <w:sz w:val="21"/>
          <w:szCs w:val="21"/>
        </w:rPr>
      </w:pPr>
      <w:r>
        <w:rPr>
          <w:rFonts w:hint="eastAsia" w:ascii="宋体" w:eastAsia="宋体" w:cs="宋体"/>
          <w:b w:val="0"/>
          <w:color w:val="auto"/>
          <w:sz w:val="21"/>
          <w:szCs w:val="21"/>
        </w:rPr>
        <w:t>9. 试验与检验</w:t>
      </w:r>
    </w:p>
    <w:p w14:paraId="63F8F678">
      <w:pPr>
        <w:snapToGrid w:val="0"/>
        <w:spacing w:line="440" w:lineRule="exact"/>
        <w:ind w:firstLine="420" w:firstLineChars="200"/>
        <w:rPr>
          <w:rFonts w:hint="eastAsia" w:ascii="宋体" w:cs="宋体"/>
          <w:color w:val="auto"/>
          <w:szCs w:val="21"/>
        </w:rPr>
      </w:pPr>
      <w:r>
        <w:rPr>
          <w:rFonts w:hint="eastAsia" w:ascii="宋体" w:cs="宋体"/>
          <w:color w:val="auto"/>
          <w:szCs w:val="21"/>
        </w:rPr>
        <w:t>9.1试验设备与试验人员</w:t>
      </w:r>
    </w:p>
    <w:p w14:paraId="590F90A0">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9.1.2 试验设备</w:t>
      </w:r>
    </w:p>
    <w:p w14:paraId="7E98BA7C">
      <w:pPr>
        <w:snapToGrid w:val="0"/>
        <w:spacing w:line="440" w:lineRule="exact"/>
        <w:ind w:firstLine="420" w:firstLineChars="200"/>
        <w:jc w:val="left"/>
        <w:rPr>
          <w:rFonts w:hint="eastAsia" w:ascii="宋体" w:cs="宋体"/>
          <w:color w:val="auto"/>
          <w:szCs w:val="21"/>
          <w:u w:val="single"/>
        </w:rPr>
      </w:pPr>
      <w:r>
        <w:rPr>
          <w:rFonts w:hint="eastAsia" w:ascii="宋体" w:cs="宋体"/>
          <w:color w:val="auto"/>
          <w:szCs w:val="21"/>
        </w:rPr>
        <w:t>施工现场需要配置的试验场所：</w:t>
      </w:r>
      <w:r>
        <w:rPr>
          <w:rFonts w:hint="eastAsia" w:ascii="宋体" w:cs="宋体"/>
          <w:color w:val="auto"/>
          <w:szCs w:val="21"/>
          <w:u w:val="single"/>
        </w:rPr>
        <w:t xml:space="preserve">   执行</w:t>
      </w:r>
      <w:r>
        <w:rPr>
          <w:rFonts w:hint="eastAsia" w:ascii="宋体" w:cs="宋体"/>
          <w:color w:val="auto"/>
          <w:szCs w:val="21"/>
          <w:u w:val="single"/>
          <w:lang w:val="en-US" w:eastAsia="zh-CN"/>
        </w:rPr>
        <w:t>招标</w:t>
      </w:r>
      <w:r>
        <w:rPr>
          <w:rFonts w:hint="eastAsia" w:ascii="宋体" w:cs="宋体"/>
          <w:color w:val="auto"/>
          <w:szCs w:val="21"/>
          <w:u w:val="single"/>
        </w:rPr>
        <w:t xml:space="preserve">文件   </w:t>
      </w:r>
      <w:r>
        <w:rPr>
          <w:rFonts w:hint="eastAsia" w:ascii="宋体" w:cs="宋体"/>
          <w:color w:val="auto"/>
          <w:szCs w:val="21"/>
        </w:rPr>
        <w:t xml:space="preserve">。 </w:t>
      </w:r>
    </w:p>
    <w:p w14:paraId="30C3CD2D">
      <w:pPr>
        <w:snapToGrid w:val="0"/>
        <w:spacing w:line="440" w:lineRule="exact"/>
        <w:ind w:firstLine="420" w:firstLineChars="200"/>
        <w:jc w:val="left"/>
        <w:rPr>
          <w:rFonts w:hint="eastAsia" w:ascii="宋体" w:cs="宋体"/>
          <w:color w:val="auto"/>
          <w:szCs w:val="21"/>
          <w:u w:val="single"/>
        </w:rPr>
      </w:pPr>
      <w:r>
        <w:rPr>
          <w:rFonts w:hint="eastAsia" w:ascii="宋体" w:cs="宋体"/>
          <w:color w:val="auto"/>
          <w:szCs w:val="21"/>
        </w:rPr>
        <w:t>施工现场需要配备的试验设备：</w:t>
      </w:r>
      <w:r>
        <w:rPr>
          <w:rFonts w:hint="eastAsia" w:ascii="宋体" w:cs="宋体"/>
          <w:color w:val="auto"/>
          <w:szCs w:val="21"/>
          <w:u w:val="single"/>
        </w:rPr>
        <w:t xml:space="preserve">   执行</w:t>
      </w:r>
      <w:r>
        <w:rPr>
          <w:rFonts w:hint="eastAsia" w:ascii="宋体" w:cs="宋体"/>
          <w:color w:val="auto"/>
          <w:szCs w:val="21"/>
          <w:u w:val="single"/>
          <w:lang w:val="en-US" w:eastAsia="zh-CN"/>
        </w:rPr>
        <w:t>招标</w:t>
      </w:r>
      <w:r>
        <w:rPr>
          <w:rFonts w:hint="eastAsia" w:ascii="宋体" w:cs="宋体"/>
          <w:color w:val="auto"/>
          <w:szCs w:val="21"/>
          <w:u w:val="single"/>
        </w:rPr>
        <w:t xml:space="preserve">文件    </w:t>
      </w:r>
      <w:r>
        <w:rPr>
          <w:rFonts w:hint="eastAsia" w:ascii="宋体" w:cs="宋体"/>
          <w:color w:val="auto"/>
          <w:szCs w:val="21"/>
        </w:rPr>
        <w:t>。</w:t>
      </w:r>
    </w:p>
    <w:p w14:paraId="49322D05">
      <w:pPr>
        <w:snapToGrid w:val="0"/>
        <w:spacing w:line="440" w:lineRule="exact"/>
        <w:ind w:firstLine="420" w:firstLineChars="200"/>
        <w:jc w:val="left"/>
        <w:rPr>
          <w:rFonts w:hint="eastAsia" w:ascii="宋体" w:cs="宋体"/>
          <w:color w:val="auto"/>
          <w:szCs w:val="21"/>
          <w:u w:val="single"/>
        </w:rPr>
      </w:pPr>
      <w:r>
        <w:rPr>
          <w:rFonts w:hint="eastAsia" w:ascii="宋体" w:cs="宋体"/>
          <w:color w:val="auto"/>
          <w:szCs w:val="21"/>
        </w:rPr>
        <w:t>施工现场需要具备的其他试验条件：</w:t>
      </w:r>
      <w:r>
        <w:rPr>
          <w:rFonts w:hint="eastAsia" w:ascii="宋体" w:cs="宋体"/>
          <w:color w:val="auto"/>
          <w:szCs w:val="21"/>
          <w:u w:val="single"/>
        </w:rPr>
        <w:t xml:space="preserve">   执行</w:t>
      </w:r>
      <w:r>
        <w:rPr>
          <w:rFonts w:hint="eastAsia" w:ascii="宋体" w:cs="宋体"/>
          <w:color w:val="auto"/>
          <w:szCs w:val="21"/>
          <w:u w:val="single"/>
          <w:lang w:val="en-US" w:eastAsia="zh-CN"/>
        </w:rPr>
        <w:t>招标</w:t>
      </w:r>
      <w:r>
        <w:rPr>
          <w:rFonts w:hint="eastAsia" w:ascii="宋体" w:cs="宋体"/>
          <w:color w:val="auto"/>
          <w:szCs w:val="21"/>
          <w:u w:val="single"/>
        </w:rPr>
        <w:t xml:space="preserve">文件   </w:t>
      </w:r>
      <w:r>
        <w:rPr>
          <w:rFonts w:hint="eastAsia" w:ascii="宋体" w:cs="宋体"/>
          <w:color w:val="auto"/>
          <w:szCs w:val="21"/>
        </w:rPr>
        <w:t>。</w:t>
      </w:r>
    </w:p>
    <w:p w14:paraId="3106D772">
      <w:pPr>
        <w:snapToGrid w:val="0"/>
        <w:spacing w:line="440" w:lineRule="exact"/>
        <w:ind w:firstLine="420" w:firstLineChars="200"/>
        <w:rPr>
          <w:rFonts w:hint="eastAsia" w:ascii="宋体" w:cs="宋体"/>
          <w:color w:val="auto"/>
          <w:szCs w:val="21"/>
        </w:rPr>
      </w:pPr>
      <w:r>
        <w:rPr>
          <w:rFonts w:hint="eastAsia" w:ascii="宋体" w:cs="宋体"/>
          <w:color w:val="auto"/>
          <w:szCs w:val="21"/>
        </w:rPr>
        <w:t xml:space="preserve">9.4 现场工艺试验 </w:t>
      </w:r>
    </w:p>
    <w:p w14:paraId="57E8BD73">
      <w:pPr>
        <w:snapToGrid w:val="0"/>
        <w:spacing w:line="440" w:lineRule="exact"/>
        <w:ind w:firstLine="420" w:firstLineChars="200"/>
        <w:jc w:val="left"/>
        <w:rPr>
          <w:rFonts w:hint="eastAsia" w:ascii="宋体" w:cs="宋体"/>
          <w:color w:val="auto"/>
          <w:szCs w:val="21"/>
          <w:u w:val="single"/>
        </w:rPr>
      </w:pPr>
      <w:r>
        <w:rPr>
          <w:rFonts w:hint="eastAsia" w:ascii="宋体" w:cs="宋体"/>
          <w:color w:val="auto"/>
          <w:szCs w:val="21"/>
        </w:rPr>
        <w:t>现场工艺试验的有关约定：</w:t>
      </w:r>
      <w:r>
        <w:rPr>
          <w:rFonts w:hint="eastAsia" w:ascii="宋体" w:cs="宋体"/>
          <w:color w:val="auto"/>
          <w:szCs w:val="21"/>
          <w:u w:val="single"/>
        </w:rPr>
        <w:t xml:space="preserve">   按监理人指示    </w:t>
      </w:r>
      <w:r>
        <w:rPr>
          <w:rFonts w:hint="eastAsia" w:ascii="宋体" w:cs="宋体"/>
          <w:color w:val="auto"/>
          <w:szCs w:val="21"/>
        </w:rPr>
        <w:t>。</w:t>
      </w:r>
    </w:p>
    <w:p w14:paraId="0BF396F9">
      <w:pPr>
        <w:pStyle w:val="9"/>
        <w:snapToGrid w:val="0"/>
        <w:spacing w:before="0" w:after="0" w:line="440" w:lineRule="exact"/>
        <w:ind w:firstLine="420" w:firstLine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10. 变更</w:t>
      </w:r>
    </w:p>
    <w:p w14:paraId="36E56CDB">
      <w:pPr>
        <w:snapToGrid w:val="0"/>
        <w:spacing w:line="440" w:lineRule="exact"/>
        <w:ind w:firstLine="420" w:firstLineChars="200"/>
        <w:rPr>
          <w:rFonts w:hint="eastAsia" w:ascii="宋体" w:hAnsi="宋体" w:cs="宋体"/>
          <w:color w:val="auto"/>
          <w:szCs w:val="21"/>
        </w:rPr>
      </w:pPr>
      <w:r>
        <w:rPr>
          <w:rFonts w:hint="eastAsia" w:ascii="宋体" w:hAnsi="宋体" w:cs="宋体"/>
          <w:color w:val="auto"/>
          <w:szCs w:val="21"/>
        </w:rPr>
        <w:t>10.1变更的范围</w:t>
      </w:r>
    </w:p>
    <w:p w14:paraId="234E064E">
      <w:pPr>
        <w:snapToGrid w:val="0"/>
        <w:spacing w:line="440" w:lineRule="exact"/>
        <w:ind w:firstLine="420" w:firstLineChars="200"/>
        <w:jc w:val="left"/>
        <w:rPr>
          <w:rFonts w:hint="eastAsia" w:ascii="宋体" w:hAnsi="宋体" w:cs="宋体"/>
          <w:color w:val="auto"/>
          <w:szCs w:val="21"/>
          <w:u w:val="single"/>
        </w:rPr>
      </w:pPr>
      <w:r>
        <w:rPr>
          <w:rFonts w:hint="eastAsia" w:ascii="宋体" w:hAnsi="宋体" w:cs="宋体"/>
          <w:color w:val="auto"/>
          <w:szCs w:val="21"/>
        </w:rPr>
        <w:t>关于变更范围的约定：</w:t>
      </w:r>
      <w:r>
        <w:rPr>
          <w:rFonts w:hint="eastAsia" w:ascii="宋体" w:hAnsi="宋体" w:cs="宋体"/>
          <w:b/>
          <w:color w:val="auto"/>
          <w:szCs w:val="21"/>
          <w:u w:val="single"/>
        </w:rPr>
        <w:t>执行合同通用条款</w:t>
      </w:r>
      <w:r>
        <w:rPr>
          <w:rFonts w:hint="eastAsia" w:ascii="宋体" w:hAnsi="宋体" w:cs="宋体"/>
          <w:b/>
          <w:bCs/>
          <w:color w:val="auto"/>
          <w:szCs w:val="21"/>
          <w:u w:val="single"/>
        </w:rPr>
        <w:t>。</w:t>
      </w:r>
    </w:p>
    <w:p w14:paraId="7CC01665">
      <w:pPr>
        <w:snapToGrid w:val="0"/>
        <w:spacing w:line="440" w:lineRule="exact"/>
        <w:ind w:firstLine="420" w:firstLineChars="200"/>
        <w:jc w:val="left"/>
        <w:rPr>
          <w:rFonts w:hint="eastAsia" w:ascii="宋体" w:hAnsi="宋体" w:cs="宋体"/>
          <w:color w:val="auto"/>
          <w:szCs w:val="21"/>
        </w:rPr>
      </w:pPr>
      <w:r>
        <w:rPr>
          <w:rFonts w:hint="eastAsia" w:ascii="宋体" w:hAnsi="宋体" w:cs="宋体"/>
          <w:color w:val="auto"/>
          <w:szCs w:val="21"/>
        </w:rPr>
        <w:t>10.4 变更估价</w:t>
      </w:r>
    </w:p>
    <w:p w14:paraId="363C3F7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
          <w:strike/>
          <w:dstrike w:val="0"/>
          <w:color w:val="000000"/>
          <w:highlight w:val="none"/>
          <w:lang w:eastAsia="zh-CN"/>
        </w:rPr>
      </w:pPr>
      <w:r>
        <w:rPr>
          <w:rFonts w:hint="eastAsia" w:ascii="宋体" w:hAnsi="宋体" w:cs="宋体"/>
          <w:color w:val="auto"/>
          <w:szCs w:val="21"/>
          <w:highlight w:val="none"/>
        </w:rPr>
        <w:t>10.4.1变更估价原则</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关于变更估价的约定</w:t>
      </w:r>
      <w:r>
        <w:rPr>
          <w:rFonts w:hint="eastAsia" w:ascii="宋体" w:hAnsi="宋体" w:cs="宋体"/>
          <w:color w:val="auto"/>
          <w:szCs w:val="21"/>
          <w:highlight w:val="none"/>
          <w:lang w:eastAsia="zh-CN"/>
        </w:rPr>
        <w:t>：</w:t>
      </w:r>
    </w:p>
    <w:p w14:paraId="7BFAC98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color w:val="auto"/>
          <w:kern w:val="0"/>
          <w:highlight w:val="none"/>
          <w:lang w:eastAsia="zh-CN"/>
        </w:rPr>
      </w:pPr>
      <w:r>
        <w:rPr>
          <w:rFonts w:hint="eastAsia" w:ascii="宋体" w:hAnsi="宋体" w:eastAsia="宋体" w:cs="宋体"/>
          <w:b/>
          <w:bCs/>
          <w:color w:val="auto"/>
          <w:szCs w:val="21"/>
          <w:highlight w:val="none"/>
        </w:rPr>
        <w:t>变更导致结算工程量（含1.13清单工程量错误产生的工程量）减少或增加</w:t>
      </w:r>
      <w:r>
        <w:rPr>
          <w:rFonts w:hint="eastAsia" w:ascii="宋体" w:hAnsi="宋体" w:cs="宋体"/>
          <w:b/>
          <w:bCs/>
          <w:color w:val="auto"/>
          <w:szCs w:val="21"/>
          <w:highlight w:val="none"/>
          <w:lang w:val="en-US" w:eastAsia="zh-CN"/>
        </w:rPr>
        <w:t>的</w:t>
      </w:r>
      <w:r>
        <w:rPr>
          <w:rFonts w:hint="eastAsia" w:ascii="宋体" w:hAnsi="宋体" w:eastAsia="宋体" w:cs="宋体"/>
          <w:b/>
          <w:bCs/>
          <w:color w:val="auto"/>
          <w:szCs w:val="21"/>
          <w:highlight w:val="none"/>
        </w:rPr>
        <w:t>部分，执行下列第（1）款或第（2）款</w:t>
      </w:r>
      <w:r>
        <w:rPr>
          <w:rFonts w:hint="eastAsia" w:ascii="宋体" w:hAnsi="宋体" w:cs="宋体"/>
          <w:b/>
          <w:bCs/>
          <w:color w:val="auto"/>
          <w:szCs w:val="21"/>
          <w:highlight w:val="none"/>
          <w:lang w:val="en-US" w:eastAsia="zh-CN"/>
        </w:rPr>
        <w:t>或第</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rPr>
        <w:t>）款确定的单价</w:t>
      </w:r>
      <w:r>
        <w:rPr>
          <w:rFonts w:hint="eastAsia" w:ascii="宋体" w:hAnsi="宋体" w:cs="宋体"/>
          <w:b/>
          <w:bCs/>
          <w:color w:val="auto"/>
          <w:szCs w:val="21"/>
          <w:highlight w:val="none"/>
          <w:lang w:eastAsia="zh-CN"/>
        </w:rPr>
        <w:t>。</w:t>
      </w:r>
    </w:p>
    <w:p w14:paraId="2513A76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b/>
          <w:color w:val="auto"/>
          <w:highlight w:val="none"/>
          <w:u w:val="none"/>
          <w:lang w:val="en-US" w:eastAsia="zh-CN"/>
        </w:rPr>
      </w:pPr>
      <w:r>
        <w:rPr>
          <w:rFonts w:hint="eastAsia" w:ascii="宋体" w:hAnsi="宋体" w:cs="宋体"/>
          <w:b/>
          <w:color w:val="auto"/>
          <w:kern w:val="0"/>
          <w:highlight w:val="none"/>
        </w:rPr>
        <w:t>10.4.1.1 因工程变更引起已标价工程量清单项目或其工程数量发生变化时，按下列规定调整：</w:t>
      </w:r>
      <w:r>
        <w:rPr>
          <w:rFonts w:hint="eastAsia" w:ascii="宋体" w:hAnsi="宋体" w:eastAsia="宋体" w:cs="宋体"/>
          <w:b/>
          <w:color w:val="auto"/>
          <w:highlight w:val="none"/>
          <w:u w:val="none"/>
        </w:rPr>
        <w:t>（1）已标价工程量清单或预算书有相同项目的，按照相同项目单价认定；（2）已标价工程量清单或预算书中无相同项目，但有类似项目的，参照类似项目的单价认定</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类似项目的单价是指其采用的材料、施工工艺和方法基本相似的项目</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3</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已标价工程量清单或预算书</w:t>
      </w:r>
      <w:r>
        <w:rPr>
          <w:rFonts w:hint="eastAsia" w:ascii="宋体" w:hAnsi="宋体" w:eastAsia="宋体" w:cs="宋体"/>
          <w:b/>
          <w:color w:val="auto"/>
          <w:highlight w:val="none"/>
          <w:u w:val="none"/>
          <w:lang w:val="en-US" w:eastAsia="zh-CN"/>
        </w:rPr>
        <w:t>既无</w:t>
      </w:r>
      <w:r>
        <w:rPr>
          <w:rFonts w:hint="eastAsia" w:ascii="宋体" w:hAnsi="宋体" w:eastAsia="宋体" w:cs="宋体"/>
          <w:b/>
          <w:color w:val="auto"/>
          <w:highlight w:val="none"/>
          <w:u w:val="none"/>
        </w:rPr>
        <w:t>相同项目</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也无类似项目的单价</w:t>
      </w:r>
      <w:r>
        <w:rPr>
          <w:rFonts w:hint="eastAsia" w:ascii="宋体" w:hAnsi="宋体" w:eastAsia="宋体" w:cs="宋体"/>
          <w:b/>
          <w:color w:val="auto"/>
          <w:highlight w:val="none"/>
          <w:u w:val="none"/>
        </w:rPr>
        <w:t>按照最高投标限价的编制原则重新组价×投标让利幅度（上述投标让利幅度为中标价/最高投标限价，其中中标价和最高投标限价均扣除暂列金额、暂估价及相应税金</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材料</w:t>
      </w:r>
      <w:r>
        <w:rPr>
          <w:rFonts w:hint="eastAsia" w:ascii="宋体" w:hAnsi="宋体" w:eastAsia="宋体" w:cs="宋体"/>
          <w:b/>
          <w:color w:val="auto"/>
          <w:highlight w:val="none"/>
          <w:u w:val="none"/>
          <w:lang w:val="en-US" w:eastAsia="zh-CN"/>
        </w:rPr>
        <w:t>价</w:t>
      </w:r>
      <w:r>
        <w:rPr>
          <w:rFonts w:hint="eastAsia" w:ascii="宋体" w:hAnsi="宋体" w:eastAsia="宋体" w:cs="宋体"/>
          <w:b/>
          <w:color w:val="auto"/>
          <w:highlight w:val="none"/>
          <w:u w:val="none"/>
        </w:rPr>
        <w:t>按施工当期《</w:t>
      </w:r>
      <w:r>
        <w:rPr>
          <w:rFonts w:hint="eastAsia" w:ascii="宋体" w:hAnsi="宋体" w:eastAsia="宋体" w:cs="宋体"/>
          <w:b/>
          <w:color w:val="auto"/>
          <w:highlight w:val="none"/>
          <w:u w:val="none"/>
          <w:lang w:val="en-US" w:eastAsia="zh-CN"/>
        </w:rPr>
        <w:t>滁</w:t>
      </w:r>
      <w:r>
        <w:rPr>
          <w:rFonts w:hint="eastAsia" w:ascii="宋体" w:hAnsi="宋体" w:eastAsia="宋体" w:cs="宋体"/>
          <w:b/>
          <w:color w:val="auto"/>
          <w:highlight w:val="none"/>
          <w:u w:val="none"/>
        </w:rPr>
        <w:t>州</w:t>
      </w:r>
      <w:r>
        <w:rPr>
          <w:rFonts w:hint="eastAsia" w:ascii="宋体" w:hAnsi="宋体" w:eastAsia="宋体" w:cs="宋体"/>
          <w:b/>
          <w:color w:val="auto"/>
          <w:highlight w:val="none"/>
          <w:u w:val="none"/>
          <w:lang w:val="en-US" w:eastAsia="zh-CN"/>
        </w:rPr>
        <w:t>市</w:t>
      </w:r>
      <w:r>
        <w:rPr>
          <w:rFonts w:hint="eastAsia" w:ascii="宋体" w:hAnsi="宋体" w:eastAsia="宋体" w:cs="宋体"/>
          <w:b/>
          <w:color w:val="auto"/>
          <w:highlight w:val="none"/>
          <w:u w:val="none"/>
        </w:rPr>
        <w:t>建设工程</w:t>
      </w:r>
      <w:r>
        <w:rPr>
          <w:rFonts w:hint="eastAsia" w:ascii="宋体" w:hAnsi="宋体" w:eastAsia="宋体" w:cs="宋体"/>
          <w:b/>
          <w:color w:val="auto"/>
          <w:highlight w:val="none"/>
          <w:u w:val="none"/>
          <w:lang w:val="en-US" w:eastAsia="zh-CN"/>
        </w:rPr>
        <w:t>材料市场价格</w:t>
      </w:r>
      <w:r>
        <w:rPr>
          <w:rFonts w:hint="eastAsia" w:ascii="宋体" w:hAnsi="宋体" w:eastAsia="宋体" w:cs="宋体"/>
          <w:b/>
          <w:color w:val="auto"/>
          <w:highlight w:val="none"/>
          <w:u w:val="none"/>
        </w:rPr>
        <w:t>信息》确定：若信息价为区间价的，则按区间价的算术平均值计取；信息价中没有的材料，由业主、监理、施工三方核定后确定，认价材料不参与下浮</w:t>
      </w:r>
      <w:r>
        <w:rPr>
          <w:rFonts w:hint="eastAsia" w:ascii="宋体" w:hAnsi="宋体" w:cs="宋体"/>
          <w:b/>
          <w:color w:val="auto"/>
          <w:highlight w:val="none"/>
          <w:u w:val="none"/>
          <w:lang w:eastAsia="zh-CN"/>
        </w:rPr>
        <w:t>；</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4</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若取消某工程项目，则该项目的价款不予支付</w:t>
      </w:r>
      <w:r>
        <w:rPr>
          <w:rFonts w:hint="eastAsia" w:ascii="宋体" w:hAnsi="宋体" w:cs="宋体"/>
          <w:b/>
          <w:color w:val="auto"/>
          <w:highlight w:val="none"/>
          <w:u w:val="none"/>
          <w:lang w:eastAsia="zh-CN"/>
        </w:rPr>
        <w:t>。</w:t>
      </w:r>
    </w:p>
    <w:p w14:paraId="51FEC2A5">
      <w:pPr>
        <w:snapToGrid w:val="0"/>
        <w:spacing w:line="440" w:lineRule="exact"/>
        <w:ind w:firstLine="420" w:firstLineChars="200"/>
        <w:rPr>
          <w:rFonts w:hint="eastAsia" w:ascii="宋体" w:cs="宋体"/>
          <w:color w:val="auto"/>
          <w:szCs w:val="21"/>
        </w:rPr>
      </w:pPr>
      <w:r>
        <w:rPr>
          <w:rFonts w:hint="eastAsia" w:ascii="宋体" w:cs="宋体"/>
          <w:color w:val="auto"/>
          <w:szCs w:val="21"/>
        </w:rPr>
        <w:t>10.5承包人的合理化建议</w:t>
      </w:r>
    </w:p>
    <w:p w14:paraId="04E7A660">
      <w:pPr>
        <w:snapToGrid w:val="0"/>
        <w:spacing w:line="440" w:lineRule="exact"/>
        <w:ind w:firstLine="420" w:firstLineChars="200"/>
        <w:jc w:val="left"/>
        <w:rPr>
          <w:rFonts w:hint="eastAsia" w:ascii="宋体" w:cs="宋体"/>
          <w:szCs w:val="21"/>
          <w:highlight w:val="none"/>
        </w:rPr>
      </w:pPr>
      <w:r>
        <w:rPr>
          <w:rFonts w:hint="eastAsia" w:ascii="宋体" w:cs="宋体"/>
          <w:szCs w:val="21"/>
        </w:rPr>
        <w:t>监理人审查承包人合理化建议的期限</w:t>
      </w:r>
      <w:r>
        <w:rPr>
          <w:rFonts w:hint="eastAsia" w:ascii="宋体" w:cs="宋体"/>
          <w:szCs w:val="21"/>
          <w:highlight w:val="none"/>
        </w:rPr>
        <w:t>：</w:t>
      </w:r>
      <w:r>
        <w:rPr>
          <w:rFonts w:hint="eastAsia" w:ascii="宋体" w:cs="宋体"/>
          <w:szCs w:val="21"/>
          <w:highlight w:val="none"/>
          <w:u w:val="single"/>
        </w:rPr>
        <w:t xml:space="preserve"> </w:t>
      </w:r>
      <w:r>
        <w:rPr>
          <w:rFonts w:hint="eastAsia" w:ascii="宋体" w:hAnsi="Times New Roman" w:eastAsia="宋体" w:cs="宋体"/>
          <w:szCs w:val="21"/>
          <w:highlight w:val="none"/>
          <w:u w:val="single"/>
        </w:rPr>
        <w:t>监理人</w:t>
      </w:r>
      <w:r>
        <w:rPr>
          <w:rFonts w:hint="eastAsia" w:ascii="宋体" w:cs="宋体"/>
          <w:szCs w:val="21"/>
          <w:highlight w:val="none"/>
          <w:u w:val="single"/>
        </w:rPr>
        <w:t>应在收到承包人提交的合理化建议后7天内审查完毕并报送发包人，发现其中存在技术上的缺陷，应通知承包人修改。</w:t>
      </w:r>
    </w:p>
    <w:p w14:paraId="4C7FF324">
      <w:pPr>
        <w:snapToGrid w:val="0"/>
        <w:spacing w:line="440" w:lineRule="exact"/>
        <w:ind w:firstLine="420" w:firstLineChars="200"/>
        <w:jc w:val="left"/>
        <w:rPr>
          <w:rFonts w:hint="eastAsia" w:ascii="宋体" w:cs="宋体"/>
          <w:szCs w:val="21"/>
        </w:rPr>
      </w:pPr>
      <w:r>
        <w:rPr>
          <w:rFonts w:hint="eastAsia" w:ascii="宋体" w:cs="宋体"/>
          <w:szCs w:val="21"/>
          <w:highlight w:val="none"/>
        </w:rPr>
        <w:t>发包人审批承包人合理化建议的期限：</w:t>
      </w:r>
      <w:r>
        <w:rPr>
          <w:rFonts w:hint="eastAsia" w:ascii="宋体" w:cs="宋体"/>
          <w:szCs w:val="21"/>
          <w:highlight w:val="none"/>
          <w:u w:val="single"/>
        </w:rPr>
        <w:t xml:space="preserve"> 发包人应在收到</w:t>
      </w:r>
      <w:r>
        <w:rPr>
          <w:rFonts w:hint="eastAsia" w:ascii="宋体" w:hAnsi="Times New Roman" w:eastAsia="宋体" w:cs="宋体"/>
          <w:szCs w:val="21"/>
          <w:highlight w:val="none"/>
          <w:u w:val="single"/>
        </w:rPr>
        <w:t>监理人</w:t>
      </w:r>
      <w:r>
        <w:rPr>
          <w:rFonts w:hint="eastAsia" w:ascii="宋体" w:cs="宋体"/>
          <w:szCs w:val="21"/>
          <w:highlight w:val="none"/>
          <w:u w:val="single"/>
        </w:rPr>
        <w:t>报送的合理化建议后7天内审批完毕。合理化建议经发包人批准的，</w:t>
      </w:r>
      <w:r>
        <w:rPr>
          <w:rFonts w:hint="eastAsia" w:ascii="宋体" w:hAnsi="Times New Roman" w:eastAsia="宋体" w:cs="宋体"/>
          <w:szCs w:val="21"/>
          <w:highlight w:val="none"/>
          <w:u w:val="single"/>
        </w:rPr>
        <w:t>监理人</w:t>
      </w:r>
      <w:r>
        <w:rPr>
          <w:rFonts w:hint="eastAsia" w:ascii="宋体" w:cs="宋体"/>
          <w:szCs w:val="21"/>
          <w:highlight w:val="none"/>
          <w:u w:val="single"/>
        </w:rPr>
        <w:t>应及时发出变更指示，由此引起的合同价格调整按照第10.4款〔变更估价〕约定执行。发包人不同意变更的，</w:t>
      </w:r>
      <w:r>
        <w:rPr>
          <w:rFonts w:hint="eastAsia" w:ascii="宋体" w:hAnsi="Times New Roman" w:eastAsia="宋体" w:cs="宋体"/>
          <w:szCs w:val="21"/>
          <w:highlight w:val="none"/>
          <w:u w:val="single"/>
        </w:rPr>
        <w:t>监理人</w:t>
      </w:r>
      <w:r>
        <w:rPr>
          <w:rFonts w:hint="eastAsia" w:ascii="宋体" w:cs="宋体"/>
          <w:szCs w:val="21"/>
          <w:highlight w:val="none"/>
          <w:u w:val="single"/>
        </w:rPr>
        <w:t>应书面通知承包人。</w:t>
      </w:r>
    </w:p>
    <w:p w14:paraId="4F4C2DC1">
      <w:pPr>
        <w:snapToGrid w:val="0"/>
        <w:spacing w:line="440" w:lineRule="exact"/>
        <w:ind w:firstLine="420" w:firstLineChars="200"/>
        <w:jc w:val="left"/>
        <w:rPr>
          <w:rFonts w:hint="eastAsia" w:ascii="宋体" w:cs="宋体"/>
          <w:szCs w:val="21"/>
          <w:u w:val="single"/>
        </w:rPr>
      </w:pPr>
      <w:r>
        <w:rPr>
          <w:rFonts w:hint="eastAsia" w:ascii="宋体" w:cs="宋体"/>
          <w:szCs w:val="21"/>
        </w:rPr>
        <w:t>承包人提出的合理化建议降低了合同价格或者提高了工程经济效益的奖励的方法和金额为：</w:t>
      </w:r>
      <w:r>
        <w:rPr>
          <w:rFonts w:ascii="宋体" w:hAnsi="宋体" w:eastAsia="宋体" w:cs="宋体"/>
          <w:spacing w:val="-1"/>
          <w:sz w:val="21"/>
          <w:szCs w:val="21"/>
          <w:u w:val="single" w:color="auto"/>
        </w:rPr>
        <w:t>此条不执行</w:t>
      </w:r>
      <w:r>
        <w:rPr>
          <w:rFonts w:hint="eastAsia"/>
        </w:rPr>
        <w:t>。</w:t>
      </w:r>
    </w:p>
    <w:p w14:paraId="4D20189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s="宋体"/>
          <w:szCs w:val="21"/>
          <w:highlight w:val="none"/>
        </w:rPr>
      </w:pPr>
      <w:r>
        <w:rPr>
          <w:rFonts w:hint="eastAsia" w:ascii="宋体" w:cs="宋体"/>
          <w:szCs w:val="21"/>
        </w:rPr>
        <w:t>10.8 暂列金额</w:t>
      </w:r>
    </w:p>
    <w:p w14:paraId="41EF1A4D">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highlight w:val="none"/>
          <w:u w:val="single"/>
        </w:rPr>
      </w:pPr>
      <w:r>
        <w:rPr>
          <w:rFonts w:hint="eastAsia" w:ascii="宋体" w:hAnsi="宋体" w:cs="宋体"/>
          <w:color w:val="000000"/>
          <w:kern w:val="0"/>
          <w:highlight w:val="none"/>
          <w:lang w:eastAsia="zh-CN"/>
        </w:rPr>
        <w:t>　　</w:t>
      </w:r>
      <w:r>
        <w:rPr>
          <w:rFonts w:hint="eastAsia" w:ascii="宋体" w:hAnsi="宋体" w:cs="宋体"/>
          <w:color w:val="000000"/>
          <w:kern w:val="0"/>
          <w:highlight w:val="none"/>
        </w:rPr>
        <w:t>合同当事人关于暂列金额使用的约定：</w:t>
      </w:r>
      <w:r>
        <w:rPr>
          <w:rFonts w:hint="eastAsia" w:ascii="宋体" w:hAnsi="宋体" w:eastAsia="宋体" w:cs="宋体"/>
          <w:color w:val="000000"/>
          <w:kern w:val="0"/>
          <w:sz w:val="22"/>
          <w:szCs w:val="22"/>
          <w:highlight w:val="none"/>
          <w:u w:val="single"/>
          <w:lang w:val="en-US" w:eastAsia="zh-CN" w:bidi="ar"/>
        </w:rPr>
        <w:t>合同中标明的暂列金额一般不予动用，其使用由发包人核准批复。</w:t>
      </w:r>
    </w:p>
    <w:p w14:paraId="510AEE20">
      <w:pPr>
        <w:pStyle w:val="9"/>
        <w:pageBreakBefore w:val="0"/>
        <w:kinsoku/>
        <w:wordWrap/>
        <w:overflowPunct/>
        <w:topLinePunct w:val="0"/>
        <w:autoSpaceDE/>
        <w:autoSpaceDN/>
        <w:bidi w:val="0"/>
        <w:adjustRightInd/>
        <w:snapToGrid w:val="0"/>
        <w:spacing w:before="0" w:after="0" w:line="440" w:lineRule="exact"/>
        <w:ind w:firstLine="420" w:firstLineChars="200"/>
        <w:textAlignment w:val="auto"/>
        <w:rPr>
          <w:rFonts w:hint="eastAsia" w:ascii="宋体" w:eastAsia="宋体" w:cs="宋体"/>
          <w:b w:val="0"/>
          <w:sz w:val="21"/>
          <w:szCs w:val="21"/>
          <w:highlight w:val="none"/>
        </w:rPr>
      </w:pPr>
      <w:r>
        <w:rPr>
          <w:rFonts w:hint="eastAsia" w:ascii="宋体" w:eastAsia="宋体" w:cs="宋体"/>
          <w:b w:val="0"/>
          <w:sz w:val="21"/>
          <w:szCs w:val="21"/>
          <w:highlight w:val="none"/>
        </w:rPr>
        <w:t>11. 价格调整</w:t>
      </w:r>
    </w:p>
    <w:p w14:paraId="47D887AB">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highlight w:val="none"/>
        </w:rPr>
      </w:pPr>
      <w:r>
        <w:rPr>
          <w:rFonts w:hint="eastAsia" w:ascii="宋体" w:cs="宋体"/>
          <w:szCs w:val="21"/>
          <w:highlight w:val="none"/>
        </w:rPr>
        <w:t>11.1 市场价格波动引起的调整</w:t>
      </w:r>
    </w:p>
    <w:p w14:paraId="0EA5983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kern w:val="0"/>
          <w:highlight w:val="none"/>
        </w:rPr>
        <w:t>市场价格波动是否调整合同价格的约定：</w:t>
      </w:r>
      <w:r>
        <w:rPr>
          <w:rFonts w:hint="eastAsia" w:ascii="宋体" w:hAnsi="宋体" w:cs="宋体"/>
          <w:b/>
          <w:color w:val="000000"/>
          <w:highlight w:val="none"/>
          <w:u w:val="single"/>
        </w:rPr>
        <w:t xml:space="preserve"> </w:t>
      </w:r>
      <w:r>
        <w:rPr>
          <w:rFonts w:hint="eastAsia" w:ascii="宋体" w:hAnsi="宋体" w:eastAsia="宋体" w:cs="宋体"/>
          <w:color w:val="auto"/>
          <w:szCs w:val="21"/>
          <w:highlight w:val="none"/>
          <w:u w:val="single"/>
          <w:lang w:val="en-US" w:eastAsia="zh-CN"/>
        </w:rPr>
        <w:t>不调整</w:t>
      </w:r>
      <w:r>
        <w:rPr>
          <w:rFonts w:hint="eastAsia" w:ascii="宋体" w:hAnsi="宋体" w:cs="宋体"/>
          <w:b/>
          <w:color w:val="000000"/>
          <w:highlight w:val="none"/>
          <w:u w:val="single"/>
        </w:rPr>
        <w:t xml:space="preserve"> </w:t>
      </w:r>
      <w:r>
        <w:rPr>
          <w:rFonts w:hint="eastAsia" w:ascii="宋体" w:hAnsi="宋体" w:cs="宋体"/>
          <w:color w:val="000000"/>
          <w:highlight w:val="none"/>
        </w:rPr>
        <w:t>。</w:t>
      </w:r>
    </w:p>
    <w:p w14:paraId="46DA032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因市场价格波动调整合同价格，采用以下第</w:t>
      </w:r>
      <w:r>
        <w:rPr>
          <w:rFonts w:hint="eastAsia" w:ascii="宋体" w:hAnsi="宋体" w:cs="宋体"/>
          <w:color w:val="000000"/>
          <w:u w:val="single"/>
        </w:rPr>
        <w:t xml:space="preserve"> </w:t>
      </w:r>
      <w:r>
        <w:rPr>
          <w:rFonts w:hint="eastAsia" w:ascii="宋体" w:hAnsi="宋体" w:cs="宋体"/>
          <w:color w:val="000000"/>
          <w:u w:val="single"/>
          <w:lang w:val="en-US" w:eastAsia="zh-CN"/>
        </w:rPr>
        <w:t>/</w:t>
      </w:r>
      <w:r>
        <w:rPr>
          <w:rFonts w:hint="eastAsia" w:ascii="宋体" w:hAnsi="宋体" w:cs="宋体"/>
          <w:color w:val="000000"/>
          <w:u w:val="single"/>
        </w:rPr>
        <w:t xml:space="preserve">   </w:t>
      </w:r>
      <w:r>
        <w:rPr>
          <w:rFonts w:hint="eastAsia" w:ascii="宋体" w:hAnsi="宋体" w:cs="宋体"/>
          <w:color w:val="000000"/>
        </w:rPr>
        <w:t>种方式对合同价格进行调整：</w:t>
      </w:r>
    </w:p>
    <w:p w14:paraId="16EAEE2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第1种方式：采用价格指数进行价格调整。</w:t>
      </w:r>
    </w:p>
    <w:p w14:paraId="120DC03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u w:val="single"/>
        </w:rPr>
      </w:pPr>
      <w:r>
        <w:rPr>
          <w:rFonts w:hint="eastAsia" w:ascii="宋体" w:hAnsi="宋体" w:cs="宋体"/>
          <w:color w:val="000000"/>
        </w:rPr>
        <w:t>关于各可调因子、定值和变值权重，以及基本价格指数及其来源的约定：</w:t>
      </w:r>
      <w:r>
        <w:rPr>
          <w:rFonts w:hint="eastAsia" w:ascii="宋体" w:hAnsi="宋体" w:cs="宋体"/>
          <w:color w:val="000000"/>
          <w:u w:val="single"/>
        </w:rPr>
        <w:t xml:space="preserve">  </w:t>
      </w:r>
      <w:r>
        <w:rPr>
          <w:rFonts w:hint="eastAsia" w:ascii="宋体" w:hAnsi="宋体" w:cs="宋体"/>
          <w:color w:val="000000"/>
          <w:u w:val="single"/>
          <w:lang w:val="en-US" w:eastAsia="zh-CN"/>
        </w:rPr>
        <w:t>/</w:t>
      </w:r>
      <w:r>
        <w:rPr>
          <w:rFonts w:hint="eastAsia" w:ascii="宋体" w:hAnsi="宋体" w:cs="宋体"/>
          <w:color w:val="000000"/>
          <w:u w:val="single"/>
        </w:rPr>
        <w:t xml:space="preserve">   </w:t>
      </w:r>
      <w:r>
        <w:rPr>
          <w:rFonts w:hint="eastAsia" w:ascii="宋体" w:hAnsi="宋体" w:cs="宋体"/>
          <w:color w:val="000000"/>
        </w:rPr>
        <w:t xml:space="preserve">； </w:t>
      </w:r>
    </w:p>
    <w:p w14:paraId="60D3AF7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第2种方式：采用造价信息进行价格调整。</w:t>
      </w:r>
    </w:p>
    <w:p w14:paraId="3E132DD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（1）价格的调整：</w:t>
      </w:r>
    </w:p>
    <w:p w14:paraId="6CAF00A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①可调整价格的主要材料范围的约定:</w:t>
      </w:r>
      <w:r>
        <w:rPr>
          <w:rFonts w:hint="eastAsia" w:ascii="宋体" w:hAnsi="宋体" w:cs="宋体"/>
          <w:color w:val="000000"/>
          <w:u w:val="single"/>
        </w:rPr>
        <w:t xml:space="preserve">        </w:t>
      </w:r>
      <w:r>
        <w:rPr>
          <w:rFonts w:hint="eastAsia" w:ascii="宋体" w:hAnsi="宋体" w:cs="宋体"/>
          <w:color w:val="000000"/>
        </w:rPr>
        <w:t>；</w:t>
      </w:r>
    </w:p>
    <w:p w14:paraId="723B5D1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②主要材料价差调整周期的约定:</w:t>
      </w:r>
      <w:r>
        <w:rPr>
          <w:rFonts w:hint="eastAsia" w:ascii="宋体" w:hAnsi="宋体" w:cs="宋体"/>
          <w:color w:val="000000"/>
          <w:u w:val="single"/>
        </w:rPr>
        <w:t xml:space="preserve">            </w:t>
      </w:r>
      <w:r>
        <w:rPr>
          <w:rFonts w:hint="eastAsia" w:ascii="宋体" w:hAnsi="宋体" w:cs="宋体"/>
          <w:color w:val="000000"/>
        </w:rPr>
        <w:t>；</w:t>
      </w:r>
    </w:p>
    <w:p w14:paraId="1B9B210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 w:val="24"/>
          <w:szCs w:val="32"/>
        </w:rPr>
      </w:pPr>
      <w:r>
        <w:rPr>
          <w:rFonts w:hint="eastAsia" w:ascii="宋体" w:hAnsi="宋体" w:cs="宋体"/>
          <w:color w:val="000000"/>
        </w:rPr>
        <w:t>③主要材料价差调整计算方法的约定:</w:t>
      </w:r>
      <w:r>
        <w:rPr>
          <w:rFonts w:hint="eastAsia" w:ascii="宋体" w:hAnsi="宋体" w:cs="宋体"/>
          <w:color w:val="000000"/>
          <w:u w:val="single"/>
        </w:rPr>
        <w:t xml:space="preserve">        </w:t>
      </w:r>
      <w:r>
        <w:rPr>
          <w:rFonts w:hint="eastAsia" w:ascii="宋体" w:hAnsi="宋体" w:cs="宋体"/>
          <w:color w:val="000000"/>
        </w:rPr>
        <w:t>；</w:t>
      </w:r>
    </w:p>
    <w:p w14:paraId="6E1C4C2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④主要材料价差调整时间的约定:</w:t>
      </w:r>
      <w:r>
        <w:rPr>
          <w:rFonts w:hint="eastAsia" w:ascii="宋体" w:hAnsi="宋体" w:cs="宋体"/>
          <w:color w:val="000000"/>
          <w:u w:val="single"/>
        </w:rPr>
        <w:t xml:space="preserve">            </w:t>
      </w:r>
      <w:r>
        <w:rPr>
          <w:rFonts w:hint="eastAsia" w:ascii="宋体" w:hAnsi="宋体" w:cs="宋体"/>
          <w:color w:val="000000"/>
        </w:rPr>
        <w:t>。</w:t>
      </w:r>
    </w:p>
    <w:p w14:paraId="64DDB16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（2）关于基准价格的约定：</w:t>
      </w:r>
      <w:r>
        <w:rPr>
          <w:rFonts w:hint="eastAsia" w:ascii="宋体" w:hAnsi="宋体" w:cs="宋体"/>
          <w:color w:val="000000"/>
          <w:u w:val="single"/>
        </w:rPr>
        <w:t xml:space="preserve">         </w:t>
      </w:r>
      <w:r>
        <w:rPr>
          <w:rFonts w:hint="eastAsia" w:ascii="宋体" w:hAnsi="宋体" w:cs="宋体"/>
          <w:color w:val="000000"/>
          <w:u w:val="single"/>
          <w:lang w:val="en-US" w:eastAsia="zh-CN"/>
        </w:rPr>
        <w:t>/</w:t>
      </w:r>
      <w:r>
        <w:rPr>
          <w:rFonts w:hint="eastAsia" w:ascii="宋体" w:hAnsi="宋体" w:cs="宋体"/>
          <w:color w:val="000000"/>
          <w:u w:val="single"/>
        </w:rPr>
        <w:t xml:space="preserve">           </w:t>
      </w:r>
      <w:r>
        <w:rPr>
          <w:rFonts w:hint="eastAsia" w:ascii="宋体" w:hAnsi="宋体" w:cs="宋体"/>
          <w:color w:val="000000"/>
        </w:rPr>
        <w:t>。</w:t>
      </w:r>
    </w:p>
    <w:p w14:paraId="1F2C269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rPr>
        <w:t>①承包人在已标价工程量清单或预算书中载明的材料单价低于基准价格的：专用合同条款合同履行期间材料单价涨幅以基准价格为基础超过</w:t>
      </w:r>
      <w:r>
        <w:rPr>
          <w:rFonts w:hint="eastAsia" w:ascii="宋体" w:hAnsi="宋体" w:cs="宋体"/>
          <w:color w:val="000000"/>
          <w:u w:val="single"/>
          <w:lang w:val="en-US" w:eastAsia="zh-CN"/>
        </w:rPr>
        <w:t>/</w:t>
      </w:r>
      <w:r>
        <w:rPr>
          <w:rFonts w:hint="eastAsia" w:ascii="宋体" w:hAnsi="宋体" w:eastAsia="宋体" w:cs="宋体"/>
          <w:color w:val="000000"/>
        </w:rPr>
        <w:t>时，或材料单价跌幅以已标价工程量清单或预算书中载明材料单价为基础超过</w:t>
      </w:r>
      <w:r>
        <w:rPr>
          <w:rFonts w:hint="eastAsia" w:ascii="宋体" w:hAnsi="宋体" w:cs="宋体"/>
          <w:color w:val="000000"/>
          <w:u w:val="single"/>
          <w:lang w:val="en-US" w:eastAsia="zh-CN"/>
        </w:rPr>
        <w:t>/</w:t>
      </w:r>
      <w:r>
        <w:rPr>
          <w:rFonts w:hint="eastAsia" w:ascii="宋体" w:hAnsi="宋体" w:eastAsia="宋体" w:cs="宋体"/>
          <w:color w:val="000000"/>
        </w:rPr>
        <w:t>时，其超过部分据实调整。</w:t>
      </w:r>
    </w:p>
    <w:p w14:paraId="2D6B540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②承包人在已标价工程量清单或预算书中载明的材料单价高于基准价格的：专用合同条款合同履行期间材料单价跌幅以基准价格为基础超过</w:t>
      </w:r>
      <w:r>
        <w:rPr>
          <w:rFonts w:hint="eastAsia" w:ascii="宋体" w:hAnsi="宋体" w:cs="宋体"/>
          <w:color w:val="000000"/>
          <w:u w:val="single"/>
        </w:rPr>
        <w:t xml:space="preserve"> </w:t>
      </w:r>
      <w:r>
        <w:rPr>
          <w:rFonts w:hint="eastAsia" w:ascii="宋体" w:hAnsi="宋体" w:cs="宋体"/>
          <w:color w:val="000000"/>
          <w:u w:val="single"/>
          <w:lang w:val="en-US" w:eastAsia="zh-CN"/>
        </w:rPr>
        <w:t>/</w:t>
      </w:r>
      <w:r>
        <w:rPr>
          <w:rFonts w:hint="eastAsia" w:ascii="宋体" w:hAnsi="宋体" w:cs="宋体"/>
          <w:color w:val="000000"/>
        </w:rPr>
        <w:t>时，材料单价涨幅以已标价工程量清单或预算书中载明材料单价为基础超过</w:t>
      </w:r>
      <w:r>
        <w:rPr>
          <w:rFonts w:hint="eastAsia" w:ascii="宋体" w:hAnsi="宋体" w:cs="宋体"/>
          <w:color w:val="000000"/>
          <w:u w:val="single"/>
          <w:lang w:val="en-US" w:eastAsia="zh-CN"/>
        </w:rPr>
        <w:t>/</w:t>
      </w:r>
      <w:r>
        <w:rPr>
          <w:rFonts w:hint="eastAsia" w:ascii="宋体" w:hAnsi="宋体" w:cs="宋体"/>
          <w:color w:val="000000"/>
        </w:rPr>
        <w:t>时，其超过部分据实调整。</w:t>
      </w:r>
    </w:p>
    <w:p w14:paraId="652D941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③承包人在已标价工程量清单或预算书中载明的材料单价等于基准单价的：专用合同条款合同履行期间材料单价涨跌幅以基准单价为基础超过±</w:t>
      </w:r>
      <w:r>
        <w:rPr>
          <w:rFonts w:hint="eastAsia" w:ascii="宋体" w:hAnsi="宋体" w:cs="宋体"/>
          <w:color w:val="000000"/>
          <w:u w:val="single"/>
          <w:lang w:val="en-US" w:eastAsia="zh-CN"/>
        </w:rPr>
        <w:t>/</w:t>
      </w:r>
      <w:r>
        <w:rPr>
          <w:rFonts w:hint="eastAsia" w:ascii="宋体" w:hAnsi="宋体" w:cs="宋体"/>
          <w:color w:val="000000"/>
        </w:rPr>
        <w:t>时，其超过部分据实调整。</w:t>
      </w:r>
    </w:p>
    <w:p w14:paraId="682FE3EB">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u w:val="single"/>
        </w:rPr>
      </w:pPr>
      <w:r>
        <w:rPr>
          <w:rFonts w:hint="eastAsia" w:ascii="宋体" w:hAnsi="宋体" w:cs="宋体"/>
          <w:color w:val="000000"/>
        </w:rPr>
        <w:t>第3种方式：其他价格调整方式：</w:t>
      </w:r>
      <w:r>
        <w:rPr>
          <w:rFonts w:hint="eastAsia" w:ascii="宋体" w:hAnsi="宋体" w:cs="宋体"/>
          <w:color w:val="000000"/>
          <w:u w:val="single"/>
        </w:rPr>
        <w:t xml:space="preserve">   </w:t>
      </w:r>
      <w:r>
        <w:rPr>
          <w:rFonts w:hint="eastAsia" w:ascii="宋体" w:hAnsi="宋体" w:cs="宋体"/>
          <w:color w:val="000000"/>
          <w:u w:val="single"/>
          <w:lang w:val="en-US" w:eastAsia="zh-CN"/>
        </w:rPr>
        <w:t>无</w:t>
      </w:r>
      <w:r>
        <w:rPr>
          <w:rFonts w:hint="eastAsia" w:ascii="宋体" w:hAnsi="宋体" w:cs="宋体"/>
          <w:color w:val="000000"/>
          <w:u w:val="single"/>
        </w:rPr>
        <w:t xml:space="preserve">     </w:t>
      </w:r>
      <w:r>
        <w:rPr>
          <w:rFonts w:hint="eastAsia" w:ascii="宋体" w:hAnsi="宋体" w:cs="宋体"/>
          <w:color w:val="000000"/>
        </w:rPr>
        <w:t>。</w:t>
      </w:r>
    </w:p>
    <w:p w14:paraId="23DE31B2">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12. 合同价格、计量与支付</w:t>
      </w:r>
    </w:p>
    <w:p w14:paraId="78AAEEA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12.1 合同价格形式</w:t>
      </w:r>
    </w:p>
    <w:p w14:paraId="0EDC461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val="en-US" w:eastAsia="zh-CN"/>
        </w:rPr>
        <w:t>固定</w:t>
      </w:r>
      <w:r>
        <w:rPr>
          <w:rFonts w:hint="eastAsia" w:ascii="宋体" w:cs="宋体"/>
          <w:color w:val="auto"/>
          <w:szCs w:val="21"/>
          <w:highlight w:val="none"/>
        </w:rPr>
        <w:t>单价合同</w:t>
      </w:r>
      <w:r>
        <w:rPr>
          <w:rFonts w:hint="eastAsia" w:ascii="宋体" w:cs="宋体"/>
          <w:color w:val="auto"/>
          <w:szCs w:val="21"/>
          <w:highlight w:val="none"/>
          <w:lang w:eastAsia="zh-CN"/>
        </w:rPr>
        <w:t>，单价采用全费用综合单价</w:t>
      </w:r>
      <w:r>
        <w:rPr>
          <w:rFonts w:hint="eastAsia" w:ascii="宋体" w:cs="宋体"/>
          <w:color w:val="auto"/>
          <w:szCs w:val="21"/>
          <w:highlight w:val="none"/>
        </w:rPr>
        <w:t>。</w:t>
      </w:r>
    </w:p>
    <w:p w14:paraId="34278DE4">
      <w:pPr>
        <w:snapToGrid w:val="0"/>
        <w:spacing w:line="440" w:lineRule="exact"/>
        <w:ind w:firstLine="420" w:firstLineChars="200"/>
        <w:jc w:val="left"/>
        <w:rPr>
          <w:rFonts w:hint="eastAsia" w:ascii="宋体" w:cs="宋体"/>
          <w:b/>
          <w:szCs w:val="21"/>
          <w:highlight w:val="none"/>
          <w:u w:val="single"/>
        </w:rPr>
      </w:pPr>
      <w:r>
        <w:rPr>
          <w:rFonts w:hint="eastAsia" w:ascii="宋体" w:cs="宋体"/>
          <w:color w:val="auto"/>
          <w:szCs w:val="21"/>
          <w:highlight w:val="none"/>
          <w:lang w:val="en-US" w:eastAsia="zh-CN"/>
        </w:rPr>
        <w:t>全费用综合</w:t>
      </w:r>
      <w:r>
        <w:rPr>
          <w:rFonts w:hint="eastAsia" w:ascii="宋体" w:cs="宋体"/>
          <w:color w:val="auto"/>
          <w:szCs w:val="21"/>
          <w:highlight w:val="none"/>
        </w:rPr>
        <w:t>单价包含的风险范围：</w:t>
      </w:r>
      <w:r>
        <w:rPr>
          <w:rFonts w:hint="eastAsia" w:ascii="宋体" w:hAnsi="宋体" w:eastAsia="宋体" w:cs="宋体"/>
          <w:b/>
          <w:bCs/>
          <w:color w:val="auto"/>
          <w:szCs w:val="21"/>
          <w:highlight w:val="none"/>
          <w:u w:val="single"/>
        </w:rPr>
        <w:t>各种因素引起的材料价格（合同允许调差的材料除外）、机械使用费、管理费、利润</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规费、税金</w:t>
      </w:r>
      <w:r>
        <w:rPr>
          <w:rFonts w:hint="eastAsia" w:ascii="宋体" w:hAnsi="宋体" w:eastAsia="宋体" w:cs="宋体"/>
          <w:b/>
          <w:bCs/>
          <w:color w:val="auto"/>
          <w:szCs w:val="21"/>
          <w:highlight w:val="none"/>
          <w:u w:val="single"/>
        </w:rPr>
        <w:t>等</w:t>
      </w:r>
      <w:r>
        <w:rPr>
          <w:rFonts w:hint="eastAsia" w:ascii="宋体" w:cs="宋体"/>
          <w:b/>
          <w:szCs w:val="21"/>
          <w:highlight w:val="none"/>
          <w:u w:val="single"/>
        </w:rPr>
        <w:t>。</w:t>
      </w:r>
    </w:p>
    <w:p w14:paraId="7781F16A">
      <w:pPr>
        <w:snapToGrid w:val="0"/>
        <w:spacing w:line="440" w:lineRule="exact"/>
        <w:ind w:firstLine="420" w:firstLineChars="200"/>
        <w:jc w:val="left"/>
        <w:rPr>
          <w:rFonts w:hint="eastAsia" w:ascii="宋体" w:eastAsia="宋体" w:cs="宋体"/>
          <w:color w:val="auto"/>
          <w:szCs w:val="21"/>
          <w:u w:val="none"/>
          <w:lang w:eastAsia="zh-CN"/>
        </w:rPr>
      </w:pPr>
      <w:r>
        <w:rPr>
          <w:rFonts w:hint="eastAsia" w:ascii="宋体" w:cs="宋体"/>
          <w:color w:val="auto"/>
          <w:szCs w:val="21"/>
        </w:rPr>
        <w:t>风险费用的计算方法：</w:t>
      </w:r>
      <w:r>
        <w:rPr>
          <w:rFonts w:hint="eastAsia" w:ascii="宋体" w:cs="宋体"/>
          <w:color w:val="auto"/>
          <w:szCs w:val="21"/>
          <w:u w:val="single"/>
        </w:rPr>
        <w:t>不考虑</w:t>
      </w:r>
      <w:r>
        <w:rPr>
          <w:rFonts w:hint="eastAsia" w:ascii="宋体" w:cs="宋体"/>
          <w:color w:val="auto"/>
          <w:szCs w:val="21"/>
          <w:u w:val="none"/>
          <w:lang w:eastAsia="zh-CN"/>
        </w:rPr>
        <w:t>。</w:t>
      </w:r>
    </w:p>
    <w:p w14:paraId="04548219">
      <w:pPr>
        <w:snapToGrid w:val="0"/>
        <w:spacing w:line="440" w:lineRule="exact"/>
        <w:ind w:firstLine="420" w:firstLineChars="200"/>
        <w:jc w:val="left"/>
        <w:rPr>
          <w:rFonts w:hint="eastAsia" w:ascii="宋体" w:hAnsi="宋体" w:cs="宋体"/>
          <w:bCs/>
          <w:color w:val="auto"/>
          <w:szCs w:val="21"/>
          <w:highlight w:val="none"/>
          <w:u w:val="single"/>
        </w:rPr>
      </w:pPr>
      <w:r>
        <w:rPr>
          <w:rFonts w:hint="eastAsia"/>
          <w:color w:val="auto"/>
          <w:highlight w:val="none"/>
        </w:rPr>
        <w:t>风险范围以外合同价格的调整方法：</w:t>
      </w:r>
      <w:r>
        <w:rPr>
          <w:rFonts w:hint="eastAsia" w:ascii="宋体" w:hAnsi="宋体" w:eastAsia="宋体" w:cs="宋体"/>
          <w:b w:val="0"/>
          <w:bCs/>
          <w:color w:val="auto"/>
          <w:sz w:val="21"/>
          <w:szCs w:val="21"/>
          <w:highlight w:val="none"/>
          <w:u w:val="single"/>
          <w:shd w:val="clear" w:color="auto" w:fill="auto"/>
        </w:rPr>
        <w:t>结算总价为</w:t>
      </w:r>
      <w:r>
        <w:rPr>
          <w:rFonts w:hint="eastAsia" w:ascii="宋体" w:hAnsi="宋体" w:cs="宋体"/>
          <w:b w:val="0"/>
          <w:bCs/>
          <w:color w:val="auto"/>
          <w:sz w:val="21"/>
          <w:szCs w:val="21"/>
          <w:highlight w:val="none"/>
          <w:u w:val="single"/>
          <w:shd w:val="clear" w:color="auto" w:fill="auto"/>
          <w:lang w:eastAsia="zh-CN"/>
        </w:rPr>
        <w:t>相应的全费用综合单价</w:t>
      </w:r>
      <w:r>
        <w:rPr>
          <w:rFonts w:hint="eastAsia" w:ascii="宋体" w:hAnsi="宋体" w:eastAsia="宋体" w:cs="宋体"/>
          <w:b w:val="0"/>
          <w:bCs/>
          <w:color w:val="auto"/>
          <w:sz w:val="21"/>
          <w:szCs w:val="21"/>
          <w:highlight w:val="none"/>
          <w:u w:val="single"/>
          <w:shd w:val="clear" w:color="auto" w:fill="auto"/>
        </w:rPr>
        <w:t>乘以相应已完</w:t>
      </w:r>
      <w:r>
        <w:rPr>
          <w:rFonts w:hint="eastAsia" w:ascii="宋体" w:hAnsi="宋体" w:cs="宋体"/>
          <w:b w:val="0"/>
          <w:bCs/>
          <w:color w:val="auto"/>
          <w:sz w:val="21"/>
          <w:szCs w:val="21"/>
          <w:highlight w:val="none"/>
          <w:u w:val="single"/>
          <w:shd w:val="clear" w:color="auto" w:fill="auto"/>
          <w:lang w:eastAsia="zh-CN"/>
        </w:rPr>
        <w:t>成并经验收</w:t>
      </w:r>
      <w:r>
        <w:rPr>
          <w:rFonts w:hint="eastAsia" w:ascii="宋体" w:hAnsi="宋体" w:eastAsia="宋体" w:cs="宋体"/>
          <w:b w:val="0"/>
          <w:bCs/>
          <w:color w:val="auto"/>
          <w:sz w:val="21"/>
          <w:szCs w:val="21"/>
          <w:highlight w:val="none"/>
          <w:u w:val="single"/>
          <w:shd w:val="clear" w:color="auto" w:fill="auto"/>
        </w:rPr>
        <w:t>合格</w:t>
      </w:r>
      <w:r>
        <w:rPr>
          <w:rFonts w:hint="eastAsia" w:ascii="宋体" w:hAnsi="宋体" w:cs="宋体"/>
          <w:b w:val="0"/>
          <w:bCs/>
          <w:color w:val="auto"/>
          <w:sz w:val="21"/>
          <w:szCs w:val="21"/>
          <w:highlight w:val="none"/>
          <w:u w:val="single"/>
          <w:shd w:val="clear" w:color="auto" w:fill="auto"/>
          <w:lang w:eastAsia="zh-CN"/>
        </w:rPr>
        <w:t>的</w:t>
      </w:r>
      <w:r>
        <w:rPr>
          <w:rFonts w:hint="eastAsia" w:ascii="宋体" w:hAnsi="宋体" w:eastAsia="宋体" w:cs="宋体"/>
          <w:b w:val="0"/>
          <w:bCs/>
          <w:color w:val="auto"/>
          <w:sz w:val="21"/>
          <w:szCs w:val="21"/>
          <w:highlight w:val="none"/>
          <w:u w:val="single"/>
          <w:shd w:val="clear" w:color="auto" w:fill="auto"/>
        </w:rPr>
        <w:t>工程量累加之和</w:t>
      </w:r>
      <w:r>
        <w:rPr>
          <w:rFonts w:hint="eastAsia" w:ascii="宋体" w:hAnsi="宋体" w:cs="宋体"/>
          <w:b w:val="0"/>
          <w:bCs/>
          <w:color w:val="auto"/>
          <w:sz w:val="21"/>
          <w:szCs w:val="21"/>
          <w:highlight w:val="none"/>
          <w:u w:val="single"/>
          <w:shd w:val="clear" w:color="auto" w:fill="auto"/>
          <w:lang w:eastAsia="zh-CN"/>
        </w:rPr>
        <w:t>再加上经发包人核准批复的暂列金使用金额</w:t>
      </w:r>
      <w:r>
        <w:rPr>
          <w:rFonts w:hint="eastAsia" w:ascii="宋体" w:hAnsi="宋体" w:cs="宋体"/>
          <w:bCs/>
          <w:color w:val="auto"/>
          <w:szCs w:val="21"/>
          <w:highlight w:val="none"/>
          <w:u w:val="single"/>
        </w:rPr>
        <w:t xml:space="preserve">。 </w:t>
      </w:r>
    </w:p>
    <w:p w14:paraId="0D98921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12.2 预付款</w:t>
      </w:r>
    </w:p>
    <w:p w14:paraId="19F1B615">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12.2.1 预付款的支付</w:t>
      </w:r>
    </w:p>
    <w:p w14:paraId="6DD4723E">
      <w:pPr>
        <w:snapToGrid w:val="0"/>
        <w:spacing w:line="440" w:lineRule="exact"/>
        <w:ind w:firstLine="420" w:firstLineChars="200"/>
        <w:jc w:val="left"/>
        <w:rPr>
          <w:rFonts w:hint="eastAsia" w:ascii="宋体" w:cs="宋体"/>
          <w:b w:val="0"/>
          <w:bCs w:val="0"/>
          <w:szCs w:val="21"/>
          <w:highlight w:val="none"/>
        </w:rPr>
      </w:pPr>
      <w:r>
        <w:rPr>
          <w:rFonts w:hint="eastAsia" w:ascii="宋体" w:cs="宋体"/>
          <w:b w:val="0"/>
          <w:bCs w:val="0"/>
          <w:szCs w:val="21"/>
          <w:highlight w:val="none"/>
        </w:rPr>
        <w:t>预付款支付比例或金额：</w:t>
      </w:r>
      <w:r>
        <w:rPr>
          <w:rFonts w:hint="eastAsia" w:ascii="宋体" w:cs="宋体"/>
          <w:b w:val="0"/>
          <w:bCs w:val="0"/>
          <w:szCs w:val="21"/>
          <w:highlight w:val="none"/>
          <w:u w:val="single"/>
          <w:lang w:val="en-US" w:eastAsia="zh-CN"/>
        </w:rPr>
        <w:t>详见投标人须知</w:t>
      </w:r>
      <w:r>
        <w:rPr>
          <w:rFonts w:hint="eastAsia" w:ascii="宋体" w:cs="宋体"/>
          <w:b w:val="0"/>
          <w:bCs w:val="0"/>
          <w:szCs w:val="21"/>
          <w:highlight w:val="none"/>
        </w:rPr>
        <w:t>。</w:t>
      </w:r>
    </w:p>
    <w:p w14:paraId="1F98206A">
      <w:pPr>
        <w:snapToGrid w:val="0"/>
        <w:spacing w:line="440" w:lineRule="exact"/>
        <w:ind w:firstLine="420" w:firstLineChars="200"/>
        <w:jc w:val="left"/>
        <w:rPr>
          <w:rFonts w:hint="eastAsia" w:ascii="宋体" w:cs="宋体"/>
          <w:b w:val="0"/>
          <w:bCs w:val="0"/>
          <w:szCs w:val="21"/>
          <w:highlight w:val="none"/>
        </w:rPr>
      </w:pPr>
      <w:r>
        <w:rPr>
          <w:rFonts w:hint="eastAsia" w:ascii="宋体" w:cs="宋体"/>
          <w:b w:val="0"/>
          <w:bCs w:val="0"/>
          <w:szCs w:val="21"/>
          <w:highlight w:val="none"/>
        </w:rPr>
        <w:t>预付款支付期限：</w:t>
      </w:r>
      <w:r>
        <w:rPr>
          <w:rFonts w:hint="eastAsia" w:ascii="宋体" w:cs="宋体"/>
          <w:b w:val="0"/>
          <w:bCs w:val="0"/>
          <w:szCs w:val="21"/>
          <w:highlight w:val="none"/>
          <w:u w:val="single"/>
        </w:rPr>
        <w:t xml:space="preserve"> </w:t>
      </w:r>
      <w:r>
        <w:rPr>
          <w:rFonts w:hint="eastAsia" w:ascii="宋体" w:hAnsi="宋体" w:cs="宋体"/>
          <w:b w:val="0"/>
          <w:bCs w:val="0"/>
          <w:color w:val="000000"/>
          <w:highlight w:val="none"/>
          <w:u w:val="single"/>
          <w:lang w:val="en-US" w:eastAsia="zh-CN"/>
        </w:rPr>
        <w:t>详见投标人须知</w:t>
      </w:r>
      <w:r>
        <w:rPr>
          <w:rFonts w:hint="eastAsia" w:ascii="宋体" w:cs="宋体"/>
          <w:b w:val="0"/>
          <w:bCs w:val="0"/>
          <w:szCs w:val="21"/>
          <w:highlight w:val="none"/>
          <w:u w:val="single"/>
        </w:rPr>
        <w:t xml:space="preserve"> </w:t>
      </w:r>
      <w:r>
        <w:rPr>
          <w:rFonts w:hint="eastAsia" w:ascii="宋体" w:cs="宋体"/>
          <w:b w:val="0"/>
          <w:bCs w:val="0"/>
          <w:szCs w:val="21"/>
          <w:highlight w:val="none"/>
        </w:rPr>
        <w:t>。</w:t>
      </w:r>
    </w:p>
    <w:p w14:paraId="654B2BD8">
      <w:pPr>
        <w:snapToGrid w:val="0"/>
        <w:spacing w:line="440" w:lineRule="exact"/>
        <w:ind w:firstLine="420" w:firstLineChars="200"/>
        <w:jc w:val="left"/>
        <w:rPr>
          <w:rFonts w:hint="eastAsia" w:ascii="宋体" w:cs="宋体"/>
          <w:b w:val="0"/>
          <w:bCs w:val="0"/>
          <w:szCs w:val="21"/>
          <w:highlight w:val="none"/>
        </w:rPr>
      </w:pPr>
      <w:r>
        <w:rPr>
          <w:rFonts w:hint="eastAsia" w:ascii="宋体" w:cs="宋体"/>
          <w:b w:val="0"/>
          <w:bCs w:val="0"/>
          <w:szCs w:val="21"/>
          <w:highlight w:val="none"/>
        </w:rPr>
        <w:t>预付款扣回的方式：</w:t>
      </w:r>
      <w:r>
        <w:rPr>
          <w:rFonts w:hint="eastAsia" w:ascii="宋体" w:hAnsi="宋体" w:cs="宋体"/>
          <w:b w:val="0"/>
          <w:bCs w:val="0"/>
          <w:color w:val="auto"/>
          <w:highlight w:val="none"/>
          <w:u w:val="single"/>
          <w:lang w:val="en-US" w:eastAsia="zh-CN"/>
        </w:rPr>
        <w:t>详见投标人须知</w:t>
      </w:r>
      <w:r>
        <w:rPr>
          <w:rFonts w:hint="eastAsia" w:ascii="宋体" w:cs="宋体"/>
          <w:b w:val="0"/>
          <w:bCs w:val="0"/>
          <w:szCs w:val="21"/>
          <w:highlight w:val="none"/>
          <w:u w:val="single"/>
        </w:rPr>
        <w:t xml:space="preserve"> </w:t>
      </w:r>
      <w:r>
        <w:rPr>
          <w:rFonts w:hint="eastAsia" w:ascii="宋体" w:cs="宋体"/>
          <w:b w:val="0"/>
          <w:bCs w:val="0"/>
          <w:szCs w:val="21"/>
          <w:highlight w:val="none"/>
        </w:rPr>
        <w:t>。</w:t>
      </w:r>
    </w:p>
    <w:p w14:paraId="5D081596">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12.2.2 预付款担保</w:t>
      </w:r>
    </w:p>
    <w:p w14:paraId="0A3512B6">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承包人提交预付款担保的期限：</w:t>
      </w:r>
      <w:r>
        <w:rPr>
          <w:rFonts w:hint="eastAsia" w:ascii="宋体" w:cs="宋体"/>
          <w:szCs w:val="21"/>
          <w:highlight w:val="none"/>
          <w:u w:val="single"/>
          <w:lang w:val="en-US" w:eastAsia="zh-CN"/>
        </w:rPr>
        <w:t>/</w:t>
      </w:r>
      <w:r>
        <w:rPr>
          <w:rFonts w:hint="eastAsia" w:ascii="宋体" w:cs="宋体"/>
          <w:szCs w:val="21"/>
          <w:highlight w:val="none"/>
        </w:rPr>
        <w:t>。</w:t>
      </w:r>
    </w:p>
    <w:p w14:paraId="527EB018">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预付款担保的形式为：</w:t>
      </w:r>
      <w:r>
        <w:rPr>
          <w:rFonts w:hint="eastAsia" w:ascii="宋体" w:cs="宋体"/>
          <w:szCs w:val="21"/>
          <w:highlight w:val="none"/>
          <w:u w:val="single"/>
          <w:lang w:val="en-US" w:eastAsia="zh-CN"/>
        </w:rPr>
        <w:t>/</w:t>
      </w:r>
      <w:r>
        <w:rPr>
          <w:rFonts w:hint="eastAsia" w:ascii="宋体" w:cs="宋体"/>
          <w:szCs w:val="21"/>
          <w:highlight w:val="none"/>
        </w:rPr>
        <w:t>。</w:t>
      </w:r>
    </w:p>
    <w:p w14:paraId="6B8B988D">
      <w:pPr>
        <w:snapToGrid w:val="0"/>
        <w:spacing w:line="440" w:lineRule="exact"/>
        <w:ind w:firstLine="420" w:firstLineChars="200"/>
        <w:rPr>
          <w:rFonts w:hint="eastAsia" w:ascii="宋体" w:cs="宋体"/>
          <w:szCs w:val="21"/>
        </w:rPr>
      </w:pPr>
      <w:r>
        <w:rPr>
          <w:rFonts w:hint="eastAsia" w:ascii="宋体" w:cs="宋体"/>
          <w:szCs w:val="21"/>
        </w:rPr>
        <w:t>12.3 计量</w:t>
      </w:r>
    </w:p>
    <w:p w14:paraId="07AC1EDC">
      <w:pPr>
        <w:snapToGrid w:val="0"/>
        <w:spacing w:line="440" w:lineRule="exact"/>
        <w:ind w:firstLine="420" w:firstLineChars="200"/>
        <w:jc w:val="left"/>
        <w:rPr>
          <w:rFonts w:hint="eastAsia" w:ascii="宋体" w:cs="宋体"/>
          <w:szCs w:val="21"/>
        </w:rPr>
      </w:pPr>
      <w:r>
        <w:rPr>
          <w:rFonts w:hint="eastAsia" w:ascii="宋体" w:cs="宋体"/>
          <w:szCs w:val="21"/>
        </w:rPr>
        <w:t>12.3.1 计量原则</w:t>
      </w:r>
    </w:p>
    <w:p w14:paraId="4044A6EA">
      <w:pPr>
        <w:spacing w:line="440" w:lineRule="exact"/>
        <w:ind w:firstLine="420" w:firstLineChars="200"/>
        <w:rPr>
          <w:rFonts w:hint="eastAsia" w:ascii="宋体" w:cs="宋体"/>
          <w:szCs w:val="21"/>
        </w:rPr>
      </w:pPr>
      <w:r>
        <w:rPr>
          <w:rFonts w:hint="eastAsia" w:ascii="宋体" w:cs="宋体"/>
          <w:szCs w:val="21"/>
        </w:rPr>
        <w:t>工程量计算规则：</w:t>
      </w:r>
      <w:r>
        <w:rPr>
          <w:rFonts w:hint="eastAsia" w:ascii="宋体" w:hAnsi="宋体" w:cs="宋体"/>
          <w:color w:val="000000"/>
          <w:szCs w:val="21"/>
          <w:u w:val="single"/>
        </w:rPr>
        <w:t>按招标工程量清单及最高投标限价所采用的工程量清单计价规范及配套文件等</w:t>
      </w:r>
      <w:r>
        <w:rPr>
          <w:rFonts w:hint="eastAsia" w:ascii="宋体" w:cs="宋体"/>
          <w:szCs w:val="21"/>
          <w:u w:val="single"/>
        </w:rPr>
        <w:t>。</w:t>
      </w:r>
    </w:p>
    <w:p w14:paraId="462C41C7">
      <w:pPr>
        <w:spacing w:line="440" w:lineRule="exact"/>
        <w:ind w:firstLine="420" w:firstLineChars="200"/>
        <w:rPr>
          <w:rFonts w:hint="eastAsia" w:ascii="宋体" w:cs="宋体"/>
          <w:szCs w:val="21"/>
        </w:rPr>
      </w:pPr>
      <w:r>
        <w:rPr>
          <w:rFonts w:hint="eastAsia" w:ascii="宋体" w:cs="宋体"/>
          <w:szCs w:val="21"/>
        </w:rPr>
        <w:t>12.3.2 计量周期</w:t>
      </w:r>
    </w:p>
    <w:p w14:paraId="3CE77272">
      <w:pPr>
        <w:spacing w:line="440" w:lineRule="exact"/>
        <w:ind w:firstLine="420" w:firstLineChars="200"/>
        <w:rPr>
          <w:rFonts w:hint="eastAsia" w:ascii="宋体" w:cs="宋体"/>
          <w:szCs w:val="21"/>
        </w:rPr>
      </w:pPr>
      <w:r>
        <w:rPr>
          <w:rFonts w:hint="eastAsia" w:ascii="宋体" w:cs="宋体"/>
          <w:szCs w:val="21"/>
        </w:rPr>
        <w:t>关于计量周期的约定：</w:t>
      </w:r>
      <w:r>
        <w:rPr>
          <w:rFonts w:hint="eastAsia" w:ascii="宋体" w:cs="宋体"/>
          <w:szCs w:val="21"/>
          <w:u w:val="single"/>
        </w:rPr>
        <w:t xml:space="preserve"> 按月计量  </w:t>
      </w:r>
      <w:r>
        <w:rPr>
          <w:rFonts w:hint="eastAsia" w:ascii="宋体" w:cs="宋体"/>
          <w:szCs w:val="21"/>
        </w:rPr>
        <w:t>。</w:t>
      </w:r>
    </w:p>
    <w:p w14:paraId="0F3A8815">
      <w:pPr>
        <w:snapToGrid w:val="0"/>
        <w:spacing w:line="440" w:lineRule="exact"/>
        <w:ind w:firstLine="420" w:firstLineChars="200"/>
        <w:jc w:val="left"/>
        <w:rPr>
          <w:rFonts w:hint="eastAsia" w:ascii="宋体" w:cs="宋体"/>
          <w:szCs w:val="21"/>
        </w:rPr>
      </w:pPr>
      <w:r>
        <w:rPr>
          <w:rFonts w:hint="eastAsia" w:ascii="宋体" w:cs="宋体"/>
          <w:szCs w:val="21"/>
        </w:rPr>
        <w:t>12.3.3 单价合同的计量</w:t>
      </w:r>
    </w:p>
    <w:p w14:paraId="315641B2">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szCs w:val="21"/>
          <w:highlight w:val="none"/>
        </w:rPr>
        <w:t>关于单价合同计量的约定：</w:t>
      </w:r>
      <w:r>
        <w:rPr>
          <w:rFonts w:hint="eastAsia" w:ascii="宋体" w:cs="宋体"/>
          <w:szCs w:val="21"/>
          <w:highlight w:val="none"/>
          <w:u w:val="single"/>
        </w:rPr>
        <w:t>（1）承包人应于每月25日向监理人报送上月20日至当月19日已完成的工程量报告，并附具进度付款申请单、已完成工程量报表和有关资料。（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3）监理人未在收到承包人提交的工程量</w:t>
      </w:r>
      <w:r>
        <w:rPr>
          <w:rFonts w:hint="eastAsia" w:ascii="宋体" w:cs="宋体"/>
          <w:color w:val="auto"/>
          <w:szCs w:val="21"/>
          <w:highlight w:val="none"/>
          <w:u w:val="single"/>
        </w:rPr>
        <w:t>报表后的7天内完成审核的，承包人</w:t>
      </w:r>
      <w:r>
        <w:rPr>
          <w:rFonts w:hint="eastAsia" w:ascii="宋体" w:cs="宋体"/>
          <w:color w:val="auto"/>
          <w:szCs w:val="21"/>
          <w:highlight w:val="none"/>
          <w:u w:val="single"/>
          <w:lang w:eastAsia="zh-CN"/>
        </w:rPr>
        <w:t>应通知发包人审核，发包人既不审核也不督促监理人复核，超过承包人报送时间</w:t>
      </w:r>
      <w:r>
        <w:rPr>
          <w:rFonts w:hint="eastAsia" w:ascii="宋体" w:cs="宋体"/>
          <w:color w:val="auto"/>
          <w:szCs w:val="21"/>
          <w:highlight w:val="none"/>
          <w:u w:val="single"/>
          <w:lang w:val="en-US" w:eastAsia="zh-CN"/>
        </w:rPr>
        <w:t>14日的，以</w:t>
      </w:r>
      <w:r>
        <w:rPr>
          <w:rFonts w:hint="eastAsia" w:ascii="宋体" w:cs="宋体"/>
          <w:color w:val="auto"/>
          <w:szCs w:val="21"/>
          <w:highlight w:val="none"/>
          <w:u w:val="single"/>
        </w:rPr>
        <w:t>承包人</w:t>
      </w:r>
      <w:r>
        <w:rPr>
          <w:rFonts w:hint="eastAsia" w:ascii="宋体" w:cs="宋体"/>
          <w:color w:val="auto"/>
          <w:szCs w:val="21"/>
          <w:highlight w:val="none"/>
          <w:u w:val="single"/>
          <w:lang w:eastAsia="zh-CN"/>
        </w:rPr>
        <w:t>报送</w:t>
      </w:r>
      <w:r>
        <w:rPr>
          <w:rFonts w:hint="eastAsia" w:ascii="宋体" w:cs="宋体"/>
          <w:color w:val="auto"/>
          <w:szCs w:val="21"/>
          <w:highlight w:val="none"/>
          <w:u w:val="single"/>
        </w:rPr>
        <w:t>的工程量，据此计算工程价款。</w:t>
      </w:r>
    </w:p>
    <w:p w14:paraId="34C8A998">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12.3.4 总价合同的计量</w:t>
      </w:r>
    </w:p>
    <w:p w14:paraId="72E9ACAB">
      <w:pPr>
        <w:snapToGrid w:val="0"/>
        <w:spacing w:line="440" w:lineRule="exact"/>
        <w:ind w:firstLine="420" w:firstLineChars="200"/>
        <w:jc w:val="left"/>
        <w:rPr>
          <w:rFonts w:hint="eastAsia" w:ascii="宋体" w:cs="宋体"/>
          <w:szCs w:val="21"/>
        </w:rPr>
      </w:pPr>
      <w:r>
        <w:rPr>
          <w:rFonts w:hint="eastAsia" w:ascii="宋体" w:cs="宋体"/>
          <w:szCs w:val="21"/>
        </w:rPr>
        <w:t>关于总价合同计量的约定：</w:t>
      </w:r>
      <w:r>
        <w:rPr>
          <w:rFonts w:hint="eastAsia" w:ascii="宋体" w:cs="宋体"/>
          <w:szCs w:val="21"/>
          <w:u w:val="single"/>
        </w:rPr>
        <w:t xml:space="preserve"> 不采用 </w:t>
      </w:r>
      <w:r>
        <w:rPr>
          <w:rFonts w:hint="eastAsia" w:ascii="宋体" w:cs="宋体"/>
          <w:szCs w:val="21"/>
        </w:rPr>
        <w:t>。</w:t>
      </w:r>
    </w:p>
    <w:p w14:paraId="1969EA1D">
      <w:pPr>
        <w:snapToGrid w:val="0"/>
        <w:spacing w:line="440" w:lineRule="exact"/>
        <w:ind w:firstLine="420" w:firstLineChars="200"/>
        <w:jc w:val="left"/>
        <w:rPr>
          <w:rFonts w:hint="eastAsia" w:ascii="宋体" w:cs="宋体"/>
          <w:szCs w:val="21"/>
        </w:rPr>
      </w:pPr>
      <w:r>
        <w:rPr>
          <w:rFonts w:hint="eastAsia" w:ascii="宋体" w:cs="宋体"/>
          <w:szCs w:val="21"/>
        </w:rPr>
        <w:t>12.3.5总价合同采用支付分解表计量支付的，是否适用第</w:t>
      </w:r>
      <w:r>
        <w:rPr>
          <w:rFonts w:hint="eastAsia" w:ascii="宋体" w:cs="宋体"/>
          <w:kern w:val="0"/>
          <w:szCs w:val="21"/>
        </w:rPr>
        <w:t xml:space="preserve">12.3.4 </w:t>
      </w:r>
      <w:r>
        <w:rPr>
          <w:rFonts w:hint="eastAsia" w:ascii="宋体" w:cs="宋体"/>
          <w:szCs w:val="21"/>
        </w:rPr>
        <w:t>项</w:t>
      </w:r>
      <w:r>
        <w:rPr>
          <w:rFonts w:hint="eastAsia" w:ascii="宋体" w:cs="宋体"/>
          <w:kern w:val="0"/>
          <w:szCs w:val="21"/>
        </w:rPr>
        <w:t>〔总价合同的计量〕</w:t>
      </w:r>
      <w:r>
        <w:rPr>
          <w:rFonts w:hint="eastAsia" w:ascii="宋体" w:cs="宋体"/>
          <w:szCs w:val="21"/>
        </w:rPr>
        <w:t>约定进行计量：</w:t>
      </w:r>
      <w:r>
        <w:rPr>
          <w:rFonts w:hint="eastAsia" w:ascii="宋体" w:cs="宋体"/>
          <w:szCs w:val="21"/>
          <w:u w:val="single"/>
        </w:rPr>
        <w:t xml:space="preserve">   不采用   </w:t>
      </w:r>
      <w:r>
        <w:rPr>
          <w:rFonts w:hint="eastAsia" w:ascii="宋体" w:cs="宋体"/>
          <w:szCs w:val="21"/>
        </w:rPr>
        <w:t>。</w:t>
      </w:r>
    </w:p>
    <w:p w14:paraId="3AB7FCAC">
      <w:pPr>
        <w:snapToGrid w:val="0"/>
        <w:spacing w:line="440" w:lineRule="exact"/>
        <w:ind w:firstLine="420" w:firstLineChars="200"/>
        <w:jc w:val="left"/>
        <w:rPr>
          <w:rFonts w:hint="eastAsia" w:ascii="宋体" w:cs="宋体"/>
          <w:szCs w:val="21"/>
        </w:rPr>
      </w:pPr>
      <w:r>
        <w:rPr>
          <w:rFonts w:hint="eastAsia" w:ascii="宋体" w:cs="宋体"/>
          <w:szCs w:val="21"/>
        </w:rPr>
        <w:t>12.3.6 其他价格形式合同的计量</w:t>
      </w:r>
    </w:p>
    <w:p w14:paraId="08ED57F0">
      <w:pPr>
        <w:snapToGrid w:val="0"/>
        <w:spacing w:line="440" w:lineRule="exact"/>
        <w:ind w:firstLine="420" w:firstLineChars="200"/>
        <w:jc w:val="left"/>
        <w:rPr>
          <w:rFonts w:hint="eastAsia" w:ascii="宋体" w:cs="宋体"/>
          <w:szCs w:val="21"/>
        </w:rPr>
      </w:pPr>
      <w:r>
        <w:rPr>
          <w:rFonts w:hint="eastAsia" w:ascii="宋体" w:cs="宋体"/>
          <w:szCs w:val="21"/>
        </w:rPr>
        <w:t>其他价格形式的计量方式和程序：</w:t>
      </w:r>
      <w:r>
        <w:rPr>
          <w:rFonts w:hint="eastAsia" w:ascii="宋体" w:cs="宋体"/>
          <w:szCs w:val="21"/>
          <w:u w:val="single"/>
        </w:rPr>
        <w:t xml:space="preserve">   不采用   </w:t>
      </w:r>
      <w:r>
        <w:rPr>
          <w:rFonts w:hint="eastAsia" w:ascii="宋体" w:cs="宋体"/>
          <w:szCs w:val="21"/>
        </w:rPr>
        <w:t>。</w:t>
      </w:r>
    </w:p>
    <w:p w14:paraId="3ACD67C3">
      <w:pPr>
        <w:snapToGrid w:val="0"/>
        <w:spacing w:line="440" w:lineRule="exact"/>
        <w:ind w:firstLine="420" w:firstLineChars="200"/>
        <w:rPr>
          <w:rFonts w:hint="eastAsia" w:ascii="宋体" w:cs="宋体"/>
          <w:szCs w:val="21"/>
        </w:rPr>
      </w:pPr>
      <w:r>
        <w:rPr>
          <w:rFonts w:hint="eastAsia" w:ascii="宋体" w:cs="宋体"/>
          <w:szCs w:val="21"/>
        </w:rPr>
        <w:t>12.4 工程进度款支付</w:t>
      </w:r>
    </w:p>
    <w:p w14:paraId="0FFCEC2D">
      <w:pPr>
        <w:snapToGrid w:val="0"/>
        <w:spacing w:line="440" w:lineRule="exact"/>
        <w:ind w:firstLine="420" w:firstLineChars="200"/>
        <w:jc w:val="left"/>
        <w:rPr>
          <w:rFonts w:hint="eastAsia" w:ascii="宋体" w:cs="宋体"/>
          <w:szCs w:val="21"/>
        </w:rPr>
      </w:pPr>
      <w:r>
        <w:rPr>
          <w:rFonts w:hint="eastAsia" w:ascii="宋体" w:cs="宋体"/>
          <w:szCs w:val="21"/>
        </w:rPr>
        <w:t>12.4.1 付款周期</w:t>
      </w:r>
    </w:p>
    <w:p w14:paraId="00DDD8B7">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关于付款周期的约</w:t>
      </w:r>
      <w:r>
        <w:rPr>
          <w:rFonts w:hint="eastAsia" w:ascii="宋体" w:cs="宋体"/>
          <w:color w:val="auto"/>
          <w:szCs w:val="21"/>
          <w:highlight w:val="none"/>
        </w:rPr>
        <w:t>定：</w:t>
      </w:r>
      <w:r>
        <w:rPr>
          <w:rFonts w:hint="eastAsia" w:ascii="宋体" w:hAnsi="宋体" w:eastAsia="宋体" w:cs="宋体"/>
          <w:color w:val="auto"/>
          <w:szCs w:val="21"/>
          <w:highlight w:val="none"/>
          <w:lang w:val="en-US" w:eastAsia="zh-CN"/>
        </w:rPr>
        <w:t>在具备施工条件的前提下，招标人在合同签订后一个月内或不迟于约定的开工日期前7天内预付工程款为合同总价的10%；完成全容量</w:t>
      </w:r>
      <w:r>
        <w:rPr>
          <w:rFonts w:hint="eastAsia" w:ascii="宋体" w:hAnsi="宋体" w:cs="宋体"/>
          <w:color w:val="auto"/>
          <w:szCs w:val="21"/>
          <w:highlight w:val="none"/>
          <w:lang w:val="en-US" w:eastAsia="zh-CN"/>
        </w:rPr>
        <w:t>发电</w:t>
      </w:r>
      <w:r>
        <w:rPr>
          <w:rFonts w:hint="eastAsia" w:ascii="宋体" w:hAnsi="宋体" w:eastAsia="宋体" w:cs="宋体"/>
          <w:color w:val="auto"/>
          <w:szCs w:val="21"/>
          <w:highlight w:val="none"/>
          <w:lang w:val="en-US" w:eastAsia="zh-CN"/>
        </w:rPr>
        <w:t>并网</w:t>
      </w:r>
      <w:r>
        <w:rPr>
          <w:rFonts w:hint="eastAsia" w:ascii="宋体" w:hAnsi="宋体" w:cs="宋体"/>
          <w:color w:val="auto"/>
          <w:szCs w:val="21"/>
          <w:highlight w:val="none"/>
          <w:lang w:val="en-US" w:eastAsia="zh-CN"/>
        </w:rPr>
        <w:t>验收付至签约合同价的90%（同期扣除预付工程款）；</w:t>
      </w:r>
      <w:r>
        <w:rPr>
          <w:rFonts w:hint="eastAsia" w:ascii="宋体" w:hAnsi="宋体" w:eastAsia="宋体" w:cs="宋体"/>
          <w:color w:val="auto"/>
          <w:szCs w:val="21"/>
          <w:highlight w:val="none"/>
          <w:lang w:val="en-US" w:eastAsia="zh-CN"/>
        </w:rPr>
        <w:t>项目</w:t>
      </w:r>
      <w:r>
        <w:rPr>
          <w:rFonts w:hint="eastAsia" w:ascii="宋体" w:hAnsi="宋体" w:cs="宋体"/>
          <w:color w:val="auto"/>
          <w:szCs w:val="21"/>
          <w:highlight w:val="none"/>
          <w:lang w:val="en-US" w:eastAsia="zh-CN"/>
        </w:rPr>
        <w:t>竣工</w:t>
      </w:r>
      <w:r>
        <w:rPr>
          <w:rFonts w:hint="eastAsia" w:ascii="宋体" w:hAnsi="宋体" w:eastAsia="宋体" w:cs="宋体"/>
          <w:color w:val="auto"/>
          <w:szCs w:val="21"/>
          <w:highlight w:val="none"/>
          <w:lang w:val="en-US" w:eastAsia="zh-CN"/>
        </w:rPr>
        <w:t>验收合格</w:t>
      </w:r>
      <w:r>
        <w:rPr>
          <w:rFonts w:hint="eastAsia" w:ascii="宋体" w:hAnsi="宋体" w:cs="宋体"/>
          <w:color w:val="auto"/>
          <w:szCs w:val="21"/>
          <w:highlight w:val="none"/>
          <w:lang w:val="en-US" w:eastAsia="zh-CN"/>
        </w:rPr>
        <w:t>后，经</w:t>
      </w:r>
      <w:r>
        <w:rPr>
          <w:rFonts w:hint="eastAsia" w:ascii="宋体" w:hAnsi="宋体" w:eastAsia="宋体" w:cs="宋体"/>
          <w:color w:val="auto"/>
          <w:szCs w:val="21"/>
          <w:highlight w:val="none"/>
          <w:lang w:val="en-US" w:eastAsia="zh-CN"/>
        </w:rPr>
        <w:t>工程结算审核完成付至</w:t>
      </w:r>
      <w:r>
        <w:rPr>
          <w:rFonts w:hint="eastAsia" w:ascii="宋体" w:hAnsi="宋体" w:cs="宋体"/>
          <w:color w:val="auto"/>
          <w:szCs w:val="21"/>
          <w:highlight w:val="none"/>
          <w:lang w:val="en-US" w:eastAsia="zh-CN"/>
        </w:rPr>
        <w:t>工程审计结算</w:t>
      </w:r>
      <w:r>
        <w:rPr>
          <w:rFonts w:hint="eastAsia" w:ascii="宋体" w:hAnsi="宋体" w:eastAsia="宋体" w:cs="宋体"/>
          <w:color w:val="auto"/>
          <w:szCs w:val="21"/>
          <w:highlight w:val="none"/>
          <w:lang w:val="en-US" w:eastAsia="zh-CN"/>
        </w:rPr>
        <w:t>价款的</w:t>
      </w:r>
      <w:r>
        <w:rPr>
          <w:rFonts w:hint="default" w:ascii="宋体" w:hAnsi="宋体" w:eastAsia="宋体" w:cs="宋体"/>
          <w:color w:val="auto"/>
          <w:szCs w:val="21"/>
          <w:highlight w:val="none"/>
          <w:lang w:val="en-US" w:eastAsia="zh-CN"/>
        </w:rPr>
        <w:t>98%</w:t>
      </w:r>
      <w:r>
        <w:rPr>
          <w:rFonts w:hint="eastAsia" w:ascii="宋体" w:hAnsi="宋体" w:eastAsia="宋体" w:cs="宋体"/>
          <w:color w:val="auto"/>
          <w:szCs w:val="21"/>
          <w:highlight w:val="none"/>
          <w:lang w:val="en-US" w:eastAsia="zh-CN"/>
        </w:rPr>
        <w:t>，剩余</w:t>
      </w:r>
      <w:r>
        <w:rPr>
          <w:rFonts w:hint="default"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en-US" w:eastAsia="zh-CN"/>
        </w:rPr>
        <w:t xml:space="preserve">作为质保金，工程缺陷责任期 </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自竣工验收合格之日起满2年</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满后付清余款。质量保证金支持保函（银行保函、担保机构担保、保证保险）使用。采用保函的不再从工程进度款中扣留质量保证金，保函有效期须与工程缺陷责任期截止时间保持一致。</w:t>
      </w:r>
    </w:p>
    <w:p w14:paraId="73EBFE99">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cs="宋体"/>
          <w:szCs w:val="21"/>
          <w:highlight w:val="none"/>
        </w:rPr>
      </w:pPr>
      <w:r>
        <w:rPr>
          <w:rFonts w:hint="eastAsia" w:ascii="宋体" w:hAnsi="宋体" w:cs="宋体"/>
          <w:color w:val="000000"/>
          <w:highlight w:val="none"/>
        </w:rPr>
        <w:t>关于付款周期的其他约定：</w:t>
      </w:r>
      <w:r>
        <w:rPr>
          <w:rFonts w:hint="eastAsia" w:ascii="宋体" w:hAnsi="宋体" w:cs="宋体"/>
          <w:color w:val="auto"/>
          <w:sz w:val="21"/>
          <w:szCs w:val="21"/>
          <w:highlight w:val="none"/>
          <w:lang w:val="en-US" w:eastAsia="zh-CN"/>
        </w:rPr>
        <w:t>每次付款承包人需提供出具的增值税税率为9%的增值税专用发票；竣工结算审核后，承包人开具审定金额剩余部分的全额增值税专用发票</w:t>
      </w:r>
      <w:r>
        <w:rPr>
          <w:rFonts w:hint="eastAsia" w:ascii="宋体" w:hAnsi="宋体" w:cs="宋体"/>
          <w:color w:val="000000"/>
          <w:highlight w:val="none"/>
        </w:rPr>
        <w:t>。</w:t>
      </w:r>
    </w:p>
    <w:p w14:paraId="0454091C">
      <w:pPr>
        <w:snapToGrid w:val="0"/>
        <w:spacing w:line="440" w:lineRule="exact"/>
        <w:ind w:firstLine="420" w:firstLineChars="200"/>
        <w:jc w:val="left"/>
        <w:rPr>
          <w:rFonts w:hint="eastAsia" w:ascii="宋体" w:cs="宋体"/>
          <w:szCs w:val="21"/>
        </w:rPr>
      </w:pPr>
      <w:r>
        <w:rPr>
          <w:rFonts w:hint="eastAsia" w:ascii="宋体" w:cs="宋体"/>
          <w:szCs w:val="21"/>
        </w:rPr>
        <w:t>12.4.2 进度付款申请单的编制</w:t>
      </w:r>
    </w:p>
    <w:p w14:paraId="1A2C3AE0">
      <w:pPr>
        <w:snapToGrid w:val="0"/>
        <w:spacing w:line="440" w:lineRule="exact"/>
        <w:ind w:firstLine="420" w:firstLineChars="200"/>
        <w:jc w:val="left"/>
        <w:rPr>
          <w:rFonts w:hint="eastAsia" w:ascii="宋体" w:cs="宋体"/>
          <w:szCs w:val="21"/>
          <w:u w:val="single"/>
        </w:rPr>
      </w:pPr>
      <w:r>
        <w:rPr>
          <w:rFonts w:hint="eastAsia" w:ascii="宋体" w:cs="宋体"/>
          <w:szCs w:val="21"/>
        </w:rPr>
        <w:t>关于进度付款申请单编制的约定：</w:t>
      </w:r>
      <w:r>
        <w:rPr>
          <w:rFonts w:hint="eastAsia" w:ascii="宋体" w:cs="宋体"/>
          <w:szCs w:val="21"/>
          <w:u w:val="single"/>
        </w:rPr>
        <w:t>执行发包人统一内容格式。</w:t>
      </w:r>
    </w:p>
    <w:p w14:paraId="67596A3B">
      <w:pPr>
        <w:snapToGrid w:val="0"/>
        <w:spacing w:line="440" w:lineRule="exact"/>
        <w:ind w:firstLine="420" w:firstLineChars="200"/>
        <w:jc w:val="left"/>
        <w:rPr>
          <w:rFonts w:hint="eastAsia" w:ascii="宋体" w:cs="宋体"/>
          <w:szCs w:val="21"/>
        </w:rPr>
      </w:pPr>
      <w:r>
        <w:rPr>
          <w:rFonts w:hint="eastAsia" w:ascii="宋体" w:cs="宋体"/>
          <w:szCs w:val="21"/>
        </w:rPr>
        <w:t>12.4.3 进度付款申请单的提交</w:t>
      </w:r>
    </w:p>
    <w:p w14:paraId="31BB1BD4">
      <w:pPr>
        <w:snapToGrid w:val="0"/>
        <w:spacing w:line="440" w:lineRule="exact"/>
        <w:ind w:firstLine="420" w:firstLineChars="200"/>
        <w:jc w:val="left"/>
        <w:rPr>
          <w:rFonts w:hint="eastAsia" w:ascii="宋体" w:cs="宋体"/>
          <w:szCs w:val="21"/>
        </w:rPr>
      </w:pPr>
      <w:r>
        <w:rPr>
          <w:rFonts w:hint="eastAsia" w:ascii="宋体" w:cs="宋体"/>
          <w:szCs w:val="21"/>
        </w:rPr>
        <w:t>（1）单价合同进度付款申请单提交的约定：</w:t>
      </w:r>
      <w:r>
        <w:rPr>
          <w:rFonts w:hint="eastAsia" w:ascii="宋体" w:cs="宋体"/>
          <w:szCs w:val="21"/>
          <w:u w:val="single"/>
        </w:rPr>
        <w:t xml:space="preserve"> </w:t>
      </w:r>
      <w:r>
        <w:rPr>
          <w:rFonts w:hint="eastAsia" w:ascii="宋体" w:hAnsi="宋体" w:eastAsia="宋体" w:cs="宋体"/>
          <w:color w:val="auto"/>
          <w:szCs w:val="21"/>
          <w:highlight w:val="none"/>
          <w:u w:val="single"/>
        </w:rPr>
        <w:t>按施工进度付款，承包人</w:t>
      </w:r>
      <w:r>
        <w:rPr>
          <w:rFonts w:hint="eastAsia" w:ascii="宋体" w:hAnsi="宋体" w:eastAsia="宋体" w:cs="宋体"/>
          <w:color w:val="auto"/>
          <w:szCs w:val="21"/>
          <w:highlight w:val="none"/>
          <w:u w:val="single"/>
          <w:lang w:val="en-US" w:eastAsia="zh-CN"/>
        </w:rPr>
        <w:t>按发包人要求</w:t>
      </w:r>
      <w:r>
        <w:rPr>
          <w:rFonts w:hint="eastAsia" w:ascii="宋体" w:hAnsi="宋体" w:eastAsia="宋体" w:cs="宋体"/>
          <w:color w:val="auto"/>
          <w:szCs w:val="21"/>
          <w:highlight w:val="none"/>
          <w:u w:val="single"/>
        </w:rPr>
        <w:t>向发包人报送请款资料</w:t>
      </w:r>
      <w:r>
        <w:rPr>
          <w:rFonts w:hint="eastAsia" w:ascii="黑体" w:eastAsia="黑体" w:cs="宋体"/>
          <w:b/>
          <w:bCs/>
          <w:szCs w:val="21"/>
          <w:u w:val="single"/>
        </w:rPr>
        <w:t>。</w:t>
      </w:r>
    </w:p>
    <w:p w14:paraId="08FBBFD9">
      <w:pPr>
        <w:snapToGrid w:val="0"/>
        <w:spacing w:line="440" w:lineRule="exact"/>
        <w:ind w:firstLine="420" w:firstLineChars="200"/>
        <w:jc w:val="left"/>
        <w:rPr>
          <w:rFonts w:hint="eastAsia" w:ascii="宋体" w:cs="宋体"/>
          <w:szCs w:val="21"/>
        </w:rPr>
      </w:pPr>
      <w:r>
        <w:rPr>
          <w:rFonts w:hint="eastAsia" w:ascii="宋体" w:cs="宋体"/>
          <w:szCs w:val="21"/>
        </w:rPr>
        <w:t>（2）总价合同进度付款申请单提交的约定：</w:t>
      </w:r>
      <w:r>
        <w:rPr>
          <w:rFonts w:hint="eastAsia" w:ascii="宋体" w:cs="宋体"/>
          <w:szCs w:val="21"/>
          <w:u w:val="single"/>
        </w:rPr>
        <w:t xml:space="preserve">   不采用   </w:t>
      </w:r>
      <w:r>
        <w:rPr>
          <w:rFonts w:hint="eastAsia" w:ascii="宋体" w:cs="宋体"/>
          <w:szCs w:val="21"/>
        </w:rPr>
        <w:t>。</w:t>
      </w:r>
    </w:p>
    <w:p w14:paraId="5A498097">
      <w:pPr>
        <w:snapToGrid w:val="0"/>
        <w:spacing w:line="440" w:lineRule="exact"/>
        <w:ind w:firstLine="420" w:firstLineChars="200"/>
        <w:jc w:val="left"/>
        <w:rPr>
          <w:rFonts w:hint="eastAsia" w:ascii="宋体" w:cs="宋体"/>
          <w:szCs w:val="21"/>
          <w:u w:val="single"/>
        </w:rPr>
      </w:pPr>
      <w:r>
        <w:rPr>
          <w:rFonts w:hint="eastAsia" w:ascii="宋体" w:cs="宋体"/>
          <w:szCs w:val="21"/>
        </w:rPr>
        <w:t>（3）其他价格形式合同进度付款申请单提交的约定：</w:t>
      </w:r>
      <w:r>
        <w:rPr>
          <w:rFonts w:hint="eastAsia" w:ascii="宋体" w:cs="宋体"/>
          <w:szCs w:val="21"/>
          <w:u w:val="single"/>
        </w:rPr>
        <w:t xml:space="preserve">  不采用  </w:t>
      </w:r>
      <w:r>
        <w:rPr>
          <w:rFonts w:hint="eastAsia" w:ascii="宋体" w:cs="宋体"/>
          <w:szCs w:val="21"/>
        </w:rPr>
        <w:t>。</w:t>
      </w:r>
    </w:p>
    <w:p w14:paraId="65633967">
      <w:pPr>
        <w:snapToGrid w:val="0"/>
        <w:spacing w:line="440" w:lineRule="exact"/>
        <w:ind w:firstLine="420" w:firstLineChars="200"/>
        <w:jc w:val="left"/>
        <w:rPr>
          <w:rFonts w:hint="eastAsia" w:ascii="宋体" w:cs="宋体"/>
          <w:szCs w:val="21"/>
        </w:rPr>
      </w:pPr>
      <w:r>
        <w:rPr>
          <w:rFonts w:hint="eastAsia" w:ascii="宋体" w:cs="宋体"/>
          <w:szCs w:val="21"/>
        </w:rPr>
        <w:t>12.4.4 进度款审核和支付</w:t>
      </w:r>
    </w:p>
    <w:p w14:paraId="7322FDC7">
      <w:pPr>
        <w:snapToGrid w:val="0"/>
        <w:spacing w:line="440" w:lineRule="exact"/>
        <w:ind w:firstLine="420" w:firstLineChars="200"/>
        <w:jc w:val="left"/>
        <w:rPr>
          <w:rFonts w:hint="eastAsia"/>
        </w:rPr>
      </w:pPr>
      <w:r>
        <w:rPr>
          <w:rFonts w:hint="eastAsia" w:ascii="宋体" w:cs="宋体"/>
          <w:szCs w:val="21"/>
        </w:rPr>
        <w:t>（1）监理人审查并报送发包人的期限：</w:t>
      </w:r>
      <w:r>
        <w:rPr>
          <w:rFonts w:hint="eastAsia" w:ascii="宋体" w:cs="宋体"/>
          <w:szCs w:val="21"/>
          <w:u w:val="single"/>
        </w:rPr>
        <w:t xml:space="preserve"> 监理人应在收到承包人进度付款申请单以及相关资料后7天内完成审查并报送发包人。</w:t>
      </w:r>
    </w:p>
    <w:p w14:paraId="43F584F5">
      <w:pPr>
        <w:snapToGrid w:val="0"/>
        <w:spacing w:line="440" w:lineRule="exact"/>
        <w:ind w:firstLine="420" w:firstLineChars="200"/>
        <w:jc w:val="left"/>
        <w:rPr>
          <w:rFonts w:hint="eastAsia" w:ascii="宋体" w:cs="宋体"/>
          <w:szCs w:val="21"/>
          <w:u w:val="single"/>
        </w:rPr>
      </w:pPr>
      <w:r>
        <w:rPr>
          <w:rFonts w:hint="eastAsia" w:ascii="宋体" w:cs="宋体"/>
          <w:szCs w:val="21"/>
        </w:rPr>
        <w:t>发包人完成审批并签发进度款支付证书的期限：</w:t>
      </w:r>
      <w:r>
        <w:rPr>
          <w:rFonts w:hint="eastAsia" w:ascii="宋体" w:cs="宋体"/>
          <w:szCs w:val="21"/>
          <w:u w:val="single"/>
        </w:rPr>
        <w:t>发包人应在收到后7天内完成审批并签发进度款支付证书，跟踪审计人员审核时间除外</w:t>
      </w:r>
      <w:r>
        <w:rPr>
          <w:rFonts w:hint="eastAsia" w:ascii="宋体" w:cs="宋体"/>
          <w:szCs w:val="21"/>
        </w:rPr>
        <w:t>。</w:t>
      </w:r>
    </w:p>
    <w:p w14:paraId="6FC3DBBE">
      <w:pPr>
        <w:tabs>
          <w:tab w:val="left" w:pos="0"/>
        </w:tabs>
        <w:snapToGrid w:val="0"/>
        <w:spacing w:line="440" w:lineRule="exact"/>
        <w:ind w:firstLine="420" w:firstLineChars="200"/>
        <w:rPr>
          <w:rFonts w:hint="eastAsia" w:ascii="宋体" w:cs="宋体"/>
          <w:b/>
          <w:szCs w:val="21"/>
          <w:u w:val="single"/>
        </w:rPr>
      </w:pPr>
      <w:r>
        <w:rPr>
          <w:rFonts w:hint="eastAsia" w:ascii="宋体" w:cs="宋体"/>
          <w:szCs w:val="21"/>
        </w:rPr>
        <w:t>（2）发包人支付进度款的期限：</w:t>
      </w:r>
      <w:r>
        <w:rPr>
          <w:rFonts w:hint="eastAsia" w:ascii="宋体" w:hAnsi="宋体" w:eastAsia="宋体" w:cs="宋体"/>
          <w:color w:val="auto"/>
          <w:szCs w:val="21"/>
          <w:highlight w:val="none"/>
          <w:u w:val="single"/>
        </w:rPr>
        <w:t>发票送达</w:t>
      </w:r>
      <w:r>
        <w:rPr>
          <w:rFonts w:hint="eastAsia" w:ascii="宋体" w:hAnsi="宋体" w:eastAsia="宋体" w:cs="宋体"/>
          <w:color w:val="auto"/>
          <w:szCs w:val="21"/>
          <w:highlight w:val="none"/>
          <w:u w:val="single"/>
          <w:lang w:val="en-US" w:eastAsia="zh-CN"/>
        </w:rPr>
        <w:t>30日</w:t>
      </w:r>
      <w:r>
        <w:rPr>
          <w:rFonts w:hint="eastAsia" w:ascii="宋体" w:hAnsi="宋体" w:eastAsia="宋体" w:cs="宋体"/>
          <w:color w:val="auto"/>
          <w:szCs w:val="21"/>
          <w:highlight w:val="none"/>
          <w:u w:val="single"/>
        </w:rPr>
        <w:t>内完成支付</w:t>
      </w:r>
      <w:r>
        <w:rPr>
          <w:rFonts w:hint="eastAsia" w:ascii="宋体" w:cs="宋体"/>
          <w:szCs w:val="21"/>
        </w:rPr>
        <w:t>。</w:t>
      </w:r>
    </w:p>
    <w:p w14:paraId="497FE8DB">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发包人逾期支付进度款的违约金的计算方式：</w:t>
      </w:r>
      <w:r>
        <w:rPr>
          <w:rFonts w:hint="eastAsia" w:ascii="宋体" w:cs="宋体"/>
          <w:color w:val="auto"/>
          <w:szCs w:val="21"/>
          <w:u w:val="single"/>
        </w:rPr>
        <w:t xml:space="preserve">   不采用   </w:t>
      </w:r>
      <w:r>
        <w:rPr>
          <w:rFonts w:hint="eastAsia" w:ascii="宋体" w:cs="宋体"/>
          <w:color w:val="auto"/>
          <w:szCs w:val="21"/>
        </w:rPr>
        <w:t>。</w:t>
      </w:r>
    </w:p>
    <w:p w14:paraId="3BEA80C7">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color w:val="auto"/>
          <w:szCs w:val="21"/>
          <w:highlight w:val="none"/>
        </w:rPr>
      </w:pPr>
      <w:r>
        <w:rPr>
          <w:rFonts w:hint="eastAsia" w:ascii="宋体" w:cs="宋体"/>
          <w:color w:val="auto"/>
          <w:szCs w:val="21"/>
          <w:highlight w:val="none"/>
        </w:rPr>
        <w:t>12.4.6 支付分解表的编制</w:t>
      </w:r>
    </w:p>
    <w:p w14:paraId="6CC2411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u w:val="single"/>
        </w:rPr>
      </w:pPr>
      <w:r>
        <w:rPr>
          <w:rFonts w:hint="eastAsia" w:ascii="宋体" w:hAnsi="宋体" w:cs="宋体"/>
          <w:color w:val="000000"/>
        </w:rPr>
        <w:t>(2)总价合同支付分解表的编制与审批：</w:t>
      </w:r>
      <w:r>
        <w:rPr>
          <w:rFonts w:hint="eastAsia" w:ascii="宋体" w:hAnsi="宋体" w:cs="宋体"/>
          <w:color w:val="000000"/>
          <w:u w:val="single"/>
        </w:rPr>
        <w:t xml:space="preserve">  /  </w:t>
      </w:r>
      <w:r>
        <w:rPr>
          <w:rFonts w:hint="eastAsia" w:ascii="宋体" w:hAnsi="宋体" w:cs="宋体"/>
          <w:color w:val="000000"/>
        </w:rPr>
        <w:t>。</w:t>
      </w:r>
    </w:p>
    <w:p w14:paraId="027D82E8">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szCs w:val="21"/>
          <w:u w:val="single"/>
        </w:rPr>
      </w:pPr>
      <w:r>
        <w:rPr>
          <w:rFonts w:hint="eastAsia" w:ascii="宋体" w:hAnsi="宋体" w:cs="宋体"/>
          <w:color w:val="000000"/>
        </w:rPr>
        <w:t>(3)单价合同的总价项目支付分解表的编制与审批：</w:t>
      </w:r>
      <w:r>
        <w:rPr>
          <w:rFonts w:hint="eastAsia" w:ascii="宋体" w:hAnsi="宋体" w:cs="宋体"/>
          <w:color w:val="000000"/>
          <w:u w:val="single"/>
        </w:rPr>
        <w:t xml:space="preserve">  /  </w:t>
      </w:r>
      <w:r>
        <w:rPr>
          <w:rFonts w:hint="eastAsia" w:ascii="宋体" w:hAnsi="宋体" w:cs="宋体"/>
          <w:color w:val="000000"/>
        </w:rPr>
        <w:t>。</w:t>
      </w:r>
    </w:p>
    <w:p w14:paraId="40F5896D">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cs="宋体"/>
          <w:b/>
          <w:color w:val="000000"/>
          <w:highlight w:val="none"/>
        </w:rPr>
      </w:pPr>
      <w:r>
        <w:rPr>
          <w:rFonts w:hint="eastAsia" w:ascii="宋体" w:hAnsi="宋体" w:cs="宋体"/>
          <w:b/>
          <w:color w:val="000000"/>
          <w:highlight w:val="none"/>
        </w:rPr>
        <w:t>12.4.7 农民工工资管理（</w:t>
      </w:r>
      <w:r>
        <w:rPr>
          <w:rFonts w:hint="eastAsia" w:ascii="宋体" w:hAnsi="宋体" w:cs="宋体"/>
          <w:b/>
          <w:color w:val="000000"/>
          <w:highlight w:val="none"/>
          <w:lang w:val="en-US" w:eastAsia="zh-CN"/>
        </w:rPr>
        <w:t>不采用</w:t>
      </w:r>
      <w:r>
        <w:rPr>
          <w:rFonts w:hint="eastAsia" w:ascii="宋体" w:hAnsi="宋体" w:cs="宋体"/>
          <w:b/>
          <w:color w:val="000000"/>
          <w:highlight w:val="none"/>
        </w:rPr>
        <w:t>）</w:t>
      </w:r>
    </w:p>
    <w:p w14:paraId="7031B0A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Cs/>
          <w:color w:val="000000"/>
          <w:highlight w:val="none"/>
          <w:lang w:eastAsia="zh-CN"/>
        </w:rPr>
      </w:pPr>
      <w:r>
        <w:rPr>
          <w:rFonts w:hint="eastAsia" w:ascii="宋体" w:hAnsi="宋体" w:cs="宋体"/>
          <w:bCs/>
          <w:color w:val="000000"/>
          <w:highlight w:val="none"/>
        </w:rPr>
        <w:t>(1)本工程农民工工资实行专用账户管理，承包人设立的专用账户开户行为</w:t>
      </w:r>
      <w:r>
        <w:rPr>
          <w:rFonts w:hint="eastAsia" w:ascii="宋体" w:hAnsi="宋体" w:cs="宋体"/>
          <w:bCs/>
          <w:color w:val="000000"/>
          <w:highlight w:val="none"/>
          <w:u w:val="single"/>
        </w:rPr>
        <w:t>：</w:t>
      </w:r>
      <w:r>
        <w:rPr>
          <w:rFonts w:hint="eastAsia" w:ascii="宋体" w:hAnsi="宋体" w:cs="宋体"/>
          <w:bCs/>
          <w:color w:val="000000"/>
          <w:highlight w:val="none"/>
          <w:u w:val="single"/>
          <w:lang w:val="en-US" w:eastAsia="zh-CN"/>
        </w:rPr>
        <w:t>/</w:t>
      </w:r>
      <w:r>
        <w:rPr>
          <w:rFonts w:hint="eastAsia" w:ascii="宋体" w:hAnsi="宋体" w:cs="宋体"/>
          <w:bCs/>
          <w:color w:val="000000"/>
          <w:highlight w:val="none"/>
        </w:rPr>
        <w:t>，账号：</w:t>
      </w:r>
      <w:r>
        <w:rPr>
          <w:rFonts w:hint="eastAsia" w:ascii="宋体" w:hAnsi="宋体" w:cs="宋体"/>
          <w:bCs/>
          <w:color w:val="000000"/>
          <w:highlight w:val="none"/>
          <w:u w:val="single"/>
          <w:lang w:val="en-US" w:eastAsia="zh-CN"/>
        </w:rPr>
        <w:t>/</w:t>
      </w:r>
      <w:r>
        <w:rPr>
          <w:rFonts w:hint="eastAsia" w:ascii="宋体" w:hAnsi="宋体" w:cs="宋体"/>
          <w:bCs/>
          <w:color w:val="000000"/>
          <w:highlight w:val="none"/>
          <w:lang w:eastAsia="zh-CN"/>
        </w:rPr>
        <w:t>；</w:t>
      </w:r>
    </w:p>
    <w:p w14:paraId="7102B37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strike/>
          <w:dstrike w:val="0"/>
          <w:color w:val="000000"/>
          <w:highlight w:val="none"/>
        </w:rPr>
      </w:pPr>
      <w:r>
        <w:rPr>
          <w:rFonts w:hint="eastAsia" w:ascii="宋体" w:hAnsi="宋体" w:cs="宋体"/>
          <w:bCs/>
          <w:strike w:val="0"/>
          <w:dstrike w:val="0"/>
          <w:color w:val="000000"/>
          <w:highlight w:val="none"/>
        </w:rPr>
        <w:t>(</w:t>
      </w:r>
      <w:r>
        <w:rPr>
          <w:rFonts w:hint="eastAsia" w:ascii="宋体" w:hAnsi="宋体" w:cs="宋体"/>
          <w:bCs/>
          <w:strike w:val="0"/>
          <w:dstrike w:val="0"/>
          <w:color w:val="000000"/>
          <w:highlight w:val="none"/>
          <w:lang w:val="en-US" w:eastAsia="zh-CN"/>
        </w:rPr>
        <w:t>2</w:t>
      </w:r>
      <w:r>
        <w:rPr>
          <w:rFonts w:hint="eastAsia" w:ascii="宋体" w:hAnsi="宋体" w:cs="宋体"/>
          <w:bCs/>
          <w:strike w:val="0"/>
          <w:dstrike w:val="0"/>
          <w:color w:val="000000"/>
          <w:highlight w:val="none"/>
        </w:rPr>
        <w:t>)发包人</w:t>
      </w:r>
      <w:r>
        <w:rPr>
          <w:rFonts w:hint="eastAsia" w:ascii="宋体" w:hAnsi="宋体" w:cs="宋体"/>
          <w:bCs/>
          <w:strike w:val="0"/>
          <w:dstrike w:val="0"/>
          <w:color w:val="000000"/>
          <w:highlight w:val="none"/>
          <w:lang w:eastAsia="zh-CN"/>
        </w:rPr>
        <w:t>将按当期计量支付一定比例（一般情况下不低于</w:t>
      </w:r>
      <w:r>
        <w:rPr>
          <w:rFonts w:hint="eastAsia" w:ascii="宋体" w:hAnsi="宋体" w:cs="宋体"/>
          <w:bCs/>
          <w:strike w:val="0"/>
          <w:dstrike w:val="0"/>
          <w:color w:val="000000"/>
          <w:highlight w:val="none"/>
          <w:lang w:val="en-US" w:eastAsia="zh-CN"/>
        </w:rPr>
        <w:t>12%</w:t>
      </w:r>
      <w:r>
        <w:rPr>
          <w:rFonts w:hint="eastAsia" w:ascii="宋体" w:hAnsi="宋体" w:cs="宋体"/>
          <w:bCs/>
          <w:strike w:val="0"/>
          <w:dstrike w:val="0"/>
          <w:color w:val="000000"/>
          <w:highlight w:val="none"/>
          <w:lang w:eastAsia="zh-CN"/>
        </w:rPr>
        <w:t>）的</w:t>
      </w:r>
      <w:r>
        <w:rPr>
          <w:rFonts w:hint="eastAsia" w:ascii="宋体" w:hAnsi="宋体" w:cs="宋体"/>
          <w:bCs/>
          <w:strike w:val="0"/>
          <w:dstrike w:val="0"/>
          <w:color w:val="000000"/>
          <w:highlight w:val="none"/>
        </w:rPr>
        <w:t>进度款转入农民工工资专用账户。</w:t>
      </w:r>
    </w:p>
    <w:p w14:paraId="0629DC3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color w:val="000000"/>
          <w:highlight w:val="none"/>
        </w:rPr>
      </w:pPr>
      <w:r>
        <w:rPr>
          <w:rFonts w:hint="eastAsia" w:ascii="宋体" w:hAnsi="宋体" w:cs="宋体"/>
          <w:bCs/>
          <w:color w:val="000000"/>
          <w:highlight w:val="none"/>
        </w:rPr>
        <w:t>(</w:t>
      </w:r>
      <w:r>
        <w:rPr>
          <w:rFonts w:hint="eastAsia" w:ascii="宋体" w:hAnsi="宋体" w:cs="宋体"/>
          <w:bCs/>
          <w:color w:val="000000"/>
          <w:highlight w:val="none"/>
          <w:lang w:val="en-US" w:eastAsia="zh-CN"/>
        </w:rPr>
        <w:t>3</w:t>
      </w:r>
      <w:r>
        <w:rPr>
          <w:rFonts w:hint="eastAsia" w:ascii="宋体" w:hAnsi="宋体" w:cs="宋体"/>
          <w:bCs/>
          <w:color w:val="000000"/>
          <w:highlight w:val="none"/>
        </w:rPr>
        <w:t>)承包人每月25日前上报本工程农民工工资清单，每月10日前委托开设农民工工资专用账户的银行支付农民工工资。</w:t>
      </w:r>
    </w:p>
    <w:p w14:paraId="61B132BB">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color w:val="000000"/>
          <w:highlight w:val="none"/>
        </w:rPr>
      </w:pPr>
      <w:r>
        <w:rPr>
          <w:rFonts w:hint="eastAsia" w:ascii="宋体" w:hAnsi="宋体" w:cs="宋体"/>
          <w:bCs/>
          <w:color w:val="000000"/>
          <w:highlight w:val="none"/>
        </w:rPr>
        <w:t>(</w:t>
      </w:r>
      <w:r>
        <w:rPr>
          <w:rFonts w:hint="eastAsia" w:ascii="宋体" w:hAnsi="宋体" w:cs="宋体"/>
          <w:bCs/>
          <w:color w:val="000000"/>
          <w:highlight w:val="none"/>
          <w:lang w:val="en-US" w:eastAsia="zh-CN"/>
        </w:rPr>
        <w:t>4</w:t>
      </w:r>
      <w:r>
        <w:rPr>
          <w:rFonts w:hint="eastAsia" w:ascii="宋体" w:hAnsi="宋体" w:cs="宋体"/>
          <w:bCs/>
          <w:color w:val="000000"/>
          <w:highlight w:val="none"/>
        </w:rPr>
        <w:t>)工程竣工后，经项目部农民工维权组确认无农民工工资拖欠后，发、承双方办理农民工工资专用账户撤销手续，农民工工资专用账户余额划至本合同约定的承包人账户。</w:t>
      </w:r>
    </w:p>
    <w:p w14:paraId="57B68465">
      <w:pPr>
        <w:pStyle w:val="9"/>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13. 验收和工程试车</w:t>
      </w:r>
    </w:p>
    <w:p w14:paraId="0E25E4A7">
      <w:pPr>
        <w:snapToGrid w:val="0"/>
        <w:spacing w:line="440" w:lineRule="exact"/>
        <w:ind w:firstLine="420" w:firstLineChars="200"/>
        <w:rPr>
          <w:rFonts w:hint="eastAsia" w:ascii="宋体" w:cs="宋体"/>
          <w:szCs w:val="21"/>
        </w:rPr>
      </w:pPr>
      <w:r>
        <w:rPr>
          <w:rFonts w:hint="eastAsia" w:ascii="宋体" w:cs="宋体"/>
          <w:szCs w:val="21"/>
        </w:rPr>
        <w:t>13.1 分部分项工程验收</w:t>
      </w:r>
    </w:p>
    <w:p w14:paraId="074CAD8F">
      <w:pPr>
        <w:snapToGrid w:val="0"/>
        <w:spacing w:line="440" w:lineRule="exact"/>
        <w:ind w:firstLine="420" w:firstLineChars="200"/>
        <w:jc w:val="left"/>
        <w:rPr>
          <w:rFonts w:hint="eastAsia" w:ascii="宋体" w:cs="宋体"/>
          <w:szCs w:val="21"/>
        </w:rPr>
      </w:pPr>
      <w:r>
        <w:rPr>
          <w:rFonts w:hint="eastAsia" w:ascii="宋体" w:cs="宋体"/>
          <w:szCs w:val="21"/>
        </w:rPr>
        <w:t>13.1.2监理人不能按时进行验收时，应提前</w:t>
      </w:r>
      <w:r>
        <w:rPr>
          <w:rFonts w:hint="eastAsia" w:ascii="宋体" w:cs="宋体"/>
          <w:szCs w:val="21"/>
          <w:u w:val="single"/>
        </w:rPr>
        <w:t xml:space="preserve"> </w:t>
      </w:r>
      <w:r>
        <w:rPr>
          <w:rFonts w:hint="eastAsia" w:ascii="宋体" w:cs="宋体"/>
          <w:szCs w:val="21"/>
          <w:u w:val="single"/>
          <w:lang w:val="en-US" w:eastAsia="zh-CN"/>
        </w:rPr>
        <w:t>24</w:t>
      </w:r>
      <w:r>
        <w:rPr>
          <w:rFonts w:hint="eastAsia" w:ascii="宋体" w:cs="宋体"/>
          <w:szCs w:val="21"/>
          <w:u w:val="single"/>
        </w:rPr>
        <w:t xml:space="preserve"> </w:t>
      </w:r>
      <w:r>
        <w:rPr>
          <w:rFonts w:hint="eastAsia" w:ascii="宋体" w:cs="宋体"/>
          <w:szCs w:val="21"/>
        </w:rPr>
        <w:t>小时提交书面延期要求。</w:t>
      </w:r>
    </w:p>
    <w:p w14:paraId="08571564">
      <w:pPr>
        <w:snapToGrid w:val="0"/>
        <w:spacing w:line="440" w:lineRule="exact"/>
        <w:ind w:firstLine="420" w:firstLineChars="200"/>
        <w:jc w:val="left"/>
        <w:rPr>
          <w:rFonts w:hint="eastAsia" w:ascii="宋体" w:cs="宋体"/>
          <w:szCs w:val="21"/>
        </w:rPr>
      </w:pPr>
      <w:r>
        <w:rPr>
          <w:rFonts w:hint="eastAsia" w:ascii="宋体" w:cs="宋体"/>
          <w:szCs w:val="21"/>
        </w:rPr>
        <w:t>关于延期最长不得超过：</w:t>
      </w:r>
      <w:r>
        <w:rPr>
          <w:rFonts w:hint="eastAsia" w:ascii="宋体" w:cs="宋体"/>
          <w:szCs w:val="21"/>
          <w:u w:val="single"/>
        </w:rPr>
        <w:t xml:space="preserve"> </w:t>
      </w:r>
      <w:r>
        <w:rPr>
          <w:rFonts w:hint="eastAsia" w:ascii="宋体" w:cs="宋体"/>
          <w:szCs w:val="21"/>
          <w:u w:val="single"/>
          <w:lang w:val="en-US" w:eastAsia="zh-CN"/>
        </w:rPr>
        <w:t>48</w:t>
      </w:r>
      <w:r>
        <w:rPr>
          <w:rFonts w:hint="eastAsia" w:ascii="宋体" w:cs="宋体"/>
          <w:szCs w:val="21"/>
          <w:u w:val="single"/>
        </w:rPr>
        <w:t xml:space="preserve">  </w:t>
      </w:r>
      <w:r>
        <w:rPr>
          <w:rFonts w:hint="eastAsia" w:ascii="宋体" w:cs="宋体"/>
          <w:szCs w:val="21"/>
        </w:rPr>
        <w:t>小时。</w:t>
      </w:r>
    </w:p>
    <w:p w14:paraId="4311906F">
      <w:pPr>
        <w:wordWrap w:val="0"/>
        <w:snapToGrid w:val="0"/>
        <w:spacing w:line="440" w:lineRule="exact"/>
        <w:ind w:firstLine="420" w:firstLineChars="200"/>
        <w:textAlignment w:val="bottom"/>
        <w:rPr>
          <w:rFonts w:hint="eastAsia" w:ascii="宋体" w:cs="宋体"/>
          <w:szCs w:val="21"/>
        </w:rPr>
      </w:pPr>
      <w:r>
        <w:rPr>
          <w:rFonts w:hint="eastAsia" w:ascii="宋体" w:cs="宋体"/>
          <w:szCs w:val="21"/>
        </w:rPr>
        <w:t>13.2 竣工验收</w:t>
      </w:r>
    </w:p>
    <w:p w14:paraId="60A871A1">
      <w:pPr>
        <w:snapToGrid w:val="0"/>
        <w:spacing w:line="440" w:lineRule="exact"/>
        <w:ind w:firstLine="420" w:firstLineChars="200"/>
        <w:jc w:val="left"/>
        <w:rPr>
          <w:rFonts w:hint="eastAsia" w:ascii="宋体" w:cs="宋体"/>
          <w:szCs w:val="21"/>
        </w:rPr>
      </w:pPr>
      <w:r>
        <w:rPr>
          <w:rFonts w:hint="eastAsia" w:ascii="宋体" w:cs="宋体"/>
          <w:szCs w:val="21"/>
        </w:rPr>
        <w:t>13.2.2竣工验收程序</w:t>
      </w:r>
    </w:p>
    <w:p w14:paraId="168ACE07">
      <w:pPr>
        <w:wordWrap w:val="0"/>
        <w:snapToGrid w:val="0"/>
        <w:spacing w:line="440" w:lineRule="exact"/>
        <w:ind w:firstLine="420" w:firstLineChars="200"/>
        <w:jc w:val="left"/>
        <w:rPr>
          <w:rFonts w:hint="eastAsia" w:ascii="宋体" w:cs="宋体"/>
          <w:szCs w:val="21"/>
        </w:rPr>
      </w:pPr>
      <w:r>
        <w:rPr>
          <w:rFonts w:hint="eastAsia" w:ascii="宋体" w:cs="宋体"/>
          <w:szCs w:val="21"/>
        </w:rPr>
        <w:t>关于竣工验收程序的约定：</w:t>
      </w:r>
      <w:r>
        <w:rPr>
          <w:rFonts w:hint="eastAsia" w:ascii="宋体" w:hAnsi="宋体" w:cs="宋体"/>
          <w:color w:val="auto"/>
          <w:szCs w:val="21"/>
          <w:highlight w:val="none"/>
          <w:u w:val="single"/>
        </w:rPr>
        <w:t>执行通用条款</w:t>
      </w:r>
      <w:r>
        <w:rPr>
          <w:rFonts w:ascii="宋体" w:hAnsi="宋体" w:cs="宋体"/>
          <w:color w:val="auto"/>
          <w:szCs w:val="21"/>
          <w:highlight w:val="none"/>
          <w:u w:val="single"/>
        </w:rPr>
        <w:t xml:space="preserve">  </w:t>
      </w:r>
      <w:r>
        <w:rPr>
          <w:rFonts w:hint="eastAsia" w:ascii="宋体" w:cs="宋体"/>
          <w:szCs w:val="21"/>
          <w:u w:val="single"/>
        </w:rPr>
        <w:t>。</w:t>
      </w:r>
    </w:p>
    <w:p w14:paraId="609E1968">
      <w:pPr>
        <w:wordWrap w:val="0"/>
        <w:snapToGrid w:val="0"/>
        <w:spacing w:line="440" w:lineRule="exact"/>
        <w:ind w:firstLine="420" w:firstLineChars="200"/>
        <w:jc w:val="left"/>
        <w:rPr>
          <w:rFonts w:hint="eastAsia" w:ascii="宋体" w:cs="宋体"/>
          <w:szCs w:val="21"/>
          <w:u w:val="single"/>
        </w:rPr>
      </w:pPr>
      <w:r>
        <w:rPr>
          <w:rFonts w:hint="eastAsia" w:ascii="宋体" w:cs="宋体"/>
          <w:kern w:val="0"/>
          <w:szCs w:val="21"/>
        </w:rPr>
        <w:t>发包人不按照本项约定组织竣工验收、颁发工程接收证书的违约金的计算方法：</w:t>
      </w:r>
      <w:r>
        <w:rPr>
          <w:rFonts w:hint="eastAsia" w:ascii="宋体" w:cs="宋体"/>
          <w:szCs w:val="21"/>
          <w:u w:val="single"/>
        </w:rPr>
        <w:t xml:space="preserve">  不考虑 </w:t>
      </w:r>
      <w:r>
        <w:rPr>
          <w:rFonts w:hint="eastAsia" w:ascii="宋体" w:cs="宋体"/>
          <w:szCs w:val="21"/>
        </w:rPr>
        <w:t>。</w:t>
      </w:r>
    </w:p>
    <w:p w14:paraId="63B9CDA6">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szCs w:val="21"/>
        </w:rPr>
      </w:pPr>
      <w:r>
        <w:rPr>
          <w:rFonts w:hint="eastAsia" w:ascii="宋体" w:cs="宋体"/>
          <w:szCs w:val="21"/>
        </w:rPr>
        <w:t>13.2.5移交、接收全部与部分工程</w:t>
      </w:r>
    </w:p>
    <w:p w14:paraId="2FE239F5">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kern w:val="0"/>
          <w:szCs w:val="21"/>
        </w:rPr>
      </w:pPr>
      <w:r>
        <w:rPr>
          <w:rFonts w:hint="eastAsia" w:ascii="宋体" w:cs="宋体"/>
          <w:kern w:val="0"/>
          <w:szCs w:val="21"/>
        </w:rPr>
        <w:t>承包人向发包人移交工程的期限：</w:t>
      </w:r>
      <w:r>
        <w:rPr>
          <w:rFonts w:hint="eastAsia" w:ascii="宋体" w:cs="宋体"/>
          <w:szCs w:val="21"/>
          <w:u w:val="single"/>
        </w:rPr>
        <w:t xml:space="preserve"> </w:t>
      </w:r>
      <w:r>
        <w:rPr>
          <w:rFonts w:hint="eastAsia" w:ascii="宋体" w:hAnsi="宋体" w:cs="宋体"/>
          <w:color w:val="000000"/>
          <w:szCs w:val="21"/>
          <w:u w:val="single"/>
          <w:lang w:val="en-US" w:eastAsia="zh-CN"/>
        </w:rPr>
        <w:t>工程竣工验收合格</w:t>
      </w:r>
      <w:r>
        <w:rPr>
          <w:rFonts w:hint="eastAsia" w:ascii="宋体" w:hAnsi="宋体" w:cs="宋体"/>
          <w:color w:val="auto"/>
          <w:szCs w:val="21"/>
          <w:u w:val="single"/>
        </w:rPr>
        <w:t>后</w:t>
      </w:r>
      <w:r>
        <w:rPr>
          <w:rFonts w:hint="eastAsia" w:ascii="宋体" w:hAnsi="宋体" w:cs="宋体"/>
          <w:color w:val="auto"/>
          <w:szCs w:val="21"/>
          <w:u w:val="single"/>
          <w:lang w:val="en-US" w:eastAsia="zh-CN"/>
        </w:rPr>
        <w:t>根据发包人要求的时间内</w:t>
      </w:r>
      <w:r>
        <w:rPr>
          <w:rFonts w:hint="eastAsia" w:ascii="宋体" w:hAnsi="宋体" w:cs="宋体"/>
          <w:color w:val="000000"/>
          <w:szCs w:val="21"/>
          <w:u w:val="single"/>
        </w:rPr>
        <w:t>完成工程的移交</w:t>
      </w:r>
      <w:r>
        <w:rPr>
          <w:rFonts w:hint="eastAsia" w:ascii="宋体" w:cs="宋体"/>
          <w:szCs w:val="21"/>
          <w:u w:val="single"/>
        </w:rPr>
        <w:t>。</w:t>
      </w:r>
    </w:p>
    <w:p w14:paraId="61F5445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u w:val="single"/>
        </w:rPr>
      </w:pPr>
      <w:r>
        <w:rPr>
          <w:rFonts w:hint="eastAsia" w:ascii="宋体" w:hAnsi="宋体" w:cs="宋体"/>
          <w:color w:val="000000"/>
          <w:kern w:val="0"/>
        </w:rPr>
        <w:t>发包人未按本合同约定接收全部或部分工程的，违约金的计算方法为：</w:t>
      </w:r>
      <w:r>
        <w:rPr>
          <w:rFonts w:hint="eastAsia" w:ascii="宋体" w:hAnsi="宋体" w:cs="宋体"/>
          <w:color w:val="000000"/>
          <w:szCs w:val="21"/>
          <w:u w:val="single"/>
        </w:rPr>
        <w:t>发包人自应当接收工程之日起，承担工程照管、成品保护、保管等与工程有关的各项费用</w:t>
      </w:r>
      <w:r>
        <w:rPr>
          <w:rFonts w:hint="eastAsia" w:ascii="宋体" w:hAnsi="宋体" w:cs="宋体"/>
          <w:color w:val="000000"/>
        </w:rPr>
        <w:t>。</w:t>
      </w:r>
    </w:p>
    <w:p w14:paraId="7B23BE0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u w:val="single"/>
        </w:rPr>
      </w:pPr>
      <w:r>
        <w:rPr>
          <w:rFonts w:hint="eastAsia" w:ascii="宋体" w:hAnsi="宋体" w:cs="宋体"/>
          <w:color w:val="000000"/>
        </w:rPr>
        <w:t>承包人未按时移交工程的，违约金的计算方法为：</w:t>
      </w:r>
      <w:r>
        <w:rPr>
          <w:rFonts w:hint="eastAsia" w:ascii="宋体" w:hAnsi="宋体" w:cs="宋体"/>
          <w:color w:val="000000"/>
          <w:szCs w:val="21"/>
          <w:u w:val="single"/>
        </w:rPr>
        <w:t>承包人应承担工程照管、成品保护、保管等与工程有关的各项费用</w:t>
      </w:r>
      <w:r>
        <w:rPr>
          <w:rFonts w:hint="eastAsia" w:ascii="宋体" w:hAnsi="宋体" w:cs="宋体"/>
          <w:color w:val="000000"/>
        </w:rPr>
        <w:t>。</w:t>
      </w:r>
    </w:p>
    <w:p w14:paraId="69750784">
      <w:pPr>
        <w:snapToGrid w:val="0"/>
        <w:spacing w:line="440" w:lineRule="exact"/>
        <w:ind w:firstLine="420" w:firstLineChars="200"/>
        <w:rPr>
          <w:rFonts w:hint="eastAsia" w:ascii="宋体" w:cs="宋体"/>
          <w:color w:val="auto"/>
          <w:szCs w:val="21"/>
        </w:rPr>
      </w:pPr>
      <w:r>
        <w:rPr>
          <w:rFonts w:hint="eastAsia" w:ascii="宋体" w:cs="宋体"/>
          <w:color w:val="auto"/>
          <w:szCs w:val="21"/>
        </w:rPr>
        <w:t>13.3 工程试车</w:t>
      </w:r>
    </w:p>
    <w:p w14:paraId="77C2EB8B">
      <w:pPr>
        <w:snapToGrid w:val="0"/>
        <w:spacing w:line="440" w:lineRule="exact"/>
        <w:ind w:firstLine="420" w:firstLineChars="200"/>
        <w:jc w:val="left"/>
        <w:rPr>
          <w:rFonts w:hint="eastAsia" w:ascii="宋体" w:cs="宋体"/>
          <w:kern w:val="0"/>
          <w:szCs w:val="21"/>
        </w:rPr>
      </w:pPr>
      <w:r>
        <w:rPr>
          <w:rFonts w:hint="eastAsia" w:ascii="宋体" w:cs="宋体"/>
          <w:kern w:val="0"/>
          <w:szCs w:val="21"/>
        </w:rPr>
        <w:t>13.3.1 试车程序</w:t>
      </w:r>
    </w:p>
    <w:p w14:paraId="7C418FC2">
      <w:pPr>
        <w:snapToGrid w:val="0"/>
        <w:spacing w:line="440" w:lineRule="exact"/>
        <w:ind w:firstLine="420" w:firstLineChars="200"/>
        <w:jc w:val="left"/>
        <w:rPr>
          <w:rFonts w:hint="eastAsia" w:ascii="宋体" w:cs="宋体"/>
          <w:szCs w:val="21"/>
          <w:u w:val="single"/>
        </w:rPr>
      </w:pPr>
      <w:r>
        <w:rPr>
          <w:rFonts w:hint="eastAsia" w:ascii="宋体" w:cs="宋体"/>
          <w:kern w:val="0"/>
          <w:szCs w:val="21"/>
        </w:rPr>
        <w:t>工程试车内容：</w:t>
      </w:r>
      <w:r>
        <w:rPr>
          <w:rFonts w:hint="eastAsia" w:ascii="宋体" w:cs="宋体"/>
          <w:szCs w:val="21"/>
          <w:u w:val="single"/>
        </w:rPr>
        <w:t>工程需要试车的，试车内容应与承包人承包范围相一致，试车费用由承包人承担。</w:t>
      </w:r>
    </w:p>
    <w:p w14:paraId="140554A2">
      <w:pPr>
        <w:snapToGrid w:val="0"/>
        <w:spacing w:line="440" w:lineRule="exact"/>
        <w:ind w:firstLine="420" w:firstLineChars="200"/>
        <w:jc w:val="left"/>
        <w:rPr>
          <w:rFonts w:hint="eastAsia" w:ascii="宋体" w:cs="宋体"/>
          <w:kern w:val="0"/>
          <w:szCs w:val="21"/>
        </w:rPr>
      </w:pPr>
      <w:r>
        <w:rPr>
          <w:rFonts w:hint="eastAsia" w:ascii="宋体" w:cs="宋体"/>
          <w:kern w:val="0"/>
          <w:szCs w:val="21"/>
        </w:rPr>
        <w:t>（1）单机无负荷试车费用由</w:t>
      </w:r>
      <w:r>
        <w:rPr>
          <w:rFonts w:hint="eastAsia" w:ascii="宋体" w:cs="宋体"/>
          <w:szCs w:val="21"/>
          <w:u w:val="single"/>
        </w:rPr>
        <w:t xml:space="preserve">  承包人  </w:t>
      </w:r>
      <w:r>
        <w:rPr>
          <w:rFonts w:hint="eastAsia" w:ascii="宋体" w:cs="宋体"/>
          <w:kern w:val="0"/>
          <w:szCs w:val="21"/>
        </w:rPr>
        <w:t>承担；</w:t>
      </w:r>
    </w:p>
    <w:p w14:paraId="3B6AD9C6">
      <w:pPr>
        <w:snapToGrid w:val="0"/>
        <w:spacing w:line="440" w:lineRule="exact"/>
        <w:ind w:firstLine="420" w:firstLineChars="200"/>
        <w:jc w:val="left"/>
        <w:rPr>
          <w:rFonts w:hint="eastAsia" w:ascii="宋体" w:cs="宋体"/>
          <w:kern w:val="0"/>
          <w:szCs w:val="21"/>
        </w:rPr>
      </w:pPr>
      <w:r>
        <w:rPr>
          <w:rFonts w:hint="eastAsia" w:ascii="宋体" w:cs="宋体"/>
          <w:kern w:val="0"/>
          <w:szCs w:val="21"/>
        </w:rPr>
        <w:t>（2）无负荷联动试车费用由</w:t>
      </w:r>
      <w:r>
        <w:rPr>
          <w:rFonts w:hint="eastAsia" w:ascii="宋体" w:cs="宋体"/>
          <w:szCs w:val="21"/>
          <w:u w:val="single"/>
        </w:rPr>
        <w:t xml:space="preserve">  承包人  </w:t>
      </w:r>
      <w:r>
        <w:rPr>
          <w:rFonts w:hint="eastAsia" w:ascii="宋体" w:cs="宋体"/>
          <w:kern w:val="0"/>
          <w:szCs w:val="21"/>
        </w:rPr>
        <w:t>承担。</w:t>
      </w:r>
    </w:p>
    <w:p w14:paraId="1B5B61A8">
      <w:pPr>
        <w:snapToGrid w:val="0"/>
        <w:spacing w:line="440" w:lineRule="exact"/>
        <w:ind w:firstLine="420" w:firstLineChars="200"/>
        <w:jc w:val="left"/>
        <w:rPr>
          <w:rFonts w:hint="eastAsia" w:ascii="宋体" w:cs="宋体"/>
          <w:kern w:val="0"/>
          <w:szCs w:val="21"/>
        </w:rPr>
      </w:pPr>
      <w:r>
        <w:rPr>
          <w:rFonts w:hint="eastAsia" w:ascii="宋体" w:cs="宋体"/>
          <w:kern w:val="0"/>
          <w:szCs w:val="21"/>
        </w:rPr>
        <w:t>13.3.3 投料试车</w:t>
      </w:r>
    </w:p>
    <w:p w14:paraId="0ABBF0D2">
      <w:pPr>
        <w:snapToGrid w:val="0"/>
        <w:spacing w:line="440" w:lineRule="exact"/>
        <w:ind w:firstLine="420" w:firstLineChars="200"/>
        <w:jc w:val="left"/>
        <w:rPr>
          <w:rFonts w:hint="eastAsia" w:ascii="宋体" w:cs="宋体"/>
          <w:szCs w:val="21"/>
          <w:u w:val="single"/>
        </w:rPr>
      </w:pPr>
      <w:r>
        <w:rPr>
          <w:rFonts w:hint="eastAsia" w:ascii="宋体" w:cs="宋体"/>
          <w:kern w:val="0"/>
          <w:szCs w:val="21"/>
        </w:rPr>
        <w:t>关于投料试车相关事项的约定：</w:t>
      </w:r>
      <w:r>
        <w:rPr>
          <w:rFonts w:hint="eastAsia" w:ascii="宋体" w:hAnsi="宋体" w:cs="宋体"/>
          <w:color w:val="000000"/>
          <w:szCs w:val="21"/>
          <w:u w:val="single"/>
        </w:rPr>
        <w:t>执行通用条款</w:t>
      </w:r>
      <w:r>
        <w:rPr>
          <w:rFonts w:hint="eastAsia" w:ascii="宋体" w:cs="宋体"/>
          <w:kern w:val="0"/>
          <w:szCs w:val="21"/>
          <w:u w:val="single"/>
        </w:rPr>
        <w:t>。</w:t>
      </w:r>
    </w:p>
    <w:p w14:paraId="0C3FBF2D">
      <w:pPr>
        <w:snapToGrid w:val="0"/>
        <w:spacing w:line="440" w:lineRule="exact"/>
        <w:ind w:firstLine="420" w:firstLineChars="200"/>
        <w:rPr>
          <w:rFonts w:hint="eastAsia" w:ascii="宋体" w:cs="宋体"/>
          <w:szCs w:val="21"/>
        </w:rPr>
      </w:pPr>
      <w:r>
        <w:rPr>
          <w:rFonts w:hint="eastAsia" w:ascii="宋体" w:cs="宋体"/>
          <w:szCs w:val="21"/>
        </w:rPr>
        <w:t>13.6 竣工退场</w:t>
      </w:r>
    </w:p>
    <w:p w14:paraId="21984A5F">
      <w:pPr>
        <w:snapToGrid w:val="0"/>
        <w:spacing w:line="440" w:lineRule="exact"/>
        <w:ind w:firstLine="420" w:firstLineChars="200"/>
        <w:jc w:val="left"/>
        <w:rPr>
          <w:rFonts w:hint="eastAsia" w:ascii="宋体" w:cs="宋体"/>
          <w:kern w:val="0"/>
          <w:szCs w:val="21"/>
        </w:rPr>
      </w:pPr>
      <w:r>
        <w:rPr>
          <w:rFonts w:hint="eastAsia" w:ascii="宋体" w:cs="宋体"/>
          <w:kern w:val="0"/>
          <w:szCs w:val="21"/>
        </w:rPr>
        <w:t>13.6.1 竣工退场</w:t>
      </w:r>
    </w:p>
    <w:p w14:paraId="721C3CF1">
      <w:pPr>
        <w:snapToGrid w:val="0"/>
        <w:spacing w:line="440" w:lineRule="exact"/>
        <w:ind w:firstLine="420" w:firstLineChars="200"/>
        <w:jc w:val="left"/>
        <w:rPr>
          <w:rFonts w:hint="eastAsia" w:ascii="宋体" w:cs="宋体"/>
          <w:kern w:val="0"/>
          <w:szCs w:val="21"/>
        </w:rPr>
      </w:pPr>
      <w:r>
        <w:rPr>
          <w:rFonts w:hint="eastAsia" w:ascii="宋体" w:cs="宋体"/>
          <w:kern w:val="0"/>
          <w:szCs w:val="21"/>
        </w:rPr>
        <w:t>承包人完成竣工退场的期限：</w:t>
      </w:r>
      <w:r>
        <w:rPr>
          <w:rFonts w:hint="eastAsia" w:ascii="宋体" w:cs="宋体"/>
          <w:szCs w:val="21"/>
          <w:u w:val="single"/>
        </w:rPr>
        <w:t>工程竣工合格后，7天内退场。</w:t>
      </w:r>
    </w:p>
    <w:p w14:paraId="4ACF087A">
      <w:pPr>
        <w:pStyle w:val="9"/>
        <w:pageBreakBefore w:val="0"/>
        <w:widowControl w:val="0"/>
        <w:kinsoku/>
        <w:wordWrap/>
        <w:overflowPunct/>
        <w:topLinePunct w:val="0"/>
        <w:autoSpaceDE/>
        <w:autoSpaceDN/>
        <w:bidi w:val="0"/>
        <w:snapToGrid w:val="0"/>
        <w:spacing w:before="0" w:after="0" w:line="440" w:lineRule="exact"/>
        <w:ind w:firstLine="420" w:firstLineChars="200"/>
        <w:textAlignment w:val="auto"/>
        <w:rPr>
          <w:rFonts w:hint="eastAsia" w:ascii="宋体" w:eastAsia="宋体" w:cs="宋体"/>
          <w:b w:val="0"/>
          <w:sz w:val="21"/>
          <w:szCs w:val="21"/>
        </w:rPr>
      </w:pPr>
      <w:r>
        <w:rPr>
          <w:rFonts w:hint="eastAsia" w:ascii="宋体" w:eastAsia="宋体" w:cs="宋体"/>
          <w:b w:val="0"/>
          <w:sz w:val="21"/>
          <w:szCs w:val="21"/>
        </w:rPr>
        <w:t>14. 竣工结算</w:t>
      </w:r>
    </w:p>
    <w:p w14:paraId="48FCCD8B">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rPr>
      </w:pPr>
      <w:r>
        <w:rPr>
          <w:rFonts w:hint="eastAsia" w:ascii="宋体" w:cs="宋体"/>
          <w:szCs w:val="21"/>
        </w:rPr>
        <w:t>14.1 竣工付款申请</w:t>
      </w:r>
    </w:p>
    <w:p w14:paraId="1040422F">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szCs w:val="21"/>
        </w:rPr>
      </w:pPr>
      <w:r>
        <w:rPr>
          <w:rFonts w:hint="eastAsia" w:ascii="宋体" w:cs="宋体"/>
          <w:szCs w:val="21"/>
        </w:rPr>
        <w:t>承包人提交竣工付款申请单的期限：</w:t>
      </w:r>
      <w:r>
        <w:rPr>
          <w:rFonts w:hint="eastAsia" w:ascii="宋体" w:hAnsi="宋体" w:cs="宋体"/>
          <w:color w:val="000000"/>
          <w:szCs w:val="21"/>
          <w:u w:val="single"/>
        </w:rPr>
        <w:t>承包人应在工程竣工验收合格后28天内</w:t>
      </w:r>
      <w:r>
        <w:rPr>
          <w:rFonts w:hint="eastAsia" w:ascii="宋体" w:cs="宋体"/>
          <w:szCs w:val="21"/>
          <w:u w:val="single"/>
        </w:rPr>
        <w:t>。</w:t>
      </w:r>
    </w:p>
    <w:p w14:paraId="54CFBA26">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szCs w:val="21"/>
          <w:u w:val="single"/>
        </w:rPr>
      </w:pPr>
      <w:r>
        <w:rPr>
          <w:rFonts w:hint="eastAsia" w:ascii="宋体" w:cs="宋体"/>
          <w:szCs w:val="21"/>
        </w:rPr>
        <w:t>竣工结算申请单应包括的内容：</w:t>
      </w:r>
      <w:r>
        <w:rPr>
          <w:rFonts w:hint="eastAsia" w:ascii="宋体" w:hAnsi="宋体" w:cs="宋体"/>
          <w:color w:val="000000"/>
          <w:szCs w:val="21"/>
          <w:u w:val="single"/>
        </w:rPr>
        <w:t>执行通用条款</w:t>
      </w:r>
      <w:r>
        <w:rPr>
          <w:rFonts w:hint="eastAsia" w:ascii="宋体" w:cs="宋体"/>
          <w:szCs w:val="21"/>
          <w:u w:val="single"/>
        </w:rPr>
        <w:t>。</w:t>
      </w:r>
    </w:p>
    <w:p w14:paraId="0FF1F596">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szCs w:val="21"/>
        </w:rPr>
      </w:pPr>
      <w:r>
        <w:rPr>
          <w:rFonts w:hint="eastAsia" w:ascii="宋体" w:cs="宋体"/>
          <w:szCs w:val="21"/>
        </w:rPr>
        <w:t>14.2 竣工结算审核</w:t>
      </w:r>
    </w:p>
    <w:p w14:paraId="45532D5D">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eastAsia="宋体" w:cs="宋体"/>
          <w:szCs w:val="21"/>
          <w:lang w:val="en-US" w:eastAsia="zh-CN"/>
        </w:rPr>
      </w:pPr>
      <w:r>
        <w:rPr>
          <w:rFonts w:hint="eastAsia" w:ascii="宋体" w:hAnsi="Times New Roman" w:eastAsia="宋体" w:cs="宋体"/>
          <w:szCs w:val="21"/>
        </w:rPr>
        <w:t>发包人审批竣工付款申请单的期限：发包人应在收到监理人提交的经审核的竣工结算申请单后</w:t>
      </w:r>
      <w:r>
        <w:rPr>
          <w:rFonts w:hint="eastAsia" w:ascii="宋体" w:hAnsi="Times New Roman" w:eastAsia="宋体" w:cs="宋体"/>
          <w:szCs w:val="21"/>
          <w:lang w:val="en-US" w:eastAsia="zh-CN"/>
        </w:rPr>
        <w:t>30</w:t>
      </w:r>
      <w:r>
        <w:rPr>
          <w:rFonts w:hint="eastAsia" w:ascii="宋体" w:hAnsi="Times New Roman" w:eastAsia="宋体" w:cs="宋体"/>
          <w:szCs w:val="21"/>
        </w:rPr>
        <w:t>天内完成审批</w:t>
      </w:r>
      <w:r>
        <w:rPr>
          <w:rFonts w:hint="eastAsia" w:ascii="宋体" w:hAnsi="Times New Roman" w:eastAsia="宋体" w:cs="宋体"/>
          <w:szCs w:val="21"/>
          <w:lang w:eastAsia="zh-CN"/>
        </w:rPr>
        <w:t>。</w:t>
      </w:r>
    </w:p>
    <w:p w14:paraId="25182441">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cs="宋体"/>
          <w:szCs w:val="21"/>
        </w:rPr>
      </w:pPr>
      <w:r>
        <w:rPr>
          <w:rFonts w:hint="eastAsia" w:ascii="宋体" w:cs="宋体"/>
          <w:szCs w:val="21"/>
        </w:rPr>
        <w:t>发包人完成竣工付款的期限：</w:t>
      </w:r>
      <w:r>
        <w:rPr>
          <w:rFonts w:hint="eastAsia" w:ascii="宋体" w:hAnsi="宋体" w:cs="宋体"/>
          <w:color w:val="000000"/>
          <w:szCs w:val="21"/>
        </w:rPr>
        <w:t>发包人应在签发竣工付款证书后的</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30</w:t>
      </w:r>
      <w:r>
        <w:rPr>
          <w:rFonts w:hint="eastAsia" w:ascii="宋体" w:hAnsi="宋体" w:cs="宋体"/>
          <w:color w:val="000000"/>
          <w:szCs w:val="21"/>
          <w:u w:val="single"/>
        </w:rPr>
        <w:t xml:space="preserve">  </w:t>
      </w:r>
      <w:r>
        <w:rPr>
          <w:rFonts w:hint="eastAsia" w:ascii="宋体" w:hAnsi="宋体" w:cs="宋体"/>
          <w:color w:val="000000"/>
          <w:szCs w:val="21"/>
        </w:rPr>
        <w:t>天内，完成对承包人的竣工付款。</w:t>
      </w:r>
    </w:p>
    <w:p w14:paraId="0F251D9F">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color w:val="auto"/>
          <w:szCs w:val="21"/>
          <w:u w:val="single"/>
        </w:rPr>
      </w:pPr>
      <w:r>
        <w:rPr>
          <w:rFonts w:hint="eastAsia" w:ascii="宋体" w:cs="宋体"/>
          <w:color w:val="auto"/>
          <w:szCs w:val="21"/>
        </w:rPr>
        <w:t>关于竣工付款证书异议部分复核的方式和程序：</w:t>
      </w:r>
      <w:r>
        <w:rPr>
          <w:rFonts w:hint="eastAsia" w:ascii="宋体" w:hAnsi="宋体" w:cs="宋体"/>
          <w:color w:val="auto"/>
          <w:szCs w:val="21"/>
          <w:highlight w:val="none"/>
          <w:u w:val="single"/>
        </w:rPr>
        <w:t>按照第20条〔争议解决〕约定处理</w:t>
      </w:r>
      <w:r>
        <w:rPr>
          <w:rFonts w:hint="eastAsia" w:ascii="宋体" w:cs="宋体"/>
          <w:color w:val="auto"/>
          <w:szCs w:val="21"/>
          <w:u w:val="single"/>
        </w:rPr>
        <w:t>。</w:t>
      </w:r>
    </w:p>
    <w:p w14:paraId="39A10FA1">
      <w:pPr>
        <w:snapToGrid w:val="0"/>
        <w:spacing w:line="440" w:lineRule="exact"/>
        <w:ind w:firstLine="420" w:firstLineChars="200"/>
        <w:rPr>
          <w:rFonts w:hint="eastAsia" w:ascii="宋体" w:cs="宋体"/>
          <w:color w:val="auto"/>
          <w:szCs w:val="21"/>
        </w:rPr>
      </w:pPr>
      <w:r>
        <w:rPr>
          <w:rFonts w:hint="eastAsia" w:ascii="宋体" w:cs="宋体"/>
          <w:color w:val="auto"/>
          <w:szCs w:val="21"/>
        </w:rPr>
        <w:t>14.4 最终结清</w:t>
      </w:r>
    </w:p>
    <w:p w14:paraId="2E1B441A">
      <w:pPr>
        <w:snapToGrid w:val="0"/>
        <w:spacing w:line="440" w:lineRule="exact"/>
        <w:ind w:firstLine="420" w:firstLineChars="200"/>
        <w:jc w:val="left"/>
        <w:rPr>
          <w:rFonts w:hint="eastAsia" w:ascii="宋体" w:cs="宋体"/>
          <w:color w:val="auto"/>
          <w:kern w:val="0"/>
          <w:szCs w:val="21"/>
        </w:rPr>
      </w:pPr>
      <w:r>
        <w:rPr>
          <w:rFonts w:hint="eastAsia" w:ascii="宋体" w:cs="宋体"/>
          <w:color w:val="auto"/>
          <w:kern w:val="0"/>
          <w:szCs w:val="21"/>
        </w:rPr>
        <w:t>14.4.1 最终结清申请单</w:t>
      </w:r>
    </w:p>
    <w:p w14:paraId="15B31B73">
      <w:pPr>
        <w:snapToGrid w:val="0"/>
        <w:spacing w:line="440" w:lineRule="exact"/>
        <w:ind w:firstLine="420" w:firstLineChars="200"/>
        <w:jc w:val="left"/>
        <w:rPr>
          <w:rFonts w:hint="eastAsia" w:ascii="宋体" w:cs="宋体"/>
          <w:color w:val="auto"/>
          <w:kern w:val="0"/>
          <w:szCs w:val="21"/>
        </w:rPr>
      </w:pPr>
      <w:r>
        <w:rPr>
          <w:rFonts w:hint="eastAsia" w:ascii="宋体" w:cs="宋体"/>
          <w:color w:val="auto"/>
          <w:kern w:val="0"/>
          <w:szCs w:val="21"/>
        </w:rPr>
        <w:t>承包人提交最终结清申请单的份数：</w:t>
      </w:r>
      <w:r>
        <w:rPr>
          <w:rFonts w:hint="eastAsia" w:ascii="宋体" w:cs="宋体"/>
          <w:color w:val="auto"/>
          <w:szCs w:val="21"/>
          <w:u w:val="single"/>
        </w:rPr>
        <w:t xml:space="preserve"> 4份  </w:t>
      </w:r>
      <w:r>
        <w:rPr>
          <w:rFonts w:hint="eastAsia" w:ascii="宋体" w:cs="宋体"/>
          <w:color w:val="auto"/>
          <w:szCs w:val="21"/>
        </w:rPr>
        <w:t>。</w:t>
      </w:r>
    </w:p>
    <w:p w14:paraId="75312F00">
      <w:pPr>
        <w:snapToGrid w:val="0"/>
        <w:spacing w:line="440" w:lineRule="exact"/>
        <w:ind w:firstLine="420" w:firstLineChars="200"/>
        <w:jc w:val="left"/>
        <w:rPr>
          <w:rFonts w:hint="eastAsia" w:ascii="宋体" w:cs="宋体"/>
          <w:color w:val="auto"/>
          <w:szCs w:val="21"/>
        </w:rPr>
      </w:pPr>
      <w:r>
        <w:rPr>
          <w:rFonts w:hint="eastAsia" w:ascii="宋体" w:cs="宋体"/>
          <w:color w:val="auto"/>
          <w:kern w:val="0"/>
          <w:szCs w:val="21"/>
        </w:rPr>
        <w:t>承包人提交最终结算申请单的期限：</w:t>
      </w:r>
      <w:r>
        <w:rPr>
          <w:rFonts w:hint="eastAsia" w:ascii="宋体" w:cs="宋体"/>
          <w:color w:val="auto"/>
          <w:szCs w:val="21"/>
          <w:u w:val="single"/>
        </w:rPr>
        <w:t xml:space="preserve"> 缺陷责任期满经复查合格后7天内。</w:t>
      </w:r>
    </w:p>
    <w:p w14:paraId="1F0AD7A1">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14.4.2 最终结清证书和支付</w:t>
      </w:r>
    </w:p>
    <w:p w14:paraId="543B6DBD">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（1）发包人完成最终结清申请单的审批并颁发最终结清证书的期限：</w:t>
      </w:r>
      <w:r>
        <w:rPr>
          <w:rFonts w:hint="eastAsia" w:ascii="宋体" w:cs="宋体"/>
          <w:color w:val="auto"/>
          <w:szCs w:val="21"/>
          <w:u w:val="single"/>
        </w:rPr>
        <w:t xml:space="preserve"> 缺陷责任期满经复查合格后14天内。</w:t>
      </w:r>
    </w:p>
    <w:p w14:paraId="7D1CF9E9">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（2）发包人完成支付的期限：</w:t>
      </w:r>
      <w:r>
        <w:rPr>
          <w:rFonts w:hint="eastAsia" w:ascii="宋体" w:cs="宋体"/>
          <w:color w:val="auto"/>
          <w:szCs w:val="21"/>
          <w:u w:val="single"/>
          <w:lang w:val="en-US" w:eastAsia="zh-CN"/>
        </w:rPr>
        <w:t>/</w:t>
      </w:r>
      <w:r>
        <w:rPr>
          <w:rFonts w:hint="eastAsia" w:ascii="宋体" w:cs="宋体"/>
          <w:color w:val="auto"/>
          <w:szCs w:val="21"/>
        </w:rPr>
        <w:t>。</w:t>
      </w:r>
    </w:p>
    <w:p w14:paraId="19EDB972">
      <w:pPr>
        <w:pStyle w:val="9"/>
        <w:snapToGrid w:val="0"/>
        <w:spacing w:before="0" w:after="0" w:line="440" w:lineRule="exact"/>
        <w:ind w:firstLine="420" w:firstLineChars="200"/>
        <w:rPr>
          <w:rFonts w:hint="eastAsia" w:ascii="宋体" w:eastAsia="宋体" w:cs="宋体"/>
          <w:b w:val="0"/>
          <w:color w:val="auto"/>
          <w:sz w:val="21"/>
          <w:szCs w:val="21"/>
        </w:rPr>
      </w:pPr>
      <w:r>
        <w:rPr>
          <w:rFonts w:hint="eastAsia" w:ascii="宋体" w:eastAsia="宋体" w:cs="宋体"/>
          <w:b w:val="0"/>
          <w:color w:val="auto"/>
          <w:sz w:val="21"/>
          <w:szCs w:val="21"/>
        </w:rPr>
        <w:t>15. 缺陷责任期与保修</w:t>
      </w:r>
    </w:p>
    <w:p w14:paraId="4739C256">
      <w:pPr>
        <w:snapToGrid w:val="0"/>
        <w:spacing w:line="440" w:lineRule="exact"/>
        <w:ind w:firstLine="420" w:firstLineChars="200"/>
        <w:rPr>
          <w:rFonts w:hint="eastAsia" w:ascii="宋体" w:cs="宋体"/>
          <w:color w:val="auto"/>
          <w:szCs w:val="21"/>
        </w:rPr>
      </w:pPr>
      <w:r>
        <w:rPr>
          <w:rFonts w:hint="eastAsia" w:ascii="宋体" w:cs="宋体"/>
          <w:color w:val="auto"/>
          <w:szCs w:val="21"/>
        </w:rPr>
        <w:t>15.2缺陷责任期</w:t>
      </w:r>
    </w:p>
    <w:p w14:paraId="572CC6ED">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缺陷责任期的具体期限：</w:t>
      </w:r>
      <w:r>
        <w:rPr>
          <w:rFonts w:hint="eastAsia" w:ascii="黑体" w:hAnsi="黑体" w:eastAsia="黑体" w:cs="黑体"/>
          <w:b/>
          <w:bCs/>
          <w:color w:val="auto"/>
          <w:szCs w:val="21"/>
          <w:highlight w:val="none"/>
          <w:u w:val="single"/>
        </w:rPr>
        <w:t>自竣工验收合格之日起</w:t>
      </w:r>
      <w:r>
        <w:rPr>
          <w:rFonts w:hint="eastAsia" w:ascii="黑体" w:hAnsi="黑体" w:eastAsia="黑体" w:cs="黑体"/>
          <w:b/>
          <w:bCs/>
          <w:color w:val="auto"/>
          <w:szCs w:val="21"/>
          <w:highlight w:val="none"/>
          <w:u w:val="single"/>
          <w:lang w:val="en-US" w:eastAsia="zh-CN"/>
        </w:rPr>
        <w:t>2年</w:t>
      </w:r>
      <w:r>
        <w:rPr>
          <w:rFonts w:hint="eastAsia" w:ascii="黑体" w:hAnsi="黑体" w:eastAsia="黑体" w:cs="黑体"/>
          <w:b/>
          <w:bCs/>
          <w:color w:val="auto"/>
          <w:szCs w:val="21"/>
          <w:highlight w:val="none"/>
          <w:u w:val="single"/>
        </w:rPr>
        <w:t>（详见付款方式）</w:t>
      </w:r>
      <w:r>
        <w:rPr>
          <w:rFonts w:hint="eastAsia" w:ascii="宋体" w:cs="宋体"/>
          <w:color w:val="auto"/>
          <w:szCs w:val="21"/>
          <w:highlight w:val="none"/>
          <w:u w:val="single"/>
        </w:rPr>
        <w:t>。</w:t>
      </w:r>
    </w:p>
    <w:p w14:paraId="3CF0815E">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rPr>
      </w:pPr>
      <w:r>
        <w:rPr>
          <w:rFonts w:hint="eastAsia" w:ascii="宋体" w:cs="宋体"/>
          <w:szCs w:val="21"/>
        </w:rPr>
        <w:t>15.3 质量保证金</w:t>
      </w:r>
    </w:p>
    <w:p w14:paraId="4CA46FC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关于是否扣留质量保证金的约定：</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是</w:t>
      </w:r>
      <w:r>
        <w:rPr>
          <w:rFonts w:hint="eastAsia" w:ascii="宋体" w:hAnsi="宋体" w:cs="宋体"/>
          <w:color w:val="000000"/>
          <w:szCs w:val="21"/>
          <w:u w:val="single"/>
        </w:rPr>
        <w:t xml:space="preserve">  </w:t>
      </w:r>
      <w:r>
        <w:rPr>
          <w:rFonts w:hint="eastAsia" w:ascii="宋体" w:hAnsi="宋体" w:cs="宋体"/>
          <w:color w:val="000000"/>
        </w:rPr>
        <w:t>。在工程项目竣工前，承包人按专用合同条款第3.7款提供履约保证金的，发包人不得同时预留工程质量保证金。</w:t>
      </w:r>
    </w:p>
    <w:p w14:paraId="561CBF7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15.3.1 承包人提供质量保证金的方式</w:t>
      </w:r>
    </w:p>
    <w:p w14:paraId="29092FC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质量保证金采用</w:t>
      </w:r>
      <w:r>
        <w:rPr>
          <w:rFonts w:hint="eastAsia" w:ascii="宋体" w:hAnsi="宋体" w:cs="宋体"/>
          <w:color w:val="000000"/>
          <w:highlight w:val="none"/>
          <w:lang w:eastAsia="zh-CN"/>
        </w:rPr>
        <w:t>第</w:t>
      </w:r>
      <w:r>
        <w:rPr>
          <w:rFonts w:hint="eastAsia" w:ascii="宋体" w:hAnsi="宋体" w:cs="宋体"/>
          <w:color w:val="000000"/>
          <w:highlight w:val="none"/>
          <w:lang w:val="en-US" w:eastAsia="zh-CN"/>
        </w:rPr>
        <w:t>2种</w:t>
      </w:r>
      <w:r>
        <w:rPr>
          <w:rFonts w:hint="eastAsia" w:ascii="宋体" w:hAnsi="宋体" w:cs="宋体"/>
          <w:color w:val="000000"/>
          <w:highlight w:val="none"/>
        </w:rPr>
        <w:t>方式：</w:t>
      </w:r>
    </w:p>
    <w:p w14:paraId="404EED3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highlight w:val="none"/>
        </w:rPr>
      </w:pPr>
      <w:r>
        <w:rPr>
          <w:rFonts w:hint="eastAsia" w:ascii="宋体" w:hAnsi="宋体" w:cs="宋体"/>
          <w:color w:val="000000"/>
          <w:kern w:val="0"/>
          <w:highlight w:val="none"/>
        </w:rPr>
        <w:t>（1）质量保证金保函，保证金额为：</w:t>
      </w:r>
      <w:r>
        <w:rPr>
          <w:rFonts w:hint="eastAsia" w:ascii="宋体" w:hAnsi="宋体" w:cs="宋体"/>
          <w:color w:val="000000"/>
          <w:kern w:val="0"/>
          <w:highlight w:val="none"/>
          <w:u w:val="single"/>
          <w:lang w:val="en-US" w:eastAsia="zh-CN"/>
        </w:rPr>
        <w:t>/</w:t>
      </w:r>
      <w:r>
        <w:rPr>
          <w:rFonts w:hint="eastAsia" w:ascii="宋体" w:hAnsi="宋体" w:cs="宋体"/>
          <w:color w:val="000000"/>
          <w:kern w:val="0"/>
          <w:highlight w:val="none"/>
        </w:rPr>
        <w:t xml:space="preserve">； </w:t>
      </w:r>
    </w:p>
    <w:p w14:paraId="77BF3C0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highlight w:val="none"/>
        </w:rPr>
      </w:pPr>
      <w:r>
        <w:rPr>
          <w:rFonts w:hint="eastAsia" w:ascii="宋体" w:hAnsi="宋体" w:cs="宋体"/>
          <w:color w:val="000000"/>
          <w:kern w:val="0"/>
          <w:highlight w:val="none"/>
        </w:rPr>
        <w:t>（2）</w:t>
      </w:r>
      <w:r>
        <w:rPr>
          <w:rFonts w:hint="eastAsia" w:ascii="宋体" w:hAnsi="宋体" w:cs="宋体"/>
          <w:color w:val="000000"/>
          <w:kern w:val="0"/>
          <w:highlight w:val="none"/>
          <w:u w:val="single"/>
        </w:rPr>
        <w:t>2</w:t>
      </w:r>
      <w:r>
        <w:rPr>
          <w:rFonts w:hint="eastAsia" w:ascii="宋体" w:hAnsi="宋体" w:cs="宋体"/>
          <w:color w:val="000000"/>
          <w:kern w:val="0"/>
          <w:highlight w:val="none"/>
        </w:rPr>
        <w:t>%的工程款；</w:t>
      </w:r>
    </w:p>
    <w:p w14:paraId="23EA976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highlight w:val="none"/>
        </w:rPr>
      </w:pPr>
      <w:r>
        <w:rPr>
          <w:rFonts w:hint="eastAsia" w:ascii="宋体" w:hAnsi="宋体" w:cs="宋体"/>
          <w:color w:val="000000"/>
          <w:kern w:val="0"/>
          <w:highlight w:val="none"/>
        </w:rPr>
        <w:t>（3）其他方式:</w:t>
      </w:r>
      <w:r>
        <w:rPr>
          <w:rFonts w:hint="eastAsia" w:ascii="宋体" w:hAnsi="宋体" w:cs="宋体"/>
          <w:color w:val="000000"/>
          <w:kern w:val="0"/>
          <w:highlight w:val="none"/>
          <w:u w:val="single"/>
        </w:rPr>
        <w:t xml:space="preserve"> </w:t>
      </w:r>
      <w:r>
        <w:rPr>
          <w:rFonts w:hint="eastAsia" w:ascii="宋体" w:hAnsi="宋体" w:cs="宋体"/>
          <w:color w:val="000000"/>
          <w:kern w:val="0"/>
          <w:highlight w:val="none"/>
          <w:u w:val="single"/>
          <w:lang w:val="en-US" w:eastAsia="zh-CN"/>
        </w:rPr>
        <w:t>/</w:t>
      </w:r>
      <w:r>
        <w:rPr>
          <w:rFonts w:hint="eastAsia" w:ascii="宋体" w:hAnsi="宋体" w:cs="宋体"/>
          <w:color w:val="000000"/>
          <w:kern w:val="0"/>
          <w:highlight w:val="none"/>
          <w:u w:val="single"/>
        </w:rPr>
        <w:t xml:space="preserve"> </w:t>
      </w:r>
      <w:r>
        <w:rPr>
          <w:rFonts w:hint="eastAsia" w:ascii="宋体" w:hAnsi="宋体" w:cs="宋体"/>
          <w:color w:val="000000"/>
          <w:kern w:val="0"/>
          <w:highlight w:val="none"/>
        </w:rPr>
        <w:t>。</w:t>
      </w:r>
    </w:p>
    <w:p w14:paraId="616B450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 xml:space="preserve">15.3.2 质量保证金的扣留 </w:t>
      </w:r>
    </w:p>
    <w:p w14:paraId="53ADB37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质量保证金的扣留采取以下</w:t>
      </w:r>
      <w:r>
        <w:rPr>
          <w:rFonts w:hint="eastAsia" w:ascii="宋体" w:hAnsi="宋体" w:cs="宋体"/>
          <w:color w:val="000000"/>
          <w:highlight w:val="none"/>
          <w:lang w:eastAsia="zh-CN"/>
        </w:rPr>
        <w:t>第</w:t>
      </w:r>
      <w:r>
        <w:rPr>
          <w:rFonts w:hint="eastAsia" w:ascii="宋体" w:hAnsi="宋体" w:cs="宋体"/>
          <w:color w:val="000000"/>
          <w:highlight w:val="none"/>
          <w:lang w:val="en-US" w:eastAsia="zh-CN"/>
        </w:rPr>
        <w:t>2种</w:t>
      </w:r>
      <w:r>
        <w:rPr>
          <w:rFonts w:hint="eastAsia" w:ascii="宋体" w:hAnsi="宋体" w:cs="宋体"/>
          <w:color w:val="000000"/>
          <w:highlight w:val="none"/>
        </w:rPr>
        <w:t>方式：</w:t>
      </w:r>
    </w:p>
    <w:p w14:paraId="7296B1E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highlight w:val="none"/>
        </w:rPr>
      </w:pPr>
      <w:r>
        <w:rPr>
          <w:rFonts w:hint="eastAsia" w:ascii="宋体" w:hAnsi="宋体" w:cs="宋体"/>
          <w:color w:val="000000"/>
          <w:kern w:val="0"/>
          <w:highlight w:val="none"/>
        </w:rPr>
        <w:t>（1）在支付工程进度款时逐次扣留，在此情形下，质量保证金的计算基数不包括预付款的支付、扣回以及价格调整的金额；</w:t>
      </w:r>
    </w:p>
    <w:p w14:paraId="2872C37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（2）工程竣工结算时一次性扣留质量保证金；</w:t>
      </w:r>
    </w:p>
    <w:p w14:paraId="0DC737C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（3）其他扣留方式:</w:t>
      </w:r>
      <w:r>
        <w:rPr>
          <w:rFonts w:hint="eastAsia" w:ascii="宋体" w:hAnsi="宋体" w:cs="宋体"/>
          <w:color w:val="000000"/>
          <w:kern w:val="0"/>
          <w:u w:val="single"/>
        </w:rPr>
        <w:t xml:space="preserve">      </w:t>
      </w:r>
      <w:r>
        <w:rPr>
          <w:rFonts w:hint="eastAsia" w:ascii="宋体" w:hAnsi="宋体" w:cs="宋体"/>
          <w:color w:val="000000"/>
          <w:kern w:val="0"/>
        </w:rPr>
        <w:t>。</w:t>
      </w:r>
    </w:p>
    <w:p w14:paraId="4BEF53B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关于质量保证金的补充约定：</w:t>
      </w:r>
      <w:r>
        <w:rPr>
          <w:rFonts w:hint="eastAsia" w:ascii="宋体" w:hAnsi="宋体" w:cs="宋体"/>
          <w:color w:val="000000"/>
          <w:kern w:val="0"/>
          <w:u w:val="single"/>
        </w:rPr>
        <w:t xml:space="preserve">      </w:t>
      </w:r>
      <w:r>
        <w:rPr>
          <w:rFonts w:hint="eastAsia" w:ascii="宋体" w:hAnsi="宋体" w:cs="宋体"/>
          <w:color w:val="000000"/>
          <w:kern w:val="0"/>
        </w:rPr>
        <w:t>。</w:t>
      </w:r>
    </w:p>
    <w:p w14:paraId="643D31C8">
      <w:pPr>
        <w:snapToGrid w:val="0"/>
        <w:spacing w:line="440" w:lineRule="exact"/>
        <w:ind w:firstLine="420" w:firstLineChars="200"/>
        <w:rPr>
          <w:rFonts w:hint="eastAsia" w:ascii="宋体" w:cs="宋体"/>
          <w:szCs w:val="21"/>
        </w:rPr>
      </w:pPr>
      <w:r>
        <w:rPr>
          <w:rFonts w:hint="eastAsia" w:ascii="宋体" w:cs="宋体"/>
          <w:szCs w:val="21"/>
        </w:rPr>
        <w:t>15.4保修</w:t>
      </w:r>
    </w:p>
    <w:p w14:paraId="2CEB8E23">
      <w:pPr>
        <w:snapToGrid w:val="0"/>
        <w:spacing w:line="440" w:lineRule="exact"/>
        <w:ind w:firstLine="420" w:firstLineChars="200"/>
        <w:jc w:val="left"/>
        <w:rPr>
          <w:rFonts w:hint="eastAsia" w:ascii="宋体" w:cs="宋体"/>
          <w:szCs w:val="21"/>
        </w:rPr>
      </w:pPr>
      <w:r>
        <w:rPr>
          <w:rFonts w:hint="eastAsia" w:ascii="宋体" w:cs="宋体"/>
          <w:szCs w:val="21"/>
        </w:rPr>
        <w:t>15.4.1 保修责任</w:t>
      </w:r>
    </w:p>
    <w:p w14:paraId="2156CD60">
      <w:pPr>
        <w:snapToGrid w:val="0"/>
        <w:spacing w:line="440" w:lineRule="exact"/>
        <w:ind w:firstLine="420" w:firstLineChars="200"/>
        <w:jc w:val="left"/>
        <w:rPr>
          <w:rFonts w:hint="eastAsia" w:ascii="宋体" w:cs="宋体"/>
          <w:kern w:val="0"/>
          <w:szCs w:val="21"/>
          <w:u w:val="single"/>
        </w:rPr>
      </w:pPr>
      <w:r>
        <w:rPr>
          <w:rFonts w:hint="eastAsia" w:ascii="宋体" w:cs="宋体"/>
          <w:szCs w:val="21"/>
        </w:rPr>
        <w:t>工程保修期为：</w:t>
      </w:r>
      <w:r>
        <w:rPr>
          <w:rFonts w:hint="eastAsia" w:ascii="宋体" w:cs="宋体"/>
          <w:kern w:val="0"/>
          <w:szCs w:val="21"/>
          <w:u w:val="single"/>
        </w:rPr>
        <w:t xml:space="preserve">   </w:t>
      </w:r>
      <w:r>
        <w:rPr>
          <w:rFonts w:hint="eastAsia" w:ascii="宋体" w:hAnsi="宋体" w:cs="宋体"/>
          <w:color w:val="000000"/>
          <w:szCs w:val="21"/>
          <w:u w:val="single"/>
        </w:rPr>
        <w:t>执行《工程质量保修书》规定</w:t>
      </w:r>
      <w:r>
        <w:rPr>
          <w:rFonts w:hint="eastAsia" w:ascii="宋体" w:cs="宋体"/>
          <w:kern w:val="0"/>
          <w:szCs w:val="21"/>
          <w:u w:val="single"/>
        </w:rPr>
        <w:t xml:space="preserve">。     </w:t>
      </w:r>
    </w:p>
    <w:p w14:paraId="33035DF3">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承包人收到保修通知并到达工程现场的合理时间：</w:t>
      </w:r>
      <w:r>
        <w:rPr>
          <w:rFonts w:hint="eastAsia" w:ascii="宋体" w:cs="宋体"/>
          <w:kern w:val="0"/>
          <w:szCs w:val="21"/>
          <w:u w:val="single"/>
        </w:rPr>
        <w:t>自承包人收到保修通知起</w:t>
      </w:r>
      <w:r>
        <w:rPr>
          <w:rFonts w:hint="eastAsia" w:ascii="宋体" w:cs="宋体"/>
          <w:kern w:val="0"/>
          <w:szCs w:val="21"/>
          <w:u w:val="single"/>
          <w:lang w:val="en-US" w:eastAsia="zh-CN"/>
        </w:rPr>
        <w:t>48</w:t>
      </w:r>
      <w:r>
        <w:rPr>
          <w:rFonts w:hint="eastAsia" w:ascii="宋体" w:cs="宋体"/>
          <w:kern w:val="0"/>
          <w:szCs w:val="21"/>
          <w:u w:val="single"/>
        </w:rPr>
        <w:t xml:space="preserve">小时内到达工程现场。  </w:t>
      </w:r>
    </w:p>
    <w:p w14:paraId="15CF42AB">
      <w:pPr>
        <w:pStyle w:val="9"/>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16. 违约</w:t>
      </w:r>
    </w:p>
    <w:p w14:paraId="21A2DA49">
      <w:pPr>
        <w:snapToGrid w:val="0"/>
        <w:spacing w:line="440" w:lineRule="exact"/>
        <w:ind w:firstLine="420" w:firstLineChars="200"/>
        <w:rPr>
          <w:rFonts w:hint="eastAsia" w:ascii="宋体" w:cs="宋体"/>
          <w:szCs w:val="21"/>
        </w:rPr>
      </w:pPr>
      <w:r>
        <w:rPr>
          <w:rFonts w:hint="eastAsia" w:ascii="宋体" w:cs="宋体"/>
          <w:szCs w:val="21"/>
        </w:rPr>
        <w:t>16.1 发包人违约</w:t>
      </w:r>
    </w:p>
    <w:p w14:paraId="320C463F">
      <w:pPr>
        <w:snapToGrid w:val="0"/>
        <w:spacing w:line="440" w:lineRule="exact"/>
        <w:ind w:firstLine="420" w:firstLineChars="200"/>
        <w:jc w:val="left"/>
        <w:rPr>
          <w:rFonts w:hint="eastAsia" w:ascii="宋体" w:cs="宋体"/>
          <w:szCs w:val="21"/>
        </w:rPr>
      </w:pPr>
      <w:r>
        <w:rPr>
          <w:rFonts w:hint="eastAsia" w:ascii="宋体" w:cs="宋体"/>
          <w:szCs w:val="21"/>
        </w:rPr>
        <w:t>16.1.1发包人违约的情形</w:t>
      </w:r>
    </w:p>
    <w:p w14:paraId="2353DD21">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发包人违约的其他情形：</w:t>
      </w:r>
      <w:r>
        <w:rPr>
          <w:rFonts w:hint="eastAsia" w:ascii="宋体" w:cs="宋体"/>
          <w:kern w:val="0"/>
          <w:szCs w:val="21"/>
          <w:u w:val="single"/>
        </w:rPr>
        <w:t xml:space="preserve">   无    </w:t>
      </w:r>
      <w:r>
        <w:rPr>
          <w:rFonts w:hint="eastAsia" w:ascii="宋体" w:cs="宋体"/>
          <w:kern w:val="0"/>
          <w:szCs w:val="21"/>
        </w:rPr>
        <w:t>。</w:t>
      </w:r>
    </w:p>
    <w:p w14:paraId="290C3EEB">
      <w:pPr>
        <w:snapToGrid w:val="0"/>
        <w:spacing w:line="440" w:lineRule="exact"/>
        <w:ind w:firstLine="420" w:firstLineChars="200"/>
        <w:jc w:val="left"/>
        <w:rPr>
          <w:rFonts w:hint="eastAsia" w:ascii="宋体" w:cs="宋体"/>
          <w:kern w:val="0"/>
          <w:szCs w:val="21"/>
        </w:rPr>
      </w:pPr>
      <w:r>
        <w:rPr>
          <w:rFonts w:hint="eastAsia" w:ascii="宋体" w:cs="宋体"/>
          <w:kern w:val="0"/>
          <w:szCs w:val="21"/>
        </w:rPr>
        <w:t>16.1.2 发包人违约的责任</w:t>
      </w:r>
    </w:p>
    <w:p w14:paraId="1DCFBA53">
      <w:pPr>
        <w:snapToGrid w:val="0"/>
        <w:spacing w:line="440" w:lineRule="exact"/>
        <w:ind w:firstLine="420" w:firstLineChars="200"/>
        <w:jc w:val="left"/>
        <w:rPr>
          <w:rFonts w:hint="eastAsia" w:ascii="宋体" w:cs="宋体"/>
          <w:kern w:val="0"/>
          <w:szCs w:val="21"/>
        </w:rPr>
      </w:pPr>
      <w:r>
        <w:rPr>
          <w:rFonts w:hint="eastAsia" w:ascii="宋体" w:cs="宋体"/>
          <w:kern w:val="0"/>
          <w:szCs w:val="21"/>
        </w:rPr>
        <w:t>发包人违约责任的承担方式和计算方法：</w:t>
      </w:r>
    </w:p>
    <w:p w14:paraId="6356C663">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（1）因发包人原因未能在计划开工日期前7天内下达开工通知的违约责任：</w:t>
      </w:r>
      <w:r>
        <w:rPr>
          <w:rFonts w:hint="eastAsia" w:ascii="宋体" w:cs="宋体"/>
          <w:kern w:val="0"/>
          <w:szCs w:val="21"/>
          <w:u w:val="single"/>
        </w:rPr>
        <w:t xml:space="preserve">  对工期造成影响的可顺延工期  </w:t>
      </w:r>
      <w:r>
        <w:rPr>
          <w:rFonts w:hint="eastAsia" w:ascii="宋体" w:cs="宋体"/>
          <w:kern w:val="0"/>
          <w:szCs w:val="21"/>
        </w:rPr>
        <w:t>。</w:t>
      </w:r>
    </w:p>
    <w:p w14:paraId="1779894E">
      <w:pPr>
        <w:snapToGrid w:val="0"/>
        <w:spacing w:line="440" w:lineRule="exact"/>
        <w:ind w:firstLine="420" w:firstLineChars="200"/>
        <w:jc w:val="left"/>
        <w:rPr>
          <w:rFonts w:hint="eastAsia" w:ascii="宋体" w:cs="宋体"/>
          <w:kern w:val="0"/>
          <w:szCs w:val="21"/>
        </w:rPr>
      </w:pPr>
      <w:r>
        <w:rPr>
          <w:rFonts w:hint="eastAsia" w:ascii="宋体" w:cs="宋体"/>
          <w:kern w:val="0"/>
          <w:szCs w:val="21"/>
        </w:rPr>
        <w:t>（2）因发包人原因未能按合同约定支付合同价款的违约责任：</w:t>
      </w:r>
      <w:r>
        <w:rPr>
          <w:rFonts w:hint="eastAsia" w:ascii="宋体" w:cs="宋体"/>
          <w:kern w:val="0"/>
          <w:szCs w:val="21"/>
          <w:u w:val="single"/>
        </w:rPr>
        <w:t xml:space="preserve">  可按照中国人民银行发布的同期同类贷款基准利率支付违约金</w:t>
      </w:r>
      <w:r>
        <w:rPr>
          <w:rFonts w:hint="eastAsia" w:ascii="宋体" w:cs="宋体"/>
          <w:kern w:val="0"/>
          <w:szCs w:val="21"/>
        </w:rPr>
        <w:t>。</w:t>
      </w:r>
    </w:p>
    <w:p w14:paraId="011B4F5C">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（3）发包人违反第10.1款〔变更的范围〕第（2）项约定，自行实施被取消的工作或转由他人实施的违约责任：</w:t>
      </w:r>
      <w:r>
        <w:rPr>
          <w:rFonts w:hint="eastAsia" w:ascii="宋体" w:cs="宋体"/>
          <w:kern w:val="0"/>
          <w:szCs w:val="21"/>
          <w:u w:val="single"/>
        </w:rPr>
        <w:t xml:space="preserve">   </w:t>
      </w:r>
      <w:r>
        <w:rPr>
          <w:rFonts w:hint="eastAsia" w:ascii="宋体" w:cs="宋体"/>
          <w:kern w:val="0"/>
          <w:szCs w:val="21"/>
          <w:u w:val="single"/>
          <w:lang w:val="en-US" w:eastAsia="zh-CN"/>
        </w:rPr>
        <w:t>/</w:t>
      </w:r>
      <w:r>
        <w:rPr>
          <w:rFonts w:hint="eastAsia" w:ascii="宋体" w:cs="宋体"/>
          <w:kern w:val="0"/>
          <w:szCs w:val="21"/>
          <w:u w:val="single"/>
        </w:rPr>
        <w:t xml:space="preserve">   </w:t>
      </w:r>
      <w:r>
        <w:rPr>
          <w:rFonts w:hint="eastAsia" w:ascii="宋体" w:cs="宋体"/>
          <w:kern w:val="0"/>
          <w:szCs w:val="21"/>
        </w:rPr>
        <w:t>。</w:t>
      </w:r>
    </w:p>
    <w:p w14:paraId="3D77050F">
      <w:pPr>
        <w:snapToGrid w:val="0"/>
        <w:spacing w:line="440" w:lineRule="exact"/>
        <w:ind w:firstLine="420" w:firstLineChars="200"/>
        <w:jc w:val="left"/>
        <w:rPr>
          <w:rFonts w:hint="eastAsia" w:ascii="宋体" w:cs="宋体"/>
          <w:kern w:val="0"/>
          <w:szCs w:val="21"/>
        </w:rPr>
      </w:pPr>
      <w:r>
        <w:rPr>
          <w:rFonts w:hint="eastAsia" w:ascii="宋体" w:cs="宋体"/>
          <w:kern w:val="0"/>
          <w:szCs w:val="21"/>
        </w:rPr>
        <w:t>（4）发包人提供的材料、工程设备的规格、数量或质量不符合合同约定，或因发包人原因导致交货日期延误或交货地点变更等情况的违约责任：</w:t>
      </w:r>
      <w:r>
        <w:rPr>
          <w:rFonts w:hint="eastAsia" w:ascii="宋体" w:cs="宋体"/>
          <w:kern w:val="0"/>
          <w:szCs w:val="21"/>
          <w:u w:val="single"/>
        </w:rPr>
        <w:t xml:space="preserve">   </w:t>
      </w:r>
      <w:r>
        <w:rPr>
          <w:rFonts w:hint="eastAsia" w:ascii="宋体" w:cs="宋体"/>
          <w:kern w:val="0"/>
          <w:szCs w:val="21"/>
          <w:u w:val="single"/>
          <w:lang w:val="en-US" w:eastAsia="zh-CN"/>
        </w:rPr>
        <w:t>/</w:t>
      </w:r>
      <w:r>
        <w:rPr>
          <w:rFonts w:hint="eastAsia" w:ascii="宋体" w:cs="宋体"/>
          <w:kern w:val="0"/>
          <w:szCs w:val="21"/>
          <w:u w:val="single"/>
        </w:rPr>
        <w:t xml:space="preserve">  </w:t>
      </w:r>
      <w:r>
        <w:rPr>
          <w:rFonts w:hint="eastAsia" w:ascii="宋体" w:cs="宋体"/>
          <w:kern w:val="0"/>
          <w:szCs w:val="21"/>
        </w:rPr>
        <w:t>。</w:t>
      </w:r>
    </w:p>
    <w:p w14:paraId="38C7ED0D">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（5）因发包人违反合同约定造成暂停施工的违约责任：</w:t>
      </w:r>
      <w:r>
        <w:rPr>
          <w:rFonts w:hint="eastAsia" w:ascii="宋体" w:cs="宋体"/>
          <w:kern w:val="0"/>
          <w:szCs w:val="21"/>
          <w:u w:val="single"/>
        </w:rPr>
        <w:t xml:space="preserve">  可顺延工期  </w:t>
      </w:r>
      <w:r>
        <w:rPr>
          <w:rFonts w:hint="eastAsia" w:ascii="宋体" w:cs="宋体"/>
          <w:kern w:val="0"/>
          <w:szCs w:val="21"/>
        </w:rPr>
        <w:t>。</w:t>
      </w:r>
    </w:p>
    <w:p w14:paraId="4FB25F50">
      <w:pPr>
        <w:snapToGrid w:val="0"/>
        <w:spacing w:line="440" w:lineRule="exact"/>
        <w:ind w:firstLine="420" w:firstLineChars="200"/>
        <w:jc w:val="left"/>
        <w:rPr>
          <w:rFonts w:hint="eastAsia" w:ascii="宋体" w:cs="宋体"/>
          <w:kern w:val="0"/>
          <w:szCs w:val="21"/>
        </w:rPr>
      </w:pPr>
      <w:r>
        <w:rPr>
          <w:rFonts w:hint="eastAsia" w:ascii="宋体" w:cs="宋体"/>
          <w:kern w:val="0"/>
          <w:szCs w:val="21"/>
        </w:rPr>
        <w:t>（6）发包人无正当理由没有在约定期限内发出复工指示，导致承包人无法复工的违约责任：</w:t>
      </w:r>
      <w:r>
        <w:rPr>
          <w:rFonts w:hint="eastAsia" w:ascii="宋体" w:cs="宋体"/>
          <w:kern w:val="0"/>
          <w:szCs w:val="21"/>
          <w:u w:val="single"/>
        </w:rPr>
        <w:t xml:space="preserve"> 对工期造成影响的可顺延工期  </w:t>
      </w:r>
      <w:r>
        <w:rPr>
          <w:rFonts w:hint="eastAsia" w:ascii="宋体" w:cs="宋体"/>
          <w:kern w:val="0"/>
          <w:szCs w:val="21"/>
        </w:rPr>
        <w:t>。</w:t>
      </w:r>
    </w:p>
    <w:p w14:paraId="07E5A5A7">
      <w:pPr>
        <w:snapToGrid w:val="0"/>
        <w:spacing w:line="440" w:lineRule="exact"/>
        <w:ind w:firstLine="420" w:firstLineChars="200"/>
        <w:jc w:val="left"/>
        <w:rPr>
          <w:rFonts w:hint="eastAsia" w:ascii="宋体" w:cs="宋体"/>
          <w:kern w:val="0"/>
          <w:szCs w:val="21"/>
        </w:rPr>
      </w:pPr>
      <w:r>
        <w:rPr>
          <w:rFonts w:hint="eastAsia" w:ascii="宋体" w:cs="宋体"/>
          <w:kern w:val="0"/>
          <w:szCs w:val="21"/>
        </w:rPr>
        <w:t>（7）其他：</w:t>
      </w:r>
      <w:r>
        <w:rPr>
          <w:rFonts w:hint="eastAsia" w:ascii="宋体" w:cs="宋体"/>
          <w:kern w:val="0"/>
          <w:szCs w:val="21"/>
          <w:u w:val="single"/>
        </w:rPr>
        <w:t xml:space="preserve">  无  </w:t>
      </w:r>
      <w:r>
        <w:rPr>
          <w:rFonts w:hint="eastAsia" w:ascii="宋体" w:cs="宋体"/>
          <w:kern w:val="0"/>
          <w:szCs w:val="21"/>
        </w:rPr>
        <w:t>。</w:t>
      </w:r>
    </w:p>
    <w:p w14:paraId="78D1480D">
      <w:pPr>
        <w:snapToGrid w:val="0"/>
        <w:spacing w:line="440" w:lineRule="exact"/>
        <w:ind w:firstLine="420" w:firstLineChars="200"/>
        <w:jc w:val="left"/>
        <w:rPr>
          <w:rFonts w:hint="eastAsia" w:ascii="宋体" w:cs="宋体"/>
          <w:szCs w:val="21"/>
        </w:rPr>
      </w:pPr>
      <w:r>
        <w:rPr>
          <w:rFonts w:hint="eastAsia" w:ascii="宋体" w:cs="宋体"/>
          <w:szCs w:val="21"/>
        </w:rPr>
        <w:t>16.1.3 因发包人违约解除合同</w:t>
      </w:r>
    </w:p>
    <w:p w14:paraId="71B4528B">
      <w:pPr>
        <w:autoSpaceDE w:val="0"/>
        <w:autoSpaceDN w:val="0"/>
        <w:adjustRightInd w:val="0"/>
        <w:snapToGrid w:val="0"/>
        <w:spacing w:line="440" w:lineRule="exact"/>
        <w:ind w:firstLine="420" w:firstLineChars="200"/>
        <w:jc w:val="left"/>
        <w:rPr>
          <w:rFonts w:hint="eastAsia" w:ascii="宋体" w:cs="宋体"/>
          <w:kern w:val="0"/>
          <w:szCs w:val="21"/>
        </w:rPr>
      </w:pPr>
      <w:r>
        <w:rPr>
          <w:rFonts w:hint="eastAsia" w:ascii="宋体" w:cs="宋体"/>
          <w:kern w:val="0"/>
          <w:szCs w:val="21"/>
        </w:rPr>
        <w:t>承包人按16.1.1项〔发包人违约的情形〕约定暂停施工满</w:t>
      </w:r>
      <w:r>
        <w:rPr>
          <w:rFonts w:hint="eastAsia" w:ascii="宋体" w:cs="宋体"/>
          <w:kern w:val="0"/>
          <w:szCs w:val="21"/>
          <w:u w:val="single"/>
        </w:rPr>
        <w:t xml:space="preserve">  28  </w:t>
      </w:r>
      <w:r>
        <w:rPr>
          <w:rFonts w:hint="eastAsia" w:ascii="宋体" w:cs="宋体"/>
          <w:kern w:val="0"/>
          <w:szCs w:val="21"/>
        </w:rPr>
        <w:t>天后发包人仍不纠正其违约行为并致使合同目的不能实现的，承包人有权解除合同。</w:t>
      </w:r>
    </w:p>
    <w:p w14:paraId="73DCC081">
      <w:pPr>
        <w:snapToGrid w:val="0"/>
        <w:spacing w:line="440" w:lineRule="exact"/>
        <w:ind w:firstLine="420" w:firstLineChars="200"/>
        <w:rPr>
          <w:rFonts w:hint="eastAsia" w:ascii="宋体" w:cs="宋体"/>
          <w:szCs w:val="21"/>
        </w:rPr>
      </w:pPr>
      <w:r>
        <w:rPr>
          <w:rFonts w:hint="eastAsia" w:ascii="宋体" w:cs="宋体"/>
          <w:szCs w:val="21"/>
        </w:rPr>
        <w:t>16.2 承包人违约</w:t>
      </w:r>
    </w:p>
    <w:p w14:paraId="7CB9B8CD">
      <w:pPr>
        <w:snapToGrid w:val="0"/>
        <w:spacing w:line="440" w:lineRule="exact"/>
        <w:ind w:firstLine="420" w:firstLineChars="200"/>
        <w:jc w:val="left"/>
        <w:rPr>
          <w:rFonts w:hint="eastAsia" w:ascii="宋体" w:cs="宋体"/>
          <w:kern w:val="0"/>
          <w:szCs w:val="21"/>
        </w:rPr>
      </w:pPr>
      <w:r>
        <w:rPr>
          <w:rFonts w:hint="eastAsia" w:ascii="宋体" w:cs="宋体"/>
          <w:kern w:val="0"/>
          <w:szCs w:val="21"/>
        </w:rPr>
        <w:t>16.2.1 承包人违约的情形</w:t>
      </w:r>
    </w:p>
    <w:p w14:paraId="2CE802B8">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承包人违约的其他情形：</w:t>
      </w:r>
      <w:r>
        <w:rPr>
          <w:rFonts w:hint="eastAsia" w:ascii="宋体" w:cs="宋体"/>
          <w:kern w:val="0"/>
          <w:szCs w:val="21"/>
          <w:u w:val="single"/>
        </w:rPr>
        <w:t xml:space="preserve">   执行补充条款   </w:t>
      </w:r>
      <w:r>
        <w:rPr>
          <w:rFonts w:hint="eastAsia" w:ascii="宋体" w:cs="宋体"/>
          <w:kern w:val="0"/>
          <w:szCs w:val="21"/>
        </w:rPr>
        <w:t>。</w:t>
      </w:r>
    </w:p>
    <w:p w14:paraId="20D51133">
      <w:pPr>
        <w:snapToGrid w:val="0"/>
        <w:spacing w:line="440" w:lineRule="exact"/>
        <w:ind w:firstLine="420" w:firstLineChars="200"/>
        <w:jc w:val="left"/>
        <w:rPr>
          <w:rFonts w:hint="eastAsia" w:ascii="宋体" w:cs="宋体"/>
          <w:kern w:val="0"/>
          <w:szCs w:val="21"/>
        </w:rPr>
      </w:pPr>
      <w:r>
        <w:rPr>
          <w:rFonts w:hint="eastAsia" w:ascii="宋体" w:cs="宋体"/>
          <w:kern w:val="0"/>
          <w:szCs w:val="21"/>
        </w:rPr>
        <w:t>16.2.2承包人违约的责任</w:t>
      </w:r>
    </w:p>
    <w:p w14:paraId="2B5523EB">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承包人违约责任的承担方式和计算方法：</w:t>
      </w:r>
      <w:r>
        <w:rPr>
          <w:rFonts w:hint="eastAsia" w:ascii="宋体" w:cs="宋体"/>
          <w:kern w:val="0"/>
          <w:szCs w:val="21"/>
          <w:u w:val="single"/>
        </w:rPr>
        <w:t xml:space="preserve"> 执行补充条款   </w:t>
      </w:r>
      <w:r>
        <w:rPr>
          <w:rFonts w:hint="eastAsia" w:ascii="宋体" w:cs="宋体"/>
          <w:kern w:val="0"/>
          <w:szCs w:val="21"/>
        </w:rPr>
        <w:t>。</w:t>
      </w:r>
      <w:r>
        <w:rPr>
          <w:rFonts w:hint="eastAsia" w:ascii="宋体" w:cs="宋体"/>
          <w:szCs w:val="21"/>
        </w:rPr>
        <w:t xml:space="preserve">    </w:t>
      </w:r>
    </w:p>
    <w:p w14:paraId="0AD59456">
      <w:pPr>
        <w:snapToGrid w:val="0"/>
        <w:spacing w:line="440" w:lineRule="exact"/>
        <w:ind w:firstLine="420" w:firstLineChars="200"/>
        <w:jc w:val="left"/>
        <w:rPr>
          <w:rFonts w:hint="eastAsia" w:ascii="宋体" w:cs="宋体"/>
          <w:szCs w:val="21"/>
        </w:rPr>
      </w:pPr>
      <w:r>
        <w:rPr>
          <w:rFonts w:hint="eastAsia" w:ascii="宋体" w:cs="宋体"/>
          <w:szCs w:val="21"/>
        </w:rPr>
        <w:t>16.2.3 因承包人违约解除合同</w:t>
      </w:r>
    </w:p>
    <w:p w14:paraId="75F03C63">
      <w:pPr>
        <w:snapToGrid w:val="0"/>
        <w:spacing w:line="440" w:lineRule="exact"/>
        <w:ind w:firstLine="420" w:firstLineChars="200"/>
        <w:rPr>
          <w:rFonts w:hint="eastAsia" w:ascii="宋体" w:cs="宋体"/>
          <w:kern w:val="0"/>
          <w:szCs w:val="21"/>
        </w:rPr>
      </w:pPr>
      <w:r>
        <w:rPr>
          <w:rFonts w:hint="eastAsia" w:ascii="宋体" w:cs="宋体"/>
          <w:kern w:val="0"/>
          <w:szCs w:val="21"/>
        </w:rPr>
        <w:t>关于承包人违约解除合同的特别约定：</w:t>
      </w:r>
      <w:r>
        <w:rPr>
          <w:rFonts w:hint="eastAsia" w:ascii="宋体" w:cs="宋体"/>
          <w:kern w:val="0"/>
          <w:szCs w:val="21"/>
          <w:u w:val="single"/>
        </w:rPr>
        <w:t>执行</w:t>
      </w:r>
      <w:r>
        <w:rPr>
          <w:rFonts w:hint="eastAsia" w:ascii="宋体" w:cs="宋体"/>
          <w:szCs w:val="21"/>
          <w:u w:val="single"/>
        </w:rPr>
        <w:t>补充条款。</w:t>
      </w:r>
    </w:p>
    <w:p w14:paraId="0F0F2C80">
      <w:pPr>
        <w:snapToGrid w:val="0"/>
        <w:spacing w:line="420" w:lineRule="exact"/>
        <w:ind w:firstLine="420" w:firstLineChars="200"/>
        <w:rPr>
          <w:rFonts w:hint="eastAsia" w:ascii="宋体" w:cs="宋体"/>
          <w:kern w:val="0"/>
          <w:szCs w:val="21"/>
        </w:rPr>
      </w:pPr>
      <w:r>
        <w:rPr>
          <w:rFonts w:hint="eastAsia" w:ascii="宋体" w:cs="宋体"/>
          <w:kern w:val="0"/>
          <w:szCs w:val="21"/>
        </w:rPr>
        <w:t>发包人继续使用承包人在施工现场的材料、设备、临时工程、承包人文件和由承包人或以其名义编制的其他文件的费用承担方式：</w:t>
      </w:r>
      <w:r>
        <w:rPr>
          <w:rFonts w:hint="eastAsia" w:ascii="宋体" w:cs="宋体"/>
          <w:kern w:val="0"/>
          <w:szCs w:val="21"/>
          <w:u w:val="single"/>
        </w:rPr>
        <w:t xml:space="preserve">   发包人不承担费用   </w:t>
      </w:r>
      <w:r>
        <w:rPr>
          <w:rFonts w:hint="eastAsia" w:ascii="宋体" w:cs="宋体"/>
          <w:kern w:val="0"/>
          <w:szCs w:val="21"/>
        </w:rPr>
        <w:t>。</w:t>
      </w:r>
    </w:p>
    <w:p w14:paraId="57D87209">
      <w:pPr>
        <w:pStyle w:val="9"/>
        <w:snapToGrid w:val="0"/>
        <w:spacing w:before="0" w:after="0" w:line="420" w:lineRule="exact"/>
        <w:ind w:firstLine="420" w:firstLineChars="200"/>
        <w:rPr>
          <w:rFonts w:hint="eastAsia" w:ascii="宋体" w:eastAsia="宋体" w:cs="宋体"/>
          <w:b w:val="0"/>
          <w:sz w:val="21"/>
          <w:szCs w:val="21"/>
        </w:rPr>
      </w:pPr>
      <w:r>
        <w:rPr>
          <w:rFonts w:hint="eastAsia" w:ascii="宋体" w:eastAsia="宋体" w:cs="宋体"/>
          <w:b w:val="0"/>
          <w:sz w:val="21"/>
          <w:szCs w:val="21"/>
        </w:rPr>
        <w:t xml:space="preserve">17. 不可抗力 </w:t>
      </w:r>
    </w:p>
    <w:p w14:paraId="0D008BF2">
      <w:pPr>
        <w:snapToGrid w:val="0"/>
        <w:spacing w:line="420" w:lineRule="exact"/>
        <w:ind w:firstLine="420" w:firstLineChars="200"/>
        <w:rPr>
          <w:rFonts w:hint="eastAsia" w:ascii="宋体" w:cs="宋体"/>
          <w:szCs w:val="21"/>
        </w:rPr>
      </w:pPr>
      <w:r>
        <w:rPr>
          <w:rFonts w:hint="eastAsia" w:ascii="宋体" w:cs="宋体"/>
          <w:szCs w:val="21"/>
        </w:rPr>
        <w:t>17.1 不可抗力的确认</w:t>
      </w:r>
    </w:p>
    <w:p w14:paraId="64D5803F">
      <w:pPr>
        <w:snapToGrid w:val="0"/>
        <w:spacing w:line="420" w:lineRule="exact"/>
        <w:ind w:firstLine="420" w:firstLineChars="200"/>
        <w:jc w:val="left"/>
        <w:rPr>
          <w:rFonts w:hint="eastAsia" w:ascii="宋体" w:cs="宋体"/>
          <w:kern w:val="0"/>
          <w:szCs w:val="21"/>
          <w:u w:val="single"/>
        </w:rPr>
      </w:pPr>
      <w:r>
        <w:rPr>
          <w:rFonts w:hint="eastAsia" w:ascii="宋体" w:cs="宋体"/>
          <w:szCs w:val="21"/>
        </w:rPr>
        <w:t>除通用合同条款约定的不可抗力事件之外，视为不可抗力的其他情形：</w:t>
      </w:r>
      <w:r>
        <w:rPr>
          <w:rFonts w:hint="eastAsia" w:ascii="宋体" w:cs="宋体"/>
          <w:kern w:val="0"/>
          <w:szCs w:val="21"/>
          <w:u w:val="single"/>
        </w:rPr>
        <w:t xml:space="preserve">  </w:t>
      </w:r>
      <w:r>
        <w:rPr>
          <w:rFonts w:hint="eastAsia" w:ascii="宋体" w:hAnsi="宋体" w:cs="宋体"/>
          <w:color w:val="000000"/>
          <w:szCs w:val="21"/>
          <w:u w:val="single"/>
        </w:rPr>
        <w:t>执行通用条款</w:t>
      </w:r>
      <w:r>
        <w:rPr>
          <w:rFonts w:hint="eastAsia" w:ascii="宋体" w:cs="宋体"/>
          <w:kern w:val="0"/>
          <w:szCs w:val="21"/>
          <w:u w:val="single"/>
        </w:rPr>
        <w:t xml:space="preserve"> </w:t>
      </w:r>
      <w:r>
        <w:rPr>
          <w:rFonts w:hint="eastAsia" w:ascii="宋体" w:cs="宋体"/>
          <w:kern w:val="0"/>
          <w:szCs w:val="21"/>
        </w:rPr>
        <w:t>。</w:t>
      </w:r>
    </w:p>
    <w:p w14:paraId="7ABBF228">
      <w:pPr>
        <w:snapToGrid w:val="0"/>
        <w:spacing w:line="420" w:lineRule="exact"/>
        <w:ind w:firstLine="420" w:firstLineChars="200"/>
        <w:rPr>
          <w:rFonts w:hint="eastAsia" w:ascii="宋体" w:cs="宋体"/>
          <w:szCs w:val="21"/>
        </w:rPr>
      </w:pPr>
      <w:r>
        <w:rPr>
          <w:rFonts w:hint="eastAsia" w:ascii="宋体" w:cs="宋体"/>
          <w:szCs w:val="21"/>
        </w:rPr>
        <w:t>17.4 因不可抗力解除合同</w:t>
      </w:r>
    </w:p>
    <w:p w14:paraId="6BEBA983">
      <w:pPr>
        <w:snapToGrid w:val="0"/>
        <w:spacing w:line="420" w:lineRule="exact"/>
        <w:ind w:firstLine="420" w:firstLineChars="200"/>
        <w:jc w:val="left"/>
        <w:rPr>
          <w:rFonts w:hint="eastAsia" w:ascii="宋体" w:hAnsi="Times New Roman" w:eastAsia="宋体" w:cs="宋体"/>
          <w:szCs w:val="21"/>
          <w:lang w:eastAsia="zh-CN"/>
        </w:rPr>
      </w:pPr>
      <w:r>
        <w:rPr>
          <w:rFonts w:hint="eastAsia" w:ascii="宋体" w:hAnsi="Times New Roman" w:eastAsia="宋体" w:cs="宋体"/>
          <w:szCs w:val="21"/>
          <w:lang w:eastAsia="zh-CN"/>
        </w:rPr>
        <w:t>合同解除后，发包人应在发票送达一周内完成款项的支付。</w:t>
      </w:r>
    </w:p>
    <w:p w14:paraId="1B91FF85">
      <w:pPr>
        <w:pStyle w:val="9"/>
        <w:snapToGrid w:val="0"/>
        <w:spacing w:before="0" w:after="0" w:line="420" w:lineRule="exact"/>
        <w:ind w:firstLine="420" w:firstLineChars="200"/>
        <w:rPr>
          <w:rFonts w:hint="eastAsia" w:ascii="宋体" w:eastAsia="宋体" w:cs="宋体"/>
          <w:b w:val="0"/>
          <w:sz w:val="21"/>
          <w:szCs w:val="21"/>
        </w:rPr>
      </w:pPr>
      <w:r>
        <w:rPr>
          <w:rFonts w:hint="eastAsia" w:ascii="宋体" w:eastAsia="宋体" w:cs="宋体"/>
          <w:b w:val="0"/>
          <w:sz w:val="21"/>
          <w:szCs w:val="21"/>
        </w:rPr>
        <w:t>18. 保险</w:t>
      </w:r>
    </w:p>
    <w:p w14:paraId="4A9CD8E6">
      <w:pPr>
        <w:snapToGrid w:val="0"/>
        <w:spacing w:line="420" w:lineRule="exact"/>
        <w:ind w:firstLine="420" w:firstLineChars="200"/>
        <w:rPr>
          <w:rFonts w:hint="eastAsia" w:ascii="宋体" w:cs="宋体"/>
          <w:szCs w:val="21"/>
        </w:rPr>
      </w:pPr>
      <w:r>
        <w:rPr>
          <w:rFonts w:hint="eastAsia" w:ascii="宋体" w:cs="宋体"/>
          <w:szCs w:val="21"/>
        </w:rPr>
        <w:t>18.1 工程保险</w:t>
      </w:r>
    </w:p>
    <w:p w14:paraId="41CACA33">
      <w:pPr>
        <w:snapToGrid w:val="0"/>
        <w:spacing w:line="420" w:lineRule="exact"/>
        <w:ind w:firstLine="420" w:firstLineChars="200"/>
        <w:rPr>
          <w:rFonts w:hint="eastAsia"/>
        </w:rPr>
      </w:pPr>
      <w:r>
        <w:rPr>
          <w:rFonts w:hint="eastAsia"/>
        </w:rPr>
        <w:t>关于工程保险的特别约定：</w:t>
      </w:r>
      <w:r>
        <w:rPr>
          <w:rFonts w:hint="eastAsia" w:ascii="宋体" w:hAnsi="宋体" w:eastAsia="宋体" w:cs="宋体"/>
          <w:color w:val="000000"/>
          <w:szCs w:val="21"/>
          <w:u w:val="single"/>
          <w:lang w:val="en-US" w:eastAsia="zh-CN"/>
        </w:rPr>
        <w:t>承包人根据通用条款规定自行购买并承担费用</w:t>
      </w:r>
      <w:r>
        <w:rPr>
          <w:rFonts w:hint="eastAsia"/>
          <w:u w:val="single"/>
        </w:rPr>
        <w:t xml:space="preserve"> </w:t>
      </w:r>
      <w:r>
        <w:rPr>
          <w:rFonts w:hint="eastAsia"/>
        </w:rPr>
        <w:t>。</w:t>
      </w:r>
    </w:p>
    <w:p w14:paraId="4DC9B5E5">
      <w:pPr>
        <w:snapToGrid w:val="0"/>
        <w:spacing w:line="420" w:lineRule="exact"/>
        <w:ind w:firstLine="420" w:firstLineChars="200"/>
        <w:rPr>
          <w:rFonts w:hint="eastAsia" w:ascii="宋体" w:cs="宋体"/>
          <w:szCs w:val="21"/>
        </w:rPr>
      </w:pPr>
      <w:r>
        <w:rPr>
          <w:rFonts w:hint="eastAsia" w:ascii="宋体" w:cs="宋体"/>
          <w:szCs w:val="21"/>
        </w:rPr>
        <w:t>18.3 其他保险</w:t>
      </w:r>
    </w:p>
    <w:p w14:paraId="3C2CC8F0">
      <w:pPr>
        <w:snapToGrid w:val="0"/>
        <w:spacing w:line="420" w:lineRule="exact"/>
        <w:ind w:firstLine="420" w:firstLineChars="200"/>
        <w:jc w:val="left"/>
        <w:rPr>
          <w:rFonts w:hint="eastAsia" w:ascii="宋体" w:cs="宋体"/>
          <w:kern w:val="0"/>
          <w:szCs w:val="21"/>
        </w:rPr>
      </w:pPr>
      <w:r>
        <w:rPr>
          <w:rFonts w:hint="eastAsia" w:ascii="宋体" w:cs="宋体"/>
          <w:szCs w:val="21"/>
        </w:rPr>
        <w:t>关于其他保险的约定：</w:t>
      </w:r>
      <w:r>
        <w:rPr>
          <w:rFonts w:hint="eastAsia" w:ascii="宋体" w:cs="宋体"/>
          <w:kern w:val="0"/>
          <w:szCs w:val="21"/>
          <w:u w:val="single"/>
        </w:rPr>
        <w:t xml:space="preserve"> </w:t>
      </w:r>
      <w:r>
        <w:rPr>
          <w:rFonts w:hint="eastAsia" w:ascii="宋体" w:hAnsi="宋体" w:cs="宋体"/>
          <w:color w:val="000000"/>
          <w:szCs w:val="21"/>
          <w:u w:val="single"/>
        </w:rPr>
        <w:t>承包人须为其施工现场的全部人员办理意外伤害保险并支付保险费，包括其员工及为履行合同聘请的第三方的人员</w:t>
      </w:r>
    </w:p>
    <w:p w14:paraId="0C9C511F">
      <w:pPr>
        <w:snapToGrid w:val="0"/>
        <w:spacing w:line="420" w:lineRule="exact"/>
        <w:ind w:firstLine="420" w:firstLineChars="200"/>
        <w:jc w:val="left"/>
        <w:rPr>
          <w:rFonts w:hint="eastAsia" w:ascii="宋体" w:cs="宋体"/>
          <w:szCs w:val="21"/>
          <w:u w:val="single"/>
        </w:rPr>
      </w:pPr>
      <w:r>
        <w:rPr>
          <w:rFonts w:hint="eastAsia" w:ascii="宋体" w:cs="宋体"/>
          <w:szCs w:val="21"/>
        </w:rPr>
        <w:t>承包人是否应为其施工设备等办理财产保险：</w:t>
      </w:r>
      <w:r>
        <w:rPr>
          <w:rFonts w:hint="eastAsia" w:ascii="宋体" w:hAnsi="宋体" w:cs="宋体"/>
          <w:color w:val="000000"/>
          <w:szCs w:val="21"/>
          <w:u w:val="single"/>
        </w:rPr>
        <w:t>执行通用条款</w:t>
      </w:r>
      <w:r>
        <w:rPr>
          <w:rFonts w:hint="eastAsia" w:ascii="宋体" w:cs="宋体"/>
          <w:szCs w:val="21"/>
          <w:u w:val="single"/>
        </w:rPr>
        <w:t>。</w:t>
      </w:r>
    </w:p>
    <w:p w14:paraId="5C3AB220">
      <w:pPr>
        <w:snapToGrid w:val="0"/>
        <w:spacing w:line="420" w:lineRule="exact"/>
        <w:ind w:firstLine="420" w:firstLineChars="200"/>
        <w:rPr>
          <w:rFonts w:hint="eastAsia" w:ascii="宋体" w:cs="宋体"/>
          <w:szCs w:val="21"/>
        </w:rPr>
      </w:pPr>
      <w:r>
        <w:rPr>
          <w:rFonts w:hint="eastAsia" w:ascii="宋体" w:cs="宋体"/>
          <w:szCs w:val="21"/>
        </w:rPr>
        <w:t>18.7 通知义务</w:t>
      </w:r>
    </w:p>
    <w:p w14:paraId="2F3CC148">
      <w:pPr>
        <w:snapToGrid w:val="0"/>
        <w:spacing w:line="420" w:lineRule="exact"/>
        <w:ind w:firstLine="420" w:firstLineChars="200"/>
        <w:jc w:val="left"/>
        <w:rPr>
          <w:rFonts w:hint="eastAsia" w:ascii="宋体" w:cs="宋体"/>
          <w:kern w:val="0"/>
          <w:szCs w:val="21"/>
          <w:u w:val="single"/>
        </w:rPr>
      </w:pPr>
      <w:r>
        <w:rPr>
          <w:rFonts w:hint="eastAsia" w:ascii="宋体" w:cs="宋体"/>
          <w:kern w:val="0"/>
          <w:szCs w:val="21"/>
        </w:rPr>
        <w:t>关于变更保险合同时的通知义务的约定：</w:t>
      </w:r>
      <w:r>
        <w:rPr>
          <w:rFonts w:hint="eastAsia" w:ascii="宋体" w:hAnsi="宋体" w:cs="宋体"/>
          <w:color w:val="000000"/>
          <w:szCs w:val="21"/>
          <w:u w:val="single"/>
        </w:rPr>
        <w:t>执行通用条款</w:t>
      </w:r>
      <w:r>
        <w:rPr>
          <w:rFonts w:hint="eastAsia" w:ascii="宋体" w:cs="宋体"/>
          <w:kern w:val="0"/>
          <w:szCs w:val="21"/>
          <w:u w:val="single"/>
        </w:rPr>
        <w:t>。</w:t>
      </w:r>
    </w:p>
    <w:p w14:paraId="22CAF1C3">
      <w:pPr>
        <w:snapToGrid w:val="0"/>
        <w:spacing w:line="420" w:lineRule="exact"/>
        <w:ind w:firstLine="420" w:firstLineChars="200"/>
        <w:jc w:val="left"/>
        <w:rPr>
          <w:rFonts w:hint="eastAsia" w:ascii="宋体" w:cs="宋体"/>
          <w:kern w:val="0"/>
          <w:szCs w:val="21"/>
          <w:u w:val="single"/>
        </w:rPr>
      </w:pPr>
      <w:r>
        <w:rPr>
          <w:rFonts w:hint="eastAsia" w:ascii="宋体" w:cs="宋体"/>
          <w:kern w:val="0"/>
          <w:szCs w:val="21"/>
          <w:u w:val="single"/>
        </w:rPr>
        <w:t>保险事故发生时，投保人应按照保险合同规定的条件和期限及时向保险人报告。发包人和承包人应当在知道保险事故发生后及时通知对方。</w:t>
      </w:r>
    </w:p>
    <w:p w14:paraId="5500005C">
      <w:pPr>
        <w:pStyle w:val="9"/>
        <w:snapToGrid w:val="0"/>
        <w:spacing w:before="0" w:after="0" w:line="420" w:lineRule="exact"/>
        <w:ind w:firstLine="420" w:firstLineChars="200"/>
        <w:rPr>
          <w:rFonts w:hint="eastAsia" w:ascii="宋体" w:eastAsia="宋体" w:cs="宋体"/>
          <w:b w:val="0"/>
          <w:sz w:val="21"/>
          <w:szCs w:val="21"/>
        </w:rPr>
      </w:pPr>
      <w:r>
        <w:rPr>
          <w:rFonts w:hint="eastAsia" w:ascii="宋体" w:eastAsia="宋体" w:cs="宋体"/>
          <w:b w:val="0"/>
          <w:sz w:val="21"/>
          <w:szCs w:val="21"/>
        </w:rPr>
        <w:t>20. 争议解决</w:t>
      </w:r>
    </w:p>
    <w:p w14:paraId="5E40BD8B">
      <w:pPr>
        <w:snapToGrid w:val="0"/>
        <w:spacing w:line="420" w:lineRule="exact"/>
        <w:ind w:firstLine="420" w:firstLineChars="200"/>
        <w:rPr>
          <w:rFonts w:hint="eastAsia" w:ascii="宋体" w:cs="宋体"/>
          <w:szCs w:val="21"/>
        </w:rPr>
      </w:pPr>
      <w:r>
        <w:rPr>
          <w:rFonts w:hint="eastAsia" w:ascii="宋体" w:cs="宋体"/>
          <w:szCs w:val="21"/>
        </w:rPr>
        <w:t>20.3 争议评审</w:t>
      </w:r>
    </w:p>
    <w:p w14:paraId="122C7CB9">
      <w:pPr>
        <w:snapToGrid w:val="0"/>
        <w:spacing w:line="420" w:lineRule="exact"/>
        <w:ind w:firstLine="420" w:firstLineChars="200"/>
        <w:jc w:val="left"/>
        <w:rPr>
          <w:rFonts w:hint="eastAsia" w:ascii="宋体" w:cs="宋体"/>
          <w:szCs w:val="21"/>
          <w:u w:val="single"/>
        </w:rPr>
      </w:pPr>
      <w:r>
        <w:rPr>
          <w:rFonts w:hint="eastAsia" w:ascii="宋体" w:cs="宋体"/>
          <w:szCs w:val="21"/>
        </w:rPr>
        <w:t>合同当事人是否同意将工程争议提交争议评审小组决定：</w:t>
      </w:r>
      <w:r>
        <w:rPr>
          <w:rFonts w:hint="eastAsia" w:ascii="宋体" w:cs="宋体"/>
          <w:szCs w:val="21"/>
          <w:u w:val="single"/>
        </w:rPr>
        <w:t xml:space="preserve">  不同意   </w:t>
      </w:r>
      <w:r>
        <w:rPr>
          <w:rFonts w:hint="eastAsia" w:ascii="宋体" w:cs="宋体"/>
          <w:szCs w:val="21"/>
        </w:rPr>
        <w:t xml:space="preserve">。  </w:t>
      </w:r>
    </w:p>
    <w:p w14:paraId="1FDAB0C3">
      <w:pPr>
        <w:snapToGrid w:val="0"/>
        <w:spacing w:line="420" w:lineRule="exact"/>
        <w:ind w:firstLine="420" w:firstLineChars="200"/>
        <w:jc w:val="left"/>
        <w:rPr>
          <w:rFonts w:hint="eastAsia" w:ascii="宋体" w:cs="宋体"/>
          <w:szCs w:val="21"/>
        </w:rPr>
      </w:pPr>
      <w:r>
        <w:rPr>
          <w:rFonts w:hint="eastAsia" w:ascii="宋体" w:cs="宋体"/>
          <w:szCs w:val="21"/>
        </w:rPr>
        <w:t>20.3.1 争议评审小组的确定</w:t>
      </w:r>
    </w:p>
    <w:p w14:paraId="5E4513A0">
      <w:pPr>
        <w:snapToGrid w:val="0"/>
        <w:spacing w:line="420" w:lineRule="exact"/>
        <w:ind w:firstLine="420" w:firstLineChars="200"/>
        <w:jc w:val="left"/>
        <w:rPr>
          <w:rFonts w:hint="eastAsia" w:ascii="宋体" w:cs="宋体"/>
          <w:szCs w:val="21"/>
          <w:u w:val="single"/>
        </w:rPr>
      </w:pPr>
      <w:r>
        <w:rPr>
          <w:rFonts w:hint="eastAsia" w:ascii="宋体" w:cs="宋体"/>
          <w:szCs w:val="21"/>
        </w:rPr>
        <w:t>争议评审小组成员的确定：</w:t>
      </w:r>
      <w:r>
        <w:rPr>
          <w:rFonts w:hint="eastAsia" w:ascii="宋体" w:cs="宋体"/>
          <w:szCs w:val="21"/>
          <w:u w:val="single"/>
        </w:rPr>
        <w:t xml:space="preserve">  无   </w:t>
      </w:r>
      <w:r>
        <w:rPr>
          <w:rFonts w:hint="eastAsia" w:ascii="宋体" w:cs="宋体"/>
          <w:szCs w:val="21"/>
        </w:rPr>
        <w:t>。</w:t>
      </w:r>
    </w:p>
    <w:p w14:paraId="56137968">
      <w:pPr>
        <w:snapToGrid w:val="0"/>
        <w:spacing w:line="420" w:lineRule="exact"/>
        <w:ind w:firstLine="420" w:firstLineChars="200"/>
        <w:jc w:val="left"/>
        <w:rPr>
          <w:rFonts w:hint="eastAsia" w:ascii="宋体" w:cs="宋体"/>
          <w:szCs w:val="21"/>
        </w:rPr>
      </w:pPr>
      <w:r>
        <w:rPr>
          <w:rFonts w:hint="eastAsia" w:ascii="宋体" w:cs="宋体"/>
          <w:szCs w:val="21"/>
        </w:rPr>
        <w:t>选定争议评审员的期限：</w:t>
      </w:r>
      <w:r>
        <w:rPr>
          <w:rFonts w:hint="eastAsia" w:ascii="宋体" w:cs="宋体"/>
          <w:szCs w:val="21"/>
          <w:u w:val="single"/>
        </w:rPr>
        <w:t xml:space="preserve">  无   </w:t>
      </w:r>
      <w:r>
        <w:rPr>
          <w:rFonts w:hint="eastAsia" w:ascii="宋体" w:cs="宋体"/>
          <w:szCs w:val="21"/>
        </w:rPr>
        <w:t>。</w:t>
      </w:r>
    </w:p>
    <w:p w14:paraId="4ECD594C">
      <w:pPr>
        <w:snapToGrid w:val="0"/>
        <w:spacing w:line="420" w:lineRule="exact"/>
        <w:ind w:firstLine="420" w:firstLineChars="200"/>
        <w:jc w:val="left"/>
        <w:rPr>
          <w:rFonts w:hint="eastAsia" w:ascii="宋体" w:cs="宋体"/>
          <w:szCs w:val="21"/>
        </w:rPr>
      </w:pPr>
      <w:r>
        <w:rPr>
          <w:rFonts w:hint="eastAsia" w:ascii="宋体" w:cs="宋体"/>
          <w:szCs w:val="21"/>
        </w:rPr>
        <w:t>争议评审小组成员的报酬承担方式：</w:t>
      </w:r>
      <w:r>
        <w:rPr>
          <w:rFonts w:hint="eastAsia" w:ascii="宋体" w:cs="宋体"/>
          <w:szCs w:val="21"/>
          <w:u w:val="single"/>
        </w:rPr>
        <w:t xml:space="preserve">  无   </w:t>
      </w:r>
      <w:r>
        <w:rPr>
          <w:rFonts w:hint="eastAsia" w:ascii="宋体" w:cs="宋体"/>
          <w:szCs w:val="21"/>
        </w:rPr>
        <w:t>。</w:t>
      </w:r>
    </w:p>
    <w:p w14:paraId="65008D3D">
      <w:pPr>
        <w:snapToGrid w:val="0"/>
        <w:spacing w:line="420" w:lineRule="exact"/>
        <w:ind w:firstLine="420" w:firstLineChars="200"/>
        <w:jc w:val="left"/>
        <w:rPr>
          <w:rFonts w:hint="eastAsia" w:ascii="宋体" w:cs="宋体"/>
          <w:szCs w:val="21"/>
        </w:rPr>
      </w:pPr>
      <w:r>
        <w:rPr>
          <w:rFonts w:hint="eastAsia" w:ascii="宋体" w:cs="宋体"/>
          <w:szCs w:val="21"/>
        </w:rPr>
        <w:t>其他事项的约定：</w:t>
      </w:r>
      <w:r>
        <w:rPr>
          <w:rFonts w:hint="eastAsia" w:ascii="宋体" w:cs="宋体"/>
          <w:szCs w:val="21"/>
          <w:u w:val="single"/>
        </w:rPr>
        <w:t xml:space="preserve">  无   </w:t>
      </w:r>
      <w:r>
        <w:rPr>
          <w:rFonts w:hint="eastAsia" w:ascii="宋体" w:cs="宋体"/>
          <w:szCs w:val="21"/>
        </w:rPr>
        <w:t>。</w:t>
      </w:r>
    </w:p>
    <w:p w14:paraId="03B06A94">
      <w:pPr>
        <w:autoSpaceDE w:val="0"/>
        <w:autoSpaceDN w:val="0"/>
        <w:adjustRightInd w:val="0"/>
        <w:snapToGrid w:val="0"/>
        <w:spacing w:line="420" w:lineRule="exact"/>
        <w:ind w:firstLine="420" w:firstLineChars="200"/>
        <w:jc w:val="left"/>
        <w:rPr>
          <w:rFonts w:hint="eastAsia" w:ascii="宋体" w:cs="宋体"/>
          <w:kern w:val="0"/>
          <w:szCs w:val="21"/>
        </w:rPr>
      </w:pPr>
      <w:r>
        <w:rPr>
          <w:rFonts w:hint="eastAsia" w:ascii="宋体" w:cs="宋体"/>
          <w:kern w:val="0"/>
          <w:szCs w:val="21"/>
        </w:rPr>
        <w:t>20.3.2 争议评审小组的决定</w:t>
      </w:r>
    </w:p>
    <w:p w14:paraId="1784E084">
      <w:pPr>
        <w:snapToGrid w:val="0"/>
        <w:spacing w:line="420" w:lineRule="exact"/>
        <w:ind w:firstLine="420" w:firstLineChars="200"/>
        <w:jc w:val="left"/>
        <w:rPr>
          <w:rFonts w:hint="eastAsia" w:ascii="宋体" w:cs="宋体"/>
          <w:szCs w:val="21"/>
        </w:rPr>
      </w:pPr>
      <w:r>
        <w:rPr>
          <w:rFonts w:hint="eastAsia" w:ascii="宋体" w:cs="宋体"/>
          <w:szCs w:val="21"/>
        </w:rPr>
        <w:t>合同当事人关于本项的约定：</w:t>
      </w:r>
      <w:r>
        <w:rPr>
          <w:rFonts w:hint="eastAsia" w:ascii="宋体" w:cs="宋体"/>
          <w:szCs w:val="21"/>
          <w:u w:val="single"/>
        </w:rPr>
        <w:t xml:space="preserve">  无   </w:t>
      </w:r>
      <w:r>
        <w:rPr>
          <w:rFonts w:hint="eastAsia" w:ascii="宋体" w:cs="宋体"/>
          <w:szCs w:val="21"/>
        </w:rPr>
        <w:t>。</w:t>
      </w:r>
    </w:p>
    <w:p w14:paraId="3A893488">
      <w:pPr>
        <w:autoSpaceDE w:val="0"/>
        <w:autoSpaceDN w:val="0"/>
        <w:adjustRightInd w:val="0"/>
        <w:snapToGrid w:val="0"/>
        <w:spacing w:line="420" w:lineRule="exact"/>
        <w:ind w:firstLine="420" w:firstLineChars="200"/>
        <w:jc w:val="left"/>
        <w:rPr>
          <w:rFonts w:hint="eastAsia" w:ascii="宋体" w:cs="宋体"/>
          <w:kern w:val="0"/>
          <w:szCs w:val="21"/>
        </w:rPr>
      </w:pPr>
      <w:r>
        <w:rPr>
          <w:rFonts w:hint="eastAsia" w:ascii="宋体" w:cs="宋体"/>
          <w:kern w:val="0"/>
          <w:szCs w:val="21"/>
        </w:rPr>
        <w:t>20.4仲裁或诉讼</w:t>
      </w:r>
    </w:p>
    <w:p w14:paraId="1647000D">
      <w:pPr>
        <w:autoSpaceDE w:val="0"/>
        <w:autoSpaceDN w:val="0"/>
        <w:adjustRightInd w:val="0"/>
        <w:snapToGrid w:val="0"/>
        <w:spacing w:line="420" w:lineRule="exact"/>
        <w:ind w:firstLine="420" w:firstLineChars="200"/>
        <w:jc w:val="left"/>
        <w:rPr>
          <w:rFonts w:hint="eastAsia" w:ascii="宋体" w:cs="宋体"/>
          <w:kern w:val="0"/>
          <w:szCs w:val="21"/>
        </w:rPr>
      </w:pPr>
      <w:r>
        <w:rPr>
          <w:rFonts w:hint="eastAsia" w:ascii="宋体" w:cs="宋体"/>
          <w:kern w:val="0"/>
          <w:szCs w:val="21"/>
        </w:rPr>
        <w:t>因合同及合同有关事项发生的争议，按下列第</w:t>
      </w:r>
      <w:r>
        <w:rPr>
          <w:rFonts w:hint="eastAsia" w:ascii="宋体" w:cs="宋体"/>
          <w:color w:val="auto"/>
          <w:kern w:val="0"/>
          <w:szCs w:val="21"/>
          <w:u w:val="single"/>
        </w:rPr>
        <w:t xml:space="preserve">  （</w:t>
      </w:r>
      <w:r>
        <w:rPr>
          <w:rFonts w:hint="eastAsia" w:ascii="宋体" w:cs="宋体"/>
          <w:color w:val="auto"/>
          <w:kern w:val="0"/>
          <w:szCs w:val="21"/>
          <w:u w:val="single"/>
          <w:lang w:val="en-US" w:eastAsia="zh-CN"/>
        </w:rPr>
        <w:t>1</w:t>
      </w:r>
      <w:r>
        <w:rPr>
          <w:rFonts w:hint="eastAsia" w:ascii="宋体" w:cs="宋体"/>
          <w:color w:val="auto"/>
          <w:kern w:val="0"/>
          <w:szCs w:val="21"/>
          <w:u w:val="single"/>
        </w:rPr>
        <w:t xml:space="preserve">）   </w:t>
      </w:r>
      <w:r>
        <w:rPr>
          <w:rFonts w:hint="eastAsia" w:ascii="宋体" w:cs="宋体"/>
          <w:kern w:val="0"/>
          <w:szCs w:val="21"/>
        </w:rPr>
        <w:t>种方式解决：</w:t>
      </w:r>
    </w:p>
    <w:p w14:paraId="3AE41BB3">
      <w:pPr>
        <w:numPr>
          <w:ilvl w:val="0"/>
          <w:numId w:val="3"/>
        </w:numPr>
        <w:autoSpaceDE w:val="0"/>
        <w:autoSpaceDN w:val="0"/>
        <w:adjustRightInd w:val="0"/>
        <w:snapToGrid w:val="0"/>
        <w:spacing w:line="420" w:lineRule="exact"/>
        <w:ind w:left="315" w:firstLine="420" w:firstLineChars="200"/>
        <w:jc w:val="left"/>
        <w:rPr>
          <w:rFonts w:hint="eastAsia" w:ascii="宋体" w:cs="宋体"/>
          <w:kern w:val="0"/>
          <w:szCs w:val="21"/>
        </w:rPr>
      </w:pPr>
      <w:r>
        <w:rPr>
          <w:rFonts w:hint="eastAsia" w:ascii="宋体" w:cs="宋体"/>
          <w:kern w:val="0"/>
          <w:szCs w:val="21"/>
        </w:rPr>
        <w:t>向</w:t>
      </w:r>
      <w:r>
        <w:rPr>
          <w:rFonts w:hint="eastAsia" w:ascii="宋体" w:cs="宋体"/>
          <w:kern w:val="0"/>
          <w:szCs w:val="21"/>
          <w:u w:val="single"/>
        </w:rPr>
        <w:t xml:space="preserve">        滁州     </w:t>
      </w:r>
      <w:r>
        <w:rPr>
          <w:rFonts w:hint="eastAsia" w:ascii="宋体" w:cs="宋体"/>
          <w:kern w:val="0"/>
          <w:szCs w:val="21"/>
        </w:rPr>
        <w:t>仲裁委员会申请仲裁；</w:t>
      </w:r>
    </w:p>
    <w:p w14:paraId="12A8A368">
      <w:pPr>
        <w:numPr>
          <w:ilvl w:val="0"/>
          <w:numId w:val="3"/>
        </w:numPr>
        <w:autoSpaceDE w:val="0"/>
        <w:autoSpaceDN w:val="0"/>
        <w:adjustRightInd w:val="0"/>
        <w:snapToGrid w:val="0"/>
        <w:spacing w:line="420" w:lineRule="exact"/>
        <w:ind w:left="315" w:firstLine="420" w:firstLineChars="200"/>
        <w:jc w:val="left"/>
        <w:rPr>
          <w:rFonts w:hint="eastAsia" w:ascii="宋体" w:cs="宋体"/>
          <w:kern w:val="0"/>
          <w:szCs w:val="21"/>
        </w:rPr>
      </w:pPr>
      <w:r>
        <w:rPr>
          <w:rFonts w:hint="eastAsia" w:ascii="宋体" w:cs="宋体"/>
          <w:kern w:val="0"/>
          <w:szCs w:val="21"/>
        </w:rPr>
        <w:t>向</w:t>
      </w:r>
      <w:r>
        <w:rPr>
          <w:rFonts w:hint="eastAsia" w:ascii="宋体" w:cs="宋体"/>
          <w:kern w:val="0"/>
          <w:szCs w:val="21"/>
          <w:u w:val="single"/>
        </w:rPr>
        <w:t xml:space="preserve">     </w:t>
      </w:r>
      <w:r>
        <w:rPr>
          <w:rFonts w:hint="eastAsia" w:ascii="宋体" w:cs="宋体"/>
          <w:szCs w:val="21"/>
          <w:u w:val="single"/>
          <w:lang w:val="en-US" w:eastAsia="zh-CN"/>
        </w:rPr>
        <w:t>招标人所在地</w:t>
      </w:r>
      <w:r>
        <w:rPr>
          <w:rFonts w:hint="eastAsia" w:ascii="宋体" w:cs="宋体"/>
          <w:kern w:val="0"/>
          <w:szCs w:val="21"/>
          <w:u w:val="single"/>
        </w:rPr>
        <w:t xml:space="preserve">   </w:t>
      </w:r>
      <w:r>
        <w:rPr>
          <w:rFonts w:hint="eastAsia" w:ascii="宋体" w:cs="宋体"/>
          <w:kern w:val="0"/>
          <w:szCs w:val="21"/>
        </w:rPr>
        <w:t>人民法院起诉。</w:t>
      </w:r>
    </w:p>
    <w:p w14:paraId="4E542DB0">
      <w:pPr>
        <w:keepNext/>
        <w:keepLines/>
        <w:adjustRightInd w:val="0"/>
        <w:snapToGrid w:val="0"/>
        <w:spacing w:line="384" w:lineRule="auto"/>
        <w:jc w:val="left"/>
        <w:outlineLvl w:val="2"/>
        <w:rPr>
          <w:rFonts w:hint="eastAsia" w:ascii="宋体" w:hAnsi="宋体" w:cs="宋体"/>
          <w:color w:val="000000"/>
        </w:rPr>
      </w:pPr>
      <w:bookmarkStart w:id="860" w:name="_Toc95223485"/>
      <w:r>
        <w:rPr>
          <w:rFonts w:hint="eastAsia" w:ascii="宋体" w:hAnsi="宋体" w:cs="宋体"/>
          <w:color w:val="000000"/>
        </w:rPr>
        <w:t>21. 补充条款</w:t>
      </w:r>
      <w:bookmarkEnd w:id="860"/>
      <w:r>
        <w:rPr>
          <w:rFonts w:hint="eastAsia" w:ascii="宋体" w:hAnsi="宋体" w:cs="宋体"/>
          <w:color w:val="000000"/>
        </w:rPr>
        <w:t xml:space="preserve"> </w:t>
      </w:r>
    </w:p>
    <w:p w14:paraId="5B8AE915">
      <w:pPr>
        <w:adjustRightInd w:val="0"/>
        <w:snapToGrid w:val="0"/>
        <w:spacing w:line="384" w:lineRule="auto"/>
        <w:ind w:firstLine="420" w:firstLineChars="200"/>
        <w:rPr>
          <w:rFonts w:hint="eastAsia" w:ascii="宋体" w:hAnsi="宋体" w:cs="宋体"/>
          <w:color w:val="000000"/>
        </w:rPr>
      </w:pPr>
      <w:r>
        <w:rPr>
          <w:rFonts w:hint="eastAsia" w:ascii="宋体" w:hAnsi="宋体" w:cs="宋体"/>
          <w:color w:val="000000"/>
        </w:rPr>
        <w:t>本补充条款是专用条款的一部分，其解释顺序优先于专用条款内的其他条款。</w:t>
      </w:r>
    </w:p>
    <w:p w14:paraId="14AE0E0C">
      <w:pPr>
        <w:keepNext/>
        <w:keepLines/>
        <w:adjustRightInd w:val="0"/>
        <w:snapToGrid w:val="0"/>
        <w:spacing w:line="384" w:lineRule="auto"/>
        <w:ind w:firstLine="420" w:firstLineChars="200"/>
        <w:outlineLvl w:val="3"/>
        <w:rPr>
          <w:rFonts w:hint="eastAsia" w:ascii="宋体" w:hAnsi="宋体" w:cs="宋体"/>
          <w:bCs/>
          <w:color w:val="000000"/>
          <w:szCs w:val="28"/>
        </w:rPr>
      </w:pPr>
      <w:r>
        <w:rPr>
          <w:rFonts w:hint="eastAsia" w:ascii="宋体" w:hAnsi="宋体" w:cs="宋体"/>
          <w:bCs/>
          <w:color w:val="000000"/>
          <w:szCs w:val="28"/>
        </w:rPr>
        <w:t>21.1 人员及职责</w:t>
      </w:r>
    </w:p>
    <w:p w14:paraId="2CFABEE9">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21.1.1 发包人委派的发包人代表或监理工程师（以下简称“工程师”）无权更改合同，也无权解除发包人和承包人的义务和责任。</w:t>
      </w:r>
    </w:p>
    <w:p w14:paraId="3E44F6EB">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21.1.2 发包人代表的任何批准、检查、证书、同意、通知、建议、检验、指令和要求等不解除承包人在合同中的责任。</w:t>
      </w:r>
    </w:p>
    <w:p w14:paraId="0B2D5A24">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21.1.3 承包人只能从发包人代表或其授权代表处接受指令。</w:t>
      </w:r>
    </w:p>
    <w:p w14:paraId="4B813459">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21.1.4 发包人如需更换发包人代表须提前7天通知承包人。</w:t>
      </w:r>
    </w:p>
    <w:p w14:paraId="1C69E9EA">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21.1.5 投标人委任的项目经理、项目技术负责人、各专业负责人（其他主要管理人员和技术人员）及施工机械等在整个项目施工期内必须在位。</w:t>
      </w:r>
    </w:p>
    <w:p w14:paraId="54C76CB8">
      <w:pPr>
        <w:adjustRightInd w:val="0"/>
        <w:snapToGrid w:val="0"/>
        <w:spacing w:line="384" w:lineRule="auto"/>
        <w:ind w:firstLine="420" w:firstLineChars="200"/>
        <w:rPr>
          <w:rFonts w:hint="eastAsia" w:ascii="宋体" w:hAnsi="宋体" w:cs="宋体"/>
          <w:color w:val="000000"/>
          <w:kern w:val="0"/>
          <w:highlight w:val="none"/>
        </w:rPr>
      </w:pPr>
      <w:r>
        <w:rPr>
          <w:rFonts w:hint="eastAsia" w:ascii="宋体" w:hAnsi="宋体" w:cs="宋体"/>
          <w:color w:val="000000"/>
          <w:kern w:val="0"/>
        </w:rPr>
        <w:t>承包人的项目经理离开现场的，须经发包人代表同意，并书面指定临时代表，代为行使项目经理的权力；该临时代表的一切行为，甲方均认为是项目经理</w:t>
      </w:r>
      <w:r>
        <w:rPr>
          <w:rFonts w:hint="eastAsia" w:ascii="宋体" w:hAnsi="宋体" w:cs="宋体"/>
          <w:color w:val="000000"/>
          <w:kern w:val="0"/>
          <w:highlight w:val="none"/>
        </w:rPr>
        <w:t>的行为。</w:t>
      </w:r>
    </w:p>
    <w:p w14:paraId="7B2B46C3">
      <w:pPr>
        <w:snapToGrid w:val="0"/>
        <w:spacing w:line="440" w:lineRule="exact"/>
        <w:ind w:firstLine="420" w:firstLineChars="200"/>
        <w:rPr>
          <w:rFonts w:hint="eastAsia" w:ascii="宋体" w:hAnsi="宋体" w:cs="宋体"/>
          <w:color w:val="000000"/>
          <w:highlight w:val="none"/>
        </w:rPr>
      </w:pPr>
      <w:r>
        <w:rPr>
          <w:rFonts w:hint="eastAsia" w:ascii="宋体" w:hAnsi="Times New Roman" w:eastAsia="宋体" w:cs="宋体"/>
          <w:szCs w:val="21"/>
          <w:highlight w:val="none"/>
          <w:lang w:val="en-US" w:eastAsia="zh-CN"/>
        </w:rPr>
        <w:t>由于承包人自身原因造成机械设备未能及时到位而影响工程施工的，在发包人提出确切要求到位日期后，仍未到位的视为违约，承包人向发包人支付</w:t>
      </w:r>
      <w:r>
        <w:rPr>
          <w:rFonts w:hint="eastAsia" w:ascii="宋体" w:cs="宋体"/>
          <w:szCs w:val="21"/>
          <w:highlight w:val="none"/>
          <w:lang w:val="en-US" w:eastAsia="zh-CN"/>
        </w:rPr>
        <w:t>10</w:t>
      </w:r>
      <w:r>
        <w:rPr>
          <w:rFonts w:hint="eastAsia" w:ascii="宋体" w:hAnsi="Times New Roman" w:eastAsia="宋体" w:cs="宋体"/>
          <w:szCs w:val="21"/>
          <w:highlight w:val="none"/>
          <w:lang w:val="en-US" w:eastAsia="zh-CN"/>
        </w:rPr>
        <w:t>万元违约金。</w:t>
      </w:r>
    </w:p>
    <w:p w14:paraId="00BE78F0">
      <w:pPr>
        <w:adjustRightInd w:val="0"/>
        <w:snapToGrid w:val="0"/>
        <w:spacing w:line="384" w:lineRule="auto"/>
        <w:ind w:firstLine="420" w:firstLineChars="200"/>
        <w:rPr>
          <w:rFonts w:hint="eastAsia" w:ascii="宋体" w:hAnsi="宋体" w:cs="宋体"/>
          <w:color w:val="000000"/>
          <w:highlight w:val="none"/>
        </w:rPr>
      </w:pPr>
      <w:r>
        <w:rPr>
          <w:rFonts w:hint="eastAsia" w:ascii="宋体" w:hAnsi="宋体" w:cs="宋体"/>
          <w:color w:val="000000"/>
          <w:highlight w:val="none"/>
        </w:rPr>
        <w:t>21.1.6 承包人提交发包人的任何文件，发包人都认为该文件已经承包人内部程序批准；承包人提交的文件发生修改的，应及时将最新版本提交发包人代表。</w:t>
      </w:r>
    </w:p>
    <w:p w14:paraId="7E4392EE">
      <w:pPr>
        <w:adjustRightInd w:val="0"/>
        <w:snapToGrid w:val="0"/>
        <w:spacing w:line="384" w:lineRule="auto"/>
        <w:ind w:firstLine="420" w:firstLineChars="200"/>
        <w:rPr>
          <w:rFonts w:hint="eastAsia" w:ascii="宋体" w:hAnsi="宋体" w:cs="宋体"/>
          <w:color w:val="000000"/>
          <w:highlight w:val="none"/>
        </w:rPr>
      </w:pPr>
      <w:r>
        <w:rPr>
          <w:rFonts w:hint="eastAsia" w:ascii="宋体" w:hAnsi="宋体" w:cs="宋体"/>
          <w:color w:val="000000"/>
          <w:highlight w:val="none"/>
        </w:rPr>
        <w:t>21.1.7 承包人应始终采取一切合理防范措施来避免在项目人员内部发生违法、动乱或妨碍治安的行为，保持项目的安定；并保护好现场和周围的人员和财产安全。</w:t>
      </w:r>
    </w:p>
    <w:p w14:paraId="4DAC4F44">
      <w:pPr>
        <w:adjustRightInd w:val="0"/>
        <w:snapToGrid w:val="0"/>
        <w:spacing w:line="384" w:lineRule="auto"/>
        <w:ind w:firstLine="420" w:firstLineChars="200"/>
        <w:rPr>
          <w:rFonts w:hint="eastAsia" w:ascii="宋体" w:hAnsi="宋体" w:cs="宋体"/>
          <w:color w:val="000000"/>
          <w:highlight w:val="none"/>
        </w:rPr>
      </w:pPr>
      <w:r>
        <w:rPr>
          <w:rFonts w:hint="eastAsia" w:ascii="宋体" w:hAnsi="宋体" w:cs="宋体"/>
          <w:color w:val="000000"/>
          <w:highlight w:val="none"/>
        </w:rPr>
        <w:t>21.1.8 承包人雇佣职员或工人应遵守相关法律法规的规定。</w:t>
      </w:r>
    </w:p>
    <w:p w14:paraId="7FC64190">
      <w:pPr>
        <w:adjustRightInd w:val="0"/>
        <w:snapToGrid w:val="0"/>
        <w:spacing w:line="384" w:lineRule="auto"/>
        <w:ind w:firstLine="420" w:firstLineChars="200"/>
        <w:rPr>
          <w:rFonts w:hint="eastAsia" w:ascii="宋体" w:hAnsi="宋体" w:cs="宋体"/>
          <w:color w:val="000000"/>
          <w:highlight w:val="none"/>
        </w:rPr>
      </w:pPr>
      <w:r>
        <w:rPr>
          <w:rFonts w:hint="eastAsia" w:ascii="宋体" w:hAnsi="宋体" w:cs="宋体"/>
          <w:color w:val="000000"/>
          <w:highlight w:val="none"/>
        </w:rPr>
        <w:t>21.1.9 参与本项目的承包人代表或其雇员不遵守合同规定或一贯行为不轨或或不能胜任工作或危害安全，发包人代表有权要求更换；原人选未经发包人许可不得再进入本项目（包括项目经理在内）。</w:t>
      </w:r>
    </w:p>
    <w:p w14:paraId="55EA44CF">
      <w:pPr>
        <w:adjustRightInd w:val="0"/>
        <w:snapToGrid w:val="0"/>
        <w:spacing w:line="384" w:lineRule="auto"/>
        <w:ind w:firstLine="420" w:firstLineChars="200"/>
        <w:rPr>
          <w:rFonts w:hint="eastAsia" w:ascii="宋体" w:hAnsi="宋体" w:cs="宋体"/>
          <w:color w:val="000000"/>
          <w:highlight w:val="none"/>
        </w:rPr>
      </w:pPr>
      <w:r>
        <w:rPr>
          <w:rFonts w:hint="eastAsia" w:ascii="宋体" w:hAnsi="宋体" w:cs="宋体"/>
          <w:color w:val="000000"/>
          <w:highlight w:val="none"/>
        </w:rPr>
        <w:t>21.1.10 承包人更换项目经理的，须提前14天通知发包人，并征得发包人同意；该行为视为违约，承包人须支付发包人</w:t>
      </w:r>
      <w:r>
        <w:rPr>
          <w:rFonts w:hint="eastAsia" w:ascii="宋体" w:hAnsi="宋体" w:cs="宋体"/>
          <w:color w:val="000000"/>
          <w:highlight w:val="none"/>
          <w:u w:val="single"/>
        </w:rPr>
        <w:t xml:space="preserve">  </w:t>
      </w:r>
      <w:r>
        <w:rPr>
          <w:rFonts w:hint="eastAsia" w:ascii="宋体" w:hAnsi="宋体" w:cs="宋体"/>
          <w:color w:val="000000"/>
          <w:highlight w:val="none"/>
          <w:u w:val="single"/>
          <w:lang w:val="en-US" w:eastAsia="zh-CN"/>
        </w:rPr>
        <w:t>10</w:t>
      </w:r>
      <w:r>
        <w:rPr>
          <w:rFonts w:hint="eastAsia" w:ascii="宋体" w:hAnsi="宋体" w:cs="宋体"/>
          <w:color w:val="000000"/>
          <w:highlight w:val="none"/>
          <w:u w:val="single"/>
        </w:rPr>
        <w:t xml:space="preserve">  </w:t>
      </w:r>
      <w:r>
        <w:rPr>
          <w:rFonts w:hint="eastAsia" w:ascii="宋体" w:hAnsi="宋体" w:cs="宋体"/>
          <w:color w:val="000000"/>
          <w:highlight w:val="none"/>
        </w:rPr>
        <w:t>万元违约金。更换后的项目经理资历、水平不得降低。</w:t>
      </w:r>
    </w:p>
    <w:p w14:paraId="71241253">
      <w:pPr>
        <w:keepNext/>
        <w:keepLines/>
        <w:adjustRightInd w:val="0"/>
        <w:snapToGrid w:val="0"/>
        <w:spacing w:line="384" w:lineRule="auto"/>
        <w:ind w:firstLine="420" w:firstLineChars="200"/>
        <w:outlineLvl w:val="3"/>
        <w:rPr>
          <w:rFonts w:hint="eastAsia" w:ascii="宋体" w:hAnsi="宋体" w:cs="宋体"/>
          <w:bCs/>
          <w:color w:val="000000"/>
          <w:szCs w:val="28"/>
        </w:rPr>
      </w:pPr>
      <w:r>
        <w:rPr>
          <w:rFonts w:hint="eastAsia" w:ascii="宋体" w:hAnsi="宋体" w:cs="宋体"/>
          <w:bCs/>
          <w:color w:val="000000"/>
          <w:szCs w:val="28"/>
        </w:rPr>
        <w:t>21.2 变更与调整</w:t>
      </w:r>
    </w:p>
    <w:p w14:paraId="77CEA2CE">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21.2.1 在工程移交前，发包人代表有权签发变更指令，承包人应按照指令来实施变更，并进行工期和费用的估算，提交发包人代表。</w:t>
      </w:r>
    </w:p>
    <w:p w14:paraId="02A9FCB7">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21.2.2 发包人代表收到承包人的估算后，可以决定撤销、修改或确认实施该项变更。</w:t>
      </w:r>
    </w:p>
    <w:p w14:paraId="2BBE2093">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21.2.3 如果承包人认为自己的建议能缩短工期、降低工程实施或运营成本，或对业主产生其他利益，可以向发包人代表提交建议书；建议书的编制费用自理。</w:t>
      </w:r>
    </w:p>
    <w:p w14:paraId="2A9E72AC">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21.2.4 如果发包人采纳承包人的建议节省了工程费用，将给予承包人节约费用适当比例的奖励。</w:t>
      </w:r>
    </w:p>
    <w:p w14:paraId="43776F88">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21.2.5 上一款中节省费用的计算方法为：降低的合同额度减去因变更而引起在工程质量、寿命、以及运营效率等方面为发包人带来的潜在损失。</w:t>
      </w:r>
    </w:p>
    <w:p w14:paraId="7D7E7B3C">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21.2.6 任何变更指令都应由发包人代表签发给承包人，承包人收到后应回函说明；涉及到费用调整的，按照相关条款执行。</w:t>
      </w:r>
    </w:p>
    <w:p w14:paraId="0439841F">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21.2.7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26674B62">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21.2.8 未经发包人代表批准，承包人不得对工程进行任何变更。</w:t>
      </w:r>
    </w:p>
    <w:p w14:paraId="50CEEF06">
      <w:pPr>
        <w:keepNext/>
        <w:keepLines/>
        <w:adjustRightInd w:val="0"/>
        <w:snapToGrid w:val="0"/>
        <w:spacing w:line="384" w:lineRule="auto"/>
        <w:ind w:firstLine="420" w:firstLineChars="200"/>
        <w:outlineLvl w:val="3"/>
        <w:rPr>
          <w:rFonts w:hint="eastAsia" w:ascii="宋体" w:hAnsi="宋体" w:cs="宋体"/>
          <w:bCs/>
          <w:color w:val="000000"/>
          <w:szCs w:val="28"/>
        </w:rPr>
      </w:pPr>
      <w:r>
        <w:rPr>
          <w:rFonts w:hint="eastAsia" w:ascii="宋体" w:hAnsi="宋体" w:cs="宋体"/>
          <w:bCs/>
          <w:color w:val="000000"/>
          <w:szCs w:val="28"/>
        </w:rPr>
        <w:t>21.3 分包与配合</w:t>
      </w:r>
    </w:p>
    <w:p w14:paraId="0F5D53A3">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21.3.1 承包人进行工程分包的，应遵守通用条款相关规定，发包人视其为承包人自行施工的工程；发包人代表对分包的同意或批准并不解除承包人的任何责任，也不代表发包人对此承担任何责任。</w:t>
      </w:r>
    </w:p>
    <w:p w14:paraId="77319BAC">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21.3.7 凡在与已交工工程有关联的部位施工时，必须提前向甲方提出书面联系单，经甲方同意，并签字后方可施工。</w:t>
      </w:r>
    </w:p>
    <w:p w14:paraId="3A22224C">
      <w:pPr>
        <w:keepNext/>
        <w:keepLines/>
        <w:adjustRightInd w:val="0"/>
        <w:snapToGrid w:val="0"/>
        <w:spacing w:line="384" w:lineRule="auto"/>
        <w:ind w:firstLine="420" w:firstLineChars="200"/>
        <w:outlineLvl w:val="3"/>
        <w:rPr>
          <w:rFonts w:hint="eastAsia" w:ascii="宋体" w:hAnsi="宋体" w:cs="宋体"/>
          <w:bCs/>
          <w:color w:val="000000"/>
          <w:szCs w:val="28"/>
        </w:rPr>
      </w:pPr>
      <w:r>
        <w:rPr>
          <w:rFonts w:hint="eastAsia" w:ascii="宋体" w:hAnsi="宋体" w:cs="宋体"/>
          <w:bCs/>
          <w:color w:val="000000"/>
          <w:szCs w:val="28"/>
        </w:rPr>
        <w:t>21.4 结算</w:t>
      </w:r>
    </w:p>
    <w:p w14:paraId="44D9DF34">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21.4.1 承包人的投标报价（合同价款）是承包人基于业主提供的资料和现场数据及承包人的解释和现场考察计算出来的，覆盖了完成合同义务所包括的一切工作，不得以漏项或考虑不周提出索赔。</w:t>
      </w:r>
    </w:p>
    <w:p w14:paraId="556EC024">
      <w:pPr>
        <w:adjustRightInd w:val="0"/>
        <w:snapToGrid w:val="0"/>
        <w:spacing w:line="384" w:lineRule="auto"/>
        <w:ind w:firstLine="420" w:firstLineChars="200"/>
        <w:rPr>
          <w:rFonts w:hint="eastAsia" w:ascii="宋体" w:hAnsi="宋体" w:eastAsia="宋体" w:cs="宋体"/>
          <w:color w:val="000000"/>
          <w:kern w:val="0"/>
        </w:rPr>
      </w:pPr>
      <w:r>
        <w:rPr>
          <w:rFonts w:hint="eastAsia" w:ascii="宋体" w:hAnsi="宋体" w:eastAsia="宋体" w:cs="宋体"/>
          <w:color w:val="000000"/>
          <w:kern w:val="0"/>
        </w:rPr>
        <w:t>21.4.3 发包人供应材料设备的结算：材料按照总价的</w:t>
      </w:r>
      <w:r>
        <w:rPr>
          <w:rFonts w:hint="eastAsia" w:ascii="宋体" w:hAnsi="宋体" w:eastAsia="宋体" w:cs="宋体"/>
          <w:color w:val="000000"/>
          <w:kern w:val="0"/>
          <w:u w:val="single"/>
        </w:rPr>
        <w:t xml:space="preserve">     </w:t>
      </w:r>
      <w:r>
        <w:rPr>
          <w:rFonts w:hint="eastAsia" w:ascii="宋体" w:hAnsi="宋体" w:eastAsia="宋体" w:cs="宋体"/>
          <w:color w:val="000000"/>
          <w:kern w:val="0"/>
        </w:rPr>
        <w:t>%计取保管费（材料数量最多不超过设计文件的用量（可以计算定额损耗））；设备按照总价的</w:t>
      </w:r>
      <w:r>
        <w:rPr>
          <w:rFonts w:hint="eastAsia" w:ascii="宋体" w:hAnsi="宋体" w:eastAsia="宋体" w:cs="宋体"/>
          <w:color w:val="000000"/>
          <w:kern w:val="0"/>
          <w:u w:val="single"/>
        </w:rPr>
        <w:t xml:space="preserve">     </w:t>
      </w:r>
      <w:r>
        <w:rPr>
          <w:rFonts w:hint="eastAsia" w:ascii="宋体" w:hAnsi="宋体" w:eastAsia="宋体" w:cs="宋体"/>
          <w:color w:val="000000"/>
          <w:kern w:val="0"/>
        </w:rPr>
        <w:t>%计取保管费；此费用仅计取税金。</w:t>
      </w:r>
    </w:p>
    <w:p w14:paraId="3C72B768">
      <w:pPr>
        <w:adjustRightInd w:val="0"/>
        <w:snapToGrid w:val="0"/>
        <w:spacing w:line="384" w:lineRule="auto"/>
        <w:ind w:firstLine="420" w:firstLineChars="200"/>
        <w:rPr>
          <w:rFonts w:hint="eastAsia" w:ascii="宋体" w:hAnsi="宋体" w:eastAsia="宋体" w:cs="宋体"/>
          <w:color w:val="000000"/>
          <w:kern w:val="0"/>
        </w:rPr>
      </w:pPr>
      <w:r>
        <w:rPr>
          <w:rFonts w:hint="eastAsia" w:ascii="宋体" w:hAnsi="宋体" w:eastAsia="宋体" w:cs="宋体"/>
          <w:color w:val="000000"/>
          <w:kern w:val="0"/>
        </w:rPr>
        <w:t>21.4.4 分包工程的总承包配合费和配合工程的配合费：分包工程的总承包配合费按照分包工程价格确定，一次包死，不随分包工程结算价款的调整而调整；配合工程的配合费也一次包死；该两项费用仅计取税金。</w:t>
      </w:r>
    </w:p>
    <w:p w14:paraId="656FD8B1">
      <w:pPr>
        <w:adjustRightInd w:val="0"/>
        <w:snapToGrid w:val="0"/>
        <w:spacing w:line="384" w:lineRule="auto"/>
        <w:ind w:firstLine="420" w:firstLineChars="200"/>
        <w:rPr>
          <w:rFonts w:hint="eastAsia" w:ascii="宋体" w:hAnsi="宋体" w:eastAsia="宋体" w:cs="宋体"/>
          <w:color w:val="000000"/>
          <w:kern w:val="0"/>
        </w:rPr>
      </w:pPr>
      <w:r>
        <w:rPr>
          <w:rFonts w:hint="eastAsia" w:ascii="宋体" w:hAnsi="宋体" w:eastAsia="宋体" w:cs="宋体"/>
          <w:color w:val="000000"/>
          <w:kern w:val="0"/>
        </w:rPr>
        <w:t>21.4.5对于发包人提供的工程量清单中的单项子目，承包人没有报价的，发包人认为视同该项价格已经包括在其他项目中。</w:t>
      </w:r>
    </w:p>
    <w:p w14:paraId="20CAA265">
      <w:pPr>
        <w:pStyle w:val="2"/>
        <w:ind w:left="0" w:leftChars="0" w:firstLine="0" w:firstLineChars="0"/>
        <w:rPr>
          <w:rFonts w:hint="eastAsia"/>
        </w:rPr>
      </w:pPr>
    </w:p>
    <w:p w14:paraId="6DA99E0C"/>
    <w:p w14:paraId="461A6CA7">
      <w:pPr>
        <w:adjustRightInd w:val="0"/>
        <w:snapToGrid w:val="0"/>
        <w:spacing w:line="360" w:lineRule="auto"/>
        <w:rPr>
          <w:rFonts w:hint="eastAsia" w:ascii="宋体" w:hAnsi="宋体" w:cs="宋体"/>
          <w:color w:val="000000"/>
        </w:rPr>
      </w:pPr>
      <w:r>
        <w:rPr>
          <w:rFonts w:hint="eastAsia" w:ascii="宋体" w:hAnsi="宋体" w:cs="宋体"/>
          <w:color w:val="000000"/>
        </w:rPr>
        <w:t>发包人：  (公章)                           承包人：  (公章)</w:t>
      </w:r>
    </w:p>
    <w:p w14:paraId="75AFBB71">
      <w:pPr>
        <w:adjustRightInd w:val="0"/>
        <w:snapToGrid w:val="0"/>
        <w:spacing w:line="360" w:lineRule="auto"/>
        <w:rPr>
          <w:rFonts w:hint="eastAsia" w:ascii="宋体" w:hAnsi="宋体" w:cs="宋体"/>
          <w:color w:val="000000"/>
        </w:rPr>
      </w:pPr>
      <w:r>
        <w:rPr>
          <w:rFonts w:hint="eastAsia" w:ascii="宋体" w:hAnsi="宋体" w:cs="宋体"/>
          <w:color w:val="000000"/>
        </w:rPr>
        <w:t>法定代表人或其委托代理人：                 法定代表人或其委托代理人：</w:t>
      </w:r>
    </w:p>
    <w:p w14:paraId="2082B6C9">
      <w:pPr>
        <w:adjustRightInd w:val="0"/>
        <w:snapToGrid w:val="0"/>
        <w:spacing w:line="360" w:lineRule="auto"/>
        <w:rPr>
          <w:rFonts w:hint="eastAsia" w:ascii="宋体" w:hAnsi="宋体" w:cs="宋体"/>
          <w:color w:val="000000"/>
        </w:rPr>
      </w:pPr>
      <w:r>
        <w:rPr>
          <w:rFonts w:hint="eastAsia" w:ascii="宋体" w:hAnsi="宋体" w:cs="宋体"/>
          <w:color w:val="000000"/>
        </w:rPr>
        <w:t>（签字）                                  （签字）</w:t>
      </w:r>
    </w:p>
    <w:p w14:paraId="4F72921B">
      <w:pPr>
        <w:adjustRightInd w:val="0"/>
        <w:snapToGrid w:val="0"/>
        <w:spacing w:line="360" w:lineRule="auto"/>
        <w:rPr>
          <w:rFonts w:hint="eastAsia" w:ascii="宋体" w:hAnsi="宋体" w:cs="宋体"/>
          <w:color w:val="000000"/>
          <w:u w:val="single"/>
        </w:rPr>
      </w:pPr>
      <w:r>
        <w:rPr>
          <w:rFonts w:hint="eastAsia" w:ascii="宋体" w:hAnsi="宋体" w:cs="宋体"/>
          <w:color w:val="000000"/>
        </w:rPr>
        <w:t>组织机构代码：</w:t>
      </w:r>
      <w:r>
        <w:rPr>
          <w:rFonts w:hint="eastAsia" w:ascii="宋体" w:hAnsi="宋体" w:cs="宋体"/>
          <w:color w:val="000000"/>
          <w:u w:val="single"/>
        </w:rPr>
        <w:t xml:space="preserve">            </w:t>
      </w:r>
      <w:r>
        <w:rPr>
          <w:rFonts w:hint="eastAsia" w:ascii="宋体" w:hAnsi="宋体" w:cs="宋体"/>
          <w:color w:val="000000"/>
        </w:rPr>
        <w:t xml:space="preserve">                组织机构代码：</w:t>
      </w:r>
      <w:r>
        <w:rPr>
          <w:rFonts w:hint="eastAsia" w:ascii="宋体" w:hAnsi="宋体" w:cs="宋体"/>
          <w:color w:val="000000"/>
          <w:u w:val="single"/>
        </w:rPr>
        <w:t xml:space="preserve">          </w:t>
      </w:r>
    </w:p>
    <w:p w14:paraId="510A5AAC">
      <w:pPr>
        <w:adjustRightInd w:val="0"/>
        <w:snapToGrid w:val="0"/>
        <w:spacing w:line="360" w:lineRule="auto"/>
        <w:rPr>
          <w:rFonts w:hint="eastAsia" w:ascii="宋体" w:hAnsi="宋体" w:cs="宋体"/>
          <w:color w:val="000000"/>
        </w:rPr>
      </w:pPr>
      <w:r>
        <w:rPr>
          <w:rFonts w:hint="eastAsia" w:ascii="宋体" w:hAnsi="宋体" w:cs="宋体"/>
          <w:color w:val="000000"/>
        </w:rPr>
        <w:t>地  址：</w:t>
      </w:r>
      <w:r>
        <w:rPr>
          <w:rFonts w:hint="eastAsia" w:ascii="宋体" w:hAnsi="宋体" w:cs="宋体"/>
          <w:color w:val="000000"/>
          <w:u w:val="single"/>
        </w:rPr>
        <w:t xml:space="preserve">                    </w:t>
      </w:r>
      <w:r>
        <w:rPr>
          <w:rFonts w:hint="eastAsia" w:ascii="宋体" w:hAnsi="宋体" w:cs="宋体"/>
          <w:color w:val="000000"/>
        </w:rPr>
        <w:t xml:space="preserve">                地  址：</w:t>
      </w:r>
      <w:r>
        <w:rPr>
          <w:rFonts w:hint="eastAsia" w:ascii="宋体" w:hAnsi="宋体" w:cs="宋体"/>
          <w:color w:val="000000"/>
          <w:u w:val="single"/>
        </w:rPr>
        <w:t xml:space="preserve">                  </w:t>
      </w:r>
    </w:p>
    <w:p w14:paraId="00262A33">
      <w:pPr>
        <w:adjustRightInd w:val="0"/>
        <w:snapToGrid w:val="0"/>
        <w:spacing w:line="360" w:lineRule="auto"/>
        <w:rPr>
          <w:rFonts w:hint="eastAsia" w:ascii="宋体" w:hAnsi="宋体" w:cs="宋体"/>
          <w:color w:val="000000"/>
        </w:rPr>
      </w:pPr>
      <w:r>
        <w:rPr>
          <w:rFonts w:hint="eastAsia" w:ascii="宋体" w:hAnsi="宋体" w:cs="宋体"/>
          <w:color w:val="000000"/>
        </w:rPr>
        <w:t>邮政编码：</w:t>
      </w:r>
      <w:r>
        <w:rPr>
          <w:rFonts w:hint="eastAsia" w:ascii="宋体" w:hAnsi="宋体" w:cs="宋体"/>
          <w:color w:val="000000"/>
          <w:u w:val="single"/>
        </w:rPr>
        <w:t xml:space="preserve">                </w:t>
      </w:r>
      <w:r>
        <w:rPr>
          <w:rFonts w:hint="eastAsia" w:ascii="宋体" w:hAnsi="宋体" w:cs="宋体"/>
          <w:color w:val="000000"/>
        </w:rPr>
        <w:t xml:space="preserve">               邮政编码：</w:t>
      </w:r>
      <w:r>
        <w:rPr>
          <w:rFonts w:hint="eastAsia" w:ascii="宋体" w:hAnsi="宋体" w:cs="宋体"/>
          <w:color w:val="000000"/>
          <w:u w:val="single"/>
        </w:rPr>
        <w:t xml:space="preserve">                   </w:t>
      </w:r>
    </w:p>
    <w:p w14:paraId="636C657E">
      <w:pPr>
        <w:adjustRightInd w:val="0"/>
        <w:snapToGrid w:val="0"/>
        <w:spacing w:line="360" w:lineRule="auto"/>
        <w:rPr>
          <w:rFonts w:hint="eastAsia" w:ascii="宋体" w:hAnsi="宋体" w:cs="宋体"/>
          <w:color w:val="000000"/>
        </w:rPr>
      </w:pPr>
      <w:r>
        <w:rPr>
          <w:rFonts w:hint="eastAsia" w:ascii="宋体" w:hAnsi="宋体" w:cs="宋体"/>
          <w:color w:val="000000"/>
        </w:rPr>
        <w:t>法定代表人：</w:t>
      </w:r>
      <w:r>
        <w:rPr>
          <w:rFonts w:hint="eastAsia" w:ascii="宋体" w:hAnsi="宋体" w:cs="宋体"/>
          <w:color w:val="000000"/>
          <w:u w:val="single"/>
        </w:rPr>
        <w:t xml:space="preserve">            </w:t>
      </w:r>
      <w:r>
        <w:rPr>
          <w:rFonts w:hint="eastAsia" w:ascii="宋体" w:hAnsi="宋体" w:cs="宋体"/>
          <w:color w:val="000000"/>
        </w:rPr>
        <w:t xml:space="preserve">                法定代表人：</w:t>
      </w:r>
      <w:r>
        <w:rPr>
          <w:rFonts w:hint="eastAsia" w:ascii="宋体" w:hAnsi="宋体" w:cs="宋体"/>
          <w:color w:val="000000"/>
          <w:u w:val="single"/>
        </w:rPr>
        <w:t xml:space="preserve">            </w:t>
      </w:r>
    </w:p>
    <w:p w14:paraId="0D000CD5">
      <w:pPr>
        <w:adjustRightInd w:val="0"/>
        <w:snapToGrid w:val="0"/>
        <w:spacing w:line="360" w:lineRule="auto"/>
        <w:rPr>
          <w:rFonts w:hint="eastAsia" w:ascii="宋体" w:hAnsi="宋体" w:cs="宋体"/>
          <w:color w:val="000000"/>
        </w:rPr>
      </w:pPr>
      <w:r>
        <w:rPr>
          <w:rFonts w:hint="eastAsia" w:ascii="宋体" w:hAnsi="宋体" w:cs="宋体"/>
          <w:color w:val="000000"/>
        </w:rPr>
        <w:t>委托代理人：</w:t>
      </w:r>
      <w:r>
        <w:rPr>
          <w:rFonts w:hint="eastAsia" w:ascii="宋体" w:hAnsi="宋体" w:cs="宋体"/>
          <w:color w:val="000000"/>
          <w:u w:val="single"/>
        </w:rPr>
        <w:t xml:space="preserve">                </w:t>
      </w:r>
      <w:r>
        <w:rPr>
          <w:rFonts w:hint="eastAsia" w:ascii="宋体" w:hAnsi="宋体" w:cs="宋体"/>
          <w:color w:val="000000"/>
        </w:rPr>
        <w:t xml:space="preserve">                委托代理人：</w:t>
      </w:r>
      <w:r>
        <w:rPr>
          <w:rFonts w:hint="eastAsia" w:ascii="宋体" w:hAnsi="宋体" w:cs="宋体"/>
          <w:color w:val="000000"/>
          <w:u w:val="single"/>
        </w:rPr>
        <w:t xml:space="preserve">                </w:t>
      </w:r>
    </w:p>
    <w:p w14:paraId="74C80206">
      <w:pPr>
        <w:adjustRightInd w:val="0"/>
        <w:snapToGrid w:val="0"/>
        <w:spacing w:line="360" w:lineRule="auto"/>
        <w:rPr>
          <w:rFonts w:hint="eastAsia" w:ascii="宋体" w:hAnsi="宋体" w:cs="宋体"/>
          <w:color w:val="000000"/>
        </w:rPr>
      </w:pPr>
      <w:r>
        <w:rPr>
          <w:rFonts w:hint="eastAsia" w:ascii="宋体" w:hAnsi="宋体" w:cs="宋体"/>
          <w:color w:val="000000"/>
        </w:rPr>
        <w:t>电  话：</w:t>
      </w:r>
      <w:r>
        <w:rPr>
          <w:rFonts w:hint="eastAsia" w:ascii="宋体" w:hAnsi="宋体" w:cs="宋体"/>
          <w:color w:val="000000"/>
          <w:u w:val="single"/>
        </w:rPr>
        <w:t xml:space="preserve">                   </w:t>
      </w:r>
      <w:r>
        <w:rPr>
          <w:rFonts w:hint="eastAsia" w:ascii="宋体" w:hAnsi="宋体" w:cs="宋体"/>
          <w:color w:val="000000"/>
        </w:rPr>
        <w:t xml:space="preserve">                电  话：</w:t>
      </w:r>
      <w:r>
        <w:rPr>
          <w:rFonts w:hint="eastAsia" w:ascii="宋体" w:hAnsi="宋体" w:cs="宋体"/>
          <w:color w:val="000000"/>
          <w:u w:val="single"/>
        </w:rPr>
        <w:t xml:space="preserve">                     </w:t>
      </w:r>
    </w:p>
    <w:p w14:paraId="6A8BE3C8">
      <w:pPr>
        <w:adjustRightInd w:val="0"/>
        <w:snapToGrid w:val="0"/>
        <w:spacing w:line="360" w:lineRule="auto"/>
        <w:rPr>
          <w:rFonts w:hint="eastAsia" w:ascii="宋体" w:hAnsi="宋体" w:cs="宋体"/>
          <w:color w:val="000000"/>
        </w:rPr>
      </w:pPr>
      <w:r>
        <w:rPr>
          <w:rFonts w:hint="eastAsia" w:ascii="宋体" w:hAnsi="宋体" w:cs="宋体"/>
          <w:color w:val="000000"/>
        </w:rPr>
        <w:t>传  真：</w:t>
      </w:r>
      <w:r>
        <w:rPr>
          <w:rFonts w:hint="eastAsia" w:ascii="宋体" w:hAnsi="宋体" w:cs="宋体"/>
          <w:color w:val="000000"/>
          <w:u w:val="single"/>
        </w:rPr>
        <w:t xml:space="preserve">                   </w:t>
      </w:r>
      <w:r>
        <w:rPr>
          <w:rFonts w:hint="eastAsia" w:ascii="宋体" w:hAnsi="宋体" w:cs="宋体"/>
          <w:color w:val="000000"/>
        </w:rPr>
        <w:t xml:space="preserve">                传  真：</w:t>
      </w:r>
      <w:r>
        <w:rPr>
          <w:rFonts w:hint="eastAsia" w:ascii="宋体" w:hAnsi="宋体" w:cs="宋体"/>
          <w:color w:val="000000"/>
          <w:u w:val="single"/>
        </w:rPr>
        <w:t xml:space="preserve">                   </w:t>
      </w:r>
    </w:p>
    <w:p w14:paraId="15720D2F">
      <w:pPr>
        <w:adjustRightInd w:val="0"/>
        <w:snapToGrid w:val="0"/>
        <w:spacing w:line="360" w:lineRule="auto"/>
        <w:rPr>
          <w:rFonts w:hint="eastAsia" w:ascii="宋体" w:hAnsi="宋体" w:cs="宋体"/>
          <w:color w:val="000000"/>
        </w:rPr>
      </w:pPr>
      <w:r>
        <w:rPr>
          <w:rFonts w:hint="eastAsia" w:ascii="宋体" w:hAnsi="宋体" w:cs="宋体"/>
          <w:color w:val="000000"/>
        </w:rPr>
        <w:t>电子信箱：</w:t>
      </w:r>
      <w:r>
        <w:rPr>
          <w:rFonts w:hint="eastAsia" w:ascii="宋体" w:hAnsi="宋体" w:cs="宋体"/>
          <w:color w:val="000000"/>
          <w:u w:val="single"/>
        </w:rPr>
        <w:t xml:space="preserve">                 </w:t>
      </w:r>
      <w:r>
        <w:rPr>
          <w:rFonts w:hint="eastAsia" w:ascii="宋体" w:hAnsi="宋体" w:cs="宋体"/>
          <w:color w:val="000000"/>
        </w:rPr>
        <w:t xml:space="preserve">                电子信箱：</w:t>
      </w:r>
      <w:r>
        <w:rPr>
          <w:rFonts w:hint="eastAsia" w:ascii="宋体" w:hAnsi="宋体" w:cs="宋体"/>
          <w:color w:val="000000"/>
          <w:u w:val="single"/>
        </w:rPr>
        <w:t xml:space="preserve">                   </w:t>
      </w:r>
    </w:p>
    <w:p w14:paraId="35DB4CDB">
      <w:pPr>
        <w:adjustRightInd w:val="0"/>
        <w:snapToGrid w:val="0"/>
        <w:spacing w:line="360" w:lineRule="auto"/>
        <w:rPr>
          <w:rFonts w:hint="eastAsia" w:ascii="宋体" w:hAnsi="宋体" w:cs="宋体"/>
          <w:color w:val="000000"/>
        </w:rPr>
      </w:pPr>
      <w:r>
        <w:rPr>
          <w:rFonts w:hint="eastAsia" w:ascii="宋体" w:hAnsi="宋体" w:cs="宋体"/>
          <w:color w:val="000000"/>
        </w:rPr>
        <w:t>开户银行：</w:t>
      </w:r>
      <w:r>
        <w:rPr>
          <w:rFonts w:hint="eastAsia" w:ascii="宋体" w:hAnsi="宋体" w:cs="宋体"/>
          <w:color w:val="000000"/>
          <w:u w:val="single"/>
        </w:rPr>
        <w:t xml:space="preserve">                 </w:t>
      </w:r>
      <w:r>
        <w:rPr>
          <w:rFonts w:hint="eastAsia" w:ascii="宋体" w:hAnsi="宋体" w:cs="宋体"/>
          <w:color w:val="000000"/>
        </w:rPr>
        <w:t xml:space="preserve">                开户银行：</w:t>
      </w:r>
      <w:r>
        <w:rPr>
          <w:rFonts w:hint="eastAsia" w:ascii="宋体" w:hAnsi="宋体" w:cs="宋体"/>
          <w:color w:val="000000"/>
          <w:u w:val="single"/>
        </w:rPr>
        <w:t xml:space="preserve">                   </w:t>
      </w:r>
    </w:p>
    <w:p w14:paraId="14E0EC43">
      <w:pPr>
        <w:adjustRightInd w:val="0"/>
        <w:snapToGrid w:val="0"/>
        <w:spacing w:line="360" w:lineRule="auto"/>
        <w:rPr>
          <w:rFonts w:hint="eastAsia" w:ascii="宋体" w:hAnsi="宋体" w:cs="宋体"/>
          <w:color w:val="000000"/>
        </w:rPr>
      </w:pPr>
      <w:r>
        <w:rPr>
          <w:rFonts w:hint="eastAsia" w:ascii="宋体" w:hAnsi="宋体" w:cs="宋体"/>
          <w:color w:val="000000"/>
        </w:rPr>
        <w:t>账  号：</w:t>
      </w:r>
      <w:r>
        <w:rPr>
          <w:rFonts w:hint="eastAsia" w:ascii="宋体" w:hAnsi="宋体" w:cs="宋体"/>
          <w:color w:val="000000"/>
          <w:u w:val="single"/>
        </w:rPr>
        <w:t xml:space="preserve">                 </w:t>
      </w:r>
      <w:r>
        <w:rPr>
          <w:rFonts w:hint="eastAsia" w:ascii="宋体" w:hAnsi="宋体" w:cs="宋体"/>
          <w:color w:val="000000"/>
        </w:rPr>
        <w:t xml:space="preserve">                账  号：</w:t>
      </w:r>
      <w:r>
        <w:rPr>
          <w:rFonts w:hint="eastAsia" w:ascii="宋体" w:hAnsi="宋体" w:cs="宋体"/>
          <w:color w:val="000000"/>
          <w:u w:val="single"/>
        </w:rPr>
        <w:t xml:space="preserve">                     </w:t>
      </w:r>
    </w:p>
    <w:p w14:paraId="157F105B">
      <w:pPr>
        <w:pStyle w:val="2"/>
        <w:ind w:left="0" w:leftChars="0" w:firstLine="0" w:firstLineChars="0"/>
        <w:rPr>
          <w:rFonts w:hint="eastAsia" w:ascii="黑体" w:eastAsia="黑体"/>
          <w:b/>
          <w:sz w:val="32"/>
          <w:szCs w:val="32"/>
          <w:lang w:val="en-US" w:eastAsia="zh-CN"/>
        </w:rPr>
      </w:pPr>
    </w:p>
    <w:p w14:paraId="17B4B52B">
      <w:pPr>
        <w:spacing w:line="360" w:lineRule="auto"/>
        <w:rPr>
          <w:rFonts w:hint="eastAsia" w:ascii="宋体" w:hAnsi="宋体" w:cs="宋体"/>
          <w:color w:val="000000"/>
        </w:rPr>
      </w:pPr>
      <w:r>
        <w:rPr>
          <w:rFonts w:hint="eastAsia" w:ascii="宋体" w:hAnsi="宋体" w:cs="宋体"/>
          <w:color w:val="000000"/>
        </w:rPr>
        <w:t>协议书附件：</w:t>
      </w:r>
    </w:p>
    <w:p w14:paraId="4A82D73A">
      <w:pPr>
        <w:spacing w:line="360" w:lineRule="auto"/>
        <w:rPr>
          <w:rFonts w:hint="eastAsia" w:ascii="宋体" w:hAnsi="宋体" w:cs="宋体"/>
          <w:color w:val="000000"/>
        </w:rPr>
      </w:pPr>
      <w:r>
        <w:rPr>
          <w:rFonts w:hint="eastAsia" w:ascii="宋体" w:hAnsi="宋体" w:cs="宋体"/>
          <w:color w:val="000000"/>
        </w:rPr>
        <w:t>附件1：承包人承揽工程项目一览表</w:t>
      </w:r>
    </w:p>
    <w:p w14:paraId="1C493AD2">
      <w:pPr>
        <w:spacing w:line="360" w:lineRule="auto"/>
        <w:rPr>
          <w:rFonts w:hint="eastAsia" w:ascii="宋体" w:hAnsi="宋体" w:cs="宋体"/>
          <w:color w:val="000000"/>
        </w:rPr>
      </w:pPr>
      <w:r>
        <w:rPr>
          <w:rFonts w:hint="eastAsia" w:ascii="宋体" w:hAnsi="宋体" w:cs="宋体"/>
          <w:color w:val="000000"/>
        </w:rPr>
        <w:t>专用合同条款附件：</w:t>
      </w:r>
    </w:p>
    <w:p w14:paraId="58F6F30A">
      <w:pPr>
        <w:spacing w:line="360" w:lineRule="auto"/>
        <w:rPr>
          <w:rFonts w:hint="eastAsia" w:ascii="宋体" w:hAnsi="宋体" w:cs="宋体"/>
          <w:color w:val="000000"/>
        </w:rPr>
      </w:pPr>
      <w:r>
        <w:rPr>
          <w:rFonts w:hint="eastAsia" w:ascii="宋体" w:hAnsi="宋体" w:cs="宋体"/>
          <w:color w:val="000000"/>
        </w:rPr>
        <w:t>附件2：发包人供应材料设备一览表</w:t>
      </w:r>
    </w:p>
    <w:p w14:paraId="50B75960">
      <w:pPr>
        <w:spacing w:line="360" w:lineRule="auto"/>
        <w:rPr>
          <w:rFonts w:hint="eastAsia" w:ascii="宋体" w:hAnsi="宋体" w:cs="宋体"/>
          <w:color w:val="000000"/>
        </w:rPr>
      </w:pPr>
      <w:r>
        <w:rPr>
          <w:rFonts w:hint="eastAsia" w:ascii="宋体" w:hAnsi="宋体" w:cs="宋体"/>
          <w:color w:val="000000"/>
        </w:rPr>
        <w:t>附件3：工程质量保修书</w:t>
      </w:r>
    </w:p>
    <w:p w14:paraId="5B4ECA48">
      <w:pPr>
        <w:spacing w:line="360" w:lineRule="auto"/>
        <w:rPr>
          <w:rFonts w:hint="eastAsia" w:ascii="宋体" w:hAnsi="宋体" w:cs="宋体"/>
          <w:color w:val="000000"/>
        </w:rPr>
      </w:pPr>
      <w:r>
        <w:rPr>
          <w:rFonts w:hint="eastAsia" w:ascii="宋体" w:hAnsi="宋体" w:cs="宋体"/>
          <w:color w:val="000000"/>
        </w:rPr>
        <w:t>附件4：主要建设工程文件目录</w:t>
      </w:r>
    </w:p>
    <w:p w14:paraId="31BC4752">
      <w:pPr>
        <w:spacing w:line="360" w:lineRule="auto"/>
        <w:rPr>
          <w:rFonts w:hint="eastAsia" w:ascii="宋体" w:hAnsi="宋体" w:cs="宋体"/>
          <w:color w:val="000000"/>
        </w:rPr>
      </w:pPr>
      <w:r>
        <w:rPr>
          <w:rFonts w:hint="eastAsia" w:ascii="宋体" w:hAnsi="宋体" w:cs="宋体"/>
          <w:color w:val="000000"/>
        </w:rPr>
        <w:t>附件5：承包人用于本工程施工的机械设备表</w:t>
      </w:r>
    </w:p>
    <w:p w14:paraId="59D4DC4D">
      <w:pPr>
        <w:spacing w:line="360" w:lineRule="auto"/>
        <w:rPr>
          <w:rFonts w:hint="eastAsia" w:ascii="宋体" w:hAnsi="宋体" w:cs="宋体"/>
          <w:color w:val="000000"/>
        </w:rPr>
      </w:pPr>
      <w:r>
        <w:rPr>
          <w:rFonts w:hint="eastAsia" w:ascii="宋体" w:hAnsi="宋体" w:cs="宋体"/>
          <w:color w:val="000000"/>
        </w:rPr>
        <w:t>附件6：承包人主要施工管理人员表</w:t>
      </w:r>
    </w:p>
    <w:p w14:paraId="6FAFF13F">
      <w:pPr>
        <w:spacing w:line="360" w:lineRule="auto"/>
        <w:rPr>
          <w:rFonts w:hint="eastAsia" w:ascii="宋体" w:hAnsi="宋体" w:cs="宋体"/>
          <w:color w:val="000000"/>
        </w:rPr>
      </w:pPr>
      <w:r>
        <w:rPr>
          <w:rFonts w:hint="eastAsia" w:ascii="宋体" w:hAnsi="宋体" w:cs="宋体"/>
          <w:color w:val="000000"/>
        </w:rPr>
        <w:t>附件7：分包人主要施工管理人员表</w:t>
      </w:r>
    </w:p>
    <w:p w14:paraId="6D0B1B97">
      <w:pPr>
        <w:spacing w:line="360" w:lineRule="auto"/>
        <w:rPr>
          <w:rFonts w:hint="eastAsia" w:ascii="宋体" w:hAnsi="宋体" w:cs="宋体"/>
          <w:color w:val="000000"/>
        </w:rPr>
      </w:pPr>
      <w:r>
        <w:rPr>
          <w:rFonts w:hint="eastAsia" w:ascii="宋体" w:hAnsi="宋体" w:cs="宋体"/>
          <w:color w:val="000000"/>
        </w:rPr>
        <w:t>附件8：廉政协议</w:t>
      </w:r>
    </w:p>
    <w:p w14:paraId="25918CB0">
      <w:pPr>
        <w:spacing w:line="360" w:lineRule="auto"/>
        <w:rPr>
          <w:rFonts w:hint="eastAsia" w:ascii="宋体" w:hAnsi="宋体" w:cs="宋体"/>
          <w:color w:val="000000"/>
        </w:rPr>
      </w:pPr>
      <w:r>
        <w:rPr>
          <w:rFonts w:hint="eastAsia" w:ascii="宋体" w:hAnsi="宋体" w:cs="宋体"/>
          <w:color w:val="000000"/>
        </w:rPr>
        <w:t>附件9：履约保证金格式</w:t>
      </w:r>
    </w:p>
    <w:p w14:paraId="7130D662">
      <w:pPr>
        <w:spacing w:line="360" w:lineRule="auto"/>
        <w:rPr>
          <w:rFonts w:hint="eastAsia" w:ascii="宋体" w:hAnsi="宋体" w:cs="宋体"/>
          <w:color w:val="000000"/>
        </w:rPr>
      </w:pPr>
      <w:r>
        <w:rPr>
          <w:rFonts w:hint="eastAsia" w:ascii="宋体" w:hAnsi="宋体" w:cs="宋体"/>
          <w:color w:val="000000"/>
        </w:rPr>
        <w:t>附件10：支付担保格式</w:t>
      </w:r>
    </w:p>
    <w:p w14:paraId="21882BC5">
      <w:pPr>
        <w:spacing w:line="360" w:lineRule="auto"/>
        <w:rPr>
          <w:rFonts w:hint="eastAsia" w:ascii="宋体" w:hAnsi="宋体" w:cs="宋体"/>
          <w:color w:val="000000"/>
        </w:rPr>
      </w:pPr>
      <w:r>
        <w:rPr>
          <w:rFonts w:hint="eastAsia" w:ascii="宋体" w:hAnsi="宋体" w:cs="宋体"/>
          <w:color w:val="000000"/>
        </w:rPr>
        <w:t>附件11：暂估价一览表</w:t>
      </w:r>
    </w:p>
    <w:p w14:paraId="4D2D79EF">
      <w:pPr>
        <w:spacing w:line="360" w:lineRule="auto"/>
        <w:rPr>
          <w:rFonts w:hint="eastAsia" w:ascii="宋体" w:hAnsi="宋体" w:cs="宋体"/>
          <w:color w:val="000000"/>
        </w:rPr>
      </w:pPr>
      <w:r>
        <w:rPr>
          <w:rFonts w:hint="eastAsia" w:ascii="宋体" w:hAnsi="宋体" w:cs="宋体"/>
          <w:color w:val="000000"/>
        </w:rPr>
        <w:t>附件12：安全生产合同</w:t>
      </w:r>
    </w:p>
    <w:p w14:paraId="7D29C607">
      <w:pPr>
        <w:spacing w:line="360" w:lineRule="auto"/>
        <w:rPr>
          <w:rFonts w:hint="eastAsia" w:ascii="黑体" w:eastAsia="黑体"/>
          <w:b/>
          <w:sz w:val="32"/>
          <w:szCs w:val="32"/>
          <w:lang w:val="en-US" w:eastAsia="zh-CN"/>
        </w:rPr>
      </w:pPr>
      <w:r>
        <w:rPr>
          <w:rFonts w:hint="eastAsia" w:ascii="宋体" w:hAnsi="宋体" w:cs="宋体"/>
          <w:color w:val="000000"/>
        </w:rPr>
        <w:t>附件13：项目经理质量终身责任制承诺</w:t>
      </w:r>
      <w:r>
        <w:rPr>
          <w:rFonts w:hint="eastAsia" w:ascii="黑体" w:eastAsia="黑体"/>
          <w:b/>
          <w:sz w:val="32"/>
          <w:szCs w:val="32"/>
          <w:lang w:val="en-US" w:eastAsia="zh-CN"/>
        </w:rPr>
        <w:br w:type="page"/>
      </w:r>
    </w:p>
    <w:p w14:paraId="384D16BF">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t>附件1：承包人承揽工程项目一览表</w:t>
      </w:r>
    </w:p>
    <w:p w14:paraId="0B55CCF3">
      <w:pPr>
        <w:spacing w:line="360" w:lineRule="auto"/>
        <w:jc w:val="center"/>
        <w:rPr>
          <w:rFonts w:hint="eastAsia" w:ascii="宋体" w:hAnsi="宋体" w:cs="宋体"/>
          <w:color w:val="000000"/>
          <w:sz w:val="22"/>
          <w:szCs w:val="21"/>
        </w:rPr>
      </w:pPr>
      <w:r>
        <w:rPr>
          <w:rFonts w:hint="eastAsia" w:ascii="宋体" w:hAnsi="宋体" w:cs="宋体"/>
          <w:color w:val="000000"/>
          <w:sz w:val="22"/>
          <w:szCs w:val="21"/>
        </w:rPr>
        <w:t>承包人承揽工程项目一览表</w:t>
      </w:r>
    </w:p>
    <w:tbl>
      <w:tblPr>
        <w:tblStyle w:val="47"/>
        <w:tblW w:w="94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134"/>
        <w:gridCol w:w="1134"/>
        <w:gridCol w:w="993"/>
        <w:gridCol w:w="708"/>
        <w:gridCol w:w="1134"/>
        <w:gridCol w:w="1134"/>
        <w:gridCol w:w="993"/>
        <w:gridCol w:w="708"/>
        <w:gridCol w:w="567"/>
      </w:tblGrid>
      <w:tr w14:paraId="6A83F7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center"/>
          </w:tcPr>
          <w:p w14:paraId="7A180800">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单位工程名称</w:t>
            </w:r>
          </w:p>
        </w:tc>
        <w:tc>
          <w:tcPr>
            <w:tcW w:w="1134" w:type="dxa"/>
            <w:tcBorders>
              <w:top w:val="single" w:color="auto" w:sz="12" w:space="0"/>
              <w:bottom w:val="double" w:color="auto" w:sz="6" w:space="0"/>
            </w:tcBorders>
            <w:noWrap w:val="0"/>
            <w:vAlign w:val="center"/>
          </w:tcPr>
          <w:p w14:paraId="036A8A3D">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建设规模</w:t>
            </w:r>
          </w:p>
        </w:tc>
        <w:tc>
          <w:tcPr>
            <w:tcW w:w="1134" w:type="dxa"/>
            <w:tcBorders>
              <w:top w:val="single" w:color="auto" w:sz="12" w:space="0"/>
              <w:bottom w:val="double" w:color="auto" w:sz="6" w:space="0"/>
            </w:tcBorders>
            <w:noWrap w:val="0"/>
            <w:vAlign w:val="center"/>
          </w:tcPr>
          <w:p w14:paraId="28E2807D">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建筑面积(平方米)</w:t>
            </w:r>
          </w:p>
        </w:tc>
        <w:tc>
          <w:tcPr>
            <w:tcW w:w="993" w:type="dxa"/>
            <w:tcBorders>
              <w:top w:val="single" w:color="auto" w:sz="12" w:space="0"/>
              <w:bottom w:val="double" w:color="auto" w:sz="6" w:space="0"/>
            </w:tcBorders>
            <w:noWrap w:val="0"/>
            <w:vAlign w:val="center"/>
          </w:tcPr>
          <w:p w14:paraId="23FA705F">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结构形式</w:t>
            </w:r>
          </w:p>
        </w:tc>
        <w:tc>
          <w:tcPr>
            <w:tcW w:w="708" w:type="dxa"/>
            <w:tcBorders>
              <w:top w:val="single" w:color="auto" w:sz="12" w:space="0"/>
              <w:bottom w:val="double" w:color="auto" w:sz="6" w:space="0"/>
            </w:tcBorders>
            <w:noWrap w:val="0"/>
            <w:vAlign w:val="center"/>
          </w:tcPr>
          <w:p w14:paraId="630CB634">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层数</w:t>
            </w:r>
          </w:p>
        </w:tc>
        <w:tc>
          <w:tcPr>
            <w:tcW w:w="1134" w:type="dxa"/>
            <w:tcBorders>
              <w:top w:val="single" w:color="auto" w:sz="12" w:space="0"/>
              <w:bottom w:val="double" w:color="auto" w:sz="6" w:space="0"/>
            </w:tcBorders>
            <w:noWrap w:val="0"/>
            <w:vAlign w:val="center"/>
          </w:tcPr>
          <w:p w14:paraId="76E46412">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生产能力</w:t>
            </w:r>
          </w:p>
        </w:tc>
        <w:tc>
          <w:tcPr>
            <w:tcW w:w="1134" w:type="dxa"/>
            <w:tcBorders>
              <w:top w:val="single" w:color="auto" w:sz="12" w:space="0"/>
              <w:bottom w:val="double" w:color="auto" w:sz="6" w:space="0"/>
            </w:tcBorders>
            <w:noWrap w:val="0"/>
            <w:vAlign w:val="center"/>
          </w:tcPr>
          <w:p w14:paraId="4EC2FF87">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设备安装内容</w:t>
            </w:r>
          </w:p>
        </w:tc>
        <w:tc>
          <w:tcPr>
            <w:tcW w:w="993" w:type="dxa"/>
            <w:tcBorders>
              <w:top w:val="single" w:color="auto" w:sz="12" w:space="0"/>
              <w:bottom w:val="double" w:color="auto" w:sz="6" w:space="0"/>
            </w:tcBorders>
            <w:noWrap w:val="0"/>
            <w:vAlign w:val="center"/>
          </w:tcPr>
          <w:p w14:paraId="305E8844">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合同价格（元）</w:t>
            </w:r>
          </w:p>
        </w:tc>
        <w:tc>
          <w:tcPr>
            <w:tcW w:w="708" w:type="dxa"/>
            <w:tcBorders>
              <w:top w:val="single" w:color="auto" w:sz="12" w:space="0"/>
              <w:bottom w:val="double" w:color="auto" w:sz="6" w:space="0"/>
            </w:tcBorders>
            <w:noWrap w:val="0"/>
            <w:vAlign w:val="center"/>
          </w:tcPr>
          <w:p w14:paraId="4EA7F4B8">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开工日期</w:t>
            </w:r>
          </w:p>
        </w:tc>
        <w:tc>
          <w:tcPr>
            <w:tcW w:w="567" w:type="dxa"/>
            <w:tcBorders>
              <w:top w:val="single" w:color="auto" w:sz="12" w:space="0"/>
              <w:bottom w:val="double" w:color="auto" w:sz="6" w:space="0"/>
            </w:tcBorders>
            <w:noWrap w:val="0"/>
            <w:vAlign w:val="center"/>
          </w:tcPr>
          <w:p w14:paraId="7E743786">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竣工日期</w:t>
            </w:r>
          </w:p>
        </w:tc>
      </w:tr>
      <w:tr w14:paraId="49D02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double" w:color="auto" w:sz="6" w:space="0"/>
            </w:tcBorders>
            <w:noWrap w:val="0"/>
            <w:vAlign w:val="center"/>
          </w:tcPr>
          <w:p w14:paraId="7C2721AD">
            <w:pPr>
              <w:keepNext/>
              <w:snapToGrid w:val="0"/>
              <w:spacing w:line="360" w:lineRule="auto"/>
              <w:rPr>
                <w:rFonts w:hint="eastAsia" w:ascii="宋体" w:hAnsi="宋体" w:cs="宋体"/>
                <w:color w:val="000000"/>
                <w:sz w:val="22"/>
                <w:szCs w:val="21"/>
              </w:rPr>
            </w:pPr>
          </w:p>
        </w:tc>
        <w:tc>
          <w:tcPr>
            <w:tcW w:w="1134" w:type="dxa"/>
            <w:tcBorders>
              <w:top w:val="double" w:color="auto" w:sz="6" w:space="0"/>
            </w:tcBorders>
            <w:noWrap w:val="0"/>
            <w:vAlign w:val="center"/>
          </w:tcPr>
          <w:p w14:paraId="490ACD9F">
            <w:pPr>
              <w:keepNext/>
              <w:snapToGrid w:val="0"/>
              <w:spacing w:line="360" w:lineRule="auto"/>
              <w:rPr>
                <w:rFonts w:hint="eastAsia" w:ascii="宋体" w:hAnsi="宋体" w:cs="宋体"/>
                <w:color w:val="000000"/>
                <w:sz w:val="22"/>
                <w:szCs w:val="21"/>
              </w:rPr>
            </w:pPr>
          </w:p>
        </w:tc>
        <w:tc>
          <w:tcPr>
            <w:tcW w:w="1134" w:type="dxa"/>
            <w:tcBorders>
              <w:top w:val="double" w:color="auto" w:sz="6" w:space="0"/>
            </w:tcBorders>
            <w:noWrap w:val="0"/>
            <w:vAlign w:val="center"/>
          </w:tcPr>
          <w:p w14:paraId="27C28324">
            <w:pPr>
              <w:keepNext/>
              <w:snapToGrid w:val="0"/>
              <w:spacing w:line="360" w:lineRule="auto"/>
              <w:rPr>
                <w:rFonts w:hint="eastAsia" w:ascii="宋体" w:hAnsi="宋体" w:cs="宋体"/>
                <w:color w:val="000000"/>
                <w:sz w:val="22"/>
                <w:szCs w:val="21"/>
              </w:rPr>
            </w:pPr>
          </w:p>
        </w:tc>
        <w:tc>
          <w:tcPr>
            <w:tcW w:w="993" w:type="dxa"/>
            <w:tcBorders>
              <w:top w:val="double" w:color="auto" w:sz="6" w:space="0"/>
            </w:tcBorders>
            <w:noWrap w:val="0"/>
            <w:vAlign w:val="center"/>
          </w:tcPr>
          <w:p w14:paraId="3A4879A2">
            <w:pPr>
              <w:keepNext/>
              <w:snapToGrid w:val="0"/>
              <w:spacing w:line="360" w:lineRule="auto"/>
              <w:rPr>
                <w:rFonts w:hint="eastAsia" w:ascii="宋体" w:hAnsi="宋体" w:cs="宋体"/>
                <w:color w:val="000000"/>
                <w:sz w:val="22"/>
                <w:szCs w:val="21"/>
              </w:rPr>
            </w:pPr>
          </w:p>
        </w:tc>
        <w:tc>
          <w:tcPr>
            <w:tcW w:w="708" w:type="dxa"/>
            <w:tcBorders>
              <w:top w:val="double" w:color="auto" w:sz="6" w:space="0"/>
            </w:tcBorders>
            <w:noWrap w:val="0"/>
            <w:vAlign w:val="center"/>
          </w:tcPr>
          <w:p w14:paraId="78991021">
            <w:pPr>
              <w:keepNext/>
              <w:snapToGrid w:val="0"/>
              <w:spacing w:line="360" w:lineRule="auto"/>
              <w:rPr>
                <w:rFonts w:hint="eastAsia" w:ascii="宋体" w:hAnsi="宋体" w:cs="宋体"/>
                <w:color w:val="000000"/>
                <w:sz w:val="22"/>
                <w:szCs w:val="21"/>
              </w:rPr>
            </w:pPr>
          </w:p>
        </w:tc>
        <w:tc>
          <w:tcPr>
            <w:tcW w:w="1134" w:type="dxa"/>
            <w:tcBorders>
              <w:top w:val="double" w:color="auto" w:sz="6" w:space="0"/>
            </w:tcBorders>
            <w:noWrap w:val="0"/>
            <w:vAlign w:val="center"/>
          </w:tcPr>
          <w:p w14:paraId="0F05EC7C">
            <w:pPr>
              <w:keepNext/>
              <w:snapToGrid w:val="0"/>
              <w:spacing w:line="360" w:lineRule="auto"/>
              <w:rPr>
                <w:rFonts w:hint="eastAsia" w:ascii="宋体" w:hAnsi="宋体" w:cs="宋体"/>
                <w:color w:val="000000"/>
                <w:sz w:val="22"/>
                <w:szCs w:val="21"/>
              </w:rPr>
            </w:pPr>
          </w:p>
        </w:tc>
        <w:tc>
          <w:tcPr>
            <w:tcW w:w="1134" w:type="dxa"/>
            <w:tcBorders>
              <w:top w:val="double" w:color="auto" w:sz="6" w:space="0"/>
            </w:tcBorders>
            <w:noWrap w:val="0"/>
            <w:vAlign w:val="center"/>
          </w:tcPr>
          <w:p w14:paraId="660E981C">
            <w:pPr>
              <w:keepNext/>
              <w:snapToGrid w:val="0"/>
              <w:spacing w:line="360" w:lineRule="auto"/>
              <w:rPr>
                <w:rFonts w:hint="eastAsia" w:ascii="宋体" w:hAnsi="宋体" w:cs="宋体"/>
                <w:color w:val="000000"/>
                <w:sz w:val="22"/>
                <w:szCs w:val="21"/>
              </w:rPr>
            </w:pPr>
          </w:p>
        </w:tc>
        <w:tc>
          <w:tcPr>
            <w:tcW w:w="993" w:type="dxa"/>
            <w:tcBorders>
              <w:top w:val="double" w:color="auto" w:sz="6" w:space="0"/>
            </w:tcBorders>
            <w:noWrap w:val="0"/>
            <w:vAlign w:val="center"/>
          </w:tcPr>
          <w:p w14:paraId="632EC417">
            <w:pPr>
              <w:keepNext/>
              <w:snapToGrid w:val="0"/>
              <w:spacing w:line="360" w:lineRule="auto"/>
              <w:rPr>
                <w:rFonts w:hint="eastAsia" w:ascii="宋体" w:hAnsi="宋体" w:cs="宋体"/>
                <w:color w:val="000000"/>
                <w:sz w:val="22"/>
                <w:szCs w:val="21"/>
              </w:rPr>
            </w:pPr>
          </w:p>
        </w:tc>
        <w:tc>
          <w:tcPr>
            <w:tcW w:w="708" w:type="dxa"/>
            <w:tcBorders>
              <w:top w:val="double" w:color="auto" w:sz="6" w:space="0"/>
            </w:tcBorders>
            <w:noWrap w:val="0"/>
            <w:vAlign w:val="center"/>
          </w:tcPr>
          <w:p w14:paraId="30740003">
            <w:pPr>
              <w:keepNext/>
              <w:snapToGrid w:val="0"/>
              <w:spacing w:line="360" w:lineRule="auto"/>
              <w:rPr>
                <w:rFonts w:hint="eastAsia" w:ascii="宋体" w:hAnsi="宋体" w:cs="宋体"/>
                <w:color w:val="000000"/>
                <w:sz w:val="22"/>
                <w:szCs w:val="21"/>
              </w:rPr>
            </w:pPr>
          </w:p>
        </w:tc>
        <w:tc>
          <w:tcPr>
            <w:tcW w:w="567" w:type="dxa"/>
            <w:tcBorders>
              <w:top w:val="double" w:color="auto" w:sz="6" w:space="0"/>
            </w:tcBorders>
            <w:noWrap w:val="0"/>
            <w:vAlign w:val="center"/>
          </w:tcPr>
          <w:p w14:paraId="148E251C">
            <w:pPr>
              <w:keepNext/>
              <w:snapToGrid w:val="0"/>
              <w:spacing w:line="360" w:lineRule="auto"/>
              <w:rPr>
                <w:rFonts w:hint="eastAsia" w:ascii="宋体" w:hAnsi="宋体" w:cs="宋体"/>
                <w:color w:val="000000"/>
                <w:sz w:val="22"/>
                <w:szCs w:val="21"/>
              </w:rPr>
            </w:pPr>
          </w:p>
        </w:tc>
      </w:tr>
      <w:tr w14:paraId="130DE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nil"/>
            </w:tcBorders>
            <w:noWrap w:val="0"/>
            <w:vAlign w:val="center"/>
          </w:tcPr>
          <w:p w14:paraId="3CC2C386">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3F2EA127">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4137B7B1">
            <w:pPr>
              <w:keepNext/>
              <w:snapToGrid w:val="0"/>
              <w:spacing w:line="360" w:lineRule="auto"/>
              <w:rPr>
                <w:rFonts w:hint="eastAsia" w:ascii="宋体" w:hAnsi="宋体" w:cs="宋体"/>
                <w:color w:val="000000"/>
                <w:sz w:val="22"/>
                <w:szCs w:val="21"/>
              </w:rPr>
            </w:pPr>
          </w:p>
        </w:tc>
        <w:tc>
          <w:tcPr>
            <w:tcW w:w="993" w:type="dxa"/>
            <w:tcBorders>
              <w:top w:val="nil"/>
            </w:tcBorders>
            <w:noWrap w:val="0"/>
            <w:vAlign w:val="center"/>
          </w:tcPr>
          <w:p w14:paraId="01042740">
            <w:pPr>
              <w:keepNext/>
              <w:snapToGrid w:val="0"/>
              <w:spacing w:line="360" w:lineRule="auto"/>
              <w:rPr>
                <w:rFonts w:hint="eastAsia" w:ascii="宋体" w:hAnsi="宋体" w:cs="宋体"/>
                <w:color w:val="000000"/>
                <w:sz w:val="22"/>
                <w:szCs w:val="21"/>
              </w:rPr>
            </w:pPr>
          </w:p>
        </w:tc>
        <w:tc>
          <w:tcPr>
            <w:tcW w:w="708" w:type="dxa"/>
            <w:tcBorders>
              <w:top w:val="nil"/>
            </w:tcBorders>
            <w:noWrap w:val="0"/>
            <w:vAlign w:val="center"/>
          </w:tcPr>
          <w:p w14:paraId="72E5304F">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5651AAC9">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52D619E8">
            <w:pPr>
              <w:keepNext/>
              <w:snapToGrid w:val="0"/>
              <w:spacing w:line="360" w:lineRule="auto"/>
              <w:rPr>
                <w:rFonts w:hint="eastAsia" w:ascii="宋体" w:hAnsi="宋体" w:cs="宋体"/>
                <w:color w:val="000000"/>
                <w:sz w:val="22"/>
                <w:szCs w:val="21"/>
              </w:rPr>
            </w:pPr>
          </w:p>
        </w:tc>
        <w:tc>
          <w:tcPr>
            <w:tcW w:w="993" w:type="dxa"/>
            <w:tcBorders>
              <w:top w:val="nil"/>
            </w:tcBorders>
            <w:noWrap w:val="0"/>
            <w:vAlign w:val="center"/>
          </w:tcPr>
          <w:p w14:paraId="59F3BE50">
            <w:pPr>
              <w:keepNext/>
              <w:snapToGrid w:val="0"/>
              <w:spacing w:line="360" w:lineRule="auto"/>
              <w:rPr>
                <w:rFonts w:hint="eastAsia" w:ascii="宋体" w:hAnsi="宋体" w:cs="宋体"/>
                <w:color w:val="000000"/>
                <w:sz w:val="22"/>
                <w:szCs w:val="21"/>
              </w:rPr>
            </w:pPr>
          </w:p>
        </w:tc>
        <w:tc>
          <w:tcPr>
            <w:tcW w:w="708" w:type="dxa"/>
            <w:tcBorders>
              <w:top w:val="nil"/>
            </w:tcBorders>
            <w:noWrap w:val="0"/>
            <w:vAlign w:val="center"/>
          </w:tcPr>
          <w:p w14:paraId="07743E6A">
            <w:pPr>
              <w:keepNext/>
              <w:snapToGrid w:val="0"/>
              <w:spacing w:line="360" w:lineRule="auto"/>
              <w:rPr>
                <w:rFonts w:hint="eastAsia" w:ascii="宋体" w:hAnsi="宋体" w:cs="宋体"/>
                <w:color w:val="000000"/>
                <w:sz w:val="22"/>
                <w:szCs w:val="21"/>
              </w:rPr>
            </w:pPr>
          </w:p>
        </w:tc>
        <w:tc>
          <w:tcPr>
            <w:tcW w:w="567" w:type="dxa"/>
            <w:tcBorders>
              <w:top w:val="nil"/>
            </w:tcBorders>
            <w:noWrap w:val="0"/>
            <w:vAlign w:val="center"/>
          </w:tcPr>
          <w:p w14:paraId="09F0BC46">
            <w:pPr>
              <w:keepNext/>
              <w:snapToGrid w:val="0"/>
              <w:spacing w:line="360" w:lineRule="auto"/>
              <w:rPr>
                <w:rFonts w:hint="eastAsia" w:ascii="宋体" w:hAnsi="宋体" w:cs="宋体"/>
                <w:color w:val="000000"/>
                <w:sz w:val="22"/>
                <w:szCs w:val="21"/>
              </w:rPr>
            </w:pPr>
          </w:p>
        </w:tc>
      </w:tr>
      <w:tr w14:paraId="6F5FC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nil"/>
            </w:tcBorders>
            <w:noWrap w:val="0"/>
            <w:vAlign w:val="center"/>
          </w:tcPr>
          <w:p w14:paraId="25AA2921">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24D3F54C">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3C519385">
            <w:pPr>
              <w:keepNext/>
              <w:snapToGrid w:val="0"/>
              <w:spacing w:line="360" w:lineRule="auto"/>
              <w:rPr>
                <w:rFonts w:hint="eastAsia" w:ascii="宋体" w:hAnsi="宋体" w:cs="宋体"/>
                <w:color w:val="000000"/>
                <w:sz w:val="22"/>
                <w:szCs w:val="21"/>
              </w:rPr>
            </w:pPr>
          </w:p>
        </w:tc>
        <w:tc>
          <w:tcPr>
            <w:tcW w:w="993" w:type="dxa"/>
            <w:tcBorders>
              <w:top w:val="nil"/>
            </w:tcBorders>
            <w:noWrap w:val="0"/>
            <w:vAlign w:val="center"/>
          </w:tcPr>
          <w:p w14:paraId="16A058EE">
            <w:pPr>
              <w:keepNext/>
              <w:snapToGrid w:val="0"/>
              <w:spacing w:line="360" w:lineRule="auto"/>
              <w:rPr>
                <w:rFonts w:hint="eastAsia" w:ascii="宋体" w:hAnsi="宋体" w:cs="宋体"/>
                <w:color w:val="000000"/>
                <w:sz w:val="22"/>
                <w:szCs w:val="21"/>
              </w:rPr>
            </w:pPr>
          </w:p>
        </w:tc>
        <w:tc>
          <w:tcPr>
            <w:tcW w:w="708" w:type="dxa"/>
            <w:tcBorders>
              <w:top w:val="nil"/>
            </w:tcBorders>
            <w:noWrap w:val="0"/>
            <w:vAlign w:val="center"/>
          </w:tcPr>
          <w:p w14:paraId="64010B71">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40F02281">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68CFEA69">
            <w:pPr>
              <w:keepNext/>
              <w:snapToGrid w:val="0"/>
              <w:spacing w:line="360" w:lineRule="auto"/>
              <w:rPr>
                <w:rFonts w:hint="eastAsia" w:ascii="宋体" w:hAnsi="宋体" w:cs="宋体"/>
                <w:color w:val="000000"/>
                <w:sz w:val="22"/>
                <w:szCs w:val="21"/>
              </w:rPr>
            </w:pPr>
          </w:p>
        </w:tc>
        <w:tc>
          <w:tcPr>
            <w:tcW w:w="993" w:type="dxa"/>
            <w:tcBorders>
              <w:top w:val="nil"/>
            </w:tcBorders>
            <w:noWrap w:val="0"/>
            <w:vAlign w:val="center"/>
          </w:tcPr>
          <w:p w14:paraId="37031238">
            <w:pPr>
              <w:keepNext/>
              <w:snapToGrid w:val="0"/>
              <w:spacing w:line="360" w:lineRule="auto"/>
              <w:rPr>
                <w:rFonts w:hint="eastAsia" w:ascii="宋体" w:hAnsi="宋体" w:cs="宋体"/>
                <w:color w:val="000000"/>
                <w:sz w:val="22"/>
                <w:szCs w:val="21"/>
              </w:rPr>
            </w:pPr>
          </w:p>
        </w:tc>
        <w:tc>
          <w:tcPr>
            <w:tcW w:w="708" w:type="dxa"/>
            <w:tcBorders>
              <w:top w:val="nil"/>
            </w:tcBorders>
            <w:noWrap w:val="0"/>
            <w:vAlign w:val="center"/>
          </w:tcPr>
          <w:p w14:paraId="24F93E9C">
            <w:pPr>
              <w:keepNext/>
              <w:snapToGrid w:val="0"/>
              <w:spacing w:line="360" w:lineRule="auto"/>
              <w:rPr>
                <w:rFonts w:hint="eastAsia" w:ascii="宋体" w:hAnsi="宋体" w:cs="宋体"/>
                <w:color w:val="000000"/>
                <w:sz w:val="22"/>
                <w:szCs w:val="21"/>
              </w:rPr>
            </w:pPr>
          </w:p>
        </w:tc>
        <w:tc>
          <w:tcPr>
            <w:tcW w:w="567" w:type="dxa"/>
            <w:tcBorders>
              <w:top w:val="nil"/>
            </w:tcBorders>
            <w:noWrap w:val="0"/>
            <w:vAlign w:val="center"/>
          </w:tcPr>
          <w:p w14:paraId="33FC869F">
            <w:pPr>
              <w:keepNext/>
              <w:snapToGrid w:val="0"/>
              <w:spacing w:line="360" w:lineRule="auto"/>
              <w:rPr>
                <w:rFonts w:hint="eastAsia" w:ascii="宋体" w:hAnsi="宋体" w:cs="宋体"/>
                <w:color w:val="000000"/>
                <w:sz w:val="22"/>
                <w:szCs w:val="21"/>
              </w:rPr>
            </w:pPr>
          </w:p>
        </w:tc>
      </w:tr>
      <w:tr w14:paraId="38FB1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bottom w:val="single" w:color="auto" w:sz="12" w:space="0"/>
            </w:tcBorders>
            <w:noWrap w:val="0"/>
            <w:vAlign w:val="center"/>
          </w:tcPr>
          <w:p w14:paraId="5E2931FC">
            <w:pPr>
              <w:keepNext/>
              <w:snapToGrid w:val="0"/>
              <w:spacing w:line="360" w:lineRule="auto"/>
              <w:rPr>
                <w:rFonts w:hint="eastAsia" w:ascii="宋体" w:hAnsi="宋体" w:cs="宋体"/>
                <w:color w:val="000000"/>
                <w:sz w:val="22"/>
                <w:szCs w:val="21"/>
              </w:rPr>
            </w:pPr>
          </w:p>
        </w:tc>
        <w:tc>
          <w:tcPr>
            <w:tcW w:w="1134" w:type="dxa"/>
            <w:tcBorders>
              <w:bottom w:val="single" w:color="auto" w:sz="12" w:space="0"/>
            </w:tcBorders>
            <w:noWrap w:val="0"/>
            <w:vAlign w:val="center"/>
          </w:tcPr>
          <w:p w14:paraId="58A5B20C">
            <w:pPr>
              <w:keepNext/>
              <w:snapToGrid w:val="0"/>
              <w:spacing w:line="360" w:lineRule="auto"/>
              <w:rPr>
                <w:rFonts w:hint="eastAsia" w:ascii="宋体" w:hAnsi="宋体" w:cs="宋体"/>
                <w:color w:val="000000"/>
                <w:sz w:val="22"/>
                <w:szCs w:val="21"/>
              </w:rPr>
            </w:pPr>
          </w:p>
        </w:tc>
        <w:tc>
          <w:tcPr>
            <w:tcW w:w="1134" w:type="dxa"/>
            <w:tcBorders>
              <w:bottom w:val="single" w:color="auto" w:sz="12" w:space="0"/>
            </w:tcBorders>
            <w:noWrap w:val="0"/>
            <w:vAlign w:val="center"/>
          </w:tcPr>
          <w:p w14:paraId="47736501">
            <w:pPr>
              <w:keepNext/>
              <w:snapToGrid w:val="0"/>
              <w:spacing w:line="360" w:lineRule="auto"/>
              <w:rPr>
                <w:rFonts w:hint="eastAsia" w:ascii="宋体" w:hAnsi="宋体" w:cs="宋体"/>
                <w:color w:val="000000"/>
                <w:sz w:val="22"/>
                <w:szCs w:val="21"/>
              </w:rPr>
            </w:pPr>
          </w:p>
        </w:tc>
        <w:tc>
          <w:tcPr>
            <w:tcW w:w="993" w:type="dxa"/>
            <w:tcBorders>
              <w:bottom w:val="single" w:color="auto" w:sz="12" w:space="0"/>
            </w:tcBorders>
            <w:noWrap w:val="0"/>
            <w:vAlign w:val="center"/>
          </w:tcPr>
          <w:p w14:paraId="0EEB01B0">
            <w:pPr>
              <w:keepNext/>
              <w:snapToGrid w:val="0"/>
              <w:spacing w:line="360" w:lineRule="auto"/>
              <w:rPr>
                <w:rFonts w:hint="eastAsia" w:ascii="宋体" w:hAnsi="宋体" w:cs="宋体"/>
                <w:color w:val="000000"/>
                <w:sz w:val="22"/>
                <w:szCs w:val="21"/>
              </w:rPr>
            </w:pPr>
          </w:p>
        </w:tc>
        <w:tc>
          <w:tcPr>
            <w:tcW w:w="708" w:type="dxa"/>
            <w:tcBorders>
              <w:bottom w:val="single" w:color="auto" w:sz="12" w:space="0"/>
            </w:tcBorders>
            <w:noWrap w:val="0"/>
            <w:vAlign w:val="center"/>
          </w:tcPr>
          <w:p w14:paraId="06A2D9B6">
            <w:pPr>
              <w:keepNext/>
              <w:snapToGrid w:val="0"/>
              <w:spacing w:line="360" w:lineRule="auto"/>
              <w:rPr>
                <w:rFonts w:hint="eastAsia" w:ascii="宋体" w:hAnsi="宋体" w:cs="宋体"/>
                <w:color w:val="000000"/>
                <w:sz w:val="22"/>
                <w:szCs w:val="21"/>
              </w:rPr>
            </w:pPr>
          </w:p>
        </w:tc>
        <w:tc>
          <w:tcPr>
            <w:tcW w:w="1134" w:type="dxa"/>
            <w:tcBorders>
              <w:bottom w:val="single" w:color="auto" w:sz="12" w:space="0"/>
            </w:tcBorders>
            <w:noWrap w:val="0"/>
            <w:vAlign w:val="center"/>
          </w:tcPr>
          <w:p w14:paraId="48DA79E9">
            <w:pPr>
              <w:keepNext/>
              <w:snapToGrid w:val="0"/>
              <w:spacing w:line="360" w:lineRule="auto"/>
              <w:rPr>
                <w:rFonts w:hint="eastAsia" w:ascii="宋体" w:hAnsi="宋体" w:cs="宋体"/>
                <w:color w:val="000000"/>
                <w:sz w:val="22"/>
                <w:szCs w:val="21"/>
              </w:rPr>
            </w:pPr>
          </w:p>
        </w:tc>
        <w:tc>
          <w:tcPr>
            <w:tcW w:w="1134" w:type="dxa"/>
            <w:tcBorders>
              <w:bottom w:val="single" w:color="auto" w:sz="12" w:space="0"/>
            </w:tcBorders>
            <w:noWrap w:val="0"/>
            <w:vAlign w:val="center"/>
          </w:tcPr>
          <w:p w14:paraId="663D0AEB">
            <w:pPr>
              <w:keepNext/>
              <w:snapToGrid w:val="0"/>
              <w:spacing w:line="360" w:lineRule="auto"/>
              <w:rPr>
                <w:rFonts w:hint="eastAsia" w:ascii="宋体" w:hAnsi="宋体" w:cs="宋体"/>
                <w:color w:val="000000"/>
                <w:sz w:val="22"/>
                <w:szCs w:val="21"/>
              </w:rPr>
            </w:pPr>
          </w:p>
        </w:tc>
        <w:tc>
          <w:tcPr>
            <w:tcW w:w="993" w:type="dxa"/>
            <w:tcBorders>
              <w:bottom w:val="single" w:color="auto" w:sz="12" w:space="0"/>
            </w:tcBorders>
            <w:noWrap w:val="0"/>
            <w:vAlign w:val="center"/>
          </w:tcPr>
          <w:p w14:paraId="3B5FC363">
            <w:pPr>
              <w:keepNext/>
              <w:snapToGrid w:val="0"/>
              <w:spacing w:line="360" w:lineRule="auto"/>
              <w:rPr>
                <w:rFonts w:hint="eastAsia" w:ascii="宋体" w:hAnsi="宋体" w:cs="宋体"/>
                <w:color w:val="000000"/>
                <w:sz w:val="22"/>
                <w:szCs w:val="21"/>
              </w:rPr>
            </w:pPr>
          </w:p>
        </w:tc>
        <w:tc>
          <w:tcPr>
            <w:tcW w:w="708" w:type="dxa"/>
            <w:tcBorders>
              <w:bottom w:val="single" w:color="auto" w:sz="12" w:space="0"/>
            </w:tcBorders>
            <w:noWrap w:val="0"/>
            <w:vAlign w:val="center"/>
          </w:tcPr>
          <w:p w14:paraId="165A6F2F">
            <w:pPr>
              <w:keepNext/>
              <w:snapToGrid w:val="0"/>
              <w:spacing w:line="360" w:lineRule="auto"/>
              <w:rPr>
                <w:rFonts w:hint="eastAsia" w:ascii="宋体" w:hAnsi="宋体" w:cs="宋体"/>
                <w:color w:val="000000"/>
                <w:sz w:val="22"/>
                <w:szCs w:val="21"/>
              </w:rPr>
            </w:pPr>
          </w:p>
        </w:tc>
        <w:tc>
          <w:tcPr>
            <w:tcW w:w="567" w:type="dxa"/>
            <w:tcBorders>
              <w:bottom w:val="single" w:color="auto" w:sz="12" w:space="0"/>
            </w:tcBorders>
            <w:noWrap w:val="0"/>
            <w:vAlign w:val="center"/>
          </w:tcPr>
          <w:p w14:paraId="4878C4D3">
            <w:pPr>
              <w:keepNext/>
              <w:snapToGrid w:val="0"/>
              <w:spacing w:line="360" w:lineRule="auto"/>
              <w:rPr>
                <w:rFonts w:hint="eastAsia" w:ascii="宋体" w:hAnsi="宋体" w:cs="宋体"/>
                <w:color w:val="000000"/>
                <w:sz w:val="22"/>
                <w:szCs w:val="21"/>
              </w:rPr>
            </w:pPr>
          </w:p>
        </w:tc>
      </w:tr>
    </w:tbl>
    <w:p w14:paraId="10B14F0C">
      <w:pPr>
        <w:spacing w:line="360" w:lineRule="auto"/>
        <w:rPr>
          <w:rFonts w:hint="eastAsia" w:ascii="宋体" w:hAnsi="宋体" w:cs="宋体"/>
          <w:color w:val="000000"/>
          <w:sz w:val="22"/>
          <w:szCs w:val="21"/>
        </w:rPr>
      </w:pPr>
    </w:p>
    <w:p w14:paraId="56D834BA">
      <w:pPr>
        <w:spacing w:line="360" w:lineRule="auto"/>
        <w:rPr>
          <w:rFonts w:hint="eastAsia" w:ascii="宋体" w:hAnsi="宋体" w:cs="宋体"/>
          <w:color w:val="000000"/>
          <w:sz w:val="22"/>
          <w:szCs w:val="21"/>
        </w:rPr>
      </w:pPr>
    </w:p>
    <w:p w14:paraId="5736A80F">
      <w:pPr>
        <w:keepNext/>
        <w:keepLines/>
        <w:spacing w:before="120" w:after="120" w:line="360" w:lineRule="auto"/>
        <w:jc w:val="left"/>
        <w:outlineLvl w:val="2"/>
        <w:rPr>
          <w:rFonts w:hint="eastAsia" w:ascii="宋体" w:hAnsi="宋体" w:cs="宋体"/>
          <w:bCs/>
          <w:color w:val="000000"/>
          <w:sz w:val="24"/>
        </w:rPr>
      </w:pPr>
      <w:bookmarkStart w:id="861" w:name="_Toc95223487"/>
      <w:r>
        <w:rPr>
          <w:rFonts w:hint="eastAsia" w:ascii="宋体" w:hAnsi="宋体" w:cs="宋体"/>
          <w:bCs/>
          <w:color w:val="000000"/>
          <w:sz w:val="24"/>
        </w:rPr>
        <w:t>附</w:t>
      </w:r>
      <w:bookmarkStart w:id="862" w:name="_Toc267261692"/>
      <w:bookmarkStart w:id="863" w:name="_Toc296944564"/>
      <w:bookmarkStart w:id="864" w:name="_Toc296347224"/>
      <w:bookmarkStart w:id="865" w:name="_Toc296891053"/>
      <w:bookmarkStart w:id="866" w:name="_Toc296503225"/>
      <w:bookmarkStart w:id="867" w:name="_Toc296346726"/>
      <w:bookmarkStart w:id="868" w:name="_Toc296891265"/>
      <w:r>
        <w:rPr>
          <w:rFonts w:hint="eastAsia" w:ascii="宋体" w:hAnsi="宋体" w:cs="宋体"/>
          <w:bCs/>
          <w:color w:val="000000"/>
          <w:sz w:val="24"/>
        </w:rPr>
        <w:t>件2：发包人供应材料设备一览表</w:t>
      </w:r>
      <w:bookmarkEnd w:id="861"/>
    </w:p>
    <w:bookmarkEnd w:id="862"/>
    <w:bookmarkEnd w:id="863"/>
    <w:bookmarkEnd w:id="864"/>
    <w:bookmarkEnd w:id="865"/>
    <w:bookmarkEnd w:id="866"/>
    <w:bookmarkEnd w:id="867"/>
    <w:bookmarkEnd w:id="868"/>
    <w:p w14:paraId="65C3F7DA">
      <w:pPr>
        <w:spacing w:line="360" w:lineRule="auto"/>
        <w:jc w:val="center"/>
        <w:rPr>
          <w:rFonts w:hint="eastAsia" w:ascii="宋体" w:hAnsi="宋体" w:cs="宋体"/>
          <w:color w:val="000000"/>
          <w:sz w:val="22"/>
          <w:szCs w:val="21"/>
        </w:rPr>
      </w:pPr>
      <w:r>
        <w:rPr>
          <w:rFonts w:hint="eastAsia" w:ascii="宋体" w:hAnsi="宋体" w:cs="宋体"/>
          <w:color w:val="000000"/>
          <w:sz w:val="22"/>
          <w:szCs w:val="21"/>
        </w:rPr>
        <w:t>发包人供应材料设备一览表</w:t>
      </w:r>
    </w:p>
    <w:tbl>
      <w:tblPr>
        <w:tblStyle w:val="47"/>
        <w:tblW w:w="96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082"/>
        <w:gridCol w:w="940"/>
        <w:gridCol w:w="851"/>
        <w:gridCol w:w="1044"/>
        <w:gridCol w:w="992"/>
        <w:gridCol w:w="851"/>
        <w:gridCol w:w="966"/>
        <w:gridCol w:w="803"/>
      </w:tblGrid>
      <w:tr w14:paraId="72B793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single" w:color="auto" w:sz="12" w:space="0"/>
              <w:bottom w:val="double" w:color="auto" w:sz="6" w:space="0"/>
            </w:tcBorders>
            <w:noWrap w:val="0"/>
            <w:vAlign w:val="center"/>
          </w:tcPr>
          <w:p w14:paraId="30E7BFBB">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序号</w:t>
            </w:r>
          </w:p>
        </w:tc>
        <w:tc>
          <w:tcPr>
            <w:tcW w:w="1276" w:type="dxa"/>
            <w:tcBorders>
              <w:top w:val="single" w:color="auto" w:sz="12" w:space="0"/>
              <w:bottom w:val="double" w:color="auto" w:sz="6" w:space="0"/>
            </w:tcBorders>
            <w:noWrap w:val="0"/>
            <w:vAlign w:val="center"/>
          </w:tcPr>
          <w:p w14:paraId="1DCD8925">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材料、设备品种</w:t>
            </w:r>
          </w:p>
        </w:tc>
        <w:tc>
          <w:tcPr>
            <w:tcW w:w="1082" w:type="dxa"/>
            <w:tcBorders>
              <w:top w:val="single" w:color="auto" w:sz="12" w:space="0"/>
              <w:bottom w:val="double" w:color="auto" w:sz="6" w:space="0"/>
            </w:tcBorders>
            <w:noWrap w:val="0"/>
            <w:vAlign w:val="center"/>
          </w:tcPr>
          <w:p w14:paraId="7BC70C08">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规格型号</w:t>
            </w:r>
          </w:p>
        </w:tc>
        <w:tc>
          <w:tcPr>
            <w:tcW w:w="940" w:type="dxa"/>
            <w:tcBorders>
              <w:top w:val="single" w:color="auto" w:sz="12" w:space="0"/>
              <w:bottom w:val="double" w:color="auto" w:sz="6" w:space="0"/>
            </w:tcBorders>
            <w:noWrap w:val="0"/>
            <w:vAlign w:val="center"/>
          </w:tcPr>
          <w:p w14:paraId="3C844980">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单位</w:t>
            </w:r>
          </w:p>
        </w:tc>
        <w:tc>
          <w:tcPr>
            <w:tcW w:w="851" w:type="dxa"/>
            <w:tcBorders>
              <w:top w:val="single" w:color="auto" w:sz="12" w:space="0"/>
              <w:bottom w:val="double" w:color="auto" w:sz="6" w:space="0"/>
            </w:tcBorders>
            <w:noWrap w:val="0"/>
            <w:vAlign w:val="center"/>
          </w:tcPr>
          <w:p w14:paraId="7449010F">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数量</w:t>
            </w:r>
          </w:p>
        </w:tc>
        <w:tc>
          <w:tcPr>
            <w:tcW w:w="1044" w:type="dxa"/>
            <w:tcBorders>
              <w:top w:val="single" w:color="auto" w:sz="12" w:space="0"/>
              <w:bottom w:val="double" w:color="auto" w:sz="6" w:space="0"/>
            </w:tcBorders>
            <w:noWrap w:val="0"/>
            <w:vAlign w:val="center"/>
          </w:tcPr>
          <w:p w14:paraId="30E13CC1">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单价（元）</w:t>
            </w:r>
          </w:p>
        </w:tc>
        <w:tc>
          <w:tcPr>
            <w:tcW w:w="992" w:type="dxa"/>
            <w:tcBorders>
              <w:top w:val="single" w:color="auto" w:sz="12" w:space="0"/>
              <w:bottom w:val="double" w:color="auto" w:sz="6" w:space="0"/>
            </w:tcBorders>
            <w:noWrap w:val="0"/>
            <w:vAlign w:val="center"/>
          </w:tcPr>
          <w:p w14:paraId="5E686EB2">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质量等级</w:t>
            </w:r>
          </w:p>
        </w:tc>
        <w:tc>
          <w:tcPr>
            <w:tcW w:w="851" w:type="dxa"/>
            <w:tcBorders>
              <w:top w:val="single" w:color="auto" w:sz="12" w:space="0"/>
              <w:bottom w:val="double" w:color="auto" w:sz="6" w:space="0"/>
            </w:tcBorders>
            <w:noWrap w:val="0"/>
            <w:vAlign w:val="center"/>
          </w:tcPr>
          <w:p w14:paraId="749633C3">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供应时间</w:t>
            </w:r>
          </w:p>
        </w:tc>
        <w:tc>
          <w:tcPr>
            <w:tcW w:w="966" w:type="dxa"/>
            <w:tcBorders>
              <w:top w:val="single" w:color="auto" w:sz="12" w:space="0"/>
              <w:bottom w:val="double" w:color="auto" w:sz="6" w:space="0"/>
            </w:tcBorders>
            <w:noWrap w:val="0"/>
            <w:vAlign w:val="center"/>
          </w:tcPr>
          <w:p w14:paraId="1A9DBB08">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送达地点</w:t>
            </w:r>
          </w:p>
        </w:tc>
        <w:tc>
          <w:tcPr>
            <w:tcW w:w="803" w:type="dxa"/>
            <w:tcBorders>
              <w:top w:val="single" w:color="auto" w:sz="12" w:space="0"/>
              <w:bottom w:val="double" w:color="auto" w:sz="6" w:space="0"/>
            </w:tcBorders>
            <w:noWrap w:val="0"/>
            <w:vAlign w:val="center"/>
          </w:tcPr>
          <w:p w14:paraId="1A5B8172">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备注</w:t>
            </w:r>
          </w:p>
        </w:tc>
      </w:tr>
      <w:tr w14:paraId="7D415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top w:val="double" w:color="auto" w:sz="6" w:space="0"/>
            </w:tcBorders>
            <w:noWrap w:val="0"/>
            <w:vAlign w:val="center"/>
          </w:tcPr>
          <w:p w14:paraId="16BD464D">
            <w:pPr>
              <w:keepNext/>
              <w:snapToGrid w:val="0"/>
              <w:spacing w:line="360" w:lineRule="auto"/>
              <w:rPr>
                <w:rFonts w:hint="eastAsia" w:ascii="宋体" w:hAnsi="宋体" w:cs="宋体"/>
                <w:color w:val="000000"/>
                <w:sz w:val="22"/>
                <w:szCs w:val="21"/>
              </w:rPr>
            </w:pPr>
          </w:p>
        </w:tc>
        <w:tc>
          <w:tcPr>
            <w:tcW w:w="1276" w:type="dxa"/>
            <w:tcBorders>
              <w:top w:val="double" w:color="auto" w:sz="6" w:space="0"/>
            </w:tcBorders>
            <w:noWrap w:val="0"/>
            <w:vAlign w:val="center"/>
          </w:tcPr>
          <w:p w14:paraId="3AAD8862">
            <w:pPr>
              <w:keepNext/>
              <w:snapToGrid w:val="0"/>
              <w:spacing w:line="360" w:lineRule="auto"/>
              <w:rPr>
                <w:rFonts w:hint="eastAsia" w:ascii="宋体" w:hAnsi="宋体" w:cs="宋体"/>
                <w:color w:val="000000"/>
                <w:sz w:val="22"/>
                <w:szCs w:val="21"/>
              </w:rPr>
            </w:pPr>
          </w:p>
        </w:tc>
        <w:tc>
          <w:tcPr>
            <w:tcW w:w="1082" w:type="dxa"/>
            <w:tcBorders>
              <w:top w:val="double" w:color="auto" w:sz="6" w:space="0"/>
            </w:tcBorders>
            <w:noWrap w:val="0"/>
            <w:vAlign w:val="center"/>
          </w:tcPr>
          <w:p w14:paraId="2C0C88F3">
            <w:pPr>
              <w:keepNext/>
              <w:snapToGrid w:val="0"/>
              <w:spacing w:line="360" w:lineRule="auto"/>
              <w:rPr>
                <w:rFonts w:hint="eastAsia" w:ascii="宋体" w:hAnsi="宋体" w:cs="宋体"/>
                <w:color w:val="000000"/>
                <w:sz w:val="22"/>
                <w:szCs w:val="21"/>
              </w:rPr>
            </w:pPr>
          </w:p>
        </w:tc>
        <w:tc>
          <w:tcPr>
            <w:tcW w:w="940" w:type="dxa"/>
            <w:tcBorders>
              <w:top w:val="double" w:color="auto" w:sz="6" w:space="0"/>
            </w:tcBorders>
            <w:noWrap w:val="0"/>
            <w:vAlign w:val="center"/>
          </w:tcPr>
          <w:p w14:paraId="03450777">
            <w:pPr>
              <w:keepNext/>
              <w:snapToGrid w:val="0"/>
              <w:spacing w:line="360" w:lineRule="auto"/>
              <w:rPr>
                <w:rFonts w:hint="eastAsia" w:ascii="宋体" w:hAnsi="宋体" w:cs="宋体"/>
                <w:color w:val="000000"/>
                <w:sz w:val="22"/>
                <w:szCs w:val="21"/>
              </w:rPr>
            </w:pPr>
          </w:p>
        </w:tc>
        <w:tc>
          <w:tcPr>
            <w:tcW w:w="851" w:type="dxa"/>
            <w:tcBorders>
              <w:top w:val="double" w:color="auto" w:sz="6" w:space="0"/>
            </w:tcBorders>
            <w:noWrap w:val="0"/>
            <w:vAlign w:val="center"/>
          </w:tcPr>
          <w:p w14:paraId="7BB8DF66">
            <w:pPr>
              <w:keepNext/>
              <w:snapToGrid w:val="0"/>
              <w:spacing w:line="360" w:lineRule="auto"/>
              <w:rPr>
                <w:rFonts w:hint="eastAsia" w:ascii="宋体" w:hAnsi="宋体" w:cs="宋体"/>
                <w:color w:val="000000"/>
                <w:sz w:val="22"/>
                <w:szCs w:val="21"/>
              </w:rPr>
            </w:pPr>
          </w:p>
        </w:tc>
        <w:tc>
          <w:tcPr>
            <w:tcW w:w="1044" w:type="dxa"/>
            <w:tcBorders>
              <w:top w:val="double" w:color="auto" w:sz="6" w:space="0"/>
            </w:tcBorders>
            <w:noWrap w:val="0"/>
            <w:vAlign w:val="center"/>
          </w:tcPr>
          <w:p w14:paraId="4308D45C">
            <w:pPr>
              <w:keepNext/>
              <w:snapToGrid w:val="0"/>
              <w:spacing w:line="360" w:lineRule="auto"/>
              <w:rPr>
                <w:rFonts w:hint="eastAsia" w:ascii="宋体" w:hAnsi="宋体" w:cs="宋体"/>
                <w:color w:val="000000"/>
                <w:sz w:val="22"/>
                <w:szCs w:val="21"/>
              </w:rPr>
            </w:pPr>
          </w:p>
        </w:tc>
        <w:tc>
          <w:tcPr>
            <w:tcW w:w="992" w:type="dxa"/>
            <w:tcBorders>
              <w:top w:val="double" w:color="auto" w:sz="6" w:space="0"/>
            </w:tcBorders>
            <w:noWrap w:val="0"/>
            <w:vAlign w:val="center"/>
          </w:tcPr>
          <w:p w14:paraId="001DFEBC">
            <w:pPr>
              <w:keepNext/>
              <w:snapToGrid w:val="0"/>
              <w:spacing w:line="360" w:lineRule="auto"/>
              <w:rPr>
                <w:rFonts w:hint="eastAsia" w:ascii="宋体" w:hAnsi="宋体" w:cs="宋体"/>
                <w:color w:val="000000"/>
                <w:sz w:val="22"/>
                <w:szCs w:val="21"/>
              </w:rPr>
            </w:pPr>
          </w:p>
        </w:tc>
        <w:tc>
          <w:tcPr>
            <w:tcW w:w="851" w:type="dxa"/>
            <w:tcBorders>
              <w:top w:val="double" w:color="auto" w:sz="6" w:space="0"/>
            </w:tcBorders>
            <w:noWrap w:val="0"/>
            <w:vAlign w:val="center"/>
          </w:tcPr>
          <w:p w14:paraId="5BD99C3F">
            <w:pPr>
              <w:keepNext/>
              <w:snapToGrid w:val="0"/>
              <w:spacing w:line="360" w:lineRule="auto"/>
              <w:rPr>
                <w:rFonts w:hint="eastAsia" w:ascii="宋体" w:hAnsi="宋体" w:cs="宋体"/>
                <w:color w:val="000000"/>
                <w:sz w:val="22"/>
                <w:szCs w:val="21"/>
              </w:rPr>
            </w:pPr>
          </w:p>
        </w:tc>
        <w:tc>
          <w:tcPr>
            <w:tcW w:w="966" w:type="dxa"/>
            <w:tcBorders>
              <w:top w:val="double" w:color="auto" w:sz="6" w:space="0"/>
            </w:tcBorders>
            <w:noWrap w:val="0"/>
            <w:vAlign w:val="center"/>
          </w:tcPr>
          <w:p w14:paraId="48630F52">
            <w:pPr>
              <w:keepNext/>
              <w:snapToGrid w:val="0"/>
              <w:spacing w:line="360" w:lineRule="auto"/>
              <w:rPr>
                <w:rFonts w:hint="eastAsia" w:ascii="宋体" w:hAnsi="宋体" w:cs="宋体"/>
                <w:color w:val="000000"/>
                <w:sz w:val="22"/>
                <w:szCs w:val="21"/>
              </w:rPr>
            </w:pPr>
          </w:p>
        </w:tc>
        <w:tc>
          <w:tcPr>
            <w:tcW w:w="803" w:type="dxa"/>
            <w:tcBorders>
              <w:top w:val="double" w:color="auto" w:sz="6" w:space="0"/>
            </w:tcBorders>
            <w:noWrap w:val="0"/>
            <w:vAlign w:val="center"/>
          </w:tcPr>
          <w:p w14:paraId="0963CF67">
            <w:pPr>
              <w:keepNext/>
              <w:snapToGrid w:val="0"/>
              <w:spacing w:line="360" w:lineRule="auto"/>
              <w:rPr>
                <w:rFonts w:hint="eastAsia" w:ascii="宋体" w:hAnsi="宋体" w:cs="宋体"/>
                <w:color w:val="000000"/>
                <w:sz w:val="22"/>
                <w:szCs w:val="21"/>
              </w:rPr>
            </w:pPr>
          </w:p>
        </w:tc>
      </w:tr>
      <w:tr w14:paraId="2B6D06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noWrap w:val="0"/>
            <w:vAlign w:val="center"/>
          </w:tcPr>
          <w:p w14:paraId="48C09BA2">
            <w:pPr>
              <w:snapToGrid w:val="0"/>
              <w:spacing w:line="360" w:lineRule="auto"/>
              <w:rPr>
                <w:rFonts w:hint="eastAsia" w:ascii="宋体" w:hAnsi="宋体" w:cs="宋体"/>
                <w:color w:val="000000"/>
                <w:sz w:val="22"/>
                <w:szCs w:val="21"/>
              </w:rPr>
            </w:pPr>
          </w:p>
        </w:tc>
        <w:tc>
          <w:tcPr>
            <w:tcW w:w="1276" w:type="dxa"/>
            <w:noWrap w:val="0"/>
            <w:vAlign w:val="center"/>
          </w:tcPr>
          <w:p w14:paraId="5742AE75">
            <w:pPr>
              <w:snapToGrid w:val="0"/>
              <w:spacing w:line="360" w:lineRule="auto"/>
              <w:rPr>
                <w:rFonts w:hint="eastAsia" w:ascii="宋体" w:hAnsi="宋体" w:cs="宋体"/>
                <w:color w:val="000000"/>
                <w:sz w:val="22"/>
                <w:szCs w:val="21"/>
              </w:rPr>
            </w:pPr>
          </w:p>
        </w:tc>
        <w:tc>
          <w:tcPr>
            <w:tcW w:w="1082" w:type="dxa"/>
            <w:noWrap w:val="0"/>
            <w:vAlign w:val="center"/>
          </w:tcPr>
          <w:p w14:paraId="518E0633">
            <w:pPr>
              <w:snapToGrid w:val="0"/>
              <w:spacing w:line="360" w:lineRule="auto"/>
              <w:rPr>
                <w:rFonts w:hint="eastAsia" w:ascii="宋体" w:hAnsi="宋体" w:cs="宋体"/>
                <w:color w:val="000000"/>
                <w:sz w:val="22"/>
                <w:szCs w:val="21"/>
              </w:rPr>
            </w:pPr>
          </w:p>
        </w:tc>
        <w:tc>
          <w:tcPr>
            <w:tcW w:w="940" w:type="dxa"/>
            <w:noWrap w:val="0"/>
            <w:vAlign w:val="center"/>
          </w:tcPr>
          <w:p w14:paraId="4E56161B">
            <w:pPr>
              <w:snapToGrid w:val="0"/>
              <w:spacing w:line="360" w:lineRule="auto"/>
              <w:rPr>
                <w:rFonts w:hint="eastAsia" w:ascii="宋体" w:hAnsi="宋体" w:cs="宋体"/>
                <w:color w:val="000000"/>
                <w:sz w:val="22"/>
                <w:szCs w:val="21"/>
              </w:rPr>
            </w:pPr>
          </w:p>
        </w:tc>
        <w:tc>
          <w:tcPr>
            <w:tcW w:w="851" w:type="dxa"/>
            <w:noWrap w:val="0"/>
            <w:vAlign w:val="center"/>
          </w:tcPr>
          <w:p w14:paraId="48A48E38">
            <w:pPr>
              <w:snapToGrid w:val="0"/>
              <w:spacing w:line="360" w:lineRule="auto"/>
              <w:rPr>
                <w:rFonts w:hint="eastAsia" w:ascii="宋体" w:hAnsi="宋体" w:cs="宋体"/>
                <w:color w:val="000000"/>
                <w:sz w:val="22"/>
                <w:szCs w:val="21"/>
              </w:rPr>
            </w:pPr>
          </w:p>
        </w:tc>
        <w:tc>
          <w:tcPr>
            <w:tcW w:w="1044" w:type="dxa"/>
            <w:noWrap w:val="0"/>
            <w:vAlign w:val="center"/>
          </w:tcPr>
          <w:p w14:paraId="0709195A">
            <w:pPr>
              <w:snapToGrid w:val="0"/>
              <w:spacing w:line="360" w:lineRule="auto"/>
              <w:rPr>
                <w:rFonts w:hint="eastAsia" w:ascii="宋体" w:hAnsi="宋体" w:cs="宋体"/>
                <w:color w:val="000000"/>
                <w:sz w:val="22"/>
                <w:szCs w:val="21"/>
              </w:rPr>
            </w:pPr>
          </w:p>
        </w:tc>
        <w:tc>
          <w:tcPr>
            <w:tcW w:w="992" w:type="dxa"/>
            <w:noWrap w:val="0"/>
            <w:vAlign w:val="center"/>
          </w:tcPr>
          <w:p w14:paraId="63DC6AC9">
            <w:pPr>
              <w:snapToGrid w:val="0"/>
              <w:spacing w:line="360" w:lineRule="auto"/>
              <w:rPr>
                <w:rFonts w:hint="eastAsia" w:ascii="宋体" w:hAnsi="宋体" w:cs="宋体"/>
                <w:color w:val="000000"/>
                <w:sz w:val="22"/>
                <w:szCs w:val="21"/>
              </w:rPr>
            </w:pPr>
          </w:p>
        </w:tc>
        <w:tc>
          <w:tcPr>
            <w:tcW w:w="851" w:type="dxa"/>
            <w:noWrap w:val="0"/>
            <w:vAlign w:val="center"/>
          </w:tcPr>
          <w:p w14:paraId="05767BED">
            <w:pPr>
              <w:snapToGrid w:val="0"/>
              <w:spacing w:line="360" w:lineRule="auto"/>
              <w:rPr>
                <w:rFonts w:hint="eastAsia" w:ascii="宋体" w:hAnsi="宋体" w:cs="宋体"/>
                <w:color w:val="000000"/>
                <w:sz w:val="22"/>
                <w:szCs w:val="21"/>
              </w:rPr>
            </w:pPr>
          </w:p>
        </w:tc>
        <w:tc>
          <w:tcPr>
            <w:tcW w:w="966" w:type="dxa"/>
            <w:noWrap w:val="0"/>
            <w:vAlign w:val="center"/>
          </w:tcPr>
          <w:p w14:paraId="521D2477">
            <w:pPr>
              <w:snapToGrid w:val="0"/>
              <w:spacing w:line="360" w:lineRule="auto"/>
              <w:rPr>
                <w:rFonts w:hint="eastAsia" w:ascii="宋体" w:hAnsi="宋体" w:cs="宋体"/>
                <w:color w:val="000000"/>
                <w:sz w:val="22"/>
                <w:szCs w:val="21"/>
              </w:rPr>
            </w:pPr>
          </w:p>
        </w:tc>
        <w:tc>
          <w:tcPr>
            <w:tcW w:w="803" w:type="dxa"/>
            <w:noWrap w:val="0"/>
            <w:vAlign w:val="center"/>
          </w:tcPr>
          <w:p w14:paraId="65BE286F">
            <w:pPr>
              <w:snapToGrid w:val="0"/>
              <w:spacing w:line="360" w:lineRule="auto"/>
              <w:rPr>
                <w:rFonts w:hint="eastAsia" w:ascii="宋体" w:hAnsi="宋体" w:cs="宋体"/>
                <w:color w:val="000000"/>
                <w:sz w:val="22"/>
                <w:szCs w:val="21"/>
              </w:rPr>
            </w:pPr>
          </w:p>
        </w:tc>
      </w:tr>
      <w:tr w14:paraId="1B5CBA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bottom w:val="single" w:color="auto" w:sz="12" w:space="0"/>
            </w:tcBorders>
            <w:noWrap w:val="0"/>
            <w:vAlign w:val="center"/>
          </w:tcPr>
          <w:p w14:paraId="60501A89">
            <w:pPr>
              <w:snapToGrid w:val="0"/>
              <w:spacing w:line="360" w:lineRule="auto"/>
              <w:rPr>
                <w:rFonts w:hint="eastAsia" w:ascii="宋体" w:hAnsi="宋体" w:cs="宋体"/>
                <w:color w:val="000000"/>
                <w:sz w:val="22"/>
                <w:szCs w:val="21"/>
              </w:rPr>
            </w:pPr>
          </w:p>
        </w:tc>
        <w:tc>
          <w:tcPr>
            <w:tcW w:w="1276" w:type="dxa"/>
            <w:tcBorders>
              <w:bottom w:val="single" w:color="auto" w:sz="12" w:space="0"/>
            </w:tcBorders>
            <w:noWrap w:val="0"/>
            <w:vAlign w:val="center"/>
          </w:tcPr>
          <w:p w14:paraId="58834832">
            <w:pPr>
              <w:snapToGrid w:val="0"/>
              <w:spacing w:line="360" w:lineRule="auto"/>
              <w:rPr>
                <w:rFonts w:hint="eastAsia" w:ascii="宋体" w:hAnsi="宋体" w:cs="宋体"/>
                <w:color w:val="000000"/>
                <w:sz w:val="22"/>
                <w:szCs w:val="21"/>
              </w:rPr>
            </w:pPr>
          </w:p>
        </w:tc>
        <w:tc>
          <w:tcPr>
            <w:tcW w:w="1082" w:type="dxa"/>
            <w:tcBorders>
              <w:bottom w:val="single" w:color="auto" w:sz="12" w:space="0"/>
            </w:tcBorders>
            <w:noWrap w:val="0"/>
            <w:vAlign w:val="center"/>
          </w:tcPr>
          <w:p w14:paraId="3A718BB3">
            <w:pPr>
              <w:snapToGrid w:val="0"/>
              <w:spacing w:line="360" w:lineRule="auto"/>
              <w:rPr>
                <w:rFonts w:hint="eastAsia" w:ascii="宋体" w:hAnsi="宋体" w:cs="宋体"/>
                <w:color w:val="000000"/>
                <w:sz w:val="22"/>
                <w:szCs w:val="21"/>
              </w:rPr>
            </w:pPr>
          </w:p>
        </w:tc>
        <w:tc>
          <w:tcPr>
            <w:tcW w:w="940" w:type="dxa"/>
            <w:tcBorders>
              <w:bottom w:val="single" w:color="auto" w:sz="12" w:space="0"/>
            </w:tcBorders>
            <w:noWrap w:val="0"/>
            <w:vAlign w:val="center"/>
          </w:tcPr>
          <w:p w14:paraId="299319D6">
            <w:pPr>
              <w:snapToGrid w:val="0"/>
              <w:spacing w:line="360" w:lineRule="auto"/>
              <w:rPr>
                <w:rFonts w:hint="eastAsia" w:ascii="宋体" w:hAnsi="宋体" w:cs="宋体"/>
                <w:color w:val="000000"/>
                <w:sz w:val="22"/>
                <w:szCs w:val="21"/>
              </w:rPr>
            </w:pPr>
          </w:p>
        </w:tc>
        <w:tc>
          <w:tcPr>
            <w:tcW w:w="851" w:type="dxa"/>
            <w:tcBorders>
              <w:bottom w:val="single" w:color="auto" w:sz="12" w:space="0"/>
            </w:tcBorders>
            <w:noWrap w:val="0"/>
            <w:vAlign w:val="center"/>
          </w:tcPr>
          <w:p w14:paraId="3F8C004B">
            <w:pPr>
              <w:snapToGrid w:val="0"/>
              <w:spacing w:line="360" w:lineRule="auto"/>
              <w:rPr>
                <w:rFonts w:hint="eastAsia" w:ascii="宋体" w:hAnsi="宋体" w:cs="宋体"/>
                <w:color w:val="000000"/>
                <w:sz w:val="22"/>
                <w:szCs w:val="21"/>
              </w:rPr>
            </w:pPr>
          </w:p>
        </w:tc>
        <w:tc>
          <w:tcPr>
            <w:tcW w:w="1044" w:type="dxa"/>
            <w:tcBorders>
              <w:bottom w:val="single" w:color="auto" w:sz="12" w:space="0"/>
            </w:tcBorders>
            <w:noWrap w:val="0"/>
            <w:vAlign w:val="center"/>
          </w:tcPr>
          <w:p w14:paraId="01DF7C00">
            <w:pPr>
              <w:snapToGrid w:val="0"/>
              <w:spacing w:line="360" w:lineRule="auto"/>
              <w:rPr>
                <w:rFonts w:hint="eastAsia" w:ascii="宋体" w:hAnsi="宋体" w:cs="宋体"/>
                <w:color w:val="000000"/>
                <w:sz w:val="22"/>
                <w:szCs w:val="21"/>
              </w:rPr>
            </w:pPr>
          </w:p>
        </w:tc>
        <w:tc>
          <w:tcPr>
            <w:tcW w:w="992" w:type="dxa"/>
            <w:tcBorders>
              <w:bottom w:val="single" w:color="auto" w:sz="12" w:space="0"/>
            </w:tcBorders>
            <w:noWrap w:val="0"/>
            <w:vAlign w:val="center"/>
          </w:tcPr>
          <w:p w14:paraId="62070F81">
            <w:pPr>
              <w:snapToGrid w:val="0"/>
              <w:spacing w:line="360" w:lineRule="auto"/>
              <w:rPr>
                <w:rFonts w:hint="eastAsia" w:ascii="宋体" w:hAnsi="宋体" w:cs="宋体"/>
                <w:color w:val="000000"/>
                <w:sz w:val="22"/>
                <w:szCs w:val="21"/>
              </w:rPr>
            </w:pPr>
          </w:p>
        </w:tc>
        <w:tc>
          <w:tcPr>
            <w:tcW w:w="851" w:type="dxa"/>
            <w:tcBorders>
              <w:bottom w:val="single" w:color="auto" w:sz="12" w:space="0"/>
            </w:tcBorders>
            <w:noWrap w:val="0"/>
            <w:vAlign w:val="center"/>
          </w:tcPr>
          <w:p w14:paraId="180776BF">
            <w:pPr>
              <w:snapToGrid w:val="0"/>
              <w:spacing w:line="360" w:lineRule="auto"/>
              <w:rPr>
                <w:rFonts w:hint="eastAsia" w:ascii="宋体" w:hAnsi="宋体" w:cs="宋体"/>
                <w:color w:val="000000"/>
                <w:sz w:val="22"/>
                <w:szCs w:val="21"/>
              </w:rPr>
            </w:pPr>
          </w:p>
        </w:tc>
        <w:tc>
          <w:tcPr>
            <w:tcW w:w="966" w:type="dxa"/>
            <w:tcBorders>
              <w:bottom w:val="single" w:color="auto" w:sz="12" w:space="0"/>
            </w:tcBorders>
            <w:noWrap w:val="0"/>
            <w:vAlign w:val="center"/>
          </w:tcPr>
          <w:p w14:paraId="14D0E4B8">
            <w:pPr>
              <w:snapToGrid w:val="0"/>
              <w:spacing w:line="360" w:lineRule="auto"/>
              <w:rPr>
                <w:rFonts w:hint="eastAsia" w:ascii="宋体" w:hAnsi="宋体" w:cs="宋体"/>
                <w:color w:val="000000"/>
                <w:sz w:val="22"/>
                <w:szCs w:val="21"/>
              </w:rPr>
            </w:pPr>
          </w:p>
        </w:tc>
        <w:tc>
          <w:tcPr>
            <w:tcW w:w="803" w:type="dxa"/>
            <w:tcBorders>
              <w:bottom w:val="single" w:color="auto" w:sz="12" w:space="0"/>
            </w:tcBorders>
            <w:noWrap w:val="0"/>
            <w:vAlign w:val="center"/>
          </w:tcPr>
          <w:p w14:paraId="15870F20">
            <w:pPr>
              <w:snapToGrid w:val="0"/>
              <w:spacing w:line="360" w:lineRule="auto"/>
              <w:rPr>
                <w:rFonts w:hint="eastAsia" w:ascii="宋体" w:hAnsi="宋体" w:cs="宋体"/>
                <w:color w:val="000000"/>
                <w:sz w:val="22"/>
                <w:szCs w:val="21"/>
              </w:rPr>
            </w:pPr>
          </w:p>
        </w:tc>
      </w:tr>
    </w:tbl>
    <w:p w14:paraId="41156AFE">
      <w:pPr>
        <w:pStyle w:val="2"/>
        <w:rPr>
          <w:rFonts w:hint="eastAsia"/>
        </w:rPr>
      </w:pPr>
    </w:p>
    <w:p w14:paraId="63658383">
      <w:pPr>
        <w:rPr>
          <w:rFonts w:hint="eastAsia"/>
        </w:rPr>
      </w:pPr>
    </w:p>
    <w:p w14:paraId="668911F2">
      <w:pPr>
        <w:pStyle w:val="2"/>
        <w:rPr>
          <w:rFonts w:hint="eastAsia"/>
        </w:rPr>
      </w:pPr>
    </w:p>
    <w:p w14:paraId="346A727E">
      <w:pPr>
        <w:rPr>
          <w:rFonts w:hint="eastAsia"/>
        </w:rPr>
      </w:pPr>
    </w:p>
    <w:p w14:paraId="1C5B9316">
      <w:pPr>
        <w:pStyle w:val="2"/>
        <w:rPr>
          <w:rFonts w:hint="eastAsia"/>
        </w:rPr>
      </w:pPr>
    </w:p>
    <w:p w14:paraId="6CEDC117">
      <w:pPr>
        <w:rPr>
          <w:rFonts w:hint="eastAsia"/>
        </w:rPr>
      </w:pPr>
    </w:p>
    <w:p w14:paraId="60FA8106">
      <w:pPr>
        <w:pStyle w:val="2"/>
        <w:rPr>
          <w:rFonts w:hint="eastAsia"/>
        </w:rPr>
      </w:pPr>
    </w:p>
    <w:p w14:paraId="750E2ED4">
      <w:pPr>
        <w:rPr>
          <w:rFonts w:hint="eastAsia"/>
        </w:rPr>
      </w:pPr>
    </w:p>
    <w:p w14:paraId="7B7E6C0E">
      <w:pPr>
        <w:pStyle w:val="2"/>
        <w:rPr>
          <w:rFonts w:hint="eastAsia"/>
        </w:rPr>
      </w:pPr>
    </w:p>
    <w:p w14:paraId="5690D59A">
      <w:pPr>
        <w:rPr>
          <w:rFonts w:hint="eastAsia"/>
        </w:rPr>
      </w:pPr>
    </w:p>
    <w:p w14:paraId="609DECB3">
      <w:pPr>
        <w:pStyle w:val="2"/>
        <w:rPr>
          <w:rFonts w:hint="eastAsia"/>
        </w:rPr>
      </w:pPr>
    </w:p>
    <w:p w14:paraId="6D713AB3">
      <w:pPr>
        <w:pStyle w:val="2"/>
        <w:rPr>
          <w:rFonts w:hint="eastAsia"/>
          <w:color w:val="000000"/>
        </w:rPr>
      </w:pPr>
    </w:p>
    <w:p w14:paraId="2BFFADDB">
      <w:pPr>
        <w:rPr>
          <w:rFonts w:hint="eastAsia"/>
          <w:color w:val="000000"/>
        </w:rPr>
      </w:pPr>
    </w:p>
    <w:p w14:paraId="5A3C4779">
      <w:pPr>
        <w:pStyle w:val="2"/>
        <w:rPr>
          <w:rFonts w:hint="eastAsia"/>
          <w:color w:val="000000"/>
        </w:rPr>
      </w:pPr>
    </w:p>
    <w:p w14:paraId="352A613F">
      <w:pPr>
        <w:keepNext/>
        <w:keepLines/>
        <w:spacing w:before="120" w:after="120" w:line="360" w:lineRule="auto"/>
        <w:jc w:val="left"/>
        <w:outlineLvl w:val="2"/>
        <w:rPr>
          <w:rFonts w:ascii="宋体" w:hAnsi="宋体" w:cs="宋体"/>
          <w:bCs/>
          <w:color w:val="000000"/>
          <w:sz w:val="24"/>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869" w:name="_Toc95223488"/>
    </w:p>
    <w:p w14:paraId="419682F1">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t>附件3：工程质量保修书</w:t>
      </w:r>
      <w:bookmarkEnd w:id="869"/>
    </w:p>
    <w:p w14:paraId="0127F340">
      <w:pPr>
        <w:adjustRightInd w:val="0"/>
        <w:snapToGrid w:val="0"/>
        <w:spacing w:before="120" w:beforeLines="50" w:after="120" w:afterLines="50" w:line="360" w:lineRule="auto"/>
        <w:jc w:val="center"/>
        <w:rPr>
          <w:rFonts w:hint="eastAsia" w:ascii="宋体" w:hAnsi="宋体" w:cs="宋体"/>
          <w:b/>
          <w:color w:val="000000"/>
          <w:sz w:val="24"/>
        </w:rPr>
      </w:pPr>
      <w:r>
        <w:rPr>
          <w:rFonts w:hint="eastAsia" w:ascii="宋体" w:hAnsi="宋体" w:cs="宋体"/>
          <w:b/>
          <w:color w:val="000000"/>
          <w:sz w:val="24"/>
        </w:rPr>
        <w:t>工程质量保修书</w:t>
      </w:r>
    </w:p>
    <w:p w14:paraId="7B8E252D">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发包人（全称）：</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05267EBF">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承包人（全称）：</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3397245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发包人和承包人</w:t>
      </w:r>
      <w:r>
        <w:rPr>
          <w:rFonts w:hint="eastAsia" w:ascii="宋体" w:hAnsi="宋体" w:cs="宋体"/>
          <w:color w:val="000000"/>
          <w:sz w:val="21"/>
          <w:szCs w:val="21"/>
        </w:rPr>
        <w:t>根据《中华人民共和国建筑法》和《建设工程质量管理条例》，经协</w:t>
      </w:r>
      <w:r>
        <w:rPr>
          <w:rFonts w:hint="eastAsia" w:ascii="宋体" w:hAnsi="宋体" w:cs="宋体"/>
          <w:color w:val="000000"/>
          <w:szCs w:val="21"/>
        </w:rPr>
        <w:t>商一致就_______________（工程全称）签订工程质量保修书。</w:t>
      </w:r>
    </w:p>
    <w:p w14:paraId="448EE0A1">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一、工程质量保修范围和内容</w:t>
      </w:r>
    </w:p>
    <w:p w14:paraId="320ED7F3">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按照《建设工程质量管理条例》及有关法律、法规、规章的管理规定，双方约定由施工单位在质量保修期内，承担本工程的质量保修责任。</w:t>
      </w:r>
    </w:p>
    <w:p w14:paraId="0E937D3C">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质量保修范围和内容：______________________。</w:t>
      </w:r>
      <w:r>
        <w:rPr>
          <w:rFonts w:hint="eastAsia" w:ascii="宋体" w:hAnsi="宋体" w:cs="宋体"/>
          <w:bCs/>
          <w:color w:val="auto"/>
          <w:kern w:val="0"/>
          <w:position w:val="6"/>
          <w:szCs w:val="21"/>
          <w:highlight w:val="none"/>
        </w:rPr>
        <w:t>因不可抗力或使用不当造成的质量缺陷，不属保修范围。</w:t>
      </w:r>
    </w:p>
    <w:p w14:paraId="43C4015C">
      <w:pPr>
        <w:adjustRightInd w:val="0"/>
        <w:snapToGrid w:val="0"/>
        <w:spacing w:line="360" w:lineRule="auto"/>
        <w:ind w:firstLine="413" w:firstLineChars="196"/>
        <w:rPr>
          <w:rFonts w:hint="eastAsia" w:ascii="宋体" w:hAnsi="宋体" w:cs="宋体"/>
          <w:b/>
          <w:color w:val="000000"/>
          <w:szCs w:val="21"/>
        </w:rPr>
      </w:pPr>
      <w:r>
        <w:rPr>
          <w:rFonts w:hint="eastAsia" w:ascii="宋体" w:hAnsi="宋体" w:cs="宋体"/>
          <w:b/>
          <w:color w:val="000000"/>
          <w:szCs w:val="21"/>
        </w:rPr>
        <w:t>二、质量保修期</w:t>
      </w:r>
    </w:p>
    <w:p w14:paraId="7609B69B">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根据《建设工程质量管理条例》及有关规定，工程的质量保修期如下：</w:t>
      </w:r>
    </w:p>
    <w:p w14:paraId="7D9830D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 地基基础工程和主体结构工程为设计文件规定的工程合理使用年限；</w:t>
      </w:r>
    </w:p>
    <w:p w14:paraId="7DFA8CF3">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 屋面防水工程、有防水要求的卫生间、房间和外墙面的防渗为</w:t>
      </w:r>
      <w:r>
        <w:rPr>
          <w:rFonts w:hint="eastAsia" w:ascii="宋体" w:hAnsi="宋体" w:cs="宋体"/>
          <w:color w:val="000000"/>
          <w:szCs w:val="21"/>
          <w:u w:val="single"/>
        </w:rPr>
        <w:t>5</w:t>
      </w:r>
      <w:r>
        <w:rPr>
          <w:rFonts w:hint="eastAsia" w:ascii="宋体" w:hAnsi="宋体" w:cs="宋体"/>
          <w:color w:val="000000"/>
          <w:szCs w:val="21"/>
        </w:rPr>
        <w:t>年；</w:t>
      </w:r>
    </w:p>
    <w:p w14:paraId="30637002">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 装修工程为</w:t>
      </w:r>
      <w:r>
        <w:rPr>
          <w:rFonts w:hint="eastAsia" w:ascii="宋体" w:hAnsi="宋体" w:cs="宋体"/>
          <w:color w:val="000000"/>
          <w:szCs w:val="21"/>
          <w:u w:val="single"/>
        </w:rPr>
        <w:t>2</w:t>
      </w:r>
      <w:r>
        <w:rPr>
          <w:rFonts w:hint="eastAsia" w:ascii="宋体" w:hAnsi="宋体" w:cs="宋体"/>
          <w:color w:val="000000"/>
          <w:szCs w:val="21"/>
        </w:rPr>
        <w:t>年；</w:t>
      </w:r>
    </w:p>
    <w:p w14:paraId="4B971FBB">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 电气管线、给排水管道、设备安装工程为</w:t>
      </w:r>
      <w:r>
        <w:rPr>
          <w:rFonts w:hint="eastAsia" w:ascii="宋体" w:hAnsi="宋体" w:cs="宋体"/>
          <w:color w:val="000000"/>
          <w:szCs w:val="21"/>
          <w:u w:val="single"/>
        </w:rPr>
        <w:t>2</w:t>
      </w:r>
      <w:r>
        <w:rPr>
          <w:rFonts w:hint="eastAsia" w:ascii="宋体" w:hAnsi="宋体" w:cs="宋体"/>
          <w:color w:val="000000"/>
          <w:szCs w:val="21"/>
        </w:rPr>
        <w:t>年；</w:t>
      </w:r>
    </w:p>
    <w:p w14:paraId="3470489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 供热与供冷系统为</w:t>
      </w:r>
      <w:r>
        <w:rPr>
          <w:rFonts w:hint="eastAsia" w:ascii="宋体" w:hAnsi="宋体" w:cs="宋体"/>
          <w:color w:val="000000"/>
          <w:szCs w:val="21"/>
          <w:u w:val="single"/>
        </w:rPr>
        <w:t>2</w:t>
      </w:r>
      <w:r>
        <w:rPr>
          <w:rFonts w:hint="eastAsia" w:ascii="宋体" w:hAnsi="宋体" w:cs="宋体"/>
          <w:color w:val="000000"/>
          <w:szCs w:val="21"/>
        </w:rPr>
        <w:t>个采暖期、供冷期；</w:t>
      </w:r>
    </w:p>
    <w:p w14:paraId="5B0EB713">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 住宅小区内的给排水设施、道路等配套工程为</w:t>
      </w:r>
      <w:r>
        <w:rPr>
          <w:rFonts w:hint="eastAsia" w:ascii="宋体" w:hAnsi="宋体" w:cs="宋体"/>
          <w:color w:val="000000"/>
          <w:szCs w:val="21"/>
          <w:u w:val="single"/>
        </w:rPr>
        <w:t>2</w:t>
      </w:r>
      <w:r>
        <w:rPr>
          <w:rFonts w:hint="eastAsia" w:ascii="宋体" w:hAnsi="宋体" w:cs="宋体"/>
          <w:color w:val="000000"/>
          <w:szCs w:val="21"/>
        </w:rPr>
        <w:t>年；</w:t>
      </w:r>
    </w:p>
    <w:p w14:paraId="420966F0">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 其他项目保修期限约定如下：</w:t>
      </w:r>
      <w:r>
        <w:rPr>
          <w:rFonts w:hint="eastAsia" w:ascii="宋体" w:hAnsi="宋体" w:cs="宋体"/>
          <w:color w:val="000000"/>
          <w:szCs w:val="21"/>
          <w:u w:val="single"/>
        </w:rPr>
        <w:t>保温工程5年</w:t>
      </w:r>
      <w:r>
        <w:rPr>
          <w:rFonts w:hint="eastAsia" w:ascii="宋体" w:hAnsi="宋体" w:cs="宋体"/>
          <w:color w:val="000000"/>
          <w:szCs w:val="21"/>
        </w:rPr>
        <w:t>。</w:t>
      </w:r>
    </w:p>
    <w:p w14:paraId="77FA1684">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质量保修期自工程竣工验收合格之日起计算。</w:t>
      </w:r>
    </w:p>
    <w:p w14:paraId="01B011B4">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三、缺陷责任期</w:t>
      </w:r>
    </w:p>
    <w:p w14:paraId="15844076">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工程缺陷责任期</w:t>
      </w:r>
      <w:r>
        <w:rPr>
          <w:rFonts w:hint="eastAsia" w:ascii="宋体" w:hAnsi="宋体" w:cs="宋体"/>
          <w:color w:val="000000"/>
          <w:szCs w:val="21"/>
          <w:highlight w:val="none"/>
        </w:rPr>
        <w:t>为</w:t>
      </w:r>
      <w:r>
        <w:rPr>
          <w:rFonts w:hint="eastAsia" w:ascii="宋体" w:hAnsi="宋体" w:cs="宋体"/>
          <w:color w:val="000000"/>
          <w:szCs w:val="21"/>
          <w:highlight w:val="none"/>
          <w:u w:val="single"/>
          <w:lang w:val="en-US" w:eastAsia="zh-CN"/>
        </w:rPr>
        <w:t>2年</w:t>
      </w:r>
      <w:r>
        <w:rPr>
          <w:rFonts w:hint="eastAsia" w:ascii="宋体" w:hAnsi="宋体" w:cs="宋体"/>
          <w:color w:val="000000"/>
          <w:szCs w:val="21"/>
          <w:highlight w:val="none"/>
        </w:rPr>
        <w:t>，缺</w:t>
      </w:r>
      <w:r>
        <w:rPr>
          <w:rFonts w:hint="eastAsia" w:ascii="宋体" w:hAnsi="宋体" w:cs="宋体"/>
          <w:color w:val="000000"/>
          <w:szCs w:val="21"/>
        </w:rPr>
        <w:t>陷责任期自工程竣工验收合格之日起计算。单位工程先于全部工程进行验收，单位工程缺陷责任期自单位工程验收合格之日起算。</w:t>
      </w:r>
    </w:p>
    <w:p w14:paraId="5A7CA20B">
      <w:pPr>
        <w:adjustRightInd w:val="0"/>
        <w:snapToGrid w:val="0"/>
        <w:spacing w:line="360" w:lineRule="auto"/>
        <w:ind w:firstLine="420" w:firstLineChars="200"/>
        <w:rPr>
          <w:rFonts w:hint="eastAsia" w:ascii="宋体" w:hAnsi="宋体" w:cs="宋体"/>
          <w:b/>
          <w:color w:val="000000"/>
          <w:szCs w:val="21"/>
        </w:rPr>
      </w:pPr>
      <w:r>
        <w:rPr>
          <w:rFonts w:hint="eastAsia" w:ascii="宋体" w:hAnsi="宋体" w:cs="宋体"/>
          <w:color w:val="000000"/>
          <w:szCs w:val="21"/>
        </w:rPr>
        <w:t>缺陷责任期终止后，发包人应退还剩余的质量保证金。</w:t>
      </w:r>
    </w:p>
    <w:p w14:paraId="1347A9FD">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四、质量保修责任</w:t>
      </w:r>
    </w:p>
    <w:p w14:paraId="292EC824">
      <w:pPr>
        <w:adjustRightInd w:val="0"/>
        <w:snapToGrid w:val="0"/>
        <w:spacing w:line="360" w:lineRule="auto"/>
        <w:ind w:firstLine="430" w:firstLineChars="205"/>
        <w:rPr>
          <w:rFonts w:hint="eastAsia" w:ascii="宋体" w:hAnsi="宋体" w:cs="宋体"/>
          <w:color w:val="000000"/>
          <w:szCs w:val="21"/>
        </w:rPr>
      </w:pPr>
      <w:r>
        <w:rPr>
          <w:rFonts w:hint="eastAsia" w:ascii="宋体" w:hAnsi="宋体" w:cs="宋体"/>
          <w:color w:val="000000"/>
          <w:szCs w:val="21"/>
        </w:rPr>
        <w:t>1. 属于保修范围、内容的项目，承包人应当在接到保修通知之日起7天内派人保修。承包人不在约定期限内派人保修的，发包人可以委托他人修理。</w:t>
      </w:r>
    </w:p>
    <w:p w14:paraId="6F2D721B">
      <w:pPr>
        <w:adjustRightInd w:val="0"/>
        <w:snapToGrid w:val="0"/>
        <w:spacing w:line="360" w:lineRule="auto"/>
        <w:ind w:firstLine="430" w:firstLineChars="205"/>
        <w:rPr>
          <w:rFonts w:hint="eastAsia" w:ascii="宋体" w:hAnsi="宋体" w:cs="宋体"/>
          <w:color w:val="000000"/>
          <w:szCs w:val="21"/>
        </w:rPr>
      </w:pPr>
      <w:r>
        <w:rPr>
          <w:rFonts w:hint="eastAsia" w:ascii="宋体" w:hAnsi="宋体" w:cs="宋体"/>
          <w:color w:val="000000"/>
          <w:szCs w:val="21"/>
        </w:rPr>
        <w:t>2. 发生紧急事故需抢修的，承包人在接到事故通知后，应当立即到达事故现场抢修。</w:t>
      </w:r>
    </w:p>
    <w:p w14:paraId="7242503E">
      <w:pPr>
        <w:adjustRightInd w:val="0"/>
        <w:snapToGrid w:val="0"/>
        <w:spacing w:line="360" w:lineRule="auto"/>
        <w:ind w:firstLine="430" w:firstLineChars="205"/>
        <w:rPr>
          <w:rFonts w:hint="eastAsia" w:ascii="宋体" w:hAnsi="宋体" w:cs="宋体"/>
          <w:color w:val="000000"/>
          <w:szCs w:val="21"/>
        </w:rPr>
      </w:pPr>
      <w:r>
        <w:rPr>
          <w:rFonts w:hint="eastAsia" w:ascii="宋体" w:hAnsi="宋体" w:cs="宋体"/>
          <w:color w:val="000000"/>
          <w:szCs w:val="21"/>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BB4FBC8">
      <w:pPr>
        <w:adjustRightInd w:val="0"/>
        <w:snapToGrid w:val="0"/>
        <w:spacing w:line="360" w:lineRule="auto"/>
        <w:ind w:firstLine="430" w:firstLineChars="205"/>
        <w:rPr>
          <w:rFonts w:hint="eastAsia" w:ascii="宋体" w:hAnsi="宋体" w:cs="宋体"/>
          <w:color w:val="000000"/>
          <w:szCs w:val="21"/>
        </w:rPr>
      </w:pPr>
      <w:r>
        <w:rPr>
          <w:rFonts w:hint="eastAsia" w:ascii="宋体" w:hAnsi="宋体" w:cs="宋体"/>
          <w:color w:val="000000"/>
          <w:szCs w:val="21"/>
        </w:rPr>
        <w:t>4. 质量保修完成后，由发包人组织验收。</w:t>
      </w:r>
    </w:p>
    <w:p w14:paraId="19643CE4">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五、保修费用</w:t>
      </w:r>
    </w:p>
    <w:p w14:paraId="3485A8F3">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保修费用由造成质量缺陷的责任方承担。</w:t>
      </w:r>
    </w:p>
    <w:p w14:paraId="688608C1">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六、双方约定的其他工程质量保修事项：</w:t>
      </w:r>
      <w:r>
        <w:rPr>
          <w:rFonts w:hint="eastAsia" w:ascii="宋体" w:hAnsi="宋体" w:cs="宋体"/>
          <w:b/>
          <w:color w:val="000000"/>
          <w:szCs w:val="21"/>
          <w:u w:val="single"/>
        </w:rPr>
        <w:t xml:space="preserve">             </w:t>
      </w:r>
      <w:r>
        <w:rPr>
          <w:rFonts w:hint="eastAsia" w:ascii="宋体" w:hAnsi="宋体" w:cs="宋体"/>
          <w:b/>
          <w:color w:val="000000"/>
          <w:szCs w:val="21"/>
        </w:rPr>
        <w:t>。</w:t>
      </w:r>
    </w:p>
    <w:p w14:paraId="7587D0B7">
      <w:pPr>
        <w:adjustRightInd w:val="0"/>
        <w:snapToGrid w:val="0"/>
        <w:spacing w:line="360" w:lineRule="auto"/>
        <w:ind w:firstLine="399" w:firstLineChars="190"/>
        <w:rPr>
          <w:rFonts w:hint="eastAsia" w:ascii="宋体" w:hAnsi="宋体" w:cs="宋体"/>
          <w:color w:val="000000"/>
          <w:szCs w:val="21"/>
        </w:rPr>
      </w:pPr>
      <w:r>
        <w:rPr>
          <w:rFonts w:hint="eastAsia" w:ascii="宋体" w:hAnsi="宋体" w:cs="宋体"/>
          <w:color w:val="000000"/>
          <w:szCs w:val="21"/>
        </w:rPr>
        <w:t>工程质量保修书由发包人、承包人在工程竣工验收前共同签署，作为施工合同附件，其有效期限至保修期满。</w:t>
      </w:r>
    </w:p>
    <w:p w14:paraId="358A67C8">
      <w:pPr>
        <w:adjustRightInd w:val="0"/>
        <w:snapToGrid w:val="0"/>
        <w:spacing w:line="360" w:lineRule="auto"/>
        <w:ind w:firstLine="420"/>
        <w:rPr>
          <w:rFonts w:hint="eastAsia" w:ascii="宋体" w:hAnsi="宋体" w:cs="宋体"/>
          <w:color w:val="000000"/>
          <w:szCs w:val="21"/>
        </w:rPr>
      </w:pPr>
    </w:p>
    <w:p w14:paraId="36076C49">
      <w:pPr>
        <w:adjustRightInd w:val="0"/>
        <w:snapToGrid w:val="0"/>
        <w:spacing w:line="360" w:lineRule="auto"/>
        <w:ind w:firstLine="420"/>
        <w:rPr>
          <w:rFonts w:hint="eastAsia" w:ascii="宋体" w:hAnsi="宋体" w:cs="宋体"/>
          <w:color w:val="000000"/>
          <w:szCs w:val="21"/>
        </w:rPr>
      </w:pPr>
    </w:p>
    <w:p w14:paraId="3696E431">
      <w:pPr>
        <w:adjustRightInd w:val="0"/>
        <w:snapToGrid w:val="0"/>
        <w:spacing w:line="360" w:lineRule="auto"/>
        <w:rPr>
          <w:rFonts w:hint="eastAsia" w:ascii="宋体" w:hAnsi="宋体" w:cs="宋体"/>
          <w:color w:val="000000"/>
          <w:szCs w:val="21"/>
          <w:u w:val="single"/>
        </w:rPr>
      </w:pPr>
      <w:r>
        <w:rPr>
          <w:rFonts w:hint="eastAsia" w:ascii="宋体" w:hAnsi="宋体" w:cs="宋体"/>
          <w:color w:val="000000"/>
          <w:szCs w:val="21"/>
        </w:rPr>
        <w:t>发包人(公章)：</w:t>
      </w:r>
      <w:r>
        <w:rPr>
          <w:rFonts w:hint="eastAsia" w:ascii="宋体" w:hAnsi="宋体" w:cs="宋体"/>
          <w:color w:val="000000"/>
          <w:szCs w:val="21"/>
          <w:u w:val="single"/>
        </w:rPr>
        <w:t xml:space="preserve">            </w:t>
      </w:r>
      <w:r>
        <w:rPr>
          <w:rFonts w:hint="eastAsia" w:ascii="宋体" w:hAnsi="宋体" w:cs="宋体"/>
          <w:color w:val="000000"/>
          <w:szCs w:val="21"/>
        </w:rPr>
        <w:t xml:space="preserve">                     承包人(公章)：</w:t>
      </w:r>
      <w:r>
        <w:rPr>
          <w:rFonts w:hint="eastAsia" w:ascii="宋体" w:hAnsi="宋体" w:cs="宋体"/>
          <w:color w:val="000000"/>
          <w:szCs w:val="21"/>
          <w:u w:val="single"/>
        </w:rPr>
        <w:t xml:space="preserve">           </w:t>
      </w:r>
    </w:p>
    <w:p w14:paraId="7B28FFC8">
      <w:pPr>
        <w:adjustRightInd w:val="0"/>
        <w:snapToGrid w:val="0"/>
        <w:spacing w:line="360" w:lineRule="auto"/>
        <w:rPr>
          <w:rFonts w:hint="eastAsia" w:ascii="宋体" w:hAnsi="宋体" w:cs="宋体"/>
          <w:color w:val="000000"/>
          <w:szCs w:val="21"/>
          <w:u w:val="single"/>
        </w:rPr>
      </w:pPr>
      <w:r>
        <w:rPr>
          <w:rFonts w:hint="eastAsia" w:ascii="宋体" w:hAnsi="宋体" w:cs="宋体"/>
          <w:color w:val="000000"/>
          <w:szCs w:val="21"/>
        </w:rPr>
        <w:t>地  址：</w:t>
      </w:r>
      <w:r>
        <w:rPr>
          <w:rFonts w:hint="eastAsia" w:ascii="宋体" w:hAnsi="宋体" w:cs="宋体"/>
          <w:color w:val="000000"/>
          <w:szCs w:val="21"/>
          <w:u w:val="single"/>
        </w:rPr>
        <w:t xml:space="preserve">                    </w:t>
      </w:r>
      <w:r>
        <w:rPr>
          <w:rFonts w:hint="eastAsia" w:ascii="宋体" w:hAnsi="宋体" w:cs="宋体"/>
          <w:color w:val="000000"/>
          <w:szCs w:val="21"/>
        </w:rPr>
        <w:t xml:space="preserve">                      地  址：</w:t>
      </w:r>
      <w:r>
        <w:rPr>
          <w:rFonts w:hint="eastAsia" w:ascii="宋体" w:hAnsi="宋体" w:cs="宋体"/>
          <w:color w:val="000000"/>
          <w:szCs w:val="21"/>
          <w:u w:val="single"/>
        </w:rPr>
        <w:t xml:space="preserve">                    </w:t>
      </w:r>
    </w:p>
    <w:p w14:paraId="4CA84289">
      <w:pPr>
        <w:adjustRightInd w:val="0"/>
        <w:snapToGrid w:val="0"/>
        <w:spacing w:line="360" w:lineRule="auto"/>
        <w:rPr>
          <w:rFonts w:hint="eastAsia" w:ascii="宋体" w:hAnsi="宋体" w:cs="宋体"/>
          <w:color w:val="000000"/>
          <w:szCs w:val="21"/>
          <w:u w:val="single"/>
        </w:rPr>
      </w:pPr>
      <w:r>
        <w:rPr>
          <w:rFonts w:hint="eastAsia" w:ascii="宋体" w:hAnsi="宋体" w:cs="宋体"/>
          <w:color w:val="000000"/>
          <w:szCs w:val="21"/>
        </w:rPr>
        <w:t>法定代表人(签字)：</w:t>
      </w:r>
      <w:r>
        <w:rPr>
          <w:rFonts w:hint="eastAsia" w:ascii="宋体" w:hAnsi="宋体" w:cs="宋体"/>
          <w:color w:val="000000"/>
          <w:szCs w:val="21"/>
          <w:u w:val="single"/>
        </w:rPr>
        <w:t xml:space="preserve">          </w:t>
      </w:r>
      <w:r>
        <w:rPr>
          <w:rFonts w:hint="eastAsia" w:ascii="宋体" w:hAnsi="宋体" w:cs="宋体"/>
          <w:color w:val="000000"/>
          <w:szCs w:val="21"/>
        </w:rPr>
        <w:t xml:space="preserve">                     法定代表人(签字)：</w:t>
      </w:r>
      <w:r>
        <w:rPr>
          <w:rFonts w:hint="eastAsia" w:ascii="宋体" w:hAnsi="宋体" w:cs="宋体"/>
          <w:color w:val="000000"/>
          <w:szCs w:val="21"/>
          <w:u w:val="single"/>
        </w:rPr>
        <w:t xml:space="preserve">           </w:t>
      </w:r>
    </w:p>
    <w:p w14:paraId="0ABD84DA">
      <w:pPr>
        <w:adjustRightInd w:val="0"/>
        <w:snapToGrid w:val="0"/>
        <w:spacing w:line="360" w:lineRule="auto"/>
        <w:rPr>
          <w:rFonts w:hint="eastAsia" w:ascii="宋体" w:hAnsi="宋体" w:cs="宋体"/>
          <w:color w:val="000000"/>
          <w:szCs w:val="21"/>
          <w:u w:val="single"/>
        </w:rPr>
      </w:pPr>
      <w:r>
        <w:rPr>
          <w:rFonts w:hint="eastAsia" w:ascii="宋体" w:hAnsi="宋体" w:cs="宋体"/>
          <w:color w:val="000000"/>
          <w:szCs w:val="21"/>
        </w:rPr>
        <w:t>委托代理人(签字)：</w:t>
      </w:r>
      <w:r>
        <w:rPr>
          <w:rFonts w:hint="eastAsia" w:ascii="宋体" w:hAnsi="宋体" w:cs="宋体"/>
          <w:color w:val="000000"/>
          <w:szCs w:val="21"/>
          <w:u w:val="single"/>
        </w:rPr>
        <w:t xml:space="preserve">         </w:t>
      </w:r>
      <w:r>
        <w:rPr>
          <w:rFonts w:hint="eastAsia" w:ascii="宋体" w:hAnsi="宋体" w:cs="宋体"/>
          <w:color w:val="000000"/>
          <w:szCs w:val="21"/>
        </w:rPr>
        <w:t xml:space="preserve">                      委托代理人(签字)：</w:t>
      </w:r>
      <w:r>
        <w:rPr>
          <w:rFonts w:hint="eastAsia" w:ascii="宋体" w:hAnsi="宋体" w:cs="宋体"/>
          <w:color w:val="000000"/>
          <w:szCs w:val="21"/>
          <w:u w:val="single"/>
        </w:rPr>
        <w:t xml:space="preserve">            </w:t>
      </w:r>
    </w:p>
    <w:p w14:paraId="0B4950E9">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电  话：</w:t>
      </w:r>
      <w:r>
        <w:rPr>
          <w:rFonts w:hint="eastAsia" w:ascii="宋体" w:hAnsi="宋体" w:cs="宋体"/>
          <w:color w:val="000000"/>
          <w:szCs w:val="21"/>
          <w:u w:val="single"/>
        </w:rPr>
        <w:t xml:space="preserve">                   </w:t>
      </w:r>
      <w:r>
        <w:rPr>
          <w:rFonts w:hint="eastAsia" w:ascii="宋体" w:hAnsi="宋体" w:cs="宋体"/>
          <w:color w:val="000000"/>
          <w:szCs w:val="21"/>
        </w:rPr>
        <w:t xml:space="preserve">                      电  话：</w:t>
      </w:r>
      <w:r>
        <w:rPr>
          <w:rFonts w:hint="eastAsia" w:ascii="宋体" w:hAnsi="宋体" w:cs="宋体"/>
          <w:color w:val="000000"/>
          <w:szCs w:val="21"/>
          <w:u w:val="single"/>
        </w:rPr>
        <w:t xml:space="preserve">                     </w:t>
      </w:r>
    </w:p>
    <w:p w14:paraId="48DAA545">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传  真：</w:t>
      </w:r>
      <w:r>
        <w:rPr>
          <w:rFonts w:hint="eastAsia" w:ascii="宋体" w:hAnsi="宋体" w:cs="宋体"/>
          <w:color w:val="000000"/>
          <w:szCs w:val="21"/>
          <w:u w:val="single"/>
        </w:rPr>
        <w:t xml:space="preserve">                   </w:t>
      </w:r>
      <w:r>
        <w:rPr>
          <w:rFonts w:hint="eastAsia" w:ascii="宋体" w:hAnsi="宋体" w:cs="宋体"/>
          <w:color w:val="000000"/>
          <w:szCs w:val="21"/>
        </w:rPr>
        <w:t xml:space="preserve">                      传  真：</w:t>
      </w:r>
      <w:r>
        <w:rPr>
          <w:rFonts w:hint="eastAsia" w:ascii="宋体" w:hAnsi="宋体" w:cs="宋体"/>
          <w:color w:val="000000"/>
          <w:szCs w:val="21"/>
          <w:u w:val="single"/>
        </w:rPr>
        <w:t xml:space="preserve">                   </w:t>
      </w:r>
    </w:p>
    <w:p w14:paraId="6C3B7129">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开户银行：</w:t>
      </w:r>
      <w:r>
        <w:rPr>
          <w:rFonts w:hint="eastAsia" w:ascii="宋体" w:hAnsi="宋体" w:cs="宋体"/>
          <w:color w:val="000000"/>
          <w:szCs w:val="21"/>
          <w:u w:val="single"/>
        </w:rPr>
        <w:t xml:space="preserve">                 </w:t>
      </w:r>
      <w:r>
        <w:rPr>
          <w:rFonts w:hint="eastAsia" w:ascii="宋体" w:hAnsi="宋体" w:cs="宋体"/>
          <w:color w:val="000000"/>
          <w:szCs w:val="21"/>
        </w:rPr>
        <w:t xml:space="preserve">                      开户银行：</w:t>
      </w:r>
      <w:r>
        <w:rPr>
          <w:rFonts w:hint="eastAsia" w:ascii="宋体" w:hAnsi="宋体" w:cs="宋体"/>
          <w:color w:val="000000"/>
          <w:szCs w:val="21"/>
          <w:u w:val="single"/>
        </w:rPr>
        <w:t xml:space="preserve">                   </w:t>
      </w:r>
    </w:p>
    <w:p w14:paraId="35F49A6E">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账  号：</w:t>
      </w:r>
      <w:r>
        <w:rPr>
          <w:rFonts w:hint="eastAsia" w:ascii="宋体" w:hAnsi="宋体" w:cs="宋体"/>
          <w:color w:val="000000"/>
          <w:szCs w:val="21"/>
          <w:u w:val="single"/>
        </w:rPr>
        <w:t xml:space="preserve">                   </w:t>
      </w:r>
      <w:r>
        <w:rPr>
          <w:rFonts w:hint="eastAsia" w:ascii="宋体" w:hAnsi="宋体" w:cs="宋体"/>
          <w:color w:val="000000"/>
          <w:szCs w:val="21"/>
        </w:rPr>
        <w:t xml:space="preserve">                      账  号：</w:t>
      </w:r>
      <w:r>
        <w:rPr>
          <w:rFonts w:hint="eastAsia" w:ascii="宋体" w:hAnsi="宋体" w:cs="宋体"/>
          <w:color w:val="000000"/>
          <w:szCs w:val="21"/>
          <w:u w:val="single"/>
        </w:rPr>
        <w:t xml:space="preserve">                     </w:t>
      </w:r>
    </w:p>
    <w:p w14:paraId="58984311">
      <w:pPr>
        <w:adjustRightInd w:val="0"/>
        <w:snapToGrid w:val="0"/>
        <w:spacing w:line="360" w:lineRule="auto"/>
        <w:rPr>
          <w:rFonts w:hint="eastAsia" w:ascii="宋体" w:hAnsi="宋体" w:cs="宋体"/>
          <w:color w:val="000000"/>
          <w:sz w:val="24"/>
        </w:rPr>
      </w:pPr>
      <w:r>
        <w:rPr>
          <w:rFonts w:hint="eastAsia" w:ascii="宋体" w:hAnsi="宋体" w:cs="宋体"/>
          <w:color w:val="000000"/>
          <w:szCs w:val="21"/>
        </w:rPr>
        <w:t>邮政编码：</w:t>
      </w:r>
      <w:r>
        <w:rPr>
          <w:rFonts w:hint="eastAsia" w:ascii="宋体" w:hAnsi="宋体" w:cs="宋体"/>
          <w:color w:val="000000"/>
          <w:szCs w:val="21"/>
          <w:u w:val="single"/>
        </w:rPr>
        <w:t xml:space="preserve">                 </w:t>
      </w:r>
      <w:r>
        <w:rPr>
          <w:rFonts w:hint="eastAsia" w:ascii="宋体" w:hAnsi="宋体" w:cs="宋体"/>
          <w:color w:val="000000"/>
          <w:szCs w:val="21"/>
        </w:rPr>
        <w:t xml:space="preserve">                      邮政编码：</w:t>
      </w:r>
      <w:r>
        <w:rPr>
          <w:rFonts w:hint="eastAsia" w:ascii="宋体" w:hAnsi="宋体" w:cs="宋体"/>
          <w:color w:val="000000"/>
          <w:szCs w:val="21"/>
          <w:u w:val="single"/>
        </w:rPr>
        <w:t xml:space="preserve">                   </w:t>
      </w:r>
    </w:p>
    <w:p w14:paraId="22078124">
      <w:pPr>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br w:type="page"/>
      </w:r>
    </w:p>
    <w:p w14:paraId="1F047A36">
      <w:pPr>
        <w:keepNext/>
        <w:keepLines/>
        <w:spacing w:before="120" w:after="120" w:line="360" w:lineRule="auto"/>
        <w:jc w:val="left"/>
        <w:outlineLvl w:val="2"/>
        <w:rPr>
          <w:rFonts w:hint="eastAsia" w:ascii="宋体" w:hAnsi="宋体" w:cs="宋体"/>
          <w:bCs/>
          <w:color w:val="000000"/>
          <w:sz w:val="24"/>
        </w:rPr>
      </w:pPr>
      <w:bookmarkStart w:id="870" w:name="_Toc95223490"/>
      <w:r>
        <w:rPr>
          <w:rFonts w:hint="eastAsia" w:ascii="宋体" w:hAnsi="宋体" w:cs="宋体"/>
          <w:bCs/>
          <w:color w:val="000000"/>
          <w:sz w:val="24"/>
        </w:rPr>
        <w:t>附件4：主要建设工程文件目录</w:t>
      </w:r>
      <w:bookmarkEnd w:id="870"/>
    </w:p>
    <w:p w14:paraId="204F7D30">
      <w:pPr>
        <w:spacing w:before="120" w:beforeLines="50" w:after="120" w:afterLines="50"/>
        <w:jc w:val="center"/>
        <w:rPr>
          <w:rFonts w:hint="eastAsia" w:ascii="宋体" w:hAnsi="宋体" w:cs="宋体"/>
          <w:color w:val="000000"/>
          <w:szCs w:val="21"/>
        </w:rPr>
      </w:pPr>
      <w:r>
        <w:rPr>
          <w:rFonts w:hint="eastAsia" w:ascii="宋体" w:hAnsi="宋体" w:cs="宋体"/>
          <w:color w:val="000000"/>
          <w:szCs w:val="21"/>
        </w:rPr>
        <w:t>主要建设工程文件目录</w:t>
      </w:r>
    </w:p>
    <w:tbl>
      <w:tblPr>
        <w:tblStyle w:val="4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6B02D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noWrap w:val="0"/>
            <w:vAlign w:val="center"/>
          </w:tcPr>
          <w:p w14:paraId="4F13F1F0">
            <w:pPr>
              <w:keepNext/>
              <w:rPr>
                <w:rFonts w:hint="eastAsia" w:ascii="宋体" w:hAnsi="宋体" w:cs="宋体"/>
                <w:color w:val="000000"/>
                <w:szCs w:val="21"/>
              </w:rPr>
            </w:pPr>
            <w:r>
              <w:rPr>
                <w:rFonts w:hint="eastAsia" w:ascii="宋体" w:hAnsi="宋体" w:cs="宋体"/>
                <w:color w:val="000000"/>
                <w:szCs w:val="21"/>
              </w:rPr>
              <w:t>文件名称</w:t>
            </w:r>
          </w:p>
        </w:tc>
        <w:tc>
          <w:tcPr>
            <w:tcW w:w="1276" w:type="dxa"/>
            <w:tcBorders>
              <w:top w:val="single" w:color="auto" w:sz="12" w:space="0"/>
              <w:bottom w:val="double" w:color="auto" w:sz="6" w:space="0"/>
            </w:tcBorders>
            <w:noWrap w:val="0"/>
            <w:vAlign w:val="center"/>
          </w:tcPr>
          <w:p w14:paraId="5E50F9E3">
            <w:pPr>
              <w:keepNext/>
              <w:rPr>
                <w:rFonts w:hint="eastAsia" w:ascii="宋体" w:hAnsi="宋体" w:cs="宋体"/>
                <w:color w:val="000000"/>
                <w:szCs w:val="21"/>
              </w:rPr>
            </w:pPr>
            <w:r>
              <w:rPr>
                <w:rFonts w:hint="eastAsia" w:ascii="宋体" w:hAnsi="宋体" w:cs="宋体"/>
                <w:color w:val="000000"/>
                <w:szCs w:val="21"/>
              </w:rPr>
              <w:t>套数</w:t>
            </w:r>
          </w:p>
        </w:tc>
        <w:tc>
          <w:tcPr>
            <w:tcW w:w="1450" w:type="dxa"/>
            <w:tcBorders>
              <w:top w:val="single" w:color="auto" w:sz="12" w:space="0"/>
              <w:bottom w:val="double" w:color="auto" w:sz="6" w:space="0"/>
            </w:tcBorders>
            <w:noWrap w:val="0"/>
            <w:vAlign w:val="center"/>
          </w:tcPr>
          <w:p w14:paraId="552F9EEB">
            <w:pPr>
              <w:keepNext/>
              <w:rPr>
                <w:rFonts w:hint="eastAsia" w:ascii="宋体" w:hAnsi="宋体" w:cs="宋体"/>
                <w:color w:val="000000"/>
                <w:szCs w:val="21"/>
              </w:rPr>
            </w:pPr>
            <w:r>
              <w:rPr>
                <w:rFonts w:hint="eastAsia" w:ascii="宋体" w:hAnsi="宋体" w:cs="宋体"/>
                <w:color w:val="000000"/>
                <w:szCs w:val="21"/>
              </w:rPr>
              <w:t>费用（元）</w:t>
            </w:r>
          </w:p>
        </w:tc>
        <w:tc>
          <w:tcPr>
            <w:tcW w:w="1243" w:type="dxa"/>
            <w:tcBorders>
              <w:top w:val="single" w:color="auto" w:sz="12" w:space="0"/>
              <w:bottom w:val="double" w:color="auto" w:sz="6" w:space="0"/>
            </w:tcBorders>
            <w:noWrap w:val="0"/>
            <w:vAlign w:val="center"/>
          </w:tcPr>
          <w:p w14:paraId="70A6AC27">
            <w:pPr>
              <w:keepNext/>
              <w:rPr>
                <w:rFonts w:hint="eastAsia" w:ascii="宋体" w:hAnsi="宋体" w:cs="宋体"/>
                <w:color w:val="000000"/>
                <w:szCs w:val="21"/>
              </w:rPr>
            </w:pPr>
            <w:r>
              <w:rPr>
                <w:rFonts w:hint="eastAsia" w:ascii="宋体" w:hAnsi="宋体" w:cs="宋体"/>
                <w:color w:val="000000"/>
                <w:szCs w:val="21"/>
              </w:rPr>
              <w:t>质量</w:t>
            </w:r>
          </w:p>
        </w:tc>
        <w:tc>
          <w:tcPr>
            <w:tcW w:w="1450" w:type="dxa"/>
            <w:tcBorders>
              <w:top w:val="single" w:color="auto" w:sz="12" w:space="0"/>
              <w:bottom w:val="double" w:color="auto" w:sz="6" w:space="0"/>
            </w:tcBorders>
            <w:noWrap w:val="0"/>
            <w:vAlign w:val="top"/>
          </w:tcPr>
          <w:p w14:paraId="0C1B2003">
            <w:pPr>
              <w:rPr>
                <w:rFonts w:hint="eastAsia" w:ascii="宋体" w:hAnsi="宋体" w:cs="宋体"/>
                <w:color w:val="000000"/>
                <w:szCs w:val="21"/>
              </w:rPr>
            </w:pPr>
            <w:r>
              <w:rPr>
                <w:rFonts w:hint="eastAsia" w:ascii="宋体" w:hAnsi="宋体" w:cs="宋体"/>
                <w:color w:val="000000"/>
                <w:szCs w:val="21"/>
              </w:rPr>
              <w:t>移交时间</w:t>
            </w:r>
          </w:p>
        </w:tc>
        <w:tc>
          <w:tcPr>
            <w:tcW w:w="1667" w:type="dxa"/>
            <w:tcBorders>
              <w:top w:val="single" w:color="auto" w:sz="12" w:space="0"/>
              <w:bottom w:val="double" w:color="auto" w:sz="6" w:space="0"/>
            </w:tcBorders>
            <w:noWrap w:val="0"/>
            <w:vAlign w:val="top"/>
          </w:tcPr>
          <w:p w14:paraId="6E237B00">
            <w:pPr>
              <w:rPr>
                <w:rFonts w:hint="eastAsia" w:ascii="宋体" w:hAnsi="宋体" w:cs="宋体"/>
                <w:color w:val="000000"/>
                <w:szCs w:val="21"/>
              </w:rPr>
            </w:pPr>
            <w:r>
              <w:rPr>
                <w:rFonts w:hint="eastAsia" w:ascii="宋体" w:hAnsi="宋体" w:cs="宋体"/>
                <w:color w:val="000000"/>
                <w:szCs w:val="21"/>
              </w:rPr>
              <w:t>责任人</w:t>
            </w:r>
          </w:p>
        </w:tc>
      </w:tr>
      <w:tr w14:paraId="69825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tcBorders>
            <w:noWrap w:val="0"/>
            <w:vAlign w:val="center"/>
          </w:tcPr>
          <w:p w14:paraId="5A212D43">
            <w:pPr>
              <w:keepNext/>
              <w:rPr>
                <w:rFonts w:hint="eastAsia" w:ascii="宋体" w:hAnsi="宋体" w:cs="宋体"/>
                <w:color w:val="000000"/>
                <w:szCs w:val="21"/>
              </w:rPr>
            </w:pPr>
          </w:p>
        </w:tc>
        <w:tc>
          <w:tcPr>
            <w:tcW w:w="1276" w:type="dxa"/>
            <w:tcBorders>
              <w:top w:val="double" w:color="auto" w:sz="6" w:space="0"/>
            </w:tcBorders>
            <w:noWrap w:val="0"/>
            <w:vAlign w:val="center"/>
          </w:tcPr>
          <w:p w14:paraId="3C6D7D2A">
            <w:pPr>
              <w:keepNext/>
              <w:rPr>
                <w:rFonts w:hint="eastAsia" w:ascii="宋体" w:hAnsi="宋体" w:cs="宋体"/>
                <w:color w:val="000000"/>
                <w:szCs w:val="21"/>
              </w:rPr>
            </w:pPr>
          </w:p>
        </w:tc>
        <w:tc>
          <w:tcPr>
            <w:tcW w:w="1450" w:type="dxa"/>
            <w:tcBorders>
              <w:top w:val="double" w:color="auto" w:sz="6" w:space="0"/>
            </w:tcBorders>
            <w:noWrap w:val="0"/>
            <w:vAlign w:val="center"/>
          </w:tcPr>
          <w:p w14:paraId="550CEFC2">
            <w:pPr>
              <w:keepNext/>
              <w:rPr>
                <w:rFonts w:hint="eastAsia" w:ascii="宋体" w:hAnsi="宋体" w:cs="宋体"/>
                <w:color w:val="000000"/>
                <w:szCs w:val="21"/>
              </w:rPr>
            </w:pPr>
          </w:p>
        </w:tc>
        <w:tc>
          <w:tcPr>
            <w:tcW w:w="1243" w:type="dxa"/>
            <w:tcBorders>
              <w:top w:val="double" w:color="auto" w:sz="6" w:space="0"/>
            </w:tcBorders>
            <w:noWrap w:val="0"/>
            <w:vAlign w:val="center"/>
          </w:tcPr>
          <w:p w14:paraId="4375FC6E">
            <w:pPr>
              <w:keepNext/>
              <w:rPr>
                <w:rFonts w:hint="eastAsia" w:ascii="宋体" w:hAnsi="宋体" w:cs="宋体"/>
                <w:color w:val="000000"/>
                <w:szCs w:val="21"/>
              </w:rPr>
            </w:pPr>
          </w:p>
        </w:tc>
        <w:tc>
          <w:tcPr>
            <w:tcW w:w="1450" w:type="dxa"/>
            <w:tcBorders>
              <w:top w:val="double" w:color="auto" w:sz="6" w:space="0"/>
            </w:tcBorders>
            <w:noWrap w:val="0"/>
            <w:vAlign w:val="center"/>
          </w:tcPr>
          <w:p w14:paraId="3E76D2FE">
            <w:pPr>
              <w:keepNext/>
              <w:rPr>
                <w:rFonts w:hint="eastAsia" w:ascii="宋体" w:hAnsi="宋体" w:cs="宋体"/>
                <w:color w:val="000000"/>
                <w:szCs w:val="21"/>
              </w:rPr>
            </w:pPr>
          </w:p>
        </w:tc>
        <w:tc>
          <w:tcPr>
            <w:tcW w:w="1667" w:type="dxa"/>
            <w:tcBorders>
              <w:top w:val="double" w:color="auto" w:sz="6" w:space="0"/>
            </w:tcBorders>
            <w:noWrap w:val="0"/>
            <w:vAlign w:val="center"/>
          </w:tcPr>
          <w:p w14:paraId="533C31AA">
            <w:pPr>
              <w:keepNext/>
              <w:rPr>
                <w:rFonts w:hint="eastAsia" w:ascii="宋体" w:hAnsi="宋体" w:cs="宋体"/>
                <w:color w:val="000000"/>
                <w:szCs w:val="21"/>
              </w:rPr>
            </w:pPr>
          </w:p>
        </w:tc>
      </w:tr>
      <w:tr w14:paraId="3928F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14:paraId="72B1E850">
            <w:pPr>
              <w:keepNext/>
              <w:rPr>
                <w:rFonts w:hint="eastAsia" w:ascii="宋体" w:hAnsi="宋体" w:cs="宋体"/>
                <w:color w:val="000000"/>
                <w:szCs w:val="21"/>
              </w:rPr>
            </w:pPr>
          </w:p>
        </w:tc>
        <w:tc>
          <w:tcPr>
            <w:tcW w:w="1276" w:type="dxa"/>
            <w:tcBorders>
              <w:top w:val="nil"/>
            </w:tcBorders>
            <w:noWrap w:val="0"/>
            <w:vAlign w:val="center"/>
          </w:tcPr>
          <w:p w14:paraId="731F9C29">
            <w:pPr>
              <w:keepNext/>
              <w:rPr>
                <w:rFonts w:hint="eastAsia" w:ascii="宋体" w:hAnsi="宋体" w:cs="宋体"/>
                <w:color w:val="000000"/>
                <w:szCs w:val="21"/>
              </w:rPr>
            </w:pPr>
          </w:p>
        </w:tc>
        <w:tc>
          <w:tcPr>
            <w:tcW w:w="1450" w:type="dxa"/>
            <w:tcBorders>
              <w:top w:val="nil"/>
            </w:tcBorders>
            <w:noWrap w:val="0"/>
            <w:vAlign w:val="center"/>
          </w:tcPr>
          <w:p w14:paraId="0B3D3F66">
            <w:pPr>
              <w:keepNext/>
              <w:rPr>
                <w:rFonts w:hint="eastAsia" w:ascii="宋体" w:hAnsi="宋体" w:cs="宋体"/>
                <w:color w:val="000000"/>
                <w:szCs w:val="21"/>
              </w:rPr>
            </w:pPr>
          </w:p>
        </w:tc>
        <w:tc>
          <w:tcPr>
            <w:tcW w:w="1243" w:type="dxa"/>
            <w:tcBorders>
              <w:top w:val="nil"/>
            </w:tcBorders>
            <w:noWrap w:val="0"/>
            <w:vAlign w:val="center"/>
          </w:tcPr>
          <w:p w14:paraId="2B8C277B">
            <w:pPr>
              <w:keepNext/>
              <w:rPr>
                <w:rFonts w:hint="eastAsia" w:ascii="宋体" w:hAnsi="宋体" w:cs="宋体"/>
                <w:color w:val="000000"/>
                <w:szCs w:val="21"/>
              </w:rPr>
            </w:pPr>
          </w:p>
        </w:tc>
        <w:tc>
          <w:tcPr>
            <w:tcW w:w="1450" w:type="dxa"/>
            <w:tcBorders>
              <w:top w:val="nil"/>
            </w:tcBorders>
            <w:noWrap w:val="0"/>
            <w:vAlign w:val="center"/>
          </w:tcPr>
          <w:p w14:paraId="49051088">
            <w:pPr>
              <w:keepNext/>
              <w:rPr>
                <w:rFonts w:hint="eastAsia" w:ascii="宋体" w:hAnsi="宋体" w:cs="宋体"/>
                <w:color w:val="000000"/>
                <w:szCs w:val="21"/>
              </w:rPr>
            </w:pPr>
          </w:p>
        </w:tc>
        <w:tc>
          <w:tcPr>
            <w:tcW w:w="1667" w:type="dxa"/>
            <w:tcBorders>
              <w:top w:val="nil"/>
            </w:tcBorders>
            <w:noWrap w:val="0"/>
            <w:vAlign w:val="center"/>
          </w:tcPr>
          <w:p w14:paraId="102B6286">
            <w:pPr>
              <w:keepNext/>
              <w:rPr>
                <w:rFonts w:hint="eastAsia" w:ascii="宋体" w:hAnsi="宋体" w:cs="宋体"/>
                <w:color w:val="000000"/>
                <w:szCs w:val="21"/>
              </w:rPr>
            </w:pPr>
          </w:p>
        </w:tc>
      </w:tr>
      <w:tr w14:paraId="4E8C9D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4B456179">
            <w:pPr>
              <w:rPr>
                <w:rFonts w:hint="eastAsia" w:ascii="宋体" w:hAnsi="宋体" w:cs="宋体"/>
                <w:color w:val="000000"/>
                <w:szCs w:val="21"/>
              </w:rPr>
            </w:pPr>
          </w:p>
        </w:tc>
        <w:tc>
          <w:tcPr>
            <w:tcW w:w="1276" w:type="dxa"/>
            <w:noWrap w:val="0"/>
            <w:vAlign w:val="top"/>
          </w:tcPr>
          <w:p w14:paraId="23631F2C">
            <w:pPr>
              <w:rPr>
                <w:rFonts w:hint="eastAsia" w:ascii="宋体" w:hAnsi="宋体" w:cs="宋体"/>
                <w:color w:val="000000"/>
                <w:szCs w:val="21"/>
              </w:rPr>
            </w:pPr>
          </w:p>
        </w:tc>
        <w:tc>
          <w:tcPr>
            <w:tcW w:w="1450" w:type="dxa"/>
            <w:noWrap w:val="0"/>
            <w:vAlign w:val="top"/>
          </w:tcPr>
          <w:p w14:paraId="7930B18C">
            <w:pPr>
              <w:rPr>
                <w:rFonts w:hint="eastAsia" w:ascii="宋体" w:hAnsi="宋体" w:cs="宋体"/>
                <w:color w:val="000000"/>
                <w:szCs w:val="21"/>
              </w:rPr>
            </w:pPr>
          </w:p>
        </w:tc>
        <w:tc>
          <w:tcPr>
            <w:tcW w:w="1243" w:type="dxa"/>
            <w:noWrap w:val="0"/>
            <w:vAlign w:val="top"/>
          </w:tcPr>
          <w:p w14:paraId="54E0D7A1">
            <w:pPr>
              <w:rPr>
                <w:rFonts w:hint="eastAsia" w:ascii="宋体" w:hAnsi="宋体" w:cs="宋体"/>
                <w:color w:val="000000"/>
                <w:szCs w:val="21"/>
              </w:rPr>
            </w:pPr>
          </w:p>
        </w:tc>
        <w:tc>
          <w:tcPr>
            <w:tcW w:w="1450" w:type="dxa"/>
            <w:noWrap w:val="0"/>
            <w:vAlign w:val="top"/>
          </w:tcPr>
          <w:p w14:paraId="7ACEF08D">
            <w:pPr>
              <w:rPr>
                <w:rFonts w:hint="eastAsia" w:ascii="宋体" w:hAnsi="宋体" w:cs="宋体"/>
                <w:color w:val="000000"/>
                <w:szCs w:val="21"/>
              </w:rPr>
            </w:pPr>
          </w:p>
        </w:tc>
        <w:tc>
          <w:tcPr>
            <w:tcW w:w="1667" w:type="dxa"/>
            <w:noWrap w:val="0"/>
            <w:vAlign w:val="top"/>
          </w:tcPr>
          <w:p w14:paraId="099ACF0B">
            <w:pPr>
              <w:rPr>
                <w:rFonts w:hint="eastAsia" w:ascii="宋体" w:hAnsi="宋体" w:cs="宋体"/>
                <w:color w:val="000000"/>
                <w:szCs w:val="21"/>
              </w:rPr>
            </w:pPr>
          </w:p>
        </w:tc>
      </w:tr>
      <w:tr w14:paraId="4FE12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5884A1D2">
            <w:pPr>
              <w:rPr>
                <w:rFonts w:hint="eastAsia" w:ascii="宋体" w:hAnsi="宋体" w:cs="宋体"/>
                <w:color w:val="000000"/>
                <w:szCs w:val="21"/>
              </w:rPr>
            </w:pPr>
          </w:p>
        </w:tc>
        <w:tc>
          <w:tcPr>
            <w:tcW w:w="1276" w:type="dxa"/>
            <w:noWrap w:val="0"/>
            <w:vAlign w:val="top"/>
          </w:tcPr>
          <w:p w14:paraId="0F5358A1">
            <w:pPr>
              <w:rPr>
                <w:rFonts w:hint="eastAsia" w:ascii="宋体" w:hAnsi="宋体" w:cs="宋体"/>
                <w:color w:val="000000"/>
                <w:szCs w:val="21"/>
              </w:rPr>
            </w:pPr>
          </w:p>
        </w:tc>
        <w:tc>
          <w:tcPr>
            <w:tcW w:w="1450" w:type="dxa"/>
            <w:noWrap w:val="0"/>
            <w:vAlign w:val="top"/>
          </w:tcPr>
          <w:p w14:paraId="3C5E5F41">
            <w:pPr>
              <w:rPr>
                <w:rFonts w:hint="eastAsia" w:ascii="宋体" w:hAnsi="宋体" w:cs="宋体"/>
                <w:color w:val="000000"/>
                <w:szCs w:val="21"/>
              </w:rPr>
            </w:pPr>
          </w:p>
        </w:tc>
        <w:tc>
          <w:tcPr>
            <w:tcW w:w="1243" w:type="dxa"/>
            <w:noWrap w:val="0"/>
            <w:vAlign w:val="top"/>
          </w:tcPr>
          <w:p w14:paraId="79621580">
            <w:pPr>
              <w:rPr>
                <w:rFonts w:hint="eastAsia" w:ascii="宋体" w:hAnsi="宋体" w:cs="宋体"/>
                <w:color w:val="000000"/>
                <w:szCs w:val="21"/>
              </w:rPr>
            </w:pPr>
          </w:p>
        </w:tc>
        <w:tc>
          <w:tcPr>
            <w:tcW w:w="1450" w:type="dxa"/>
            <w:noWrap w:val="0"/>
            <w:vAlign w:val="top"/>
          </w:tcPr>
          <w:p w14:paraId="48A64FF9">
            <w:pPr>
              <w:rPr>
                <w:rFonts w:hint="eastAsia" w:ascii="宋体" w:hAnsi="宋体" w:cs="宋体"/>
                <w:color w:val="000000"/>
                <w:szCs w:val="21"/>
              </w:rPr>
            </w:pPr>
          </w:p>
        </w:tc>
        <w:tc>
          <w:tcPr>
            <w:tcW w:w="1667" w:type="dxa"/>
            <w:noWrap w:val="0"/>
            <w:vAlign w:val="top"/>
          </w:tcPr>
          <w:p w14:paraId="354990D4">
            <w:pPr>
              <w:rPr>
                <w:rFonts w:hint="eastAsia" w:ascii="宋体" w:hAnsi="宋体" w:cs="宋体"/>
                <w:color w:val="000000"/>
                <w:szCs w:val="21"/>
              </w:rPr>
            </w:pPr>
          </w:p>
        </w:tc>
      </w:tr>
      <w:tr w14:paraId="55324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bottom w:val="single" w:color="auto" w:sz="12" w:space="0"/>
            </w:tcBorders>
            <w:noWrap w:val="0"/>
            <w:vAlign w:val="top"/>
          </w:tcPr>
          <w:p w14:paraId="729AC42E">
            <w:pPr>
              <w:rPr>
                <w:rFonts w:hint="eastAsia" w:ascii="宋体" w:hAnsi="宋体" w:cs="宋体"/>
                <w:color w:val="000000"/>
                <w:szCs w:val="21"/>
              </w:rPr>
            </w:pPr>
          </w:p>
        </w:tc>
        <w:tc>
          <w:tcPr>
            <w:tcW w:w="1276" w:type="dxa"/>
            <w:tcBorders>
              <w:bottom w:val="single" w:color="auto" w:sz="12" w:space="0"/>
            </w:tcBorders>
            <w:noWrap w:val="0"/>
            <w:vAlign w:val="top"/>
          </w:tcPr>
          <w:p w14:paraId="06DC1260">
            <w:pPr>
              <w:rPr>
                <w:rFonts w:hint="eastAsia" w:ascii="宋体" w:hAnsi="宋体" w:cs="宋体"/>
                <w:color w:val="000000"/>
                <w:szCs w:val="21"/>
              </w:rPr>
            </w:pPr>
          </w:p>
        </w:tc>
        <w:tc>
          <w:tcPr>
            <w:tcW w:w="1450" w:type="dxa"/>
            <w:tcBorders>
              <w:bottom w:val="single" w:color="auto" w:sz="12" w:space="0"/>
            </w:tcBorders>
            <w:noWrap w:val="0"/>
            <w:vAlign w:val="top"/>
          </w:tcPr>
          <w:p w14:paraId="3ABC2D5F">
            <w:pPr>
              <w:rPr>
                <w:rFonts w:hint="eastAsia" w:ascii="宋体" w:hAnsi="宋体" w:cs="宋体"/>
                <w:color w:val="000000"/>
                <w:szCs w:val="21"/>
              </w:rPr>
            </w:pPr>
          </w:p>
        </w:tc>
        <w:tc>
          <w:tcPr>
            <w:tcW w:w="1243" w:type="dxa"/>
            <w:tcBorders>
              <w:bottom w:val="single" w:color="auto" w:sz="12" w:space="0"/>
            </w:tcBorders>
            <w:noWrap w:val="0"/>
            <w:vAlign w:val="top"/>
          </w:tcPr>
          <w:p w14:paraId="4F0A1FFB">
            <w:pPr>
              <w:rPr>
                <w:rFonts w:hint="eastAsia" w:ascii="宋体" w:hAnsi="宋体" w:cs="宋体"/>
                <w:color w:val="000000"/>
                <w:szCs w:val="21"/>
              </w:rPr>
            </w:pPr>
          </w:p>
        </w:tc>
        <w:tc>
          <w:tcPr>
            <w:tcW w:w="1450" w:type="dxa"/>
            <w:tcBorders>
              <w:bottom w:val="single" w:color="auto" w:sz="12" w:space="0"/>
            </w:tcBorders>
            <w:noWrap w:val="0"/>
            <w:vAlign w:val="top"/>
          </w:tcPr>
          <w:p w14:paraId="3D680CEB">
            <w:pPr>
              <w:rPr>
                <w:rFonts w:hint="eastAsia" w:ascii="宋体" w:hAnsi="宋体" w:cs="宋体"/>
                <w:color w:val="000000"/>
                <w:szCs w:val="21"/>
              </w:rPr>
            </w:pPr>
          </w:p>
        </w:tc>
        <w:tc>
          <w:tcPr>
            <w:tcW w:w="1667" w:type="dxa"/>
            <w:tcBorders>
              <w:bottom w:val="single" w:color="auto" w:sz="12" w:space="0"/>
            </w:tcBorders>
            <w:noWrap w:val="0"/>
            <w:vAlign w:val="top"/>
          </w:tcPr>
          <w:p w14:paraId="2BD6CC2D">
            <w:pPr>
              <w:rPr>
                <w:rFonts w:hint="eastAsia" w:ascii="宋体" w:hAnsi="宋体" w:cs="宋体"/>
                <w:color w:val="000000"/>
                <w:szCs w:val="21"/>
              </w:rPr>
            </w:pPr>
          </w:p>
        </w:tc>
      </w:tr>
    </w:tbl>
    <w:p w14:paraId="6F102B0C">
      <w:pPr>
        <w:rPr>
          <w:rFonts w:hint="eastAsia" w:ascii="宋体" w:hAnsi="宋体" w:cs="宋体"/>
          <w:color w:val="000000"/>
          <w:szCs w:val="21"/>
        </w:rPr>
      </w:pPr>
    </w:p>
    <w:p w14:paraId="2098DAB8">
      <w:pPr>
        <w:keepNext/>
        <w:keepLines/>
        <w:spacing w:before="120" w:after="120" w:line="360" w:lineRule="auto"/>
        <w:jc w:val="left"/>
        <w:outlineLvl w:val="2"/>
        <w:rPr>
          <w:rFonts w:hint="eastAsia" w:ascii="宋体" w:hAnsi="宋体" w:cs="宋体"/>
          <w:bCs/>
          <w:color w:val="000000"/>
          <w:sz w:val="24"/>
        </w:rPr>
      </w:pPr>
      <w:bookmarkStart w:id="871" w:name="_Toc95223491"/>
      <w:r>
        <w:rPr>
          <w:rFonts w:hint="eastAsia" w:ascii="宋体" w:hAnsi="宋体" w:cs="宋体"/>
          <w:bCs/>
          <w:color w:val="000000"/>
          <w:sz w:val="24"/>
        </w:rPr>
        <w:t>附</w:t>
      </w:r>
      <w:bookmarkStart w:id="872" w:name="_Toc296944566"/>
      <w:bookmarkStart w:id="873" w:name="_Toc296346728"/>
      <w:bookmarkStart w:id="874" w:name="_Toc296503227"/>
      <w:bookmarkStart w:id="875" w:name="_Toc296891267"/>
      <w:bookmarkStart w:id="876" w:name="_Toc267261698"/>
      <w:bookmarkStart w:id="877" w:name="_Toc296347226"/>
      <w:bookmarkStart w:id="878" w:name="_Toc296891055"/>
      <w:r>
        <w:rPr>
          <w:rFonts w:hint="eastAsia" w:ascii="宋体" w:hAnsi="宋体" w:cs="宋体"/>
          <w:bCs/>
          <w:color w:val="000000"/>
          <w:sz w:val="24"/>
        </w:rPr>
        <w:t>件5：承包人用于本工程施工的机械设备表</w:t>
      </w:r>
      <w:bookmarkEnd w:id="871"/>
    </w:p>
    <w:bookmarkEnd w:id="872"/>
    <w:bookmarkEnd w:id="873"/>
    <w:bookmarkEnd w:id="874"/>
    <w:bookmarkEnd w:id="875"/>
    <w:bookmarkEnd w:id="876"/>
    <w:bookmarkEnd w:id="877"/>
    <w:bookmarkEnd w:id="878"/>
    <w:p w14:paraId="14404A2D">
      <w:pPr>
        <w:spacing w:before="120" w:beforeLines="50" w:after="120" w:afterLines="50"/>
        <w:jc w:val="center"/>
        <w:rPr>
          <w:rFonts w:hint="eastAsia" w:ascii="宋体" w:hAnsi="宋体" w:cs="宋体"/>
          <w:color w:val="000000"/>
          <w:szCs w:val="21"/>
        </w:rPr>
      </w:pPr>
      <w:r>
        <w:rPr>
          <w:rFonts w:hint="eastAsia" w:ascii="宋体" w:hAnsi="宋体" w:cs="宋体"/>
          <w:color w:val="000000"/>
          <w:szCs w:val="21"/>
        </w:rPr>
        <w:t>承包人用于本工程施工的机械设备表</w:t>
      </w:r>
    </w:p>
    <w:tbl>
      <w:tblPr>
        <w:tblStyle w:val="47"/>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418"/>
        <w:gridCol w:w="850"/>
        <w:gridCol w:w="709"/>
        <w:gridCol w:w="850"/>
        <w:gridCol w:w="963"/>
        <w:gridCol w:w="1480"/>
        <w:gridCol w:w="1020"/>
        <w:gridCol w:w="932"/>
      </w:tblGrid>
      <w:tr w14:paraId="7A25D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tcBorders>
              <w:top w:val="single" w:color="auto" w:sz="12" w:space="0"/>
              <w:bottom w:val="double" w:color="auto" w:sz="6" w:space="0"/>
            </w:tcBorders>
            <w:noWrap w:val="0"/>
            <w:vAlign w:val="center"/>
          </w:tcPr>
          <w:p w14:paraId="60E13898">
            <w:pPr>
              <w:keepNext/>
              <w:rPr>
                <w:rFonts w:hint="eastAsia" w:ascii="宋体" w:hAnsi="宋体" w:cs="宋体"/>
                <w:color w:val="000000"/>
                <w:szCs w:val="21"/>
              </w:rPr>
            </w:pPr>
            <w:r>
              <w:rPr>
                <w:rFonts w:hint="eastAsia" w:ascii="宋体" w:hAnsi="宋体" w:cs="宋体"/>
                <w:color w:val="000000"/>
                <w:szCs w:val="21"/>
              </w:rPr>
              <w:t>序号</w:t>
            </w:r>
          </w:p>
        </w:tc>
        <w:tc>
          <w:tcPr>
            <w:tcW w:w="1418" w:type="dxa"/>
            <w:tcBorders>
              <w:top w:val="single" w:color="auto" w:sz="12" w:space="0"/>
              <w:bottom w:val="double" w:color="auto" w:sz="6" w:space="0"/>
            </w:tcBorders>
            <w:noWrap w:val="0"/>
            <w:vAlign w:val="center"/>
          </w:tcPr>
          <w:p w14:paraId="1324526D">
            <w:pPr>
              <w:keepNext/>
              <w:rPr>
                <w:rFonts w:hint="eastAsia" w:ascii="宋体" w:hAnsi="宋体" w:cs="宋体"/>
                <w:color w:val="000000"/>
                <w:szCs w:val="21"/>
              </w:rPr>
            </w:pPr>
            <w:r>
              <w:rPr>
                <w:rFonts w:hint="eastAsia" w:ascii="宋体" w:hAnsi="宋体" w:cs="宋体"/>
                <w:color w:val="000000"/>
                <w:szCs w:val="21"/>
              </w:rPr>
              <w:t>机械或设备名称</w:t>
            </w:r>
          </w:p>
        </w:tc>
        <w:tc>
          <w:tcPr>
            <w:tcW w:w="850" w:type="dxa"/>
            <w:tcBorders>
              <w:top w:val="single" w:color="auto" w:sz="12" w:space="0"/>
              <w:bottom w:val="double" w:color="auto" w:sz="6" w:space="0"/>
            </w:tcBorders>
            <w:noWrap w:val="0"/>
            <w:vAlign w:val="center"/>
          </w:tcPr>
          <w:p w14:paraId="00DED29D">
            <w:pPr>
              <w:keepNext/>
              <w:rPr>
                <w:rFonts w:hint="eastAsia" w:ascii="宋体" w:hAnsi="宋体" w:cs="宋体"/>
                <w:color w:val="000000"/>
                <w:szCs w:val="21"/>
              </w:rPr>
            </w:pPr>
            <w:r>
              <w:rPr>
                <w:rFonts w:hint="eastAsia" w:ascii="宋体" w:hAnsi="宋体" w:cs="宋体"/>
                <w:color w:val="000000"/>
                <w:szCs w:val="21"/>
              </w:rPr>
              <w:t>规格型号</w:t>
            </w:r>
          </w:p>
        </w:tc>
        <w:tc>
          <w:tcPr>
            <w:tcW w:w="709" w:type="dxa"/>
            <w:tcBorders>
              <w:top w:val="single" w:color="auto" w:sz="12" w:space="0"/>
              <w:bottom w:val="double" w:color="auto" w:sz="6" w:space="0"/>
            </w:tcBorders>
            <w:noWrap w:val="0"/>
            <w:vAlign w:val="center"/>
          </w:tcPr>
          <w:p w14:paraId="082F1394">
            <w:pPr>
              <w:keepNext/>
              <w:rPr>
                <w:rFonts w:hint="eastAsia" w:ascii="宋体" w:hAnsi="宋体" w:cs="宋体"/>
                <w:color w:val="000000"/>
                <w:szCs w:val="21"/>
              </w:rPr>
            </w:pPr>
            <w:r>
              <w:rPr>
                <w:rFonts w:hint="eastAsia" w:ascii="宋体" w:hAnsi="宋体" w:cs="宋体"/>
                <w:color w:val="000000"/>
                <w:szCs w:val="21"/>
              </w:rPr>
              <w:t>数量</w:t>
            </w:r>
          </w:p>
        </w:tc>
        <w:tc>
          <w:tcPr>
            <w:tcW w:w="850" w:type="dxa"/>
            <w:tcBorders>
              <w:top w:val="single" w:color="auto" w:sz="12" w:space="0"/>
              <w:bottom w:val="double" w:color="auto" w:sz="6" w:space="0"/>
            </w:tcBorders>
            <w:noWrap w:val="0"/>
            <w:vAlign w:val="center"/>
          </w:tcPr>
          <w:p w14:paraId="1C472879">
            <w:pPr>
              <w:keepNext/>
              <w:rPr>
                <w:rFonts w:hint="eastAsia" w:ascii="宋体" w:hAnsi="宋体" w:cs="宋体"/>
                <w:color w:val="000000"/>
                <w:szCs w:val="21"/>
              </w:rPr>
            </w:pPr>
            <w:r>
              <w:rPr>
                <w:rFonts w:hint="eastAsia" w:ascii="宋体" w:hAnsi="宋体" w:cs="宋体"/>
                <w:color w:val="000000"/>
                <w:szCs w:val="21"/>
              </w:rPr>
              <w:t>产地</w:t>
            </w:r>
          </w:p>
        </w:tc>
        <w:tc>
          <w:tcPr>
            <w:tcW w:w="963" w:type="dxa"/>
            <w:tcBorders>
              <w:top w:val="single" w:color="auto" w:sz="12" w:space="0"/>
              <w:bottom w:val="double" w:color="auto" w:sz="6" w:space="0"/>
            </w:tcBorders>
            <w:noWrap w:val="0"/>
            <w:vAlign w:val="center"/>
          </w:tcPr>
          <w:p w14:paraId="01E23222">
            <w:pPr>
              <w:keepNext/>
              <w:rPr>
                <w:rFonts w:hint="eastAsia" w:ascii="宋体" w:hAnsi="宋体" w:cs="宋体"/>
                <w:color w:val="000000"/>
                <w:szCs w:val="21"/>
              </w:rPr>
            </w:pPr>
            <w:r>
              <w:rPr>
                <w:rFonts w:hint="eastAsia" w:ascii="宋体" w:hAnsi="宋体" w:cs="宋体"/>
                <w:color w:val="000000"/>
                <w:szCs w:val="21"/>
              </w:rPr>
              <w:t>制造年份</w:t>
            </w:r>
          </w:p>
        </w:tc>
        <w:tc>
          <w:tcPr>
            <w:tcW w:w="1480" w:type="dxa"/>
            <w:tcBorders>
              <w:top w:val="single" w:color="auto" w:sz="12" w:space="0"/>
              <w:bottom w:val="double" w:color="auto" w:sz="6" w:space="0"/>
            </w:tcBorders>
            <w:noWrap w:val="0"/>
            <w:vAlign w:val="center"/>
          </w:tcPr>
          <w:p w14:paraId="4D6538D3">
            <w:pPr>
              <w:keepNext/>
              <w:rPr>
                <w:rFonts w:hint="eastAsia" w:ascii="宋体" w:hAnsi="宋体" w:cs="宋体"/>
                <w:color w:val="000000"/>
                <w:szCs w:val="21"/>
              </w:rPr>
            </w:pPr>
            <w:r>
              <w:rPr>
                <w:rFonts w:hint="eastAsia" w:ascii="宋体" w:hAnsi="宋体" w:cs="宋体"/>
                <w:color w:val="000000"/>
                <w:szCs w:val="21"/>
              </w:rPr>
              <w:t>额定功率(kW)</w:t>
            </w:r>
          </w:p>
        </w:tc>
        <w:tc>
          <w:tcPr>
            <w:tcW w:w="1020" w:type="dxa"/>
            <w:tcBorders>
              <w:top w:val="single" w:color="auto" w:sz="12" w:space="0"/>
              <w:bottom w:val="double" w:color="auto" w:sz="6" w:space="0"/>
            </w:tcBorders>
            <w:noWrap w:val="0"/>
            <w:vAlign w:val="center"/>
          </w:tcPr>
          <w:p w14:paraId="4A63501F">
            <w:pPr>
              <w:keepNext/>
              <w:rPr>
                <w:rFonts w:hint="eastAsia" w:ascii="宋体" w:hAnsi="宋体" w:cs="宋体"/>
                <w:color w:val="000000"/>
                <w:szCs w:val="21"/>
              </w:rPr>
            </w:pPr>
            <w:r>
              <w:rPr>
                <w:rFonts w:hint="eastAsia" w:ascii="宋体" w:hAnsi="宋体" w:cs="宋体"/>
                <w:color w:val="000000"/>
                <w:szCs w:val="21"/>
              </w:rPr>
              <w:t>生产能力</w:t>
            </w:r>
          </w:p>
        </w:tc>
        <w:tc>
          <w:tcPr>
            <w:tcW w:w="932" w:type="dxa"/>
            <w:tcBorders>
              <w:top w:val="single" w:color="auto" w:sz="12" w:space="0"/>
              <w:bottom w:val="double" w:color="auto" w:sz="6" w:space="0"/>
            </w:tcBorders>
            <w:noWrap w:val="0"/>
            <w:vAlign w:val="center"/>
          </w:tcPr>
          <w:p w14:paraId="44036839">
            <w:pPr>
              <w:keepNext/>
              <w:rPr>
                <w:rFonts w:hint="eastAsia" w:ascii="宋体" w:hAnsi="宋体" w:cs="宋体"/>
                <w:color w:val="000000"/>
                <w:szCs w:val="21"/>
              </w:rPr>
            </w:pPr>
            <w:r>
              <w:rPr>
                <w:rFonts w:hint="eastAsia" w:ascii="宋体" w:hAnsi="宋体" w:cs="宋体"/>
                <w:color w:val="000000"/>
                <w:szCs w:val="21"/>
              </w:rPr>
              <w:t>备注</w:t>
            </w:r>
          </w:p>
        </w:tc>
      </w:tr>
      <w:tr w14:paraId="012D9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double" w:color="auto" w:sz="6" w:space="0"/>
            </w:tcBorders>
            <w:noWrap w:val="0"/>
            <w:vAlign w:val="center"/>
          </w:tcPr>
          <w:p w14:paraId="04FC182C">
            <w:pPr>
              <w:keepNext/>
              <w:rPr>
                <w:rFonts w:hint="eastAsia" w:ascii="宋体" w:hAnsi="宋体" w:cs="宋体"/>
                <w:color w:val="000000"/>
                <w:szCs w:val="21"/>
              </w:rPr>
            </w:pPr>
          </w:p>
        </w:tc>
        <w:tc>
          <w:tcPr>
            <w:tcW w:w="1418" w:type="dxa"/>
            <w:tcBorders>
              <w:top w:val="double" w:color="auto" w:sz="6" w:space="0"/>
            </w:tcBorders>
            <w:noWrap w:val="0"/>
            <w:vAlign w:val="center"/>
          </w:tcPr>
          <w:p w14:paraId="041CC651">
            <w:pPr>
              <w:keepNext/>
              <w:rPr>
                <w:rFonts w:hint="eastAsia" w:ascii="宋体" w:hAnsi="宋体" w:cs="宋体"/>
                <w:color w:val="000000"/>
                <w:szCs w:val="21"/>
              </w:rPr>
            </w:pPr>
          </w:p>
        </w:tc>
        <w:tc>
          <w:tcPr>
            <w:tcW w:w="850" w:type="dxa"/>
            <w:tcBorders>
              <w:top w:val="double" w:color="auto" w:sz="6" w:space="0"/>
            </w:tcBorders>
            <w:noWrap w:val="0"/>
            <w:vAlign w:val="center"/>
          </w:tcPr>
          <w:p w14:paraId="3ADEF52E">
            <w:pPr>
              <w:keepNext/>
              <w:rPr>
                <w:rFonts w:hint="eastAsia" w:ascii="宋体" w:hAnsi="宋体" w:cs="宋体"/>
                <w:color w:val="000000"/>
                <w:szCs w:val="21"/>
              </w:rPr>
            </w:pPr>
          </w:p>
        </w:tc>
        <w:tc>
          <w:tcPr>
            <w:tcW w:w="709" w:type="dxa"/>
            <w:tcBorders>
              <w:top w:val="double" w:color="auto" w:sz="6" w:space="0"/>
            </w:tcBorders>
            <w:noWrap w:val="0"/>
            <w:vAlign w:val="center"/>
          </w:tcPr>
          <w:p w14:paraId="12A56C58">
            <w:pPr>
              <w:keepNext/>
              <w:rPr>
                <w:rFonts w:hint="eastAsia" w:ascii="宋体" w:hAnsi="宋体" w:cs="宋体"/>
                <w:color w:val="000000"/>
                <w:szCs w:val="21"/>
              </w:rPr>
            </w:pPr>
          </w:p>
        </w:tc>
        <w:tc>
          <w:tcPr>
            <w:tcW w:w="850" w:type="dxa"/>
            <w:tcBorders>
              <w:top w:val="double" w:color="auto" w:sz="6" w:space="0"/>
            </w:tcBorders>
            <w:noWrap w:val="0"/>
            <w:vAlign w:val="center"/>
          </w:tcPr>
          <w:p w14:paraId="533DA03E">
            <w:pPr>
              <w:keepNext/>
              <w:rPr>
                <w:rFonts w:hint="eastAsia" w:ascii="宋体" w:hAnsi="宋体" w:cs="宋体"/>
                <w:color w:val="000000"/>
                <w:szCs w:val="21"/>
              </w:rPr>
            </w:pPr>
          </w:p>
        </w:tc>
        <w:tc>
          <w:tcPr>
            <w:tcW w:w="963" w:type="dxa"/>
            <w:tcBorders>
              <w:top w:val="double" w:color="auto" w:sz="6" w:space="0"/>
            </w:tcBorders>
            <w:noWrap w:val="0"/>
            <w:vAlign w:val="center"/>
          </w:tcPr>
          <w:p w14:paraId="086FBB15">
            <w:pPr>
              <w:keepNext/>
              <w:rPr>
                <w:rFonts w:hint="eastAsia" w:ascii="宋体" w:hAnsi="宋体" w:cs="宋体"/>
                <w:color w:val="000000"/>
                <w:szCs w:val="21"/>
              </w:rPr>
            </w:pPr>
          </w:p>
        </w:tc>
        <w:tc>
          <w:tcPr>
            <w:tcW w:w="1480" w:type="dxa"/>
            <w:tcBorders>
              <w:top w:val="double" w:color="auto" w:sz="6" w:space="0"/>
            </w:tcBorders>
            <w:noWrap w:val="0"/>
            <w:vAlign w:val="center"/>
          </w:tcPr>
          <w:p w14:paraId="13D56EB5">
            <w:pPr>
              <w:keepNext/>
              <w:rPr>
                <w:rFonts w:hint="eastAsia" w:ascii="宋体" w:hAnsi="宋体" w:cs="宋体"/>
                <w:color w:val="000000"/>
                <w:szCs w:val="21"/>
              </w:rPr>
            </w:pPr>
          </w:p>
        </w:tc>
        <w:tc>
          <w:tcPr>
            <w:tcW w:w="1020" w:type="dxa"/>
            <w:tcBorders>
              <w:top w:val="double" w:color="auto" w:sz="6" w:space="0"/>
            </w:tcBorders>
            <w:noWrap w:val="0"/>
            <w:vAlign w:val="center"/>
          </w:tcPr>
          <w:p w14:paraId="49A04A8A">
            <w:pPr>
              <w:keepNext/>
              <w:rPr>
                <w:rFonts w:hint="eastAsia" w:ascii="宋体" w:hAnsi="宋体" w:cs="宋体"/>
                <w:color w:val="000000"/>
                <w:szCs w:val="21"/>
              </w:rPr>
            </w:pPr>
          </w:p>
        </w:tc>
        <w:tc>
          <w:tcPr>
            <w:tcW w:w="932" w:type="dxa"/>
            <w:tcBorders>
              <w:top w:val="double" w:color="auto" w:sz="6" w:space="0"/>
            </w:tcBorders>
            <w:noWrap w:val="0"/>
            <w:vAlign w:val="center"/>
          </w:tcPr>
          <w:p w14:paraId="38AF3FF8">
            <w:pPr>
              <w:keepNext/>
              <w:rPr>
                <w:rFonts w:hint="eastAsia" w:ascii="宋体" w:hAnsi="宋体" w:cs="宋体"/>
                <w:color w:val="000000"/>
                <w:szCs w:val="21"/>
              </w:rPr>
            </w:pPr>
          </w:p>
        </w:tc>
      </w:tr>
      <w:tr w14:paraId="4B4FBB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nil"/>
            </w:tcBorders>
            <w:noWrap w:val="0"/>
            <w:vAlign w:val="center"/>
          </w:tcPr>
          <w:p w14:paraId="7D2AFA17">
            <w:pPr>
              <w:keepNext/>
              <w:rPr>
                <w:rFonts w:hint="eastAsia" w:ascii="宋体" w:hAnsi="宋体" w:cs="宋体"/>
                <w:color w:val="000000"/>
                <w:szCs w:val="21"/>
              </w:rPr>
            </w:pPr>
          </w:p>
        </w:tc>
        <w:tc>
          <w:tcPr>
            <w:tcW w:w="1418" w:type="dxa"/>
            <w:tcBorders>
              <w:top w:val="nil"/>
            </w:tcBorders>
            <w:noWrap w:val="0"/>
            <w:vAlign w:val="center"/>
          </w:tcPr>
          <w:p w14:paraId="3683E9D4">
            <w:pPr>
              <w:keepNext/>
              <w:rPr>
                <w:rFonts w:hint="eastAsia" w:ascii="宋体" w:hAnsi="宋体" w:cs="宋体"/>
                <w:color w:val="000000"/>
                <w:szCs w:val="21"/>
              </w:rPr>
            </w:pPr>
          </w:p>
        </w:tc>
        <w:tc>
          <w:tcPr>
            <w:tcW w:w="850" w:type="dxa"/>
            <w:tcBorders>
              <w:top w:val="nil"/>
            </w:tcBorders>
            <w:noWrap w:val="0"/>
            <w:vAlign w:val="center"/>
          </w:tcPr>
          <w:p w14:paraId="532D561E">
            <w:pPr>
              <w:keepNext/>
              <w:rPr>
                <w:rFonts w:hint="eastAsia" w:ascii="宋体" w:hAnsi="宋体" w:cs="宋体"/>
                <w:color w:val="000000"/>
                <w:szCs w:val="21"/>
              </w:rPr>
            </w:pPr>
          </w:p>
        </w:tc>
        <w:tc>
          <w:tcPr>
            <w:tcW w:w="709" w:type="dxa"/>
            <w:tcBorders>
              <w:top w:val="nil"/>
            </w:tcBorders>
            <w:noWrap w:val="0"/>
            <w:vAlign w:val="center"/>
          </w:tcPr>
          <w:p w14:paraId="215F0570">
            <w:pPr>
              <w:keepNext/>
              <w:rPr>
                <w:rFonts w:hint="eastAsia" w:ascii="宋体" w:hAnsi="宋体" w:cs="宋体"/>
                <w:color w:val="000000"/>
                <w:szCs w:val="21"/>
              </w:rPr>
            </w:pPr>
          </w:p>
        </w:tc>
        <w:tc>
          <w:tcPr>
            <w:tcW w:w="850" w:type="dxa"/>
            <w:tcBorders>
              <w:top w:val="nil"/>
            </w:tcBorders>
            <w:noWrap w:val="0"/>
            <w:vAlign w:val="center"/>
          </w:tcPr>
          <w:p w14:paraId="52938B7D">
            <w:pPr>
              <w:keepNext/>
              <w:rPr>
                <w:rFonts w:hint="eastAsia" w:ascii="宋体" w:hAnsi="宋体" w:cs="宋体"/>
                <w:color w:val="000000"/>
                <w:szCs w:val="21"/>
              </w:rPr>
            </w:pPr>
          </w:p>
        </w:tc>
        <w:tc>
          <w:tcPr>
            <w:tcW w:w="963" w:type="dxa"/>
            <w:tcBorders>
              <w:top w:val="nil"/>
            </w:tcBorders>
            <w:noWrap w:val="0"/>
            <w:vAlign w:val="center"/>
          </w:tcPr>
          <w:p w14:paraId="58F037D6">
            <w:pPr>
              <w:keepNext/>
              <w:rPr>
                <w:rFonts w:hint="eastAsia" w:ascii="宋体" w:hAnsi="宋体" w:cs="宋体"/>
                <w:color w:val="000000"/>
                <w:szCs w:val="21"/>
              </w:rPr>
            </w:pPr>
          </w:p>
        </w:tc>
        <w:tc>
          <w:tcPr>
            <w:tcW w:w="1480" w:type="dxa"/>
            <w:tcBorders>
              <w:top w:val="nil"/>
            </w:tcBorders>
            <w:noWrap w:val="0"/>
            <w:vAlign w:val="center"/>
          </w:tcPr>
          <w:p w14:paraId="42E6EB49">
            <w:pPr>
              <w:keepNext/>
              <w:rPr>
                <w:rFonts w:hint="eastAsia" w:ascii="宋体" w:hAnsi="宋体" w:cs="宋体"/>
                <w:color w:val="000000"/>
                <w:szCs w:val="21"/>
              </w:rPr>
            </w:pPr>
          </w:p>
        </w:tc>
        <w:tc>
          <w:tcPr>
            <w:tcW w:w="1020" w:type="dxa"/>
            <w:tcBorders>
              <w:top w:val="nil"/>
            </w:tcBorders>
            <w:noWrap w:val="0"/>
            <w:vAlign w:val="center"/>
          </w:tcPr>
          <w:p w14:paraId="6C6651D5">
            <w:pPr>
              <w:keepNext/>
              <w:rPr>
                <w:rFonts w:hint="eastAsia" w:ascii="宋体" w:hAnsi="宋体" w:cs="宋体"/>
                <w:color w:val="000000"/>
                <w:szCs w:val="21"/>
              </w:rPr>
            </w:pPr>
          </w:p>
        </w:tc>
        <w:tc>
          <w:tcPr>
            <w:tcW w:w="932" w:type="dxa"/>
            <w:tcBorders>
              <w:top w:val="nil"/>
            </w:tcBorders>
            <w:noWrap w:val="0"/>
            <w:vAlign w:val="center"/>
          </w:tcPr>
          <w:p w14:paraId="5A794D50">
            <w:pPr>
              <w:keepNext/>
              <w:rPr>
                <w:rFonts w:hint="eastAsia" w:ascii="宋体" w:hAnsi="宋体" w:cs="宋体"/>
                <w:color w:val="000000"/>
                <w:szCs w:val="21"/>
              </w:rPr>
            </w:pPr>
          </w:p>
        </w:tc>
      </w:tr>
      <w:tr w14:paraId="2478B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6AB1E43A">
            <w:pPr>
              <w:rPr>
                <w:rFonts w:hint="eastAsia" w:ascii="宋体" w:hAnsi="宋体" w:cs="宋体"/>
                <w:color w:val="000000"/>
                <w:szCs w:val="21"/>
              </w:rPr>
            </w:pPr>
          </w:p>
        </w:tc>
        <w:tc>
          <w:tcPr>
            <w:tcW w:w="1418" w:type="dxa"/>
            <w:noWrap w:val="0"/>
            <w:vAlign w:val="top"/>
          </w:tcPr>
          <w:p w14:paraId="1F4976AF">
            <w:pPr>
              <w:rPr>
                <w:rFonts w:hint="eastAsia" w:ascii="宋体" w:hAnsi="宋体" w:cs="宋体"/>
                <w:color w:val="000000"/>
                <w:szCs w:val="21"/>
              </w:rPr>
            </w:pPr>
          </w:p>
        </w:tc>
        <w:tc>
          <w:tcPr>
            <w:tcW w:w="850" w:type="dxa"/>
            <w:noWrap w:val="0"/>
            <w:vAlign w:val="top"/>
          </w:tcPr>
          <w:p w14:paraId="020F37EB">
            <w:pPr>
              <w:rPr>
                <w:rFonts w:hint="eastAsia" w:ascii="宋体" w:hAnsi="宋体" w:cs="宋体"/>
                <w:color w:val="000000"/>
                <w:szCs w:val="21"/>
              </w:rPr>
            </w:pPr>
          </w:p>
        </w:tc>
        <w:tc>
          <w:tcPr>
            <w:tcW w:w="709" w:type="dxa"/>
            <w:noWrap w:val="0"/>
            <w:vAlign w:val="top"/>
          </w:tcPr>
          <w:p w14:paraId="46C39710">
            <w:pPr>
              <w:rPr>
                <w:rFonts w:hint="eastAsia" w:ascii="宋体" w:hAnsi="宋体" w:cs="宋体"/>
                <w:color w:val="000000"/>
                <w:szCs w:val="21"/>
              </w:rPr>
            </w:pPr>
          </w:p>
        </w:tc>
        <w:tc>
          <w:tcPr>
            <w:tcW w:w="850" w:type="dxa"/>
            <w:noWrap w:val="0"/>
            <w:vAlign w:val="top"/>
          </w:tcPr>
          <w:p w14:paraId="105FB488">
            <w:pPr>
              <w:rPr>
                <w:rFonts w:hint="eastAsia" w:ascii="宋体" w:hAnsi="宋体" w:cs="宋体"/>
                <w:color w:val="000000"/>
                <w:szCs w:val="21"/>
              </w:rPr>
            </w:pPr>
          </w:p>
        </w:tc>
        <w:tc>
          <w:tcPr>
            <w:tcW w:w="963" w:type="dxa"/>
            <w:noWrap w:val="0"/>
            <w:vAlign w:val="top"/>
          </w:tcPr>
          <w:p w14:paraId="7903563D">
            <w:pPr>
              <w:rPr>
                <w:rFonts w:hint="eastAsia" w:ascii="宋体" w:hAnsi="宋体" w:cs="宋体"/>
                <w:color w:val="000000"/>
                <w:szCs w:val="21"/>
              </w:rPr>
            </w:pPr>
          </w:p>
        </w:tc>
        <w:tc>
          <w:tcPr>
            <w:tcW w:w="1480" w:type="dxa"/>
            <w:noWrap w:val="0"/>
            <w:vAlign w:val="top"/>
          </w:tcPr>
          <w:p w14:paraId="299643F0">
            <w:pPr>
              <w:rPr>
                <w:rFonts w:hint="eastAsia" w:ascii="宋体" w:hAnsi="宋体" w:cs="宋体"/>
                <w:color w:val="000000"/>
                <w:szCs w:val="21"/>
              </w:rPr>
            </w:pPr>
          </w:p>
        </w:tc>
        <w:tc>
          <w:tcPr>
            <w:tcW w:w="1020" w:type="dxa"/>
            <w:noWrap w:val="0"/>
            <w:vAlign w:val="top"/>
          </w:tcPr>
          <w:p w14:paraId="4653D33E">
            <w:pPr>
              <w:rPr>
                <w:rFonts w:hint="eastAsia" w:ascii="宋体" w:hAnsi="宋体" w:cs="宋体"/>
                <w:color w:val="000000"/>
                <w:szCs w:val="21"/>
              </w:rPr>
            </w:pPr>
          </w:p>
        </w:tc>
        <w:tc>
          <w:tcPr>
            <w:tcW w:w="932" w:type="dxa"/>
            <w:noWrap w:val="0"/>
            <w:vAlign w:val="top"/>
          </w:tcPr>
          <w:p w14:paraId="61810C24">
            <w:pPr>
              <w:rPr>
                <w:rFonts w:hint="eastAsia" w:ascii="宋体" w:hAnsi="宋体" w:cs="宋体"/>
                <w:color w:val="000000"/>
                <w:szCs w:val="21"/>
              </w:rPr>
            </w:pPr>
          </w:p>
        </w:tc>
      </w:tr>
      <w:tr w14:paraId="73D35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3D9EEBD8">
            <w:pPr>
              <w:rPr>
                <w:rFonts w:hint="eastAsia" w:ascii="宋体" w:hAnsi="宋体" w:cs="宋体"/>
                <w:color w:val="000000"/>
                <w:szCs w:val="21"/>
              </w:rPr>
            </w:pPr>
          </w:p>
        </w:tc>
        <w:tc>
          <w:tcPr>
            <w:tcW w:w="1418" w:type="dxa"/>
            <w:noWrap w:val="0"/>
            <w:vAlign w:val="top"/>
          </w:tcPr>
          <w:p w14:paraId="05471ACD">
            <w:pPr>
              <w:rPr>
                <w:rFonts w:hint="eastAsia" w:ascii="宋体" w:hAnsi="宋体" w:cs="宋体"/>
                <w:color w:val="000000"/>
                <w:szCs w:val="21"/>
              </w:rPr>
            </w:pPr>
          </w:p>
        </w:tc>
        <w:tc>
          <w:tcPr>
            <w:tcW w:w="850" w:type="dxa"/>
            <w:noWrap w:val="0"/>
            <w:vAlign w:val="top"/>
          </w:tcPr>
          <w:p w14:paraId="12FD512E">
            <w:pPr>
              <w:rPr>
                <w:rFonts w:hint="eastAsia" w:ascii="宋体" w:hAnsi="宋体" w:cs="宋体"/>
                <w:color w:val="000000"/>
                <w:szCs w:val="21"/>
              </w:rPr>
            </w:pPr>
          </w:p>
        </w:tc>
        <w:tc>
          <w:tcPr>
            <w:tcW w:w="709" w:type="dxa"/>
            <w:noWrap w:val="0"/>
            <w:vAlign w:val="top"/>
          </w:tcPr>
          <w:p w14:paraId="55BF8D81">
            <w:pPr>
              <w:rPr>
                <w:rFonts w:hint="eastAsia" w:ascii="宋体" w:hAnsi="宋体" w:cs="宋体"/>
                <w:color w:val="000000"/>
                <w:szCs w:val="21"/>
              </w:rPr>
            </w:pPr>
          </w:p>
        </w:tc>
        <w:tc>
          <w:tcPr>
            <w:tcW w:w="850" w:type="dxa"/>
            <w:noWrap w:val="0"/>
            <w:vAlign w:val="top"/>
          </w:tcPr>
          <w:p w14:paraId="274ADA9F">
            <w:pPr>
              <w:rPr>
                <w:rFonts w:hint="eastAsia" w:ascii="宋体" w:hAnsi="宋体" w:cs="宋体"/>
                <w:color w:val="000000"/>
                <w:szCs w:val="21"/>
              </w:rPr>
            </w:pPr>
          </w:p>
        </w:tc>
        <w:tc>
          <w:tcPr>
            <w:tcW w:w="963" w:type="dxa"/>
            <w:noWrap w:val="0"/>
            <w:vAlign w:val="top"/>
          </w:tcPr>
          <w:p w14:paraId="5A18C35D">
            <w:pPr>
              <w:rPr>
                <w:rFonts w:hint="eastAsia" w:ascii="宋体" w:hAnsi="宋体" w:cs="宋体"/>
                <w:color w:val="000000"/>
                <w:szCs w:val="21"/>
              </w:rPr>
            </w:pPr>
          </w:p>
        </w:tc>
        <w:tc>
          <w:tcPr>
            <w:tcW w:w="1480" w:type="dxa"/>
            <w:noWrap w:val="0"/>
            <w:vAlign w:val="top"/>
          </w:tcPr>
          <w:p w14:paraId="286A1876">
            <w:pPr>
              <w:rPr>
                <w:rFonts w:hint="eastAsia" w:ascii="宋体" w:hAnsi="宋体" w:cs="宋体"/>
                <w:color w:val="000000"/>
                <w:szCs w:val="21"/>
              </w:rPr>
            </w:pPr>
          </w:p>
        </w:tc>
        <w:tc>
          <w:tcPr>
            <w:tcW w:w="1020" w:type="dxa"/>
            <w:noWrap w:val="0"/>
            <w:vAlign w:val="top"/>
          </w:tcPr>
          <w:p w14:paraId="0418BC3A">
            <w:pPr>
              <w:rPr>
                <w:rFonts w:hint="eastAsia" w:ascii="宋体" w:hAnsi="宋体" w:cs="宋体"/>
                <w:color w:val="000000"/>
                <w:szCs w:val="21"/>
              </w:rPr>
            </w:pPr>
          </w:p>
        </w:tc>
        <w:tc>
          <w:tcPr>
            <w:tcW w:w="932" w:type="dxa"/>
            <w:noWrap w:val="0"/>
            <w:vAlign w:val="top"/>
          </w:tcPr>
          <w:p w14:paraId="35A2CA3D">
            <w:pPr>
              <w:rPr>
                <w:rFonts w:hint="eastAsia" w:ascii="宋体" w:hAnsi="宋体" w:cs="宋体"/>
                <w:color w:val="000000"/>
                <w:szCs w:val="21"/>
              </w:rPr>
            </w:pPr>
          </w:p>
        </w:tc>
      </w:tr>
      <w:tr w14:paraId="072BED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bottom w:val="single" w:color="auto" w:sz="12" w:space="0"/>
            </w:tcBorders>
            <w:noWrap w:val="0"/>
            <w:vAlign w:val="top"/>
          </w:tcPr>
          <w:p w14:paraId="55BD2607">
            <w:pPr>
              <w:rPr>
                <w:rFonts w:hint="eastAsia" w:ascii="宋体" w:hAnsi="宋体" w:cs="宋体"/>
                <w:color w:val="000000"/>
                <w:szCs w:val="21"/>
              </w:rPr>
            </w:pPr>
          </w:p>
        </w:tc>
        <w:tc>
          <w:tcPr>
            <w:tcW w:w="1418" w:type="dxa"/>
            <w:tcBorders>
              <w:bottom w:val="single" w:color="auto" w:sz="12" w:space="0"/>
            </w:tcBorders>
            <w:noWrap w:val="0"/>
            <w:vAlign w:val="top"/>
          </w:tcPr>
          <w:p w14:paraId="0ECB6BF8">
            <w:pPr>
              <w:rPr>
                <w:rFonts w:hint="eastAsia" w:ascii="宋体" w:hAnsi="宋体" w:cs="宋体"/>
                <w:color w:val="000000"/>
                <w:szCs w:val="21"/>
              </w:rPr>
            </w:pPr>
          </w:p>
        </w:tc>
        <w:tc>
          <w:tcPr>
            <w:tcW w:w="850" w:type="dxa"/>
            <w:tcBorders>
              <w:bottom w:val="single" w:color="auto" w:sz="12" w:space="0"/>
            </w:tcBorders>
            <w:noWrap w:val="0"/>
            <w:vAlign w:val="top"/>
          </w:tcPr>
          <w:p w14:paraId="16CC2A50">
            <w:pPr>
              <w:rPr>
                <w:rFonts w:hint="eastAsia" w:ascii="宋体" w:hAnsi="宋体" w:cs="宋体"/>
                <w:color w:val="000000"/>
                <w:szCs w:val="21"/>
              </w:rPr>
            </w:pPr>
          </w:p>
        </w:tc>
        <w:tc>
          <w:tcPr>
            <w:tcW w:w="709" w:type="dxa"/>
            <w:tcBorders>
              <w:bottom w:val="single" w:color="auto" w:sz="12" w:space="0"/>
            </w:tcBorders>
            <w:noWrap w:val="0"/>
            <w:vAlign w:val="top"/>
          </w:tcPr>
          <w:p w14:paraId="320B6761">
            <w:pPr>
              <w:rPr>
                <w:rFonts w:hint="eastAsia" w:ascii="宋体" w:hAnsi="宋体" w:cs="宋体"/>
                <w:color w:val="000000"/>
                <w:szCs w:val="21"/>
              </w:rPr>
            </w:pPr>
          </w:p>
        </w:tc>
        <w:tc>
          <w:tcPr>
            <w:tcW w:w="850" w:type="dxa"/>
            <w:tcBorders>
              <w:bottom w:val="single" w:color="auto" w:sz="12" w:space="0"/>
            </w:tcBorders>
            <w:noWrap w:val="0"/>
            <w:vAlign w:val="top"/>
          </w:tcPr>
          <w:p w14:paraId="0B6DD956">
            <w:pPr>
              <w:rPr>
                <w:rFonts w:hint="eastAsia" w:ascii="宋体" w:hAnsi="宋体" w:cs="宋体"/>
                <w:color w:val="000000"/>
                <w:szCs w:val="21"/>
              </w:rPr>
            </w:pPr>
          </w:p>
        </w:tc>
        <w:tc>
          <w:tcPr>
            <w:tcW w:w="963" w:type="dxa"/>
            <w:tcBorders>
              <w:bottom w:val="single" w:color="auto" w:sz="12" w:space="0"/>
            </w:tcBorders>
            <w:noWrap w:val="0"/>
            <w:vAlign w:val="top"/>
          </w:tcPr>
          <w:p w14:paraId="619BCC8D">
            <w:pPr>
              <w:rPr>
                <w:rFonts w:hint="eastAsia" w:ascii="宋体" w:hAnsi="宋体" w:cs="宋体"/>
                <w:color w:val="000000"/>
                <w:szCs w:val="21"/>
              </w:rPr>
            </w:pPr>
          </w:p>
        </w:tc>
        <w:tc>
          <w:tcPr>
            <w:tcW w:w="1480" w:type="dxa"/>
            <w:tcBorders>
              <w:bottom w:val="single" w:color="auto" w:sz="12" w:space="0"/>
            </w:tcBorders>
            <w:noWrap w:val="0"/>
            <w:vAlign w:val="top"/>
          </w:tcPr>
          <w:p w14:paraId="3C426AE1">
            <w:pPr>
              <w:rPr>
                <w:rFonts w:hint="eastAsia" w:ascii="宋体" w:hAnsi="宋体" w:cs="宋体"/>
                <w:color w:val="000000"/>
                <w:szCs w:val="21"/>
              </w:rPr>
            </w:pPr>
          </w:p>
        </w:tc>
        <w:tc>
          <w:tcPr>
            <w:tcW w:w="1020" w:type="dxa"/>
            <w:tcBorders>
              <w:bottom w:val="single" w:color="auto" w:sz="12" w:space="0"/>
            </w:tcBorders>
            <w:noWrap w:val="0"/>
            <w:vAlign w:val="top"/>
          </w:tcPr>
          <w:p w14:paraId="04CCEB65">
            <w:pPr>
              <w:rPr>
                <w:rFonts w:hint="eastAsia" w:ascii="宋体" w:hAnsi="宋体" w:cs="宋体"/>
                <w:color w:val="000000"/>
                <w:szCs w:val="21"/>
              </w:rPr>
            </w:pPr>
          </w:p>
        </w:tc>
        <w:tc>
          <w:tcPr>
            <w:tcW w:w="932" w:type="dxa"/>
            <w:tcBorders>
              <w:bottom w:val="single" w:color="auto" w:sz="12" w:space="0"/>
            </w:tcBorders>
            <w:noWrap w:val="0"/>
            <w:vAlign w:val="top"/>
          </w:tcPr>
          <w:p w14:paraId="59719D41">
            <w:pPr>
              <w:rPr>
                <w:rFonts w:hint="eastAsia" w:ascii="宋体" w:hAnsi="宋体" w:cs="宋体"/>
                <w:color w:val="000000"/>
                <w:szCs w:val="21"/>
              </w:rPr>
            </w:pPr>
          </w:p>
        </w:tc>
      </w:tr>
    </w:tbl>
    <w:p w14:paraId="01BAC0B4">
      <w:pPr>
        <w:rPr>
          <w:rFonts w:hint="eastAsia" w:ascii="宋体" w:hAnsi="宋体" w:cs="宋体"/>
          <w:color w:val="000000"/>
          <w:szCs w:val="21"/>
        </w:rPr>
      </w:pPr>
    </w:p>
    <w:p w14:paraId="5585C2BC">
      <w:pPr>
        <w:widowControl/>
        <w:spacing w:line="360" w:lineRule="auto"/>
        <w:rPr>
          <w:rFonts w:hint="eastAsia" w:ascii="宋体" w:hAnsi="宋体" w:cs="宋体"/>
          <w:color w:val="000000"/>
          <w:szCs w:val="21"/>
        </w:rPr>
      </w:pPr>
    </w:p>
    <w:p w14:paraId="05718EB9">
      <w:pPr>
        <w:widowControl/>
        <w:spacing w:line="360" w:lineRule="auto"/>
        <w:rPr>
          <w:rFonts w:hint="eastAsia" w:ascii="宋体" w:hAnsi="宋体" w:cs="宋体"/>
          <w:color w:val="000000"/>
          <w:szCs w:val="21"/>
        </w:rPr>
      </w:pPr>
    </w:p>
    <w:p w14:paraId="712F931F">
      <w:pPr>
        <w:widowControl/>
        <w:spacing w:line="360" w:lineRule="auto"/>
        <w:rPr>
          <w:rFonts w:hint="eastAsia" w:ascii="宋体" w:hAnsi="宋体" w:cs="宋体"/>
          <w:color w:val="000000"/>
          <w:szCs w:val="21"/>
        </w:rPr>
      </w:pPr>
    </w:p>
    <w:p w14:paraId="6247D2D4">
      <w:pPr>
        <w:widowControl/>
        <w:spacing w:line="360" w:lineRule="auto"/>
        <w:rPr>
          <w:rFonts w:hint="eastAsia" w:ascii="宋体" w:hAnsi="宋体" w:cs="宋体"/>
          <w:color w:val="000000"/>
          <w:szCs w:val="21"/>
        </w:rPr>
      </w:pPr>
    </w:p>
    <w:p w14:paraId="63571358">
      <w:pPr>
        <w:widowControl/>
        <w:spacing w:line="360" w:lineRule="auto"/>
        <w:rPr>
          <w:rFonts w:hint="eastAsia" w:ascii="宋体" w:hAnsi="宋体" w:cs="宋体"/>
          <w:color w:val="000000"/>
          <w:szCs w:val="21"/>
        </w:rPr>
      </w:pPr>
    </w:p>
    <w:p w14:paraId="2C5F191B">
      <w:pPr>
        <w:widowControl/>
        <w:spacing w:line="360" w:lineRule="auto"/>
        <w:rPr>
          <w:rFonts w:hint="eastAsia" w:ascii="宋体" w:hAnsi="宋体" w:cs="宋体"/>
          <w:color w:val="000000"/>
          <w:szCs w:val="21"/>
        </w:rPr>
      </w:pPr>
    </w:p>
    <w:p w14:paraId="5250B392">
      <w:pPr>
        <w:widowControl/>
        <w:spacing w:line="360" w:lineRule="auto"/>
        <w:rPr>
          <w:rFonts w:hint="eastAsia" w:ascii="宋体" w:hAnsi="宋体" w:cs="宋体"/>
          <w:color w:val="000000"/>
          <w:szCs w:val="21"/>
        </w:rPr>
      </w:pPr>
    </w:p>
    <w:p w14:paraId="065C3A8E">
      <w:pPr>
        <w:widowControl/>
        <w:spacing w:line="360" w:lineRule="auto"/>
        <w:rPr>
          <w:rFonts w:hint="eastAsia" w:ascii="宋体" w:hAnsi="宋体" w:cs="宋体"/>
          <w:color w:val="000000"/>
          <w:sz w:val="24"/>
        </w:rPr>
      </w:pPr>
    </w:p>
    <w:p w14:paraId="53FBDD36">
      <w:pPr>
        <w:rPr>
          <w:rFonts w:hint="eastAsia" w:ascii="宋体" w:hAnsi="宋体" w:cs="宋体"/>
          <w:bCs/>
          <w:color w:val="000000"/>
          <w:sz w:val="24"/>
        </w:rPr>
      </w:pPr>
      <w:bookmarkStart w:id="879" w:name="_Toc95223492"/>
      <w:r>
        <w:rPr>
          <w:rFonts w:hint="eastAsia" w:ascii="宋体" w:hAnsi="宋体" w:cs="宋体"/>
          <w:bCs/>
          <w:color w:val="000000"/>
          <w:sz w:val="24"/>
        </w:rPr>
        <w:br w:type="page"/>
      </w:r>
    </w:p>
    <w:p w14:paraId="0B2B87D6">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t>附</w:t>
      </w:r>
      <w:bookmarkStart w:id="880" w:name="_Toc296891268"/>
      <w:bookmarkStart w:id="881" w:name="_Toc296891056"/>
      <w:bookmarkStart w:id="882" w:name="_Toc296347227"/>
      <w:bookmarkStart w:id="883" w:name="_Toc267261699"/>
      <w:bookmarkStart w:id="884" w:name="_Toc296944567"/>
      <w:bookmarkStart w:id="885" w:name="_Toc296503228"/>
      <w:bookmarkStart w:id="886" w:name="_Toc296346729"/>
      <w:r>
        <w:rPr>
          <w:rFonts w:hint="eastAsia" w:ascii="宋体" w:hAnsi="宋体" w:cs="宋体"/>
          <w:bCs/>
          <w:color w:val="000000"/>
          <w:sz w:val="24"/>
        </w:rPr>
        <w:t>件</w:t>
      </w:r>
      <w:bookmarkEnd w:id="880"/>
      <w:bookmarkEnd w:id="881"/>
      <w:bookmarkEnd w:id="882"/>
      <w:bookmarkEnd w:id="883"/>
      <w:bookmarkEnd w:id="884"/>
      <w:bookmarkEnd w:id="885"/>
      <w:bookmarkEnd w:id="886"/>
      <w:r>
        <w:rPr>
          <w:rFonts w:hint="eastAsia" w:ascii="宋体" w:hAnsi="宋体" w:cs="宋体"/>
          <w:bCs/>
          <w:color w:val="000000"/>
          <w:sz w:val="24"/>
        </w:rPr>
        <w:t>6：承包人主要施工管理人员表</w:t>
      </w:r>
      <w:bookmarkEnd w:id="879"/>
    </w:p>
    <w:p w14:paraId="12EA1DA6">
      <w:pPr>
        <w:spacing w:line="360" w:lineRule="auto"/>
        <w:jc w:val="center"/>
        <w:rPr>
          <w:rFonts w:hint="eastAsia" w:ascii="宋体" w:hAnsi="宋体" w:cs="宋体"/>
          <w:color w:val="000000"/>
          <w:sz w:val="24"/>
        </w:rPr>
      </w:pPr>
      <w:r>
        <w:rPr>
          <w:rFonts w:hint="eastAsia" w:ascii="宋体" w:hAnsi="宋体" w:cs="宋体"/>
          <w:color w:val="000000"/>
          <w:sz w:val="24"/>
        </w:rPr>
        <w:t>承包人主要施工管理人员表</w:t>
      </w:r>
    </w:p>
    <w:tbl>
      <w:tblPr>
        <w:tblStyle w:val="47"/>
        <w:tblW w:w="511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29"/>
        <w:gridCol w:w="1156"/>
        <w:gridCol w:w="926"/>
        <w:gridCol w:w="926"/>
        <w:gridCol w:w="2358"/>
        <w:gridCol w:w="2124"/>
      </w:tblGrid>
      <w:tr w14:paraId="33A43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single" w:color="auto" w:sz="12" w:space="0"/>
              <w:bottom w:val="double" w:color="auto" w:sz="6" w:space="0"/>
            </w:tcBorders>
            <w:noWrap w:val="0"/>
            <w:vAlign w:val="center"/>
          </w:tcPr>
          <w:p w14:paraId="5A15560C">
            <w:pPr>
              <w:keepNext/>
              <w:spacing w:line="360" w:lineRule="auto"/>
              <w:jc w:val="center"/>
              <w:rPr>
                <w:rFonts w:hint="eastAsia" w:ascii="宋体" w:hAnsi="宋体" w:cs="宋体"/>
                <w:color w:val="000000"/>
                <w:szCs w:val="21"/>
              </w:rPr>
            </w:pPr>
            <w:r>
              <w:rPr>
                <w:rFonts w:hint="eastAsia" w:ascii="宋体" w:hAnsi="宋体" w:cs="宋体"/>
                <w:color w:val="000000"/>
                <w:szCs w:val="21"/>
              </w:rPr>
              <w:t>名    称</w:t>
            </w:r>
          </w:p>
        </w:tc>
        <w:tc>
          <w:tcPr>
            <w:tcW w:w="627" w:type="pct"/>
            <w:tcBorders>
              <w:top w:val="single" w:color="auto" w:sz="12" w:space="0"/>
              <w:bottom w:val="double" w:color="auto" w:sz="6" w:space="0"/>
            </w:tcBorders>
            <w:noWrap w:val="0"/>
            <w:vAlign w:val="center"/>
          </w:tcPr>
          <w:p w14:paraId="6D666670">
            <w:pPr>
              <w:keepNext/>
              <w:spacing w:line="360" w:lineRule="auto"/>
              <w:jc w:val="center"/>
              <w:rPr>
                <w:rFonts w:hint="eastAsia" w:ascii="宋体" w:hAnsi="宋体" w:cs="宋体"/>
                <w:color w:val="000000"/>
                <w:szCs w:val="21"/>
              </w:rPr>
            </w:pPr>
            <w:r>
              <w:rPr>
                <w:rFonts w:hint="eastAsia" w:ascii="宋体" w:hAnsi="宋体" w:cs="宋体"/>
                <w:color w:val="000000"/>
                <w:szCs w:val="21"/>
              </w:rPr>
              <w:t>姓名</w:t>
            </w:r>
          </w:p>
        </w:tc>
        <w:tc>
          <w:tcPr>
            <w:tcW w:w="502" w:type="pct"/>
            <w:tcBorders>
              <w:top w:val="single" w:color="auto" w:sz="12" w:space="0"/>
              <w:bottom w:val="double" w:color="auto" w:sz="6" w:space="0"/>
            </w:tcBorders>
            <w:noWrap w:val="0"/>
            <w:vAlign w:val="center"/>
          </w:tcPr>
          <w:p w14:paraId="12DEEE6E">
            <w:pPr>
              <w:keepNext/>
              <w:spacing w:line="360" w:lineRule="auto"/>
              <w:jc w:val="center"/>
              <w:rPr>
                <w:rFonts w:hint="eastAsia" w:ascii="宋体" w:hAnsi="宋体" w:cs="宋体"/>
                <w:color w:val="000000"/>
                <w:szCs w:val="21"/>
              </w:rPr>
            </w:pPr>
            <w:r>
              <w:rPr>
                <w:rFonts w:hint="eastAsia" w:ascii="宋体" w:hAnsi="宋体" w:cs="宋体"/>
                <w:color w:val="000000"/>
                <w:szCs w:val="21"/>
              </w:rPr>
              <w:t>职务</w:t>
            </w:r>
          </w:p>
        </w:tc>
        <w:tc>
          <w:tcPr>
            <w:tcW w:w="502" w:type="pct"/>
            <w:tcBorders>
              <w:top w:val="single" w:color="auto" w:sz="12" w:space="0"/>
              <w:bottom w:val="double" w:color="auto" w:sz="6" w:space="0"/>
            </w:tcBorders>
            <w:noWrap w:val="0"/>
            <w:vAlign w:val="center"/>
          </w:tcPr>
          <w:p w14:paraId="181E7294">
            <w:pPr>
              <w:keepNext/>
              <w:spacing w:line="360" w:lineRule="auto"/>
              <w:jc w:val="center"/>
              <w:rPr>
                <w:rFonts w:hint="eastAsia" w:ascii="宋体" w:hAnsi="宋体" w:cs="宋体"/>
                <w:color w:val="000000"/>
                <w:szCs w:val="21"/>
              </w:rPr>
            </w:pPr>
            <w:r>
              <w:rPr>
                <w:rFonts w:hint="eastAsia" w:ascii="宋体" w:hAnsi="宋体" w:cs="宋体"/>
                <w:color w:val="000000"/>
                <w:szCs w:val="21"/>
              </w:rPr>
              <w:t>职称</w:t>
            </w:r>
          </w:p>
        </w:tc>
        <w:tc>
          <w:tcPr>
            <w:tcW w:w="1279" w:type="pct"/>
            <w:tcBorders>
              <w:top w:val="single" w:color="auto" w:sz="12" w:space="0"/>
              <w:bottom w:val="double" w:color="auto" w:sz="6" w:space="0"/>
            </w:tcBorders>
            <w:noWrap w:val="0"/>
            <w:vAlign w:val="center"/>
          </w:tcPr>
          <w:p w14:paraId="1C9579C9">
            <w:pPr>
              <w:keepNext/>
              <w:spacing w:line="360" w:lineRule="auto"/>
              <w:jc w:val="center"/>
              <w:rPr>
                <w:rFonts w:hint="eastAsia" w:ascii="宋体" w:hAnsi="宋体" w:cs="宋体"/>
                <w:color w:val="000000"/>
                <w:szCs w:val="21"/>
              </w:rPr>
            </w:pPr>
            <w:r>
              <w:rPr>
                <w:rFonts w:hint="eastAsia" w:ascii="宋体" w:hAnsi="宋体" w:cs="宋体"/>
                <w:color w:val="000000"/>
                <w:szCs w:val="21"/>
              </w:rPr>
              <w:t>主要资历、经验及承担过的项目</w:t>
            </w:r>
          </w:p>
        </w:tc>
        <w:tc>
          <w:tcPr>
            <w:tcW w:w="1153" w:type="pct"/>
            <w:tcBorders>
              <w:top w:val="single" w:color="auto" w:sz="12" w:space="0"/>
              <w:bottom w:val="double" w:color="auto" w:sz="6" w:space="0"/>
            </w:tcBorders>
            <w:noWrap w:val="0"/>
            <w:vAlign w:val="top"/>
          </w:tcPr>
          <w:p w14:paraId="436CD293">
            <w:pPr>
              <w:keepNext/>
              <w:spacing w:line="360" w:lineRule="auto"/>
              <w:jc w:val="center"/>
              <w:rPr>
                <w:rFonts w:hint="eastAsia" w:ascii="宋体" w:hAnsi="宋体" w:cs="宋体"/>
                <w:color w:val="000000"/>
                <w:szCs w:val="21"/>
              </w:rPr>
            </w:pPr>
            <w:r>
              <w:rPr>
                <w:rFonts w:hint="eastAsia" w:ascii="宋体" w:hAnsi="宋体" w:cs="宋体"/>
                <w:color w:val="000000"/>
                <w:szCs w:val="21"/>
              </w:rPr>
              <w:t>身份证号码</w:t>
            </w:r>
          </w:p>
        </w:tc>
      </w:tr>
      <w:tr w14:paraId="06697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tcBorders>
              <w:top w:val="double" w:color="auto" w:sz="6" w:space="0"/>
            </w:tcBorders>
            <w:noWrap w:val="0"/>
            <w:vAlign w:val="center"/>
          </w:tcPr>
          <w:p w14:paraId="61642AA1">
            <w:pPr>
              <w:keepNext/>
              <w:spacing w:line="360" w:lineRule="auto"/>
              <w:jc w:val="center"/>
              <w:rPr>
                <w:rFonts w:hint="eastAsia" w:ascii="宋体" w:hAnsi="宋体" w:cs="宋体"/>
                <w:color w:val="000000"/>
                <w:szCs w:val="21"/>
              </w:rPr>
            </w:pPr>
            <w:r>
              <w:rPr>
                <w:rFonts w:hint="eastAsia" w:ascii="宋体" w:hAnsi="宋体" w:cs="宋体"/>
                <w:color w:val="000000"/>
                <w:szCs w:val="21"/>
              </w:rPr>
              <w:t>一、总部人员</w:t>
            </w:r>
          </w:p>
        </w:tc>
        <w:tc>
          <w:tcPr>
            <w:tcW w:w="1153" w:type="pct"/>
            <w:tcBorders>
              <w:top w:val="double" w:color="auto" w:sz="6" w:space="0"/>
            </w:tcBorders>
            <w:noWrap w:val="0"/>
            <w:vAlign w:val="top"/>
          </w:tcPr>
          <w:p w14:paraId="0274D57E">
            <w:pPr>
              <w:keepNext/>
              <w:spacing w:line="360" w:lineRule="auto"/>
              <w:jc w:val="center"/>
              <w:rPr>
                <w:rFonts w:hint="eastAsia" w:ascii="宋体" w:hAnsi="宋体" w:cs="宋体"/>
                <w:color w:val="000000"/>
                <w:szCs w:val="21"/>
              </w:rPr>
            </w:pPr>
          </w:p>
        </w:tc>
      </w:tr>
      <w:tr w14:paraId="50D5D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27C3E879">
            <w:pPr>
              <w:spacing w:line="360" w:lineRule="auto"/>
              <w:jc w:val="center"/>
              <w:rPr>
                <w:rFonts w:hint="eastAsia" w:ascii="宋体" w:hAnsi="宋体" w:cs="宋体"/>
                <w:color w:val="000000"/>
                <w:szCs w:val="21"/>
              </w:rPr>
            </w:pPr>
            <w:r>
              <w:rPr>
                <w:rFonts w:hint="eastAsia" w:ascii="宋体" w:hAnsi="宋体" w:cs="宋体"/>
                <w:color w:val="000000"/>
                <w:szCs w:val="21"/>
              </w:rPr>
              <w:t>项目主管</w:t>
            </w:r>
          </w:p>
        </w:tc>
        <w:tc>
          <w:tcPr>
            <w:tcW w:w="627" w:type="pct"/>
            <w:tcBorders>
              <w:top w:val="nil"/>
            </w:tcBorders>
            <w:noWrap w:val="0"/>
            <w:vAlign w:val="center"/>
          </w:tcPr>
          <w:p w14:paraId="552B2FB8">
            <w:pPr>
              <w:keepNext/>
              <w:spacing w:line="360" w:lineRule="auto"/>
              <w:jc w:val="center"/>
              <w:rPr>
                <w:rFonts w:hint="eastAsia" w:ascii="宋体" w:hAnsi="宋体" w:cs="宋体"/>
                <w:color w:val="000000"/>
                <w:szCs w:val="21"/>
              </w:rPr>
            </w:pPr>
          </w:p>
        </w:tc>
        <w:tc>
          <w:tcPr>
            <w:tcW w:w="502" w:type="pct"/>
            <w:tcBorders>
              <w:top w:val="nil"/>
            </w:tcBorders>
            <w:noWrap w:val="0"/>
            <w:vAlign w:val="center"/>
          </w:tcPr>
          <w:p w14:paraId="7D64F8AC">
            <w:pPr>
              <w:keepNext/>
              <w:spacing w:line="360" w:lineRule="auto"/>
              <w:jc w:val="center"/>
              <w:rPr>
                <w:rFonts w:hint="eastAsia" w:ascii="宋体" w:hAnsi="宋体" w:cs="宋体"/>
                <w:color w:val="000000"/>
                <w:szCs w:val="21"/>
              </w:rPr>
            </w:pPr>
          </w:p>
        </w:tc>
        <w:tc>
          <w:tcPr>
            <w:tcW w:w="502" w:type="pct"/>
            <w:tcBorders>
              <w:top w:val="nil"/>
            </w:tcBorders>
            <w:noWrap w:val="0"/>
            <w:vAlign w:val="center"/>
          </w:tcPr>
          <w:p w14:paraId="58A53FFA">
            <w:pPr>
              <w:keepNext/>
              <w:spacing w:line="360" w:lineRule="auto"/>
              <w:jc w:val="center"/>
              <w:rPr>
                <w:rFonts w:hint="eastAsia" w:ascii="宋体" w:hAnsi="宋体" w:cs="宋体"/>
                <w:color w:val="000000"/>
                <w:szCs w:val="21"/>
              </w:rPr>
            </w:pPr>
          </w:p>
        </w:tc>
        <w:tc>
          <w:tcPr>
            <w:tcW w:w="1279" w:type="pct"/>
            <w:tcBorders>
              <w:top w:val="nil"/>
            </w:tcBorders>
            <w:noWrap w:val="0"/>
            <w:vAlign w:val="center"/>
          </w:tcPr>
          <w:p w14:paraId="3A087D67">
            <w:pPr>
              <w:keepNext/>
              <w:spacing w:line="360" w:lineRule="auto"/>
              <w:jc w:val="center"/>
              <w:rPr>
                <w:rFonts w:hint="eastAsia" w:ascii="宋体" w:hAnsi="宋体" w:cs="宋体"/>
                <w:color w:val="000000"/>
                <w:szCs w:val="21"/>
              </w:rPr>
            </w:pPr>
          </w:p>
        </w:tc>
        <w:tc>
          <w:tcPr>
            <w:tcW w:w="1153" w:type="pct"/>
            <w:tcBorders>
              <w:top w:val="nil"/>
            </w:tcBorders>
            <w:noWrap w:val="0"/>
            <w:vAlign w:val="top"/>
          </w:tcPr>
          <w:p w14:paraId="4D28BA54">
            <w:pPr>
              <w:keepNext/>
              <w:spacing w:line="360" w:lineRule="auto"/>
              <w:jc w:val="center"/>
              <w:rPr>
                <w:rFonts w:hint="eastAsia" w:ascii="宋体" w:hAnsi="宋体" w:cs="宋体"/>
                <w:color w:val="000000"/>
                <w:szCs w:val="21"/>
              </w:rPr>
            </w:pPr>
          </w:p>
        </w:tc>
      </w:tr>
      <w:tr w14:paraId="45402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bottom w:val="nil"/>
            </w:tcBorders>
            <w:noWrap w:val="0"/>
            <w:vAlign w:val="center"/>
          </w:tcPr>
          <w:p w14:paraId="2A885CDB">
            <w:pPr>
              <w:spacing w:line="360" w:lineRule="auto"/>
              <w:jc w:val="center"/>
              <w:rPr>
                <w:rFonts w:hint="eastAsia" w:ascii="宋体" w:hAnsi="宋体" w:cs="宋体"/>
                <w:color w:val="000000"/>
                <w:szCs w:val="21"/>
              </w:rPr>
            </w:pPr>
          </w:p>
        </w:tc>
        <w:tc>
          <w:tcPr>
            <w:tcW w:w="627" w:type="pct"/>
            <w:noWrap w:val="0"/>
            <w:vAlign w:val="center"/>
          </w:tcPr>
          <w:p w14:paraId="59B1BDA6">
            <w:pPr>
              <w:keepNext/>
              <w:spacing w:line="360" w:lineRule="auto"/>
              <w:jc w:val="center"/>
              <w:rPr>
                <w:rFonts w:hint="eastAsia" w:ascii="宋体" w:hAnsi="宋体" w:cs="宋体"/>
                <w:color w:val="000000"/>
                <w:szCs w:val="21"/>
              </w:rPr>
            </w:pPr>
          </w:p>
        </w:tc>
        <w:tc>
          <w:tcPr>
            <w:tcW w:w="502" w:type="pct"/>
            <w:noWrap w:val="0"/>
            <w:vAlign w:val="center"/>
          </w:tcPr>
          <w:p w14:paraId="501443D8">
            <w:pPr>
              <w:keepNext/>
              <w:spacing w:line="360" w:lineRule="auto"/>
              <w:jc w:val="center"/>
              <w:rPr>
                <w:rFonts w:hint="eastAsia" w:ascii="宋体" w:hAnsi="宋体" w:cs="宋体"/>
                <w:color w:val="000000"/>
                <w:szCs w:val="21"/>
              </w:rPr>
            </w:pPr>
          </w:p>
        </w:tc>
        <w:tc>
          <w:tcPr>
            <w:tcW w:w="502" w:type="pct"/>
            <w:noWrap w:val="0"/>
            <w:vAlign w:val="center"/>
          </w:tcPr>
          <w:p w14:paraId="2B6464F2">
            <w:pPr>
              <w:keepNext/>
              <w:spacing w:line="360" w:lineRule="auto"/>
              <w:jc w:val="center"/>
              <w:rPr>
                <w:rFonts w:hint="eastAsia" w:ascii="宋体" w:hAnsi="宋体" w:cs="宋体"/>
                <w:color w:val="000000"/>
                <w:szCs w:val="21"/>
              </w:rPr>
            </w:pPr>
          </w:p>
        </w:tc>
        <w:tc>
          <w:tcPr>
            <w:tcW w:w="1279" w:type="pct"/>
            <w:noWrap w:val="0"/>
            <w:vAlign w:val="center"/>
          </w:tcPr>
          <w:p w14:paraId="19A1C2B4">
            <w:pPr>
              <w:keepNext/>
              <w:spacing w:line="360" w:lineRule="auto"/>
              <w:jc w:val="center"/>
              <w:rPr>
                <w:rFonts w:hint="eastAsia" w:ascii="宋体" w:hAnsi="宋体" w:cs="宋体"/>
                <w:color w:val="000000"/>
                <w:szCs w:val="21"/>
              </w:rPr>
            </w:pPr>
          </w:p>
        </w:tc>
        <w:tc>
          <w:tcPr>
            <w:tcW w:w="1153" w:type="pct"/>
            <w:noWrap w:val="0"/>
            <w:vAlign w:val="top"/>
          </w:tcPr>
          <w:p w14:paraId="0D6D1354">
            <w:pPr>
              <w:keepNext/>
              <w:spacing w:line="360" w:lineRule="auto"/>
              <w:jc w:val="center"/>
              <w:rPr>
                <w:rFonts w:hint="eastAsia" w:ascii="宋体" w:hAnsi="宋体" w:cs="宋体"/>
                <w:color w:val="000000"/>
                <w:szCs w:val="21"/>
              </w:rPr>
            </w:pPr>
          </w:p>
        </w:tc>
      </w:tr>
      <w:tr w14:paraId="17256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3FD62EF1">
            <w:pPr>
              <w:spacing w:line="360" w:lineRule="auto"/>
              <w:jc w:val="center"/>
              <w:rPr>
                <w:rFonts w:hint="eastAsia" w:ascii="宋体" w:hAnsi="宋体" w:cs="宋体"/>
                <w:color w:val="000000"/>
                <w:szCs w:val="21"/>
              </w:rPr>
            </w:pPr>
            <w:r>
              <w:rPr>
                <w:rFonts w:hint="eastAsia" w:ascii="宋体" w:hAnsi="宋体" w:cs="宋体"/>
                <w:color w:val="000000"/>
                <w:szCs w:val="21"/>
              </w:rPr>
              <w:t>其他人员</w:t>
            </w:r>
          </w:p>
        </w:tc>
        <w:tc>
          <w:tcPr>
            <w:tcW w:w="627" w:type="pct"/>
            <w:noWrap w:val="0"/>
            <w:vAlign w:val="center"/>
          </w:tcPr>
          <w:p w14:paraId="4B09C892">
            <w:pPr>
              <w:keepNext/>
              <w:spacing w:line="360" w:lineRule="auto"/>
              <w:jc w:val="center"/>
              <w:rPr>
                <w:rFonts w:hint="eastAsia" w:ascii="宋体" w:hAnsi="宋体" w:cs="宋体"/>
                <w:color w:val="000000"/>
                <w:szCs w:val="21"/>
              </w:rPr>
            </w:pPr>
          </w:p>
        </w:tc>
        <w:tc>
          <w:tcPr>
            <w:tcW w:w="502" w:type="pct"/>
            <w:noWrap w:val="0"/>
            <w:vAlign w:val="center"/>
          </w:tcPr>
          <w:p w14:paraId="082418EC">
            <w:pPr>
              <w:keepNext/>
              <w:spacing w:line="360" w:lineRule="auto"/>
              <w:jc w:val="center"/>
              <w:rPr>
                <w:rFonts w:hint="eastAsia" w:ascii="宋体" w:hAnsi="宋体" w:cs="宋体"/>
                <w:color w:val="000000"/>
                <w:szCs w:val="21"/>
              </w:rPr>
            </w:pPr>
          </w:p>
        </w:tc>
        <w:tc>
          <w:tcPr>
            <w:tcW w:w="502" w:type="pct"/>
            <w:noWrap w:val="0"/>
            <w:vAlign w:val="center"/>
          </w:tcPr>
          <w:p w14:paraId="3024BA26">
            <w:pPr>
              <w:keepNext/>
              <w:spacing w:line="360" w:lineRule="auto"/>
              <w:jc w:val="center"/>
              <w:rPr>
                <w:rFonts w:hint="eastAsia" w:ascii="宋体" w:hAnsi="宋体" w:cs="宋体"/>
                <w:color w:val="000000"/>
                <w:szCs w:val="21"/>
              </w:rPr>
            </w:pPr>
          </w:p>
        </w:tc>
        <w:tc>
          <w:tcPr>
            <w:tcW w:w="1279" w:type="pct"/>
            <w:noWrap w:val="0"/>
            <w:vAlign w:val="center"/>
          </w:tcPr>
          <w:p w14:paraId="7A4E40E8">
            <w:pPr>
              <w:keepNext/>
              <w:spacing w:line="360" w:lineRule="auto"/>
              <w:jc w:val="center"/>
              <w:rPr>
                <w:rFonts w:hint="eastAsia" w:ascii="宋体" w:hAnsi="宋体" w:cs="宋体"/>
                <w:color w:val="000000"/>
                <w:szCs w:val="21"/>
              </w:rPr>
            </w:pPr>
          </w:p>
        </w:tc>
        <w:tc>
          <w:tcPr>
            <w:tcW w:w="1153" w:type="pct"/>
            <w:noWrap w:val="0"/>
            <w:vAlign w:val="top"/>
          </w:tcPr>
          <w:p w14:paraId="12F646D4">
            <w:pPr>
              <w:keepNext/>
              <w:spacing w:line="360" w:lineRule="auto"/>
              <w:jc w:val="center"/>
              <w:rPr>
                <w:rFonts w:hint="eastAsia" w:ascii="宋体" w:hAnsi="宋体" w:cs="宋体"/>
                <w:color w:val="000000"/>
                <w:szCs w:val="21"/>
              </w:rPr>
            </w:pPr>
          </w:p>
        </w:tc>
      </w:tr>
      <w:tr w14:paraId="2327C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41597E10">
            <w:pPr>
              <w:spacing w:line="360" w:lineRule="auto"/>
              <w:jc w:val="center"/>
              <w:rPr>
                <w:rFonts w:hint="eastAsia" w:ascii="宋体" w:hAnsi="宋体" w:cs="宋体"/>
                <w:color w:val="000000"/>
                <w:szCs w:val="21"/>
              </w:rPr>
            </w:pPr>
          </w:p>
        </w:tc>
        <w:tc>
          <w:tcPr>
            <w:tcW w:w="627" w:type="pct"/>
            <w:noWrap w:val="0"/>
            <w:vAlign w:val="center"/>
          </w:tcPr>
          <w:p w14:paraId="5F932537">
            <w:pPr>
              <w:keepNext/>
              <w:spacing w:line="360" w:lineRule="auto"/>
              <w:jc w:val="center"/>
              <w:rPr>
                <w:rFonts w:hint="eastAsia" w:ascii="宋体" w:hAnsi="宋体" w:cs="宋体"/>
                <w:color w:val="000000"/>
                <w:szCs w:val="21"/>
              </w:rPr>
            </w:pPr>
          </w:p>
        </w:tc>
        <w:tc>
          <w:tcPr>
            <w:tcW w:w="502" w:type="pct"/>
            <w:noWrap w:val="0"/>
            <w:vAlign w:val="center"/>
          </w:tcPr>
          <w:p w14:paraId="1B567134">
            <w:pPr>
              <w:keepNext/>
              <w:spacing w:line="360" w:lineRule="auto"/>
              <w:jc w:val="center"/>
              <w:rPr>
                <w:rFonts w:hint="eastAsia" w:ascii="宋体" w:hAnsi="宋体" w:cs="宋体"/>
                <w:color w:val="000000"/>
                <w:szCs w:val="21"/>
              </w:rPr>
            </w:pPr>
          </w:p>
        </w:tc>
        <w:tc>
          <w:tcPr>
            <w:tcW w:w="502" w:type="pct"/>
            <w:noWrap w:val="0"/>
            <w:vAlign w:val="center"/>
          </w:tcPr>
          <w:p w14:paraId="2AB060D9">
            <w:pPr>
              <w:keepNext/>
              <w:spacing w:line="360" w:lineRule="auto"/>
              <w:jc w:val="center"/>
              <w:rPr>
                <w:rFonts w:hint="eastAsia" w:ascii="宋体" w:hAnsi="宋体" w:cs="宋体"/>
                <w:color w:val="000000"/>
                <w:szCs w:val="21"/>
              </w:rPr>
            </w:pPr>
          </w:p>
        </w:tc>
        <w:tc>
          <w:tcPr>
            <w:tcW w:w="1279" w:type="pct"/>
            <w:noWrap w:val="0"/>
            <w:vAlign w:val="center"/>
          </w:tcPr>
          <w:p w14:paraId="0B68D713">
            <w:pPr>
              <w:keepNext/>
              <w:spacing w:line="360" w:lineRule="auto"/>
              <w:jc w:val="center"/>
              <w:rPr>
                <w:rFonts w:hint="eastAsia" w:ascii="宋体" w:hAnsi="宋体" w:cs="宋体"/>
                <w:color w:val="000000"/>
                <w:szCs w:val="21"/>
              </w:rPr>
            </w:pPr>
          </w:p>
        </w:tc>
        <w:tc>
          <w:tcPr>
            <w:tcW w:w="1153" w:type="pct"/>
            <w:noWrap w:val="0"/>
            <w:vAlign w:val="top"/>
          </w:tcPr>
          <w:p w14:paraId="38AE0480">
            <w:pPr>
              <w:keepNext/>
              <w:spacing w:line="360" w:lineRule="auto"/>
              <w:jc w:val="center"/>
              <w:rPr>
                <w:rFonts w:hint="eastAsia" w:ascii="宋体" w:hAnsi="宋体" w:cs="宋体"/>
                <w:color w:val="000000"/>
                <w:szCs w:val="21"/>
              </w:rPr>
            </w:pPr>
          </w:p>
        </w:tc>
      </w:tr>
      <w:tr w14:paraId="4BE5CE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noWrap w:val="0"/>
            <w:vAlign w:val="center"/>
          </w:tcPr>
          <w:p w14:paraId="4E55DC9A">
            <w:pPr>
              <w:keepNext/>
              <w:spacing w:line="360" w:lineRule="auto"/>
              <w:jc w:val="center"/>
              <w:rPr>
                <w:rFonts w:hint="eastAsia" w:ascii="宋体" w:hAnsi="宋体" w:cs="宋体"/>
                <w:color w:val="000000"/>
                <w:szCs w:val="21"/>
              </w:rPr>
            </w:pPr>
            <w:r>
              <w:rPr>
                <w:rFonts w:hint="eastAsia" w:ascii="宋体" w:hAnsi="宋体" w:cs="宋体"/>
                <w:color w:val="000000"/>
                <w:szCs w:val="21"/>
              </w:rPr>
              <w:t>二、现场人员</w:t>
            </w:r>
          </w:p>
        </w:tc>
        <w:tc>
          <w:tcPr>
            <w:tcW w:w="1153" w:type="pct"/>
            <w:noWrap w:val="0"/>
            <w:vAlign w:val="top"/>
          </w:tcPr>
          <w:p w14:paraId="7A33A489">
            <w:pPr>
              <w:keepNext/>
              <w:spacing w:line="360" w:lineRule="auto"/>
              <w:jc w:val="center"/>
              <w:rPr>
                <w:rFonts w:hint="eastAsia" w:ascii="宋体" w:hAnsi="宋体" w:cs="宋体"/>
                <w:color w:val="000000"/>
                <w:szCs w:val="21"/>
              </w:rPr>
            </w:pPr>
          </w:p>
        </w:tc>
      </w:tr>
      <w:tr w14:paraId="04D86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154D267D">
            <w:pPr>
              <w:spacing w:line="360" w:lineRule="auto"/>
              <w:jc w:val="center"/>
              <w:rPr>
                <w:rFonts w:hint="eastAsia" w:ascii="宋体" w:hAnsi="宋体" w:cs="宋体"/>
                <w:color w:val="000000"/>
                <w:szCs w:val="21"/>
              </w:rPr>
            </w:pPr>
            <w:r>
              <w:rPr>
                <w:rFonts w:hint="eastAsia" w:ascii="宋体" w:hAnsi="宋体" w:cs="宋体"/>
                <w:color w:val="000000"/>
                <w:szCs w:val="21"/>
              </w:rPr>
              <w:t>项目经理</w:t>
            </w:r>
          </w:p>
        </w:tc>
        <w:tc>
          <w:tcPr>
            <w:tcW w:w="627" w:type="pct"/>
            <w:noWrap w:val="0"/>
            <w:vAlign w:val="center"/>
          </w:tcPr>
          <w:p w14:paraId="219C31EE">
            <w:pPr>
              <w:keepNext/>
              <w:spacing w:line="360" w:lineRule="auto"/>
              <w:jc w:val="center"/>
              <w:rPr>
                <w:rFonts w:hint="eastAsia" w:ascii="宋体" w:hAnsi="宋体" w:cs="宋体"/>
                <w:color w:val="000000"/>
                <w:szCs w:val="21"/>
              </w:rPr>
            </w:pPr>
          </w:p>
        </w:tc>
        <w:tc>
          <w:tcPr>
            <w:tcW w:w="502" w:type="pct"/>
            <w:noWrap w:val="0"/>
            <w:vAlign w:val="center"/>
          </w:tcPr>
          <w:p w14:paraId="5CF212E6">
            <w:pPr>
              <w:keepNext/>
              <w:spacing w:line="360" w:lineRule="auto"/>
              <w:jc w:val="center"/>
              <w:rPr>
                <w:rFonts w:hint="eastAsia" w:ascii="宋体" w:hAnsi="宋体" w:cs="宋体"/>
                <w:color w:val="000000"/>
                <w:szCs w:val="21"/>
              </w:rPr>
            </w:pPr>
          </w:p>
        </w:tc>
        <w:tc>
          <w:tcPr>
            <w:tcW w:w="502" w:type="pct"/>
            <w:noWrap w:val="0"/>
            <w:vAlign w:val="center"/>
          </w:tcPr>
          <w:p w14:paraId="62E2D749">
            <w:pPr>
              <w:keepNext/>
              <w:spacing w:line="360" w:lineRule="auto"/>
              <w:jc w:val="center"/>
              <w:rPr>
                <w:rFonts w:hint="eastAsia" w:ascii="宋体" w:hAnsi="宋体" w:cs="宋体"/>
                <w:color w:val="000000"/>
                <w:szCs w:val="21"/>
              </w:rPr>
            </w:pPr>
          </w:p>
        </w:tc>
        <w:tc>
          <w:tcPr>
            <w:tcW w:w="1279" w:type="pct"/>
            <w:noWrap w:val="0"/>
            <w:vAlign w:val="center"/>
          </w:tcPr>
          <w:p w14:paraId="76B4CDBB">
            <w:pPr>
              <w:keepNext/>
              <w:spacing w:line="360" w:lineRule="auto"/>
              <w:jc w:val="center"/>
              <w:rPr>
                <w:rFonts w:hint="eastAsia" w:ascii="宋体" w:hAnsi="宋体" w:cs="宋体"/>
                <w:color w:val="000000"/>
                <w:szCs w:val="21"/>
              </w:rPr>
            </w:pPr>
          </w:p>
        </w:tc>
        <w:tc>
          <w:tcPr>
            <w:tcW w:w="1153" w:type="pct"/>
            <w:noWrap w:val="0"/>
            <w:vAlign w:val="top"/>
          </w:tcPr>
          <w:p w14:paraId="5B99ED2C">
            <w:pPr>
              <w:keepNext/>
              <w:spacing w:line="360" w:lineRule="auto"/>
              <w:jc w:val="center"/>
              <w:rPr>
                <w:rFonts w:hint="eastAsia" w:ascii="宋体" w:hAnsi="宋体" w:cs="宋体"/>
                <w:color w:val="000000"/>
                <w:szCs w:val="21"/>
              </w:rPr>
            </w:pPr>
          </w:p>
        </w:tc>
      </w:tr>
      <w:tr w14:paraId="4700F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08FAE9BA">
            <w:pPr>
              <w:spacing w:line="360" w:lineRule="auto"/>
              <w:jc w:val="center"/>
              <w:rPr>
                <w:rFonts w:hint="eastAsia" w:ascii="宋体" w:hAnsi="宋体" w:cs="宋体"/>
                <w:color w:val="000000"/>
                <w:szCs w:val="21"/>
              </w:rPr>
            </w:pPr>
            <w:r>
              <w:rPr>
                <w:rFonts w:hint="eastAsia" w:ascii="宋体" w:hAnsi="宋体" w:cs="宋体"/>
                <w:color w:val="000000"/>
                <w:szCs w:val="21"/>
              </w:rPr>
              <w:t>项目副经理</w:t>
            </w:r>
          </w:p>
        </w:tc>
        <w:tc>
          <w:tcPr>
            <w:tcW w:w="627" w:type="pct"/>
            <w:noWrap w:val="0"/>
            <w:vAlign w:val="center"/>
          </w:tcPr>
          <w:p w14:paraId="4714ADE7">
            <w:pPr>
              <w:keepNext/>
              <w:spacing w:line="360" w:lineRule="auto"/>
              <w:jc w:val="center"/>
              <w:rPr>
                <w:rFonts w:hint="eastAsia" w:ascii="宋体" w:hAnsi="宋体" w:cs="宋体"/>
                <w:color w:val="000000"/>
                <w:szCs w:val="21"/>
              </w:rPr>
            </w:pPr>
          </w:p>
        </w:tc>
        <w:tc>
          <w:tcPr>
            <w:tcW w:w="502" w:type="pct"/>
            <w:noWrap w:val="0"/>
            <w:vAlign w:val="center"/>
          </w:tcPr>
          <w:p w14:paraId="0D5976B9">
            <w:pPr>
              <w:keepNext/>
              <w:spacing w:line="360" w:lineRule="auto"/>
              <w:jc w:val="center"/>
              <w:rPr>
                <w:rFonts w:hint="eastAsia" w:ascii="宋体" w:hAnsi="宋体" w:cs="宋体"/>
                <w:color w:val="000000"/>
                <w:szCs w:val="21"/>
              </w:rPr>
            </w:pPr>
          </w:p>
        </w:tc>
        <w:tc>
          <w:tcPr>
            <w:tcW w:w="502" w:type="pct"/>
            <w:noWrap w:val="0"/>
            <w:vAlign w:val="center"/>
          </w:tcPr>
          <w:p w14:paraId="0D93F653">
            <w:pPr>
              <w:keepNext/>
              <w:spacing w:line="360" w:lineRule="auto"/>
              <w:jc w:val="center"/>
              <w:rPr>
                <w:rFonts w:hint="eastAsia" w:ascii="宋体" w:hAnsi="宋体" w:cs="宋体"/>
                <w:color w:val="000000"/>
                <w:szCs w:val="21"/>
              </w:rPr>
            </w:pPr>
          </w:p>
        </w:tc>
        <w:tc>
          <w:tcPr>
            <w:tcW w:w="1279" w:type="pct"/>
            <w:noWrap w:val="0"/>
            <w:vAlign w:val="center"/>
          </w:tcPr>
          <w:p w14:paraId="340FD879">
            <w:pPr>
              <w:keepNext/>
              <w:spacing w:line="360" w:lineRule="auto"/>
              <w:jc w:val="center"/>
              <w:rPr>
                <w:rFonts w:hint="eastAsia" w:ascii="宋体" w:hAnsi="宋体" w:cs="宋体"/>
                <w:color w:val="000000"/>
                <w:szCs w:val="21"/>
              </w:rPr>
            </w:pPr>
          </w:p>
        </w:tc>
        <w:tc>
          <w:tcPr>
            <w:tcW w:w="1153" w:type="pct"/>
            <w:noWrap w:val="0"/>
            <w:vAlign w:val="top"/>
          </w:tcPr>
          <w:p w14:paraId="72DB3008">
            <w:pPr>
              <w:keepNext/>
              <w:spacing w:line="360" w:lineRule="auto"/>
              <w:jc w:val="center"/>
              <w:rPr>
                <w:rFonts w:hint="eastAsia" w:ascii="宋体" w:hAnsi="宋体" w:cs="宋体"/>
                <w:color w:val="000000"/>
                <w:szCs w:val="21"/>
              </w:rPr>
            </w:pPr>
          </w:p>
        </w:tc>
      </w:tr>
      <w:tr w14:paraId="7DAEB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674860D8">
            <w:pPr>
              <w:spacing w:line="360" w:lineRule="auto"/>
              <w:jc w:val="center"/>
              <w:rPr>
                <w:rFonts w:hint="eastAsia" w:ascii="宋体" w:hAnsi="宋体" w:cs="宋体"/>
                <w:color w:val="000000"/>
                <w:szCs w:val="21"/>
              </w:rPr>
            </w:pPr>
            <w:r>
              <w:rPr>
                <w:rFonts w:hint="eastAsia" w:ascii="宋体" w:hAnsi="宋体" w:cs="宋体"/>
                <w:color w:val="000000"/>
                <w:szCs w:val="21"/>
              </w:rPr>
              <w:t>项目技术负责人</w:t>
            </w:r>
          </w:p>
        </w:tc>
        <w:tc>
          <w:tcPr>
            <w:tcW w:w="627" w:type="pct"/>
            <w:noWrap w:val="0"/>
            <w:vAlign w:val="center"/>
          </w:tcPr>
          <w:p w14:paraId="28328C4C">
            <w:pPr>
              <w:keepNext/>
              <w:spacing w:line="360" w:lineRule="auto"/>
              <w:jc w:val="center"/>
              <w:rPr>
                <w:rFonts w:hint="eastAsia" w:ascii="宋体" w:hAnsi="宋体" w:cs="宋体"/>
                <w:color w:val="000000"/>
                <w:szCs w:val="21"/>
              </w:rPr>
            </w:pPr>
          </w:p>
        </w:tc>
        <w:tc>
          <w:tcPr>
            <w:tcW w:w="502" w:type="pct"/>
            <w:noWrap w:val="0"/>
            <w:vAlign w:val="center"/>
          </w:tcPr>
          <w:p w14:paraId="65B3CF88">
            <w:pPr>
              <w:keepNext/>
              <w:spacing w:line="360" w:lineRule="auto"/>
              <w:jc w:val="center"/>
              <w:rPr>
                <w:rFonts w:hint="eastAsia" w:ascii="宋体" w:hAnsi="宋体" w:cs="宋体"/>
                <w:color w:val="000000"/>
                <w:szCs w:val="21"/>
              </w:rPr>
            </w:pPr>
          </w:p>
        </w:tc>
        <w:tc>
          <w:tcPr>
            <w:tcW w:w="502" w:type="pct"/>
            <w:noWrap w:val="0"/>
            <w:vAlign w:val="center"/>
          </w:tcPr>
          <w:p w14:paraId="6E7CF116">
            <w:pPr>
              <w:keepNext/>
              <w:spacing w:line="360" w:lineRule="auto"/>
              <w:jc w:val="center"/>
              <w:rPr>
                <w:rFonts w:hint="eastAsia" w:ascii="宋体" w:hAnsi="宋体" w:cs="宋体"/>
                <w:color w:val="000000"/>
                <w:szCs w:val="21"/>
              </w:rPr>
            </w:pPr>
          </w:p>
        </w:tc>
        <w:tc>
          <w:tcPr>
            <w:tcW w:w="1279" w:type="pct"/>
            <w:noWrap w:val="0"/>
            <w:vAlign w:val="center"/>
          </w:tcPr>
          <w:p w14:paraId="42C208A9">
            <w:pPr>
              <w:keepNext/>
              <w:spacing w:line="360" w:lineRule="auto"/>
              <w:jc w:val="center"/>
              <w:rPr>
                <w:rFonts w:hint="eastAsia" w:ascii="宋体" w:hAnsi="宋体" w:cs="宋体"/>
                <w:color w:val="000000"/>
                <w:szCs w:val="21"/>
              </w:rPr>
            </w:pPr>
          </w:p>
        </w:tc>
        <w:tc>
          <w:tcPr>
            <w:tcW w:w="1153" w:type="pct"/>
            <w:noWrap w:val="0"/>
            <w:vAlign w:val="top"/>
          </w:tcPr>
          <w:p w14:paraId="05E647ED">
            <w:pPr>
              <w:keepNext/>
              <w:spacing w:line="360" w:lineRule="auto"/>
              <w:jc w:val="center"/>
              <w:rPr>
                <w:rFonts w:hint="eastAsia" w:ascii="宋体" w:hAnsi="宋体" w:cs="宋体"/>
                <w:color w:val="000000"/>
                <w:szCs w:val="21"/>
              </w:rPr>
            </w:pPr>
          </w:p>
        </w:tc>
      </w:tr>
      <w:tr w14:paraId="2CCD5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0A9F6F5B">
            <w:pPr>
              <w:spacing w:line="360" w:lineRule="auto"/>
              <w:jc w:val="center"/>
              <w:rPr>
                <w:rFonts w:hint="eastAsia" w:ascii="宋体" w:hAnsi="宋体" w:cs="宋体"/>
                <w:color w:val="000000"/>
                <w:szCs w:val="21"/>
              </w:rPr>
            </w:pPr>
            <w:r>
              <w:rPr>
                <w:rFonts w:hint="eastAsia" w:ascii="宋体" w:hAnsi="宋体" w:cs="宋体"/>
                <w:color w:val="000000"/>
                <w:szCs w:val="21"/>
              </w:rPr>
              <w:t>施工员</w:t>
            </w:r>
          </w:p>
        </w:tc>
        <w:tc>
          <w:tcPr>
            <w:tcW w:w="627" w:type="pct"/>
            <w:noWrap w:val="0"/>
            <w:vAlign w:val="center"/>
          </w:tcPr>
          <w:p w14:paraId="1300ADCA">
            <w:pPr>
              <w:keepNext/>
              <w:spacing w:line="360" w:lineRule="auto"/>
              <w:jc w:val="center"/>
              <w:rPr>
                <w:rFonts w:hint="eastAsia" w:ascii="宋体" w:hAnsi="宋体" w:cs="宋体"/>
                <w:color w:val="000000"/>
                <w:szCs w:val="21"/>
              </w:rPr>
            </w:pPr>
          </w:p>
        </w:tc>
        <w:tc>
          <w:tcPr>
            <w:tcW w:w="502" w:type="pct"/>
            <w:noWrap w:val="0"/>
            <w:vAlign w:val="center"/>
          </w:tcPr>
          <w:p w14:paraId="6A76131E">
            <w:pPr>
              <w:keepNext/>
              <w:spacing w:line="360" w:lineRule="auto"/>
              <w:jc w:val="center"/>
              <w:rPr>
                <w:rFonts w:hint="eastAsia" w:ascii="宋体" w:hAnsi="宋体" w:cs="宋体"/>
                <w:color w:val="000000"/>
                <w:szCs w:val="21"/>
              </w:rPr>
            </w:pPr>
          </w:p>
        </w:tc>
        <w:tc>
          <w:tcPr>
            <w:tcW w:w="502" w:type="pct"/>
            <w:noWrap w:val="0"/>
            <w:vAlign w:val="center"/>
          </w:tcPr>
          <w:p w14:paraId="4CB6D67F">
            <w:pPr>
              <w:keepNext/>
              <w:spacing w:line="360" w:lineRule="auto"/>
              <w:jc w:val="center"/>
              <w:rPr>
                <w:rFonts w:hint="eastAsia" w:ascii="宋体" w:hAnsi="宋体" w:cs="宋体"/>
                <w:color w:val="000000"/>
                <w:szCs w:val="21"/>
              </w:rPr>
            </w:pPr>
          </w:p>
        </w:tc>
        <w:tc>
          <w:tcPr>
            <w:tcW w:w="1279" w:type="pct"/>
            <w:noWrap w:val="0"/>
            <w:vAlign w:val="center"/>
          </w:tcPr>
          <w:p w14:paraId="4CEE8692">
            <w:pPr>
              <w:keepNext/>
              <w:spacing w:line="360" w:lineRule="auto"/>
              <w:jc w:val="center"/>
              <w:rPr>
                <w:rFonts w:hint="eastAsia" w:ascii="宋体" w:hAnsi="宋体" w:cs="宋体"/>
                <w:color w:val="000000"/>
                <w:szCs w:val="21"/>
              </w:rPr>
            </w:pPr>
          </w:p>
        </w:tc>
        <w:tc>
          <w:tcPr>
            <w:tcW w:w="1153" w:type="pct"/>
            <w:noWrap w:val="0"/>
            <w:vAlign w:val="top"/>
          </w:tcPr>
          <w:p w14:paraId="22BB565C">
            <w:pPr>
              <w:keepNext/>
              <w:spacing w:line="360" w:lineRule="auto"/>
              <w:jc w:val="center"/>
              <w:rPr>
                <w:rFonts w:hint="eastAsia" w:ascii="宋体" w:hAnsi="宋体" w:cs="宋体"/>
                <w:color w:val="000000"/>
                <w:szCs w:val="21"/>
              </w:rPr>
            </w:pPr>
          </w:p>
        </w:tc>
      </w:tr>
      <w:tr w14:paraId="3DCE8C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021D531B">
            <w:pPr>
              <w:spacing w:line="360" w:lineRule="auto"/>
              <w:jc w:val="center"/>
              <w:rPr>
                <w:rFonts w:hint="eastAsia" w:ascii="宋体" w:hAnsi="宋体" w:cs="宋体"/>
                <w:color w:val="000000"/>
                <w:szCs w:val="21"/>
              </w:rPr>
            </w:pPr>
            <w:r>
              <w:rPr>
                <w:rFonts w:hint="eastAsia" w:ascii="宋体" w:hAnsi="宋体" w:cs="宋体"/>
                <w:color w:val="000000"/>
                <w:szCs w:val="21"/>
              </w:rPr>
              <w:t>质检员（质量员）</w:t>
            </w:r>
          </w:p>
        </w:tc>
        <w:tc>
          <w:tcPr>
            <w:tcW w:w="627" w:type="pct"/>
            <w:noWrap w:val="0"/>
            <w:vAlign w:val="center"/>
          </w:tcPr>
          <w:p w14:paraId="7D5DA808">
            <w:pPr>
              <w:keepNext/>
              <w:spacing w:line="360" w:lineRule="auto"/>
              <w:jc w:val="center"/>
              <w:rPr>
                <w:rFonts w:hint="eastAsia" w:ascii="宋体" w:hAnsi="宋体" w:cs="宋体"/>
                <w:color w:val="000000"/>
                <w:szCs w:val="21"/>
              </w:rPr>
            </w:pPr>
          </w:p>
        </w:tc>
        <w:tc>
          <w:tcPr>
            <w:tcW w:w="502" w:type="pct"/>
            <w:noWrap w:val="0"/>
            <w:vAlign w:val="center"/>
          </w:tcPr>
          <w:p w14:paraId="75A21267">
            <w:pPr>
              <w:keepNext/>
              <w:spacing w:line="360" w:lineRule="auto"/>
              <w:jc w:val="center"/>
              <w:rPr>
                <w:rFonts w:hint="eastAsia" w:ascii="宋体" w:hAnsi="宋体" w:cs="宋体"/>
                <w:color w:val="000000"/>
                <w:szCs w:val="21"/>
              </w:rPr>
            </w:pPr>
          </w:p>
        </w:tc>
        <w:tc>
          <w:tcPr>
            <w:tcW w:w="502" w:type="pct"/>
            <w:noWrap w:val="0"/>
            <w:vAlign w:val="center"/>
          </w:tcPr>
          <w:p w14:paraId="797DDE39">
            <w:pPr>
              <w:keepNext/>
              <w:spacing w:line="360" w:lineRule="auto"/>
              <w:jc w:val="center"/>
              <w:rPr>
                <w:rFonts w:hint="eastAsia" w:ascii="宋体" w:hAnsi="宋体" w:cs="宋体"/>
                <w:color w:val="000000"/>
                <w:szCs w:val="21"/>
              </w:rPr>
            </w:pPr>
          </w:p>
        </w:tc>
        <w:tc>
          <w:tcPr>
            <w:tcW w:w="1279" w:type="pct"/>
            <w:noWrap w:val="0"/>
            <w:vAlign w:val="center"/>
          </w:tcPr>
          <w:p w14:paraId="76B09736">
            <w:pPr>
              <w:keepNext/>
              <w:spacing w:line="360" w:lineRule="auto"/>
              <w:jc w:val="center"/>
              <w:rPr>
                <w:rFonts w:hint="eastAsia" w:ascii="宋体" w:hAnsi="宋体" w:cs="宋体"/>
                <w:color w:val="000000"/>
                <w:szCs w:val="21"/>
              </w:rPr>
            </w:pPr>
          </w:p>
        </w:tc>
        <w:tc>
          <w:tcPr>
            <w:tcW w:w="1153" w:type="pct"/>
            <w:noWrap w:val="0"/>
            <w:vAlign w:val="top"/>
          </w:tcPr>
          <w:p w14:paraId="267E2735">
            <w:pPr>
              <w:keepNext/>
              <w:spacing w:line="360" w:lineRule="auto"/>
              <w:jc w:val="center"/>
              <w:rPr>
                <w:rFonts w:hint="eastAsia" w:ascii="宋体" w:hAnsi="宋体" w:cs="宋体"/>
                <w:color w:val="000000"/>
                <w:szCs w:val="21"/>
              </w:rPr>
            </w:pPr>
          </w:p>
        </w:tc>
      </w:tr>
      <w:tr w14:paraId="39E3A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780611D5">
            <w:pPr>
              <w:spacing w:line="360" w:lineRule="auto"/>
              <w:jc w:val="center"/>
              <w:rPr>
                <w:rFonts w:hint="eastAsia" w:ascii="宋体" w:hAnsi="宋体" w:cs="宋体"/>
                <w:color w:val="000000"/>
                <w:szCs w:val="21"/>
              </w:rPr>
            </w:pPr>
            <w:r>
              <w:rPr>
                <w:rFonts w:hint="eastAsia" w:ascii="宋体" w:hAnsi="宋体" w:cs="宋体"/>
                <w:color w:val="000000"/>
                <w:szCs w:val="21"/>
              </w:rPr>
              <w:t>安全员</w:t>
            </w:r>
          </w:p>
        </w:tc>
        <w:tc>
          <w:tcPr>
            <w:tcW w:w="627" w:type="pct"/>
            <w:noWrap w:val="0"/>
            <w:vAlign w:val="center"/>
          </w:tcPr>
          <w:p w14:paraId="18B1CF3B">
            <w:pPr>
              <w:keepNext/>
              <w:spacing w:line="360" w:lineRule="auto"/>
              <w:jc w:val="center"/>
              <w:rPr>
                <w:rFonts w:hint="eastAsia" w:ascii="宋体" w:hAnsi="宋体" w:cs="宋体"/>
                <w:color w:val="000000"/>
                <w:szCs w:val="21"/>
              </w:rPr>
            </w:pPr>
          </w:p>
        </w:tc>
        <w:tc>
          <w:tcPr>
            <w:tcW w:w="502" w:type="pct"/>
            <w:noWrap w:val="0"/>
            <w:vAlign w:val="center"/>
          </w:tcPr>
          <w:p w14:paraId="7B858D43">
            <w:pPr>
              <w:keepNext/>
              <w:spacing w:line="360" w:lineRule="auto"/>
              <w:jc w:val="center"/>
              <w:rPr>
                <w:rFonts w:hint="eastAsia" w:ascii="宋体" w:hAnsi="宋体" w:cs="宋体"/>
                <w:color w:val="000000"/>
                <w:szCs w:val="21"/>
              </w:rPr>
            </w:pPr>
          </w:p>
        </w:tc>
        <w:tc>
          <w:tcPr>
            <w:tcW w:w="502" w:type="pct"/>
            <w:noWrap w:val="0"/>
            <w:vAlign w:val="center"/>
          </w:tcPr>
          <w:p w14:paraId="0FA098B1">
            <w:pPr>
              <w:keepNext/>
              <w:spacing w:line="360" w:lineRule="auto"/>
              <w:jc w:val="center"/>
              <w:rPr>
                <w:rFonts w:hint="eastAsia" w:ascii="宋体" w:hAnsi="宋体" w:cs="宋体"/>
                <w:color w:val="000000"/>
                <w:szCs w:val="21"/>
              </w:rPr>
            </w:pPr>
          </w:p>
        </w:tc>
        <w:tc>
          <w:tcPr>
            <w:tcW w:w="1279" w:type="pct"/>
            <w:noWrap w:val="0"/>
            <w:vAlign w:val="center"/>
          </w:tcPr>
          <w:p w14:paraId="2B971FE1">
            <w:pPr>
              <w:keepNext/>
              <w:spacing w:line="360" w:lineRule="auto"/>
              <w:jc w:val="center"/>
              <w:rPr>
                <w:rFonts w:hint="eastAsia" w:ascii="宋体" w:hAnsi="宋体" w:cs="宋体"/>
                <w:color w:val="000000"/>
                <w:szCs w:val="21"/>
              </w:rPr>
            </w:pPr>
          </w:p>
        </w:tc>
        <w:tc>
          <w:tcPr>
            <w:tcW w:w="1153" w:type="pct"/>
            <w:noWrap w:val="0"/>
            <w:vAlign w:val="top"/>
          </w:tcPr>
          <w:p w14:paraId="0109F7C0">
            <w:pPr>
              <w:keepNext/>
              <w:spacing w:line="360" w:lineRule="auto"/>
              <w:jc w:val="center"/>
              <w:rPr>
                <w:rFonts w:hint="eastAsia" w:ascii="宋体" w:hAnsi="宋体" w:cs="宋体"/>
                <w:color w:val="000000"/>
                <w:szCs w:val="21"/>
              </w:rPr>
            </w:pPr>
          </w:p>
        </w:tc>
      </w:tr>
      <w:tr w14:paraId="46EC2F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73D69653">
            <w:pPr>
              <w:spacing w:line="360" w:lineRule="auto"/>
              <w:jc w:val="center"/>
              <w:rPr>
                <w:rFonts w:hint="eastAsia" w:ascii="宋体" w:hAnsi="宋体" w:cs="宋体"/>
                <w:color w:val="000000"/>
                <w:szCs w:val="21"/>
              </w:rPr>
            </w:pPr>
            <w:r>
              <w:rPr>
                <w:rFonts w:hint="eastAsia" w:ascii="宋体" w:hAnsi="宋体" w:cs="宋体"/>
                <w:color w:val="000000"/>
                <w:szCs w:val="21"/>
              </w:rPr>
              <w:t>资料员</w:t>
            </w:r>
          </w:p>
        </w:tc>
        <w:tc>
          <w:tcPr>
            <w:tcW w:w="627" w:type="pct"/>
            <w:noWrap w:val="0"/>
            <w:vAlign w:val="center"/>
          </w:tcPr>
          <w:p w14:paraId="3E2A4A5F">
            <w:pPr>
              <w:keepNext/>
              <w:spacing w:line="360" w:lineRule="auto"/>
              <w:jc w:val="center"/>
              <w:rPr>
                <w:rFonts w:hint="eastAsia" w:ascii="宋体" w:hAnsi="宋体" w:cs="宋体"/>
                <w:color w:val="000000"/>
                <w:szCs w:val="21"/>
              </w:rPr>
            </w:pPr>
          </w:p>
        </w:tc>
        <w:tc>
          <w:tcPr>
            <w:tcW w:w="502" w:type="pct"/>
            <w:noWrap w:val="0"/>
            <w:vAlign w:val="center"/>
          </w:tcPr>
          <w:p w14:paraId="768EB56E">
            <w:pPr>
              <w:keepNext/>
              <w:spacing w:line="360" w:lineRule="auto"/>
              <w:jc w:val="center"/>
              <w:rPr>
                <w:rFonts w:hint="eastAsia" w:ascii="宋体" w:hAnsi="宋体" w:cs="宋体"/>
                <w:color w:val="000000"/>
                <w:szCs w:val="21"/>
              </w:rPr>
            </w:pPr>
          </w:p>
        </w:tc>
        <w:tc>
          <w:tcPr>
            <w:tcW w:w="502" w:type="pct"/>
            <w:noWrap w:val="0"/>
            <w:vAlign w:val="center"/>
          </w:tcPr>
          <w:p w14:paraId="1FDE5267">
            <w:pPr>
              <w:keepNext/>
              <w:spacing w:line="360" w:lineRule="auto"/>
              <w:jc w:val="center"/>
              <w:rPr>
                <w:rFonts w:hint="eastAsia" w:ascii="宋体" w:hAnsi="宋体" w:cs="宋体"/>
                <w:color w:val="000000"/>
                <w:szCs w:val="21"/>
              </w:rPr>
            </w:pPr>
          </w:p>
        </w:tc>
        <w:tc>
          <w:tcPr>
            <w:tcW w:w="1279" w:type="pct"/>
            <w:noWrap w:val="0"/>
            <w:vAlign w:val="center"/>
          </w:tcPr>
          <w:p w14:paraId="363546EF">
            <w:pPr>
              <w:keepNext/>
              <w:spacing w:line="360" w:lineRule="auto"/>
              <w:jc w:val="center"/>
              <w:rPr>
                <w:rFonts w:hint="eastAsia" w:ascii="宋体" w:hAnsi="宋体" w:cs="宋体"/>
                <w:color w:val="000000"/>
                <w:szCs w:val="21"/>
              </w:rPr>
            </w:pPr>
          </w:p>
        </w:tc>
        <w:tc>
          <w:tcPr>
            <w:tcW w:w="1153" w:type="pct"/>
            <w:noWrap w:val="0"/>
            <w:vAlign w:val="top"/>
          </w:tcPr>
          <w:p w14:paraId="3BDAD3A1">
            <w:pPr>
              <w:keepNext/>
              <w:spacing w:line="360" w:lineRule="auto"/>
              <w:jc w:val="center"/>
              <w:rPr>
                <w:rFonts w:hint="eastAsia" w:ascii="宋体" w:hAnsi="宋体" w:cs="宋体"/>
                <w:color w:val="000000"/>
                <w:szCs w:val="21"/>
              </w:rPr>
            </w:pPr>
          </w:p>
        </w:tc>
      </w:tr>
      <w:tr w14:paraId="0B1A8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restart"/>
            <w:noWrap w:val="0"/>
            <w:vAlign w:val="center"/>
          </w:tcPr>
          <w:p w14:paraId="467E9D31">
            <w:pPr>
              <w:spacing w:line="360" w:lineRule="auto"/>
              <w:jc w:val="center"/>
              <w:rPr>
                <w:rFonts w:hint="eastAsia" w:ascii="宋体" w:hAnsi="宋体" w:cs="宋体"/>
                <w:color w:val="000000"/>
                <w:szCs w:val="21"/>
              </w:rPr>
            </w:pPr>
            <w:r>
              <w:rPr>
                <w:rFonts w:hint="eastAsia" w:ascii="宋体" w:hAnsi="宋体" w:cs="宋体"/>
                <w:color w:val="000000"/>
                <w:szCs w:val="21"/>
              </w:rPr>
              <w:t>其他人员</w:t>
            </w:r>
          </w:p>
        </w:tc>
        <w:tc>
          <w:tcPr>
            <w:tcW w:w="627" w:type="pct"/>
            <w:noWrap w:val="0"/>
            <w:vAlign w:val="center"/>
          </w:tcPr>
          <w:p w14:paraId="78F38699">
            <w:pPr>
              <w:keepNext/>
              <w:spacing w:line="360" w:lineRule="auto"/>
              <w:jc w:val="center"/>
              <w:rPr>
                <w:rFonts w:hint="eastAsia" w:ascii="宋体" w:hAnsi="宋体" w:cs="宋体"/>
                <w:color w:val="000000"/>
                <w:szCs w:val="21"/>
              </w:rPr>
            </w:pPr>
          </w:p>
        </w:tc>
        <w:tc>
          <w:tcPr>
            <w:tcW w:w="502" w:type="pct"/>
            <w:noWrap w:val="0"/>
            <w:vAlign w:val="center"/>
          </w:tcPr>
          <w:p w14:paraId="28A343D2">
            <w:pPr>
              <w:keepNext/>
              <w:spacing w:line="360" w:lineRule="auto"/>
              <w:jc w:val="center"/>
              <w:rPr>
                <w:rFonts w:hint="eastAsia" w:ascii="宋体" w:hAnsi="宋体" w:cs="宋体"/>
                <w:color w:val="000000"/>
                <w:szCs w:val="21"/>
              </w:rPr>
            </w:pPr>
          </w:p>
        </w:tc>
        <w:tc>
          <w:tcPr>
            <w:tcW w:w="502" w:type="pct"/>
            <w:noWrap w:val="0"/>
            <w:vAlign w:val="center"/>
          </w:tcPr>
          <w:p w14:paraId="6B66FC4E">
            <w:pPr>
              <w:keepNext/>
              <w:spacing w:line="360" w:lineRule="auto"/>
              <w:jc w:val="center"/>
              <w:rPr>
                <w:rFonts w:hint="eastAsia" w:ascii="宋体" w:hAnsi="宋体" w:cs="宋体"/>
                <w:color w:val="000000"/>
                <w:szCs w:val="21"/>
              </w:rPr>
            </w:pPr>
          </w:p>
        </w:tc>
        <w:tc>
          <w:tcPr>
            <w:tcW w:w="1279" w:type="pct"/>
            <w:noWrap w:val="0"/>
            <w:vAlign w:val="center"/>
          </w:tcPr>
          <w:p w14:paraId="528C6441">
            <w:pPr>
              <w:keepNext/>
              <w:spacing w:line="360" w:lineRule="auto"/>
              <w:jc w:val="center"/>
              <w:rPr>
                <w:rFonts w:hint="eastAsia" w:ascii="宋体" w:hAnsi="宋体" w:cs="宋体"/>
                <w:color w:val="000000"/>
                <w:szCs w:val="21"/>
              </w:rPr>
            </w:pPr>
          </w:p>
        </w:tc>
        <w:tc>
          <w:tcPr>
            <w:tcW w:w="1153" w:type="pct"/>
            <w:noWrap w:val="0"/>
            <w:vAlign w:val="top"/>
          </w:tcPr>
          <w:p w14:paraId="320AAD68">
            <w:pPr>
              <w:keepNext/>
              <w:spacing w:line="360" w:lineRule="auto"/>
              <w:jc w:val="center"/>
              <w:rPr>
                <w:rFonts w:hint="eastAsia" w:ascii="宋体" w:hAnsi="宋体" w:cs="宋体"/>
                <w:color w:val="000000"/>
                <w:szCs w:val="21"/>
              </w:rPr>
            </w:pPr>
          </w:p>
        </w:tc>
      </w:tr>
      <w:tr w14:paraId="3D7B9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23B9A92B">
            <w:pPr>
              <w:keepNext/>
              <w:spacing w:line="360" w:lineRule="auto"/>
              <w:jc w:val="center"/>
              <w:rPr>
                <w:rFonts w:hint="eastAsia" w:ascii="宋体" w:hAnsi="宋体" w:cs="宋体"/>
                <w:color w:val="000000"/>
                <w:szCs w:val="21"/>
              </w:rPr>
            </w:pPr>
          </w:p>
        </w:tc>
        <w:tc>
          <w:tcPr>
            <w:tcW w:w="627" w:type="pct"/>
            <w:tcBorders>
              <w:bottom w:val="nil"/>
            </w:tcBorders>
            <w:noWrap w:val="0"/>
            <w:vAlign w:val="center"/>
          </w:tcPr>
          <w:p w14:paraId="7C57A15A">
            <w:pPr>
              <w:keepNext/>
              <w:spacing w:line="360" w:lineRule="auto"/>
              <w:jc w:val="center"/>
              <w:rPr>
                <w:rFonts w:hint="eastAsia" w:ascii="宋体" w:hAnsi="宋体" w:cs="宋体"/>
                <w:color w:val="000000"/>
                <w:szCs w:val="21"/>
              </w:rPr>
            </w:pPr>
          </w:p>
        </w:tc>
        <w:tc>
          <w:tcPr>
            <w:tcW w:w="502" w:type="pct"/>
            <w:tcBorders>
              <w:bottom w:val="nil"/>
            </w:tcBorders>
            <w:noWrap w:val="0"/>
            <w:vAlign w:val="center"/>
          </w:tcPr>
          <w:p w14:paraId="04D2BBF8">
            <w:pPr>
              <w:keepNext/>
              <w:spacing w:line="360" w:lineRule="auto"/>
              <w:jc w:val="center"/>
              <w:rPr>
                <w:rFonts w:hint="eastAsia" w:ascii="宋体" w:hAnsi="宋体" w:cs="宋体"/>
                <w:color w:val="000000"/>
                <w:szCs w:val="21"/>
              </w:rPr>
            </w:pPr>
          </w:p>
        </w:tc>
        <w:tc>
          <w:tcPr>
            <w:tcW w:w="502" w:type="pct"/>
            <w:tcBorders>
              <w:bottom w:val="nil"/>
            </w:tcBorders>
            <w:noWrap w:val="0"/>
            <w:vAlign w:val="center"/>
          </w:tcPr>
          <w:p w14:paraId="6C80CAE0">
            <w:pPr>
              <w:keepNext/>
              <w:spacing w:line="360" w:lineRule="auto"/>
              <w:jc w:val="center"/>
              <w:rPr>
                <w:rFonts w:hint="eastAsia" w:ascii="宋体" w:hAnsi="宋体" w:cs="宋体"/>
                <w:color w:val="000000"/>
                <w:szCs w:val="21"/>
              </w:rPr>
            </w:pPr>
          </w:p>
        </w:tc>
        <w:tc>
          <w:tcPr>
            <w:tcW w:w="1279" w:type="pct"/>
            <w:tcBorders>
              <w:bottom w:val="nil"/>
            </w:tcBorders>
            <w:noWrap w:val="0"/>
            <w:vAlign w:val="center"/>
          </w:tcPr>
          <w:p w14:paraId="218A2665">
            <w:pPr>
              <w:keepNext/>
              <w:spacing w:line="360" w:lineRule="auto"/>
              <w:jc w:val="center"/>
              <w:rPr>
                <w:rFonts w:hint="eastAsia" w:ascii="宋体" w:hAnsi="宋体" w:cs="宋体"/>
                <w:color w:val="000000"/>
                <w:szCs w:val="21"/>
              </w:rPr>
            </w:pPr>
          </w:p>
        </w:tc>
        <w:tc>
          <w:tcPr>
            <w:tcW w:w="1153" w:type="pct"/>
            <w:tcBorders>
              <w:bottom w:val="nil"/>
            </w:tcBorders>
            <w:noWrap w:val="0"/>
            <w:vAlign w:val="top"/>
          </w:tcPr>
          <w:p w14:paraId="6FFE7FAE">
            <w:pPr>
              <w:keepNext/>
              <w:spacing w:line="360" w:lineRule="auto"/>
              <w:jc w:val="center"/>
              <w:rPr>
                <w:rFonts w:hint="eastAsia" w:ascii="宋体" w:hAnsi="宋体" w:cs="宋体"/>
                <w:color w:val="000000"/>
                <w:szCs w:val="21"/>
              </w:rPr>
            </w:pPr>
          </w:p>
        </w:tc>
      </w:tr>
      <w:tr w14:paraId="250BA1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3A1B82DF">
            <w:pPr>
              <w:keepNext/>
              <w:spacing w:line="360" w:lineRule="auto"/>
              <w:jc w:val="center"/>
              <w:rPr>
                <w:rFonts w:hint="eastAsia" w:ascii="宋体" w:hAnsi="宋体" w:cs="宋体"/>
                <w:color w:val="000000"/>
                <w:szCs w:val="21"/>
              </w:rPr>
            </w:pPr>
          </w:p>
        </w:tc>
        <w:tc>
          <w:tcPr>
            <w:tcW w:w="627" w:type="pct"/>
            <w:noWrap w:val="0"/>
            <w:vAlign w:val="center"/>
          </w:tcPr>
          <w:p w14:paraId="3AC8BC2F">
            <w:pPr>
              <w:keepNext/>
              <w:spacing w:line="360" w:lineRule="auto"/>
              <w:jc w:val="center"/>
              <w:rPr>
                <w:rFonts w:hint="eastAsia" w:ascii="宋体" w:hAnsi="宋体" w:cs="宋体"/>
                <w:color w:val="000000"/>
                <w:szCs w:val="21"/>
              </w:rPr>
            </w:pPr>
          </w:p>
        </w:tc>
        <w:tc>
          <w:tcPr>
            <w:tcW w:w="502" w:type="pct"/>
            <w:noWrap w:val="0"/>
            <w:vAlign w:val="center"/>
          </w:tcPr>
          <w:p w14:paraId="02796CF8">
            <w:pPr>
              <w:keepNext/>
              <w:spacing w:line="360" w:lineRule="auto"/>
              <w:jc w:val="center"/>
              <w:rPr>
                <w:rFonts w:hint="eastAsia" w:ascii="宋体" w:hAnsi="宋体" w:cs="宋体"/>
                <w:color w:val="000000"/>
                <w:szCs w:val="21"/>
              </w:rPr>
            </w:pPr>
          </w:p>
        </w:tc>
        <w:tc>
          <w:tcPr>
            <w:tcW w:w="502" w:type="pct"/>
            <w:noWrap w:val="0"/>
            <w:vAlign w:val="center"/>
          </w:tcPr>
          <w:p w14:paraId="1A1CF63C">
            <w:pPr>
              <w:keepNext/>
              <w:spacing w:line="360" w:lineRule="auto"/>
              <w:jc w:val="center"/>
              <w:rPr>
                <w:rFonts w:hint="eastAsia" w:ascii="宋体" w:hAnsi="宋体" w:cs="宋体"/>
                <w:color w:val="000000"/>
                <w:szCs w:val="21"/>
              </w:rPr>
            </w:pPr>
          </w:p>
        </w:tc>
        <w:tc>
          <w:tcPr>
            <w:tcW w:w="1279" w:type="pct"/>
            <w:noWrap w:val="0"/>
            <w:vAlign w:val="center"/>
          </w:tcPr>
          <w:p w14:paraId="3EE936B3">
            <w:pPr>
              <w:keepNext/>
              <w:spacing w:line="360" w:lineRule="auto"/>
              <w:jc w:val="center"/>
              <w:rPr>
                <w:rFonts w:hint="eastAsia" w:ascii="宋体" w:hAnsi="宋体" w:cs="宋体"/>
                <w:color w:val="000000"/>
                <w:szCs w:val="21"/>
              </w:rPr>
            </w:pPr>
          </w:p>
        </w:tc>
        <w:tc>
          <w:tcPr>
            <w:tcW w:w="1153" w:type="pct"/>
            <w:noWrap w:val="0"/>
            <w:vAlign w:val="top"/>
          </w:tcPr>
          <w:p w14:paraId="6C7A8114">
            <w:pPr>
              <w:keepNext/>
              <w:spacing w:line="360" w:lineRule="auto"/>
              <w:jc w:val="center"/>
              <w:rPr>
                <w:rFonts w:hint="eastAsia" w:ascii="宋体" w:hAnsi="宋体" w:cs="宋体"/>
                <w:color w:val="000000"/>
                <w:szCs w:val="21"/>
              </w:rPr>
            </w:pPr>
          </w:p>
        </w:tc>
      </w:tr>
      <w:tr w14:paraId="3AF626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42FEF589">
            <w:pPr>
              <w:keepNext/>
              <w:spacing w:line="360" w:lineRule="auto"/>
              <w:jc w:val="center"/>
              <w:rPr>
                <w:rFonts w:hint="eastAsia" w:ascii="宋体" w:hAnsi="宋体" w:cs="宋体"/>
                <w:color w:val="000000"/>
                <w:szCs w:val="21"/>
              </w:rPr>
            </w:pPr>
          </w:p>
        </w:tc>
        <w:tc>
          <w:tcPr>
            <w:tcW w:w="627" w:type="pct"/>
            <w:noWrap w:val="0"/>
            <w:vAlign w:val="center"/>
          </w:tcPr>
          <w:p w14:paraId="2563C757">
            <w:pPr>
              <w:keepNext/>
              <w:spacing w:line="360" w:lineRule="auto"/>
              <w:jc w:val="center"/>
              <w:rPr>
                <w:rFonts w:hint="eastAsia" w:ascii="宋体" w:hAnsi="宋体" w:cs="宋体"/>
                <w:color w:val="000000"/>
                <w:szCs w:val="21"/>
              </w:rPr>
            </w:pPr>
          </w:p>
        </w:tc>
        <w:tc>
          <w:tcPr>
            <w:tcW w:w="502" w:type="pct"/>
            <w:noWrap w:val="0"/>
            <w:vAlign w:val="center"/>
          </w:tcPr>
          <w:p w14:paraId="5E0EFFB0">
            <w:pPr>
              <w:keepNext/>
              <w:spacing w:line="360" w:lineRule="auto"/>
              <w:jc w:val="center"/>
              <w:rPr>
                <w:rFonts w:hint="eastAsia" w:ascii="宋体" w:hAnsi="宋体" w:cs="宋体"/>
                <w:color w:val="000000"/>
                <w:szCs w:val="21"/>
              </w:rPr>
            </w:pPr>
          </w:p>
        </w:tc>
        <w:tc>
          <w:tcPr>
            <w:tcW w:w="502" w:type="pct"/>
            <w:noWrap w:val="0"/>
            <w:vAlign w:val="center"/>
          </w:tcPr>
          <w:p w14:paraId="590DA1A1">
            <w:pPr>
              <w:keepNext/>
              <w:spacing w:line="360" w:lineRule="auto"/>
              <w:jc w:val="center"/>
              <w:rPr>
                <w:rFonts w:hint="eastAsia" w:ascii="宋体" w:hAnsi="宋体" w:cs="宋体"/>
                <w:color w:val="000000"/>
                <w:szCs w:val="21"/>
              </w:rPr>
            </w:pPr>
          </w:p>
        </w:tc>
        <w:tc>
          <w:tcPr>
            <w:tcW w:w="1279" w:type="pct"/>
            <w:noWrap w:val="0"/>
            <w:vAlign w:val="center"/>
          </w:tcPr>
          <w:p w14:paraId="084253EC">
            <w:pPr>
              <w:keepNext/>
              <w:spacing w:line="360" w:lineRule="auto"/>
              <w:jc w:val="center"/>
              <w:rPr>
                <w:rFonts w:hint="eastAsia" w:ascii="宋体" w:hAnsi="宋体" w:cs="宋体"/>
                <w:color w:val="000000"/>
                <w:szCs w:val="21"/>
              </w:rPr>
            </w:pPr>
          </w:p>
        </w:tc>
        <w:tc>
          <w:tcPr>
            <w:tcW w:w="1153" w:type="pct"/>
            <w:noWrap w:val="0"/>
            <w:vAlign w:val="top"/>
          </w:tcPr>
          <w:p w14:paraId="0A5B7642">
            <w:pPr>
              <w:keepNext/>
              <w:spacing w:line="360" w:lineRule="auto"/>
              <w:jc w:val="center"/>
              <w:rPr>
                <w:rFonts w:hint="eastAsia" w:ascii="宋体" w:hAnsi="宋体" w:cs="宋体"/>
                <w:color w:val="000000"/>
                <w:szCs w:val="21"/>
              </w:rPr>
            </w:pPr>
          </w:p>
        </w:tc>
      </w:tr>
      <w:tr w14:paraId="61002E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71D9F812">
            <w:pPr>
              <w:keepNext/>
              <w:spacing w:line="360" w:lineRule="auto"/>
              <w:jc w:val="center"/>
              <w:rPr>
                <w:rFonts w:hint="eastAsia" w:ascii="宋体" w:hAnsi="宋体" w:cs="宋体"/>
                <w:color w:val="000000"/>
                <w:szCs w:val="21"/>
              </w:rPr>
            </w:pPr>
          </w:p>
        </w:tc>
        <w:tc>
          <w:tcPr>
            <w:tcW w:w="627" w:type="pct"/>
            <w:noWrap w:val="0"/>
            <w:vAlign w:val="center"/>
          </w:tcPr>
          <w:p w14:paraId="5AF8903D">
            <w:pPr>
              <w:keepNext/>
              <w:spacing w:line="360" w:lineRule="auto"/>
              <w:jc w:val="center"/>
              <w:rPr>
                <w:rFonts w:hint="eastAsia" w:ascii="宋体" w:hAnsi="宋体" w:cs="宋体"/>
                <w:color w:val="000000"/>
                <w:szCs w:val="21"/>
              </w:rPr>
            </w:pPr>
          </w:p>
        </w:tc>
        <w:tc>
          <w:tcPr>
            <w:tcW w:w="502" w:type="pct"/>
            <w:noWrap w:val="0"/>
            <w:vAlign w:val="center"/>
          </w:tcPr>
          <w:p w14:paraId="2381383C">
            <w:pPr>
              <w:keepNext/>
              <w:spacing w:line="360" w:lineRule="auto"/>
              <w:jc w:val="center"/>
              <w:rPr>
                <w:rFonts w:hint="eastAsia" w:ascii="宋体" w:hAnsi="宋体" w:cs="宋体"/>
                <w:color w:val="000000"/>
                <w:szCs w:val="21"/>
              </w:rPr>
            </w:pPr>
          </w:p>
        </w:tc>
        <w:tc>
          <w:tcPr>
            <w:tcW w:w="502" w:type="pct"/>
            <w:noWrap w:val="0"/>
            <w:vAlign w:val="center"/>
          </w:tcPr>
          <w:p w14:paraId="334262CB">
            <w:pPr>
              <w:keepNext/>
              <w:spacing w:line="360" w:lineRule="auto"/>
              <w:jc w:val="center"/>
              <w:rPr>
                <w:rFonts w:hint="eastAsia" w:ascii="宋体" w:hAnsi="宋体" w:cs="宋体"/>
                <w:color w:val="000000"/>
                <w:szCs w:val="21"/>
              </w:rPr>
            </w:pPr>
          </w:p>
        </w:tc>
        <w:tc>
          <w:tcPr>
            <w:tcW w:w="1279" w:type="pct"/>
            <w:noWrap w:val="0"/>
            <w:vAlign w:val="center"/>
          </w:tcPr>
          <w:p w14:paraId="64D1BC0E">
            <w:pPr>
              <w:keepNext/>
              <w:spacing w:line="360" w:lineRule="auto"/>
              <w:jc w:val="center"/>
              <w:rPr>
                <w:rFonts w:hint="eastAsia" w:ascii="宋体" w:hAnsi="宋体" w:cs="宋体"/>
                <w:color w:val="000000"/>
                <w:szCs w:val="21"/>
              </w:rPr>
            </w:pPr>
          </w:p>
        </w:tc>
        <w:tc>
          <w:tcPr>
            <w:tcW w:w="1153" w:type="pct"/>
            <w:noWrap w:val="0"/>
            <w:vAlign w:val="top"/>
          </w:tcPr>
          <w:p w14:paraId="66513B11">
            <w:pPr>
              <w:keepNext/>
              <w:spacing w:line="360" w:lineRule="auto"/>
              <w:jc w:val="center"/>
              <w:rPr>
                <w:rFonts w:hint="eastAsia" w:ascii="宋体" w:hAnsi="宋体" w:cs="宋体"/>
                <w:color w:val="000000"/>
                <w:szCs w:val="21"/>
              </w:rPr>
            </w:pPr>
          </w:p>
        </w:tc>
      </w:tr>
      <w:tr w14:paraId="23898B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tcBorders>
              <w:bottom w:val="single" w:color="auto" w:sz="12" w:space="0"/>
            </w:tcBorders>
            <w:noWrap w:val="0"/>
            <w:vAlign w:val="center"/>
          </w:tcPr>
          <w:p w14:paraId="6247C18C">
            <w:pPr>
              <w:keepNext/>
              <w:spacing w:line="360" w:lineRule="auto"/>
              <w:jc w:val="center"/>
              <w:rPr>
                <w:rFonts w:hint="eastAsia" w:ascii="宋体" w:hAnsi="宋体" w:cs="宋体"/>
                <w:color w:val="000000"/>
                <w:szCs w:val="21"/>
              </w:rPr>
            </w:pPr>
          </w:p>
        </w:tc>
        <w:tc>
          <w:tcPr>
            <w:tcW w:w="627" w:type="pct"/>
            <w:tcBorders>
              <w:bottom w:val="single" w:color="auto" w:sz="12" w:space="0"/>
            </w:tcBorders>
            <w:noWrap w:val="0"/>
            <w:vAlign w:val="center"/>
          </w:tcPr>
          <w:p w14:paraId="57E46C66">
            <w:pPr>
              <w:keepNext/>
              <w:spacing w:line="360" w:lineRule="auto"/>
              <w:jc w:val="center"/>
              <w:rPr>
                <w:rFonts w:hint="eastAsia" w:ascii="宋体" w:hAnsi="宋体" w:cs="宋体"/>
                <w:color w:val="000000"/>
                <w:szCs w:val="21"/>
              </w:rPr>
            </w:pPr>
          </w:p>
        </w:tc>
        <w:tc>
          <w:tcPr>
            <w:tcW w:w="502" w:type="pct"/>
            <w:tcBorders>
              <w:bottom w:val="single" w:color="auto" w:sz="12" w:space="0"/>
            </w:tcBorders>
            <w:noWrap w:val="0"/>
            <w:vAlign w:val="center"/>
          </w:tcPr>
          <w:p w14:paraId="2BA70D54">
            <w:pPr>
              <w:keepNext/>
              <w:spacing w:line="360" w:lineRule="auto"/>
              <w:jc w:val="center"/>
              <w:rPr>
                <w:rFonts w:hint="eastAsia" w:ascii="宋体" w:hAnsi="宋体" w:cs="宋体"/>
                <w:color w:val="000000"/>
                <w:szCs w:val="21"/>
              </w:rPr>
            </w:pPr>
          </w:p>
        </w:tc>
        <w:tc>
          <w:tcPr>
            <w:tcW w:w="502" w:type="pct"/>
            <w:tcBorders>
              <w:bottom w:val="single" w:color="auto" w:sz="12" w:space="0"/>
            </w:tcBorders>
            <w:noWrap w:val="0"/>
            <w:vAlign w:val="center"/>
          </w:tcPr>
          <w:p w14:paraId="469E5BAF">
            <w:pPr>
              <w:keepNext/>
              <w:spacing w:line="360" w:lineRule="auto"/>
              <w:jc w:val="center"/>
              <w:rPr>
                <w:rFonts w:hint="eastAsia" w:ascii="宋体" w:hAnsi="宋体" w:cs="宋体"/>
                <w:color w:val="000000"/>
                <w:szCs w:val="21"/>
              </w:rPr>
            </w:pPr>
          </w:p>
        </w:tc>
        <w:tc>
          <w:tcPr>
            <w:tcW w:w="1279" w:type="pct"/>
            <w:tcBorders>
              <w:bottom w:val="single" w:color="auto" w:sz="12" w:space="0"/>
            </w:tcBorders>
            <w:noWrap w:val="0"/>
            <w:vAlign w:val="center"/>
          </w:tcPr>
          <w:p w14:paraId="76D6B892">
            <w:pPr>
              <w:keepNext/>
              <w:spacing w:line="360" w:lineRule="auto"/>
              <w:jc w:val="center"/>
              <w:rPr>
                <w:rFonts w:hint="eastAsia" w:ascii="宋体" w:hAnsi="宋体" w:cs="宋体"/>
                <w:color w:val="000000"/>
                <w:szCs w:val="21"/>
              </w:rPr>
            </w:pPr>
          </w:p>
        </w:tc>
        <w:tc>
          <w:tcPr>
            <w:tcW w:w="1153" w:type="pct"/>
            <w:tcBorders>
              <w:bottom w:val="single" w:color="auto" w:sz="12" w:space="0"/>
            </w:tcBorders>
            <w:noWrap w:val="0"/>
            <w:vAlign w:val="top"/>
          </w:tcPr>
          <w:p w14:paraId="5CBA14AA">
            <w:pPr>
              <w:keepNext/>
              <w:spacing w:line="360" w:lineRule="auto"/>
              <w:jc w:val="center"/>
              <w:rPr>
                <w:rFonts w:hint="eastAsia" w:ascii="宋体" w:hAnsi="宋体" w:cs="宋体"/>
                <w:color w:val="000000"/>
                <w:szCs w:val="21"/>
              </w:rPr>
            </w:pPr>
          </w:p>
        </w:tc>
      </w:tr>
    </w:tbl>
    <w:p w14:paraId="57AEE2E7">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br w:type="page"/>
      </w:r>
      <w:bookmarkStart w:id="887" w:name="_Toc95223493"/>
      <w:r>
        <w:rPr>
          <w:rFonts w:hint="eastAsia" w:ascii="宋体" w:hAnsi="宋体" w:cs="宋体"/>
          <w:bCs/>
          <w:color w:val="000000"/>
          <w:sz w:val="24"/>
        </w:rPr>
        <w:t>附</w:t>
      </w:r>
      <w:bookmarkStart w:id="888" w:name="_Toc296891269"/>
      <w:bookmarkStart w:id="889" w:name="_Toc296347228"/>
      <w:bookmarkStart w:id="890" w:name="_Toc296891057"/>
      <w:bookmarkStart w:id="891" w:name="_Toc296346730"/>
      <w:bookmarkStart w:id="892" w:name="_Toc296503229"/>
      <w:bookmarkStart w:id="893" w:name="_Toc296944568"/>
      <w:r>
        <w:rPr>
          <w:rFonts w:hint="eastAsia" w:ascii="宋体" w:hAnsi="宋体" w:cs="宋体"/>
          <w:bCs/>
          <w:color w:val="000000"/>
          <w:sz w:val="24"/>
        </w:rPr>
        <w:t>件7：分包人主要施工管理人员表</w:t>
      </w:r>
      <w:bookmarkEnd w:id="887"/>
    </w:p>
    <w:bookmarkEnd w:id="888"/>
    <w:bookmarkEnd w:id="889"/>
    <w:bookmarkEnd w:id="890"/>
    <w:bookmarkEnd w:id="891"/>
    <w:bookmarkEnd w:id="892"/>
    <w:bookmarkEnd w:id="893"/>
    <w:p w14:paraId="18407CBC">
      <w:pPr>
        <w:spacing w:before="120" w:beforeLines="50" w:after="120" w:afterLines="50" w:line="360" w:lineRule="auto"/>
        <w:jc w:val="center"/>
        <w:rPr>
          <w:rFonts w:hint="eastAsia" w:ascii="宋体" w:hAnsi="宋体" w:cs="宋体"/>
          <w:b/>
          <w:color w:val="000000"/>
          <w:szCs w:val="21"/>
        </w:rPr>
      </w:pPr>
      <w:bookmarkStart w:id="894" w:name="_Toc22101"/>
      <w:bookmarkStart w:id="895" w:name="_Toc179"/>
      <w:bookmarkStart w:id="896" w:name="_Toc95223494"/>
      <w:r>
        <w:rPr>
          <w:rFonts w:hint="eastAsia" w:ascii="宋体" w:hAnsi="宋体" w:cs="宋体"/>
          <w:b/>
          <w:color w:val="000000"/>
          <w:szCs w:val="21"/>
        </w:rPr>
        <w:t>分包人主要施工管理人员表</w:t>
      </w:r>
      <w:bookmarkEnd w:id="894"/>
      <w:bookmarkEnd w:id="895"/>
      <w:bookmarkEnd w:id="896"/>
    </w:p>
    <w:tbl>
      <w:tblPr>
        <w:tblStyle w:val="4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25"/>
        <w:gridCol w:w="1156"/>
        <w:gridCol w:w="925"/>
        <w:gridCol w:w="674"/>
        <w:gridCol w:w="3119"/>
        <w:gridCol w:w="1616"/>
      </w:tblGrid>
      <w:tr w14:paraId="6C4D1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single" w:color="auto" w:sz="12" w:space="0"/>
              <w:bottom w:val="double" w:color="auto" w:sz="6" w:space="0"/>
            </w:tcBorders>
            <w:noWrap w:val="0"/>
            <w:vAlign w:val="center"/>
          </w:tcPr>
          <w:p w14:paraId="26146530">
            <w:pPr>
              <w:keepNext/>
              <w:spacing w:line="360" w:lineRule="auto"/>
              <w:jc w:val="center"/>
              <w:rPr>
                <w:rFonts w:hint="eastAsia" w:ascii="宋体" w:hAnsi="宋体" w:cs="宋体"/>
                <w:color w:val="000000"/>
                <w:szCs w:val="21"/>
              </w:rPr>
            </w:pPr>
            <w:r>
              <w:rPr>
                <w:rFonts w:hint="eastAsia" w:ascii="宋体" w:hAnsi="宋体" w:cs="宋体"/>
                <w:color w:val="000000"/>
                <w:szCs w:val="21"/>
              </w:rPr>
              <w:t>名    称</w:t>
            </w:r>
          </w:p>
        </w:tc>
        <w:tc>
          <w:tcPr>
            <w:tcW w:w="641" w:type="pct"/>
            <w:tcBorders>
              <w:top w:val="single" w:color="auto" w:sz="12" w:space="0"/>
              <w:bottom w:val="double" w:color="auto" w:sz="6" w:space="0"/>
            </w:tcBorders>
            <w:noWrap w:val="0"/>
            <w:vAlign w:val="center"/>
          </w:tcPr>
          <w:p w14:paraId="32B89496">
            <w:pPr>
              <w:keepNext/>
              <w:spacing w:line="360" w:lineRule="auto"/>
              <w:jc w:val="center"/>
              <w:rPr>
                <w:rFonts w:hint="eastAsia" w:ascii="宋体" w:hAnsi="宋体" w:cs="宋体"/>
                <w:color w:val="000000"/>
                <w:szCs w:val="21"/>
              </w:rPr>
            </w:pPr>
            <w:r>
              <w:rPr>
                <w:rFonts w:hint="eastAsia" w:ascii="宋体" w:hAnsi="宋体" w:cs="宋体"/>
                <w:color w:val="000000"/>
                <w:szCs w:val="21"/>
              </w:rPr>
              <w:t>姓名</w:t>
            </w:r>
          </w:p>
        </w:tc>
        <w:tc>
          <w:tcPr>
            <w:tcW w:w="513" w:type="pct"/>
            <w:tcBorders>
              <w:top w:val="single" w:color="auto" w:sz="12" w:space="0"/>
              <w:bottom w:val="double" w:color="auto" w:sz="6" w:space="0"/>
            </w:tcBorders>
            <w:noWrap w:val="0"/>
            <w:vAlign w:val="center"/>
          </w:tcPr>
          <w:p w14:paraId="4433EF6B">
            <w:pPr>
              <w:keepNext/>
              <w:spacing w:line="360" w:lineRule="auto"/>
              <w:jc w:val="center"/>
              <w:rPr>
                <w:rFonts w:hint="eastAsia" w:ascii="宋体" w:hAnsi="宋体" w:cs="宋体"/>
                <w:color w:val="000000"/>
                <w:szCs w:val="21"/>
              </w:rPr>
            </w:pPr>
            <w:r>
              <w:rPr>
                <w:rFonts w:hint="eastAsia" w:ascii="宋体" w:hAnsi="宋体" w:cs="宋体"/>
                <w:color w:val="000000"/>
                <w:szCs w:val="21"/>
              </w:rPr>
              <w:t>职务</w:t>
            </w:r>
          </w:p>
        </w:tc>
        <w:tc>
          <w:tcPr>
            <w:tcW w:w="374" w:type="pct"/>
            <w:tcBorders>
              <w:top w:val="single" w:color="auto" w:sz="12" w:space="0"/>
              <w:bottom w:val="double" w:color="auto" w:sz="6" w:space="0"/>
            </w:tcBorders>
            <w:noWrap w:val="0"/>
            <w:vAlign w:val="center"/>
          </w:tcPr>
          <w:p w14:paraId="6E5E4C77">
            <w:pPr>
              <w:keepNext/>
              <w:spacing w:line="360" w:lineRule="auto"/>
              <w:jc w:val="center"/>
              <w:rPr>
                <w:rFonts w:hint="eastAsia" w:ascii="宋体" w:hAnsi="宋体" w:cs="宋体"/>
                <w:color w:val="000000"/>
                <w:szCs w:val="21"/>
              </w:rPr>
            </w:pPr>
            <w:r>
              <w:rPr>
                <w:rFonts w:hint="eastAsia" w:ascii="宋体" w:hAnsi="宋体" w:cs="宋体"/>
                <w:color w:val="000000"/>
                <w:szCs w:val="21"/>
              </w:rPr>
              <w:t>职称</w:t>
            </w:r>
          </w:p>
        </w:tc>
        <w:tc>
          <w:tcPr>
            <w:tcW w:w="1730" w:type="pct"/>
            <w:tcBorders>
              <w:top w:val="single" w:color="auto" w:sz="12" w:space="0"/>
              <w:bottom w:val="double" w:color="auto" w:sz="6" w:space="0"/>
            </w:tcBorders>
            <w:noWrap w:val="0"/>
            <w:vAlign w:val="center"/>
          </w:tcPr>
          <w:p w14:paraId="3E545CD0">
            <w:pPr>
              <w:keepNext/>
              <w:spacing w:line="360" w:lineRule="auto"/>
              <w:jc w:val="center"/>
              <w:rPr>
                <w:rFonts w:hint="eastAsia" w:ascii="宋体" w:hAnsi="宋体" w:cs="宋体"/>
                <w:color w:val="000000"/>
                <w:szCs w:val="21"/>
              </w:rPr>
            </w:pPr>
            <w:r>
              <w:rPr>
                <w:rFonts w:hint="eastAsia" w:ascii="宋体" w:hAnsi="宋体" w:cs="宋体"/>
                <w:color w:val="000000"/>
                <w:szCs w:val="21"/>
              </w:rPr>
              <w:t>主要资历、经验及承担过的项目</w:t>
            </w:r>
          </w:p>
        </w:tc>
        <w:tc>
          <w:tcPr>
            <w:tcW w:w="896" w:type="pct"/>
            <w:tcBorders>
              <w:top w:val="single" w:color="auto" w:sz="12" w:space="0"/>
              <w:bottom w:val="double" w:color="auto" w:sz="6" w:space="0"/>
            </w:tcBorders>
            <w:noWrap w:val="0"/>
            <w:vAlign w:val="center"/>
          </w:tcPr>
          <w:p w14:paraId="1DD3F435">
            <w:pPr>
              <w:keepNext/>
              <w:spacing w:line="360" w:lineRule="auto"/>
              <w:jc w:val="center"/>
              <w:rPr>
                <w:rFonts w:hint="eastAsia" w:ascii="宋体" w:hAnsi="宋体" w:cs="宋体"/>
                <w:color w:val="000000"/>
                <w:szCs w:val="21"/>
              </w:rPr>
            </w:pPr>
            <w:r>
              <w:rPr>
                <w:rFonts w:hint="eastAsia" w:ascii="宋体" w:hAnsi="宋体" w:cs="宋体"/>
                <w:color w:val="000000"/>
                <w:szCs w:val="21"/>
              </w:rPr>
              <w:t>身份证号码</w:t>
            </w:r>
          </w:p>
        </w:tc>
      </w:tr>
      <w:tr w14:paraId="23022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04" w:type="pct"/>
            <w:gridSpan w:val="5"/>
            <w:tcBorders>
              <w:top w:val="double" w:color="auto" w:sz="6" w:space="0"/>
            </w:tcBorders>
            <w:noWrap w:val="0"/>
            <w:vAlign w:val="center"/>
          </w:tcPr>
          <w:p w14:paraId="1A3FAA52">
            <w:pPr>
              <w:keepNext/>
              <w:spacing w:line="360" w:lineRule="auto"/>
              <w:rPr>
                <w:rFonts w:hint="eastAsia" w:ascii="宋体" w:hAnsi="宋体" w:cs="宋体"/>
                <w:color w:val="000000"/>
                <w:szCs w:val="21"/>
              </w:rPr>
            </w:pPr>
            <w:r>
              <w:rPr>
                <w:rFonts w:hint="eastAsia" w:ascii="宋体" w:hAnsi="宋体" w:cs="宋体"/>
                <w:color w:val="000000"/>
                <w:szCs w:val="21"/>
              </w:rPr>
              <w:t>一、总部人员</w:t>
            </w:r>
          </w:p>
        </w:tc>
        <w:tc>
          <w:tcPr>
            <w:tcW w:w="896" w:type="pct"/>
            <w:tcBorders>
              <w:top w:val="double" w:color="auto" w:sz="6" w:space="0"/>
            </w:tcBorders>
            <w:noWrap w:val="0"/>
            <w:vAlign w:val="top"/>
          </w:tcPr>
          <w:p w14:paraId="75739233">
            <w:pPr>
              <w:keepNext/>
              <w:spacing w:line="360" w:lineRule="auto"/>
              <w:rPr>
                <w:rFonts w:hint="eastAsia" w:ascii="宋体" w:hAnsi="宋体" w:cs="宋体"/>
                <w:color w:val="000000"/>
                <w:szCs w:val="21"/>
              </w:rPr>
            </w:pPr>
          </w:p>
        </w:tc>
      </w:tr>
      <w:tr w14:paraId="75DEDD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noWrap w:val="0"/>
            <w:vAlign w:val="center"/>
          </w:tcPr>
          <w:p w14:paraId="3D94AE54">
            <w:pPr>
              <w:keepNext/>
              <w:spacing w:line="360" w:lineRule="auto"/>
              <w:rPr>
                <w:rFonts w:hint="eastAsia" w:ascii="宋体" w:hAnsi="宋体" w:cs="宋体"/>
                <w:color w:val="000000"/>
                <w:szCs w:val="21"/>
              </w:rPr>
            </w:pPr>
            <w:r>
              <w:rPr>
                <w:rFonts w:hint="eastAsia" w:ascii="宋体" w:hAnsi="宋体" w:cs="宋体"/>
                <w:color w:val="000000"/>
                <w:szCs w:val="21"/>
              </w:rPr>
              <w:t>项目主管</w:t>
            </w:r>
          </w:p>
        </w:tc>
        <w:tc>
          <w:tcPr>
            <w:tcW w:w="641" w:type="pct"/>
            <w:tcBorders>
              <w:top w:val="nil"/>
            </w:tcBorders>
            <w:noWrap w:val="0"/>
            <w:vAlign w:val="center"/>
          </w:tcPr>
          <w:p w14:paraId="54095929">
            <w:pPr>
              <w:keepNext/>
              <w:spacing w:line="360" w:lineRule="auto"/>
              <w:rPr>
                <w:rFonts w:hint="eastAsia" w:ascii="宋体" w:hAnsi="宋体" w:cs="宋体"/>
                <w:color w:val="000000"/>
                <w:szCs w:val="21"/>
              </w:rPr>
            </w:pPr>
          </w:p>
        </w:tc>
        <w:tc>
          <w:tcPr>
            <w:tcW w:w="513" w:type="pct"/>
            <w:tcBorders>
              <w:top w:val="nil"/>
            </w:tcBorders>
            <w:noWrap w:val="0"/>
            <w:vAlign w:val="center"/>
          </w:tcPr>
          <w:p w14:paraId="36C3E486">
            <w:pPr>
              <w:keepNext/>
              <w:spacing w:line="360" w:lineRule="auto"/>
              <w:rPr>
                <w:rFonts w:hint="eastAsia" w:ascii="宋体" w:hAnsi="宋体" w:cs="宋体"/>
                <w:color w:val="000000"/>
                <w:szCs w:val="21"/>
              </w:rPr>
            </w:pPr>
          </w:p>
        </w:tc>
        <w:tc>
          <w:tcPr>
            <w:tcW w:w="374" w:type="pct"/>
            <w:tcBorders>
              <w:top w:val="nil"/>
            </w:tcBorders>
            <w:noWrap w:val="0"/>
            <w:vAlign w:val="center"/>
          </w:tcPr>
          <w:p w14:paraId="1FF383DD">
            <w:pPr>
              <w:keepNext/>
              <w:spacing w:line="360" w:lineRule="auto"/>
              <w:rPr>
                <w:rFonts w:hint="eastAsia" w:ascii="宋体" w:hAnsi="宋体" w:cs="宋体"/>
                <w:color w:val="000000"/>
                <w:szCs w:val="21"/>
              </w:rPr>
            </w:pPr>
          </w:p>
        </w:tc>
        <w:tc>
          <w:tcPr>
            <w:tcW w:w="1730" w:type="pct"/>
            <w:tcBorders>
              <w:top w:val="nil"/>
            </w:tcBorders>
            <w:noWrap w:val="0"/>
            <w:vAlign w:val="center"/>
          </w:tcPr>
          <w:p w14:paraId="4E1A9B7B">
            <w:pPr>
              <w:keepNext/>
              <w:spacing w:line="360" w:lineRule="auto"/>
              <w:rPr>
                <w:rFonts w:hint="eastAsia" w:ascii="宋体" w:hAnsi="宋体" w:cs="宋体"/>
                <w:color w:val="000000"/>
                <w:szCs w:val="21"/>
              </w:rPr>
            </w:pPr>
          </w:p>
        </w:tc>
        <w:tc>
          <w:tcPr>
            <w:tcW w:w="896" w:type="pct"/>
            <w:tcBorders>
              <w:top w:val="nil"/>
            </w:tcBorders>
            <w:noWrap w:val="0"/>
            <w:vAlign w:val="top"/>
          </w:tcPr>
          <w:p w14:paraId="6C13F00B">
            <w:pPr>
              <w:keepNext/>
              <w:spacing w:line="360" w:lineRule="auto"/>
              <w:rPr>
                <w:rFonts w:hint="eastAsia" w:ascii="宋体" w:hAnsi="宋体" w:cs="宋体"/>
                <w:color w:val="000000"/>
                <w:szCs w:val="21"/>
              </w:rPr>
            </w:pPr>
          </w:p>
        </w:tc>
      </w:tr>
      <w:tr w14:paraId="6EA6ED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bottom w:val="nil"/>
            </w:tcBorders>
            <w:noWrap w:val="0"/>
            <w:vAlign w:val="center"/>
          </w:tcPr>
          <w:p w14:paraId="4CCC8DFC">
            <w:pPr>
              <w:keepNext/>
              <w:spacing w:line="360" w:lineRule="auto"/>
              <w:rPr>
                <w:rFonts w:hint="eastAsia" w:ascii="宋体" w:hAnsi="宋体" w:cs="宋体"/>
                <w:color w:val="000000"/>
                <w:szCs w:val="21"/>
              </w:rPr>
            </w:pPr>
          </w:p>
        </w:tc>
        <w:tc>
          <w:tcPr>
            <w:tcW w:w="641" w:type="pct"/>
            <w:noWrap w:val="0"/>
            <w:vAlign w:val="center"/>
          </w:tcPr>
          <w:p w14:paraId="53F18643">
            <w:pPr>
              <w:keepNext/>
              <w:spacing w:line="360" w:lineRule="auto"/>
              <w:rPr>
                <w:rFonts w:hint="eastAsia" w:ascii="宋体" w:hAnsi="宋体" w:cs="宋体"/>
                <w:color w:val="000000"/>
                <w:szCs w:val="21"/>
              </w:rPr>
            </w:pPr>
          </w:p>
        </w:tc>
        <w:tc>
          <w:tcPr>
            <w:tcW w:w="513" w:type="pct"/>
            <w:noWrap w:val="0"/>
            <w:vAlign w:val="center"/>
          </w:tcPr>
          <w:p w14:paraId="117B61F3">
            <w:pPr>
              <w:keepNext/>
              <w:spacing w:line="360" w:lineRule="auto"/>
              <w:rPr>
                <w:rFonts w:hint="eastAsia" w:ascii="宋体" w:hAnsi="宋体" w:cs="宋体"/>
                <w:color w:val="000000"/>
                <w:szCs w:val="21"/>
              </w:rPr>
            </w:pPr>
          </w:p>
        </w:tc>
        <w:tc>
          <w:tcPr>
            <w:tcW w:w="374" w:type="pct"/>
            <w:noWrap w:val="0"/>
            <w:vAlign w:val="center"/>
          </w:tcPr>
          <w:p w14:paraId="51694BBE">
            <w:pPr>
              <w:keepNext/>
              <w:spacing w:line="360" w:lineRule="auto"/>
              <w:rPr>
                <w:rFonts w:hint="eastAsia" w:ascii="宋体" w:hAnsi="宋体" w:cs="宋体"/>
                <w:color w:val="000000"/>
                <w:szCs w:val="21"/>
              </w:rPr>
            </w:pPr>
          </w:p>
        </w:tc>
        <w:tc>
          <w:tcPr>
            <w:tcW w:w="1730" w:type="pct"/>
            <w:noWrap w:val="0"/>
            <w:vAlign w:val="center"/>
          </w:tcPr>
          <w:p w14:paraId="187F19DB">
            <w:pPr>
              <w:keepNext/>
              <w:spacing w:line="360" w:lineRule="auto"/>
              <w:rPr>
                <w:rFonts w:hint="eastAsia" w:ascii="宋体" w:hAnsi="宋体" w:cs="宋体"/>
                <w:color w:val="000000"/>
                <w:szCs w:val="21"/>
              </w:rPr>
            </w:pPr>
          </w:p>
        </w:tc>
        <w:tc>
          <w:tcPr>
            <w:tcW w:w="896" w:type="pct"/>
            <w:noWrap w:val="0"/>
            <w:vAlign w:val="top"/>
          </w:tcPr>
          <w:p w14:paraId="2250A50C">
            <w:pPr>
              <w:keepNext/>
              <w:spacing w:line="360" w:lineRule="auto"/>
              <w:rPr>
                <w:rFonts w:hint="eastAsia" w:ascii="宋体" w:hAnsi="宋体" w:cs="宋体"/>
                <w:color w:val="000000"/>
                <w:szCs w:val="21"/>
              </w:rPr>
            </w:pPr>
          </w:p>
        </w:tc>
      </w:tr>
      <w:tr w14:paraId="7583E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noWrap w:val="0"/>
            <w:vAlign w:val="center"/>
          </w:tcPr>
          <w:p w14:paraId="0692C0CB">
            <w:pPr>
              <w:keepNext/>
              <w:spacing w:line="360" w:lineRule="auto"/>
              <w:rPr>
                <w:rFonts w:hint="eastAsia" w:ascii="宋体" w:hAnsi="宋体" w:cs="宋体"/>
                <w:color w:val="000000"/>
                <w:szCs w:val="21"/>
              </w:rPr>
            </w:pPr>
            <w:r>
              <w:rPr>
                <w:rFonts w:hint="eastAsia" w:ascii="宋体" w:hAnsi="宋体" w:cs="宋体"/>
                <w:color w:val="000000"/>
                <w:szCs w:val="21"/>
              </w:rPr>
              <w:t>其他人员</w:t>
            </w:r>
          </w:p>
        </w:tc>
        <w:tc>
          <w:tcPr>
            <w:tcW w:w="641" w:type="pct"/>
            <w:noWrap w:val="0"/>
            <w:vAlign w:val="center"/>
          </w:tcPr>
          <w:p w14:paraId="30DD3A9B">
            <w:pPr>
              <w:keepNext/>
              <w:spacing w:line="360" w:lineRule="auto"/>
              <w:rPr>
                <w:rFonts w:hint="eastAsia" w:ascii="宋体" w:hAnsi="宋体" w:cs="宋体"/>
                <w:color w:val="000000"/>
                <w:szCs w:val="21"/>
              </w:rPr>
            </w:pPr>
          </w:p>
        </w:tc>
        <w:tc>
          <w:tcPr>
            <w:tcW w:w="513" w:type="pct"/>
            <w:noWrap w:val="0"/>
            <w:vAlign w:val="center"/>
          </w:tcPr>
          <w:p w14:paraId="5E0F0DF6">
            <w:pPr>
              <w:keepNext/>
              <w:spacing w:line="360" w:lineRule="auto"/>
              <w:rPr>
                <w:rFonts w:hint="eastAsia" w:ascii="宋体" w:hAnsi="宋体" w:cs="宋体"/>
                <w:color w:val="000000"/>
                <w:szCs w:val="21"/>
              </w:rPr>
            </w:pPr>
          </w:p>
        </w:tc>
        <w:tc>
          <w:tcPr>
            <w:tcW w:w="374" w:type="pct"/>
            <w:noWrap w:val="0"/>
            <w:vAlign w:val="center"/>
          </w:tcPr>
          <w:p w14:paraId="73E2BD67">
            <w:pPr>
              <w:keepNext/>
              <w:spacing w:line="360" w:lineRule="auto"/>
              <w:rPr>
                <w:rFonts w:hint="eastAsia" w:ascii="宋体" w:hAnsi="宋体" w:cs="宋体"/>
                <w:color w:val="000000"/>
                <w:szCs w:val="21"/>
              </w:rPr>
            </w:pPr>
          </w:p>
        </w:tc>
        <w:tc>
          <w:tcPr>
            <w:tcW w:w="1730" w:type="pct"/>
            <w:noWrap w:val="0"/>
            <w:vAlign w:val="center"/>
          </w:tcPr>
          <w:p w14:paraId="4A390DCF">
            <w:pPr>
              <w:keepNext/>
              <w:spacing w:line="360" w:lineRule="auto"/>
              <w:rPr>
                <w:rFonts w:hint="eastAsia" w:ascii="宋体" w:hAnsi="宋体" w:cs="宋体"/>
                <w:color w:val="000000"/>
                <w:szCs w:val="21"/>
              </w:rPr>
            </w:pPr>
          </w:p>
        </w:tc>
        <w:tc>
          <w:tcPr>
            <w:tcW w:w="896" w:type="pct"/>
            <w:noWrap w:val="0"/>
            <w:vAlign w:val="top"/>
          </w:tcPr>
          <w:p w14:paraId="0F479ED4">
            <w:pPr>
              <w:keepNext/>
              <w:spacing w:line="360" w:lineRule="auto"/>
              <w:rPr>
                <w:rFonts w:hint="eastAsia" w:ascii="宋体" w:hAnsi="宋体" w:cs="宋体"/>
                <w:color w:val="000000"/>
                <w:szCs w:val="21"/>
              </w:rPr>
            </w:pPr>
          </w:p>
        </w:tc>
      </w:tr>
      <w:tr w14:paraId="047007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noWrap w:val="0"/>
            <w:vAlign w:val="center"/>
          </w:tcPr>
          <w:p w14:paraId="25E5A08A">
            <w:pPr>
              <w:keepNext/>
              <w:spacing w:line="360" w:lineRule="auto"/>
              <w:rPr>
                <w:rFonts w:hint="eastAsia" w:ascii="宋体" w:hAnsi="宋体" w:cs="宋体"/>
                <w:color w:val="000000"/>
                <w:szCs w:val="21"/>
              </w:rPr>
            </w:pPr>
          </w:p>
        </w:tc>
        <w:tc>
          <w:tcPr>
            <w:tcW w:w="641" w:type="pct"/>
            <w:noWrap w:val="0"/>
            <w:vAlign w:val="center"/>
          </w:tcPr>
          <w:p w14:paraId="18558432">
            <w:pPr>
              <w:keepNext/>
              <w:spacing w:line="360" w:lineRule="auto"/>
              <w:rPr>
                <w:rFonts w:hint="eastAsia" w:ascii="宋体" w:hAnsi="宋体" w:cs="宋体"/>
                <w:color w:val="000000"/>
                <w:szCs w:val="21"/>
              </w:rPr>
            </w:pPr>
          </w:p>
        </w:tc>
        <w:tc>
          <w:tcPr>
            <w:tcW w:w="513" w:type="pct"/>
            <w:noWrap w:val="0"/>
            <w:vAlign w:val="center"/>
          </w:tcPr>
          <w:p w14:paraId="528EB0A3">
            <w:pPr>
              <w:keepNext/>
              <w:spacing w:line="360" w:lineRule="auto"/>
              <w:rPr>
                <w:rFonts w:hint="eastAsia" w:ascii="宋体" w:hAnsi="宋体" w:cs="宋体"/>
                <w:color w:val="000000"/>
                <w:szCs w:val="21"/>
              </w:rPr>
            </w:pPr>
          </w:p>
        </w:tc>
        <w:tc>
          <w:tcPr>
            <w:tcW w:w="374" w:type="pct"/>
            <w:noWrap w:val="0"/>
            <w:vAlign w:val="center"/>
          </w:tcPr>
          <w:p w14:paraId="1837A690">
            <w:pPr>
              <w:keepNext/>
              <w:spacing w:line="360" w:lineRule="auto"/>
              <w:rPr>
                <w:rFonts w:hint="eastAsia" w:ascii="宋体" w:hAnsi="宋体" w:cs="宋体"/>
                <w:color w:val="000000"/>
                <w:szCs w:val="21"/>
              </w:rPr>
            </w:pPr>
          </w:p>
        </w:tc>
        <w:tc>
          <w:tcPr>
            <w:tcW w:w="1730" w:type="pct"/>
            <w:noWrap w:val="0"/>
            <w:vAlign w:val="center"/>
          </w:tcPr>
          <w:p w14:paraId="6B995B68">
            <w:pPr>
              <w:keepNext/>
              <w:spacing w:line="360" w:lineRule="auto"/>
              <w:rPr>
                <w:rFonts w:hint="eastAsia" w:ascii="宋体" w:hAnsi="宋体" w:cs="宋体"/>
                <w:color w:val="000000"/>
                <w:szCs w:val="21"/>
              </w:rPr>
            </w:pPr>
          </w:p>
        </w:tc>
        <w:tc>
          <w:tcPr>
            <w:tcW w:w="896" w:type="pct"/>
            <w:noWrap w:val="0"/>
            <w:vAlign w:val="top"/>
          </w:tcPr>
          <w:p w14:paraId="418895D3">
            <w:pPr>
              <w:keepNext/>
              <w:spacing w:line="360" w:lineRule="auto"/>
              <w:rPr>
                <w:rFonts w:hint="eastAsia" w:ascii="宋体" w:hAnsi="宋体" w:cs="宋体"/>
                <w:color w:val="000000"/>
                <w:szCs w:val="21"/>
              </w:rPr>
            </w:pPr>
          </w:p>
        </w:tc>
      </w:tr>
      <w:tr w14:paraId="0F8CF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04" w:type="pct"/>
            <w:gridSpan w:val="5"/>
            <w:noWrap w:val="0"/>
            <w:vAlign w:val="center"/>
          </w:tcPr>
          <w:p w14:paraId="1B97093F">
            <w:pPr>
              <w:keepNext/>
              <w:spacing w:line="360" w:lineRule="auto"/>
              <w:rPr>
                <w:rFonts w:hint="eastAsia" w:ascii="宋体" w:hAnsi="宋体" w:cs="宋体"/>
                <w:color w:val="000000"/>
                <w:szCs w:val="21"/>
              </w:rPr>
            </w:pPr>
            <w:r>
              <w:rPr>
                <w:rFonts w:hint="eastAsia" w:ascii="宋体" w:hAnsi="宋体" w:cs="宋体"/>
                <w:color w:val="000000"/>
                <w:szCs w:val="21"/>
              </w:rPr>
              <w:t>二、现场人员</w:t>
            </w:r>
          </w:p>
        </w:tc>
        <w:tc>
          <w:tcPr>
            <w:tcW w:w="896" w:type="pct"/>
            <w:noWrap w:val="0"/>
            <w:vAlign w:val="top"/>
          </w:tcPr>
          <w:p w14:paraId="3D776CB1">
            <w:pPr>
              <w:keepNext/>
              <w:spacing w:line="360" w:lineRule="auto"/>
              <w:rPr>
                <w:rFonts w:hint="eastAsia" w:ascii="宋体" w:hAnsi="宋体" w:cs="宋体"/>
                <w:color w:val="000000"/>
                <w:szCs w:val="21"/>
              </w:rPr>
            </w:pPr>
          </w:p>
        </w:tc>
      </w:tr>
      <w:tr w14:paraId="370679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0D1C2BAD">
            <w:pPr>
              <w:spacing w:line="360" w:lineRule="auto"/>
              <w:rPr>
                <w:rFonts w:hint="eastAsia" w:ascii="宋体" w:hAnsi="宋体" w:cs="宋体"/>
                <w:color w:val="000000"/>
                <w:szCs w:val="22"/>
              </w:rPr>
            </w:pPr>
            <w:r>
              <w:rPr>
                <w:rFonts w:hint="eastAsia" w:ascii="宋体" w:hAnsi="宋体" w:cs="宋体"/>
                <w:color w:val="000000"/>
                <w:szCs w:val="22"/>
              </w:rPr>
              <w:t>项目经理</w:t>
            </w:r>
          </w:p>
        </w:tc>
        <w:tc>
          <w:tcPr>
            <w:tcW w:w="641" w:type="pct"/>
            <w:noWrap w:val="0"/>
            <w:vAlign w:val="center"/>
          </w:tcPr>
          <w:p w14:paraId="469EB2A7">
            <w:pPr>
              <w:keepNext/>
              <w:spacing w:line="360" w:lineRule="auto"/>
              <w:rPr>
                <w:rFonts w:hint="eastAsia" w:ascii="宋体" w:hAnsi="宋体" w:cs="宋体"/>
                <w:color w:val="000000"/>
                <w:szCs w:val="21"/>
              </w:rPr>
            </w:pPr>
          </w:p>
        </w:tc>
        <w:tc>
          <w:tcPr>
            <w:tcW w:w="513" w:type="pct"/>
            <w:noWrap w:val="0"/>
            <w:vAlign w:val="center"/>
          </w:tcPr>
          <w:p w14:paraId="0F5D62BD">
            <w:pPr>
              <w:keepNext/>
              <w:spacing w:line="360" w:lineRule="auto"/>
              <w:rPr>
                <w:rFonts w:hint="eastAsia" w:ascii="宋体" w:hAnsi="宋体" w:cs="宋体"/>
                <w:color w:val="000000"/>
                <w:szCs w:val="21"/>
              </w:rPr>
            </w:pPr>
          </w:p>
        </w:tc>
        <w:tc>
          <w:tcPr>
            <w:tcW w:w="374" w:type="pct"/>
            <w:noWrap w:val="0"/>
            <w:vAlign w:val="center"/>
          </w:tcPr>
          <w:p w14:paraId="5F8163C3">
            <w:pPr>
              <w:keepNext/>
              <w:spacing w:line="360" w:lineRule="auto"/>
              <w:rPr>
                <w:rFonts w:hint="eastAsia" w:ascii="宋体" w:hAnsi="宋体" w:cs="宋体"/>
                <w:color w:val="000000"/>
                <w:szCs w:val="21"/>
              </w:rPr>
            </w:pPr>
          </w:p>
        </w:tc>
        <w:tc>
          <w:tcPr>
            <w:tcW w:w="1730" w:type="pct"/>
            <w:noWrap w:val="0"/>
            <w:vAlign w:val="center"/>
          </w:tcPr>
          <w:p w14:paraId="3DE3B9C3">
            <w:pPr>
              <w:keepNext/>
              <w:spacing w:line="360" w:lineRule="auto"/>
              <w:rPr>
                <w:rFonts w:hint="eastAsia" w:ascii="宋体" w:hAnsi="宋体" w:cs="宋体"/>
                <w:color w:val="000000"/>
                <w:szCs w:val="21"/>
              </w:rPr>
            </w:pPr>
          </w:p>
        </w:tc>
        <w:tc>
          <w:tcPr>
            <w:tcW w:w="896" w:type="pct"/>
            <w:noWrap w:val="0"/>
            <w:vAlign w:val="top"/>
          </w:tcPr>
          <w:p w14:paraId="4ADFB88B">
            <w:pPr>
              <w:keepNext/>
              <w:spacing w:line="360" w:lineRule="auto"/>
              <w:rPr>
                <w:rFonts w:hint="eastAsia" w:ascii="宋体" w:hAnsi="宋体" w:cs="宋体"/>
                <w:color w:val="000000"/>
                <w:szCs w:val="21"/>
              </w:rPr>
            </w:pPr>
          </w:p>
        </w:tc>
      </w:tr>
      <w:tr w14:paraId="12BB5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43B398A3">
            <w:pPr>
              <w:spacing w:line="360" w:lineRule="auto"/>
              <w:rPr>
                <w:rFonts w:hint="eastAsia" w:ascii="宋体" w:hAnsi="宋体" w:cs="宋体"/>
                <w:color w:val="000000"/>
                <w:szCs w:val="22"/>
              </w:rPr>
            </w:pPr>
            <w:r>
              <w:rPr>
                <w:rFonts w:hint="eastAsia" w:ascii="宋体" w:hAnsi="宋体" w:cs="宋体"/>
                <w:color w:val="000000"/>
                <w:szCs w:val="22"/>
              </w:rPr>
              <w:t>项目副经理</w:t>
            </w:r>
          </w:p>
        </w:tc>
        <w:tc>
          <w:tcPr>
            <w:tcW w:w="641" w:type="pct"/>
            <w:noWrap w:val="0"/>
            <w:vAlign w:val="center"/>
          </w:tcPr>
          <w:p w14:paraId="5E255BDD">
            <w:pPr>
              <w:keepNext/>
              <w:spacing w:line="360" w:lineRule="auto"/>
              <w:rPr>
                <w:rFonts w:hint="eastAsia" w:ascii="宋体" w:hAnsi="宋体" w:cs="宋体"/>
                <w:color w:val="000000"/>
                <w:szCs w:val="21"/>
              </w:rPr>
            </w:pPr>
          </w:p>
        </w:tc>
        <w:tc>
          <w:tcPr>
            <w:tcW w:w="513" w:type="pct"/>
            <w:noWrap w:val="0"/>
            <w:vAlign w:val="center"/>
          </w:tcPr>
          <w:p w14:paraId="112E296F">
            <w:pPr>
              <w:keepNext/>
              <w:spacing w:line="360" w:lineRule="auto"/>
              <w:rPr>
                <w:rFonts w:hint="eastAsia" w:ascii="宋体" w:hAnsi="宋体" w:cs="宋体"/>
                <w:color w:val="000000"/>
                <w:szCs w:val="21"/>
              </w:rPr>
            </w:pPr>
          </w:p>
        </w:tc>
        <w:tc>
          <w:tcPr>
            <w:tcW w:w="374" w:type="pct"/>
            <w:noWrap w:val="0"/>
            <w:vAlign w:val="center"/>
          </w:tcPr>
          <w:p w14:paraId="1104B48F">
            <w:pPr>
              <w:keepNext/>
              <w:spacing w:line="360" w:lineRule="auto"/>
              <w:rPr>
                <w:rFonts w:hint="eastAsia" w:ascii="宋体" w:hAnsi="宋体" w:cs="宋体"/>
                <w:color w:val="000000"/>
                <w:szCs w:val="21"/>
              </w:rPr>
            </w:pPr>
          </w:p>
        </w:tc>
        <w:tc>
          <w:tcPr>
            <w:tcW w:w="1730" w:type="pct"/>
            <w:noWrap w:val="0"/>
            <w:vAlign w:val="center"/>
          </w:tcPr>
          <w:p w14:paraId="1E63D4AA">
            <w:pPr>
              <w:keepNext/>
              <w:spacing w:line="360" w:lineRule="auto"/>
              <w:rPr>
                <w:rFonts w:hint="eastAsia" w:ascii="宋体" w:hAnsi="宋体" w:cs="宋体"/>
                <w:color w:val="000000"/>
                <w:szCs w:val="21"/>
              </w:rPr>
            </w:pPr>
          </w:p>
        </w:tc>
        <w:tc>
          <w:tcPr>
            <w:tcW w:w="896" w:type="pct"/>
            <w:noWrap w:val="0"/>
            <w:vAlign w:val="top"/>
          </w:tcPr>
          <w:p w14:paraId="0E80CA76">
            <w:pPr>
              <w:keepNext/>
              <w:spacing w:line="360" w:lineRule="auto"/>
              <w:rPr>
                <w:rFonts w:hint="eastAsia" w:ascii="宋体" w:hAnsi="宋体" w:cs="宋体"/>
                <w:color w:val="000000"/>
                <w:szCs w:val="21"/>
              </w:rPr>
            </w:pPr>
          </w:p>
        </w:tc>
      </w:tr>
      <w:tr w14:paraId="22F002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078EEF05">
            <w:pPr>
              <w:spacing w:line="360" w:lineRule="auto"/>
              <w:rPr>
                <w:rFonts w:hint="eastAsia" w:ascii="宋体" w:hAnsi="宋体" w:cs="宋体"/>
                <w:color w:val="000000"/>
                <w:szCs w:val="22"/>
              </w:rPr>
            </w:pPr>
            <w:r>
              <w:rPr>
                <w:rFonts w:hint="eastAsia" w:ascii="宋体" w:hAnsi="宋体" w:cs="宋体"/>
                <w:color w:val="000000"/>
                <w:szCs w:val="22"/>
              </w:rPr>
              <w:t>项目技术负责人</w:t>
            </w:r>
          </w:p>
        </w:tc>
        <w:tc>
          <w:tcPr>
            <w:tcW w:w="641" w:type="pct"/>
            <w:noWrap w:val="0"/>
            <w:vAlign w:val="center"/>
          </w:tcPr>
          <w:p w14:paraId="3F6EF9F2">
            <w:pPr>
              <w:keepNext/>
              <w:spacing w:line="360" w:lineRule="auto"/>
              <w:rPr>
                <w:rFonts w:hint="eastAsia" w:ascii="宋体" w:hAnsi="宋体" w:cs="宋体"/>
                <w:color w:val="000000"/>
                <w:szCs w:val="21"/>
              </w:rPr>
            </w:pPr>
          </w:p>
        </w:tc>
        <w:tc>
          <w:tcPr>
            <w:tcW w:w="513" w:type="pct"/>
            <w:noWrap w:val="0"/>
            <w:vAlign w:val="center"/>
          </w:tcPr>
          <w:p w14:paraId="0530AA1F">
            <w:pPr>
              <w:keepNext/>
              <w:spacing w:line="360" w:lineRule="auto"/>
              <w:rPr>
                <w:rFonts w:hint="eastAsia" w:ascii="宋体" w:hAnsi="宋体" w:cs="宋体"/>
                <w:color w:val="000000"/>
                <w:szCs w:val="21"/>
              </w:rPr>
            </w:pPr>
          </w:p>
        </w:tc>
        <w:tc>
          <w:tcPr>
            <w:tcW w:w="374" w:type="pct"/>
            <w:noWrap w:val="0"/>
            <w:vAlign w:val="center"/>
          </w:tcPr>
          <w:p w14:paraId="1F5F45D2">
            <w:pPr>
              <w:keepNext/>
              <w:spacing w:line="360" w:lineRule="auto"/>
              <w:rPr>
                <w:rFonts w:hint="eastAsia" w:ascii="宋体" w:hAnsi="宋体" w:cs="宋体"/>
                <w:color w:val="000000"/>
                <w:szCs w:val="21"/>
              </w:rPr>
            </w:pPr>
          </w:p>
        </w:tc>
        <w:tc>
          <w:tcPr>
            <w:tcW w:w="1730" w:type="pct"/>
            <w:noWrap w:val="0"/>
            <w:vAlign w:val="center"/>
          </w:tcPr>
          <w:p w14:paraId="1E2B9750">
            <w:pPr>
              <w:keepNext/>
              <w:spacing w:line="360" w:lineRule="auto"/>
              <w:rPr>
                <w:rFonts w:hint="eastAsia" w:ascii="宋体" w:hAnsi="宋体" w:cs="宋体"/>
                <w:color w:val="000000"/>
                <w:szCs w:val="21"/>
              </w:rPr>
            </w:pPr>
          </w:p>
        </w:tc>
        <w:tc>
          <w:tcPr>
            <w:tcW w:w="896" w:type="pct"/>
            <w:noWrap w:val="0"/>
            <w:vAlign w:val="top"/>
          </w:tcPr>
          <w:p w14:paraId="4D7D1170">
            <w:pPr>
              <w:keepNext/>
              <w:spacing w:line="360" w:lineRule="auto"/>
              <w:rPr>
                <w:rFonts w:hint="eastAsia" w:ascii="宋体" w:hAnsi="宋体" w:cs="宋体"/>
                <w:color w:val="000000"/>
                <w:szCs w:val="21"/>
              </w:rPr>
            </w:pPr>
          </w:p>
        </w:tc>
      </w:tr>
      <w:tr w14:paraId="389EE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3262C41E">
            <w:pPr>
              <w:spacing w:line="360" w:lineRule="auto"/>
              <w:rPr>
                <w:rFonts w:hint="eastAsia" w:ascii="宋体" w:hAnsi="宋体" w:cs="宋体"/>
                <w:color w:val="000000"/>
                <w:szCs w:val="22"/>
              </w:rPr>
            </w:pPr>
            <w:r>
              <w:rPr>
                <w:rFonts w:hint="eastAsia" w:ascii="宋体" w:hAnsi="宋体" w:cs="宋体"/>
                <w:color w:val="000000"/>
                <w:szCs w:val="22"/>
              </w:rPr>
              <w:t>施工员</w:t>
            </w:r>
          </w:p>
        </w:tc>
        <w:tc>
          <w:tcPr>
            <w:tcW w:w="641" w:type="pct"/>
            <w:noWrap w:val="0"/>
            <w:vAlign w:val="center"/>
          </w:tcPr>
          <w:p w14:paraId="573C31B0">
            <w:pPr>
              <w:keepNext/>
              <w:spacing w:line="360" w:lineRule="auto"/>
              <w:rPr>
                <w:rFonts w:hint="eastAsia" w:ascii="宋体" w:hAnsi="宋体" w:cs="宋体"/>
                <w:color w:val="000000"/>
                <w:szCs w:val="21"/>
              </w:rPr>
            </w:pPr>
          </w:p>
        </w:tc>
        <w:tc>
          <w:tcPr>
            <w:tcW w:w="513" w:type="pct"/>
            <w:noWrap w:val="0"/>
            <w:vAlign w:val="center"/>
          </w:tcPr>
          <w:p w14:paraId="4C76416D">
            <w:pPr>
              <w:keepNext/>
              <w:spacing w:line="360" w:lineRule="auto"/>
              <w:rPr>
                <w:rFonts w:hint="eastAsia" w:ascii="宋体" w:hAnsi="宋体" w:cs="宋体"/>
                <w:color w:val="000000"/>
                <w:szCs w:val="21"/>
              </w:rPr>
            </w:pPr>
          </w:p>
        </w:tc>
        <w:tc>
          <w:tcPr>
            <w:tcW w:w="374" w:type="pct"/>
            <w:noWrap w:val="0"/>
            <w:vAlign w:val="center"/>
          </w:tcPr>
          <w:p w14:paraId="1905AE81">
            <w:pPr>
              <w:keepNext/>
              <w:spacing w:line="360" w:lineRule="auto"/>
              <w:rPr>
                <w:rFonts w:hint="eastAsia" w:ascii="宋体" w:hAnsi="宋体" w:cs="宋体"/>
                <w:color w:val="000000"/>
                <w:szCs w:val="21"/>
              </w:rPr>
            </w:pPr>
          </w:p>
        </w:tc>
        <w:tc>
          <w:tcPr>
            <w:tcW w:w="1730" w:type="pct"/>
            <w:noWrap w:val="0"/>
            <w:vAlign w:val="center"/>
          </w:tcPr>
          <w:p w14:paraId="3C03A9F5">
            <w:pPr>
              <w:keepNext/>
              <w:spacing w:line="360" w:lineRule="auto"/>
              <w:rPr>
                <w:rFonts w:hint="eastAsia" w:ascii="宋体" w:hAnsi="宋体" w:cs="宋体"/>
                <w:color w:val="000000"/>
                <w:szCs w:val="21"/>
              </w:rPr>
            </w:pPr>
          </w:p>
        </w:tc>
        <w:tc>
          <w:tcPr>
            <w:tcW w:w="896" w:type="pct"/>
            <w:noWrap w:val="0"/>
            <w:vAlign w:val="top"/>
          </w:tcPr>
          <w:p w14:paraId="0558B03E">
            <w:pPr>
              <w:keepNext/>
              <w:spacing w:line="360" w:lineRule="auto"/>
              <w:rPr>
                <w:rFonts w:hint="eastAsia" w:ascii="宋体" w:hAnsi="宋体" w:cs="宋体"/>
                <w:color w:val="000000"/>
                <w:szCs w:val="21"/>
              </w:rPr>
            </w:pPr>
          </w:p>
        </w:tc>
      </w:tr>
      <w:tr w14:paraId="0EDE2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13C9AABF">
            <w:pPr>
              <w:spacing w:line="360" w:lineRule="auto"/>
              <w:rPr>
                <w:rFonts w:hint="eastAsia" w:ascii="宋体" w:hAnsi="宋体" w:cs="宋体"/>
                <w:color w:val="000000"/>
                <w:szCs w:val="22"/>
              </w:rPr>
            </w:pPr>
            <w:r>
              <w:rPr>
                <w:rFonts w:hint="eastAsia" w:ascii="宋体" w:hAnsi="宋体" w:cs="宋体"/>
                <w:color w:val="000000"/>
                <w:szCs w:val="22"/>
              </w:rPr>
              <w:t>质检员（质量员）</w:t>
            </w:r>
          </w:p>
        </w:tc>
        <w:tc>
          <w:tcPr>
            <w:tcW w:w="641" w:type="pct"/>
            <w:noWrap w:val="0"/>
            <w:vAlign w:val="center"/>
          </w:tcPr>
          <w:p w14:paraId="62B9C44D">
            <w:pPr>
              <w:keepNext/>
              <w:spacing w:line="360" w:lineRule="auto"/>
              <w:rPr>
                <w:rFonts w:hint="eastAsia" w:ascii="宋体" w:hAnsi="宋体" w:cs="宋体"/>
                <w:color w:val="000000"/>
                <w:szCs w:val="21"/>
              </w:rPr>
            </w:pPr>
          </w:p>
        </w:tc>
        <w:tc>
          <w:tcPr>
            <w:tcW w:w="513" w:type="pct"/>
            <w:noWrap w:val="0"/>
            <w:vAlign w:val="center"/>
          </w:tcPr>
          <w:p w14:paraId="5BD80349">
            <w:pPr>
              <w:keepNext/>
              <w:spacing w:line="360" w:lineRule="auto"/>
              <w:rPr>
                <w:rFonts w:hint="eastAsia" w:ascii="宋体" w:hAnsi="宋体" w:cs="宋体"/>
                <w:color w:val="000000"/>
                <w:szCs w:val="21"/>
              </w:rPr>
            </w:pPr>
          </w:p>
        </w:tc>
        <w:tc>
          <w:tcPr>
            <w:tcW w:w="374" w:type="pct"/>
            <w:noWrap w:val="0"/>
            <w:vAlign w:val="center"/>
          </w:tcPr>
          <w:p w14:paraId="1BE4708D">
            <w:pPr>
              <w:keepNext/>
              <w:spacing w:line="360" w:lineRule="auto"/>
              <w:rPr>
                <w:rFonts w:hint="eastAsia" w:ascii="宋体" w:hAnsi="宋体" w:cs="宋体"/>
                <w:color w:val="000000"/>
                <w:szCs w:val="21"/>
              </w:rPr>
            </w:pPr>
          </w:p>
        </w:tc>
        <w:tc>
          <w:tcPr>
            <w:tcW w:w="1730" w:type="pct"/>
            <w:noWrap w:val="0"/>
            <w:vAlign w:val="center"/>
          </w:tcPr>
          <w:p w14:paraId="6DADFEE6">
            <w:pPr>
              <w:keepNext/>
              <w:spacing w:line="360" w:lineRule="auto"/>
              <w:rPr>
                <w:rFonts w:hint="eastAsia" w:ascii="宋体" w:hAnsi="宋体" w:cs="宋体"/>
                <w:color w:val="000000"/>
                <w:szCs w:val="21"/>
              </w:rPr>
            </w:pPr>
          </w:p>
        </w:tc>
        <w:tc>
          <w:tcPr>
            <w:tcW w:w="896" w:type="pct"/>
            <w:noWrap w:val="0"/>
            <w:vAlign w:val="top"/>
          </w:tcPr>
          <w:p w14:paraId="05A8DB12">
            <w:pPr>
              <w:keepNext/>
              <w:spacing w:line="360" w:lineRule="auto"/>
              <w:rPr>
                <w:rFonts w:hint="eastAsia" w:ascii="宋体" w:hAnsi="宋体" w:cs="宋体"/>
                <w:color w:val="000000"/>
                <w:szCs w:val="21"/>
              </w:rPr>
            </w:pPr>
          </w:p>
        </w:tc>
      </w:tr>
      <w:tr w14:paraId="44D07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22201716">
            <w:pPr>
              <w:spacing w:line="360" w:lineRule="auto"/>
              <w:rPr>
                <w:rFonts w:hint="eastAsia" w:ascii="宋体" w:hAnsi="宋体" w:cs="宋体"/>
                <w:color w:val="000000"/>
                <w:szCs w:val="22"/>
              </w:rPr>
            </w:pPr>
            <w:r>
              <w:rPr>
                <w:rFonts w:hint="eastAsia" w:ascii="宋体" w:hAnsi="宋体" w:cs="宋体"/>
                <w:color w:val="000000"/>
                <w:szCs w:val="22"/>
              </w:rPr>
              <w:t>安全员</w:t>
            </w:r>
          </w:p>
        </w:tc>
        <w:tc>
          <w:tcPr>
            <w:tcW w:w="641" w:type="pct"/>
            <w:noWrap w:val="0"/>
            <w:vAlign w:val="center"/>
          </w:tcPr>
          <w:p w14:paraId="146338BC">
            <w:pPr>
              <w:keepNext/>
              <w:spacing w:line="360" w:lineRule="auto"/>
              <w:rPr>
                <w:rFonts w:hint="eastAsia" w:ascii="宋体" w:hAnsi="宋体" w:cs="宋体"/>
                <w:color w:val="000000"/>
                <w:szCs w:val="21"/>
              </w:rPr>
            </w:pPr>
          </w:p>
        </w:tc>
        <w:tc>
          <w:tcPr>
            <w:tcW w:w="513" w:type="pct"/>
            <w:noWrap w:val="0"/>
            <w:vAlign w:val="center"/>
          </w:tcPr>
          <w:p w14:paraId="06652E14">
            <w:pPr>
              <w:keepNext/>
              <w:spacing w:line="360" w:lineRule="auto"/>
              <w:rPr>
                <w:rFonts w:hint="eastAsia" w:ascii="宋体" w:hAnsi="宋体" w:cs="宋体"/>
                <w:color w:val="000000"/>
                <w:szCs w:val="21"/>
              </w:rPr>
            </w:pPr>
          </w:p>
        </w:tc>
        <w:tc>
          <w:tcPr>
            <w:tcW w:w="374" w:type="pct"/>
            <w:noWrap w:val="0"/>
            <w:vAlign w:val="center"/>
          </w:tcPr>
          <w:p w14:paraId="21E7F6BB">
            <w:pPr>
              <w:keepNext/>
              <w:spacing w:line="360" w:lineRule="auto"/>
              <w:rPr>
                <w:rFonts w:hint="eastAsia" w:ascii="宋体" w:hAnsi="宋体" w:cs="宋体"/>
                <w:color w:val="000000"/>
                <w:szCs w:val="21"/>
              </w:rPr>
            </w:pPr>
          </w:p>
        </w:tc>
        <w:tc>
          <w:tcPr>
            <w:tcW w:w="1730" w:type="pct"/>
            <w:noWrap w:val="0"/>
            <w:vAlign w:val="center"/>
          </w:tcPr>
          <w:p w14:paraId="2C766C89">
            <w:pPr>
              <w:keepNext/>
              <w:spacing w:line="360" w:lineRule="auto"/>
              <w:rPr>
                <w:rFonts w:hint="eastAsia" w:ascii="宋体" w:hAnsi="宋体" w:cs="宋体"/>
                <w:color w:val="000000"/>
                <w:szCs w:val="21"/>
              </w:rPr>
            </w:pPr>
          </w:p>
        </w:tc>
        <w:tc>
          <w:tcPr>
            <w:tcW w:w="896" w:type="pct"/>
            <w:noWrap w:val="0"/>
            <w:vAlign w:val="top"/>
          </w:tcPr>
          <w:p w14:paraId="20F75106">
            <w:pPr>
              <w:keepNext/>
              <w:spacing w:line="360" w:lineRule="auto"/>
              <w:rPr>
                <w:rFonts w:hint="eastAsia" w:ascii="宋体" w:hAnsi="宋体" w:cs="宋体"/>
                <w:color w:val="000000"/>
                <w:szCs w:val="21"/>
              </w:rPr>
            </w:pPr>
          </w:p>
        </w:tc>
      </w:tr>
      <w:tr w14:paraId="76F22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2003D53E">
            <w:pPr>
              <w:spacing w:line="360" w:lineRule="auto"/>
              <w:rPr>
                <w:rFonts w:hint="eastAsia" w:ascii="宋体" w:hAnsi="宋体" w:cs="宋体"/>
                <w:color w:val="000000"/>
                <w:szCs w:val="22"/>
              </w:rPr>
            </w:pPr>
            <w:r>
              <w:rPr>
                <w:rFonts w:hint="eastAsia" w:ascii="宋体" w:hAnsi="宋体" w:cs="宋体"/>
                <w:color w:val="000000"/>
                <w:szCs w:val="22"/>
              </w:rPr>
              <w:t>资料员</w:t>
            </w:r>
          </w:p>
        </w:tc>
        <w:tc>
          <w:tcPr>
            <w:tcW w:w="641" w:type="pct"/>
            <w:noWrap w:val="0"/>
            <w:vAlign w:val="center"/>
          </w:tcPr>
          <w:p w14:paraId="43A30368">
            <w:pPr>
              <w:keepNext/>
              <w:spacing w:line="360" w:lineRule="auto"/>
              <w:rPr>
                <w:rFonts w:hint="eastAsia" w:ascii="宋体" w:hAnsi="宋体" w:cs="宋体"/>
                <w:color w:val="000000"/>
                <w:szCs w:val="21"/>
              </w:rPr>
            </w:pPr>
          </w:p>
        </w:tc>
        <w:tc>
          <w:tcPr>
            <w:tcW w:w="513" w:type="pct"/>
            <w:noWrap w:val="0"/>
            <w:vAlign w:val="center"/>
          </w:tcPr>
          <w:p w14:paraId="28CA5A65">
            <w:pPr>
              <w:keepNext/>
              <w:spacing w:line="360" w:lineRule="auto"/>
              <w:rPr>
                <w:rFonts w:hint="eastAsia" w:ascii="宋体" w:hAnsi="宋体" w:cs="宋体"/>
                <w:color w:val="000000"/>
                <w:szCs w:val="21"/>
              </w:rPr>
            </w:pPr>
          </w:p>
        </w:tc>
        <w:tc>
          <w:tcPr>
            <w:tcW w:w="374" w:type="pct"/>
            <w:noWrap w:val="0"/>
            <w:vAlign w:val="center"/>
          </w:tcPr>
          <w:p w14:paraId="3C7439E5">
            <w:pPr>
              <w:keepNext/>
              <w:spacing w:line="360" w:lineRule="auto"/>
              <w:rPr>
                <w:rFonts w:hint="eastAsia" w:ascii="宋体" w:hAnsi="宋体" w:cs="宋体"/>
                <w:color w:val="000000"/>
                <w:szCs w:val="21"/>
              </w:rPr>
            </w:pPr>
          </w:p>
        </w:tc>
        <w:tc>
          <w:tcPr>
            <w:tcW w:w="1730" w:type="pct"/>
            <w:noWrap w:val="0"/>
            <w:vAlign w:val="center"/>
          </w:tcPr>
          <w:p w14:paraId="4CDDA5BB">
            <w:pPr>
              <w:keepNext/>
              <w:spacing w:line="360" w:lineRule="auto"/>
              <w:rPr>
                <w:rFonts w:hint="eastAsia" w:ascii="宋体" w:hAnsi="宋体" w:cs="宋体"/>
                <w:color w:val="000000"/>
                <w:szCs w:val="21"/>
              </w:rPr>
            </w:pPr>
          </w:p>
        </w:tc>
        <w:tc>
          <w:tcPr>
            <w:tcW w:w="896" w:type="pct"/>
            <w:noWrap w:val="0"/>
            <w:vAlign w:val="top"/>
          </w:tcPr>
          <w:p w14:paraId="4E631971">
            <w:pPr>
              <w:keepNext/>
              <w:spacing w:line="360" w:lineRule="auto"/>
              <w:rPr>
                <w:rFonts w:hint="eastAsia" w:ascii="宋体" w:hAnsi="宋体" w:cs="宋体"/>
                <w:color w:val="000000"/>
                <w:szCs w:val="21"/>
              </w:rPr>
            </w:pPr>
          </w:p>
        </w:tc>
      </w:tr>
      <w:tr w14:paraId="0C8BC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restart"/>
            <w:noWrap w:val="0"/>
            <w:vAlign w:val="center"/>
          </w:tcPr>
          <w:p w14:paraId="795B3C7D">
            <w:pPr>
              <w:keepNext/>
              <w:spacing w:line="360" w:lineRule="auto"/>
              <w:rPr>
                <w:rFonts w:hint="eastAsia" w:ascii="宋体" w:hAnsi="宋体" w:cs="宋体"/>
                <w:color w:val="000000"/>
                <w:szCs w:val="21"/>
              </w:rPr>
            </w:pPr>
            <w:r>
              <w:rPr>
                <w:rFonts w:hint="eastAsia" w:ascii="宋体" w:hAnsi="宋体" w:cs="宋体"/>
                <w:color w:val="000000"/>
                <w:szCs w:val="21"/>
              </w:rPr>
              <w:t>其他人员</w:t>
            </w:r>
          </w:p>
        </w:tc>
        <w:tc>
          <w:tcPr>
            <w:tcW w:w="641" w:type="pct"/>
            <w:noWrap w:val="0"/>
            <w:vAlign w:val="center"/>
          </w:tcPr>
          <w:p w14:paraId="78FC5437">
            <w:pPr>
              <w:keepNext/>
              <w:spacing w:line="360" w:lineRule="auto"/>
              <w:rPr>
                <w:rFonts w:hint="eastAsia" w:ascii="宋体" w:hAnsi="宋体" w:cs="宋体"/>
                <w:color w:val="000000"/>
                <w:szCs w:val="21"/>
              </w:rPr>
            </w:pPr>
          </w:p>
        </w:tc>
        <w:tc>
          <w:tcPr>
            <w:tcW w:w="513" w:type="pct"/>
            <w:noWrap w:val="0"/>
            <w:vAlign w:val="center"/>
          </w:tcPr>
          <w:p w14:paraId="107C6AF8">
            <w:pPr>
              <w:keepNext/>
              <w:spacing w:line="360" w:lineRule="auto"/>
              <w:rPr>
                <w:rFonts w:hint="eastAsia" w:ascii="宋体" w:hAnsi="宋体" w:cs="宋体"/>
                <w:color w:val="000000"/>
                <w:szCs w:val="21"/>
              </w:rPr>
            </w:pPr>
          </w:p>
        </w:tc>
        <w:tc>
          <w:tcPr>
            <w:tcW w:w="374" w:type="pct"/>
            <w:noWrap w:val="0"/>
            <w:vAlign w:val="center"/>
          </w:tcPr>
          <w:p w14:paraId="5982D898">
            <w:pPr>
              <w:keepNext/>
              <w:spacing w:line="360" w:lineRule="auto"/>
              <w:rPr>
                <w:rFonts w:hint="eastAsia" w:ascii="宋体" w:hAnsi="宋体" w:cs="宋体"/>
                <w:color w:val="000000"/>
                <w:szCs w:val="21"/>
              </w:rPr>
            </w:pPr>
          </w:p>
        </w:tc>
        <w:tc>
          <w:tcPr>
            <w:tcW w:w="1730" w:type="pct"/>
            <w:noWrap w:val="0"/>
            <w:vAlign w:val="center"/>
          </w:tcPr>
          <w:p w14:paraId="26AAB8F0">
            <w:pPr>
              <w:keepNext/>
              <w:spacing w:line="360" w:lineRule="auto"/>
              <w:rPr>
                <w:rFonts w:hint="eastAsia" w:ascii="宋体" w:hAnsi="宋体" w:cs="宋体"/>
                <w:color w:val="000000"/>
                <w:szCs w:val="21"/>
              </w:rPr>
            </w:pPr>
          </w:p>
        </w:tc>
        <w:tc>
          <w:tcPr>
            <w:tcW w:w="896" w:type="pct"/>
            <w:noWrap w:val="0"/>
            <w:vAlign w:val="top"/>
          </w:tcPr>
          <w:p w14:paraId="38622765">
            <w:pPr>
              <w:keepNext/>
              <w:spacing w:line="360" w:lineRule="auto"/>
              <w:rPr>
                <w:rFonts w:hint="eastAsia" w:ascii="宋体" w:hAnsi="宋体" w:cs="宋体"/>
                <w:color w:val="000000"/>
                <w:szCs w:val="21"/>
              </w:rPr>
            </w:pPr>
          </w:p>
        </w:tc>
      </w:tr>
      <w:tr w14:paraId="1242C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1AE625F2">
            <w:pPr>
              <w:keepNext/>
              <w:spacing w:line="360" w:lineRule="auto"/>
              <w:rPr>
                <w:rFonts w:hint="eastAsia" w:ascii="宋体" w:hAnsi="宋体" w:cs="宋体"/>
                <w:color w:val="000000"/>
                <w:szCs w:val="21"/>
              </w:rPr>
            </w:pPr>
          </w:p>
        </w:tc>
        <w:tc>
          <w:tcPr>
            <w:tcW w:w="641" w:type="pct"/>
            <w:tcBorders>
              <w:bottom w:val="nil"/>
            </w:tcBorders>
            <w:noWrap w:val="0"/>
            <w:vAlign w:val="center"/>
          </w:tcPr>
          <w:p w14:paraId="18EFA55A">
            <w:pPr>
              <w:keepNext/>
              <w:spacing w:line="360" w:lineRule="auto"/>
              <w:rPr>
                <w:rFonts w:hint="eastAsia" w:ascii="宋体" w:hAnsi="宋体" w:cs="宋体"/>
                <w:color w:val="000000"/>
                <w:szCs w:val="21"/>
              </w:rPr>
            </w:pPr>
          </w:p>
        </w:tc>
        <w:tc>
          <w:tcPr>
            <w:tcW w:w="513" w:type="pct"/>
            <w:tcBorders>
              <w:bottom w:val="nil"/>
            </w:tcBorders>
            <w:noWrap w:val="0"/>
            <w:vAlign w:val="center"/>
          </w:tcPr>
          <w:p w14:paraId="75DEF166">
            <w:pPr>
              <w:keepNext/>
              <w:spacing w:line="360" w:lineRule="auto"/>
              <w:rPr>
                <w:rFonts w:hint="eastAsia" w:ascii="宋体" w:hAnsi="宋体" w:cs="宋体"/>
                <w:color w:val="000000"/>
                <w:szCs w:val="21"/>
              </w:rPr>
            </w:pPr>
          </w:p>
        </w:tc>
        <w:tc>
          <w:tcPr>
            <w:tcW w:w="374" w:type="pct"/>
            <w:tcBorders>
              <w:bottom w:val="nil"/>
            </w:tcBorders>
            <w:noWrap w:val="0"/>
            <w:vAlign w:val="center"/>
          </w:tcPr>
          <w:p w14:paraId="17EDA1AF">
            <w:pPr>
              <w:keepNext/>
              <w:spacing w:line="360" w:lineRule="auto"/>
              <w:rPr>
                <w:rFonts w:hint="eastAsia" w:ascii="宋体" w:hAnsi="宋体" w:cs="宋体"/>
                <w:color w:val="000000"/>
                <w:szCs w:val="21"/>
              </w:rPr>
            </w:pPr>
          </w:p>
        </w:tc>
        <w:tc>
          <w:tcPr>
            <w:tcW w:w="1730" w:type="pct"/>
            <w:tcBorders>
              <w:bottom w:val="nil"/>
            </w:tcBorders>
            <w:noWrap w:val="0"/>
            <w:vAlign w:val="center"/>
          </w:tcPr>
          <w:p w14:paraId="3D072168">
            <w:pPr>
              <w:keepNext/>
              <w:spacing w:line="360" w:lineRule="auto"/>
              <w:rPr>
                <w:rFonts w:hint="eastAsia" w:ascii="宋体" w:hAnsi="宋体" w:cs="宋体"/>
                <w:color w:val="000000"/>
                <w:szCs w:val="21"/>
              </w:rPr>
            </w:pPr>
          </w:p>
        </w:tc>
        <w:tc>
          <w:tcPr>
            <w:tcW w:w="896" w:type="pct"/>
            <w:tcBorders>
              <w:bottom w:val="nil"/>
            </w:tcBorders>
            <w:noWrap w:val="0"/>
            <w:vAlign w:val="top"/>
          </w:tcPr>
          <w:p w14:paraId="5C36A08F">
            <w:pPr>
              <w:keepNext/>
              <w:spacing w:line="360" w:lineRule="auto"/>
              <w:rPr>
                <w:rFonts w:hint="eastAsia" w:ascii="宋体" w:hAnsi="宋体" w:cs="宋体"/>
                <w:color w:val="000000"/>
                <w:szCs w:val="21"/>
              </w:rPr>
            </w:pPr>
          </w:p>
        </w:tc>
      </w:tr>
      <w:tr w14:paraId="6DBAF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1A718956">
            <w:pPr>
              <w:keepNext/>
              <w:spacing w:line="360" w:lineRule="auto"/>
              <w:rPr>
                <w:rFonts w:hint="eastAsia" w:ascii="宋体" w:hAnsi="宋体" w:cs="宋体"/>
                <w:color w:val="000000"/>
                <w:szCs w:val="21"/>
              </w:rPr>
            </w:pPr>
          </w:p>
        </w:tc>
        <w:tc>
          <w:tcPr>
            <w:tcW w:w="641" w:type="pct"/>
            <w:noWrap w:val="0"/>
            <w:vAlign w:val="center"/>
          </w:tcPr>
          <w:p w14:paraId="6774367C">
            <w:pPr>
              <w:keepNext/>
              <w:spacing w:line="360" w:lineRule="auto"/>
              <w:rPr>
                <w:rFonts w:hint="eastAsia" w:ascii="宋体" w:hAnsi="宋体" w:cs="宋体"/>
                <w:color w:val="000000"/>
                <w:szCs w:val="21"/>
              </w:rPr>
            </w:pPr>
          </w:p>
        </w:tc>
        <w:tc>
          <w:tcPr>
            <w:tcW w:w="513" w:type="pct"/>
            <w:noWrap w:val="0"/>
            <w:vAlign w:val="center"/>
          </w:tcPr>
          <w:p w14:paraId="79AD48F6">
            <w:pPr>
              <w:keepNext/>
              <w:spacing w:line="360" w:lineRule="auto"/>
              <w:rPr>
                <w:rFonts w:hint="eastAsia" w:ascii="宋体" w:hAnsi="宋体" w:cs="宋体"/>
                <w:color w:val="000000"/>
                <w:szCs w:val="21"/>
              </w:rPr>
            </w:pPr>
          </w:p>
        </w:tc>
        <w:tc>
          <w:tcPr>
            <w:tcW w:w="374" w:type="pct"/>
            <w:noWrap w:val="0"/>
            <w:vAlign w:val="center"/>
          </w:tcPr>
          <w:p w14:paraId="3435CFE4">
            <w:pPr>
              <w:keepNext/>
              <w:spacing w:line="360" w:lineRule="auto"/>
              <w:rPr>
                <w:rFonts w:hint="eastAsia" w:ascii="宋体" w:hAnsi="宋体" w:cs="宋体"/>
                <w:color w:val="000000"/>
                <w:szCs w:val="21"/>
              </w:rPr>
            </w:pPr>
          </w:p>
        </w:tc>
        <w:tc>
          <w:tcPr>
            <w:tcW w:w="1730" w:type="pct"/>
            <w:noWrap w:val="0"/>
            <w:vAlign w:val="center"/>
          </w:tcPr>
          <w:p w14:paraId="111740E0">
            <w:pPr>
              <w:keepNext/>
              <w:spacing w:line="360" w:lineRule="auto"/>
              <w:rPr>
                <w:rFonts w:hint="eastAsia" w:ascii="宋体" w:hAnsi="宋体" w:cs="宋体"/>
                <w:color w:val="000000"/>
                <w:szCs w:val="21"/>
              </w:rPr>
            </w:pPr>
          </w:p>
        </w:tc>
        <w:tc>
          <w:tcPr>
            <w:tcW w:w="896" w:type="pct"/>
            <w:noWrap w:val="0"/>
            <w:vAlign w:val="top"/>
          </w:tcPr>
          <w:p w14:paraId="5F1E93D9">
            <w:pPr>
              <w:keepNext/>
              <w:spacing w:line="360" w:lineRule="auto"/>
              <w:rPr>
                <w:rFonts w:hint="eastAsia" w:ascii="宋体" w:hAnsi="宋体" w:cs="宋体"/>
                <w:color w:val="000000"/>
                <w:szCs w:val="21"/>
              </w:rPr>
            </w:pPr>
          </w:p>
        </w:tc>
      </w:tr>
      <w:tr w14:paraId="203655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3CC0408F">
            <w:pPr>
              <w:keepNext/>
              <w:spacing w:line="360" w:lineRule="auto"/>
              <w:rPr>
                <w:rFonts w:hint="eastAsia" w:ascii="宋体" w:hAnsi="宋体" w:cs="宋体"/>
                <w:color w:val="000000"/>
                <w:szCs w:val="21"/>
              </w:rPr>
            </w:pPr>
          </w:p>
        </w:tc>
        <w:tc>
          <w:tcPr>
            <w:tcW w:w="641" w:type="pct"/>
            <w:noWrap w:val="0"/>
            <w:vAlign w:val="center"/>
          </w:tcPr>
          <w:p w14:paraId="1A23BCF7">
            <w:pPr>
              <w:keepNext/>
              <w:spacing w:line="360" w:lineRule="auto"/>
              <w:rPr>
                <w:rFonts w:hint="eastAsia" w:ascii="宋体" w:hAnsi="宋体" w:cs="宋体"/>
                <w:color w:val="000000"/>
                <w:szCs w:val="21"/>
              </w:rPr>
            </w:pPr>
          </w:p>
        </w:tc>
        <w:tc>
          <w:tcPr>
            <w:tcW w:w="513" w:type="pct"/>
            <w:noWrap w:val="0"/>
            <w:vAlign w:val="center"/>
          </w:tcPr>
          <w:p w14:paraId="5190AFB6">
            <w:pPr>
              <w:keepNext/>
              <w:spacing w:line="360" w:lineRule="auto"/>
              <w:rPr>
                <w:rFonts w:hint="eastAsia" w:ascii="宋体" w:hAnsi="宋体" w:cs="宋体"/>
                <w:color w:val="000000"/>
                <w:szCs w:val="21"/>
              </w:rPr>
            </w:pPr>
          </w:p>
        </w:tc>
        <w:tc>
          <w:tcPr>
            <w:tcW w:w="374" w:type="pct"/>
            <w:noWrap w:val="0"/>
            <w:vAlign w:val="center"/>
          </w:tcPr>
          <w:p w14:paraId="0A697DF7">
            <w:pPr>
              <w:keepNext/>
              <w:spacing w:line="360" w:lineRule="auto"/>
              <w:rPr>
                <w:rFonts w:hint="eastAsia" w:ascii="宋体" w:hAnsi="宋体" w:cs="宋体"/>
                <w:color w:val="000000"/>
                <w:szCs w:val="21"/>
              </w:rPr>
            </w:pPr>
          </w:p>
        </w:tc>
        <w:tc>
          <w:tcPr>
            <w:tcW w:w="1730" w:type="pct"/>
            <w:noWrap w:val="0"/>
            <w:vAlign w:val="center"/>
          </w:tcPr>
          <w:p w14:paraId="4710C6AD">
            <w:pPr>
              <w:keepNext/>
              <w:spacing w:line="360" w:lineRule="auto"/>
              <w:rPr>
                <w:rFonts w:hint="eastAsia" w:ascii="宋体" w:hAnsi="宋体" w:cs="宋体"/>
                <w:color w:val="000000"/>
                <w:szCs w:val="21"/>
              </w:rPr>
            </w:pPr>
          </w:p>
        </w:tc>
        <w:tc>
          <w:tcPr>
            <w:tcW w:w="896" w:type="pct"/>
            <w:noWrap w:val="0"/>
            <w:vAlign w:val="top"/>
          </w:tcPr>
          <w:p w14:paraId="44C42A9C">
            <w:pPr>
              <w:keepNext/>
              <w:spacing w:line="360" w:lineRule="auto"/>
              <w:rPr>
                <w:rFonts w:hint="eastAsia" w:ascii="宋体" w:hAnsi="宋体" w:cs="宋体"/>
                <w:color w:val="000000"/>
                <w:szCs w:val="21"/>
              </w:rPr>
            </w:pPr>
          </w:p>
        </w:tc>
      </w:tr>
      <w:tr w14:paraId="1F3BC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68A70479">
            <w:pPr>
              <w:keepNext/>
              <w:spacing w:line="360" w:lineRule="auto"/>
              <w:rPr>
                <w:rFonts w:hint="eastAsia" w:ascii="宋体" w:hAnsi="宋体" w:cs="宋体"/>
                <w:color w:val="000000"/>
                <w:szCs w:val="21"/>
              </w:rPr>
            </w:pPr>
          </w:p>
        </w:tc>
        <w:tc>
          <w:tcPr>
            <w:tcW w:w="641" w:type="pct"/>
            <w:noWrap w:val="0"/>
            <w:vAlign w:val="center"/>
          </w:tcPr>
          <w:p w14:paraId="1E59129D">
            <w:pPr>
              <w:keepNext/>
              <w:spacing w:line="360" w:lineRule="auto"/>
              <w:rPr>
                <w:rFonts w:hint="eastAsia" w:ascii="宋体" w:hAnsi="宋体" w:cs="宋体"/>
                <w:color w:val="000000"/>
                <w:szCs w:val="21"/>
              </w:rPr>
            </w:pPr>
          </w:p>
        </w:tc>
        <w:tc>
          <w:tcPr>
            <w:tcW w:w="513" w:type="pct"/>
            <w:noWrap w:val="0"/>
            <w:vAlign w:val="center"/>
          </w:tcPr>
          <w:p w14:paraId="1C3ADE05">
            <w:pPr>
              <w:keepNext/>
              <w:spacing w:line="360" w:lineRule="auto"/>
              <w:rPr>
                <w:rFonts w:hint="eastAsia" w:ascii="宋体" w:hAnsi="宋体" w:cs="宋体"/>
                <w:color w:val="000000"/>
                <w:szCs w:val="21"/>
              </w:rPr>
            </w:pPr>
          </w:p>
        </w:tc>
        <w:tc>
          <w:tcPr>
            <w:tcW w:w="374" w:type="pct"/>
            <w:noWrap w:val="0"/>
            <w:vAlign w:val="center"/>
          </w:tcPr>
          <w:p w14:paraId="7B662B55">
            <w:pPr>
              <w:keepNext/>
              <w:spacing w:line="360" w:lineRule="auto"/>
              <w:rPr>
                <w:rFonts w:hint="eastAsia" w:ascii="宋体" w:hAnsi="宋体" w:cs="宋体"/>
                <w:color w:val="000000"/>
                <w:szCs w:val="21"/>
              </w:rPr>
            </w:pPr>
          </w:p>
        </w:tc>
        <w:tc>
          <w:tcPr>
            <w:tcW w:w="1730" w:type="pct"/>
            <w:noWrap w:val="0"/>
            <w:vAlign w:val="center"/>
          </w:tcPr>
          <w:p w14:paraId="5532B4E8">
            <w:pPr>
              <w:keepNext/>
              <w:spacing w:line="360" w:lineRule="auto"/>
              <w:rPr>
                <w:rFonts w:hint="eastAsia" w:ascii="宋体" w:hAnsi="宋体" w:cs="宋体"/>
                <w:color w:val="000000"/>
                <w:szCs w:val="21"/>
              </w:rPr>
            </w:pPr>
          </w:p>
        </w:tc>
        <w:tc>
          <w:tcPr>
            <w:tcW w:w="896" w:type="pct"/>
            <w:noWrap w:val="0"/>
            <w:vAlign w:val="top"/>
          </w:tcPr>
          <w:p w14:paraId="4F12449A">
            <w:pPr>
              <w:keepNext/>
              <w:spacing w:line="360" w:lineRule="auto"/>
              <w:rPr>
                <w:rFonts w:hint="eastAsia" w:ascii="宋体" w:hAnsi="宋体" w:cs="宋体"/>
                <w:color w:val="000000"/>
                <w:szCs w:val="21"/>
              </w:rPr>
            </w:pPr>
          </w:p>
        </w:tc>
      </w:tr>
      <w:tr w14:paraId="67B22B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tcBorders>
              <w:bottom w:val="single" w:color="auto" w:sz="12" w:space="0"/>
            </w:tcBorders>
            <w:noWrap w:val="0"/>
            <w:vAlign w:val="center"/>
          </w:tcPr>
          <w:p w14:paraId="488B55DA">
            <w:pPr>
              <w:keepNext/>
              <w:spacing w:line="360" w:lineRule="auto"/>
              <w:rPr>
                <w:rFonts w:hint="eastAsia" w:ascii="宋体" w:hAnsi="宋体" w:cs="宋体"/>
                <w:color w:val="000000"/>
                <w:szCs w:val="21"/>
              </w:rPr>
            </w:pPr>
          </w:p>
        </w:tc>
        <w:tc>
          <w:tcPr>
            <w:tcW w:w="641" w:type="pct"/>
            <w:tcBorders>
              <w:bottom w:val="single" w:color="auto" w:sz="12" w:space="0"/>
            </w:tcBorders>
            <w:noWrap w:val="0"/>
            <w:vAlign w:val="center"/>
          </w:tcPr>
          <w:p w14:paraId="66F0D4B0">
            <w:pPr>
              <w:keepNext/>
              <w:spacing w:line="360" w:lineRule="auto"/>
              <w:rPr>
                <w:rFonts w:hint="eastAsia" w:ascii="宋体" w:hAnsi="宋体" w:cs="宋体"/>
                <w:color w:val="000000"/>
                <w:szCs w:val="21"/>
              </w:rPr>
            </w:pPr>
          </w:p>
        </w:tc>
        <w:tc>
          <w:tcPr>
            <w:tcW w:w="513" w:type="pct"/>
            <w:tcBorders>
              <w:bottom w:val="single" w:color="auto" w:sz="12" w:space="0"/>
            </w:tcBorders>
            <w:noWrap w:val="0"/>
            <w:vAlign w:val="center"/>
          </w:tcPr>
          <w:p w14:paraId="300E5678">
            <w:pPr>
              <w:keepNext/>
              <w:spacing w:line="360" w:lineRule="auto"/>
              <w:rPr>
                <w:rFonts w:hint="eastAsia" w:ascii="宋体" w:hAnsi="宋体" w:cs="宋体"/>
                <w:color w:val="000000"/>
                <w:szCs w:val="21"/>
              </w:rPr>
            </w:pPr>
          </w:p>
        </w:tc>
        <w:tc>
          <w:tcPr>
            <w:tcW w:w="374" w:type="pct"/>
            <w:tcBorders>
              <w:bottom w:val="single" w:color="auto" w:sz="12" w:space="0"/>
            </w:tcBorders>
            <w:noWrap w:val="0"/>
            <w:vAlign w:val="center"/>
          </w:tcPr>
          <w:p w14:paraId="5024FEBA">
            <w:pPr>
              <w:keepNext/>
              <w:spacing w:line="360" w:lineRule="auto"/>
              <w:rPr>
                <w:rFonts w:hint="eastAsia" w:ascii="宋体" w:hAnsi="宋体" w:cs="宋体"/>
                <w:color w:val="000000"/>
                <w:szCs w:val="21"/>
              </w:rPr>
            </w:pPr>
          </w:p>
        </w:tc>
        <w:tc>
          <w:tcPr>
            <w:tcW w:w="1730" w:type="pct"/>
            <w:tcBorders>
              <w:bottom w:val="single" w:color="auto" w:sz="12" w:space="0"/>
            </w:tcBorders>
            <w:noWrap w:val="0"/>
            <w:vAlign w:val="center"/>
          </w:tcPr>
          <w:p w14:paraId="6F125130">
            <w:pPr>
              <w:keepNext/>
              <w:spacing w:line="360" w:lineRule="auto"/>
              <w:rPr>
                <w:rFonts w:hint="eastAsia" w:ascii="宋体" w:hAnsi="宋体" w:cs="宋体"/>
                <w:color w:val="000000"/>
                <w:szCs w:val="21"/>
              </w:rPr>
            </w:pPr>
          </w:p>
        </w:tc>
        <w:tc>
          <w:tcPr>
            <w:tcW w:w="896" w:type="pct"/>
            <w:tcBorders>
              <w:bottom w:val="single" w:color="auto" w:sz="12" w:space="0"/>
            </w:tcBorders>
            <w:noWrap w:val="0"/>
            <w:vAlign w:val="top"/>
          </w:tcPr>
          <w:p w14:paraId="145C487F">
            <w:pPr>
              <w:keepNext/>
              <w:spacing w:line="360" w:lineRule="auto"/>
              <w:rPr>
                <w:rFonts w:hint="eastAsia" w:ascii="宋体" w:hAnsi="宋体" w:cs="宋体"/>
                <w:color w:val="000000"/>
                <w:szCs w:val="21"/>
              </w:rPr>
            </w:pPr>
          </w:p>
        </w:tc>
      </w:tr>
    </w:tbl>
    <w:p w14:paraId="6DE6886F">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br w:type="page"/>
      </w:r>
      <w:bookmarkStart w:id="897" w:name="_Toc95223495"/>
      <w:bookmarkStart w:id="898" w:name="_Toc25726"/>
      <w:bookmarkStart w:id="899" w:name="_Toc7655"/>
      <w:r>
        <w:rPr>
          <w:rFonts w:hint="eastAsia" w:ascii="宋体" w:hAnsi="宋体" w:cs="宋体"/>
          <w:bCs/>
          <w:color w:val="000000"/>
          <w:sz w:val="24"/>
        </w:rPr>
        <w:t>附</w:t>
      </w:r>
      <w:bookmarkStart w:id="900" w:name="_Toc296503231"/>
      <w:bookmarkStart w:id="901" w:name="_Toc296944570"/>
      <w:bookmarkStart w:id="902" w:name="_Toc296891271"/>
      <w:bookmarkStart w:id="903" w:name="_Toc296346732"/>
      <w:bookmarkStart w:id="904" w:name="_Toc296891059"/>
      <w:bookmarkStart w:id="905" w:name="_Toc296347230"/>
      <w:r>
        <w:rPr>
          <w:rFonts w:hint="eastAsia" w:ascii="宋体" w:hAnsi="宋体" w:cs="宋体"/>
          <w:bCs/>
          <w:color w:val="000000"/>
          <w:sz w:val="24"/>
        </w:rPr>
        <w:t>件8：廉政协议</w:t>
      </w:r>
      <w:bookmarkEnd w:id="897"/>
      <w:bookmarkEnd w:id="898"/>
      <w:bookmarkEnd w:id="899"/>
    </w:p>
    <w:bookmarkEnd w:id="900"/>
    <w:bookmarkEnd w:id="901"/>
    <w:bookmarkEnd w:id="902"/>
    <w:bookmarkEnd w:id="903"/>
    <w:bookmarkEnd w:id="904"/>
    <w:bookmarkEnd w:id="905"/>
    <w:p w14:paraId="3F405457">
      <w:pPr>
        <w:widowControl/>
        <w:spacing w:line="360" w:lineRule="auto"/>
        <w:ind w:firstLine="641"/>
        <w:jc w:val="center"/>
        <w:rPr>
          <w:rFonts w:hint="eastAsia" w:ascii="宋体" w:hAnsi="宋体" w:cs="宋体"/>
          <w:b/>
          <w:bCs/>
          <w:color w:val="000000"/>
          <w:kern w:val="0"/>
          <w:sz w:val="32"/>
          <w:szCs w:val="32"/>
        </w:rPr>
      </w:pPr>
      <w:bookmarkStart w:id="906" w:name="_Toc9808"/>
      <w:bookmarkStart w:id="907" w:name="_Toc7607"/>
      <w:bookmarkStart w:id="908" w:name="_Toc95223496"/>
      <w:r>
        <w:rPr>
          <w:rFonts w:hint="eastAsia" w:ascii="宋体" w:hAnsi="宋体" w:cs="宋体"/>
          <w:b/>
          <w:bCs/>
          <w:color w:val="000000"/>
          <w:kern w:val="0"/>
          <w:sz w:val="32"/>
          <w:szCs w:val="32"/>
        </w:rPr>
        <w:t>廉 政 协 议</w:t>
      </w:r>
      <w:bookmarkEnd w:id="906"/>
      <w:bookmarkEnd w:id="907"/>
      <w:bookmarkEnd w:id="908"/>
    </w:p>
    <w:p w14:paraId="7E5DF8F2">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为促进双方诚信经营、廉洁从业，防范商业贿赂，保护国家、集体和当事人的合法权益，根据国家有关法律法规和安徽省、项目所在地廉政建设的规定，</w:t>
      </w:r>
      <w:r>
        <w:rPr>
          <w:rFonts w:hint="eastAsia" w:ascii="宋体" w:hAnsi="宋体" w:cs="宋体"/>
          <w:color w:val="000000"/>
          <w:kern w:val="0"/>
          <w:szCs w:val="21"/>
          <w:u w:val="single"/>
        </w:rPr>
        <w:t xml:space="preserve">                 </w:t>
      </w:r>
      <w:r>
        <w:rPr>
          <w:rFonts w:hint="eastAsia" w:ascii="宋体" w:hAnsi="宋体" w:cs="宋体"/>
          <w:color w:val="000000"/>
          <w:kern w:val="0"/>
          <w:szCs w:val="21"/>
        </w:rPr>
        <w:t>(以下称甲方)与</w:t>
      </w:r>
      <w:r>
        <w:rPr>
          <w:rFonts w:hint="eastAsia" w:ascii="宋体" w:hAnsi="宋体" w:cs="宋体"/>
          <w:color w:val="000000"/>
          <w:kern w:val="0"/>
          <w:szCs w:val="21"/>
          <w:u w:val="single"/>
        </w:rPr>
        <w:t xml:space="preserve">                     </w:t>
      </w:r>
      <w:r>
        <w:rPr>
          <w:rFonts w:hint="eastAsia" w:ascii="宋体" w:hAnsi="宋体" w:cs="宋体"/>
          <w:color w:val="000000"/>
          <w:kern w:val="0"/>
          <w:szCs w:val="21"/>
        </w:rPr>
        <w:t>(以下称乙方)，特此订立本协议共同遵照执行。</w:t>
      </w:r>
    </w:p>
    <w:p w14:paraId="61EDAF90">
      <w:pPr>
        <w:widowControl/>
        <w:spacing w:line="360" w:lineRule="auto"/>
        <w:ind w:firstLine="420" w:firstLineChars="200"/>
        <w:jc w:val="left"/>
        <w:rPr>
          <w:rFonts w:hint="eastAsia" w:ascii="宋体" w:hAnsi="宋体" w:cs="宋体"/>
          <w:color w:val="000000"/>
          <w:kern w:val="0"/>
          <w:szCs w:val="21"/>
        </w:rPr>
      </w:pPr>
      <w:bookmarkStart w:id="909" w:name="_Toc95223497"/>
      <w:bookmarkStart w:id="910" w:name="_Toc21306"/>
      <w:bookmarkStart w:id="911" w:name="_Toc9888"/>
      <w:r>
        <w:rPr>
          <w:rFonts w:hint="eastAsia" w:ascii="宋体" w:hAnsi="宋体" w:cs="宋体"/>
          <w:color w:val="000000"/>
          <w:kern w:val="0"/>
          <w:szCs w:val="21"/>
        </w:rPr>
        <w:t>第一条 甲乙双方的权利和义务</w:t>
      </w:r>
      <w:bookmarkEnd w:id="909"/>
      <w:bookmarkEnd w:id="910"/>
      <w:bookmarkEnd w:id="911"/>
    </w:p>
    <w:p w14:paraId="0C3A26A4">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1CE2AE5F">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（二）严格执行</w:t>
      </w:r>
      <w:r>
        <w:rPr>
          <w:rFonts w:hint="eastAsia" w:ascii="宋体" w:hAnsi="宋体" w:cs="宋体"/>
          <w:color w:val="000000"/>
          <w:kern w:val="0"/>
          <w:szCs w:val="21"/>
          <w:u w:val="single"/>
        </w:rPr>
        <w:t xml:space="preserve">                                </w:t>
      </w:r>
      <w:r>
        <w:rPr>
          <w:rFonts w:hint="eastAsia" w:ascii="宋体" w:hAnsi="宋体" w:cs="宋体"/>
          <w:color w:val="000000"/>
          <w:kern w:val="0"/>
          <w:szCs w:val="21"/>
        </w:rPr>
        <w:t>的合同要求，自觉履行合同约定的相关义务。</w:t>
      </w:r>
    </w:p>
    <w:p w14:paraId="477C61C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（三）在业务活动中坚持公开、公正、诚信、透明的原则，不得损害国家、集体利益。</w:t>
      </w:r>
    </w:p>
    <w:p w14:paraId="4BAAC7D4">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（四）建立健全廉政制度，开展廉政教育，公布举报电话，监督并认真查处违法违纪行为。</w:t>
      </w:r>
    </w:p>
    <w:p w14:paraId="554A90D5">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（五）发现对方在业务活动中有违反廉政规定的行为，应及时提醒对方纠正。情节严重的，应向其上级有关部门举报、建议给予处理，并有权要求告知处理结果。</w:t>
      </w:r>
    </w:p>
    <w:p w14:paraId="2F378BA1">
      <w:pPr>
        <w:widowControl/>
        <w:spacing w:line="360" w:lineRule="auto"/>
        <w:ind w:firstLine="420" w:firstLineChars="200"/>
        <w:jc w:val="left"/>
        <w:rPr>
          <w:rFonts w:hint="eastAsia" w:ascii="宋体" w:hAnsi="宋体" w:cs="宋体"/>
          <w:color w:val="000000"/>
          <w:kern w:val="0"/>
          <w:szCs w:val="21"/>
        </w:rPr>
      </w:pPr>
      <w:bookmarkStart w:id="912" w:name="_Toc3866"/>
      <w:bookmarkStart w:id="913" w:name="_Toc1917"/>
      <w:bookmarkStart w:id="914" w:name="_Toc95223498"/>
      <w:r>
        <w:rPr>
          <w:rFonts w:hint="eastAsia" w:ascii="宋体" w:hAnsi="宋体" w:cs="宋体"/>
          <w:color w:val="000000"/>
          <w:kern w:val="0"/>
          <w:szCs w:val="21"/>
        </w:rPr>
        <w:t>第二条 甲方的义务</w:t>
      </w:r>
      <w:bookmarkEnd w:id="912"/>
      <w:bookmarkEnd w:id="913"/>
      <w:bookmarkEnd w:id="914"/>
    </w:p>
    <w:p w14:paraId="7661A700">
      <w:pPr>
        <w:widowControl/>
        <w:spacing w:line="360" w:lineRule="auto"/>
        <w:ind w:firstLine="525" w:firstLineChars="250"/>
        <w:jc w:val="left"/>
        <w:rPr>
          <w:rFonts w:hint="eastAsia" w:ascii="宋体" w:hAnsi="宋体" w:cs="宋体"/>
          <w:color w:val="000000"/>
          <w:kern w:val="0"/>
          <w:szCs w:val="21"/>
        </w:rPr>
      </w:pPr>
      <w:r>
        <w:rPr>
          <w:rFonts w:hint="eastAsia" w:ascii="宋体" w:hAnsi="宋体" w:cs="宋体"/>
          <w:color w:val="000000"/>
          <w:kern w:val="0"/>
          <w:szCs w:val="21"/>
        </w:rPr>
        <w:t>(一)甲方及其工作人员不得索要或接受乙方的礼金、有价证券和贵重物品，不得在乙方报销任何应由甲方单位或个人支付的费用等。</w:t>
      </w:r>
    </w:p>
    <w:p w14:paraId="1F06C4FF">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5F59BBD1">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（三） 甲方及其工作人员不得要求或者接受乙方为其住房装修、婚丧嫁娶活动、配偶子女工作安排以及出国出境、旅游等提供方便等。</w:t>
      </w:r>
    </w:p>
    <w:p w14:paraId="2A1E9BDE">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（四） 甲方工作人员不得在乙方有股权关联的企业兼职，不得向乙方介绍家属或者亲友从事与甲方业务有关的经济活动。</w:t>
      </w:r>
    </w:p>
    <w:p w14:paraId="3BA0AB57">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（五）甲方工作人员不得以明显低于市场的价格向乙方购买房屋、汽车等物品；不得以明显高于市场的价格向乙方出售房屋、汽车等物品；不得以其他交易形式非法收受请托人财物。</w:t>
      </w:r>
    </w:p>
    <w:p w14:paraId="76F182AB">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（六）甲方工作人员不得利用职务之便收受乙方以回扣、手续费、加班费、咨询费、劳务费、协调费、辛苦费等各种名义给予或赠送的钱物。</w:t>
      </w:r>
    </w:p>
    <w:p w14:paraId="0CB5691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（七）甲方工作人员不得接受乙方给予或赠送的干股或红利。</w:t>
      </w:r>
    </w:p>
    <w:p w14:paraId="40486B9D">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（八）甲方任何人不得以个人的名义向乙方推荐设备、部件等供货商以及其他合作单位。</w:t>
      </w:r>
    </w:p>
    <w:p w14:paraId="2BA96BA5">
      <w:pPr>
        <w:widowControl/>
        <w:spacing w:line="360" w:lineRule="auto"/>
        <w:ind w:firstLine="420" w:firstLineChars="200"/>
        <w:jc w:val="left"/>
        <w:rPr>
          <w:rFonts w:hint="eastAsia" w:ascii="宋体" w:hAnsi="宋体" w:cs="宋体"/>
          <w:color w:val="000000"/>
          <w:kern w:val="0"/>
          <w:szCs w:val="21"/>
        </w:rPr>
      </w:pPr>
      <w:bookmarkStart w:id="915" w:name="_Toc10556"/>
      <w:bookmarkStart w:id="916" w:name="_Toc95223499"/>
      <w:bookmarkStart w:id="917" w:name="_Toc20831"/>
      <w:r>
        <w:rPr>
          <w:rFonts w:hint="eastAsia" w:ascii="宋体" w:hAnsi="宋体" w:cs="宋体"/>
          <w:color w:val="000000"/>
          <w:kern w:val="0"/>
          <w:szCs w:val="21"/>
        </w:rPr>
        <w:t>第三条 乙方的义务</w:t>
      </w:r>
      <w:bookmarkEnd w:id="915"/>
      <w:bookmarkEnd w:id="916"/>
      <w:bookmarkEnd w:id="917"/>
    </w:p>
    <w:p w14:paraId="0D5C5A9A">
      <w:pPr>
        <w:widowControl/>
        <w:spacing w:line="360" w:lineRule="auto"/>
        <w:ind w:firstLine="525" w:firstLineChars="250"/>
        <w:jc w:val="left"/>
        <w:rPr>
          <w:rFonts w:hint="eastAsia" w:ascii="宋体" w:hAnsi="宋体" w:cs="宋体"/>
          <w:color w:val="000000"/>
          <w:kern w:val="0"/>
          <w:szCs w:val="21"/>
        </w:rPr>
      </w:pPr>
      <w:r>
        <w:rPr>
          <w:rFonts w:hint="eastAsia" w:ascii="宋体" w:hAnsi="宋体" w:cs="宋体"/>
          <w:color w:val="000000"/>
          <w:kern w:val="0"/>
          <w:szCs w:val="21"/>
        </w:rPr>
        <w:t>(一)乙方不得以任何理由向甲方及其工作人员行贿或馈赠礼金、有价证券、贵重礼品。</w:t>
      </w:r>
    </w:p>
    <w:p w14:paraId="43C73AB3">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（二)乙方不得以任何名义为甲方及其工作人员报销应由甲方单位或个人支付的任何费用。</w:t>
      </w:r>
    </w:p>
    <w:p w14:paraId="6A04627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(三)乙方不得以任何理由安排甲方工作人员参加可能影响相关业务公开、公正、公平性的宴请及娱乐活动。</w:t>
      </w:r>
    </w:p>
    <w:p w14:paraId="65084392">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（四）乙方不得为甲方单位和个人购置或提供通讯工具和高档办公用品等物品，也不得为甲方提供与工作无关的房屋、汽车等。</w:t>
      </w:r>
    </w:p>
    <w:p w14:paraId="7D494AED">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（五）乙方不得与甲方工作人员就合同中的质量、数量、价格、工程量、验收等条款进行私下商谈或者达成默契。</w:t>
      </w:r>
    </w:p>
    <w:p w14:paraId="2DDD0495">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（六）乙方不得以回扣、手续费、加班费、咨询费、劳务费、协调费、辛苦费等各种名义向甲方工作人员给予或赠送钱物。</w:t>
      </w:r>
    </w:p>
    <w:p w14:paraId="7BEB8604">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（七）乙方不得向甲方工作人员提供干股或红利。</w:t>
      </w:r>
    </w:p>
    <w:p w14:paraId="3767CB1C">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（八）乙方须按</w:t>
      </w:r>
      <w:r>
        <w:rPr>
          <w:rFonts w:hint="eastAsia" w:ascii="宋体" w:hAnsi="宋体" w:cs="宋体"/>
          <w:color w:val="000000"/>
          <w:kern w:val="0"/>
          <w:szCs w:val="21"/>
          <w:u w:val="single"/>
        </w:rPr>
        <w:t xml:space="preserve">         </w:t>
      </w:r>
      <w:r>
        <w:rPr>
          <w:rFonts w:hint="eastAsia" w:ascii="宋体" w:hAnsi="宋体" w:cs="宋体"/>
          <w:color w:val="000000"/>
          <w:kern w:val="0"/>
          <w:szCs w:val="21"/>
        </w:rPr>
        <w:t>专项纪检监察工作组(如有)要求开展相关工作。</w:t>
      </w:r>
    </w:p>
    <w:p w14:paraId="7A4FA4F2">
      <w:pPr>
        <w:widowControl/>
        <w:spacing w:line="360" w:lineRule="auto"/>
        <w:ind w:firstLine="420" w:firstLineChars="200"/>
        <w:jc w:val="left"/>
        <w:rPr>
          <w:rFonts w:hint="eastAsia" w:ascii="宋体" w:hAnsi="宋体" w:cs="宋体"/>
          <w:color w:val="000000"/>
          <w:kern w:val="0"/>
          <w:szCs w:val="21"/>
        </w:rPr>
      </w:pPr>
      <w:bookmarkStart w:id="918" w:name="_Toc14507"/>
      <w:bookmarkStart w:id="919" w:name="_Toc2198"/>
      <w:bookmarkStart w:id="920" w:name="_Toc95223500"/>
      <w:r>
        <w:rPr>
          <w:rFonts w:hint="eastAsia" w:ascii="宋体" w:hAnsi="宋体" w:cs="宋体"/>
          <w:color w:val="000000"/>
          <w:kern w:val="0"/>
          <w:szCs w:val="21"/>
        </w:rPr>
        <w:t>第四条 违约责任</w:t>
      </w:r>
      <w:bookmarkEnd w:id="918"/>
      <w:bookmarkEnd w:id="919"/>
      <w:bookmarkEnd w:id="920"/>
    </w:p>
    <w:p w14:paraId="57B00438">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124D82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甲方投诉联系部门：</w:t>
      </w:r>
      <w:r>
        <w:rPr>
          <w:rFonts w:hint="eastAsia" w:ascii="宋体" w:hAnsi="宋体" w:cs="宋体"/>
          <w:color w:val="000000"/>
          <w:kern w:val="0"/>
          <w:szCs w:val="21"/>
          <w:u w:val="single"/>
        </w:rPr>
        <w:t xml:space="preserve">           </w:t>
      </w:r>
      <w:r>
        <w:rPr>
          <w:rFonts w:hint="eastAsia" w:ascii="宋体" w:hAnsi="宋体" w:cs="宋体"/>
          <w:color w:val="000000"/>
          <w:kern w:val="0"/>
          <w:szCs w:val="21"/>
        </w:rPr>
        <w:t>，联系电话：</w:t>
      </w: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p w14:paraId="4A44709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（二）乙方及其工作人员违反本协议第一、三条规定。根据具体情节和造成的后果，甲方有权对乙方采取以下一种或多种处理办法：</w:t>
      </w:r>
    </w:p>
    <w:p w14:paraId="240655D3">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1. 全额收取乙方合同履约保证金不予退还； </w:t>
      </w:r>
    </w:p>
    <w:p w14:paraId="0B9DE33F">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2. 追究乙方其他违约责任；</w:t>
      </w:r>
    </w:p>
    <w:p w14:paraId="1BCCD4B9">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3. 终止或解除双方已签订的包括本合同在内的所有合同；</w:t>
      </w:r>
    </w:p>
    <w:p w14:paraId="20DCF346">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4. 乙方一定期限内（6个月至3年，具体由甲方根据情况而定）不得参与甲方作为发包人（业主）的工程项目投标。</w:t>
      </w:r>
    </w:p>
    <w:p w14:paraId="07FB2132">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甲方作出的处理意见，乙方应无条件接受并承担给甲方造成的损失，全额返还通过不正当手段从甲方获取的非法所得，并承担相应的法律责任。</w:t>
      </w:r>
    </w:p>
    <w:p w14:paraId="09BAA8D2">
      <w:pPr>
        <w:widowControl/>
        <w:spacing w:line="360" w:lineRule="auto"/>
        <w:ind w:firstLine="420" w:firstLineChars="200"/>
        <w:jc w:val="left"/>
        <w:rPr>
          <w:rFonts w:hint="eastAsia" w:ascii="宋体" w:hAnsi="宋体" w:cs="宋体"/>
          <w:color w:val="000000"/>
          <w:kern w:val="0"/>
          <w:szCs w:val="21"/>
        </w:rPr>
      </w:pPr>
      <w:bookmarkStart w:id="921" w:name="_Toc95223501"/>
      <w:bookmarkStart w:id="922" w:name="_Toc10228"/>
      <w:bookmarkStart w:id="923" w:name="_Toc2334"/>
      <w:r>
        <w:rPr>
          <w:rFonts w:hint="eastAsia" w:ascii="宋体" w:hAnsi="宋体" w:cs="宋体"/>
          <w:color w:val="000000"/>
          <w:kern w:val="0"/>
          <w:szCs w:val="21"/>
        </w:rPr>
        <w:t>第五条 双方约定</w:t>
      </w:r>
      <w:bookmarkEnd w:id="921"/>
      <w:bookmarkEnd w:id="922"/>
      <w:bookmarkEnd w:id="923"/>
    </w:p>
    <w:p w14:paraId="045B4244">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0AA7BB2F">
      <w:pPr>
        <w:widowControl/>
        <w:spacing w:line="360" w:lineRule="auto"/>
        <w:ind w:firstLine="420" w:firstLineChars="200"/>
        <w:jc w:val="left"/>
        <w:rPr>
          <w:rFonts w:hint="eastAsia" w:ascii="宋体" w:hAnsi="宋体" w:cs="宋体"/>
          <w:color w:val="000000"/>
          <w:kern w:val="0"/>
          <w:szCs w:val="21"/>
        </w:rPr>
      </w:pPr>
      <w:bookmarkStart w:id="924" w:name="_Toc17717"/>
      <w:bookmarkStart w:id="925" w:name="_Toc95223502"/>
      <w:bookmarkStart w:id="926" w:name="_Toc32140"/>
      <w:r>
        <w:rPr>
          <w:rFonts w:hint="eastAsia" w:ascii="宋体" w:hAnsi="宋体" w:cs="宋体"/>
          <w:color w:val="000000"/>
          <w:kern w:val="0"/>
          <w:szCs w:val="21"/>
        </w:rPr>
        <w:t>第六条  本协议有效期为甲乙双方签署之日起至合同终止。</w:t>
      </w:r>
      <w:bookmarkEnd w:id="924"/>
      <w:bookmarkEnd w:id="925"/>
      <w:bookmarkEnd w:id="926"/>
      <w:r>
        <w:rPr>
          <w:rFonts w:hint="eastAsia" w:ascii="宋体" w:hAnsi="宋体" w:cs="宋体"/>
          <w:color w:val="000000"/>
          <w:kern w:val="0"/>
          <w:szCs w:val="21"/>
        </w:rPr>
        <w:t xml:space="preserve">  </w:t>
      </w:r>
    </w:p>
    <w:p w14:paraId="64D3B180">
      <w:pPr>
        <w:widowControl/>
        <w:spacing w:line="360" w:lineRule="auto"/>
        <w:ind w:firstLine="420" w:firstLineChars="200"/>
        <w:jc w:val="left"/>
        <w:rPr>
          <w:rFonts w:hint="eastAsia" w:ascii="宋体" w:hAnsi="宋体" w:cs="宋体"/>
          <w:color w:val="000000"/>
          <w:kern w:val="0"/>
          <w:szCs w:val="21"/>
        </w:rPr>
      </w:pPr>
      <w:bookmarkStart w:id="927" w:name="_Toc24032"/>
      <w:bookmarkStart w:id="928" w:name="_Toc95223503"/>
      <w:bookmarkStart w:id="929" w:name="_Toc1871"/>
      <w:r>
        <w:rPr>
          <w:rFonts w:hint="eastAsia" w:ascii="宋体" w:hAnsi="宋体" w:cs="宋体"/>
          <w:color w:val="000000"/>
          <w:kern w:val="0"/>
          <w:szCs w:val="21"/>
        </w:rPr>
        <w:t>第七条  本协议作为合同的附件，与本合同具有同等法律效力。</w:t>
      </w:r>
      <w:bookmarkEnd w:id="927"/>
      <w:bookmarkEnd w:id="928"/>
      <w:bookmarkEnd w:id="929"/>
    </w:p>
    <w:p w14:paraId="48CACDC6">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 </w:t>
      </w:r>
    </w:p>
    <w:p w14:paraId="477026E5">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甲方（盖章）： </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乙方（盖章）：</w:t>
      </w:r>
      <w:r>
        <w:rPr>
          <w:rFonts w:hint="eastAsia" w:ascii="宋体" w:hAnsi="宋体" w:cs="宋体"/>
          <w:color w:val="000000"/>
          <w:kern w:val="0"/>
          <w:szCs w:val="21"/>
          <w:u w:val="single"/>
        </w:rPr>
        <w:t xml:space="preserve">                      </w:t>
      </w:r>
    </w:p>
    <w:p w14:paraId="0D1FC570">
      <w:pPr>
        <w:widowControl/>
        <w:spacing w:line="360" w:lineRule="auto"/>
        <w:ind w:firstLine="420" w:firstLineChars="200"/>
        <w:jc w:val="left"/>
        <w:rPr>
          <w:rFonts w:hint="eastAsia" w:ascii="宋体" w:hAnsi="宋体" w:cs="宋体"/>
          <w:color w:val="000000"/>
          <w:kern w:val="0"/>
          <w:szCs w:val="21"/>
        </w:rPr>
      </w:pPr>
    </w:p>
    <w:p w14:paraId="602B8195">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法定代表人或                                法定代表人或</w:t>
      </w:r>
    </w:p>
    <w:p w14:paraId="21AD585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授权代表：</w:t>
      </w:r>
      <w:r>
        <w:rPr>
          <w:rFonts w:hint="eastAsia" w:ascii="宋体" w:hAnsi="宋体" w:cs="宋体"/>
          <w:color w:val="000000"/>
          <w:kern w:val="0"/>
          <w:szCs w:val="21"/>
          <w:u w:val="single"/>
        </w:rPr>
        <w:t xml:space="preserve">              </w:t>
      </w:r>
      <w:r>
        <w:rPr>
          <w:rFonts w:hint="eastAsia" w:ascii="宋体" w:hAnsi="宋体" w:cs="宋体"/>
          <w:color w:val="000000"/>
          <w:kern w:val="0"/>
          <w:szCs w:val="21"/>
        </w:rPr>
        <w:t>(职务)              授权代表：</w:t>
      </w:r>
      <w:r>
        <w:rPr>
          <w:rFonts w:hint="eastAsia" w:ascii="宋体" w:hAnsi="宋体" w:cs="宋体"/>
          <w:color w:val="000000"/>
          <w:kern w:val="0"/>
          <w:szCs w:val="21"/>
          <w:u w:val="single"/>
        </w:rPr>
        <w:t xml:space="preserve">             </w:t>
      </w:r>
      <w:r>
        <w:rPr>
          <w:rFonts w:hint="eastAsia" w:ascii="宋体" w:hAnsi="宋体" w:cs="宋体"/>
          <w:color w:val="000000"/>
          <w:kern w:val="0"/>
          <w:szCs w:val="21"/>
        </w:rPr>
        <w:t>(职务)</w:t>
      </w:r>
    </w:p>
    <w:p w14:paraId="207C010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姓名：</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姓名：</w:t>
      </w:r>
      <w:r>
        <w:rPr>
          <w:rFonts w:hint="eastAsia" w:ascii="宋体" w:hAnsi="宋体" w:cs="宋体"/>
          <w:color w:val="000000"/>
          <w:kern w:val="0"/>
          <w:szCs w:val="21"/>
          <w:u w:val="single"/>
        </w:rPr>
        <w:t xml:space="preserve">             </w:t>
      </w:r>
    </w:p>
    <w:p w14:paraId="3ADE98FC">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签字：</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签字：</w:t>
      </w:r>
      <w:r>
        <w:rPr>
          <w:rFonts w:hint="eastAsia" w:ascii="宋体" w:hAnsi="宋体" w:cs="宋体"/>
          <w:color w:val="000000"/>
          <w:kern w:val="0"/>
          <w:szCs w:val="21"/>
          <w:u w:val="single"/>
        </w:rPr>
        <w:t xml:space="preserve">             </w:t>
      </w:r>
    </w:p>
    <w:p w14:paraId="5F795282">
      <w:pPr>
        <w:widowControl/>
        <w:spacing w:line="360" w:lineRule="auto"/>
        <w:ind w:firstLine="420" w:firstLineChars="200"/>
        <w:jc w:val="left"/>
        <w:rPr>
          <w:rFonts w:hint="eastAsia" w:ascii="宋体" w:hAnsi="宋体" w:cs="宋体"/>
          <w:color w:val="000000"/>
          <w:kern w:val="0"/>
          <w:szCs w:val="21"/>
        </w:rPr>
      </w:pPr>
    </w:p>
    <w:p w14:paraId="4BE5BDF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廉政监督联系人                              廉政监督联系人</w:t>
      </w:r>
    </w:p>
    <w:p w14:paraId="41473A64">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姓名：</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姓名：</w:t>
      </w:r>
      <w:r>
        <w:rPr>
          <w:rFonts w:hint="eastAsia" w:ascii="宋体" w:hAnsi="宋体" w:cs="宋体"/>
          <w:color w:val="000000"/>
          <w:kern w:val="0"/>
          <w:szCs w:val="21"/>
          <w:u w:val="single"/>
        </w:rPr>
        <w:t xml:space="preserve">                       </w:t>
      </w:r>
    </w:p>
    <w:p w14:paraId="4CC497F7">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签字：</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签字：</w:t>
      </w:r>
      <w:r>
        <w:rPr>
          <w:rFonts w:hint="eastAsia" w:ascii="宋体" w:hAnsi="宋体" w:cs="宋体"/>
          <w:color w:val="000000"/>
          <w:kern w:val="0"/>
          <w:szCs w:val="21"/>
          <w:u w:val="single"/>
        </w:rPr>
        <w:t xml:space="preserve">                       </w:t>
      </w:r>
    </w:p>
    <w:p w14:paraId="65B3392A">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电话：</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电话：</w:t>
      </w:r>
      <w:r>
        <w:rPr>
          <w:rFonts w:hint="eastAsia" w:ascii="宋体" w:hAnsi="宋体" w:cs="宋体"/>
          <w:color w:val="000000"/>
          <w:kern w:val="0"/>
          <w:szCs w:val="21"/>
          <w:u w:val="single"/>
        </w:rPr>
        <w:t xml:space="preserve">                       </w:t>
      </w:r>
    </w:p>
    <w:p w14:paraId="017F93D1">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地址：</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地址：</w:t>
      </w:r>
      <w:r>
        <w:rPr>
          <w:rFonts w:hint="eastAsia" w:ascii="宋体" w:hAnsi="宋体" w:cs="宋体"/>
          <w:color w:val="000000"/>
          <w:kern w:val="0"/>
          <w:szCs w:val="21"/>
          <w:u w:val="single"/>
        </w:rPr>
        <w:t xml:space="preserve">                       </w:t>
      </w:r>
    </w:p>
    <w:p w14:paraId="66B4E8F5">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日期：</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日期：</w:t>
      </w:r>
      <w:r>
        <w:rPr>
          <w:rFonts w:hint="eastAsia" w:ascii="宋体" w:hAnsi="宋体" w:cs="宋体"/>
          <w:color w:val="000000"/>
          <w:kern w:val="0"/>
          <w:szCs w:val="21"/>
          <w:u w:val="single"/>
        </w:rPr>
        <w:t xml:space="preserve">                       </w:t>
      </w:r>
    </w:p>
    <w:p w14:paraId="6775D691">
      <w:pPr>
        <w:keepNext/>
        <w:keepLines/>
        <w:spacing w:before="120" w:after="120" w:line="360" w:lineRule="auto"/>
        <w:jc w:val="left"/>
        <w:outlineLvl w:val="2"/>
        <w:rPr>
          <w:rFonts w:hint="eastAsia" w:ascii="宋体" w:hAnsi="宋体" w:cs="宋体"/>
          <w:color w:val="000000"/>
          <w:szCs w:val="21"/>
        </w:rPr>
      </w:pPr>
      <w:r>
        <w:rPr>
          <w:rFonts w:hint="eastAsia" w:ascii="宋体" w:hAnsi="宋体" w:cs="宋体"/>
          <w:bCs/>
          <w:color w:val="000000"/>
          <w:kern w:val="0"/>
          <w:sz w:val="24"/>
          <w:szCs w:val="21"/>
        </w:rPr>
        <w:br w:type="page"/>
      </w:r>
      <w:bookmarkStart w:id="930" w:name="_Toc95223504"/>
      <w:r>
        <w:rPr>
          <w:rFonts w:hint="eastAsia" w:ascii="宋体" w:hAnsi="宋体" w:cs="宋体"/>
          <w:bCs/>
          <w:color w:val="000000"/>
          <w:sz w:val="24"/>
        </w:rPr>
        <w:t>附件9：履约保证金</w:t>
      </w:r>
      <w:bookmarkEnd w:id="930"/>
    </w:p>
    <w:p w14:paraId="200A71B3">
      <w:pPr>
        <w:adjustRightInd w:val="0"/>
        <w:snapToGrid w:val="0"/>
        <w:spacing w:line="360" w:lineRule="auto"/>
        <w:jc w:val="center"/>
        <w:rPr>
          <w:rFonts w:hint="eastAsia" w:ascii="宋体" w:hAnsi="宋体" w:cs="宋体"/>
          <w:b/>
          <w:bCs/>
          <w:color w:val="000000"/>
          <w:sz w:val="32"/>
          <w:szCs w:val="32"/>
        </w:rPr>
      </w:pPr>
      <w:bookmarkStart w:id="931" w:name="_Toc95223505"/>
      <w:bookmarkStart w:id="932" w:name="_Toc25855"/>
      <w:bookmarkStart w:id="933" w:name="_Toc8655"/>
      <w:r>
        <w:rPr>
          <w:rFonts w:hint="eastAsia" w:ascii="宋体" w:hAnsi="宋体" w:cs="宋体"/>
          <w:b/>
          <w:bCs/>
          <w:color w:val="000000"/>
          <w:sz w:val="32"/>
          <w:szCs w:val="32"/>
        </w:rPr>
        <w:t>履约保函示范文本</w:t>
      </w:r>
      <w:bookmarkEnd w:id="931"/>
      <w:bookmarkEnd w:id="932"/>
      <w:bookmarkEnd w:id="933"/>
    </w:p>
    <w:p w14:paraId="17DE69EE">
      <w:pPr>
        <w:wordWrap w:val="0"/>
        <w:adjustRightInd w:val="0"/>
        <w:snapToGrid w:val="0"/>
        <w:spacing w:line="360" w:lineRule="auto"/>
        <w:jc w:val="right"/>
        <w:rPr>
          <w:rFonts w:hint="eastAsia" w:ascii="宋体" w:hAnsi="宋体" w:cs="宋体"/>
          <w:color w:val="000000"/>
          <w:szCs w:val="21"/>
        </w:rPr>
      </w:pPr>
      <w:r>
        <w:rPr>
          <w:rFonts w:hint="eastAsia" w:ascii="宋体" w:hAnsi="宋体" w:cs="宋体"/>
          <w:color w:val="000000"/>
          <w:szCs w:val="21"/>
        </w:rPr>
        <w:t xml:space="preserve">编号：           </w:t>
      </w:r>
    </w:p>
    <w:p w14:paraId="66CDFEC9">
      <w:pPr>
        <w:adjustRightInd w:val="0"/>
        <w:snapToGrid w:val="0"/>
        <w:spacing w:line="360" w:lineRule="auto"/>
        <w:rPr>
          <w:rFonts w:hint="eastAsia" w:ascii="宋体" w:hAnsi="宋体" w:cs="宋体"/>
          <w:color w:val="000000"/>
          <w:szCs w:val="21"/>
        </w:rPr>
      </w:pPr>
    </w:p>
    <w:p w14:paraId="791C3E11">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 xml:space="preserve">（受益人名称）： </w:t>
      </w:r>
    </w:p>
    <w:p w14:paraId="1E0481F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鉴于</w:t>
      </w:r>
      <w:r>
        <w:rPr>
          <w:rFonts w:hint="eastAsia" w:ascii="宋体" w:hAnsi="宋体" w:cs="宋体"/>
          <w:color w:val="000000"/>
          <w:szCs w:val="21"/>
          <w:u w:val="single"/>
        </w:rPr>
        <w:t xml:space="preserve">        </w:t>
      </w:r>
      <w:r>
        <w:rPr>
          <w:rFonts w:hint="eastAsia" w:ascii="宋体" w:hAnsi="宋体" w:cs="宋体"/>
          <w:color w:val="000000"/>
          <w:szCs w:val="21"/>
        </w:rPr>
        <w:t>（以下简称“受益人”）与</w:t>
      </w:r>
      <w:r>
        <w:rPr>
          <w:rFonts w:hint="eastAsia" w:ascii="宋体" w:hAnsi="宋体" w:cs="宋体"/>
          <w:color w:val="000000"/>
          <w:szCs w:val="21"/>
          <w:u w:val="single"/>
        </w:rPr>
        <w:t xml:space="preserve">         </w:t>
      </w:r>
      <w:r>
        <w:rPr>
          <w:rFonts w:hint="eastAsia" w:ascii="宋体" w:hAnsi="宋体" w:cs="宋体"/>
          <w:color w:val="000000"/>
          <w:szCs w:val="21"/>
        </w:rPr>
        <w:t>（以下简称“申请人”）于</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日就</w:t>
      </w:r>
      <w:r>
        <w:rPr>
          <w:rFonts w:hint="eastAsia" w:ascii="宋体" w:hAnsi="宋体" w:cs="宋体"/>
          <w:snapToGrid w:val="0"/>
          <w:color w:val="000000"/>
          <w:kern w:val="0"/>
          <w:szCs w:val="21"/>
          <w:u w:val="single"/>
        </w:rPr>
        <w:t xml:space="preserve">        </w:t>
      </w:r>
      <w:r>
        <w:rPr>
          <w:rFonts w:hint="eastAsia" w:ascii="宋体" w:hAnsi="宋体" w:cs="宋体"/>
          <w:snapToGrid w:val="0"/>
          <w:color w:val="000000"/>
          <w:kern w:val="0"/>
          <w:szCs w:val="21"/>
        </w:rPr>
        <w:t>（标段编号）的</w:t>
      </w:r>
      <w:r>
        <w:rPr>
          <w:rFonts w:hint="eastAsia" w:ascii="宋体" w:hAnsi="宋体" w:cs="宋体"/>
          <w:snapToGrid w:val="0"/>
          <w:color w:val="000000"/>
          <w:kern w:val="0"/>
          <w:szCs w:val="21"/>
          <w:u w:val="single"/>
        </w:rPr>
        <w:t xml:space="preserve">         </w:t>
      </w:r>
      <w:r>
        <w:rPr>
          <w:rFonts w:hint="eastAsia" w:ascii="宋体" w:hAnsi="宋体" w:cs="宋体"/>
          <w:snapToGrid w:val="0"/>
          <w:color w:val="000000"/>
          <w:kern w:val="0"/>
          <w:szCs w:val="21"/>
        </w:rPr>
        <w:t>（标段名称）</w:t>
      </w:r>
      <w:r>
        <w:rPr>
          <w:rFonts w:hint="eastAsia" w:ascii="宋体" w:hAnsi="宋体" w:cs="宋体"/>
          <w:color w:val="000000"/>
          <w:szCs w:val="21"/>
        </w:rPr>
        <w:t>有关事项协商一致共同签订</w:t>
      </w:r>
      <w:r>
        <w:rPr>
          <w:rFonts w:hint="eastAsia" w:ascii="宋体" w:hAnsi="宋体" w:cs="宋体"/>
          <w:color w:val="000000"/>
          <w:szCs w:val="21"/>
          <w:u w:val="single"/>
        </w:rPr>
        <w:t>《        》</w:t>
      </w:r>
      <w:r>
        <w:rPr>
          <w:rFonts w:hint="eastAsia" w:ascii="宋体" w:hAnsi="宋体" w:cs="宋体"/>
          <w:color w:val="000000"/>
          <w:szCs w:val="21"/>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63F2D6C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一、本保函担保范围：承包人未按照基础合同的约定履行义务，应当向受益人承担的违约责任和赔偿因此造成的损失、利息、律师费、诉讼费用等实现债权的费用。</w:t>
      </w:r>
    </w:p>
    <w:p w14:paraId="3483343C">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二、本保函担保金额最高不超过人民币（大写）</w:t>
      </w:r>
      <w:r>
        <w:rPr>
          <w:rFonts w:hint="eastAsia" w:ascii="宋体" w:hAnsi="宋体" w:cs="宋体"/>
          <w:color w:val="000000"/>
          <w:szCs w:val="21"/>
          <w:u w:val="single"/>
        </w:rPr>
        <w:t xml:space="preserve">          </w:t>
      </w:r>
      <w:r>
        <w:rPr>
          <w:rFonts w:hint="eastAsia" w:ascii="宋体" w:hAnsi="宋体" w:cs="宋体"/>
          <w:color w:val="000000"/>
          <w:szCs w:val="21"/>
        </w:rPr>
        <w:t>元（¥</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475A0BCE">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三、本保函有效期自开立之日起至基础合同约定的缺陷责任期满之日止。 </w:t>
      </w:r>
    </w:p>
    <w:p w14:paraId="379869AB">
      <w:pPr>
        <w:adjustRightInd w:val="0"/>
        <w:snapToGrid w:val="0"/>
        <w:spacing w:line="360" w:lineRule="auto"/>
        <w:ind w:firstLine="480"/>
        <w:rPr>
          <w:rFonts w:hint="eastAsia" w:ascii="宋体" w:hAnsi="宋体" w:cs="宋体"/>
          <w:color w:val="000000"/>
          <w:szCs w:val="21"/>
        </w:rPr>
      </w:pPr>
      <w:bookmarkStart w:id="934" w:name="_Hlk40302764"/>
      <w:r>
        <w:rPr>
          <w:rFonts w:hint="eastAsia" w:ascii="宋体" w:hAnsi="宋体" w:cs="宋体"/>
          <w:color w:val="000000"/>
          <w:szCs w:val="21"/>
        </w:rPr>
        <w:t>四、开立人承诺，在收到受益人发来的书面付款通知后的七日内无条件支付，前述书面付款通知即为付款要求之单据，且应满足以下要求：</w:t>
      </w:r>
    </w:p>
    <w:bookmarkEnd w:id="934"/>
    <w:p w14:paraId="046B5C7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（1）付款通知到达的日期在本保函的有效期内；</w:t>
      </w:r>
    </w:p>
    <w:p w14:paraId="2EBDF048">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（2）载明要求支付的金额；</w:t>
      </w:r>
    </w:p>
    <w:p w14:paraId="3C51C0E8">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（3）载明申请人违反合同义务的条款和内容；</w:t>
      </w:r>
    </w:p>
    <w:p w14:paraId="6D656C40">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（4）声明不存在合同文件约定或我国法律规定免除申请人或开立人支付责任的情形；</w:t>
      </w:r>
    </w:p>
    <w:p w14:paraId="39D683CE">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（5）付款通知应在本保函有效期内到达的地址是：</w:t>
      </w:r>
      <w:r>
        <w:rPr>
          <w:rFonts w:hint="eastAsia" w:ascii="宋体" w:hAnsi="宋体" w:cs="宋体"/>
          <w:color w:val="000000"/>
          <w:szCs w:val="21"/>
          <w:u w:val="single"/>
        </w:rPr>
        <w:t xml:space="preserve">             </w:t>
      </w:r>
      <w:r>
        <w:rPr>
          <w:rFonts w:hint="eastAsia" w:ascii="宋体" w:hAnsi="宋体" w:cs="宋体"/>
          <w:color w:val="000000"/>
          <w:szCs w:val="21"/>
        </w:rPr>
        <w:t>。</w:t>
      </w:r>
    </w:p>
    <w:p w14:paraId="6BD6955B">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 xml:space="preserve">    </w:t>
      </w:r>
      <w:bookmarkStart w:id="935" w:name="_Hlk40303486"/>
      <w:r>
        <w:rPr>
          <w:rFonts w:hint="eastAsia" w:ascii="宋体" w:hAnsi="宋体" w:cs="宋体"/>
          <w:color w:val="000000"/>
          <w:szCs w:val="21"/>
        </w:rPr>
        <w:t>受益人发出的书面付款通知应由其法定代表人（负责人）或授权代理人签字并加盖公章。</w:t>
      </w:r>
      <w:bookmarkEnd w:id="935"/>
    </w:p>
    <w:p w14:paraId="6388B95A">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五、本保函项下的权利不得转让，不得设定担保。受益人未经我方书面同意转 让本保函或其项下任何权利，对我方不发生法律效力。 </w:t>
      </w:r>
    </w:p>
    <w:p w14:paraId="76CD3120">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六、与本保函有关的基础合同不成立、不生效、无效、被撤销、被解除，不影响本保函的独立有效。 </w:t>
      </w:r>
    </w:p>
    <w:p w14:paraId="0053D08E">
      <w:pPr>
        <w:adjustRightInd w:val="0"/>
        <w:snapToGrid w:val="0"/>
        <w:spacing w:line="360" w:lineRule="auto"/>
        <w:ind w:firstLine="420" w:firstLineChars="200"/>
        <w:rPr>
          <w:rFonts w:hint="eastAsia" w:ascii="宋体" w:hAnsi="宋体" w:cs="宋体"/>
          <w:color w:val="000000"/>
          <w:szCs w:val="21"/>
        </w:rPr>
      </w:pPr>
      <w:bookmarkStart w:id="936" w:name="_Hlk40303383"/>
      <w:bookmarkStart w:id="937" w:name="_Hlk40354981"/>
      <w:r>
        <w:rPr>
          <w:rFonts w:hint="eastAsia" w:ascii="宋体" w:hAnsi="宋体" w:cs="宋体"/>
          <w:color w:val="000000"/>
          <w:szCs w:val="21"/>
        </w:rPr>
        <w:t xml:space="preserve">七、本保函项下的义务和责任均在保函有效期到期后自动消灭。 </w:t>
      </w:r>
    </w:p>
    <w:p w14:paraId="3F02953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八、本保函适用的法律为中华人民共和国法律，因本保函产生的纠纷案件，</w:t>
      </w:r>
      <w:bookmarkEnd w:id="936"/>
      <w:r>
        <w:rPr>
          <w:rFonts w:hint="eastAsia" w:ascii="宋体" w:hAnsi="宋体" w:cs="宋体"/>
          <w:color w:val="000000"/>
          <w:szCs w:val="21"/>
        </w:rPr>
        <w:t xml:space="preserve">由受益人所在地人民法院管辖。 </w:t>
      </w:r>
    </w:p>
    <w:bookmarkEnd w:id="937"/>
    <w:p w14:paraId="7A7DEB52">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九、本保函自我方法定代表人或授权代表签字并加盖公章之日起生效。 </w:t>
      </w:r>
    </w:p>
    <w:p w14:paraId="2B7A0F5D">
      <w:pPr>
        <w:adjustRightInd w:val="0"/>
        <w:snapToGrid w:val="0"/>
        <w:spacing w:line="360" w:lineRule="auto"/>
        <w:ind w:firstLine="420" w:firstLineChars="200"/>
        <w:rPr>
          <w:rFonts w:hint="eastAsia" w:ascii="宋体" w:hAnsi="宋体" w:cs="宋体"/>
          <w:color w:val="000000"/>
          <w:szCs w:val="21"/>
        </w:rPr>
      </w:pPr>
    </w:p>
    <w:p w14:paraId="58FB3C66">
      <w:pPr>
        <w:adjustRightInd w:val="0"/>
        <w:snapToGrid w:val="0"/>
        <w:spacing w:line="360" w:lineRule="auto"/>
        <w:ind w:firstLine="420" w:firstLineChars="200"/>
        <w:rPr>
          <w:rFonts w:hint="eastAsia" w:ascii="宋体" w:hAnsi="宋体" w:cs="宋体"/>
          <w:color w:val="000000"/>
          <w:szCs w:val="21"/>
        </w:rPr>
      </w:pPr>
    </w:p>
    <w:p w14:paraId="4FA1832F">
      <w:pPr>
        <w:adjustRightInd w:val="0"/>
        <w:snapToGrid w:val="0"/>
        <w:spacing w:line="360" w:lineRule="auto"/>
        <w:ind w:firstLine="420" w:firstLineChars="200"/>
        <w:rPr>
          <w:rFonts w:hint="eastAsia" w:ascii="宋体" w:hAnsi="宋体" w:cs="宋体"/>
          <w:color w:val="000000"/>
          <w:szCs w:val="21"/>
        </w:rPr>
      </w:pPr>
    </w:p>
    <w:p w14:paraId="6B6D568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开 立 人：</w:t>
      </w:r>
      <w:r>
        <w:rPr>
          <w:rFonts w:hint="eastAsia" w:ascii="宋体" w:hAnsi="宋体" w:cs="宋体"/>
          <w:color w:val="000000"/>
          <w:szCs w:val="21"/>
          <w:u w:val="single"/>
        </w:rPr>
        <w:t xml:space="preserve">                              </w:t>
      </w:r>
      <w:r>
        <w:rPr>
          <w:rFonts w:hint="eastAsia" w:ascii="宋体" w:hAnsi="宋体" w:cs="宋体"/>
          <w:color w:val="000000"/>
          <w:szCs w:val="21"/>
        </w:rPr>
        <w:t xml:space="preserve">（公章） </w:t>
      </w:r>
    </w:p>
    <w:p w14:paraId="17B941D8">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法定代表人（或授权代表）：</w:t>
      </w:r>
      <w:r>
        <w:rPr>
          <w:rFonts w:hint="eastAsia" w:ascii="宋体" w:hAnsi="宋体" w:cs="宋体"/>
          <w:color w:val="000000"/>
          <w:szCs w:val="21"/>
          <w:u w:val="single"/>
        </w:rPr>
        <w:t xml:space="preserve">               </w:t>
      </w:r>
      <w:r>
        <w:rPr>
          <w:rFonts w:hint="eastAsia" w:ascii="宋体" w:hAnsi="宋体" w:cs="宋体"/>
          <w:color w:val="000000"/>
          <w:szCs w:val="21"/>
        </w:rPr>
        <w:t xml:space="preserve">（签字） </w:t>
      </w:r>
    </w:p>
    <w:p w14:paraId="2A6FA8F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u w:val="single"/>
        </w:rPr>
        <w:t xml:space="preserve">                                       </w:t>
      </w:r>
    </w:p>
    <w:p w14:paraId="0AEF4E5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邮政编码：</w:t>
      </w:r>
      <w:r>
        <w:rPr>
          <w:rFonts w:hint="eastAsia" w:ascii="宋体" w:hAnsi="宋体" w:cs="宋体"/>
          <w:color w:val="000000"/>
          <w:szCs w:val="21"/>
          <w:u w:val="single"/>
        </w:rPr>
        <w:t xml:space="preserve">                 </w:t>
      </w:r>
    </w:p>
    <w:p w14:paraId="1BD6E24D">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电    话：</w:t>
      </w:r>
      <w:r>
        <w:rPr>
          <w:rFonts w:hint="eastAsia" w:ascii="宋体" w:hAnsi="宋体" w:cs="宋体"/>
          <w:color w:val="000000"/>
          <w:szCs w:val="21"/>
          <w:u w:val="single"/>
        </w:rPr>
        <w:t xml:space="preserve">                 </w:t>
      </w:r>
    </w:p>
    <w:p w14:paraId="425CF389">
      <w:pPr>
        <w:adjustRightInd w:val="0"/>
        <w:snapToGrid w:val="0"/>
        <w:spacing w:line="360" w:lineRule="auto"/>
        <w:ind w:firstLine="420" w:firstLineChars="200"/>
        <w:rPr>
          <w:rFonts w:hint="eastAsia" w:ascii="宋体" w:hAnsi="宋体" w:cs="宋体"/>
          <w:color w:val="000000"/>
          <w:szCs w:val="21"/>
          <w:u w:val="single"/>
        </w:rPr>
      </w:pPr>
      <w:r>
        <w:rPr>
          <w:rFonts w:hint="eastAsia" w:ascii="宋体" w:hAnsi="宋体" w:cs="宋体"/>
          <w:color w:val="000000"/>
          <w:szCs w:val="21"/>
        </w:rPr>
        <w:t>传    真：</w:t>
      </w:r>
      <w:r>
        <w:rPr>
          <w:rFonts w:hint="eastAsia" w:ascii="宋体" w:hAnsi="宋体" w:cs="宋体"/>
          <w:color w:val="000000"/>
          <w:szCs w:val="21"/>
          <w:u w:val="single"/>
        </w:rPr>
        <w:t xml:space="preserve">                 </w:t>
      </w:r>
    </w:p>
    <w:p w14:paraId="2DCC2162">
      <w:pPr>
        <w:adjustRightInd w:val="0"/>
        <w:snapToGrid w:val="0"/>
        <w:spacing w:line="360" w:lineRule="auto"/>
        <w:ind w:left="1323" w:leftChars="200" w:hanging="903" w:hangingChars="430"/>
        <w:rPr>
          <w:rFonts w:hint="eastAsia" w:ascii="宋体" w:hAnsi="宋体" w:cs="宋体"/>
          <w:color w:val="000000"/>
          <w:szCs w:val="21"/>
        </w:rPr>
      </w:pPr>
      <w:r>
        <w:rPr>
          <w:rFonts w:hint="eastAsia" w:ascii="宋体" w:hAnsi="宋体" w:cs="宋体"/>
          <w:color w:val="000000"/>
          <w:szCs w:val="21"/>
        </w:rPr>
        <w:t>开立时间：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44EF6527">
      <w:pPr>
        <w:spacing w:line="360" w:lineRule="auto"/>
        <w:ind w:left="1329" w:hanging="1329" w:hangingChars="633"/>
        <w:rPr>
          <w:rFonts w:hint="eastAsia" w:ascii="宋体" w:hAnsi="宋体" w:cs="宋体"/>
          <w:color w:val="000000"/>
          <w:szCs w:val="21"/>
        </w:rPr>
      </w:pPr>
    </w:p>
    <w:p w14:paraId="1C833B37">
      <w:pPr>
        <w:pStyle w:val="2"/>
        <w:rPr>
          <w:rFonts w:hint="eastAsia"/>
        </w:rPr>
      </w:pPr>
    </w:p>
    <w:p w14:paraId="69C8F633">
      <w:pPr>
        <w:rPr>
          <w:rFonts w:hint="eastAsia"/>
        </w:rPr>
      </w:pPr>
    </w:p>
    <w:p w14:paraId="76400CEE">
      <w:pPr>
        <w:pStyle w:val="2"/>
        <w:rPr>
          <w:rFonts w:hint="eastAsia"/>
        </w:rPr>
      </w:pPr>
    </w:p>
    <w:p w14:paraId="76457BD2">
      <w:pPr>
        <w:rPr>
          <w:rFonts w:hint="eastAsia"/>
        </w:rPr>
      </w:pPr>
    </w:p>
    <w:p w14:paraId="2C88A51B">
      <w:pPr>
        <w:pStyle w:val="2"/>
        <w:rPr>
          <w:rFonts w:hint="eastAsia"/>
        </w:rPr>
      </w:pPr>
    </w:p>
    <w:p w14:paraId="3BCEEA04">
      <w:pPr>
        <w:rPr>
          <w:rFonts w:hint="eastAsia"/>
        </w:rPr>
      </w:pPr>
    </w:p>
    <w:p w14:paraId="4C77474F">
      <w:pPr>
        <w:pStyle w:val="2"/>
        <w:rPr>
          <w:rFonts w:hint="eastAsia"/>
        </w:rPr>
      </w:pPr>
    </w:p>
    <w:p w14:paraId="141AAD89">
      <w:pPr>
        <w:rPr>
          <w:rFonts w:hint="eastAsia"/>
        </w:rPr>
      </w:pPr>
    </w:p>
    <w:p w14:paraId="27F03065">
      <w:pPr>
        <w:pStyle w:val="2"/>
        <w:rPr>
          <w:rFonts w:hint="eastAsia"/>
        </w:rPr>
      </w:pPr>
    </w:p>
    <w:p w14:paraId="69D396E4">
      <w:pPr>
        <w:rPr>
          <w:rFonts w:hint="eastAsia"/>
        </w:rPr>
      </w:pPr>
    </w:p>
    <w:p w14:paraId="39270C67">
      <w:pPr>
        <w:pStyle w:val="2"/>
        <w:rPr>
          <w:rFonts w:hint="eastAsia"/>
        </w:rPr>
      </w:pPr>
    </w:p>
    <w:p w14:paraId="4EF26578">
      <w:pPr>
        <w:rPr>
          <w:rFonts w:hint="eastAsia"/>
        </w:rPr>
      </w:pPr>
    </w:p>
    <w:p w14:paraId="34AF1D57">
      <w:pPr>
        <w:pStyle w:val="2"/>
        <w:rPr>
          <w:rFonts w:hint="eastAsia"/>
        </w:rPr>
      </w:pPr>
    </w:p>
    <w:p w14:paraId="4E2EF806">
      <w:pPr>
        <w:rPr>
          <w:rFonts w:hint="eastAsia"/>
        </w:rPr>
      </w:pPr>
    </w:p>
    <w:p w14:paraId="2795EB99">
      <w:pPr>
        <w:pStyle w:val="2"/>
        <w:rPr>
          <w:rFonts w:hint="eastAsia"/>
        </w:rPr>
      </w:pPr>
    </w:p>
    <w:p w14:paraId="3AD96EBF">
      <w:pPr>
        <w:rPr>
          <w:rFonts w:hint="eastAsia"/>
        </w:rPr>
      </w:pPr>
    </w:p>
    <w:p w14:paraId="306DB33B">
      <w:pPr>
        <w:pStyle w:val="2"/>
        <w:rPr>
          <w:rFonts w:hint="eastAsia"/>
        </w:rPr>
      </w:pPr>
    </w:p>
    <w:p w14:paraId="7CA85646">
      <w:pPr>
        <w:rPr>
          <w:rFonts w:hint="eastAsia"/>
        </w:rPr>
      </w:pPr>
    </w:p>
    <w:p w14:paraId="7761C5F1">
      <w:pPr>
        <w:pStyle w:val="2"/>
        <w:rPr>
          <w:rFonts w:hint="eastAsia"/>
        </w:rPr>
      </w:pPr>
    </w:p>
    <w:p w14:paraId="3789AFD7">
      <w:pPr>
        <w:rPr>
          <w:rFonts w:hint="eastAsia"/>
        </w:rPr>
      </w:pPr>
    </w:p>
    <w:p w14:paraId="7E98CAE6">
      <w:pPr>
        <w:pStyle w:val="2"/>
        <w:rPr>
          <w:rFonts w:hint="eastAsia"/>
        </w:rPr>
      </w:pPr>
    </w:p>
    <w:p w14:paraId="493D1F8E">
      <w:pPr>
        <w:rPr>
          <w:rFonts w:hint="eastAsia"/>
        </w:rPr>
      </w:pPr>
    </w:p>
    <w:p w14:paraId="74A9875F">
      <w:pPr>
        <w:pStyle w:val="2"/>
        <w:rPr>
          <w:rFonts w:hint="eastAsia"/>
        </w:rPr>
      </w:pPr>
    </w:p>
    <w:p w14:paraId="729BAD1F">
      <w:pPr>
        <w:pStyle w:val="2"/>
        <w:ind w:left="0" w:leftChars="0" w:firstLine="0" w:firstLineChars="0"/>
        <w:rPr>
          <w:rFonts w:hint="eastAsia"/>
        </w:rPr>
      </w:pPr>
    </w:p>
    <w:p w14:paraId="7DFF9969">
      <w:pPr>
        <w:pStyle w:val="2"/>
        <w:rPr>
          <w:rFonts w:hint="eastAsia"/>
        </w:rPr>
      </w:pPr>
    </w:p>
    <w:p w14:paraId="010E5067">
      <w:pPr>
        <w:rPr>
          <w:rFonts w:hint="eastAsia"/>
        </w:rPr>
      </w:pPr>
    </w:p>
    <w:p w14:paraId="1FB8C0CE">
      <w:pPr>
        <w:pStyle w:val="2"/>
        <w:rPr>
          <w:rFonts w:hint="eastAsia"/>
        </w:rPr>
      </w:pPr>
    </w:p>
    <w:p w14:paraId="68ACD3C1">
      <w:pPr>
        <w:rPr>
          <w:rFonts w:hint="eastAsia"/>
        </w:rPr>
      </w:pPr>
    </w:p>
    <w:p w14:paraId="67A75671">
      <w:pPr>
        <w:pStyle w:val="2"/>
        <w:rPr>
          <w:rFonts w:hint="eastAsia"/>
        </w:rPr>
      </w:pPr>
    </w:p>
    <w:p w14:paraId="74BCE3F1">
      <w:pPr>
        <w:rPr>
          <w:rFonts w:hint="eastAsia"/>
        </w:rPr>
      </w:pPr>
    </w:p>
    <w:p w14:paraId="4745516D">
      <w:pPr>
        <w:pStyle w:val="2"/>
        <w:rPr>
          <w:rFonts w:hint="eastAsia"/>
        </w:rPr>
      </w:pPr>
    </w:p>
    <w:p w14:paraId="068DC3D3">
      <w:pPr>
        <w:rPr>
          <w:rFonts w:hint="eastAsia"/>
        </w:rPr>
      </w:pPr>
    </w:p>
    <w:p w14:paraId="2F73473A">
      <w:pPr>
        <w:keepNext/>
        <w:keepLines/>
        <w:spacing w:before="120" w:after="120" w:line="360" w:lineRule="auto"/>
        <w:jc w:val="left"/>
        <w:outlineLvl w:val="2"/>
        <w:rPr>
          <w:rFonts w:ascii="宋体" w:hAnsi="宋体" w:cs="宋体"/>
          <w:bCs/>
          <w:color w:val="000000"/>
          <w:sz w:val="24"/>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938" w:name="_Toc95223508"/>
    </w:p>
    <w:p w14:paraId="0A61C7CA">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t>附</w:t>
      </w:r>
      <w:bookmarkStart w:id="939" w:name="_Toc296891061"/>
      <w:bookmarkStart w:id="940" w:name="_Toc296347232"/>
      <w:bookmarkStart w:id="941" w:name="_Toc296944572"/>
      <w:bookmarkStart w:id="942" w:name="_Toc296346734"/>
      <w:bookmarkStart w:id="943" w:name="_Toc296891273"/>
      <w:bookmarkStart w:id="944" w:name="_Toc296503233"/>
      <w:r>
        <w:rPr>
          <w:rFonts w:hint="eastAsia" w:ascii="宋体" w:hAnsi="宋体" w:cs="宋体"/>
          <w:bCs/>
          <w:color w:val="000000"/>
          <w:sz w:val="24"/>
        </w:rPr>
        <w:t>件10：支付担保</w:t>
      </w:r>
      <w:bookmarkEnd w:id="938"/>
      <w:bookmarkEnd w:id="939"/>
      <w:bookmarkEnd w:id="940"/>
      <w:bookmarkEnd w:id="941"/>
      <w:bookmarkEnd w:id="942"/>
      <w:bookmarkEnd w:id="943"/>
      <w:bookmarkEnd w:id="944"/>
    </w:p>
    <w:p w14:paraId="0656DB22">
      <w:pPr>
        <w:adjustRightInd w:val="0"/>
        <w:snapToGrid w:val="0"/>
        <w:spacing w:line="360" w:lineRule="auto"/>
        <w:jc w:val="center"/>
        <w:rPr>
          <w:rFonts w:hint="eastAsia" w:ascii="宋体" w:hAnsi="宋体" w:cs="宋体"/>
          <w:b/>
          <w:bCs/>
          <w:color w:val="000000"/>
          <w:sz w:val="32"/>
          <w:szCs w:val="32"/>
        </w:rPr>
      </w:pPr>
      <w:bookmarkStart w:id="945" w:name="_Toc3562"/>
      <w:bookmarkStart w:id="946" w:name="_Toc8319"/>
      <w:bookmarkStart w:id="947" w:name="_Toc95223509"/>
      <w:r>
        <w:rPr>
          <w:rFonts w:hint="eastAsia" w:ascii="宋体" w:hAnsi="宋体" w:cs="宋体"/>
          <w:b/>
          <w:bCs/>
          <w:color w:val="000000"/>
          <w:sz w:val="32"/>
          <w:szCs w:val="32"/>
        </w:rPr>
        <w:t>支付保函示范文本</w:t>
      </w:r>
      <w:bookmarkEnd w:id="945"/>
      <w:bookmarkEnd w:id="946"/>
      <w:bookmarkEnd w:id="947"/>
    </w:p>
    <w:p w14:paraId="5329F7DC">
      <w:pPr>
        <w:wordWrap w:val="0"/>
        <w:adjustRightInd w:val="0"/>
        <w:snapToGrid w:val="0"/>
        <w:spacing w:line="360" w:lineRule="auto"/>
        <w:jc w:val="right"/>
        <w:rPr>
          <w:rFonts w:hint="eastAsia" w:ascii="宋体" w:hAnsi="宋体" w:cs="宋体"/>
          <w:color w:val="000000"/>
          <w:szCs w:val="21"/>
        </w:rPr>
      </w:pPr>
      <w:r>
        <w:rPr>
          <w:rFonts w:hint="eastAsia" w:ascii="宋体" w:hAnsi="宋体" w:cs="宋体"/>
          <w:color w:val="000000"/>
          <w:szCs w:val="21"/>
        </w:rPr>
        <w:t xml:space="preserve">编号：           </w:t>
      </w:r>
    </w:p>
    <w:p w14:paraId="35123FB3">
      <w:pPr>
        <w:adjustRightInd w:val="0"/>
        <w:snapToGrid w:val="0"/>
        <w:spacing w:line="360" w:lineRule="auto"/>
        <w:rPr>
          <w:rFonts w:hint="eastAsia" w:ascii="宋体" w:hAnsi="宋体" w:cs="宋体"/>
          <w:color w:val="000000"/>
          <w:szCs w:val="21"/>
        </w:rPr>
      </w:pPr>
    </w:p>
    <w:p w14:paraId="53161247">
      <w:pPr>
        <w:adjustRightInd w:val="0"/>
        <w:snapToGrid w:val="0"/>
        <w:spacing w:line="360" w:lineRule="auto"/>
        <w:rPr>
          <w:rFonts w:hint="eastAsia" w:ascii="宋体" w:hAnsi="宋体" w:cs="宋体"/>
          <w:color w:val="000000"/>
          <w:szCs w:val="21"/>
        </w:rPr>
      </w:pPr>
      <w:bookmarkStart w:id="948" w:name="_Hlk40355074"/>
      <w:r>
        <w:rPr>
          <w:rFonts w:hint="eastAsia" w:ascii="宋体" w:hAnsi="宋体" w:cs="宋体"/>
          <w:color w:val="000000"/>
          <w:szCs w:val="21"/>
          <w:u w:val="single"/>
        </w:rPr>
        <w:t xml:space="preserve">              </w:t>
      </w:r>
      <w:r>
        <w:rPr>
          <w:rFonts w:hint="eastAsia" w:ascii="宋体" w:hAnsi="宋体" w:cs="宋体"/>
          <w:color w:val="000000"/>
          <w:szCs w:val="21"/>
        </w:rPr>
        <w:t xml:space="preserve">（受益人名称）： </w:t>
      </w:r>
    </w:p>
    <w:bookmarkEnd w:id="948"/>
    <w:p w14:paraId="6B7CC4B8">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鉴于</w:t>
      </w:r>
      <w:r>
        <w:rPr>
          <w:rFonts w:hint="eastAsia" w:ascii="宋体" w:hAnsi="宋体" w:cs="宋体"/>
          <w:color w:val="000000"/>
          <w:szCs w:val="21"/>
          <w:u w:val="single"/>
        </w:rPr>
        <w:t xml:space="preserve">        </w:t>
      </w:r>
      <w:r>
        <w:rPr>
          <w:rFonts w:hint="eastAsia" w:ascii="宋体" w:hAnsi="宋体" w:cs="宋体"/>
          <w:color w:val="000000"/>
          <w:szCs w:val="21"/>
        </w:rPr>
        <w:t>（以下简称“受益人”）与</w:t>
      </w:r>
      <w:r>
        <w:rPr>
          <w:rFonts w:hint="eastAsia" w:ascii="宋体" w:hAnsi="宋体" w:cs="宋体"/>
          <w:color w:val="000000"/>
          <w:szCs w:val="21"/>
          <w:u w:val="single"/>
        </w:rPr>
        <w:t xml:space="preserve">         </w:t>
      </w:r>
      <w:r>
        <w:rPr>
          <w:rFonts w:hint="eastAsia" w:ascii="宋体" w:hAnsi="宋体" w:cs="宋体"/>
          <w:color w:val="000000"/>
          <w:szCs w:val="21"/>
        </w:rPr>
        <w:t>（以下简称“申请人”）于</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日就</w:t>
      </w:r>
      <w:r>
        <w:rPr>
          <w:rFonts w:hint="eastAsia" w:ascii="宋体" w:hAnsi="宋体" w:cs="宋体"/>
          <w:snapToGrid w:val="0"/>
          <w:color w:val="000000"/>
          <w:kern w:val="0"/>
          <w:szCs w:val="21"/>
          <w:u w:val="single"/>
        </w:rPr>
        <w:t xml:space="preserve">        </w:t>
      </w:r>
      <w:r>
        <w:rPr>
          <w:rFonts w:hint="eastAsia" w:ascii="宋体" w:hAnsi="宋体" w:cs="宋体"/>
          <w:snapToGrid w:val="0"/>
          <w:color w:val="000000"/>
          <w:kern w:val="0"/>
          <w:szCs w:val="21"/>
        </w:rPr>
        <w:t>（标段编号）的</w:t>
      </w:r>
      <w:r>
        <w:rPr>
          <w:rFonts w:hint="eastAsia" w:ascii="宋体" w:hAnsi="宋体" w:cs="宋体"/>
          <w:snapToGrid w:val="0"/>
          <w:color w:val="000000"/>
          <w:kern w:val="0"/>
          <w:szCs w:val="21"/>
          <w:u w:val="single"/>
        </w:rPr>
        <w:t xml:space="preserve">         </w:t>
      </w:r>
      <w:r>
        <w:rPr>
          <w:rFonts w:hint="eastAsia" w:ascii="宋体" w:hAnsi="宋体" w:cs="宋体"/>
          <w:snapToGrid w:val="0"/>
          <w:color w:val="000000"/>
          <w:kern w:val="0"/>
          <w:szCs w:val="21"/>
        </w:rPr>
        <w:t>（标段名称）</w:t>
      </w:r>
      <w:r>
        <w:rPr>
          <w:rFonts w:hint="eastAsia" w:ascii="宋体" w:hAnsi="宋体" w:cs="宋体"/>
          <w:color w:val="000000"/>
          <w:szCs w:val="21"/>
        </w:rPr>
        <w:t>有关事项协商一致共同签订</w:t>
      </w:r>
      <w:r>
        <w:rPr>
          <w:rFonts w:hint="eastAsia" w:ascii="宋体" w:hAnsi="宋体" w:cs="宋体"/>
          <w:color w:val="000000"/>
          <w:szCs w:val="21"/>
          <w:u w:val="single"/>
        </w:rPr>
        <w:t>《        》</w:t>
      </w:r>
      <w:r>
        <w:rPr>
          <w:rFonts w:hint="eastAsia" w:ascii="宋体" w:hAnsi="宋体" w:cs="宋体"/>
          <w:color w:val="000000"/>
          <w:szCs w:val="21"/>
        </w:rPr>
        <w:t xml:space="preserve">（以下简称基础合同”），开立人根据基础合同了解到申请人为基础合同项下之发包人，受益人为基础合同项下之承包人，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2F49B9DF">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一、本保函担保范围：申请人未履行基础合同约定的工程款支付义务，应当向受益人承担的违约责任和赔偿因此造成的损失、利息、律师费、诉讼费用等实现债权的费用。</w:t>
      </w:r>
    </w:p>
    <w:p w14:paraId="2CB8997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二、本保函担保金额最高不超过人民币（大写）</w:t>
      </w:r>
      <w:r>
        <w:rPr>
          <w:rFonts w:hint="eastAsia" w:ascii="宋体" w:hAnsi="宋体" w:cs="宋体"/>
          <w:color w:val="000000"/>
          <w:szCs w:val="21"/>
          <w:u w:val="single"/>
        </w:rPr>
        <w:t xml:space="preserve">          </w:t>
      </w:r>
      <w:r>
        <w:rPr>
          <w:rFonts w:hint="eastAsia" w:ascii="宋体" w:hAnsi="宋体" w:cs="宋体"/>
          <w:color w:val="000000"/>
          <w:szCs w:val="21"/>
        </w:rPr>
        <w:t>元（¥</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04EA7776">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三、本保函有效期自开立之日起至基础合同约定的除工程质量保修金以外的全部工程结算款项支付之日后</w:t>
      </w:r>
      <w:r>
        <w:rPr>
          <w:rFonts w:hint="eastAsia" w:ascii="宋体" w:hAnsi="宋体" w:cs="宋体"/>
          <w:color w:val="000000"/>
          <w:szCs w:val="21"/>
          <w:u w:val="single"/>
        </w:rPr>
        <w:t xml:space="preserve">    </w:t>
      </w:r>
      <w:r>
        <w:rPr>
          <w:rFonts w:hint="eastAsia" w:ascii="宋体" w:hAnsi="宋体" w:cs="宋体"/>
          <w:color w:val="000000"/>
          <w:szCs w:val="21"/>
        </w:rPr>
        <w:t xml:space="preserve">日止。 </w:t>
      </w:r>
    </w:p>
    <w:p w14:paraId="135F9CCA">
      <w:pPr>
        <w:adjustRightInd w:val="0"/>
        <w:snapToGrid w:val="0"/>
        <w:spacing w:line="360" w:lineRule="auto"/>
        <w:ind w:firstLine="480"/>
        <w:rPr>
          <w:rFonts w:hint="eastAsia" w:ascii="宋体" w:hAnsi="宋体" w:cs="宋体"/>
          <w:color w:val="000000"/>
          <w:szCs w:val="21"/>
        </w:rPr>
      </w:pPr>
      <w:r>
        <w:rPr>
          <w:rFonts w:hint="eastAsia" w:ascii="宋体" w:hAnsi="宋体" w:cs="宋体"/>
          <w:color w:val="000000"/>
          <w:szCs w:val="21"/>
        </w:rPr>
        <w:t>四、开立人承诺，在收到受益人发来的书面付款通知后的七日内无条件支付，前述书面付款通知即为付款要求之单据，且应满足以下要求：</w:t>
      </w:r>
    </w:p>
    <w:p w14:paraId="7DC97487">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（1）付款通知到达的日期在本保函的有效期内；</w:t>
      </w:r>
    </w:p>
    <w:p w14:paraId="53B4D5CC">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（2）载明要求支付的金额；</w:t>
      </w:r>
    </w:p>
    <w:p w14:paraId="17041966">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（3）载明申请人违反合同义务的条款和内容；</w:t>
      </w:r>
    </w:p>
    <w:p w14:paraId="0B399D4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（4）声明不存在合同文件约定或我国法律规定免除申请人或开立人支付责任的情形；</w:t>
      </w:r>
    </w:p>
    <w:p w14:paraId="6B1D5494">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（5）付款通知应在本保函有效期内到达的地址是：</w:t>
      </w:r>
      <w:r>
        <w:rPr>
          <w:rFonts w:hint="eastAsia" w:ascii="宋体" w:hAnsi="宋体" w:cs="宋体"/>
          <w:color w:val="000000"/>
          <w:szCs w:val="21"/>
          <w:u w:val="single"/>
        </w:rPr>
        <w:t xml:space="preserve">             </w:t>
      </w:r>
      <w:r>
        <w:rPr>
          <w:rFonts w:hint="eastAsia" w:ascii="宋体" w:hAnsi="宋体" w:cs="宋体"/>
          <w:color w:val="000000"/>
          <w:szCs w:val="21"/>
        </w:rPr>
        <w:t>。</w:t>
      </w:r>
    </w:p>
    <w:p w14:paraId="53877287">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 xml:space="preserve">    受益人发出的书面付款通知应由其法定代表人（负责人）或授权代理人签字并加盖公章。</w:t>
      </w:r>
    </w:p>
    <w:p w14:paraId="6DFC0EC5">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五、本保函项下的权利不得转让，不得设定担保。受益人未经开立人书面同意转让本保函或其项下任何权利，对开立人不发生法律效力。 </w:t>
      </w:r>
    </w:p>
    <w:p w14:paraId="0745272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六、本保函项下的基础交易不成立、不生效、无效、被撤销、被解除，不影响本保函的独立有效。</w:t>
      </w:r>
    </w:p>
    <w:p w14:paraId="547C452D">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七、本保函项下的义务和责任均在保函有效期到期后自动消灭。 </w:t>
      </w:r>
    </w:p>
    <w:p w14:paraId="1192801C">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八、本保函适用的法律为中华人民共和国法律，因本保函产生的纠纷案件，由申请人所在地人民法院管辖。 </w:t>
      </w:r>
    </w:p>
    <w:p w14:paraId="7F137F5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九、本保函自我方法定代表人或授权代表签字并加盖公章之日起生效。 </w:t>
      </w:r>
    </w:p>
    <w:p w14:paraId="65AFC0C0">
      <w:pPr>
        <w:adjustRightInd w:val="0"/>
        <w:snapToGrid w:val="0"/>
        <w:spacing w:line="360" w:lineRule="auto"/>
        <w:ind w:firstLine="420" w:firstLineChars="200"/>
        <w:rPr>
          <w:rFonts w:hint="eastAsia" w:ascii="宋体" w:hAnsi="宋体" w:cs="宋体"/>
          <w:color w:val="000000"/>
          <w:szCs w:val="21"/>
        </w:rPr>
      </w:pPr>
    </w:p>
    <w:p w14:paraId="0B766D9B">
      <w:pPr>
        <w:adjustRightInd w:val="0"/>
        <w:snapToGrid w:val="0"/>
        <w:spacing w:line="360" w:lineRule="auto"/>
        <w:ind w:firstLine="420" w:firstLineChars="200"/>
        <w:rPr>
          <w:rFonts w:hint="eastAsia" w:ascii="宋体" w:hAnsi="宋体" w:cs="宋体"/>
          <w:color w:val="000000"/>
          <w:szCs w:val="21"/>
        </w:rPr>
      </w:pPr>
    </w:p>
    <w:p w14:paraId="3CB074E3">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开 立 人：</w:t>
      </w:r>
      <w:r>
        <w:rPr>
          <w:rFonts w:hint="eastAsia" w:ascii="宋体" w:hAnsi="宋体" w:cs="宋体"/>
          <w:color w:val="000000"/>
          <w:szCs w:val="21"/>
          <w:u w:val="single"/>
        </w:rPr>
        <w:t xml:space="preserve">                              </w:t>
      </w:r>
      <w:r>
        <w:rPr>
          <w:rFonts w:hint="eastAsia" w:ascii="宋体" w:hAnsi="宋体" w:cs="宋体"/>
          <w:color w:val="000000"/>
          <w:szCs w:val="21"/>
        </w:rPr>
        <w:t xml:space="preserve">（公章） </w:t>
      </w:r>
    </w:p>
    <w:p w14:paraId="0280D01C">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法定代表人（或授权代表）：</w:t>
      </w:r>
      <w:r>
        <w:rPr>
          <w:rFonts w:hint="eastAsia" w:ascii="宋体" w:hAnsi="宋体" w:cs="宋体"/>
          <w:color w:val="000000"/>
          <w:szCs w:val="21"/>
          <w:u w:val="single"/>
        </w:rPr>
        <w:t xml:space="preserve">               </w:t>
      </w:r>
      <w:r>
        <w:rPr>
          <w:rFonts w:hint="eastAsia" w:ascii="宋体" w:hAnsi="宋体" w:cs="宋体"/>
          <w:color w:val="000000"/>
          <w:szCs w:val="21"/>
        </w:rPr>
        <w:t xml:space="preserve">（签字） </w:t>
      </w:r>
    </w:p>
    <w:p w14:paraId="51E175D4">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u w:val="single"/>
        </w:rPr>
        <w:t xml:space="preserve">                                       </w:t>
      </w:r>
    </w:p>
    <w:p w14:paraId="3E98A475">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邮政编码：</w:t>
      </w:r>
      <w:r>
        <w:rPr>
          <w:rFonts w:hint="eastAsia" w:ascii="宋体" w:hAnsi="宋体" w:cs="宋体"/>
          <w:color w:val="000000"/>
          <w:szCs w:val="21"/>
          <w:u w:val="single"/>
        </w:rPr>
        <w:t xml:space="preserve">                 </w:t>
      </w:r>
    </w:p>
    <w:p w14:paraId="5C0C9E62">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电    话：</w:t>
      </w:r>
      <w:r>
        <w:rPr>
          <w:rFonts w:hint="eastAsia" w:ascii="宋体" w:hAnsi="宋体" w:cs="宋体"/>
          <w:color w:val="000000"/>
          <w:szCs w:val="21"/>
          <w:u w:val="single"/>
        </w:rPr>
        <w:t xml:space="preserve">                 </w:t>
      </w:r>
    </w:p>
    <w:p w14:paraId="2B58F205">
      <w:pPr>
        <w:adjustRightInd w:val="0"/>
        <w:snapToGrid w:val="0"/>
        <w:spacing w:line="360" w:lineRule="auto"/>
        <w:ind w:firstLine="420" w:firstLineChars="200"/>
        <w:rPr>
          <w:rFonts w:hint="eastAsia" w:ascii="宋体" w:hAnsi="宋体" w:cs="宋体"/>
          <w:color w:val="000000"/>
          <w:szCs w:val="21"/>
          <w:u w:val="single"/>
        </w:rPr>
      </w:pPr>
      <w:r>
        <w:rPr>
          <w:rFonts w:hint="eastAsia" w:ascii="宋体" w:hAnsi="宋体" w:cs="宋体"/>
          <w:color w:val="000000"/>
          <w:szCs w:val="21"/>
        </w:rPr>
        <w:t>传    真：</w:t>
      </w:r>
      <w:r>
        <w:rPr>
          <w:rFonts w:hint="eastAsia" w:ascii="宋体" w:hAnsi="宋体" w:cs="宋体"/>
          <w:color w:val="000000"/>
          <w:szCs w:val="21"/>
          <w:u w:val="single"/>
        </w:rPr>
        <w:t xml:space="preserve">                 </w:t>
      </w:r>
    </w:p>
    <w:p w14:paraId="28F623DE">
      <w:pPr>
        <w:adjustRightInd w:val="0"/>
        <w:snapToGrid w:val="0"/>
        <w:spacing w:line="360" w:lineRule="auto"/>
        <w:ind w:left="1323" w:leftChars="200" w:hanging="903" w:hangingChars="430"/>
        <w:rPr>
          <w:rFonts w:hint="eastAsia" w:ascii="宋体" w:hAnsi="宋体" w:cs="宋体"/>
          <w:color w:val="000000"/>
          <w:szCs w:val="21"/>
        </w:rPr>
      </w:pPr>
      <w:r>
        <w:rPr>
          <w:rFonts w:hint="eastAsia" w:ascii="宋体" w:hAnsi="宋体" w:cs="宋体"/>
          <w:color w:val="000000"/>
          <w:szCs w:val="21"/>
        </w:rPr>
        <w:t>开立时间：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0D107849">
      <w:pPr>
        <w:adjustRightInd w:val="0"/>
        <w:snapToGrid w:val="0"/>
        <w:spacing w:line="360" w:lineRule="auto"/>
        <w:rPr>
          <w:rFonts w:hint="eastAsia" w:ascii="宋体" w:hAnsi="宋体" w:cs="宋体"/>
          <w:color w:val="000000"/>
          <w:szCs w:val="21"/>
        </w:rPr>
      </w:pPr>
    </w:p>
    <w:p w14:paraId="61F38DE4">
      <w:pPr>
        <w:adjustRightInd w:val="0"/>
        <w:snapToGrid w:val="0"/>
        <w:spacing w:line="360" w:lineRule="auto"/>
        <w:rPr>
          <w:rFonts w:hint="eastAsia" w:ascii="宋体" w:hAnsi="宋体" w:cs="宋体"/>
          <w:color w:val="000000"/>
          <w:szCs w:val="21"/>
        </w:rPr>
      </w:pPr>
    </w:p>
    <w:p w14:paraId="02F1FD1A">
      <w:pPr>
        <w:adjustRightInd w:val="0"/>
        <w:snapToGrid w:val="0"/>
        <w:spacing w:line="360" w:lineRule="auto"/>
        <w:rPr>
          <w:rFonts w:hint="eastAsia" w:ascii="宋体" w:hAnsi="宋体" w:cs="宋体"/>
          <w:color w:val="000000"/>
          <w:szCs w:val="21"/>
        </w:rPr>
      </w:pPr>
    </w:p>
    <w:p w14:paraId="75BE426D">
      <w:pPr>
        <w:keepNext/>
        <w:keepLines/>
        <w:adjustRightInd w:val="0"/>
        <w:snapToGrid w:val="0"/>
        <w:spacing w:line="360" w:lineRule="auto"/>
        <w:jc w:val="left"/>
        <w:outlineLvl w:val="2"/>
        <w:rPr>
          <w:rFonts w:hint="eastAsia" w:ascii="宋体" w:hAnsi="宋体" w:cs="宋体"/>
          <w:bCs/>
          <w:color w:val="000000"/>
          <w:sz w:val="24"/>
        </w:rPr>
      </w:pPr>
      <w:r>
        <w:rPr>
          <w:rFonts w:hint="eastAsia" w:ascii="宋体" w:hAnsi="宋体" w:cs="宋体"/>
          <w:bCs/>
          <w:color w:val="000000"/>
          <w:sz w:val="24"/>
        </w:rPr>
        <w:br w:type="page"/>
      </w:r>
      <w:bookmarkStart w:id="949" w:name="_Toc95223510"/>
      <w:r>
        <w:rPr>
          <w:rFonts w:hint="eastAsia" w:ascii="宋体" w:hAnsi="宋体" w:cs="宋体"/>
          <w:bCs/>
          <w:color w:val="000000"/>
          <w:sz w:val="24"/>
        </w:rPr>
        <w:t>附件11：暂估价一览表</w:t>
      </w:r>
      <w:bookmarkEnd w:id="949"/>
    </w:p>
    <w:p w14:paraId="49EE82A1">
      <w:pPr>
        <w:spacing w:before="120" w:beforeLines="50" w:after="120" w:afterLines="50" w:line="440" w:lineRule="exact"/>
        <w:jc w:val="center"/>
        <w:rPr>
          <w:rFonts w:hint="eastAsia" w:ascii="宋体" w:hAnsi="宋体" w:cs="宋体"/>
          <w:color w:val="000000"/>
          <w:szCs w:val="21"/>
        </w:rPr>
      </w:pPr>
      <w:r>
        <w:rPr>
          <w:rFonts w:hint="eastAsia" w:ascii="宋体" w:hAnsi="宋体" w:cs="宋体"/>
          <w:color w:val="000000"/>
          <w:szCs w:val="21"/>
        </w:rPr>
        <w:t>12-1：材料暂估价表</w:t>
      </w:r>
    </w:p>
    <w:tbl>
      <w:tblPr>
        <w:tblStyle w:val="4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E026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4D6AF0EF">
            <w:pPr>
              <w:keepNext/>
              <w:spacing w:line="440" w:lineRule="exact"/>
              <w:rPr>
                <w:rFonts w:hint="eastAsia" w:ascii="宋体" w:hAnsi="宋体" w:cs="宋体"/>
                <w:color w:val="000000"/>
                <w:szCs w:val="21"/>
              </w:rPr>
            </w:pPr>
            <w:r>
              <w:rPr>
                <w:rFonts w:hint="eastAsia" w:ascii="宋体" w:hAnsi="宋体" w:cs="宋体"/>
                <w:color w:val="000000"/>
                <w:szCs w:val="21"/>
              </w:rPr>
              <w:t>序号</w:t>
            </w:r>
          </w:p>
        </w:tc>
        <w:tc>
          <w:tcPr>
            <w:tcW w:w="1984" w:type="dxa"/>
            <w:tcBorders>
              <w:top w:val="single" w:color="auto" w:sz="12" w:space="0"/>
              <w:bottom w:val="double" w:color="auto" w:sz="6" w:space="0"/>
            </w:tcBorders>
            <w:noWrap w:val="0"/>
            <w:vAlign w:val="top"/>
          </w:tcPr>
          <w:p w14:paraId="09299411">
            <w:pPr>
              <w:keepNext/>
              <w:spacing w:line="440" w:lineRule="exact"/>
              <w:rPr>
                <w:rFonts w:hint="eastAsia" w:ascii="宋体" w:hAnsi="宋体" w:cs="宋体"/>
                <w:color w:val="000000"/>
                <w:szCs w:val="21"/>
              </w:rPr>
            </w:pPr>
            <w:r>
              <w:rPr>
                <w:rFonts w:hint="eastAsia" w:ascii="宋体" w:hAnsi="宋体" w:cs="宋体"/>
                <w:color w:val="000000"/>
                <w:szCs w:val="21"/>
              </w:rPr>
              <w:t>名称</w:t>
            </w:r>
          </w:p>
        </w:tc>
        <w:tc>
          <w:tcPr>
            <w:tcW w:w="851" w:type="dxa"/>
            <w:tcBorders>
              <w:top w:val="single" w:color="auto" w:sz="12" w:space="0"/>
              <w:bottom w:val="double" w:color="auto" w:sz="6" w:space="0"/>
            </w:tcBorders>
            <w:noWrap w:val="0"/>
            <w:vAlign w:val="top"/>
          </w:tcPr>
          <w:p w14:paraId="3D720567">
            <w:pPr>
              <w:keepNext/>
              <w:spacing w:line="440" w:lineRule="exact"/>
              <w:rPr>
                <w:rFonts w:hint="eastAsia" w:ascii="宋体" w:hAnsi="宋体" w:cs="宋体"/>
                <w:color w:val="000000"/>
                <w:szCs w:val="21"/>
              </w:rPr>
            </w:pPr>
            <w:r>
              <w:rPr>
                <w:rFonts w:hint="eastAsia" w:ascii="宋体" w:hAnsi="宋体" w:cs="宋体"/>
                <w:color w:val="000000"/>
                <w:szCs w:val="21"/>
              </w:rPr>
              <w:t>单位</w:t>
            </w:r>
          </w:p>
        </w:tc>
        <w:tc>
          <w:tcPr>
            <w:tcW w:w="774" w:type="dxa"/>
            <w:tcBorders>
              <w:top w:val="single" w:color="auto" w:sz="12" w:space="0"/>
              <w:bottom w:val="double" w:color="auto" w:sz="6" w:space="0"/>
            </w:tcBorders>
            <w:noWrap w:val="0"/>
            <w:vAlign w:val="top"/>
          </w:tcPr>
          <w:p w14:paraId="16BB018D">
            <w:pPr>
              <w:keepNext/>
              <w:spacing w:line="440" w:lineRule="exact"/>
              <w:rPr>
                <w:rFonts w:hint="eastAsia" w:ascii="宋体" w:hAnsi="宋体" w:cs="宋体"/>
                <w:color w:val="000000"/>
                <w:szCs w:val="21"/>
              </w:rPr>
            </w:pPr>
            <w:r>
              <w:rPr>
                <w:rFonts w:hint="eastAsia" w:ascii="宋体" w:hAnsi="宋体" w:cs="宋体"/>
                <w:color w:val="000000"/>
                <w:szCs w:val="21"/>
              </w:rPr>
              <w:t>数量</w:t>
            </w:r>
          </w:p>
        </w:tc>
        <w:tc>
          <w:tcPr>
            <w:tcW w:w="1352" w:type="dxa"/>
            <w:tcBorders>
              <w:top w:val="single" w:color="auto" w:sz="12" w:space="0"/>
              <w:bottom w:val="double" w:color="auto" w:sz="6" w:space="0"/>
            </w:tcBorders>
            <w:noWrap w:val="0"/>
            <w:vAlign w:val="top"/>
          </w:tcPr>
          <w:p w14:paraId="1D9834B5">
            <w:pPr>
              <w:keepNext/>
              <w:spacing w:line="440" w:lineRule="exact"/>
              <w:rPr>
                <w:rFonts w:hint="eastAsia" w:ascii="宋体" w:hAnsi="宋体" w:cs="宋体"/>
                <w:color w:val="000000"/>
                <w:szCs w:val="21"/>
              </w:rPr>
            </w:pPr>
            <w:r>
              <w:rPr>
                <w:rFonts w:hint="eastAsia" w:ascii="宋体" w:hAnsi="宋体" w:cs="宋体"/>
                <w:color w:val="000000"/>
                <w:szCs w:val="21"/>
              </w:rPr>
              <w:t>单价（元）</w:t>
            </w:r>
          </w:p>
        </w:tc>
        <w:tc>
          <w:tcPr>
            <w:tcW w:w="1418" w:type="dxa"/>
            <w:tcBorders>
              <w:top w:val="single" w:color="auto" w:sz="12" w:space="0"/>
              <w:bottom w:val="double" w:color="auto" w:sz="6" w:space="0"/>
            </w:tcBorders>
            <w:noWrap w:val="0"/>
            <w:vAlign w:val="top"/>
          </w:tcPr>
          <w:p w14:paraId="04DA02AB">
            <w:pPr>
              <w:keepNext/>
              <w:spacing w:line="440" w:lineRule="exact"/>
              <w:rPr>
                <w:rFonts w:hint="eastAsia" w:ascii="宋体" w:hAnsi="宋体" w:cs="宋体"/>
                <w:color w:val="000000"/>
                <w:szCs w:val="21"/>
              </w:rPr>
            </w:pPr>
            <w:r>
              <w:rPr>
                <w:rFonts w:hint="eastAsia" w:ascii="宋体" w:hAnsi="宋体" w:cs="宋体"/>
                <w:color w:val="000000"/>
                <w:szCs w:val="21"/>
              </w:rPr>
              <w:t>合价（元）</w:t>
            </w:r>
          </w:p>
        </w:tc>
        <w:tc>
          <w:tcPr>
            <w:tcW w:w="1701" w:type="dxa"/>
            <w:tcBorders>
              <w:top w:val="single" w:color="auto" w:sz="12" w:space="0"/>
              <w:bottom w:val="double" w:color="auto" w:sz="6" w:space="0"/>
            </w:tcBorders>
            <w:noWrap w:val="0"/>
            <w:vAlign w:val="top"/>
          </w:tcPr>
          <w:p w14:paraId="554A6ADF">
            <w:pPr>
              <w:keepNext/>
              <w:spacing w:line="440" w:lineRule="exact"/>
              <w:rPr>
                <w:rFonts w:hint="eastAsia" w:ascii="宋体" w:hAnsi="宋体" w:cs="宋体"/>
                <w:color w:val="000000"/>
                <w:szCs w:val="21"/>
              </w:rPr>
            </w:pPr>
            <w:r>
              <w:rPr>
                <w:rFonts w:hint="eastAsia" w:ascii="宋体" w:hAnsi="宋体" w:cs="宋体"/>
                <w:color w:val="000000"/>
                <w:szCs w:val="21"/>
              </w:rPr>
              <w:t>备注</w:t>
            </w:r>
          </w:p>
        </w:tc>
      </w:tr>
      <w:tr w14:paraId="5E154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6474CEAA">
            <w:pPr>
              <w:keepNext/>
              <w:spacing w:line="440" w:lineRule="exact"/>
              <w:rPr>
                <w:rFonts w:hint="eastAsia" w:ascii="宋体" w:hAnsi="宋体" w:cs="宋体"/>
                <w:color w:val="000000"/>
                <w:szCs w:val="21"/>
              </w:rPr>
            </w:pPr>
          </w:p>
        </w:tc>
        <w:tc>
          <w:tcPr>
            <w:tcW w:w="1984" w:type="dxa"/>
            <w:tcBorders>
              <w:top w:val="double" w:color="auto" w:sz="6" w:space="0"/>
            </w:tcBorders>
            <w:noWrap w:val="0"/>
            <w:vAlign w:val="top"/>
          </w:tcPr>
          <w:p w14:paraId="264AD185">
            <w:pPr>
              <w:keepNext/>
              <w:spacing w:line="440" w:lineRule="exact"/>
              <w:rPr>
                <w:rFonts w:hint="eastAsia" w:ascii="宋体" w:hAnsi="宋体" w:cs="宋体"/>
                <w:color w:val="000000"/>
                <w:szCs w:val="21"/>
              </w:rPr>
            </w:pPr>
          </w:p>
        </w:tc>
        <w:tc>
          <w:tcPr>
            <w:tcW w:w="851" w:type="dxa"/>
            <w:tcBorders>
              <w:top w:val="double" w:color="auto" w:sz="6" w:space="0"/>
            </w:tcBorders>
            <w:noWrap w:val="0"/>
            <w:vAlign w:val="top"/>
          </w:tcPr>
          <w:p w14:paraId="544669AE">
            <w:pPr>
              <w:keepNext/>
              <w:spacing w:line="440" w:lineRule="exact"/>
              <w:rPr>
                <w:rFonts w:hint="eastAsia" w:ascii="宋体" w:hAnsi="宋体" w:cs="宋体"/>
                <w:color w:val="000000"/>
                <w:szCs w:val="21"/>
              </w:rPr>
            </w:pPr>
          </w:p>
        </w:tc>
        <w:tc>
          <w:tcPr>
            <w:tcW w:w="774" w:type="dxa"/>
            <w:tcBorders>
              <w:top w:val="double" w:color="auto" w:sz="6" w:space="0"/>
            </w:tcBorders>
            <w:noWrap w:val="0"/>
            <w:vAlign w:val="top"/>
          </w:tcPr>
          <w:p w14:paraId="19E9DE36">
            <w:pPr>
              <w:keepNext/>
              <w:spacing w:line="440" w:lineRule="exact"/>
              <w:rPr>
                <w:rFonts w:hint="eastAsia" w:ascii="宋体" w:hAnsi="宋体" w:cs="宋体"/>
                <w:color w:val="000000"/>
                <w:szCs w:val="21"/>
              </w:rPr>
            </w:pPr>
          </w:p>
        </w:tc>
        <w:tc>
          <w:tcPr>
            <w:tcW w:w="1352" w:type="dxa"/>
            <w:tcBorders>
              <w:top w:val="double" w:color="auto" w:sz="6" w:space="0"/>
            </w:tcBorders>
            <w:noWrap w:val="0"/>
            <w:vAlign w:val="top"/>
          </w:tcPr>
          <w:p w14:paraId="3D3C18DF">
            <w:pPr>
              <w:keepNext/>
              <w:spacing w:line="440" w:lineRule="exact"/>
              <w:rPr>
                <w:rFonts w:hint="eastAsia" w:ascii="宋体" w:hAnsi="宋体" w:cs="宋体"/>
                <w:color w:val="000000"/>
                <w:szCs w:val="21"/>
              </w:rPr>
            </w:pPr>
          </w:p>
        </w:tc>
        <w:tc>
          <w:tcPr>
            <w:tcW w:w="1418" w:type="dxa"/>
            <w:tcBorders>
              <w:top w:val="double" w:color="auto" w:sz="6" w:space="0"/>
            </w:tcBorders>
            <w:noWrap w:val="0"/>
            <w:vAlign w:val="top"/>
          </w:tcPr>
          <w:p w14:paraId="7BF16C5C">
            <w:pPr>
              <w:keepNext/>
              <w:spacing w:line="440" w:lineRule="exact"/>
              <w:rPr>
                <w:rFonts w:hint="eastAsia" w:ascii="宋体" w:hAnsi="宋体" w:cs="宋体"/>
                <w:color w:val="000000"/>
                <w:szCs w:val="21"/>
              </w:rPr>
            </w:pPr>
          </w:p>
        </w:tc>
        <w:tc>
          <w:tcPr>
            <w:tcW w:w="1701" w:type="dxa"/>
            <w:tcBorders>
              <w:top w:val="double" w:color="auto" w:sz="6" w:space="0"/>
            </w:tcBorders>
            <w:noWrap w:val="0"/>
            <w:vAlign w:val="top"/>
          </w:tcPr>
          <w:p w14:paraId="2529EC6D">
            <w:pPr>
              <w:keepNext/>
              <w:spacing w:line="440" w:lineRule="exact"/>
              <w:rPr>
                <w:rFonts w:hint="eastAsia" w:ascii="宋体" w:hAnsi="宋体" w:cs="宋体"/>
                <w:color w:val="000000"/>
                <w:szCs w:val="21"/>
              </w:rPr>
            </w:pPr>
          </w:p>
        </w:tc>
      </w:tr>
      <w:tr w14:paraId="4989D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247A9BCB">
            <w:pPr>
              <w:keepNext/>
              <w:spacing w:line="440" w:lineRule="exact"/>
              <w:rPr>
                <w:rFonts w:hint="eastAsia" w:ascii="宋体" w:hAnsi="宋体" w:cs="宋体"/>
                <w:color w:val="000000"/>
                <w:szCs w:val="21"/>
              </w:rPr>
            </w:pPr>
          </w:p>
        </w:tc>
        <w:tc>
          <w:tcPr>
            <w:tcW w:w="1984" w:type="dxa"/>
            <w:tcBorders>
              <w:top w:val="nil"/>
            </w:tcBorders>
            <w:noWrap w:val="0"/>
            <w:vAlign w:val="top"/>
          </w:tcPr>
          <w:p w14:paraId="19624C60">
            <w:pPr>
              <w:keepNext/>
              <w:spacing w:line="440" w:lineRule="exact"/>
              <w:rPr>
                <w:rFonts w:hint="eastAsia" w:ascii="宋体" w:hAnsi="宋体" w:cs="宋体"/>
                <w:color w:val="000000"/>
                <w:szCs w:val="21"/>
              </w:rPr>
            </w:pPr>
          </w:p>
        </w:tc>
        <w:tc>
          <w:tcPr>
            <w:tcW w:w="851" w:type="dxa"/>
            <w:tcBorders>
              <w:top w:val="nil"/>
            </w:tcBorders>
            <w:noWrap w:val="0"/>
            <w:vAlign w:val="top"/>
          </w:tcPr>
          <w:p w14:paraId="2B40EDF4">
            <w:pPr>
              <w:keepNext/>
              <w:spacing w:line="440" w:lineRule="exact"/>
              <w:rPr>
                <w:rFonts w:hint="eastAsia" w:ascii="宋体" w:hAnsi="宋体" w:cs="宋体"/>
                <w:color w:val="000000"/>
                <w:szCs w:val="21"/>
              </w:rPr>
            </w:pPr>
          </w:p>
        </w:tc>
        <w:tc>
          <w:tcPr>
            <w:tcW w:w="774" w:type="dxa"/>
            <w:tcBorders>
              <w:top w:val="nil"/>
            </w:tcBorders>
            <w:noWrap w:val="0"/>
            <w:vAlign w:val="top"/>
          </w:tcPr>
          <w:p w14:paraId="54542D99">
            <w:pPr>
              <w:keepNext/>
              <w:spacing w:line="440" w:lineRule="exact"/>
              <w:rPr>
                <w:rFonts w:hint="eastAsia" w:ascii="宋体" w:hAnsi="宋体" w:cs="宋体"/>
                <w:color w:val="000000"/>
                <w:szCs w:val="21"/>
              </w:rPr>
            </w:pPr>
          </w:p>
        </w:tc>
        <w:tc>
          <w:tcPr>
            <w:tcW w:w="1352" w:type="dxa"/>
            <w:tcBorders>
              <w:top w:val="nil"/>
            </w:tcBorders>
            <w:noWrap w:val="0"/>
            <w:vAlign w:val="top"/>
          </w:tcPr>
          <w:p w14:paraId="540F960C">
            <w:pPr>
              <w:keepNext/>
              <w:spacing w:line="440" w:lineRule="exact"/>
              <w:rPr>
                <w:rFonts w:hint="eastAsia" w:ascii="宋体" w:hAnsi="宋体" w:cs="宋体"/>
                <w:color w:val="000000"/>
                <w:szCs w:val="21"/>
              </w:rPr>
            </w:pPr>
          </w:p>
        </w:tc>
        <w:tc>
          <w:tcPr>
            <w:tcW w:w="1418" w:type="dxa"/>
            <w:tcBorders>
              <w:top w:val="nil"/>
            </w:tcBorders>
            <w:noWrap w:val="0"/>
            <w:vAlign w:val="top"/>
          </w:tcPr>
          <w:p w14:paraId="671AF98E">
            <w:pPr>
              <w:keepNext/>
              <w:spacing w:line="440" w:lineRule="exact"/>
              <w:rPr>
                <w:rFonts w:hint="eastAsia" w:ascii="宋体" w:hAnsi="宋体" w:cs="宋体"/>
                <w:color w:val="000000"/>
                <w:szCs w:val="21"/>
              </w:rPr>
            </w:pPr>
          </w:p>
        </w:tc>
        <w:tc>
          <w:tcPr>
            <w:tcW w:w="1701" w:type="dxa"/>
            <w:tcBorders>
              <w:top w:val="nil"/>
            </w:tcBorders>
            <w:noWrap w:val="0"/>
            <w:vAlign w:val="top"/>
          </w:tcPr>
          <w:p w14:paraId="3F9F5CBE">
            <w:pPr>
              <w:keepNext/>
              <w:spacing w:line="440" w:lineRule="exact"/>
              <w:rPr>
                <w:rFonts w:hint="eastAsia" w:ascii="宋体" w:hAnsi="宋体" w:cs="宋体"/>
                <w:color w:val="000000"/>
                <w:szCs w:val="21"/>
              </w:rPr>
            </w:pPr>
          </w:p>
        </w:tc>
      </w:tr>
      <w:tr w14:paraId="11E5E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29B8922">
            <w:pPr>
              <w:keepNext/>
              <w:spacing w:line="440" w:lineRule="exact"/>
              <w:rPr>
                <w:rFonts w:hint="eastAsia" w:ascii="宋体" w:hAnsi="宋体" w:cs="宋体"/>
                <w:color w:val="000000"/>
                <w:szCs w:val="21"/>
              </w:rPr>
            </w:pPr>
          </w:p>
        </w:tc>
        <w:tc>
          <w:tcPr>
            <w:tcW w:w="1984" w:type="dxa"/>
            <w:noWrap w:val="0"/>
            <w:vAlign w:val="top"/>
          </w:tcPr>
          <w:p w14:paraId="730C9EF9">
            <w:pPr>
              <w:keepNext/>
              <w:spacing w:line="440" w:lineRule="exact"/>
              <w:rPr>
                <w:rFonts w:hint="eastAsia" w:ascii="宋体" w:hAnsi="宋体" w:cs="宋体"/>
                <w:color w:val="000000"/>
                <w:szCs w:val="21"/>
              </w:rPr>
            </w:pPr>
          </w:p>
        </w:tc>
        <w:tc>
          <w:tcPr>
            <w:tcW w:w="851" w:type="dxa"/>
            <w:noWrap w:val="0"/>
            <w:vAlign w:val="top"/>
          </w:tcPr>
          <w:p w14:paraId="76F9A0C3">
            <w:pPr>
              <w:keepNext/>
              <w:spacing w:line="440" w:lineRule="exact"/>
              <w:rPr>
                <w:rFonts w:hint="eastAsia" w:ascii="宋体" w:hAnsi="宋体" w:cs="宋体"/>
                <w:color w:val="000000"/>
                <w:szCs w:val="21"/>
              </w:rPr>
            </w:pPr>
          </w:p>
        </w:tc>
        <w:tc>
          <w:tcPr>
            <w:tcW w:w="774" w:type="dxa"/>
            <w:noWrap w:val="0"/>
            <w:vAlign w:val="top"/>
          </w:tcPr>
          <w:p w14:paraId="136C6564">
            <w:pPr>
              <w:keepNext/>
              <w:spacing w:line="440" w:lineRule="exact"/>
              <w:rPr>
                <w:rFonts w:hint="eastAsia" w:ascii="宋体" w:hAnsi="宋体" w:cs="宋体"/>
                <w:color w:val="000000"/>
                <w:szCs w:val="21"/>
              </w:rPr>
            </w:pPr>
          </w:p>
        </w:tc>
        <w:tc>
          <w:tcPr>
            <w:tcW w:w="1352" w:type="dxa"/>
            <w:noWrap w:val="0"/>
            <w:vAlign w:val="top"/>
          </w:tcPr>
          <w:p w14:paraId="6F672136">
            <w:pPr>
              <w:keepNext/>
              <w:spacing w:line="440" w:lineRule="exact"/>
              <w:rPr>
                <w:rFonts w:hint="eastAsia" w:ascii="宋体" w:hAnsi="宋体" w:cs="宋体"/>
                <w:color w:val="000000"/>
                <w:szCs w:val="21"/>
              </w:rPr>
            </w:pPr>
          </w:p>
        </w:tc>
        <w:tc>
          <w:tcPr>
            <w:tcW w:w="1418" w:type="dxa"/>
            <w:noWrap w:val="0"/>
            <w:vAlign w:val="top"/>
          </w:tcPr>
          <w:p w14:paraId="5A0F0A06">
            <w:pPr>
              <w:keepNext/>
              <w:spacing w:line="440" w:lineRule="exact"/>
              <w:rPr>
                <w:rFonts w:hint="eastAsia" w:ascii="宋体" w:hAnsi="宋体" w:cs="宋体"/>
                <w:color w:val="000000"/>
                <w:szCs w:val="21"/>
              </w:rPr>
            </w:pPr>
          </w:p>
        </w:tc>
        <w:tc>
          <w:tcPr>
            <w:tcW w:w="1701" w:type="dxa"/>
            <w:noWrap w:val="0"/>
            <w:vAlign w:val="top"/>
          </w:tcPr>
          <w:p w14:paraId="0C7584DF">
            <w:pPr>
              <w:keepNext/>
              <w:spacing w:line="440" w:lineRule="exact"/>
              <w:rPr>
                <w:rFonts w:hint="eastAsia" w:ascii="宋体" w:hAnsi="宋体" w:cs="宋体"/>
                <w:color w:val="000000"/>
                <w:szCs w:val="21"/>
              </w:rPr>
            </w:pPr>
          </w:p>
        </w:tc>
      </w:tr>
      <w:tr w14:paraId="4D64C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8642EAE">
            <w:pPr>
              <w:keepNext/>
              <w:spacing w:line="440" w:lineRule="exact"/>
              <w:rPr>
                <w:rFonts w:hint="eastAsia" w:ascii="宋体" w:hAnsi="宋体" w:cs="宋体"/>
                <w:color w:val="000000"/>
                <w:szCs w:val="21"/>
              </w:rPr>
            </w:pPr>
          </w:p>
        </w:tc>
        <w:tc>
          <w:tcPr>
            <w:tcW w:w="1984" w:type="dxa"/>
            <w:noWrap w:val="0"/>
            <w:vAlign w:val="top"/>
          </w:tcPr>
          <w:p w14:paraId="5A615F81">
            <w:pPr>
              <w:keepNext/>
              <w:spacing w:line="440" w:lineRule="exact"/>
              <w:rPr>
                <w:rFonts w:hint="eastAsia" w:ascii="宋体" w:hAnsi="宋体" w:cs="宋体"/>
                <w:color w:val="000000"/>
                <w:szCs w:val="21"/>
              </w:rPr>
            </w:pPr>
          </w:p>
        </w:tc>
        <w:tc>
          <w:tcPr>
            <w:tcW w:w="851" w:type="dxa"/>
            <w:noWrap w:val="0"/>
            <w:vAlign w:val="top"/>
          </w:tcPr>
          <w:p w14:paraId="2D1DD7BB">
            <w:pPr>
              <w:keepNext/>
              <w:spacing w:line="440" w:lineRule="exact"/>
              <w:rPr>
                <w:rFonts w:hint="eastAsia" w:ascii="宋体" w:hAnsi="宋体" w:cs="宋体"/>
                <w:color w:val="000000"/>
                <w:szCs w:val="21"/>
              </w:rPr>
            </w:pPr>
          </w:p>
        </w:tc>
        <w:tc>
          <w:tcPr>
            <w:tcW w:w="774" w:type="dxa"/>
            <w:noWrap w:val="0"/>
            <w:vAlign w:val="top"/>
          </w:tcPr>
          <w:p w14:paraId="65AD4ED6">
            <w:pPr>
              <w:keepNext/>
              <w:spacing w:line="440" w:lineRule="exact"/>
              <w:rPr>
                <w:rFonts w:hint="eastAsia" w:ascii="宋体" w:hAnsi="宋体" w:cs="宋体"/>
                <w:color w:val="000000"/>
                <w:szCs w:val="21"/>
              </w:rPr>
            </w:pPr>
          </w:p>
        </w:tc>
        <w:tc>
          <w:tcPr>
            <w:tcW w:w="1352" w:type="dxa"/>
            <w:noWrap w:val="0"/>
            <w:vAlign w:val="top"/>
          </w:tcPr>
          <w:p w14:paraId="259DF23F">
            <w:pPr>
              <w:keepNext/>
              <w:spacing w:line="440" w:lineRule="exact"/>
              <w:rPr>
                <w:rFonts w:hint="eastAsia" w:ascii="宋体" w:hAnsi="宋体" w:cs="宋体"/>
                <w:color w:val="000000"/>
                <w:szCs w:val="21"/>
              </w:rPr>
            </w:pPr>
          </w:p>
        </w:tc>
        <w:tc>
          <w:tcPr>
            <w:tcW w:w="1418" w:type="dxa"/>
            <w:noWrap w:val="0"/>
            <w:vAlign w:val="top"/>
          </w:tcPr>
          <w:p w14:paraId="68F09C74">
            <w:pPr>
              <w:keepNext/>
              <w:spacing w:line="440" w:lineRule="exact"/>
              <w:rPr>
                <w:rFonts w:hint="eastAsia" w:ascii="宋体" w:hAnsi="宋体" w:cs="宋体"/>
                <w:color w:val="000000"/>
                <w:szCs w:val="21"/>
              </w:rPr>
            </w:pPr>
          </w:p>
        </w:tc>
        <w:tc>
          <w:tcPr>
            <w:tcW w:w="1701" w:type="dxa"/>
            <w:noWrap w:val="0"/>
            <w:vAlign w:val="top"/>
          </w:tcPr>
          <w:p w14:paraId="07DD68B6">
            <w:pPr>
              <w:keepNext/>
              <w:spacing w:line="440" w:lineRule="exact"/>
              <w:rPr>
                <w:rFonts w:hint="eastAsia" w:ascii="宋体" w:hAnsi="宋体" w:cs="宋体"/>
                <w:color w:val="000000"/>
                <w:szCs w:val="21"/>
              </w:rPr>
            </w:pPr>
          </w:p>
        </w:tc>
      </w:tr>
      <w:tr w14:paraId="1DB39E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36E60D99">
            <w:pPr>
              <w:keepNext/>
              <w:spacing w:line="440" w:lineRule="exact"/>
              <w:rPr>
                <w:rFonts w:hint="eastAsia" w:ascii="宋体" w:hAnsi="宋体" w:cs="宋体"/>
                <w:color w:val="000000"/>
                <w:szCs w:val="21"/>
              </w:rPr>
            </w:pPr>
          </w:p>
        </w:tc>
        <w:tc>
          <w:tcPr>
            <w:tcW w:w="1984" w:type="dxa"/>
            <w:tcBorders>
              <w:bottom w:val="single" w:color="auto" w:sz="12" w:space="0"/>
            </w:tcBorders>
            <w:noWrap w:val="0"/>
            <w:vAlign w:val="top"/>
          </w:tcPr>
          <w:p w14:paraId="41455CC6">
            <w:pPr>
              <w:keepNext/>
              <w:spacing w:line="440" w:lineRule="exact"/>
              <w:rPr>
                <w:rFonts w:hint="eastAsia" w:ascii="宋体" w:hAnsi="宋体" w:cs="宋体"/>
                <w:color w:val="000000"/>
                <w:szCs w:val="21"/>
              </w:rPr>
            </w:pPr>
          </w:p>
        </w:tc>
        <w:tc>
          <w:tcPr>
            <w:tcW w:w="851" w:type="dxa"/>
            <w:tcBorders>
              <w:bottom w:val="single" w:color="auto" w:sz="12" w:space="0"/>
            </w:tcBorders>
            <w:noWrap w:val="0"/>
            <w:vAlign w:val="top"/>
          </w:tcPr>
          <w:p w14:paraId="3602F048">
            <w:pPr>
              <w:keepNext/>
              <w:spacing w:line="440" w:lineRule="exact"/>
              <w:rPr>
                <w:rFonts w:hint="eastAsia" w:ascii="宋体" w:hAnsi="宋体" w:cs="宋体"/>
                <w:color w:val="000000"/>
                <w:szCs w:val="21"/>
              </w:rPr>
            </w:pPr>
          </w:p>
        </w:tc>
        <w:tc>
          <w:tcPr>
            <w:tcW w:w="774" w:type="dxa"/>
            <w:tcBorders>
              <w:bottom w:val="single" w:color="auto" w:sz="12" w:space="0"/>
            </w:tcBorders>
            <w:noWrap w:val="0"/>
            <w:vAlign w:val="top"/>
          </w:tcPr>
          <w:p w14:paraId="7F22E0CA">
            <w:pPr>
              <w:keepNext/>
              <w:spacing w:line="440" w:lineRule="exact"/>
              <w:rPr>
                <w:rFonts w:hint="eastAsia" w:ascii="宋体" w:hAnsi="宋体" w:cs="宋体"/>
                <w:color w:val="000000"/>
                <w:szCs w:val="21"/>
              </w:rPr>
            </w:pPr>
          </w:p>
        </w:tc>
        <w:tc>
          <w:tcPr>
            <w:tcW w:w="1352" w:type="dxa"/>
            <w:tcBorders>
              <w:bottom w:val="single" w:color="auto" w:sz="12" w:space="0"/>
            </w:tcBorders>
            <w:noWrap w:val="0"/>
            <w:vAlign w:val="top"/>
          </w:tcPr>
          <w:p w14:paraId="348361BA">
            <w:pPr>
              <w:keepNext/>
              <w:spacing w:line="440" w:lineRule="exact"/>
              <w:rPr>
                <w:rFonts w:hint="eastAsia" w:ascii="宋体" w:hAnsi="宋体" w:cs="宋体"/>
                <w:color w:val="000000"/>
                <w:szCs w:val="21"/>
              </w:rPr>
            </w:pPr>
          </w:p>
        </w:tc>
        <w:tc>
          <w:tcPr>
            <w:tcW w:w="1418" w:type="dxa"/>
            <w:tcBorders>
              <w:bottom w:val="single" w:color="auto" w:sz="12" w:space="0"/>
            </w:tcBorders>
            <w:noWrap w:val="0"/>
            <w:vAlign w:val="top"/>
          </w:tcPr>
          <w:p w14:paraId="3BA21419">
            <w:pPr>
              <w:keepNext/>
              <w:spacing w:line="440" w:lineRule="exact"/>
              <w:rPr>
                <w:rFonts w:hint="eastAsia" w:ascii="宋体" w:hAnsi="宋体" w:cs="宋体"/>
                <w:color w:val="000000"/>
                <w:szCs w:val="21"/>
              </w:rPr>
            </w:pPr>
          </w:p>
        </w:tc>
        <w:tc>
          <w:tcPr>
            <w:tcW w:w="1701" w:type="dxa"/>
            <w:tcBorders>
              <w:bottom w:val="single" w:color="auto" w:sz="12" w:space="0"/>
            </w:tcBorders>
            <w:noWrap w:val="0"/>
            <w:vAlign w:val="top"/>
          </w:tcPr>
          <w:p w14:paraId="4543D763">
            <w:pPr>
              <w:keepNext/>
              <w:spacing w:line="440" w:lineRule="exact"/>
              <w:rPr>
                <w:rFonts w:hint="eastAsia" w:ascii="宋体" w:hAnsi="宋体" w:cs="宋体"/>
                <w:color w:val="000000"/>
                <w:szCs w:val="21"/>
              </w:rPr>
            </w:pPr>
          </w:p>
        </w:tc>
      </w:tr>
    </w:tbl>
    <w:p w14:paraId="0B3765DC">
      <w:pPr>
        <w:spacing w:before="120" w:beforeLines="50" w:after="120" w:afterLines="50" w:line="440" w:lineRule="exact"/>
        <w:rPr>
          <w:rFonts w:hint="eastAsia" w:ascii="宋体" w:hAnsi="宋体" w:cs="宋体"/>
          <w:color w:val="000000"/>
          <w:szCs w:val="21"/>
        </w:rPr>
      </w:pPr>
    </w:p>
    <w:p w14:paraId="077D0B9E">
      <w:pPr>
        <w:spacing w:before="120" w:beforeLines="50" w:after="120" w:afterLines="50" w:line="440" w:lineRule="exact"/>
        <w:jc w:val="center"/>
        <w:rPr>
          <w:rFonts w:hint="eastAsia" w:ascii="宋体" w:hAnsi="宋体" w:cs="宋体"/>
          <w:color w:val="000000"/>
          <w:szCs w:val="21"/>
        </w:rPr>
      </w:pPr>
      <w:r>
        <w:rPr>
          <w:rFonts w:hint="eastAsia" w:ascii="宋体" w:hAnsi="宋体" w:cs="宋体"/>
          <w:color w:val="000000"/>
          <w:szCs w:val="21"/>
        </w:rPr>
        <w:t>12-2：工程设备暂估价表</w:t>
      </w:r>
    </w:p>
    <w:tbl>
      <w:tblPr>
        <w:tblStyle w:val="4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DA0C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458E9D2F">
            <w:pPr>
              <w:keepNext/>
              <w:spacing w:line="440" w:lineRule="exact"/>
              <w:rPr>
                <w:rFonts w:hint="eastAsia" w:ascii="宋体" w:hAnsi="宋体" w:cs="宋体"/>
                <w:color w:val="000000"/>
                <w:szCs w:val="21"/>
              </w:rPr>
            </w:pPr>
            <w:r>
              <w:rPr>
                <w:rFonts w:hint="eastAsia" w:ascii="宋体" w:hAnsi="宋体" w:cs="宋体"/>
                <w:color w:val="000000"/>
                <w:szCs w:val="21"/>
              </w:rPr>
              <w:t>序号</w:t>
            </w:r>
          </w:p>
        </w:tc>
        <w:tc>
          <w:tcPr>
            <w:tcW w:w="1984" w:type="dxa"/>
            <w:tcBorders>
              <w:top w:val="single" w:color="auto" w:sz="12" w:space="0"/>
              <w:bottom w:val="double" w:color="auto" w:sz="6" w:space="0"/>
            </w:tcBorders>
            <w:noWrap w:val="0"/>
            <w:vAlign w:val="top"/>
          </w:tcPr>
          <w:p w14:paraId="60F004C1">
            <w:pPr>
              <w:keepNext/>
              <w:spacing w:line="440" w:lineRule="exact"/>
              <w:rPr>
                <w:rFonts w:hint="eastAsia" w:ascii="宋体" w:hAnsi="宋体" w:cs="宋体"/>
                <w:color w:val="000000"/>
                <w:szCs w:val="21"/>
              </w:rPr>
            </w:pPr>
            <w:r>
              <w:rPr>
                <w:rFonts w:hint="eastAsia" w:ascii="宋体" w:hAnsi="宋体" w:cs="宋体"/>
                <w:color w:val="000000"/>
                <w:szCs w:val="21"/>
              </w:rPr>
              <w:t>名称</w:t>
            </w:r>
          </w:p>
        </w:tc>
        <w:tc>
          <w:tcPr>
            <w:tcW w:w="851" w:type="dxa"/>
            <w:tcBorders>
              <w:top w:val="single" w:color="auto" w:sz="12" w:space="0"/>
              <w:bottom w:val="double" w:color="auto" w:sz="6" w:space="0"/>
            </w:tcBorders>
            <w:noWrap w:val="0"/>
            <w:vAlign w:val="top"/>
          </w:tcPr>
          <w:p w14:paraId="621643BA">
            <w:pPr>
              <w:keepNext/>
              <w:spacing w:line="440" w:lineRule="exact"/>
              <w:rPr>
                <w:rFonts w:hint="eastAsia" w:ascii="宋体" w:hAnsi="宋体" w:cs="宋体"/>
                <w:color w:val="000000"/>
                <w:szCs w:val="21"/>
              </w:rPr>
            </w:pPr>
            <w:r>
              <w:rPr>
                <w:rFonts w:hint="eastAsia" w:ascii="宋体" w:hAnsi="宋体" w:cs="宋体"/>
                <w:color w:val="000000"/>
                <w:szCs w:val="21"/>
              </w:rPr>
              <w:t>单位</w:t>
            </w:r>
          </w:p>
        </w:tc>
        <w:tc>
          <w:tcPr>
            <w:tcW w:w="774" w:type="dxa"/>
            <w:tcBorders>
              <w:top w:val="single" w:color="auto" w:sz="12" w:space="0"/>
              <w:bottom w:val="double" w:color="auto" w:sz="6" w:space="0"/>
            </w:tcBorders>
            <w:noWrap w:val="0"/>
            <w:vAlign w:val="top"/>
          </w:tcPr>
          <w:p w14:paraId="7CF29550">
            <w:pPr>
              <w:keepNext/>
              <w:spacing w:line="440" w:lineRule="exact"/>
              <w:rPr>
                <w:rFonts w:hint="eastAsia" w:ascii="宋体" w:hAnsi="宋体" w:cs="宋体"/>
                <w:color w:val="000000"/>
                <w:szCs w:val="21"/>
              </w:rPr>
            </w:pPr>
            <w:r>
              <w:rPr>
                <w:rFonts w:hint="eastAsia" w:ascii="宋体" w:hAnsi="宋体" w:cs="宋体"/>
                <w:color w:val="000000"/>
                <w:szCs w:val="21"/>
              </w:rPr>
              <w:t>数量</w:t>
            </w:r>
          </w:p>
        </w:tc>
        <w:tc>
          <w:tcPr>
            <w:tcW w:w="1352" w:type="dxa"/>
            <w:tcBorders>
              <w:top w:val="single" w:color="auto" w:sz="12" w:space="0"/>
              <w:bottom w:val="double" w:color="auto" w:sz="6" w:space="0"/>
            </w:tcBorders>
            <w:noWrap w:val="0"/>
            <w:vAlign w:val="top"/>
          </w:tcPr>
          <w:p w14:paraId="60ACB362">
            <w:pPr>
              <w:keepNext/>
              <w:spacing w:line="440" w:lineRule="exact"/>
              <w:rPr>
                <w:rFonts w:hint="eastAsia" w:ascii="宋体" w:hAnsi="宋体" w:cs="宋体"/>
                <w:color w:val="000000"/>
                <w:szCs w:val="21"/>
              </w:rPr>
            </w:pPr>
            <w:r>
              <w:rPr>
                <w:rFonts w:hint="eastAsia" w:ascii="宋体" w:hAnsi="宋体" w:cs="宋体"/>
                <w:color w:val="000000"/>
                <w:szCs w:val="21"/>
              </w:rPr>
              <w:t>单价（元）</w:t>
            </w:r>
          </w:p>
        </w:tc>
        <w:tc>
          <w:tcPr>
            <w:tcW w:w="1418" w:type="dxa"/>
            <w:tcBorders>
              <w:top w:val="single" w:color="auto" w:sz="12" w:space="0"/>
              <w:bottom w:val="double" w:color="auto" w:sz="6" w:space="0"/>
            </w:tcBorders>
            <w:noWrap w:val="0"/>
            <w:vAlign w:val="top"/>
          </w:tcPr>
          <w:p w14:paraId="48F259FF">
            <w:pPr>
              <w:keepNext/>
              <w:spacing w:line="440" w:lineRule="exact"/>
              <w:rPr>
                <w:rFonts w:hint="eastAsia" w:ascii="宋体" w:hAnsi="宋体" w:cs="宋体"/>
                <w:color w:val="000000"/>
                <w:szCs w:val="21"/>
              </w:rPr>
            </w:pPr>
            <w:r>
              <w:rPr>
                <w:rFonts w:hint="eastAsia" w:ascii="宋体" w:hAnsi="宋体" w:cs="宋体"/>
                <w:color w:val="000000"/>
                <w:szCs w:val="21"/>
              </w:rPr>
              <w:t>合价（元）</w:t>
            </w:r>
          </w:p>
        </w:tc>
        <w:tc>
          <w:tcPr>
            <w:tcW w:w="1701" w:type="dxa"/>
            <w:tcBorders>
              <w:top w:val="single" w:color="auto" w:sz="12" w:space="0"/>
              <w:bottom w:val="double" w:color="auto" w:sz="6" w:space="0"/>
            </w:tcBorders>
            <w:noWrap w:val="0"/>
            <w:vAlign w:val="top"/>
          </w:tcPr>
          <w:p w14:paraId="284CFD90">
            <w:pPr>
              <w:keepNext/>
              <w:spacing w:line="440" w:lineRule="exact"/>
              <w:rPr>
                <w:rFonts w:hint="eastAsia" w:ascii="宋体" w:hAnsi="宋体" w:cs="宋体"/>
                <w:color w:val="000000"/>
                <w:szCs w:val="21"/>
              </w:rPr>
            </w:pPr>
            <w:r>
              <w:rPr>
                <w:rFonts w:hint="eastAsia" w:ascii="宋体" w:hAnsi="宋体" w:cs="宋体"/>
                <w:color w:val="000000"/>
                <w:szCs w:val="21"/>
              </w:rPr>
              <w:t>备注</w:t>
            </w:r>
          </w:p>
        </w:tc>
      </w:tr>
      <w:tr w14:paraId="43BCB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5085BA38">
            <w:pPr>
              <w:keepNext/>
              <w:spacing w:line="440" w:lineRule="exact"/>
              <w:rPr>
                <w:rFonts w:hint="eastAsia" w:ascii="宋体" w:hAnsi="宋体" w:cs="宋体"/>
                <w:color w:val="000000"/>
                <w:szCs w:val="21"/>
              </w:rPr>
            </w:pPr>
          </w:p>
        </w:tc>
        <w:tc>
          <w:tcPr>
            <w:tcW w:w="1984" w:type="dxa"/>
            <w:tcBorders>
              <w:top w:val="double" w:color="auto" w:sz="6" w:space="0"/>
            </w:tcBorders>
            <w:noWrap w:val="0"/>
            <w:vAlign w:val="top"/>
          </w:tcPr>
          <w:p w14:paraId="2660BF0B">
            <w:pPr>
              <w:keepNext/>
              <w:spacing w:line="440" w:lineRule="exact"/>
              <w:rPr>
                <w:rFonts w:hint="eastAsia" w:ascii="宋体" w:hAnsi="宋体" w:cs="宋体"/>
                <w:color w:val="000000"/>
                <w:szCs w:val="21"/>
              </w:rPr>
            </w:pPr>
          </w:p>
        </w:tc>
        <w:tc>
          <w:tcPr>
            <w:tcW w:w="851" w:type="dxa"/>
            <w:tcBorders>
              <w:top w:val="double" w:color="auto" w:sz="6" w:space="0"/>
            </w:tcBorders>
            <w:noWrap w:val="0"/>
            <w:vAlign w:val="top"/>
          </w:tcPr>
          <w:p w14:paraId="3F0C79E4">
            <w:pPr>
              <w:keepNext/>
              <w:spacing w:line="440" w:lineRule="exact"/>
              <w:rPr>
                <w:rFonts w:hint="eastAsia" w:ascii="宋体" w:hAnsi="宋体" w:cs="宋体"/>
                <w:color w:val="000000"/>
                <w:szCs w:val="21"/>
              </w:rPr>
            </w:pPr>
          </w:p>
        </w:tc>
        <w:tc>
          <w:tcPr>
            <w:tcW w:w="774" w:type="dxa"/>
            <w:tcBorders>
              <w:top w:val="double" w:color="auto" w:sz="6" w:space="0"/>
            </w:tcBorders>
            <w:noWrap w:val="0"/>
            <w:vAlign w:val="top"/>
          </w:tcPr>
          <w:p w14:paraId="69F10040">
            <w:pPr>
              <w:keepNext/>
              <w:spacing w:line="440" w:lineRule="exact"/>
              <w:rPr>
                <w:rFonts w:hint="eastAsia" w:ascii="宋体" w:hAnsi="宋体" w:cs="宋体"/>
                <w:color w:val="000000"/>
                <w:szCs w:val="21"/>
              </w:rPr>
            </w:pPr>
          </w:p>
        </w:tc>
        <w:tc>
          <w:tcPr>
            <w:tcW w:w="1352" w:type="dxa"/>
            <w:tcBorders>
              <w:top w:val="double" w:color="auto" w:sz="6" w:space="0"/>
            </w:tcBorders>
            <w:noWrap w:val="0"/>
            <w:vAlign w:val="top"/>
          </w:tcPr>
          <w:p w14:paraId="0298B7CC">
            <w:pPr>
              <w:keepNext/>
              <w:spacing w:line="440" w:lineRule="exact"/>
              <w:rPr>
                <w:rFonts w:hint="eastAsia" w:ascii="宋体" w:hAnsi="宋体" w:cs="宋体"/>
                <w:color w:val="000000"/>
                <w:szCs w:val="21"/>
              </w:rPr>
            </w:pPr>
          </w:p>
        </w:tc>
        <w:tc>
          <w:tcPr>
            <w:tcW w:w="1418" w:type="dxa"/>
            <w:tcBorders>
              <w:top w:val="double" w:color="auto" w:sz="6" w:space="0"/>
            </w:tcBorders>
            <w:noWrap w:val="0"/>
            <w:vAlign w:val="top"/>
          </w:tcPr>
          <w:p w14:paraId="7BE47594">
            <w:pPr>
              <w:keepNext/>
              <w:spacing w:line="440" w:lineRule="exact"/>
              <w:rPr>
                <w:rFonts w:hint="eastAsia" w:ascii="宋体" w:hAnsi="宋体" w:cs="宋体"/>
                <w:color w:val="000000"/>
                <w:szCs w:val="21"/>
              </w:rPr>
            </w:pPr>
          </w:p>
        </w:tc>
        <w:tc>
          <w:tcPr>
            <w:tcW w:w="1701" w:type="dxa"/>
            <w:tcBorders>
              <w:top w:val="double" w:color="auto" w:sz="6" w:space="0"/>
            </w:tcBorders>
            <w:noWrap w:val="0"/>
            <w:vAlign w:val="top"/>
          </w:tcPr>
          <w:p w14:paraId="5CD6945E">
            <w:pPr>
              <w:keepNext/>
              <w:spacing w:line="440" w:lineRule="exact"/>
              <w:rPr>
                <w:rFonts w:hint="eastAsia" w:ascii="宋体" w:hAnsi="宋体" w:cs="宋体"/>
                <w:color w:val="000000"/>
                <w:szCs w:val="21"/>
              </w:rPr>
            </w:pPr>
          </w:p>
        </w:tc>
      </w:tr>
      <w:tr w14:paraId="1D47FF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406BDE4F">
            <w:pPr>
              <w:keepNext/>
              <w:spacing w:line="440" w:lineRule="exact"/>
              <w:rPr>
                <w:rFonts w:hint="eastAsia" w:ascii="宋体" w:hAnsi="宋体" w:cs="宋体"/>
                <w:color w:val="000000"/>
                <w:szCs w:val="21"/>
              </w:rPr>
            </w:pPr>
          </w:p>
        </w:tc>
        <w:tc>
          <w:tcPr>
            <w:tcW w:w="1984" w:type="dxa"/>
            <w:tcBorders>
              <w:top w:val="nil"/>
            </w:tcBorders>
            <w:noWrap w:val="0"/>
            <w:vAlign w:val="top"/>
          </w:tcPr>
          <w:p w14:paraId="28F9C846">
            <w:pPr>
              <w:keepNext/>
              <w:spacing w:line="440" w:lineRule="exact"/>
              <w:rPr>
                <w:rFonts w:hint="eastAsia" w:ascii="宋体" w:hAnsi="宋体" w:cs="宋体"/>
                <w:color w:val="000000"/>
                <w:szCs w:val="21"/>
              </w:rPr>
            </w:pPr>
          </w:p>
        </w:tc>
        <w:tc>
          <w:tcPr>
            <w:tcW w:w="851" w:type="dxa"/>
            <w:tcBorders>
              <w:top w:val="nil"/>
            </w:tcBorders>
            <w:noWrap w:val="0"/>
            <w:vAlign w:val="top"/>
          </w:tcPr>
          <w:p w14:paraId="70CD45CE">
            <w:pPr>
              <w:keepNext/>
              <w:spacing w:line="440" w:lineRule="exact"/>
              <w:rPr>
                <w:rFonts w:hint="eastAsia" w:ascii="宋体" w:hAnsi="宋体" w:cs="宋体"/>
                <w:color w:val="000000"/>
                <w:szCs w:val="21"/>
              </w:rPr>
            </w:pPr>
          </w:p>
        </w:tc>
        <w:tc>
          <w:tcPr>
            <w:tcW w:w="774" w:type="dxa"/>
            <w:tcBorders>
              <w:top w:val="nil"/>
            </w:tcBorders>
            <w:noWrap w:val="0"/>
            <w:vAlign w:val="top"/>
          </w:tcPr>
          <w:p w14:paraId="092DC39C">
            <w:pPr>
              <w:keepNext/>
              <w:spacing w:line="440" w:lineRule="exact"/>
              <w:rPr>
                <w:rFonts w:hint="eastAsia" w:ascii="宋体" w:hAnsi="宋体" w:cs="宋体"/>
                <w:color w:val="000000"/>
                <w:szCs w:val="21"/>
              </w:rPr>
            </w:pPr>
          </w:p>
        </w:tc>
        <w:tc>
          <w:tcPr>
            <w:tcW w:w="1352" w:type="dxa"/>
            <w:tcBorders>
              <w:top w:val="nil"/>
            </w:tcBorders>
            <w:noWrap w:val="0"/>
            <w:vAlign w:val="top"/>
          </w:tcPr>
          <w:p w14:paraId="14EC4EB7">
            <w:pPr>
              <w:keepNext/>
              <w:spacing w:line="440" w:lineRule="exact"/>
              <w:rPr>
                <w:rFonts w:hint="eastAsia" w:ascii="宋体" w:hAnsi="宋体" w:cs="宋体"/>
                <w:color w:val="000000"/>
                <w:szCs w:val="21"/>
              </w:rPr>
            </w:pPr>
          </w:p>
        </w:tc>
        <w:tc>
          <w:tcPr>
            <w:tcW w:w="1418" w:type="dxa"/>
            <w:tcBorders>
              <w:top w:val="nil"/>
            </w:tcBorders>
            <w:noWrap w:val="0"/>
            <w:vAlign w:val="top"/>
          </w:tcPr>
          <w:p w14:paraId="308DC894">
            <w:pPr>
              <w:keepNext/>
              <w:spacing w:line="440" w:lineRule="exact"/>
              <w:rPr>
                <w:rFonts w:hint="eastAsia" w:ascii="宋体" w:hAnsi="宋体" w:cs="宋体"/>
                <w:color w:val="000000"/>
                <w:szCs w:val="21"/>
              </w:rPr>
            </w:pPr>
          </w:p>
        </w:tc>
        <w:tc>
          <w:tcPr>
            <w:tcW w:w="1701" w:type="dxa"/>
            <w:tcBorders>
              <w:top w:val="nil"/>
            </w:tcBorders>
            <w:noWrap w:val="0"/>
            <w:vAlign w:val="top"/>
          </w:tcPr>
          <w:p w14:paraId="11DBCDC1">
            <w:pPr>
              <w:keepNext/>
              <w:spacing w:line="440" w:lineRule="exact"/>
              <w:rPr>
                <w:rFonts w:hint="eastAsia" w:ascii="宋体" w:hAnsi="宋体" w:cs="宋体"/>
                <w:color w:val="000000"/>
                <w:szCs w:val="21"/>
              </w:rPr>
            </w:pPr>
          </w:p>
        </w:tc>
      </w:tr>
      <w:tr w14:paraId="41014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6094654">
            <w:pPr>
              <w:keepNext/>
              <w:spacing w:line="440" w:lineRule="exact"/>
              <w:rPr>
                <w:rFonts w:hint="eastAsia" w:ascii="宋体" w:hAnsi="宋体" w:cs="宋体"/>
                <w:color w:val="000000"/>
                <w:szCs w:val="21"/>
              </w:rPr>
            </w:pPr>
          </w:p>
        </w:tc>
        <w:tc>
          <w:tcPr>
            <w:tcW w:w="1984" w:type="dxa"/>
            <w:noWrap w:val="0"/>
            <w:vAlign w:val="top"/>
          </w:tcPr>
          <w:p w14:paraId="38EBDC48">
            <w:pPr>
              <w:keepNext/>
              <w:spacing w:line="440" w:lineRule="exact"/>
              <w:rPr>
                <w:rFonts w:hint="eastAsia" w:ascii="宋体" w:hAnsi="宋体" w:cs="宋体"/>
                <w:color w:val="000000"/>
                <w:szCs w:val="21"/>
              </w:rPr>
            </w:pPr>
          </w:p>
        </w:tc>
        <w:tc>
          <w:tcPr>
            <w:tcW w:w="851" w:type="dxa"/>
            <w:noWrap w:val="0"/>
            <w:vAlign w:val="top"/>
          </w:tcPr>
          <w:p w14:paraId="5FCD2AAF">
            <w:pPr>
              <w:keepNext/>
              <w:spacing w:line="440" w:lineRule="exact"/>
              <w:rPr>
                <w:rFonts w:hint="eastAsia" w:ascii="宋体" w:hAnsi="宋体" w:cs="宋体"/>
                <w:color w:val="000000"/>
                <w:szCs w:val="21"/>
              </w:rPr>
            </w:pPr>
          </w:p>
        </w:tc>
        <w:tc>
          <w:tcPr>
            <w:tcW w:w="774" w:type="dxa"/>
            <w:noWrap w:val="0"/>
            <w:vAlign w:val="top"/>
          </w:tcPr>
          <w:p w14:paraId="0F534762">
            <w:pPr>
              <w:keepNext/>
              <w:spacing w:line="440" w:lineRule="exact"/>
              <w:rPr>
                <w:rFonts w:hint="eastAsia" w:ascii="宋体" w:hAnsi="宋体" w:cs="宋体"/>
                <w:color w:val="000000"/>
                <w:szCs w:val="21"/>
              </w:rPr>
            </w:pPr>
          </w:p>
        </w:tc>
        <w:tc>
          <w:tcPr>
            <w:tcW w:w="1352" w:type="dxa"/>
            <w:noWrap w:val="0"/>
            <w:vAlign w:val="top"/>
          </w:tcPr>
          <w:p w14:paraId="01099584">
            <w:pPr>
              <w:keepNext/>
              <w:spacing w:line="440" w:lineRule="exact"/>
              <w:rPr>
                <w:rFonts w:hint="eastAsia" w:ascii="宋体" w:hAnsi="宋体" w:cs="宋体"/>
                <w:color w:val="000000"/>
                <w:szCs w:val="21"/>
              </w:rPr>
            </w:pPr>
          </w:p>
        </w:tc>
        <w:tc>
          <w:tcPr>
            <w:tcW w:w="1418" w:type="dxa"/>
            <w:noWrap w:val="0"/>
            <w:vAlign w:val="top"/>
          </w:tcPr>
          <w:p w14:paraId="37F04168">
            <w:pPr>
              <w:keepNext/>
              <w:spacing w:line="440" w:lineRule="exact"/>
              <w:rPr>
                <w:rFonts w:hint="eastAsia" w:ascii="宋体" w:hAnsi="宋体" w:cs="宋体"/>
                <w:color w:val="000000"/>
                <w:szCs w:val="21"/>
              </w:rPr>
            </w:pPr>
          </w:p>
        </w:tc>
        <w:tc>
          <w:tcPr>
            <w:tcW w:w="1701" w:type="dxa"/>
            <w:noWrap w:val="0"/>
            <w:vAlign w:val="top"/>
          </w:tcPr>
          <w:p w14:paraId="5CD1B971">
            <w:pPr>
              <w:keepNext/>
              <w:spacing w:line="440" w:lineRule="exact"/>
              <w:rPr>
                <w:rFonts w:hint="eastAsia" w:ascii="宋体" w:hAnsi="宋体" w:cs="宋体"/>
                <w:color w:val="000000"/>
                <w:szCs w:val="21"/>
              </w:rPr>
            </w:pPr>
          </w:p>
        </w:tc>
      </w:tr>
      <w:tr w14:paraId="0D120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3DCF8E6F">
            <w:pPr>
              <w:keepNext/>
              <w:spacing w:line="440" w:lineRule="exact"/>
              <w:rPr>
                <w:rFonts w:hint="eastAsia" w:ascii="宋体" w:hAnsi="宋体" w:cs="宋体"/>
                <w:color w:val="000000"/>
                <w:szCs w:val="21"/>
              </w:rPr>
            </w:pPr>
          </w:p>
        </w:tc>
        <w:tc>
          <w:tcPr>
            <w:tcW w:w="1984" w:type="dxa"/>
            <w:tcBorders>
              <w:bottom w:val="single" w:color="auto" w:sz="12" w:space="0"/>
            </w:tcBorders>
            <w:noWrap w:val="0"/>
            <w:vAlign w:val="top"/>
          </w:tcPr>
          <w:p w14:paraId="07603770">
            <w:pPr>
              <w:keepNext/>
              <w:spacing w:line="440" w:lineRule="exact"/>
              <w:rPr>
                <w:rFonts w:hint="eastAsia" w:ascii="宋体" w:hAnsi="宋体" w:cs="宋体"/>
                <w:color w:val="000000"/>
                <w:szCs w:val="21"/>
              </w:rPr>
            </w:pPr>
          </w:p>
        </w:tc>
        <w:tc>
          <w:tcPr>
            <w:tcW w:w="851" w:type="dxa"/>
            <w:tcBorders>
              <w:bottom w:val="single" w:color="auto" w:sz="12" w:space="0"/>
            </w:tcBorders>
            <w:noWrap w:val="0"/>
            <w:vAlign w:val="top"/>
          </w:tcPr>
          <w:p w14:paraId="24D9DC41">
            <w:pPr>
              <w:keepNext/>
              <w:spacing w:line="440" w:lineRule="exact"/>
              <w:rPr>
                <w:rFonts w:hint="eastAsia" w:ascii="宋体" w:hAnsi="宋体" w:cs="宋体"/>
                <w:color w:val="000000"/>
                <w:szCs w:val="21"/>
              </w:rPr>
            </w:pPr>
          </w:p>
        </w:tc>
        <w:tc>
          <w:tcPr>
            <w:tcW w:w="774" w:type="dxa"/>
            <w:tcBorders>
              <w:bottom w:val="single" w:color="auto" w:sz="12" w:space="0"/>
            </w:tcBorders>
            <w:noWrap w:val="0"/>
            <w:vAlign w:val="top"/>
          </w:tcPr>
          <w:p w14:paraId="6761E755">
            <w:pPr>
              <w:keepNext/>
              <w:spacing w:line="440" w:lineRule="exact"/>
              <w:rPr>
                <w:rFonts w:hint="eastAsia" w:ascii="宋体" w:hAnsi="宋体" w:cs="宋体"/>
                <w:color w:val="000000"/>
                <w:szCs w:val="21"/>
              </w:rPr>
            </w:pPr>
          </w:p>
        </w:tc>
        <w:tc>
          <w:tcPr>
            <w:tcW w:w="1352" w:type="dxa"/>
            <w:tcBorders>
              <w:bottom w:val="single" w:color="auto" w:sz="12" w:space="0"/>
            </w:tcBorders>
            <w:noWrap w:val="0"/>
            <w:vAlign w:val="top"/>
          </w:tcPr>
          <w:p w14:paraId="79B0D5F9">
            <w:pPr>
              <w:keepNext/>
              <w:spacing w:line="440" w:lineRule="exact"/>
              <w:rPr>
                <w:rFonts w:hint="eastAsia" w:ascii="宋体" w:hAnsi="宋体" w:cs="宋体"/>
                <w:color w:val="000000"/>
                <w:szCs w:val="21"/>
              </w:rPr>
            </w:pPr>
          </w:p>
        </w:tc>
        <w:tc>
          <w:tcPr>
            <w:tcW w:w="1418" w:type="dxa"/>
            <w:tcBorders>
              <w:bottom w:val="single" w:color="auto" w:sz="12" w:space="0"/>
            </w:tcBorders>
            <w:noWrap w:val="0"/>
            <w:vAlign w:val="top"/>
          </w:tcPr>
          <w:p w14:paraId="417C019A">
            <w:pPr>
              <w:keepNext/>
              <w:spacing w:line="440" w:lineRule="exact"/>
              <w:rPr>
                <w:rFonts w:hint="eastAsia" w:ascii="宋体" w:hAnsi="宋体" w:cs="宋体"/>
                <w:color w:val="000000"/>
                <w:szCs w:val="21"/>
              </w:rPr>
            </w:pPr>
          </w:p>
        </w:tc>
        <w:tc>
          <w:tcPr>
            <w:tcW w:w="1701" w:type="dxa"/>
            <w:tcBorders>
              <w:bottom w:val="single" w:color="auto" w:sz="12" w:space="0"/>
            </w:tcBorders>
            <w:noWrap w:val="0"/>
            <w:vAlign w:val="top"/>
          </w:tcPr>
          <w:p w14:paraId="0FDECAD0">
            <w:pPr>
              <w:keepNext/>
              <w:spacing w:line="440" w:lineRule="exact"/>
              <w:rPr>
                <w:rFonts w:hint="eastAsia" w:ascii="宋体" w:hAnsi="宋体" w:cs="宋体"/>
                <w:color w:val="000000"/>
                <w:szCs w:val="21"/>
              </w:rPr>
            </w:pPr>
          </w:p>
        </w:tc>
      </w:tr>
    </w:tbl>
    <w:p w14:paraId="7EC6A5FE">
      <w:pPr>
        <w:spacing w:line="440" w:lineRule="exact"/>
        <w:rPr>
          <w:rFonts w:hint="eastAsia" w:ascii="宋体" w:hAnsi="宋体" w:cs="宋体"/>
          <w:color w:val="000000"/>
          <w:szCs w:val="21"/>
        </w:rPr>
      </w:pPr>
    </w:p>
    <w:p w14:paraId="3C52E1D0">
      <w:pPr>
        <w:spacing w:before="120" w:beforeLines="50" w:after="120" w:afterLines="50" w:line="440" w:lineRule="exact"/>
        <w:jc w:val="center"/>
        <w:rPr>
          <w:rFonts w:hint="eastAsia" w:ascii="宋体" w:hAnsi="宋体" w:cs="宋体"/>
          <w:color w:val="000000"/>
          <w:szCs w:val="21"/>
        </w:rPr>
      </w:pPr>
      <w:r>
        <w:rPr>
          <w:rFonts w:hint="eastAsia" w:ascii="宋体" w:hAnsi="宋体" w:cs="宋体"/>
          <w:color w:val="000000"/>
          <w:szCs w:val="21"/>
        </w:rPr>
        <w:t>12-3：专业工程暂估价表</w:t>
      </w:r>
    </w:p>
    <w:tbl>
      <w:tblPr>
        <w:tblStyle w:val="4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7677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3E3C1B68">
            <w:pPr>
              <w:keepNext/>
              <w:spacing w:line="440" w:lineRule="exact"/>
              <w:rPr>
                <w:rFonts w:hint="eastAsia" w:ascii="宋体" w:hAnsi="宋体" w:cs="宋体"/>
                <w:color w:val="000000"/>
                <w:szCs w:val="21"/>
              </w:rPr>
            </w:pPr>
            <w:r>
              <w:rPr>
                <w:rFonts w:hint="eastAsia" w:ascii="宋体" w:hAnsi="宋体" w:cs="宋体"/>
                <w:color w:val="000000"/>
                <w:szCs w:val="21"/>
              </w:rPr>
              <w:t>序号</w:t>
            </w:r>
          </w:p>
        </w:tc>
        <w:tc>
          <w:tcPr>
            <w:tcW w:w="1984" w:type="dxa"/>
            <w:tcBorders>
              <w:top w:val="single" w:color="auto" w:sz="12" w:space="0"/>
              <w:bottom w:val="double" w:color="auto" w:sz="6" w:space="0"/>
            </w:tcBorders>
            <w:noWrap w:val="0"/>
            <w:vAlign w:val="top"/>
          </w:tcPr>
          <w:p w14:paraId="724423E4">
            <w:pPr>
              <w:keepNext/>
              <w:spacing w:line="440" w:lineRule="exact"/>
              <w:rPr>
                <w:rFonts w:hint="eastAsia" w:ascii="宋体" w:hAnsi="宋体" w:cs="宋体"/>
                <w:color w:val="000000"/>
                <w:szCs w:val="21"/>
              </w:rPr>
            </w:pPr>
            <w:r>
              <w:rPr>
                <w:rFonts w:hint="eastAsia" w:ascii="宋体" w:hAnsi="宋体" w:cs="宋体"/>
                <w:color w:val="000000"/>
                <w:szCs w:val="21"/>
              </w:rPr>
              <w:t>名称</w:t>
            </w:r>
          </w:p>
        </w:tc>
        <w:tc>
          <w:tcPr>
            <w:tcW w:w="851" w:type="dxa"/>
            <w:tcBorders>
              <w:top w:val="single" w:color="auto" w:sz="12" w:space="0"/>
              <w:bottom w:val="double" w:color="auto" w:sz="6" w:space="0"/>
            </w:tcBorders>
            <w:noWrap w:val="0"/>
            <w:vAlign w:val="top"/>
          </w:tcPr>
          <w:p w14:paraId="2C8673CC">
            <w:pPr>
              <w:keepNext/>
              <w:spacing w:line="440" w:lineRule="exact"/>
              <w:rPr>
                <w:rFonts w:hint="eastAsia" w:ascii="宋体" w:hAnsi="宋体" w:cs="宋体"/>
                <w:color w:val="000000"/>
                <w:szCs w:val="21"/>
              </w:rPr>
            </w:pPr>
            <w:r>
              <w:rPr>
                <w:rFonts w:hint="eastAsia" w:ascii="宋体" w:hAnsi="宋体" w:cs="宋体"/>
                <w:color w:val="000000"/>
                <w:szCs w:val="21"/>
              </w:rPr>
              <w:t>单位</w:t>
            </w:r>
          </w:p>
        </w:tc>
        <w:tc>
          <w:tcPr>
            <w:tcW w:w="774" w:type="dxa"/>
            <w:tcBorders>
              <w:top w:val="single" w:color="auto" w:sz="12" w:space="0"/>
              <w:bottom w:val="double" w:color="auto" w:sz="6" w:space="0"/>
            </w:tcBorders>
            <w:noWrap w:val="0"/>
            <w:vAlign w:val="top"/>
          </w:tcPr>
          <w:p w14:paraId="0212C8F5">
            <w:pPr>
              <w:keepNext/>
              <w:spacing w:line="440" w:lineRule="exact"/>
              <w:rPr>
                <w:rFonts w:hint="eastAsia" w:ascii="宋体" w:hAnsi="宋体" w:cs="宋体"/>
                <w:color w:val="000000"/>
                <w:szCs w:val="21"/>
              </w:rPr>
            </w:pPr>
            <w:r>
              <w:rPr>
                <w:rFonts w:hint="eastAsia" w:ascii="宋体" w:hAnsi="宋体" w:cs="宋体"/>
                <w:color w:val="000000"/>
                <w:szCs w:val="21"/>
              </w:rPr>
              <w:t>数量</w:t>
            </w:r>
          </w:p>
        </w:tc>
        <w:tc>
          <w:tcPr>
            <w:tcW w:w="1352" w:type="dxa"/>
            <w:tcBorders>
              <w:top w:val="single" w:color="auto" w:sz="12" w:space="0"/>
              <w:bottom w:val="double" w:color="auto" w:sz="6" w:space="0"/>
            </w:tcBorders>
            <w:noWrap w:val="0"/>
            <w:vAlign w:val="top"/>
          </w:tcPr>
          <w:p w14:paraId="22874D65">
            <w:pPr>
              <w:keepNext/>
              <w:spacing w:line="440" w:lineRule="exact"/>
              <w:rPr>
                <w:rFonts w:hint="eastAsia" w:ascii="宋体" w:hAnsi="宋体" w:cs="宋体"/>
                <w:color w:val="000000"/>
                <w:szCs w:val="21"/>
              </w:rPr>
            </w:pPr>
            <w:r>
              <w:rPr>
                <w:rFonts w:hint="eastAsia" w:ascii="宋体" w:hAnsi="宋体" w:cs="宋体"/>
                <w:color w:val="000000"/>
                <w:szCs w:val="21"/>
              </w:rPr>
              <w:t>单价（元）</w:t>
            </w:r>
          </w:p>
        </w:tc>
        <w:tc>
          <w:tcPr>
            <w:tcW w:w="1418" w:type="dxa"/>
            <w:tcBorders>
              <w:top w:val="single" w:color="auto" w:sz="12" w:space="0"/>
              <w:bottom w:val="double" w:color="auto" w:sz="6" w:space="0"/>
            </w:tcBorders>
            <w:noWrap w:val="0"/>
            <w:vAlign w:val="top"/>
          </w:tcPr>
          <w:p w14:paraId="071E7B62">
            <w:pPr>
              <w:keepNext/>
              <w:spacing w:line="440" w:lineRule="exact"/>
              <w:rPr>
                <w:rFonts w:hint="eastAsia" w:ascii="宋体" w:hAnsi="宋体" w:cs="宋体"/>
                <w:color w:val="000000"/>
                <w:szCs w:val="21"/>
              </w:rPr>
            </w:pPr>
            <w:r>
              <w:rPr>
                <w:rFonts w:hint="eastAsia" w:ascii="宋体" w:hAnsi="宋体" w:cs="宋体"/>
                <w:color w:val="000000"/>
                <w:szCs w:val="21"/>
              </w:rPr>
              <w:t>合价（元）</w:t>
            </w:r>
          </w:p>
        </w:tc>
        <w:tc>
          <w:tcPr>
            <w:tcW w:w="1701" w:type="dxa"/>
            <w:tcBorders>
              <w:top w:val="single" w:color="auto" w:sz="12" w:space="0"/>
              <w:bottom w:val="double" w:color="auto" w:sz="6" w:space="0"/>
            </w:tcBorders>
            <w:noWrap w:val="0"/>
            <w:vAlign w:val="top"/>
          </w:tcPr>
          <w:p w14:paraId="7173EFF0">
            <w:pPr>
              <w:keepNext/>
              <w:spacing w:line="440" w:lineRule="exact"/>
              <w:rPr>
                <w:rFonts w:hint="eastAsia" w:ascii="宋体" w:hAnsi="宋体" w:cs="宋体"/>
                <w:color w:val="000000"/>
                <w:szCs w:val="21"/>
              </w:rPr>
            </w:pPr>
            <w:r>
              <w:rPr>
                <w:rFonts w:hint="eastAsia" w:ascii="宋体" w:hAnsi="宋体" w:cs="宋体"/>
                <w:color w:val="000000"/>
                <w:szCs w:val="21"/>
              </w:rPr>
              <w:t>备注</w:t>
            </w:r>
          </w:p>
        </w:tc>
      </w:tr>
      <w:tr w14:paraId="35300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439C5BFB">
            <w:pPr>
              <w:keepNext/>
              <w:spacing w:line="440" w:lineRule="exact"/>
              <w:rPr>
                <w:rFonts w:hint="eastAsia" w:ascii="宋体" w:hAnsi="宋体" w:cs="宋体"/>
                <w:color w:val="000000"/>
                <w:szCs w:val="21"/>
              </w:rPr>
            </w:pPr>
          </w:p>
        </w:tc>
        <w:tc>
          <w:tcPr>
            <w:tcW w:w="1984" w:type="dxa"/>
            <w:tcBorders>
              <w:top w:val="double" w:color="auto" w:sz="6" w:space="0"/>
            </w:tcBorders>
            <w:noWrap w:val="0"/>
            <w:vAlign w:val="top"/>
          </w:tcPr>
          <w:p w14:paraId="0264A07D">
            <w:pPr>
              <w:keepNext/>
              <w:spacing w:line="440" w:lineRule="exact"/>
              <w:rPr>
                <w:rFonts w:hint="eastAsia" w:ascii="宋体" w:hAnsi="宋体" w:cs="宋体"/>
                <w:color w:val="000000"/>
                <w:szCs w:val="21"/>
              </w:rPr>
            </w:pPr>
          </w:p>
        </w:tc>
        <w:tc>
          <w:tcPr>
            <w:tcW w:w="851" w:type="dxa"/>
            <w:tcBorders>
              <w:top w:val="double" w:color="auto" w:sz="6" w:space="0"/>
            </w:tcBorders>
            <w:noWrap w:val="0"/>
            <w:vAlign w:val="top"/>
          </w:tcPr>
          <w:p w14:paraId="5E5AF91C">
            <w:pPr>
              <w:keepNext/>
              <w:spacing w:line="440" w:lineRule="exact"/>
              <w:rPr>
                <w:rFonts w:hint="eastAsia" w:ascii="宋体" w:hAnsi="宋体" w:cs="宋体"/>
                <w:color w:val="000000"/>
                <w:szCs w:val="21"/>
              </w:rPr>
            </w:pPr>
          </w:p>
        </w:tc>
        <w:tc>
          <w:tcPr>
            <w:tcW w:w="774" w:type="dxa"/>
            <w:tcBorders>
              <w:top w:val="double" w:color="auto" w:sz="6" w:space="0"/>
            </w:tcBorders>
            <w:noWrap w:val="0"/>
            <w:vAlign w:val="top"/>
          </w:tcPr>
          <w:p w14:paraId="3D3029BC">
            <w:pPr>
              <w:keepNext/>
              <w:spacing w:line="440" w:lineRule="exact"/>
              <w:rPr>
                <w:rFonts w:hint="eastAsia" w:ascii="宋体" w:hAnsi="宋体" w:cs="宋体"/>
                <w:color w:val="000000"/>
                <w:szCs w:val="21"/>
              </w:rPr>
            </w:pPr>
          </w:p>
        </w:tc>
        <w:tc>
          <w:tcPr>
            <w:tcW w:w="1352" w:type="dxa"/>
            <w:tcBorders>
              <w:top w:val="double" w:color="auto" w:sz="6" w:space="0"/>
            </w:tcBorders>
            <w:noWrap w:val="0"/>
            <w:vAlign w:val="top"/>
          </w:tcPr>
          <w:p w14:paraId="59FFBC7A">
            <w:pPr>
              <w:keepNext/>
              <w:spacing w:line="440" w:lineRule="exact"/>
              <w:rPr>
                <w:rFonts w:hint="eastAsia" w:ascii="宋体" w:hAnsi="宋体" w:cs="宋体"/>
                <w:color w:val="000000"/>
                <w:szCs w:val="21"/>
              </w:rPr>
            </w:pPr>
          </w:p>
        </w:tc>
        <w:tc>
          <w:tcPr>
            <w:tcW w:w="1418" w:type="dxa"/>
            <w:tcBorders>
              <w:top w:val="double" w:color="auto" w:sz="6" w:space="0"/>
            </w:tcBorders>
            <w:noWrap w:val="0"/>
            <w:vAlign w:val="top"/>
          </w:tcPr>
          <w:p w14:paraId="0EC12B2B">
            <w:pPr>
              <w:keepNext/>
              <w:spacing w:line="440" w:lineRule="exact"/>
              <w:rPr>
                <w:rFonts w:hint="eastAsia" w:ascii="宋体" w:hAnsi="宋体" w:cs="宋体"/>
                <w:color w:val="000000"/>
                <w:szCs w:val="21"/>
              </w:rPr>
            </w:pPr>
          </w:p>
        </w:tc>
        <w:tc>
          <w:tcPr>
            <w:tcW w:w="1701" w:type="dxa"/>
            <w:tcBorders>
              <w:top w:val="double" w:color="auto" w:sz="6" w:space="0"/>
            </w:tcBorders>
            <w:noWrap w:val="0"/>
            <w:vAlign w:val="top"/>
          </w:tcPr>
          <w:p w14:paraId="5608B9DE">
            <w:pPr>
              <w:keepNext/>
              <w:spacing w:line="440" w:lineRule="exact"/>
              <w:rPr>
                <w:rFonts w:hint="eastAsia" w:ascii="宋体" w:hAnsi="宋体" w:cs="宋体"/>
                <w:color w:val="000000"/>
                <w:szCs w:val="21"/>
              </w:rPr>
            </w:pPr>
          </w:p>
        </w:tc>
      </w:tr>
      <w:tr w14:paraId="6D743D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6E6E82D0">
            <w:pPr>
              <w:keepNext/>
              <w:spacing w:line="440" w:lineRule="exact"/>
              <w:rPr>
                <w:rFonts w:hint="eastAsia" w:ascii="宋体" w:hAnsi="宋体" w:cs="宋体"/>
                <w:color w:val="000000"/>
                <w:szCs w:val="21"/>
              </w:rPr>
            </w:pPr>
          </w:p>
        </w:tc>
        <w:tc>
          <w:tcPr>
            <w:tcW w:w="1984" w:type="dxa"/>
            <w:tcBorders>
              <w:top w:val="nil"/>
            </w:tcBorders>
            <w:noWrap w:val="0"/>
            <w:vAlign w:val="top"/>
          </w:tcPr>
          <w:p w14:paraId="12284527">
            <w:pPr>
              <w:keepNext/>
              <w:spacing w:line="440" w:lineRule="exact"/>
              <w:rPr>
                <w:rFonts w:hint="eastAsia" w:ascii="宋体" w:hAnsi="宋体" w:cs="宋体"/>
                <w:color w:val="000000"/>
                <w:szCs w:val="21"/>
              </w:rPr>
            </w:pPr>
          </w:p>
        </w:tc>
        <w:tc>
          <w:tcPr>
            <w:tcW w:w="851" w:type="dxa"/>
            <w:tcBorders>
              <w:top w:val="nil"/>
            </w:tcBorders>
            <w:noWrap w:val="0"/>
            <w:vAlign w:val="top"/>
          </w:tcPr>
          <w:p w14:paraId="70E69608">
            <w:pPr>
              <w:keepNext/>
              <w:spacing w:line="440" w:lineRule="exact"/>
              <w:rPr>
                <w:rFonts w:hint="eastAsia" w:ascii="宋体" w:hAnsi="宋体" w:cs="宋体"/>
                <w:color w:val="000000"/>
                <w:szCs w:val="21"/>
              </w:rPr>
            </w:pPr>
          </w:p>
        </w:tc>
        <w:tc>
          <w:tcPr>
            <w:tcW w:w="774" w:type="dxa"/>
            <w:tcBorders>
              <w:top w:val="nil"/>
            </w:tcBorders>
            <w:noWrap w:val="0"/>
            <w:vAlign w:val="top"/>
          </w:tcPr>
          <w:p w14:paraId="0DD0295D">
            <w:pPr>
              <w:keepNext/>
              <w:spacing w:line="440" w:lineRule="exact"/>
              <w:rPr>
                <w:rFonts w:hint="eastAsia" w:ascii="宋体" w:hAnsi="宋体" w:cs="宋体"/>
                <w:color w:val="000000"/>
                <w:szCs w:val="21"/>
              </w:rPr>
            </w:pPr>
          </w:p>
        </w:tc>
        <w:tc>
          <w:tcPr>
            <w:tcW w:w="1352" w:type="dxa"/>
            <w:tcBorders>
              <w:top w:val="nil"/>
            </w:tcBorders>
            <w:noWrap w:val="0"/>
            <w:vAlign w:val="top"/>
          </w:tcPr>
          <w:p w14:paraId="2C1DCAC3">
            <w:pPr>
              <w:keepNext/>
              <w:spacing w:line="440" w:lineRule="exact"/>
              <w:rPr>
                <w:rFonts w:hint="eastAsia" w:ascii="宋体" w:hAnsi="宋体" w:cs="宋体"/>
                <w:color w:val="000000"/>
                <w:szCs w:val="21"/>
              </w:rPr>
            </w:pPr>
          </w:p>
        </w:tc>
        <w:tc>
          <w:tcPr>
            <w:tcW w:w="1418" w:type="dxa"/>
            <w:tcBorders>
              <w:top w:val="nil"/>
            </w:tcBorders>
            <w:noWrap w:val="0"/>
            <w:vAlign w:val="top"/>
          </w:tcPr>
          <w:p w14:paraId="24B5B493">
            <w:pPr>
              <w:keepNext/>
              <w:spacing w:line="440" w:lineRule="exact"/>
              <w:rPr>
                <w:rFonts w:hint="eastAsia" w:ascii="宋体" w:hAnsi="宋体" w:cs="宋体"/>
                <w:color w:val="000000"/>
                <w:szCs w:val="21"/>
              </w:rPr>
            </w:pPr>
          </w:p>
        </w:tc>
        <w:tc>
          <w:tcPr>
            <w:tcW w:w="1701" w:type="dxa"/>
            <w:tcBorders>
              <w:top w:val="nil"/>
            </w:tcBorders>
            <w:noWrap w:val="0"/>
            <w:vAlign w:val="top"/>
          </w:tcPr>
          <w:p w14:paraId="145F922C">
            <w:pPr>
              <w:keepNext/>
              <w:spacing w:line="440" w:lineRule="exact"/>
              <w:rPr>
                <w:rFonts w:hint="eastAsia" w:ascii="宋体" w:hAnsi="宋体" w:cs="宋体"/>
                <w:color w:val="000000"/>
                <w:szCs w:val="21"/>
              </w:rPr>
            </w:pPr>
          </w:p>
        </w:tc>
      </w:tr>
      <w:tr w14:paraId="7C17F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B6FE335">
            <w:pPr>
              <w:keepNext/>
              <w:spacing w:line="440" w:lineRule="exact"/>
              <w:rPr>
                <w:rFonts w:hint="eastAsia" w:ascii="宋体" w:hAnsi="宋体" w:cs="宋体"/>
                <w:color w:val="000000"/>
                <w:szCs w:val="21"/>
              </w:rPr>
            </w:pPr>
          </w:p>
        </w:tc>
        <w:tc>
          <w:tcPr>
            <w:tcW w:w="1984" w:type="dxa"/>
            <w:noWrap w:val="0"/>
            <w:vAlign w:val="top"/>
          </w:tcPr>
          <w:p w14:paraId="45C64E04">
            <w:pPr>
              <w:keepNext/>
              <w:spacing w:line="440" w:lineRule="exact"/>
              <w:rPr>
                <w:rFonts w:hint="eastAsia" w:ascii="宋体" w:hAnsi="宋体" w:cs="宋体"/>
                <w:color w:val="000000"/>
                <w:szCs w:val="21"/>
              </w:rPr>
            </w:pPr>
          </w:p>
        </w:tc>
        <w:tc>
          <w:tcPr>
            <w:tcW w:w="851" w:type="dxa"/>
            <w:noWrap w:val="0"/>
            <w:vAlign w:val="top"/>
          </w:tcPr>
          <w:p w14:paraId="357A14D0">
            <w:pPr>
              <w:keepNext/>
              <w:spacing w:line="440" w:lineRule="exact"/>
              <w:rPr>
                <w:rFonts w:hint="eastAsia" w:ascii="宋体" w:hAnsi="宋体" w:cs="宋体"/>
                <w:color w:val="000000"/>
                <w:szCs w:val="21"/>
              </w:rPr>
            </w:pPr>
          </w:p>
        </w:tc>
        <w:tc>
          <w:tcPr>
            <w:tcW w:w="774" w:type="dxa"/>
            <w:noWrap w:val="0"/>
            <w:vAlign w:val="top"/>
          </w:tcPr>
          <w:p w14:paraId="74BFE32C">
            <w:pPr>
              <w:keepNext/>
              <w:spacing w:line="440" w:lineRule="exact"/>
              <w:rPr>
                <w:rFonts w:hint="eastAsia" w:ascii="宋体" w:hAnsi="宋体" w:cs="宋体"/>
                <w:color w:val="000000"/>
                <w:szCs w:val="21"/>
              </w:rPr>
            </w:pPr>
          </w:p>
        </w:tc>
        <w:tc>
          <w:tcPr>
            <w:tcW w:w="1352" w:type="dxa"/>
            <w:noWrap w:val="0"/>
            <w:vAlign w:val="top"/>
          </w:tcPr>
          <w:p w14:paraId="4BB5C7A5">
            <w:pPr>
              <w:keepNext/>
              <w:spacing w:line="440" w:lineRule="exact"/>
              <w:rPr>
                <w:rFonts w:hint="eastAsia" w:ascii="宋体" w:hAnsi="宋体" w:cs="宋体"/>
                <w:color w:val="000000"/>
                <w:szCs w:val="21"/>
              </w:rPr>
            </w:pPr>
          </w:p>
        </w:tc>
        <w:tc>
          <w:tcPr>
            <w:tcW w:w="1418" w:type="dxa"/>
            <w:noWrap w:val="0"/>
            <w:vAlign w:val="top"/>
          </w:tcPr>
          <w:p w14:paraId="0118D557">
            <w:pPr>
              <w:keepNext/>
              <w:spacing w:line="440" w:lineRule="exact"/>
              <w:rPr>
                <w:rFonts w:hint="eastAsia" w:ascii="宋体" w:hAnsi="宋体" w:cs="宋体"/>
                <w:color w:val="000000"/>
                <w:szCs w:val="21"/>
              </w:rPr>
            </w:pPr>
          </w:p>
        </w:tc>
        <w:tc>
          <w:tcPr>
            <w:tcW w:w="1701" w:type="dxa"/>
            <w:noWrap w:val="0"/>
            <w:vAlign w:val="top"/>
          </w:tcPr>
          <w:p w14:paraId="72920754">
            <w:pPr>
              <w:keepNext/>
              <w:spacing w:line="440" w:lineRule="exact"/>
              <w:rPr>
                <w:rFonts w:hint="eastAsia" w:ascii="宋体" w:hAnsi="宋体" w:cs="宋体"/>
                <w:color w:val="000000"/>
                <w:szCs w:val="21"/>
              </w:rPr>
            </w:pPr>
          </w:p>
        </w:tc>
      </w:tr>
      <w:tr w14:paraId="4E179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25107FFF">
            <w:pPr>
              <w:keepNext/>
              <w:spacing w:line="440" w:lineRule="exact"/>
              <w:rPr>
                <w:rFonts w:hint="eastAsia" w:ascii="宋体" w:hAnsi="宋体" w:cs="宋体"/>
                <w:color w:val="000000"/>
                <w:szCs w:val="21"/>
              </w:rPr>
            </w:pPr>
          </w:p>
        </w:tc>
        <w:tc>
          <w:tcPr>
            <w:tcW w:w="1984" w:type="dxa"/>
            <w:tcBorders>
              <w:bottom w:val="single" w:color="auto" w:sz="12" w:space="0"/>
            </w:tcBorders>
            <w:noWrap w:val="0"/>
            <w:vAlign w:val="top"/>
          </w:tcPr>
          <w:p w14:paraId="768B1051">
            <w:pPr>
              <w:keepNext/>
              <w:spacing w:line="440" w:lineRule="exact"/>
              <w:rPr>
                <w:rFonts w:hint="eastAsia" w:ascii="宋体" w:hAnsi="宋体" w:cs="宋体"/>
                <w:color w:val="000000"/>
                <w:szCs w:val="21"/>
              </w:rPr>
            </w:pPr>
          </w:p>
        </w:tc>
        <w:tc>
          <w:tcPr>
            <w:tcW w:w="851" w:type="dxa"/>
            <w:tcBorders>
              <w:bottom w:val="single" w:color="auto" w:sz="12" w:space="0"/>
            </w:tcBorders>
            <w:noWrap w:val="0"/>
            <w:vAlign w:val="top"/>
          </w:tcPr>
          <w:p w14:paraId="39BBEDE4">
            <w:pPr>
              <w:keepNext/>
              <w:spacing w:line="440" w:lineRule="exact"/>
              <w:rPr>
                <w:rFonts w:hint="eastAsia" w:ascii="宋体" w:hAnsi="宋体" w:cs="宋体"/>
                <w:color w:val="000000"/>
                <w:szCs w:val="21"/>
              </w:rPr>
            </w:pPr>
          </w:p>
        </w:tc>
        <w:tc>
          <w:tcPr>
            <w:tcW w:w="774" w:type="dxa"/>
            <w:tcBorders>
              <w:bottom w:val="single" w:color="auto" w:sz="12" w:space="0"/>
            </w:tcBorders>
            <w:noWrap w:val="0"/>
            <w:vAlign w:val="top"/>
          </w:tcPr>
          <w:p w14:paraId="566F379B">
            <w:pPr>
              <w:keepNext/>
              <w:spacing w:line="440" w:lineRule="exact"/>
              <w:rPr>
                <w:rFonts w:hint="eastAsia" w:ascii="宋体" w:hAnsi="宋体" w:cs="宋体"/>
                <w:color w:val="000000"/>
                <w:szCs w:val="21"/>
              </w:rPr>
            </w:pPr>
          </w:p>
        </w:tc>
        <w:tc>
          <w:tcPr>
            <w:tcW w:w="1352" w:type="dxa"/>
            <w:tcBorders>
              <w:bottom w:val="single" w:color="auto" w:sz="12" w:space="0"/>
            </w:tcBorders>
            <w:noWrap w:val="0"/>
            <w:vAlign w:val="top"/>
          </w:tcPr>
          <w:p w14:paraId="05B28DCA">
            <w:pPr>
              <w:keepNext/>
              <w:spacing w:line="440" w:lineRule="exact"/>
              <w:rPr>
                <w:rFonts w:hint="eastAsia" w:ascii="宋体" w:hAnsi="宋体" w:cs="宋体"/>
                <w:color w:val="000000"/>
                <w:szCs w:val="21"/>
              </w:rPr>
            </w:pPr>
          </w:p>
        </w:tc>
        <w:tc>
          <w:tcPr>
            <w:tcW w:w="1418" w:type="dxa"/>
            <w:tcBorders>
              <w:bottom w:val="single" w:color="auto" w:sz="12" w:space="0"/>
            </w:tcBorders>
            <w:noWrap w:val="0"/>
            <w:vAlign w:val="top"/>
          </w:tcPr>
          <w:p w14:paraId="6E2C0550">
            <w:pPr>
              <w:keepNext/>
              <w:spacing w:line="440" w:lineRule="exact"/>
              <w:rPr>
                <w:rFonts w:hint="eastAsia" w:ascii="宋体" w:hAnsi="宋体" w:cs="宋体"/>
                <w:color w:val="000000"/>
                <w:szCs w:val="21"/>
              </w:rPr>
            </w:pPr>
          </w:p>
        </w:tc>
        <w:tc>
          <w:tcPr>
            <w:tcW w:w="1701" w:type="dxa"/>
            <w:tcBorders>
              <w:bottom w:val="single" w:color="auto" w:sz="12" w:space="0"/>
            </w:tcBorders>
            <w:noWrap w:val="0"/>
            <w:vAlign w:val="top"/>
          </w:tcPr>
          <w:p w14:paraId="18C61A61">
            <w:pPr>
              <w:keepNext/>
              <w:spacing w:line="440" w:lineRule="exact"/>
              <w:rPr>
                <w:rFonts w:hint="eastAsia" w:ascii="宋体" w:hAnsi="宋体" w:cs="宋体"/>
                <w:color w:val="000000"/>
                <w:szCs w:val="21"/>
              </w:rPr>
            </w:pPr>
          </w:p>
        </w:tc>
      </w:tr>
    </w:tbl>
    <w:p w14:paraId="69A4248F">
      <w:pPr>
        <w:rPr>
          <w:rFonts w:hint="eastAsia" w:ascii="宋体" w:hAnsi="宋体" w:cs="宋体"/>
          <w:color w:val="000000"/>
          <w:szCs w:val="21"/>
        </w:rPr>
      </w:pPr>
    </w:p>
    <w:p w14:paraId="27D60EF3">
      <w:pPr>
        <w:rPr>
          <w:rFonts w:hint="eastAsia" w:ascii="宋体" w:hAnsi="宋体" w:cs="宋体"/>
          <w:color w:val="000000"/>
          <w:szCs w:val="22"/>
        </w:rPr>
      </w:pPr>
    </w:p>
    <w:p w14:paraId="21E00BB7">
      <w:pPr>
        <w:rPr>
          <w:rFonts w:hint="eastAsia" w:ascii="宋体" w:hAnsi="宋体" w:cs="宋体"/>
          <w:color w:val="000000"/>
          <w:szCs w:val="22"/>
        </w:rPr>
      </w:pPr>
    </w:p>
    <w:p w14:paraId="76251519">
      <w:pPr>
        <w:keepNext/>
        <w:keepLines/>
        <w:spacing w:before="120" w:after="120" w:line="360" w:lineRule="auto"/>
        <w:jc w:val="left"/>
        <w:outlineLvl w:val="2"/>
        <w:rPr>
          <w:rFonts w:hint="eastAsia" w:ascii="宋体" w:hAnsi="宋体" w:cs="宋体"/>
          <w:color w:val="000000"/>
        </w:rPr>
        <w:sectPr>
          <w:footnotePr>
            <w:numFmt w:val="decimalEnclosedCircleChinese"/>
            <w:numRestart w:val="eachPage"/>
          </w:footnotePr>
          <w:pgSz w:w="11907" w:h="16840"/>
          <w:pgMar w:top="1474" w:right="1474" w:bottom="1474" w:left="1474" w:header="799" w:footer="907" w:gutter="0"/>
          <w:cols w:space="720" w:num="1"/>
          <w:docGrid w:linePitch="271" w:charSpace="0"/>
        </w:sectPr>
      </w:pPr>
    </w:p>
    <w:p w14:paraId="0E815E15">
      <w:pPr>
        <w:keepNext/>
        <w:keepLines/>
        <w:spacing w:before="120" w:after="120" w:line="360" w:lineRule="auto"/>
        <w:jc w:val="left"/>
        <w:outlineLvl w:val="2"/>
        <w:rPr>
          <w:rFonts w:hint="eastAsia" w:ascii="宋体" w:hAnsi="宋体" w:cs="宋体"/>
          <w:bCs/>
          <w:color w:val="000000"/>
          <w:sz w:val="24"/>
        </w:rPr>
      </w:pPr>
      <w:bookmarkStart w:id="950" w:name="_Toc95223511"/>
      <w:r>
        <w:rPr>
          <w:rFonts w:hint="eastAsia" w:ascii="宋体" w:hAnsi="宋体" w:cs="宋体"/>
          <w:bCs/>
          <w:color w:val="000000"/>
          <w:sz w:val="24"/>
        </w:rPr>
        <w:t>附件12：安全生产合同</w:t>
      </w:r>
      <w:bookmarkEnd w:id="950"/>
    </w:p>
    <w:p w14:paraId="16311529">
      <w:pPr>
        <w:adjustRightInd w:val="0"/>
        <w:snapToGrid w:val="0"/>
        <w:spacing w:line="360" w:lineRule="auto"/>
        <w:jc w:val="center"/>
        <w:rPr>
          <w:rFonts w:hint="eastAsia" w:ascii="宋体" w:hAnsi="宋体" w:cs="宋体"/>
          <w:b/>
          <w:color w:val="000000"/>
          <w:sz w:val="32"/>
          <w:szCs w:val="32"/>
        </w:rPr>
      </w:pPr>
      <w:bookmarkStart w:id="951" w:name="_Toc16956"/>
      <w:bookmarkStart w:id="952" w:name="_Toc32439"/>
      <w:bookmarkStart w:id="953" w:name="_Toc95223512"/>
      <w:r>
        <w:rPr>
          <w:rFonts w:hint="eastAsia" w:ascii="宋体" w:hAnsi="宋体" w:cs="宋体"/>
          <w:b/>
          <w:color w:val="000000"/>
          <w:sz w:val="32"/>
          <w:szCs w:val="32"/>
        </w:rPr>
        <w:t>安全生产合同</w:t>
      </w:r>
      <w:bookmarkEnd w:id="951"/>
      <w:bookmarkEnd w:id="952"/>
      <w:bookmarkEnd w:id="953"/>
    </w:p>
    <w:p w14:paraId="2BF6B125">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为在</w:t>
      </w:r>
      <w:r>
        <w:rPr>
          <w:rFonts w:hint="eastAsia" w:ascii="宋体" w:hAnsi="宋体" w:cs="宋体"/>
          <w:color w:val="000000"/>
          <w:szCs w:val="21"/>
          <w:u w:val="single"/>
        </w:rPr>
        <w:t xml:space="preserve">            </w:t>
      </w:r>
      <w:r>
        <w:rPr>
          <w:rFonts w:hint="eastAsia" w:ascii="宋体" w:hAnsi="宋体" w:cs="宋体"/>
          <w:color w:val="000000"/>
          <w:szCs w:val="21"/>
        </w:rPr>
        <w:t>（项目名称）</w:t>
      </w:r>
      <w:r>
        <w:rPr>
          <w:rFonts w:hint="eastAsia" w:ascii="宋体" w:hAnsi="宋体" w:cs="宋体"/>
          <w:color w:val="000000"/>
          <w:szCs w:val="21"/>
          <w:u w:val="single"/>
        </w:rPr>
        <w:t xml:space="preserve">    </w:t>
      </w:r>
      <w:r>
        <w:rPr>
          <w:rFonts w:hint="eastAsia" w:ascii="宋体" w:hAnsi="宋体" w:cs="宋体"/>
          <w:color w:val="000000"/>
          <w:szCs w:val="21"/>
        </w:rPr>
        <w:t>（标段）施工合同的实施过程中创造安全、高效的施工环境，切实搞好本项目的安全管理工作，本项目发包人</w:t>
      </w:r>
      <w:r>
        <w:rPr>
          <w:rFonts w:hint="eastAsia" w:ascii="宋体" w:hAnsi="宋体" w:cs="宋体"/>
          <w:color w:val="000000"/>
          <w:szCs w:val="21"/>
          <w:u w:val="single"/>
        </w:rPr>
        <w:t xml:space="preserve">       </w:t>
      </w:r>
      <w:r>
        <w:rPr>
          <w:rFonts w:hint="eastAsia" w:ascii="宋体" w:hAnsi="宋体" w:cs="宋体"/>
          <w:color w:val="000000"/>
          <w:szCs w:val="21"/>
        </w:rPr>
        <w:t>（发包人名称，以下简称“发包人”）与承包人</w:t>
      </w:r>
      <w:r>
        <w:rPr>
          <w:rFonts w:hint="eastAsia" w:ascii="宋体" w:hAnsi="宋体" w:cs="宋体"/>
          <w:color w:val="000000"/>
          <w:szCs w:val="21"/>
          <w:u w:val="single"/>
        </w:rPr>
        <w:t xml:space="preserve">         </w:t>
      </w:r>
      <w:r>
        <w:rPr>
          <w:rFonts w:hint="eastAsia" w:ascii="宋体" w:hAnsi="宋体" w:cs="宋体"/>
          <w:color w:val="000000"/>
          <w:szCs w:val="21"/>
        </w:rPr>
        <w:t>（承包人名称，以下简称“承包人”）特此签订安全生产合同：</w:t>
      </w:r>
    </w:p>
    <w:p w14:paraId="5E2ABC17">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1.发包人职责</w:t>
      </w:r>
    </w:p>
    <w:p w14:paraId="3B51A49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（1）严格遵守国家有关安全生产的法律法规，认真执行工程承包合同中的有关安全要求。</w:t>
      </w:r>
    </w:p>
    <w:p w14:paraId="01345DF8">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（2）按照“安全第一、预防为主”和坚持“管生产必须管安全”的原则进行安全生产管理，做到生产与安全工作同时计划、布置、检查、总结和评比。</w:t>
      </w:r>
    </w:p>
    <w:p w14:paraId="374DF670">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（3）重要的安全设施必须坚持与主体工程“三同时”的原则，即：同时设计、审批，同时施工，同时验收，投入使用。</w:t>
      </w:r>
    </w:p>
    <w:p w14:paraId="12F3CE58">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（4）定期召开安全生产调度会，及时传达中央及地方有关安全生产的精神。</w:t>
      </w:r>
    </w:p>
    <w:p w14:paraId="2142C9EC">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（5）组织对承包人施工现场安全生产检查，监督承包人及时处理发现的各种安全隐患。</w:t>
      </w:r>
    </w:p>
    <w:p w14:paraId="27CAA76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2.承包人职责</w:t>
      </w:r>
    </w:p>
    <w:p w14:paraId="197870BB">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240F67AB">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7E19E5F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7025E977">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（4）承包人在任何时候都应采取各种合理的预防措施，防止其员工发生任何违法、违禁、暴力或妨碍治安的行为。</w:t>
      </w:r>
    </w:p>
    <w:p w14:paraId="7C462648">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2F1B2B2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4F4117B9">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（7）操作人员上岗，必须按规定穿戴防护用品。施工负责人和安全检查员应随时检查劳动防护用品的穿戴情况，不按规定穿戴防护用品的人员不得上岗。</w:t>
      </w:r>
    </w:p>
    <w:p w14:paraId="1E280170">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（8）所有施工机具设备和高空作业的设备均应定期检查，并有安全员的签字记录，保证其经常处于完好状态；不合格的机具、设备和劳动保护用品严禁使用：</w:t>
      </w:r>
    </w:p>
    <w:p w14:paraId="1C0E492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（9）施工中采用新技术、新工艺、新设备、新材料时，必须制定相应的安全技术措施，施工现场必须具有相关的安全标志牌。</w:t>
      </w:r>
    </w:p>
    <w:p w14:paraId="18C3E45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17074C8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（11）安全生产费用按照《建设工程安全生产管理条例》的相关规定使用和管理。</w:t>
      </w:r>
    </w:p>
    <w:p w14:paraId="7C9159BF">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3.违约责任</w:t>
      </w:r>
    </w:p>
    <w:p w14:paraId="1B4202E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如因发包人或承包人违约造成安全事故，将依法追究责任。</w:t>
      </w:r>
    </w:p>
    <w:p w14:paraId="5854305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4.本合同由双方法定代表人或其授权的代理人签署并加盖单位章后生效，全部工程竣工验收后失效。</w:t>
      </w:r>
    </w:p>
    <w:p w14:paraId="4BA2A91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5.本合同正本—式</w:t>
      </w:r>
      <w:r>
        <w:rPr>
          <w:rFonts w:hint="eastAsia" w:ascii="宋体" w:hAnsi="宋体" w:cs="宋体"/>
          <w:color w:val="000000"/>
          <w:szCs w:val="21"/>
          <w:u w:val="single"/>
        </w:rPr>
        <w:t xml:space="preserve">   </w:t>
      </w:r>
      <w:r>
        <w:rPr>
          <w:rFonts w:hint="eastAsia" w:ascii="宋体" w:hAnsi="宋体" w:cs="宋体"/>
          <w:color w:val="000000"/>
          <w:szCs w:val="21"/>
        </w:rPr>
        <w:t>份，副本</w:t>
      </w:r>
      <w:r>
        <w:rPr>
          <w:rFonts w:hint="eastAsia" w:ascii="宋体" w:hAnsi="宋体" w:cs="宋体"/>
          <w:color w:val="000000"/>
          <w:szCs w:val="21"/>
          <w:u w:val="single"/>
        </w:rPr>
        <w:t xml:space="preserve">  </w:t>
      </w:r>
      <w:r>
        <w:rPr>
          <w:rFonts w:hint="eastAsia" w:ascii="宋体" w:hAnsi="宋体" w:cs="宋体"/>
          <w:color w:val="000000"/>
          <w:szCs w:val="21"/>
        </w:rPr>
        <w:t>份，合同双方各执正本—份，副本</w:t>
      </w:r>
      <w:r>
        <w:rPr>
          <w:rFonts w:hint="eastAsia" w:ascii="宋体" w:hAnsi="宋体" w:cs="宋体"/>
          <w:color w:val="000000"/>
          <w:szCs w:val="21"/>
          <w:u w:val="single"/>
        </w:rPr>
        <w:t xml:space="preserve">  </w:t>
      </w:r>
      <w:r>
        <w:rPr>
          <w:rFonts w:hint="eastAsia" w:ascii="宋体" w:hAnsi="宋体" w:cs="宋体"/>
          <w:color w:val="000000"/>
          <w:szCs w:val="21"/>
        </w:rPr>
        <w:t>份，当正本与副本的内容不一致时，以正本为准。</w:t>
      </w:r>
    </w:p>
    <w:p w14:paraId="1B334BA6">
      <w:pPr>
        <w:spacing w:line="360" w:lineRule="auto"/>
        <w:rPr>
          <w:rFonts w:hint="eastAsia" w:ascii="宋体" w:hAnsi="宋体" w:cs="宋体"/>
          <w:color w:val="000000"/>
          <w:szCs w:val="21"/>
        </w:rPr>
      </w:pPr>
    </w:p>
    <w:p w14:paraId="0DC4D82C">
      <w:pPr>
        <w:spacing w:line="360" w:lineRule="auto"/>
        <w:rPr>
          <w:rFonts w:hint="eastAsia" w:ascii="宋体" w:hAnsi="宋体" w:cs="宋体"/>
          <w:color w:val="000000"/>
          <w:szCs w:val="21"/>
        </w:rPr>
      </w:pPr>
    </w:p>
    <w:p w14:paraId="386A0618">
      <w:pPr>
        <w:spacing w:line="360" w:lineRule="auto"/>
        <w:rPr>
          <w:rFonts w:hint="eastAsia" w:ascii="宋体" w:hAnsi="宋体" w:cs="宋体"/>
          <w:color w:val="000000"/>
          <w:szCs w:val="21"/>
        </w:rPr>
      </w:pPr>
      <w:r>
        <w:rPr>
          <w:rFonts w:hint="eastAsia" w:ascii="宋体" w:hAnsi="宋体" w:cs="宋体"/>
          <w:color w:val="000000"/>
          <w:szCs w:val="21"/>
        </w:rPr>
        <w:t>发包人：</w:t>
      </w:r>
      <w:r>
        <w:rPr>
          <w:rFonts w:hint="eastAsia" w:ascii="宋体" w:hAnsi="宋体" w:cs="宋体"/>
          <w:color w:val="000000"/>
          <w:szCs w:val="21"/>
          <w:u w:val="single"/>
        </w:rPr>
        <w:t xml:space="preserve">                </w:t>
      </w:r>
      <w:r>
        <w:rPr>
          <w:rFonts w:hint="eastAsia" w:ascii="宋体" w:hAnsi="宋体" w:cs="宋体"/>
          <w:color w:val="000000"/>
          <w:szCs w:val="21"/>
        </w:rPr>
        <w:t>（盖单位章）           承包人：</w:t>
      </w:r>
      <w:r>
        <w:rPr>
          <w:rFonts w:hint="eastAsia" w:ascii="宋体" w:hAnsi="宋体" w:cs="宋体"/>
          <w:color w:val="000000"/>
          <w:szCs w:val="21"/>
          <w:u w:val="single"/>
        </w:rPr>
        <w:t xml:space="preserve">                   </w:t>
      </w:r>
      <w:r>
        <w:rPr>
          <w:rFonts w:hint="eastAsia" w:ascii="宋体" w:hAnsi="宋体" w:cs="宋体"/>
          <w:color w:val="000000"/>
          <w:szCs w:val="21"/>
        </w:rPr>
        <w:t>（盖单位章）</w:t>
      </w:r>
    </w:p>
    <w:p w14:paraId="60726E5B">
      <w:pPr>
        <w:spacing w:line="360" w:lineRule="auto"/>
        <w:rPr>
          <w:rFonts w:hint="eastAsia" w:ascii="宋体" w:hAnsi="宋体" w:cs="宋体"/>
          <w:color w:val="000000"/>
          <w:szCs w:val="21"/>
        </w:rPr>
      </w:pPr>
    </w:p>
    <w:p w14:paraId="7DB6572D">
      <w:pPr>
        <w:spacing w:line="360" w:lineRule="auto"/>
        <w:rPr>
          <w:rFonts w:hint="eastAsia" w:ascii="宋体" w:hAnsi="宋体" w:cs="宋体"/>
          <w:color w:val="000000"/>
          <w:szCs w:val="21"/>
        </w:rPr>
      </w:pPr>
      <w:r>
        <w:rPr>
          <w:rFonts w:hint="eastAsia" w:ascii="宋体" w:hAnsi="宋体" w:cs="宋体"/>
          <w:color w:val="000000"/>
          <w:szCs w:val="21"/>
        </w:rPr>
        <w:t>法定代表人或其委托代理人：</w:t>
      </w:r>
      <w:r>
        <w:rPr>
          <w:rFonts w:hint="eastAsia" w:ascii="宋体" w:hAnsi="宋体" w:cs="宋体"/>
          <w:color w:val="000000"/>
          <w:szCs w:val="21"/>
          <w:u w:val="single"/>
        </w:rPr>
        <w:t xml:space="preserve">    </w:t>
      </w:r>
      <w:r>
        <w:rPr>
          <w:rFonts w:hint="eastAsia" w:ascii="宋体" w:hAnsi="宋体" w:cs="宋体"/>
          <w:color w:val="000000"/>
          <w:szCs w:val="21"/>
        </w:rPr>
        <w:t>（签字）           法定代表人或其委托代理人：</w:t>
      </w:r>
      <w:r>
        <w:rPr>
          <w:rFonts w:hint="eastAsia" w:ascii="宋体" w:hAnsi="宋体" w:cs="宋体"/>
          <w:color w:val="000000"/>
          <w:szCs w:val="21"/>
          <w:u w:val="single"/>
        </w:rPr>
        <w:t xml:space="preserve">     </w:t>
      </w:r>
      <w:r>
        <w:rPr>
          <w:rFonts w:hint="eastAsia" w:ascii="宋体" w:hAnsi="宋体" w:cs="宋体"/>
          <w:color w:val="000000"/>
          <w:szCs w:val="21"/>
        </w:rPr>
        <w:t>（签字）</w:t>
      </w:r>
    </w:p>
    <w:p w14:paraId="67196D8A">
      <w:pPr>
        <w:spacing w:line="360" w:lineRule="auto"/>
        <w:rPr>
          <w:rFonts w:hint="eastAsia" w:ascii="宋体" w:hAnsi="宋体" w:cs="宋体"/>
          <w:color w:val="000000"/>
          <w:szCs w:val="21"/>
        </w:rPr>
      </w:pPr>
    </w:p>
    <w:p w14:paraId="2F670A70">
      <w:pPr>
        <w:spacing w:line="360" w:lineRule="auto"/>
        <w:ind w:firstLine="840"/>
        <w:rPr>
          <w:rFonts w:ascii="宋体" w:hAnsi="宋体" w:cs="宋体"/>
          <w:bCs/>
          <w:color w:val="000000"/>
          <w:kern w:val="44"/>
          <w:sz w:val="32"/>
          <w:szCs w:val="44"/>
        </w:rPr>
      </w:pP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 xml:space="preserve">日                       </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6E0E33CA">
      <w:pPr>
        <w:rPr>
          <w:rFonts w:ascii="宋体" w:hAnsi="宋体" w:cs="宋体"/>
          <w:sz w:val="32"/>
          <w:szCs w:val="44"/>
        </w:rPr>
      </w:pPr>
    </w:p>
    <w:p w14:paraId="2BD0D5E9">
      <w:pPr>
        <w:rPr>
          <w:rFonts w:ascii="宋体" w:hAnsi="宋体" w:cs="宋体"/>
          <w:sz w:val="32"/>
          <w:szCs w:val="44"/>
        </w:rPr>
      </w:pPr>
    </w:p>
    <w:p w14:paraId="05A97EBE">
      <w:pPr>
        <w:tabs>
          <w:tab w:val="left" w:pos="2820"/>
        </w:tabs>
        <w:outlineLvl w:val="2"/>
        <w:rPr>
          <w:rFonts w:hint="eastAsia" w:ascii="宋体" w:hAnsi="宋体" w:cs="宋体"/>
          <w:sz w:val="32"/>
          <w:szCs w:val="44"/>
        </w:rPr>
      </w:pPr>
      <w:r>
        <w:rPr>
          <w:rFonts w:hint="eastAsia" w:ascii="宋体" w:hAnsi="宋体" w:cs="宋体"/>
          <w:sz w:val="32"/>
          <w:szCs w:val="44"/>
        </w:rPr>
        <w:br w:type="page"/>
      </w:r>
      <w:bookmarkStart w:id="954" w:name="_Toc95223513"/>
      <w:r>
        <w:rPr>
          <w:rFonts w:hint="eastAsia" w:ascii="宋体" w:hAnsi="宋体" w:cs="宋体"/>
          <w:bCs/>
          <w:color w:val="000000"/>
          <w:sz w:val="24"/>
        </w:rPr>
        <w:t>附件1</w:t>
      </w:r>
      <w:r>
        <w:rPr>
          <w:rFonts w:hint="eastAsia" w:ascii="宋体" w:hAnsi="宋体" w:cs="宋体"/>
          <w:bCs/>
          <w:color w:val="000000"/>
          <w:sz w:val="24"/>
          <w:lang w:val="en-US" w:eastAsia="zh-CN"/>
        </w:rPr>
        <w:t>3</w:t>
      </w:r>
      <w:r>
        <w:rPr>
          <w:rFonts w:hint="eastAsia" w:ascii="宋体" w:hAnsi="宋体" w:cs="宋体"/>
          <w:bCs/>
          <w:color w:val="000000"/>
          <w:sz w:val="24"/>
        </w:rPr>
        <w:t>：</w:t>
      </w:r>
      <w:bookmarkEnd w:id="954"/>
    </w:p>
    <w:p w14:paraId="03D018A6">
      <w:pPr>
        <w:adjustRightInd w:val="0"/>
        <w:snapToGrid w:val="0"/>
        <w:spacing w:line="360" w:lineRule="auto"/>
        <w:jc w:val="center"/>
        <w:rPr>
          <w:rFonts w:hint="eastAsia" w:ascii="宋体" w:hAnsi="宋体" w:cs="宋体"/>
          <w:b/>
          <w:color w:val="000000"/>
          <w:sz w:val="32"/>
          <w:szCs w:val="32"/>
        </w:rPr>
      </w:pPr>
      <w:bookmarkStart w:id="955" w:name="_Toc19059"/>
      <w:bookmarkStart w:id="956" w:name="_Toc95223514"/>
      <w:bookmarkStart w:id="957" w:name="_Toc20282"/>
      <w:r>
        <w:rPr>
          <w:rFonts w:hint="eastAsia" w:ascii="宋体" w:hAnsi="宋体" w:cs="宋体"/>
          <w:b/>
          <w:color w:val="000000"/>
          <w:sz w:val="32"/>
          <w:szCs w:val="32"/>
        </w:rPr>
        <w:t>项目经理质量终身责任制承诺</w:t>
      </w:r>
      <w:bookmarkEnd w:id="955"/>
      <w:bookmarkEnd w:id="956"/>
      <w:bookmarkEnd w:id="957"/>
    </w:p>
    <w:p w14:paraId="56731305">
      <w:pPr>
        <w:adjustRightInd w:val="0"/>
        <w:snapToGrid w:val="0"/>
        <w:spacing w:line="360" w:lineRule="auto"/>
        <w:rPr>
          <w:rFonts w:hint="eastAsia" w:ascii="宋体" w:hAnsi="宋体" w:cs="宋体"/>
          <w:bCs/>
          <w:color w:val="000000"/>
          <w:sz w:val="24"/>
          <w:szCs w:val="21"/>
        </w:rPr>
      </w:pPr>
      <w:r>
        <w:rPr>
          <w:rFonts w:hint="eastAsia" w:ascii="宋体" w:hAnsi="宋体" w:cs="宋体"/>
          <w:bCs/>
          <w:color w:val="000000"/>
          <w:sz w:val="24"/>
          <w:szCs w:val="21"/>
        </w:rPr>
        <w:t>致：______________(招标人名称)</w:t>
      </w:r>
    </w:p>
    <w:p w14:paraId="277186F9">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本人作为拟委任的施工项目经理，承担相关质量终身责任，现郑重承诺如下：</w:t>
      </w:r>
    </w:p>
    <w:p w14:paraId="7189D1B4">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一、在取得施工许可证后进行施工。</w:t>
      </w:r>
    </w:p>
    <w:p w14:paraId="3C1D143B">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二、严格执行施工规范及标准。</w:t>
      </w:r>
    </w:p>
    <w:p w14:paraId="5F9963B1">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三、严格按规定配备施工项目部关键岗位人员，并确保所有人员到岗履职。</w:t>
      </w:r>
    </w:p>
    <w:p w14:paraId="524417EA">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四、严格按照经施工图审查机构审查合格的工程设计文件及合同约定的质量标准精心组织施工。</w:t>
      </w:r>
    </w:p>
    <w:p w14:paraId="7859F936">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五、施工中采用合格的建筑材料、建筑构配件和设备等，并严格按规定执行见证取样制度。</w:t>
      </w:r>
    </w:p>
    <w:p w14:paraId="4FFF62D5">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六、建立、健全质量检查、验收制度，严格工序管理，做好隐蔽工程质量的检查和记录。</w:t>
      </w:r>
    </w:p>
    <w:p w14:paraId="6BCB028E">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七、对施工中出现的质量问题，及时进行整改。严格依法依规履行义务。</w:t>
      </w:r>
    </w:p>
    <w:p w14:paraId="1385A6C9">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八、履行相关工程质量检查、验收及事故处理等职责。</w:t>
      </w:r>
    </w:p>
    <w:p w14:paraId="763143A0">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九、履行其他法律法规规定的职责。</w:t>
      </w:r>
    </w:p>
    <w:p w14:paraId="6C9BBE34">
      <w:pPr>
        <w:spacing w:line="360" w:lineRule="auto"/>
        <w:ind w:left="359" w:leftChars="171" w:firstLine="720" w:firstLineChars="300"/>
        <w:rPr>
          <w:rFonts w:hint="eastAsia" w:ascii="宋体" w:hAnsi="宋体" w:cs="宋体"/>
          <w:bCs/>
          <w:color w:val="000000"/>
          <w:sz w:val="24"/>
          <w:szCs w:val="21"/>
        </w:rPr>
      </w:pPr>
    </w:p>
    <w:p w14:paraId="6C926A78">
      <w:pPr>
        <w:spacing w:line="360" w:lineRule="auto"/>
        <w:ind w:left="359" w:leftChars="171" w:firstLine="720" w:firstLineChars="300"/>
        <w:rPr>
          <w:rFonts w:hint="eastAsia" w:ascii="宋体" w:hAnsi="宋体" w:cs="宋体"/>
          <w:bCs/>
          <w:color w:val="000000"/>
          <w:sz w:val="24"/>
          <w:szCs w:val="21"/>
        </w:rPr>
      </w:pPr>
    </w:p>
    <w:p w14:paraId="0E156356">
      <w:pPr>
        <w:spacing w:line="360" w:lineRule="auto"/>
        <w:ind w:left="359" w:leftChars="171" w:firstLine="720" w:firstLineChars="300"/>
        <w:rPr>
          <w:rFonts w:hint="eastAsia" w:ascii="宋体" w:hAnsi="宋体" w:cs="宋体"/>
          <w:bCs/>
          <w:color w:val="000000"/>
          <w:sz w:val="24"/>
          <w:szCs w:val="21"/>
        </w:rPr>
      </w:pPr>
      <w:r>
        <w:rPr>
          <w:rFonts w:hint="eastAsia" w:ascii="宋体" w:hAnsi="宋体" w:cs="宋体"/>
          <w:bCs/>
          <w:color w:val="000000"/>
          <w:sz w:val="24"/>
          <w:szCs w:val="21"/>
        </w:rPr>
        <w:t>项目经理：</w:t>
      </w:r>
      <w:r>
        <w:rPr>
          <w:rFonts w:hint="eastAsia" w:ascii="宋体" w:hAnsi="宋体" w:cs="宋体"/>
          <w:bCs/>
          <w:color w:val="000000"/>
          <w:sz w:val="24"/>
          <w:szCs w:val="21"/>
          <w:u w:val="single"/>
        </w:rPr>
        <w:t xml:space="preserve">                   </w:t>
      </w:r>
      <w:r>
        <w:rPr>
          <w:rFonts w:hint="eastAsia" w:ascii="宋体" w:hAnsi="宋体" w:cs="宋体"/>
          <w:bCs/>
          <w:color w:val="000000"/>
          <w:sz w:val="24"/>
          <w:szCs w:val="21"/>
        </w:rPr>
        <w:t>（签字）</w:t>
      </w:r>
    </w:p>
    <w:p w14:paraId="6C56527F">
      <w:pPr>
        <w:spacing w:line="360" w:lineRule="auto"/>
        <w:ind w:left="359" w:leftChars="171" w:firstLine="720" w:firstLineChars="300"/>
        <w:rPr>
          <w:rFonts w:hint="eastAsia" w:ascii="宋体" w:hAnsi="宋体" w:cs="宋体"/>
          <w:bCs/>
          <w:color w:val="000000"/>
          <w:sz w:val="24"/>
          <w:szCs w:val="21"/>
        </w:rPr>
      </w:pPr>
      <w:r>
        <w:rPr>
          <w:rFonts w:hint="eastAsia" w:ascii="宋体" w:hAnsi="宋体" w:cs="宋体"/>
          <w:bCs/>
          <w:color w:val="000000"/>
          <w:sz w:val="24"/>
          <w:szCs w:val="21"/>
        </w:rPr>
        <w:t>日期：_____年____月____日</w:t>
      </w:r>
    </w:p>
    <w:p w14:paraId="11057693">
      <w:pPr>
        <w:rPr>
          <w:rFonts w:hint="eastAsia"/>
        </w:rPr>
      </w:pPr>
    </w:p>
    <w:p w14:paraId="4C2A5DB5">
      <w:pPr>
        <w:rPr>
          <w:rFonts w:hint="eastAsia"/>
        </w:rPr>
      </w:pPr>
      <w:r>
        <w:rPr>
          <w:rFonts w:hint="eastAsia"/>
        </w:rPr>
        <w:br w:type="page"/>
      </w:r>
    </w:p>
    <w:p w14:paraId="6658E593">
      <w:pPr>
        <w:rPr>
          <w:rFonts w:hint="eastAsia"/>
        </w:rPr>
      </w:pPr>
    </w:p>
    <w:bookmarkEnd w:id="852"/>
    <w:bookmarkEnd w:id="853"/>
    <w:bookmarkEnd w:id="854"/>
    <w:bookmarkEnd w:id="855"/>
    <w:p w14:paraId="1A8499CE">
      <w:pPr>
        <w:pStyle w:val="2"/>
        <w:ind w:left="0" w:leftChars="0" w:firstLine="0" w:firstLineChars="0"/>
        <w:jc w:val="center"/>
        <w:outlineLvl w:val="0"/>
        <w:rPr>
          <w:rFonts w:hint="eastAsia"/>
          <w:color w:val="000000"/>
        </w:rPr>
      </w:pPr>
      <w:bookmarkStart w:id="958" w:name="_Toc4767"/>
      <w:bookmarkStart w:id="959" w:name="_Toc95223515"/>
      <w:bookmarkStart w:id="960" w:name="_Toc247085872"/>
      <w:bookmarkStart w:id="961" w:name="_Toc78803398"/>
      <w:bookmarkStart w:id="962" w:name="_Toc152045786"/>
      <w:bookmarkStart w:id="963" w:name="_Toc506107340"/>
      <w:bookmarkStart w:id="964" w:name="_Toc246997097"/>
      <w:bookmarkStart w:id="965" w:name="_Toc324404888"/>
      <w:bookmarkStart w:id="966" w:name="_Toc35424970"/>
      <w:bookmarkStart w:id="967" w:name="_Toc35425136"/>
      <w:bookmarkStart w:id="968" w:name="_Toc144974855"/>
      <w:bookmarkStart w:id="969" w:name="_Toc152042575"/>
      <w:bookmarkStart w:id="970" w:name="_Toc15058934"/>
      <w:bookmarkStart w:id="971" w:name="_Toc179632806"/>
      <w:bookmarkStart w:id="972" w:name="_Toc246996354"/>
      <w:r>
        <w:rPr>
          <w:rFonts w:hint="eastAsia" w:ascii="宋体" w:hAnsi="宋体" w:cs="宋体"/>
          <w:bCs/>
          <w:color w:val="000000"/>
          <w:kern w:val="44"/>
          <w:sz w:val="36"/>
          <w:szCs w:val="36"/>
        </w:rPr>
        <w:t>第六章  工程量清单</w:t>
      </w:r>
      <w:bookmarkEnd w:id="958"/>
      <w:bookmarkEnd w:id="959"/>
    </w:p>
    <w:p w14:paraId="2A8C1C8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bCs/>
          <w:color w:val="000000"/>
          <w:kern w:val="44"/>
          <w:sz w:val="32"/>
          <w:szCs w:val="44"/>
        </w:rPr>
      </w:pPr>
      <w:r>
        <w:rPr>
          <w:rFonts w:hint="eastAsia" w:ascii="宋体" w:hAnsi="宋体" w:cs="宋体"/>
          <w:color w:val="000000"/>
          <w:szCs w:val="21"/>
        </w:rPr>
        <w:t>另册。</w:t>
      </w:r>
    </w:p>
    <w:p w14:paraId="0C2CCCBA">
      <w:pPr>
        <w:rPr>
          <w:rFonts w:hint="eastAsia" w:ascii="宋体" w:hAnsi="宋体" w:cs="宋体"/>
          <w:b/>
          <w:color w:val="000000"/>
        </w:rPr>
      </w:pPr>
    </w:p>
    <w:p w14:paraId="087D1176">
      <w:pPr>
        <w:pStyle w:val="2"/>
        <w:ind w:left="0" w:leftChars="0" w:firstLine="0" w:firstLineChars="0"/>
        <w:jc w:val="center"/>
        <w:outlineLvl w:val="0"/>
        <w:rPr>
          <w:rFonts w:hint="eastAsia" w:ascii="宋体" w:hAnsi="宋体" w:cs="宋体"/>
          <w:bCs/>
          <w:color w:val="000000"/>
          <w:kern w:val="44"/>
          <w:sz w:val="36"/>
          <w:szCs w:val="36"/>
        </w:rPr>
      </w:pPr>
      <w:bookmarkStart w:id="973" w:name="_Toc95223522"/>
      <w:r>
        <w:rPr>
          <w:rFonts w:hint="eastAsia" w:ascii="宋体" w:hAnsi="宋体" w:cs="宋体"/>
          <w:bCs/>
          <w:color w:val="000000"/>
          <w:kern w:val="44"/>
          <w:sz w:val="36"/>
          <w:szCs w:val="36"/>
        </w:rPr>
        <w:t xml:space="preserve">第七章 </w:t>
      </w:r>
      <w:bookmarkStart w:id="974" w:name="_Toc10656"/>
      <w:r>
        <w:rPr>
          <w:rFonts w:hint="eastAsia" w:ascii="宋体" w:hAnsi="宋体" w:cs="宋体"/>
          <w:bCs/>
          <w:color w:val="000000"/>
          <w:kern w:val="44"/>
          <w:sz w:val="36"/>
          <w:szCs w:val="36"/>
        </w:rPr>
        <w:t>图  纸</w:t>
      </w:r>
      <w:bookmarkEnd w:id="973"/>
      <w:bookmarkEnd w:id="974"/>
    </w:p>
    <w:p w14:paraId="0C219A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bCs/>
          <w:color w:val="000000"/>
          <w:kern w:val="44"/>
          <w:sz w:val="32"/>
          <w:szCs w:val="44"/>
        </w:rPr>
      </w:pPr>
      <w:r>
        <w:rPr>
          <w:rFonts w:hint="eastAsia" w:ascii="宋体" w:hAnsi="宋体" w:cs="宋体"/>
          <w:color w:val="000000"/>
          <w:szCs w:val="21"/>
        </w:rPr>
        <w:t>另册。</w:t>
      </w:r>
    </w:p>
    <w:p w14:paraId="111AFB31">
      <w:pPr>
        <w:outlineLvl w:val="1"/>
        <w:rPr>
          <w:rFonts w:hint="eastAsia" w:ascii="宋体" w:hAnsi="宋体" w:cs="宋体"/>
          <w:color w:val="000000"/>
        </w:rPr>
      </w:pPr>
    </w:p>
    <w:p w14:paraId="48B5E51C">
      <w:pPr>
        <w:rPr>
          <w:rFonts w:hint="eastAsia" w:ascii="宋体" w:hAnsi="宋体" w:cs="宋体"/>
          <w:color w:val="000000"/>
        </w:rPr>
      </w:pPr>
    </w:p>
    <w:p w14:paraId="09483549">
      <w:pPr>
        <w:pStyle w:val="6"/>
        <w:adjustRightInd w:val="0"/>
        <w:snapToGrid w:val="0"/>
        <w:spacing w:before="0" w:after="0" w:line="560" w:lineRule="exact"/>
        <w:jc w:val="center"/>
        <w:rPr>
          <w:rFonts w:hint="eastAsia" w:ascii="宋体" w:hAnsi="宋体" w:cs="宋体"/>
          <w:bCs w:val="0"/>
          <w:color w:val="000000"/>
          <w:sz w:val="32"/>
        </w:rPr>
      </w:pPr>
      <w:r>
        <w:rPr>
          <w:rFonts w:hint="eastAsia" w:ascii="宋体" w:hAnsi="宋体" w:cs="宋体"/>
          <w:b w:val="0"/>
          <w:bCs w:val="0"/>
          <w:color w:val="000000"/>
          <w:sz w:val="32"/>
        </w:rPr>
        <w:br w:type="page"/>
      </w:r>
      <w:bookmarkStart w:id="975" w:name="_Toc95223525"/>
      <w:bookmarkStart w:id="976" w:name="_Toc4608"/>
      <w:r>
        <w:rPr>
          <w:rFonts w:hint="eastAsia"/>
          <w:color w:val="000000"/>
        </w:rPr>
        <w:t>第八章  技术标准和要求</w:t>
      </w:r>
      <w:bookmarkEnd w:id="975"/>
      <w:bookmarkEnd w:id="976"/>
    </w:p>
    <w:p w14:paraId="691196AD">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color w:val="000000"/>
        </w:rPr>
      </w:pPr>
      <w:bookmarkStart w:id="977" w:name="_Toc32647"/>
      <w:bookmarkStart w:id="978" w:name="_Toc95223526"/>
      <w:r>
        <w:rPr>
          <w:rFonts w:hint="eastAsia" w:ascii="宋体" w:hAnsi="宋体" w:cs="宋体"/>
          <w:bCs/>
          <w:color w:val="000000"/>
          <w:szCs w:val="21"/>
        </w:rPr>
        <w:t>1.</w:t>
      </w:r>
      <w:r>
        <w:rPr>
          <w:rFonts w:hint="eastAsia" w:ascii="宋体" w:hAnsi="宋体" w:cs="宋体"/>
          <w:b/>
          <w:color w:val="000000"/>
        </w:rPr>
        <w:t xml:space="preserve"> </w:t>
      </w:r>
      <w:r>
        <w:rPr>
          <w:rFonts w:hint="eastAsia" w:ascii="宋体" w:hAnsi="宋体" w:cs="宋体"/>
          <w:color w:val="000000"/>
        </w:rPr>
        <w:t>一般要求</w:t>
      </w:r>
      <w:bookmarkEnd w:id="977"/>
      <w:bookmarkEnd w:id="978"/>
    </w:p>
    <w:p w14:paraId="5E812E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rPr>
      </w:pP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见招标项目施工图纸</w:t>
      </w:r>
    </w:p>
    <w:p w14:paraId="488746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rPr>
      </w:pPr>
    </w:p>
    <w:p w14:paraId="215AD89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bCs/>
          <w:color w:val="auto"/>
          <w:szCs w:val="21"/>
        </w:rPr>
      </w:pPr>
      <w:bookmarkStart w:id="979" w:name="_Toc95223527"/>
      <w:bookmarkStart w:id="980" w:name="_Toc26107"/>
      <w:r>
        <w:rPr>
          <w:rFonts w:hint="eastAsia" w:ascii="宋体" w:hAnsi="宋体" w:cs="宋体"/>
          <w:bCs/>
          <w:color w:val="auto"/>
          <w:szCs w:val="21"/>
        </w:rPr>
        <w:t>2. 特殊技术标准和要求</w:t>
      </w:r>
      <w:bookmarkEnd w:id="979"/>
      <w:bookmarkEnd w:id="980"/>
    </w:p>
    <w:p w14:paraId="11B962DF">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default" w:ascii="宋体" w:hAnsi="宋体" w:cs="宋体"/>
          <w:bCs/>
          <w:color w:val="auto"/>
          <w:szCs w:val="21"/>
          <w:lang w:val="en-US"/>
        </w:rPr>
      </w:pPr>
      <w:r>
        <w:rPr>
          <w:rFonts w:hint="eastAsia" w:ascii="宋体" w:hAnsi="宋体" w:cs="宋体"/>
          <w:bCs/>
          <w:color w:val="auto"/>
          <w:szCs w:val="21"/>
        </w:rPr>
        <w:t xml:space="preserve">  </w:t>
      </w:r>
      <w:r>
        <w:rPr>
          <w:rFonts w:hint="eastAsia" w:ascii="宋体" w:hAnsi="宋体" w:cs="宋体"/>
          <w:bCs/>
          <w:color w:val="auto"/>
          <w:szCs w:val="21"/>
          <w:lang w:val="en-US" w:eastAsia="zh-CN"/>
        </w:rPr>
        <w:t xml:space="preserve"> 见招标项目施工图纸；其中环控、监控系统应具备可视、可测、可调、可控，且须匹配并接入招标人监控系统服务器平台系统。</w:t>
      </w:r>
    </w:p>
    <w:p w14:paraId="097B6B93">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bCs/>
          <w:color w:val="auto"/>
          <w:szCs w:val="21"/>
        </w:rPr>
      </w:pPr>
    </w:p>
    <w:p w14:paraId="7ECBB3F6">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bCs/>
          <w:color w:val="auto"/>
          <w:szCs w:val="21"/>
        </w:rPr>
      </w:pPr>
      <w:bookmarkStart w:id="981" w:name="_Toc95223528"/>
      <w:bookmarkStart w:id="982" w:name="_Toc30517"/>
      <w:r>
        <w:rPr>
          <w:rFonts w:hint="eastAsia" w:ascii="宋体" w:hAnsi="宋体" w:cs="宋体"/>
          <w:bCs/>
          <w:color w:val="auto"/>
          <w:szCs w:val="21"/>
        </w:rPr>
        <w:t>3. 适用的国家、行业以及地方标准、规范和规程</w:t>
      </w:r>
      <w:bookmarkEnd w:id="981"/>
      <w:bookmarkEnd w:id="982"/>
    </w:p>
    <w:p w14:paraId="6DA9761E">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bCs/>
          <w:color w:val="auto"/>
          <w:szCs w:val="21"/>
          <w:lang w:val="en-US" w:eastAsia="zh-CN"/>
        </w:rPr>
      </w:pPr>
      <w:r>
        <w:rPr>
          <w:rFonts w:hint="eastAsia" w:ascii="宋体" w:hAnsi="宋体" w:cs="宋体"/>
          <w:bCs/>
          <w:color w:val="auto"/>
          <w:szCs w:val="21"/>
          <w:lang w:val="en-US" w:eastAsia="zh-CN"/>
        </w:rPr>
        <w:t>本招标项目施工、验收须达到设计文件的要求和国家及有关部委、安徽省、项目所在市现行的工程建设标准、规范、规定的要求（文件标准之间相互冲突的，以标准较高者为准）。</w:t>
      </w:r>
    </w:p>
    <w:p w14:paraId="760AA8CC">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bCs/>
          <w:color w:val="auto"/>
          <w:szCs w:val="21"/>
          <w:lang w:val="en-US" w:eastAsia="zh-CN"/>
        </w:rPr>
      </w:pPr>
    </w:p>
    <w:p w14:paraId="3FC5B49C">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bCs/>
          <w:color w:val="auto"/>
          <w:szCs w:val="21"/>
          <w:lang w:val="en-US" w:eastAsia="zh-CN"/>
        </w:rPr>
      </w:pPr>
      <w:r>
        <w:rPr>
          <w:rFonts w:hint="eastAsia" w:ascii="宋体" w:hAnsi="宋体" w:cs="宋体"/>
          <w:bCs/>
          <w:color w:val="auto"/>
          <w:szCs w:val="21"/>
          <w:lang w:val="en-US" w:eastAsia="zh-CN"/>
        </w:rPr>
        <w:t>4、本项目光伏组件和逆变器由招标人提供。</w:t>
      </w:r>
      <w:bookmarkStart w:id="983" w:name="_Toc16564"/>
      <w:bookmarkStart w:id="984" w:name="_Toc95223529"/>
    </w:p>
    <w:p w14:paraId="4A50246B">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bCs/>
          <w:color w:val="auto"/>
          <w:szCs w:val="21"/>
        </w:rPr>
      </w:pPr>
    </w:p>
    <w:p w14:paraId="29B1C382">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default" w:ascii="宋体" w:hAnsi="宋体" w:cs="宋体"/>
          <w:bCs/>
          <w:color w:val="auto"/>
          <w:szCs w:val="21"/>
          <w:lang w:val="en-US" w:eastAsia="zh-CN"/>
        </w:rPr>
      </w:pPr>
      <w:r>
        <w:rPr>
          <w:rFonts w:hint="eastAsia" w:ascii="宋体" w:hAnsi="宋体" w:cs="宋体"/>
          <w:bCs/>
          <w:color w:val="auto"/>
          <w:szCs w:val="21"/>
          <w:lang w:val="en-US" w:eastAsia="zh-CN"/>
        </w:rPr>
        <w:t>5</w:t>
      </w:r>
      <w:r>
        <w:rPr>
          <w:rFonts w:hint="eastAsia" w:ascii="宋体" w:hAnsi="宋体" w:cs="宋体"/>
          <w:bCs/>
          <w:color w:val="auto"/>
          <w:szCs w:val="21"/>
        </w:rPr>
        <w:t>. 招标人</w:t>
      </w:r>
      <w:r>
        <w:rPr>
          <w:rFonts w:hint="eastAsia" w:ascii="宋体" w:hAnsi="宋体" w:cs="宋体"/>
          <w:bCs/>
          <w:color w:val="auto"/>
          <w:szCs w:val="21"/>
          <w:lang w:val="en-US" w:eastAsia="zh-CN"/>
        </w:rPr>
        <w:t>不</w:t>
      </w:r>
      <w:r>
        <w:rPr>
          <w:rFonts w:hint="eastAsia" w:ascii="宋体" w:hAnsi="宋体" w:cs="宋体"/>
          <w:bCs/>
          <w:color w:val="auto"/>
          <w:szCs w:val="21"/>
        </w:rPr>
        <w:t>推荐品牌</w:t>
      </w:r>
      <w:bookmarkEnd w:id="983"/>
      <w:bookmarkEnd w:id="984"/>
      <w:r>
        <w:rPr>
          <w:rFonts w:hint="eastAsia" w:ascii="宋体" w:hAnsi="宋体" w:cs="宋体"/>
          <w:bCs/>
          <w:color w:val="auto"/>
          <w:szCs w:val="21"/>
          <w:lang w:eastAsia="zh-CN"/>
        </w:rPr>
        <w:t>，</w:t>
      </w:r>
      <w:r>
        <w:rPr>
          <w:rFonts w:hint="eastAsia" w:ascii="宋体" w:hAnsi="宋体" w:cs="宋体"/>
          <w:bCs/>
          <w:color w:val="auto"/>
          <w:szCs w:val="21"/>
          <w:lang w:val="en-US" w:eastAsia="zh-CN"/>
        </w:rPr>
        <w:t>其中主要材料或设施设备（甲供材除外），由施工单位提供，需经招标人审核确定。</w:t>
      </w:r>
    </w:p>
    <w:p w14:paraId="3A3DFD1F">
      <w:pPr>
        <w:pStyle w:val="6"/>
        <w:adjustRightInd w:val="0"/>
        <w:snapToGrid w:val="0"/>
        <w:spacing w:before="0" w:after="0" w:line="560" w:lineRule="exact"/>
        <w:jc w:val="center"/>
        <w:rPr>
          <w:bCs/>
          <w:szCs w:val="32"/>
          <w:highlight w:val="none"/>
        </w:rPr>
      </w:pPr>
      <w:r>
        <w:rPr>
          <w:rFonts w:hint="eastAsia" w:ascii="宋体" w:hAnsi="宋体" w:cs="宋体"/>
          <w:bCs/>
          <w:color w:val="000000"/>
          <w:szCs w:val="21"/>
        </w:rPr>
        <w:br w:type="page"/>
      </w:r>
      <w:r>
        <w:rPr>
          <w:rFonts w:hint="eastAsia"/>
          <w:color w:val="000000"/>
        </w:rPr>
        <w:t>第</w:t>
      </w:r>
      <w:r>
        <w:rPr>
          <w:rFonts w:hint="eastAsia"/>
          <w:color w:val="000000"/>
          <w:lang w:val="en-US" w:eastAsia="zh-CN"/>
        </w:rPr>
        <w:t>九</w:t>
      </w:r>
      <w:r>
        <w:rPr>
          <w:rFonts w:hint="eastAsia"/>
          <w:color w:val="000000"/>
        </w:rPr>
        <w:t>章  投标文件格式</w:t>
      </w:r>
      <w:bookmarkEnd w:id="960"/>
      <w:bookmarkEnd w:id="961"/>
      <w:bookmarkEnd w:id="962"/>
      <w:bookmarkEnd w:id="963"/>
      <w:bookmarkEnd w:id="964"/>
      <w:bookmarkEnd w:id="965"/>
      <w:bookmarkEnd w:id="966"/>
      <w:bookmarkEnd w:id="967"/>
      <w:bookmarkEnd w:id="968"/>
      <w:bookmarkEnd w:id="969"/>
      <w:bookmarkEnd w:id="970"/>
      <w:bookmarkEnd w:id="971"/>
      <w:bookmarkEnd w:id="972"/>
    </w:p>
    <w:p w14:paraId="7B05D42C">
      <w:pPr>
        <w:rPr>
          <w:highlight w:val="none"/>
        </w:rPr>
      </w:pPr>
    </w:p>
    <w:p w14:paraId="082E4B32">
      <w:pPr>
        <w:rPr>
          <w:highlight w:val="none"/>
        </w:rPr>
      </w:pPr>
    </w:p>
    <w:p w14:paraId="5069B979">
      <w:pPr>
        <w:rPr>
          <w:highlight w:val="none"/>
        </w:rPr>
      </w:pPr>
    </w:p>
    <w:p w14:paraId="56143D65">
      <w:pPr>
        <w:jc w:val="center"/>
        <w:rPr>
          <w:rFonts w:eastAsia="黑体"/>
          <w:sz w:val="20"/>
          <w:szCs w:val="20"/>
          <w:highlight w:val="none"/>
        </w:rPr>
      </w:pPr>
      <w:r>
        <w:rPr>
          <w:rFonts w:eastAsia="黑体"/>
          <w:sz w:val="28"/>
          <w:szCs w:val="28"/>
          <w:highlight w:val="none"/>
        </w:rPr>
        <w:t>（项目名称）</w:t>
      </w:r>
    </w:p>
    <w:p w14:paraId="7576ABA9">
      <w:pPr>
        <w:jc w:val="center"/>
        <w:rPr>
          <w:rFonts w:eastAsia="黑体"/>
          <w:sz w:val="20"/>
          <w:szCs w:val="20"/>
          <w:highlight w:val="none"/>
        </w:rPr>
      </w:pPr>
    </w:p>
    <w:p w14:paraId="7FF06958">
      <w:pPr>
        <w:jc w:val="center"/>
        <w:rPr>
          <w:rFonts w:eastAsia="黑体"/>
          <w:sz w:val="20"/>
          <w:szCs w:val="20"/>
          <w:highlight w:val="none"/>
        </w:rPr>
      </w:pPr>
    </w:p>
    <w:p w14:paraId="3165CB1E">
      <w:pPr>
        <w:jc w:val="center"/>
        <w:rPr>
          <w:rFonts w:eastAsia="黑体"/>
          <w:sz w:val="20"/>
          <w:szCs w:val="20"/>
          <w:highlight w:val="none"/>
        </w:rPr>
      </w:pPr>
    </w:p>
    <w:p w14:paraId="75BA9D51">
      <w:pPr>
        <w:rPr>
          <w:rFonts w:eastAsia="黑体"/>
          <w:sz w:val="20"/>
          <w:szCs w:val="20"/>
          <w:highlight w:val="none"/>
        </w:rPr>
      </w:pPr>
    </w:p>
    <w:p w14:paraId="347DEE05">
      <w:pPr>
        <w:jc w:val="center"/>
        <w:rPr>
          <w:rFonts w:eastAsia="黑体"/>
          <w:sz w:val="44"/>
          <w:szCs w:val="44"/>
          <w:highlight w:val="none"/>
        </w:rPr>
      </w:pPr>
      <w:r>
        <w:rPr>
          <w:rFonts w:eastAsia="黑体"/>
          <w:sz w:val="44"/>
          <w:szCs w:val="44"/>
          <w:highlight w:val="none"/>
        </w:rPr>
        <w:t>投  标  文  件</w:t>
      </w:r>
      <w:r>
        <w:rPr>
          <w:rFonts w:hint="eastAsia" w:eastAsia="黑体"/>
          <w:sz w:val="44"/>
          <w:szCs w:val="44"/>
          <w:highlight w:val="none"/>
        </w:rPr>
        <w:t xml:space="preserve"> 一</w:t>
      </w:r>
    </w:p>
    <w:p w14:paraId="4404D72F">
      <w:pPr>
        <w:jc w:val="center"/>
        <w:rPr>
          <w:rFonts w:eastAsia="黑体"/>
          <w:sz w:val="44"/>
          <w:szCs w:val="44"/>
          <w:highlight w:val="none"/>
        </w:rPr>
      </w:pPr>
      <w:r>
        <w:rPr>
          <w:rFonts w:hint="eastAsia" w:eastAsia="黑体"/>
          <w:sz w:val="44"/>
          <w:szCs w:val="44"/>
          <w:highlight w:val="none"/>
        </w:rPr>
        <w:t>（资信证明文件）</w:t>
      </w:r>
    </w:p>
    <w:p w14:paraId="69FD5586">
      <w:pPr>
        <w:rPr>
          <w:rFonts w:eastAsia="黑体"/>
          <w:sz w:val="28"/>
          <w:szCs w:val="28"/>
          <w:highlight w:val="none"/>
        </w:rPr>
      </w:pPr>
    </w:p>
    <w:p w14:paraId="61671114">
      <w:pPr>
        <w:rPr>
          <w:rFonts w:eastAsia="黑体"/>
          <w:sz w:val="28"/>
          <w:szCs w:val="28"/>
          <w:highlight w:val="none"/>
        </w:rPr>
      </w:pPr>
    </w:p>
    <w:p w14:paraId="7707CE46">
      <w:pPr>
        <w:rPr>
          <w:rFonts w:eastAsia="黑体"/>
          <w:sz w:val="28"/>
          <w:szCs w:val="28"/>
          <w:highlight w:val="none"/>
        </w:rPr>
      </w:pPr>
    </w:p>
    <w:p w14:paraId="3E29662A">
      <w:pPr>
        <w:rPr>
          <w:rFonts w:eastAsia="黑体"/>
          <w:sz w:val="28"/>
          <w:szCs w:val="28"/>
          <w:highlight w:val="none"/>
        </w:rPr>
      </w:pPr>
    </w:p>
    <w:p w14:paraId="69D02104">
      <w:pPr>
        <w:pStyle w:val="2"/>
        <w:ind w:firstLine="420"/>
        <w:rPr>
          <w:rFonts w:ascii="Times New Roman"/>
          <w:szCs w:val="24"/>
          <w:highlight w:val="none"/>
        </w:rPr>
      </w:pPr>
    </w:p>
    <w:p w14:paraId="3062FE47">
      <w:pPr>
        <w:rPr>
          <w:rFonts w:ascii="Times New Roman"/>
          <w:szCs w:val="24"/>
          <w:highlight w:val="none"/>
        </w:rPr>
      </w:pPr>
    </w:p>
    <w:p w14:paraId="78F93F73">
      <w:pPr>
        <w:pStyle w:val="2"/>
        <w:rPr>
          <w:rFonts w:ascii="Times New Roman"/>
          <w:szCs w:val="24"/>
          <w:highlight w:val="none"/>
        </w:rPr>
      </w:pPr>
    </w:p>
    <w:p w14:paraId="1E9D0BD8">
      <w:pPr>
        <w:rPr>
          <w:rFonts w:ascii="Times New Roman"/>
          <w:szCs w:val="24"/>
          <w:highlight w:val="none"/>
        </w:rPr>
      </w:pPr>
    </w:p>
    <w:p w14:paraId="13AFD6AD">
      <w:pPr>
        <w:pStyle w:val="2"/>
      </w:pPr>
    </w:p>
    <w:p w14:paraId="0799C826">
      <w:pPr>
        <w:pStyle w:val="2"/>
        <w:ind w:firstLine="420"/>
        <w:rPr>
          <w:highlight w:val="none"/>
        </w:rPr>
      </w:pPr>
    </w:p>
    <w:p w14:paraId="63F5BB9B">
      <w:pPr>
        <w:rPr>
          <w:rFonts w:eastAsia="黑体"/>
          <w:sz w:val="28"/>
          <w:szCs w:val="28"/>
          <w:highlight w:val="none"/>
        </w:rPr>
      </w:pPr>
    </w:p>
    <w:p w14:paraId="6ECEBDFF">
      <w:pPr>
        <w:keepNext w:val="0"/>
        <w:keepLines w:val="0"/>
        <w:pageBreakBefore w:val="0"/>
        <w:widowControl w:val="0"/>
        <w:kinsoku/>
        <w:wordWrap/>
        <w:overflowPunct/>
        <w:topLinePunct w:val="0"/>
        <w:autoSpaceDE/>
        <w:autoSpaceDN/>
        <w:bidi w:val="0"/>
        <w:adjustRightInd/>
        <w:snapToGrid/>
        <w:spacing w:line="720" w:lineRule="auto"/>
        <w:textAlignment w:val="auto"/>
        <w:rPr>
          <w:rFonts w:eastAsia="黑体"/>
          <w:sz w:val="28"/>
          <w:szCs w:val="28"/>
          <w:highlight w:val="none"/>
        </w:rPr>
      </w:pPr>
    </w:p>
    <w:p w14:paraId="6252277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u w:val="single"/>
        </w:rPr>
      </w:pPr>
      <w:r>
        <w:rPr>
          <w:rFonts w:hint="eastAsia" w:eastAsia="黑体"/>
          <w:sz w:val="28"/>
          <w:szCs w:val="28"/>
        </w:rPr>
        <w:t xml:space="preserve"> 投标人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w:t>
      </w:r>
      <w:r>
        <w:rPr>
          <w:rFonts w:eastAsia="黑体"/>
          <w:sz w:val="28"/>
          <w:szCs w:val="28"/>
        </w:rPr>
        <w:t>章）</w:t>
      </w:r>
    </w:p>
    <w:p w14:paraId="097218CB">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rPr>
      </w:pPr>
      <w:r>
        <w:rPr>
          <w:rFonts w:hint="eastAsia" w:eastAsia="黑体"/>
          <w:sz w:val="28"/>
          <w:szCs w:val="28"/>
        </w:rPr>
        <w:t xml:space="preserve">   </w:t>
      </w:r>
      <w:r>
        <w:rPr>
          <w:rFonts w:eastAsia="黑体"/>
          <w:sz w:val="28"/>
          <w:szCs w:val="28"/>
        </w:rPr>
        <w:t>法定代表人</w:t>
      </w:r>
      <w:r>
        <w:rPr>
          <w:rFonts w:hint="eastAsia" w:eastAsia="黑体"/>
          <w:sz w:val="28"/>
          <w:szCs w:val="28"/>
          <w:lang w:val="en-US" w:eastAsia="zh-CN"/>
        </w:rPr>
        <w:t>或授权委托人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签字或盖章</w:t>
      </w:r>
      <w:r>
        <w:rPr>
          <w:rFonts w:eastAsia="黑体"/>
          <w:sz w:val="28"/>
          <w:szCs w:val="28"/>
        </w:rPr>
        <w:t>）</w:t>
      </w:r>
    </w:p>
    <w:p w14:paraId="211A5DCF">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7802AEA0">
      <w:pPr>
        <w:rPr>
          <w:highlight w:val="none"/>
        </w:rPr>
      </w:pPr>
      <w:bookmarkStart w:id="985" w:name="_Toc35425137"/>
      <w:bookmarkStart w:id="986" w:name="_Toc35424971"/>
      <w:bookmarkStart w:id="987" w:name="_Toc12683"/>
    </w:p>
    <w:p w14:paraId="0EBCA57C">
      <w:pPr>
        <w:spacing w:beforeLines="50" w:afterLines="50" w:line="440" w:lineRule="exact"/>
        <w:ind w:firstLine="643" w:firstLineChars="200"/>
        <w:jc w:val="left"/>
        <w:rPr>
          <w:rFonts w:ascii="宋体" w:hAnsi="宋体" w:cs="宋体"/>
          <w:b/>
          <w:sz w:val="28"/>
          <w:szCs w:val="28"/>
          <w:highlight w:val="none"/>
        </w:rPr>
      </w:pPr>
      <w:bookmarkStart w:id="988" w:name="_Toc78803399"/>
      <w:r>
        <w:rPr>
          <w:rStyle w:val="120"/>
          <w:rFonts w:hint="eastAsia" w:ascii="宋体" w:hAnsi="宋体" w:cs="宋体"/>
          <w:sz w:val="32"/>
          <w:highlight w:val="none"/>
        </w:rPr>
        <w:br w:type="page"/>
      </w:r>
      <w:r>
        <w:rPr>
          <w:rStyle w:val="120"/>
          <w:rFonts w:hint="eastAsia" w:ascii="宋体" w:hAnsi="宋体" w:cs="宋体"/>
          <w:sz w:val="32"/>
          <w:highlight w:val="none"/>
        </w:rPr>
        <w:t>投标文件一</w:t>
      </w:r>
      <w:bookmarkEnd w:id="985"/>
      <w:bookmarkEnd w:id="986"/>
      <w:bookmarkEnd w:id="987"/>
      <w:bookmarkEnd w:id="988"/>
      <w:r>
        <w:rPr>
          <w:rFonts w:hint="eastAsia" w:ascii="宋体" w:hAnsi="宋体" w:cs="宋体"/>
          <w:b/>
          <w:sz w:val="28"/>
          <w:szCs w:val="28"/>
          <w:highlight w:val="none"/>
        </w:rPr>
        <w:t>：资信证明文件目录</w:t>
      </w:r>
    </w:p>
    <w:p w14:paraId="649C76E1">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（1）法定代表人身份证明文件和本人有效身份证(或法定代表人授权委托书和委托代理人有效身份证)；</w:t>
      </w:r>
    </w:p>
    <w:p w14:paraId="50C7D52B">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（2）诚信投标承诺书；</w:t>
      </w:r>
    </w:p>
    <w:p w14:paraId="4E5CBE15">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（3）企业法人营业执照；</w:t>
      </w:r>
    </w:p>
    <w:p w14:paraId="04DBAEE1">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（4）企业资质证书</w:t>
      </w:r>
      <w:r>
        <w:rPr>
          <w:rFonts w:hint="eastAsia" w:ascii="宋体" w:hAnsi="宋体" w:cs="宋体"/>
          <w:szCs w:val="21"/>
          <w:highlight w:val="none"/>
          <w:lang w:val="en-US" w:eastAsia="zh-CN"/>
        </w:rPr>
        <w:t>及</w:t>
      </w:r>
      <w:r>
        <w:rPr>
          <w:rFonts w:hint="eastAsia" w:ascii="宋体" w:hAnsi="宋体" w:cs="宋体"/>
          <w:color w:val="000000"/>
          <w:szCs w:val="21"/>
        </w:rPr>
        <w:t>企业安全生产许可证</w:t>
      </w:r>
      <w:r>
        <w:rPr>
          <w:rFonts w:hint="eastAsia" w:ascii="宋体" w:hAnsi="宋体" w:cs="宋体"/>
          <w:szCs w:val="21"/>
          <w:highlight w:val="none"/>
        </w:rPr>
        <w:t>；</w:t>
      </w:r>
    </w:p>
    <w:p w14:paraId="548842A1">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（5）</w:t>
      </w:r>
      <w:r>
        <w:rPr>
          <w:rFonts w:hint="eastAsia" w:ascii="宋体" w:hAnsi="宋体" w:cs="宋体"/>
          <w:color w:val="000000"/>
          <w:szCs w:val="21"/>
        </w:rPr>
        <w:t>项目经理（建造师）有效身份证、注册证书以及安全生产考核合格证书（B证）</w:t>
      </w:r>
      <w:r>
        <w:rPr>
          <w:rFonts w:hint="eastAsia" w:ascii="宋体" w:hAnsi="宋体" w:cs="宋体"/>
          <w:szCs w:val="21"/>
          <w:highlight w:val="none"/>
        </w:rPr>
        <w:t>；</w:t>
      </w:r>
    </w:p>
    <w:p w14:paraId="01EE2524">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cs="宋体"/>
          <w:color w:val="000000"/>
          <w:szCs w:val="21"/>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000000"/>
          <w:szCs w:val="21"/>
          <w:lang w:eastAsia="zh-CN"/>
        </w:rPr>
        <w:t>；</w:t>
      </w:r>
    </w:p>
    <w:p w14:paraId="2737E4A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7</w:t>
      </w:r>
      <w:r>
        <w:rPr>
          <w:rFonts w:hint="eastAsia" w:ascii="宋体" w:hAnsi="宋体" w:cs="宋体"/>
          <w:szCs w:val="21"/>
          <w:highlight w:val="none"/>
          <w:lang w:eastAsia="zh-CN"/>
        </w:rPr>
        <w:t>）</w:t>
      </w:r>
      <w:r>
        <w:rPr>
          <w:rFonts w:hint="eastAsia" w:ascii="宋体" w:hAnsi="宋体" w:cs="宋体"/>
          <w:szCs w:val="21"/>
          <w:highlight w:val="none"/>
        </w:rPr>
        <w:t>需要提供的所有证明材料</w:t>
      </w:r>
      <w:r>
        <w:rPr>
          <w:rFonts w:hint="eastAsia" w:ascii="宋体" w:hAnsi="宋体" w:cs="宋体"/>
          <w:szCs w:val="21"/>
          <w:highlight w:val="none"/>
          <w:lang w:eastAsia="zh-CN"/>
        </w:rPr>
        <w:t>。</w:t>
      </w:r>
    </w:p>
    <w:p w14:paraId="59163E6F">
      <w:pPr>
        <w:spacing w:line="360" w:lineRule="auto"/>
        <w:jc w:val="center"/>
        <w:rPr>
          <w:rFonts w:ascii="宋体"/>
          <w:b/>
          <w:sz w:val="28"/>
          <w:szCs w:val="28"/>
          <w:highlight w:val="none"/>
        </w:rPr>
      </w:pPr>
      <w:r>
        <w:rPr>
          <w:rFonts w:hint="eastAsia"/>
          <w:b/>
          <w:sz w:val="28"/>
          <w:szCs w:val="28"/>
          <w:highlight w:val="none"/>
        </w:rPr>
        <w:br w:type="page"/>
      </w:r>
      <w:r>
        <w:rPr>
          <w:rFonts w:hint="eastAsia"/>
          <w:b/>
          <w:sz w:val="28"/>
          <w:szCs w:val="28"/>
          <w:highlight w:val="none"/>
        </w:rPr>
        <w:t>（1）法定代表人身份证明或授权委托书</w:t>
      </w:r>
    </w:p>
    <w:p w14:paraId="1618991E">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b/>
          <w:color w:val="auto"/>
          <w:sz w:val="24"/>
          <w:szCs w:val="24"/>
          <w:highlight w:val="none"/>
        </w:rPr>
      </w:pPr>
      <w:bookmarkStart w:id="989" w:name="_Toc503196197"/>
      <w:bookmarkStart w:id="990" w:name="_Toc506107356"/>
      <w:bookmarkStart w:id="991" w:name="_Toc26598"/>
      <w:r>
        <w:rPr>
          <w:rFonts w:hint="eastAsia" w:ascii="宋体"/>
          <w:color w:val="auto"/>
          <w:sz w:val="24"/>
          <w:szCs w:val="24"/>
          <w:highlight w:val="none"/>
        </w:rPr>
        <w:t>1、法定代表人身份证明</w:t>
      </w:r>
    </w:p>
    <w:p w14:paraId="5CD0926A">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投标人名称：</w:t>
      </w:r>
      <w:r>
        <w:rPr>
          <w:rFonts w:hint="eastAsia" w:ascii="宋体"/>
          <w:sz w:val="24"/>
          <w:highlight w:val="none"/>
          <w:u w:val="single"/>
        </w:rPr>
        <w:t xml:space="preserve">                            </w:t>
      </w:r>
    </w:p>
    <w:p w14:paraId="30E6B7AC">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单位性质：</w:t>
      </w:r>
      <w:r>
        <w:rPr>
          <w:rFonts w:hint="eastAsia" w:ascii="宋体"/>
          <w:sz w:val="24"/>
          <w:highlight w:val="none"/>
          <w:u w:val="single"/>
        </w:rPr>
        <w:t xml:space="preserve">                              </w:t>
      </w:r>
    </w:p>
    <w:p w14:paraId="2B53194B">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地    址：</w:t>
      </w:r>
      <w:r>
        <w:rPr>
          <w:rFonts w:hint="eastAsia" w:ascii="宋体"/>
          <w:sz w:val="24"/>
          <w:highlight w:val="none"/>
          <w:u w:val="single"/>
        </w:rPr>
        <w:t xml:space="preserve">                              </w:t>
      </w:r>
    </w:p>
    <w:p w14:paraId="2672DE77">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56E18266">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经营期限：</w:t>
      </w:r>
      <w:r>
        <w:rPr>
          <w:rFonts w:hint="eastAsia" w:ascii="宋体"/>
          <w:sz w:val="24"/>
          <w:highlight w:val="none"/>
          <w:u w:val="single"/>
        </w:rPr>
        <w:t xml:space="preserve">                              </w:t>
      </w:r>
    </w:p>
    <w:p w14:paraId="7220154A">
      <w:pPr>
        <w:keepNext w:val="0"/>
        <w:keepLines w:val="0"/>
        <w:pageBreakBefore w:val="0"/>
        <w:kinsoku/>
        <w:wordWrap/>
        <w:overflowPunct/>
        <w:topLinePunct w:val="0"/>
        <w:autoSpaceDE/>
        <w:autoSpaceDN/>
        <w:bidi w:val="0"/>
        <w:adjustRightInd/>
        <w:snapToGrid/>
        <w:spacing w:line="440" w:lineRule="exact"/>
        <w:jc w:val="left"/>
        <w:rPr>
          <w:rFonts w:ascii="宋体"/>
          <w:sz w:val="24"/>
          <w:highlight w:val="none"/>
          <w:u w:val="single"/>
        </w:rPr>
      </w:pPr>
      <w:r>
        <w:rPr>
          <w:rFonts w:hint="eastAsia" w:ascii="宋体"/>
          <w:spacing w:val="240"/>
          <w:sz w:val="24"/>
          <w:highlight w:val="none"/>
        </w:rPr>
        <w:t>姓</w:t>
      </w:r>
      <w:r>
        <w:rPr>
          <w:rFonts w:hint="eastAsia" w:ascii="宋体"/>
          <w:sz w:val="24"/>
          <w:highlight w:val="none"/>
        </w:rPr>
        <w:t>名：</w:t>
      </w:r>
      <w:r>
        <w:rPr>
          <w:rFonts w:hint="eastAsia" w:ascii="宋体"/>
          <w:sz w:val="24"/>
          <w:highlight w:val="none"/>
          <w:u w:val="single"/>
        </w:rPr>
        <w:t xml:space="preserve">     </w:t>
      </w:r>
      <w:r>
        <w:rPr>
          <w:rFonts w:hint="eastAsia" w:ascii="宋体"/>
          <w:sz w:val="24"/>
          <w:highlight w:val="none"/>
        </w:rPr>
        <w:t>身份证号码：</w:t>
      </w:r>
      <w:r>
        <w:rPr>
          <w:rFonts w:hint="eastAsia" w:ascii="宋体"/>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rPr>
        <w:t>，系</w:t>
      </w:r>
      <w:r>
        <w:rPr>
          <w:rFonts w:hint="eastAsia" w:ascii="宋体"/>
          <w:sz w:val="24"/>
          <w:highlight w:val="none"/>
          <w:u w:val="single"/>
        </w:rPr>
        <w:t xml:space="preserve">     （投标人名称）</w:t>
      </w:r>
      <w:r>
        <w:rPr>
          <w:rFonts w:hint="eastAsia" w:ascii="宋体"/>
          <w:sz w:val="24"/>
          <w:highlight w:val="none"/>
        </w:rPr>
        <w:t>的法定代表人。</w:t>
      </w:r>
    </w:p>
    <w:p w14:paraId="13BA0D93">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特此证明。</w:t>
      </w:r>
    </w:p>
    <w:p w14:paraId="5AB38E67">
      <w:pPr>
        <w:keepNext w:val="0"/>
        <w:keepLines w:val="0"/>
        <w:pageBreakBefore w:val="0"/>
        <w:kinsoku/>
        <w:wordWrap/>
        <w:overflowPunct/>
        <w:topLinePunct w:val="0"/>
        <w:autoSpaceDE/>
        <w:autoSpaceDN/>
        <w:bidi w:val="0"/>
        <w:adjustRightInd/>
        <w:snapToGrid/>
        <w:spacing w:line="440" w:lineRule="exact"/>
        <w:ind w:firstLine="480" w:firstLineChars="200"/>
        <w:rPr>
          <w:highlight w:val="none"/>
        </w:rPr>
      </w:pPr>
      <w:r>
        <w:rPr>
          <w:rFonts w:hint="eastAsia" w:ascii="宋体"/>
          <w:sz w:val="24"/>
          <w:highlight w:val="none"/>
        </w:rPr>
        <w:t>附：</w:t>
      </w:r>
      <w:r>
        <w:rPr>
          <w:rFonts w:hint="eastAsia" w:ascii="宋体"/>
          <w:b/>
          <w:sz w:val="24"/>
          <w:highlight w:val="none"/>
        </w:rPr>
        <w:t>法定代表人有效身份证扫描件</w:t>
      </w:r>
    </w:p>
    <w:p w14:paraId="3089C1AB">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u w:val="single"/>
          <w:lang w:val="en-US" w:eastAsia="zh-CN"/>
        </w:rPr>
        <w:t>盖</w:t>
      </w:r>
      <w:r>
        <w:rPr>
          <w:rFonts w:hint="eastAsia" w:ascii="宋体"/>
          <w:sz w:val="24"/>
          <w:highlight w:val="none"/>
          <w:u w:val="single"/>
        </w:rPr>
        <w:t>章）</w:t>
      </w:r>
    </w:p>
    <w:p w14:paraId="34409C45">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 xml:space="preserve">                                        年    月     日</w:t>
      </w:r>
    </w:p>
    <w:p w14:paraId="2F0B7B0C">
      <w:pPr>
        <w:keepNext w:val="0"/>
        <w:keepLines w:val="0"/>
        <w:pageBreakBefore w:val="0"/>
        <w:kinsoku/>
        <w:wordWrap/>
        <w:overflowPunct/>
        <w:topLinePunct w:val="0"/>
        <w:autoSpaceDE/>
        <w:autoSpaceDN/>
        <w:bidi w:val="0"/>
        <w:adjustRightInd/>
        <w:snapToGrid/>
        <w:spacing w:line="440" w:lineRule="exact"/>
        <w:rPr>
          <w:highlight w:val="none"/>
        </w:rPr>
      </w:pPr>
    </w:p>
    <w:p w14:paraId="1550066F">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14:paraId="00E2E773">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sz w:val="24"/>
          <w:highlight w:val="none"/>
        </w:rPr>
      </w:pPr>
      <w:r>
        <w:rPr>
          <w:rFonts w:hint="eastAsia" w:ascii="宋体"/>
          <w:sz w:val="24"/>
          <w:highlight w:val="none"/>
        </w:rPr>
        <w:t>本人</w:t>
      </w:r>
      <w:r>
        <w:rPr>
          <w:rFonts w:hint="eastAsia" w:ascii="宋体"/>
          <w:sz w:val="24"/>
          <w:highlight w:val="none"/>
          <w:u w:val="single"/>
        </w:rPr>
        <w:t xml:space="preserve"> （姓名）</w:t>
      </w:r>
      <w:r>
        <w:rPr>
          <w:rFonts w:hint="eastAsia" w:ascii="宋体"/>
          <w:sz w:val="24"/>
          <w:highlight w:val="none"/>
        </w:rPr>
        <w:t>系</w:t>
      </w:r>
      <w:r>
        <w:rPr>
          <w:rFonts w:hint="eastAsia" w:ascii="宋体"/>
          <w:sz w:val="24"/>
          <w:highlight w:val="none"/>
          <w:u w:val="single"/>
        </w:rPr>
        <w:t>（投标人）</w:t>
      </w:r>
      <w:r>
        <w:rPr>
          <w:rFonts w:hint="eastAsia" w:ascii="宋体"/>
          <w:sz w:val="24"/>
          <w:highlight w:val="none"/>
        </w:rPr>
        <w:t>的法定代表人，现委托</w:t>
      </w:r>
      <w:r>
        <w:rPr>
          <w:rFonts w:hint="eastAsia" w:ascii="宋体"/>
          <w:sz w:val="24"/>
          <w:highlight w:val="none"/>
          <w:u w:val="single"/>
        </w:rPr>
        <w:t>（姓名）</w:t>
      </w:r>
      <w:r>
        <w:rPr>
          <w:rFonts w:hint="eastAsia" w:ascii="宋体"/>
          <w:sz w:val="24"/>
          <w:highlight w:val="none"/>
        </w:rPr>
        <w:t>为我方代理人。代理人根据授权，以我方名义签署、澄清、说明、补正、递交、撤回、修改</w:t>
      </w:r>
      <w:r>
        <w:rPr>
          <w:rFonts w:hint="eastAsia" w:ascii="宋体"/>
          <w:sz w:val="24"/>
          <w:highlight w:val="none"/>
          <w:u w:val="single"/>
        </w:rPr>
        <w:t xml:space="preserve"> “   ”(项目名称）</w:t>
      </w:r>
      <w:r>
        <w:rPr>
          <w:rFonts w:hint="eastAsia" w:ascii="宋体"/>
          <w:sz w:val="24"/>
          <w:highlight w:val="none"/>
        </w:rPr>
        <w:t>投标文件，全权处理与该项目投标、评审答疑、签订合同以及与合同执行有关的一切事务，其法律后果由我方承担。</w:t>
      </w:r>
    </w:p>
    <w:p w14:paraId="104BA12E">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委托期限：</w:t>
      </w:r>
      <w:r>
        <w:rPr>
          <w:rFonts w:hint="eastAsia" w:ascii="宋体"/>
          <w:sz w:val="24"/>
          <w:highlight w:val="none"/>
          <w:u w:val="single"/>
          <w:lang w:val="en-US" w:eastAsia="zh-CN"/>
        </w:rPr>
        <w:t xml:space="preserve">              </w:t>
      </w:r>
      <w:r>
        <w:rPr>
          <w:rFonts w:hint="eastAsia" w:ascii="宋体" w:cs="宋体"/>
          <w:sz w:val="24"/>
          <w:highlight w:val="none"/>
        </w:rPr>
        <w:t>。</w:t>
      </w:r>
    </w:p>
    <w:p w14:paraId="5334BA4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代理人无转委托权。</w:t>
      </w:r>
    </w:p>
    <w:p w14:paraId="0A2C1F2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sz w:val="24"/>
          <w:highlight w:val="none"/>
        </w:rPr>
      </w:pPr>
      <w:r>
        <w:rPr>
          <w:rFonts w:hint="eastAsia" w:ascii="宋体"/>
          <w:sz w:val="24"/>
          <w:highlight w:val="none"/>
        </w:rPr>
        <w:t>附：</w:t>
      </w:r>
      <w:r>
        <w:rPr>
          <w:rFonts w:hint="eastAsia" w:ascii="宋体"/>
          <w:b/>
          <w:sz w:val="24"/>
          <w:highlight w:val="none"/>
        </w:rPr>
        <w:t>委托代理人有效身份证扫描件</w:t>
      </w:r>
    </w:p>
    <w:p w14:paraId="3E1AE668">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sz w:val="24"/>
          <w:highlight w:val="none"/>
        </w:rPr>
      </w:pPr>
      <w:r>
        <w:rPr>
          <w:rFonts w:hint="eastAsia" w:ascii="宋体"/>
          <w:b/>
          <w:sz w:val="24"/>
          <w:highlight w:val="none"/>
        </w:rPr>
        <w:t>法定代表人有效身份证扫描件</w:t>
      </w:r>
    </w:p>
    <w:p w14:paraId="3DC4B743">
      <w:pPr>
        <w:keepNext w:val="0"/>
        <w:keepLines w:val="0"/>
        <w:pageBreakBefore w:val="0"/>
        <w:kinsoku/>
        <w:wordWrap/>
        <w:overflowPunct/>
        <w:topLinePunct w:val="0"/>
        <w:autoSpaceDE/>
        <w:autoSpaceDN/>
        <w:bidi w:val="0"/>
        <w:adjustRightInd/>
        <w:snapToGrid/>
        <w:spacing w:line="440" w:lineRule="exact"/>
        <w:ind w:firstLine="833" w:firstLineChars="397"/>
        <w:rPr>
          <w:highlight w:val="none"/>
        </w:rPr>
      </w:pPr>
    </w:p>
    <w:p w14:paraId="4D108BBB">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 xml:space="preserve"> 投标人（盖章）：</w:t>
      </w:r>
    </w:p>
    <w:p w14:paraId="63FE0C4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法定代表人（身份证号码）：    （签字或盖章）</w:t>
      </w:r>
    </w:p>
    <w:p w14:paraId="3BE5CF0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委托代理人（身份证号码）：    （签字或盖章）</w:t>
      </w:r>
    </w:p>
    <w:p w14:paraId="0FCD3FA1">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sz w:val="24"/>
          <w:highlight w:val="none"/>
        </w:rPr>
      </w:pPr>
      <w:r>
        <w:rPr>
          <w:rFonts w:hint="eastAsia" w:ascii="宋体"/>
          <w:sz w:val="24"/>
          <w:highlight w:val="none"/>
        </w:rPr>
        <w:t xml:space="preserve">   </w:t>
      </w:r>
    </w:p>
    <w:p w14:paraId="0F4784B3">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sz w:val="24"/>
          <w:highlight w:val="none"/>
        </w:rPr>
      </w:pPr>
      <w:r>
        <w:rPr>
          <w:rFonts w:hint="eastAsia" w:ascii="宋体"/>
          <w:sz w:val="24"/>
          <w:highlight w:val="none"/>
        </w:rPr>
        <w:t>年    月    日</w:t>
      </w:r>
    </w:p>
    <w:p w14:paraId="666987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sz w:val="28"/>
          <w:szCs w:val="28"/>
          <w:highlight w:val="none"/>
        </w:rPr>
      </w:pPr>
    </w:p>
    <w:p w14:paraId="1DB5A0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sz w:val="28"/>
          <w:szCs w:val="28"/>
          <w:highlight w:val="none"/>
        </w:rPr>
      </w:pPr>
    </w:p>
    <w:p w14:paraId="1B9326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sz w:val="28"/>
          <w:szCs w:val="28"/>
          <w:highlight w:val="none"/>
        </w:rPr>
      </w:pPr>
    </w:p>
    <w:p w14:paraId="528761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sz w:val="28"/>
          <w:szCs w:val="28"/>
          <w:highlight w:val="none"/>
        </w:rPr>
      </w:pPr>
      <w:r>
        <w:rPr>
          <w:rFonts w:hint="eastAsia"/>
          <w:b/>
          <w:sz w:val="28"/>
          <w:szCs w:val="28"/>
          <w:highlight w:val="none"/>
        </w:rPr>
        <w:t>（2）诚信投标承诺书</w:t>
      </w:r>
      <w:bookmarkEnd w:id="989"/>
      <w:bookmarkEnd w:id="990"/>
      <w:bookmarkEnd w:id="991"/>
    </w:p>
    <w:p w14:paraId="4F449F94">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Cs w:val="21"/>
          <w:highlight w:val="none"/>
        </w:rPr>
      </w:pPr>
      <w:r>
        <w:rPr>
          <w:rFonts w:hint="eastAsia" w:ascii="宋体" w:hAnsi="宋体"/>
          <w:szCs w:val="21"/>
          <w:highlight w:val="none"/>
        </w:rPr>
        <w:t>本人以企业法定代表人的身份郑重承诺：</w:t>
      </w:r>
    </w:p>
    <w:p w14:paraId="65F7576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一、将遵循公开、公正和诚实信用的原则自愿参加</w:t>
      </w:r>
      <w:r>
        <w:rPr>
          <w:rFonts w:hint="eastAsia" w:ascii="宋体" w:hAnsi="宋体"/>
          <w:szCs w:val="21"/>
          <w:highlight w:val="none"/>
          <w:u w:val="single"/>
        </w:rPr>
        <w:t xml:space="preserve">       （项目名称）        </w:t>
      </w:r>
      <w:r>
        <w:rPr>
          <w:rFonts w:hint="eastAsia" w:ascii="宋体" w:hAnsi="宋体"/>
          <w:szCs w:val="21"/>
          <w:highlight w:val="none"/>
        </w:rPr>
        <w:t>项目的投标；</w:t>
      </w:r>
    </w:p>
    <w:p w14:paraId="01C34AA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二、所提供的一切材料都是真实、有效、合法的；</w:t>
      </w:r>
    </w:p>
    <w:p w14:paraId="72E8418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三、不出借、转让资质证书，不让他人挂靠投标，不以他人名义投标或者以其他方式弄虚作假，骗取中标；</w:t>
      </w:r>
    </w:p>
    <w:p w14:paraId="12874A6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四、不与其他投标人相互串通投标报价，不排挤其他投标人的公平竞争、损害招标人的合法权益；</w:t>
      </w:r>
    </w:p>
    <w:p w14:paraId="5E82D77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五、不与招标人、招标代理机构或其他投标人串通投标，损害国家利益、社会公共利益或者他人的合法权益；</w:t>
      </w:r>
    </w:p>
    <w:p w14:paraId="42A349F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六、</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（企业名称）或</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（企业名称）法定代表人</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或拟派项目经理（负责人）      没有下列情形：</w:t>
      </w:r>
      <w:bookmarkStart w:id="992" w:name="OLE_LINK133"/>
      <w:bookmarkStart w:id="993" w:name="OLE_LINK134"/>
      <w:r>
        <w:rPr>
          <w:rFonts w:hint="eastAsia" w:ascii="宋体" w:hAnsi="宋体" w:eastAsia="宋体" w:cs="Times New Roman"/>
          <w:szCs w:val="21"/>
          <w:highlight w:val="none"/>
        </w:rPr>
        <w:t>①被列入“信用中国”网站“失信被执行人”的</w:t>
      </w:r>
      <w:r>
        <w:rPr>
          <w:rFonts w:hint="eastAsia" w:ascii="宋体" w:hAnsi="宋体" w:cs="Times New Roman"/>
          <w:szCs w:val="21"/>
          <w:highlight w:val="none"/>
          <w:lang w:eastAsia="zh-CN"/>
        </w:rPr>
        <w:t>；</w:t>
      </w:r>
      <w:r>
        <w:rPr>
          <w:rFonts w:hint="eastAsia" w:ascii="宋体" w:hAnsi="宋体" w:eastAsia="宋体" w:cs="Times New Roman"/>
          <w:szCs w:val="21"/>
          <w:highlight w:val="none"/>
        </w:rPr>
        <w:t>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992"/>
      <w:bookmarkEnd w:id="993"/>
      <w:r>
        <w:rPr>
          <w:rFonts w:hint="eastAsia" w:ascii="宋体" w:hAnsi="宋体" w:eastAsia="宋体" w:cs="Times New Roman"/>
          <w:szCs w:val="21"/>
          <w:highlight w:val="none"/>
        </w:rPr>
        <w:t>若招标文件对投标人所属分公司、办事处等分支机构有上述1-10项信誉要求，在此一并承诺我公司所属分公司、办事处等分支机构没有上述1-10项情形）</w:t>
      </w:r>
    </w:p>
    <w:p w14:paraId="007134E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七</w:t>
      </w:r>
      <w:r>
        <w:rPr>
          <w:rFonts w:hint="eastAsia" w:ascii="宋体" w:hAnsi="宋体"/>
          <w:szCs w:val="21"/>
          <w:highlight w:val="none"/>
        </w:rPr>
        <w:t>、保证中标后不转包及使用挂靠施工队伍，若有分包征得建设单位同意；</w:t>
      </w:r>
    </w:p>
    <w:p w14:paraId="63C6B49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八、保证中标之后，按照投标文件承诺派驻管理人员及投入机械设备，如有违反，同意接受建设单位违约处罚；</w:t>
      </w:r>
    </w:p>
    <w:p w14:paraId="775E189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九</w:t>
      </w:r>
      <w:r>
        <w:rPr>
          <w:rFonts w:hint="eastAsia" w:ascii="宋体" w:hAnsi="宋体" w:eastAsia="宋体" w:cs="Times New Roman"/>
          <w:szCs w:val="21"/>
          <w:highlight w:val="none"/>
        </w:rPr>
        <w:t>、保证企业及所属相关人员在本次投标中无行贿等犯罪行为；</w:t>
      </w:r>
    </w:p>
    <w:p w14:paraId="598F4BE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十、</w:t>
      </w:r>
      <w:r>
        <w:rPr>
          <w:rFonts w:hint="eastAsia" w:ascii="宋体" w:hAnsi="宋体" w:eastAsia="宋体" w:cs="Times New Roman"/>
          <w:szCs w:val="21"/>
          <w:highlight w:val="none"/>
        </w:rPr>
        <w:t>如我公司中标，保证中标的项目经理（建造师）无其他尚未完工（以竣工、交工、完工验收报告等手续为准）项目或在已中标项目（以发放中标通知书为准）中担任项目经理（建造师）情形。如有，项目在滁州市区域内的，接受中标无效、记入不良行为记录等处理；项目在滁州市区域外的，保证在中标候选人公示期第一日起开始计算7日内，提供经行政主管部门备案的变更证明材料，否则接受中标无效、记入不良行为记录等处理；</w:t>
      </w:r>
    </w:p>
    <w:p w14:paraId="7B3ACF3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十</w:t>
      </w:r>
      <w:r>
        <w:rPr>
          <w:rFonts w:hint="eastAsia" w:ascii="宋体" w:hAnsi="宋体" w:eastAsia="宋体" w:cs="Times New Roman"/>
          <w:szCs w:val="21"/>
          <w:highlight w:val="none"/>
          <w:lang w:val="en-US" w:eastAsia="zh-CN"/>
        </w:rPr>
        <w:t>一</w:t>
      </w:r>
      <w:r>
        <w:rPr>
          <w:rFonts w:hint="eastAsia" w:ascii="宋体" w:hAnsi="宋体" w:eastAsia="宋体" w:cs="Times New Roman"/>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355D54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十</w:t>
      </w:r>
      <w:r>
        <w:rPr>
          <w:rFonts w:hint="eastAsia" w:ascii="宋体" w:hAnsi="宋体" w:eastAsia="宋体" w:cs="Times New Roman"/>
          <w:szCs w:val="21"/>
          <w:highlight w:val="none"/>
          <w:lang w:val="en-US" w:eastAsia="zh-CN"/>
        </w:rPr>
        <w:t>二</w:t>
      </w:r>
      <w:r>
        <w:rPr>
          <w:rFonts w:hint="eastAsia" w:ascii="宋体" w:hAnsi="宋体" w:eastAsia="宋体" w:cs="Times New Roman"/>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68E9458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十</w:t>
      </w:r>
      <w:r>
        <w:rPr>
          <w:rFonts w:hint="eastAsia" w:ascii="宋体" w:hAnsi="宋体" w:eastAsia="宋体" w:cs="Times New Roman"/>
          <w:szCs w:val="21"/>
          <w:highlight w:val="none"/>
          <w:lang w:val="en-US" w:eastAsia="zh-CN"/>
        </w:rPr>
        <w:t>三</w:t>
      </w:r>
      <w:r>
        <w:rPr>
          <w:rFonts w:hint="eastAsia" w:ascii="宋体" w:hAnsi="宋体" w:eastAsia="宋体" w:cs="Times New Roman"/>
          <w:szCs w:val="21"/>
          <w:highlight w:val="none"/>
        </w:rPr>
        <w:t>、我公司拟任项目经理（建造师）不是投标截止时间前六个月内在滁州市区域内办理过项目经理（建造师）变更备案手续的原项目经理（建造师）。</w:t>
      </w:r>
    </w:p>
    <w:p w14:paraId="6535A94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 以上内容我已仔细阅读，本公司若有违反承诺内容的行为，自愿接受取消投标或者中标资格、中标无效、记入不良行为记录等有关处理，愿意承担法律责任，给招标人造成损失的，承担赔偿责任。</w:t>
      </w:r>
    </w:p>
    <w:p w14:paraId="0612BCE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p>
    <w:p w14:paraId="635156B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szCs w:val="21"/>
          <w:highlight w:val="none"/>
        </w:rPr>
      </w:pPr>
      <w:r>
        <w:rPr>
          <w:rFonts w:hint="eastAsia" w:ascii="宋体" w:hAnsi="宋体"/>
          <w:szCs w:val="21"/>
          <w:highlight w:val="none"/>
        </w:rPr>
        <w:t>开户银行：                          基本账户：</w:t>
      </w:r>
    </w:p>
    <w:p w14:paraId="5608ECA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szCs w:val="21"/>
          <w:highlight w:val="none"/>
        </w:rPr>
      </w:pPr>
      <w:r>
        <w:rPr>
          <w:rFonts w:hint="eastAsia" w:ascii="宋体" w:hAnsi="宋体"/>
          <w:szCs w:val="21"/>
          <w:highlight w:val="none"/>
        </w:rPr>
        <w:t>投标人（盖章）：              法定代表人（签字或</w:t>
      </w:r>
      <w:r>
        <w:rPr>
          <w:rFonts w:hint="eastAsia" w:ascii="宋体" w:hAnsi="宋体"/>
          <w:szCs w:val="21"/>
          <w:highlight w:val="none"/>
          <w:lang w:val="en-US" w:eastAsia="zh-CN"/>
        </w:rPr>
        <w:t>盖</w:t>
      </w:r>
      <w:r>
        <w:rPr>
          <w:rFonts w:hint="eastAsia" w:ascii="宋体" w:hAnsi="宋体"/>
          <w:szCs w:val="21"/>
          <w:highlight w:val="none"/>
        </w:rPr>
        <w:t>章）：</w:t>
      </w:r>
    </w:p>
    <w:p w14:paraId="3617905E">
      <w:pPr>
        <w:keepNext w:val="0"/>
        <w:keepLines w:val="0"/>
        <w:pageBreakBefore w:val="0"/>
        <w:widowControl w:val="0"/>
        <w:kinsoku/>
        <w:wordWrap/>
        <w:overflowPunct/>
        <w:topLinePunct w:val="0"/>
        <w:autoSpaceDE/>
        <w:autoSpaceDN/>
        <w:bidi w:val="0"/>
        <w:adjustRightInd/>
        <w:snapToGrid/>
        <w:spacing w:line="440" w:lineRule="exact"/>
        <w:ind w:firstLine="5250" w:firstLineChars="2500"/>
        <w:textAlignment w:val="auto"/>
        <w:rPr>
          <w:highlight w:val="none"/>
        </w:rPr>
      </w:pPr>
      <w:r>
        <w:rPr>
          <w:rFonts w:hint="eastAsia" w:ascii="宋体" w:hAnsi="宋体"/>
          <w:szCs w:val="21"/>
          <w:highlight w:val="none"/>
        </w:rPr>
        <w:t>日期：    年   月   日</w:t>
      </w:r>
    </w:p>
    <w:p w14:paraId="364DDAFB">
      <w:pPr>
        <w:rPr>
          <w:rFonts w:eastAsia="黑体"/>
          <w:sz w:val="28"/>
          <w:szCs w:val="28"/>
          <w:highlight w:val="none"/>
          <w:u w:val="single"/>
        </w:rPr>
      </w:pPr>
      <w:r>
        <w:rPr>
          <w:rFonts w:hint="eastAsia" w:ascii="宋体" w:hAnsi="宋体"/>
          <w:b/>
          <w:sz w:val="32"/>
          <w:szCs w:val="32"/>
          <w:highlight w:val="none"/>
        </w:rPr>
        <w:br w:type="page"/>
      </w:r>
    </w:p>
    <w:p w14:paraId="576EEB9B">
      <w:pPr>
        <w:adjustRightInd w:val="0"/>
        <w:snapToGrid w:val="0"/>
        <w:spacing w:line="560" w:lineRule="exact"/>
        <w:jc w:val="center"/>
        <w:rPr>
          <w:rFonts w:hint="eastAsia" w:eastAsia="黑体"/>
          <w:color w:val="000000"/>
          <w:sz w:val="28"/>
          <w:szCs w:val="28"/>
          <w:u w:val="single"/>
        </w:rPr>
      </w:pPr>
    </w:p>
    <w:p w14:paraId="25D978AE">
      <w:pPr>
        <w:adjustRightInd w:val="0"/>
        <w:snapToGrid w:val="0"/>
        <w:spacing w:line="560" w:lineRule="exact"/>
        <w:jc w:val="center"/>
        <w:rPr>
          <w:rFonts w:hint="eastAsia" w:eastAsia="黑体"/>
          <w:color w:val="000000"/>
          <w:sz w:val="28"/>
          <w:szCs w:val="28"/>
          <w:u w:val="single"/>
        </w:rPr>
      </w:pPr>
    </w:p>
    <w:p w14:paraId="021BBC41">
      <w:pPr>
        <w:adjustRightInd w:val="0"/>
        <w:snapToGrid w:val="0"/>
        <w:spacing w:line="560" w:lineRule="exact"/>
        <w:jc w:val="center"/>
        <w:rPr>
          <w:rFonts w:hint="eastAsia" w:eastAsia="黑体"/>
          <w:color w:val="000000"/>
          <w:sz w:val="28"/>
          <w:szCs w:val="28"/>
          <w:u w:val="single"/>
        </w:rPr>
      </w:pPr>
    </w:p>
    <w:p w14:paraId="45062D82">
      <w:pPr>
        <w:adjustRightInd w:val="0"/>
        <w:snapToGrid w:val="0"/>
        <w:spacing w:line="560" w:lineRule="exact"/>
        <w:jc w:val="center"/>
        <w:rPr>
          <w:rFonts w:hint="eastAsia" w:eastAsia="黑体"/>
          <w:color w:val="000000"/>
          <w:sz w:val="28"/>
          <w:szCs w:val="28"/>
          <w:u w:val="single"/>
        </w:rPr>
      </w:pPr>
    </w:p>
    <w:p w14:paraId="650957C7">
      <w:pPr>
        <w:adjustRightInd w:val="0"/>
        <w:snapToGrid w:val="0"/>
        <w:spacing w:line="560" w:lineRule="exact"/>
        <w:jc w:val="center"/>
        <w:rPr>
          <w:rFonts w:hint="eastAsia" w:eastAsia="黑体"/>
          <w:color w:val="000000"/>
          <w:sz w:val="20"/>
          <w:szCs w:val="20"/>
        </w:rPr>
      </w:pPr>
      <w:r>
        <w:rPr>
          <w:rFonts w:hint="eastAsia" w:eastAsia="黑体"/>
          <w:color w:val="000000"/>
          <w:sz w:val="28"/>
          <w:szCs w:val="28"/>
          <w:u w:val="single"/>
        </w:rPr>
        <w:t xml:space="preserve">                </w:t>
      </w:r>
      <w:r>
        <w:rPr>
          <w:rFonts w:eastAsia="黑体"/>
          <w:color w:val="000000"/>
          <w:sz w:val="28"/>
          <w:szCs w:val="28"/>
        </w:rPr>
        <w:t>（项目名称）</w:t>
      </w:r>
    </w:p>
    <w:p w14:paraId="34CAF67E">
      <w:pPr>
        <w:adjustRightInd w:val="0"/>
        <w:snapToGrid w:val="0"/>
        <w:spacing w:line="560" w:lineRule="exact"/>
        <w:jc w:val="center"/>
        <w:rPr>
          <w:rFonts w:hint="eastAsia" w:eastAsia="黑体"/>
          <w:color w:val="000000"/>
          <w:sz w:val="20"/>
          <w:szCs w:val="20"/>
        </w:rPr>
      </w:pPr>
    </w:p>
    <w:p w14:paraId="51C60653">
      <w:pPr>
        <w:adjustRightInd w:val="0"/>
        <w:snapToGrid w:val="0"/>
        <w:spacing w:line="560" w:lineRule="exact"/>
        <w:rPr>
          <w:rFonts w:hint="eastAsia" w:eastAsia="黑体"/>
          <w:color w:val="000000"/>
          <w:sz w:val="20"/>
          <w:szCs w:val="20"/>
        </w:rPr>
      </w:pPr>
    </w:p>
    <w:p w14:paraId="04FBF58C">
      <w:pPr>
        <w:adjustRightInd w:val="0"/>
        <w:snapToGrid w:val="0"/>
        <w:spacing w:line="560" w:lineRule="exact"/>
        <w:jc w:val="center"/>
        <w:rPr>
          <w:rFonts w:hint="eastAsia" w:eastAsia="黑体"/>
          <w:color w:val="000000"/>
          <w:sz w:val="44"/>
          <w:szCs w:val="44"/>
        </w:rPr>
      </w:pPr>
      <w:r>
        <w:rPr>
          <w:rFonts w:eastAsia="黑体"/>
          <w:color w:val="000000"/>
          <w:sz w:val="44"/>
          <w:szCs w:val="44"/>
        </w:rPr>
        <w:t>投  标  文  件</w:t>
      </w:r>
      <w:r>
        <w:rPr>
          <w:rFonts w:hint="eastAsia" w:eastAsia="黑体"/>
          <w:color w:val="000000"/>
          <w:sz w:val="44"/>
          <w:szCs w:val="44"/>
        </w:rPr>
        <w:t xml:space="preserve">  二</w:t>
      </w:r>
    </w:p>
    <w:p w14:paraId="5ED1A363">
      <w:pPr>
        <w:adjustRightInd w:val="0"/>
        <w:snapToGrid w:val="0"/>
        <w:spacing w:line="560" w:lineRule="exact"/>
        <w:jc w:val="center"/>
        <w:rPr>
          <w:rFonts w:hint="eastAsia" w:eastAsia="黑体"/>
          <w:color w:val="000000"/>
          <w:sz w:val="44"/>
          <w:szCs w:val="44"/>
        </w:rPr>
      </w:pPr>
      <w:r>
        <w:rPr>
          <w:rFonts w:hint="eastAsia" w:eastAsia="黑体"/>
          <w:color w:val="000000"/>
          <w:sz w:val="44"/>
          <w:szCs w:val="44"/>
        </w:rPr>
        <w:t>（技术标文件）</w:t>
      </w:r>
    </w:p>
    <w:p w14:paraId="3F93D178">
      <w:pPr>
        <w:adjustRightInd w:val="0"/>
        <w:snapToGrid w:val="0"/>
        <w:spacing w:line="560" w:lineRule="exact"/>
        <w:rPr>
          <w:rFonts w:eastAsia="黑体"/>
          <w:color w:val="000000"/>
          <w:sz w:val="28"/>
          <w:szCs w:val="28"/>
        </w:rPr>
      </w:pPr>
    </w:p>
    <w:p w14:paraId="14641E1E">
      <w:pPr>
        <w:adjustRightInd w:val="0"/>
        <w:snapToGrid w:val="0"/>
        <w:spacing w:line="560" w:lineRule="exact"/>
        <w:rPr>
          <w:rFonts w:eastAsia="黑体"/>
          <w:color w:val="000000"/>
          <w:sz w:val="28"/>
          <w:szCs w:val="28"/>
        </w:rPr>
      </w:pPr>
    </w:p>
    <w:p w14:paraId="1F90D52E">
      <w:pPr>
        <w:adjustRightInd w:val="0"/>
        <w:snapToGrid w:val="0"/>
        <w:spacing w:line="560" w:lineRule="exact"/>
        <w:rPr>
          <w:rFonts w:eastAsia="黑体"/>
          <w:color w:val="000000"/>
          <w:sz w:val="28"/>
          <w:szCs w:val="28"/>
        </w:rPr>
      </w:pPr>
    </w:p>
    <w:p w14:paraId="7A259675">
      <w:pPr>
        <w:adjustRightInd w:val="0"/>
        <w:snapToGrid w:val="0"/>
        <w:spacing w:line="560" w:lineRule="exact"/>
        <w:rPr>
          <w:rFonts w:eastAsia="黑体"/>
          <w:color w:val="000000"/>
          <w:sz w:val="28"/>
          <w:szCs w:val="28"/>
        </w:rPr>
      </w:pPr>
    </w:p>
    <w:p w14:paraId="2D159310">
      <w:pPr>
        <w:adjustRightInd w:val="0"/>
        <w:snapToGrid w:val="0"/>
        <w:spacing w:line="560" w:lineRule="exact"/>
        <w:rPr>
          <w:rFonts w:hint="eastAsia" w:eastAsia="黑体"/>
          <w:color w:val="000000"/>
          <w:sz w:val="28"/>
          <w:szCs w:val="28"/>
        </w:rPr>
      </w:pPr>
    </w:p>
    <w:p w14:paraId="0F232666">
      <w:pPr>
        <w:pStyle w:val="2"/>
        <w:rPr>
          <w:rFonts w:hint="eastAsia"/>
          <w:color w:val="000000"/>
        </w:rPr>
      </w:pPr>
    </w:p>
    <w:p w14:paraId="592223C0">
      <w:pPr>
        <w:rPr>
          <w:color w:val="000000"/>
        </w:rPr>
      </w:pPr>
    </w:p>
    <w:p w14:paraId="52F3A51E">
      <w:pPr>
        <w:adjustRightInd w:val="0"/>
        <w:snapToGrid w:val="0"/>
        <w:spacing w:line="560" w:lineRule="exact"/>
        <w:rPr>
          <w:rFonts w:eastAsia="黑体"/>
          <w:color w:val="000000"/>
          <w:sz w:val="28"/>
          <w:szCs w:val="28"/>
        </w:rPr>
      </w:pPr>
    </w:p>
    <w:p w14:paraId="5A3D8557">
      <w:pPr>
        <w:pStyle w:val="2"/>
        <w:adjustRightInd w:val="0"/>
        <w:snapToGrid w:val="0"/>
        <w:spacing w:after="0" w:line="560" w:lineRule="exact"/>
        <w:ind w:left="0" w:leftChars="0" w:firstLine="560"/>
        <w:rPr>
          <w:rFonts w:eastAsia="黑体"/>
          <w:color w:val="000000"/>
          <w:sz w:val="28"/>
          <w:szCs w:val="28"/>
        </w:rPr>
      </w:pPr>
    </w:p>
    <w:p w14:paraId="41A8EC40">
      <w:pPr>
        <w:adjustRightInd w:val="0"/>
        <w:snapToGrid w:val="0"/>
        <w:spacing w:line="560" w:lineRule="exact"/>
        <w:rPr>
          <w:rFonts w:eastAsia="黑体"/>
          <w:color w:val="000000"/>
          <w:sz w:val="28"/>
          <w:szCs w:val="28"/>
        </w:rPr>
      </w:pPr>
    </w:p>
    <w:p w14:paraId="6ECD99C8">
      <w:pPr>
        <w:pStyle w:val="2"/>
        <w:adjustRightInd w:val="0"/>
        <w:snapToGrid w:val="0"/>
        <w:spacing w:after="0" w:line="560" w:lineRule="exact"/>
        <w:ind w:left="0" w:leftChars="0" w:firstLine="0" w:firstLineChars="0"/>
        <w:rPr>
          <w:color w:val="000000"/>
        </w:rPr>
      </w:pPr>
    </w:p>
    <w:p w14:paraId="7E1CD6B5">
      <w:pPr>
        <w:adjustRightInd w:val="0"/>
        <w:snapToGrid w:val="0"/>
        <w:spacing w:line="560" w:lineRule="exact"/>
        <w:rPr>
          <w:rFonts w:eastAsia="黑体"/>
          <w:color w:val="000000"/>
          <w:sz w:val="28"/>
          <w:szCs w:val="28"/>
        </w:rPr>
      </w:pPr>
    </w:p>
    <w:p w14:paraId="73834895">
      <w:pPr>
        <w:adjustRightInd w:val="0"/>
        <w:snapToGrid w:val="0"/>
        <w:spacing w:line="560" w:lineRule="exact"/>
        <w:rPr>
          <w:rFonts w:eastAsia="黑体"/>
          <w:color w:val="000000"/>
          <w:sz w:val="28"/>
          <w:szCs w:val="28"/>
        </w:rPr>
      </w:pPr>
    </w:p>
    <w:p w14:paraId="09F05625">
      <w:pPr>
        <w:adjustRightInd w:val="0"/>
        <w:snapToGrid w:val="0"/>
        <w:spacing w:line="560" w:lineRule="exact"/>
        <w:jc w:val="center"/>
        <w:rPr>
          <w:rFonts w:eastAsia="黑体"/>
          <w:color w:val="000000"/>
          <w:sz w:val="28"/>
          <w:szCs w:val="28"/>
          <w:u w:val="single"/>
        </w:rPr>
      </w:pPr>
      <w:r>
        <w:rPr>
          <w:rFonts w:eastAsia="黑体"/>
          <w:color w:val="000000"/>
          <w:sz w:val="28"/>
          <w:szCs w:val="28"/>
        </w:rPr>
        <w:t>投标人：</w:t>
      </w:r>
      <w:r>
        <w:rPr>
          <w:rFonts w:eastAsia="黑体"/>
          <w:color w:val="000000"/>
          <w:sz w:val="28"/>
          <w:szCs w:val="28"/>
          <w:u w:val="single"/>
        </w:rPr>
        <w:t xml:space="preserve">            </w:t>
      </w:r>
      <w:r>
        <w:rPr>
          <w:rFonts w:hint="eastAsia" w:eastAsia="黑体"/>
          <w:color w:val="000000"/>
          <w:sz w:val="28"/>
          <w:szCs w:val="28"/>
          <w:u w:val="single"/>
        </w:rPr>
        <w:t xml:space="preserve">        </w:t>
      </w:r>
      <w:r>
        <w:rPr>
          <w:rFonts w:eastAsia="黑体"/>
          <w:color w:val="000000"/>
          <w:sz w:val="28"/>
          <w:szCs w:val="28"/>
          <w:u w:val="single"/>
        </w:rPr>
        <w:t xml:space="preserve">   </w:t>
      </w:r>
      <w:r>
        <w:rPr>
          <w:rFonts w:hint="eastAsia" w:eastAsia="黑体"/>
          <w:color w:val="000000"/>
          <w:sz w:val="28"/>
          <w:szCs w:val="28"/>
          <w:u w:val="single"/>
        </w:rPr>
        <w:t xml:space="preserve">       </w:t>
      </w:r>
      <w:r>
        <w:rPr>
          <w:rFonts w:eastAsia="黑体"/>
          <w:color w:val="000000"/>
          <w:sz w:val="28"/>
          <w:szCs w:val="28"/>
        </w:rPr>
        <w:t>（</w:t>
      </w:r>
      <w:r>
        <w:rPr>
          <w:rFonts w:hint="eastAsia" w:eastAsia="黑体"/>
          <w:color w:val="000000"/>
          <w:sz w:val="28"/>
          <w:szCs w:val="28"/>
        </w:rPr>
        <w:t>签章</w:t>
      </w:r>
      <w:r>
        <w:rPr>
          <w:rFonts w:eastAsia="黑体"/>
          <w:color w:val="000000"/>
          <w:sz w:val="28"/>
          <w:szCs w:val="28"/>
        </w:rPr>
        <w:t>）</w:t>
      </w:r>
    </w:p>
    <w:p w14:paraId="29A7AEF7">
      <w:pPr>
        <w:adjustRightInd w:val="0"/>
        <w:snapToGrid w:val="0"/>
        <w:spacing w:line="560" w:lineRule="exact"/>
        <w:jc w:val="center"/>
        <w:rPr>
          <w:rFonts w:eastAsia="黑体"/>
          <w:color w:val="000000"/>
          <w:sz w:val="28"/>
          <w:szCs w:val="28"/>
        </w:rPr>
      </w:pPr>
      <w:r>
        <w:rPr>
          <w:rFonts w:hint="eastAsia" w:eastAsia="黑体"/>
          <w:color w:val="000000"/>
          <w:sz w:val="28"/>
          <w:szCs w:val="28"/>
        </w:rPr>
        <w:t>法定代表人</w:t>
      </w:r>
      <w:r>
        <w:rPr>
          <w:rFonts w:eastAsia="黑体"/>
          <w:color w:val="000000"/>
          <w:sz w:val="28"/>
          <w:szCs w:val="28"/>
        </w:rPr>
        <w:t>：</w:t>
      </w:r>
      <w:r>
        <w:rPr>
          <w:rFonts w:eastAsia="黑体"/>
          <w:color w:val="000000"/>
          <w:sz w:val="28"/>
          <w:szCs w:val="28"/>
          <w:u w:val="single"/>
        </w:rPr>
        <w:t xml:space="preserve">   </w:t>
      </w:r>
      <w:r>
        <w:rPr>
          <w:rFonts w:hint="eastAsia" w:eastAsia="黑体"/>
          <w:color w:val="000000"/>
          <w:sz w:val="28"/>
          <w:szCs w:val="28"/>
          <w:u w:val="single"/>
        </w:rPr>
        <w:t xml:space="preserve">               </w:t>
      </w:r>
      <w:r>
        <w:rPr>
          <w:rFonts w:eastAsia="黑体"/>
          <w:color w:val="000000"/>
          <w:sz w:val="28"/>
          <w:szCs w:val="28"/>
        </w:rPr>
        <w:t>（签</w:t>
      </w:r>
      <w:r>
        <w:rPr>
          <w:rFonts w:hint="eastAsia" w:eastAsia="黑体"/>
          <w:color w:val="000000"/>
          <w:sz w:val="28"/>
          <w:szCs w:val="28"/>
        </w:rPr>
        <w:t>章</w:t>
      </w:r>
      <w:r>
        <w:rPr>
          <w:rFonts w:eastAsia="黑体"/>
          <w:color w:val="000000"/>
          <w:sz w:val="28"/>
          <w:szCs w:val="28"/>
        </w:rPr>
        <w:t>）</w:t>
      </w:r>
      <w:r>
        <w:rPr>
          <w:rFonts w:hint="eastAsia" w:ascii="仿宋_GB2312" w:eastAsia="仿宋_GB2312"/>
          <w:color w:val="000000"/>
          <w:sz w:val="28"/>
          <w:szCs w:val="28"/>
          <w:vertAlign w:val="superscript"/>
        </w:rPr>
        <w:t>①</w:t>
      </w:r>
    </w:p>
    <w:p w14:paraId="4767AA77">
      <w:pPr>
        <w:adjustRightInd w:val="0"/>
        <w:snapToGrid w:val="0"/>
        <w:spacing w:line="560" w:lineRule="exact"/>
        <w:jc w:val="center"/>
        <w:rPr>
          <w:rFonts w:hint="eastAsia"/>
          <w:color w:val="000000"/>
        </w:rPr>
      </w:pPr>
      <w:r>
        <w:rPr>
          <w:rFonts w:eastAsia="黑体"/>
          <w:color w:val="000000"/>
          <w:sz w:val="28"/>
          <w:szCs w:val="28"/>
          <w:u w:val="single"/>
        </w:rPr>
        <w:t xml:space="preserve">        </w:t>
      </w:r>
      <w:r>
        <w:rPr>
          <w:rFonts w:eastAsia="黑体"/>
          <w:color w:val="000000"/>
          <w:sz w:val="28"/>
          <w:szCs w:val="28"/>
        </w:rPr>
        <w:t>年</w:t>
      </w:r>
      <w:r>
        <w:rPr>
          <w:rFonts w:eastAsia="黑体"/>
          <w:color w:val="000000"/>
          <w:sz w:val="28"/>
          <w:szCs w:val="28"/>
          <w:u w:val="single"/>
        </w:rPr>
        <w:t xml:space="preserve">        </w:t>
      </w:r>
      <w:r>
        <w:rPr>
          <w:rFonts w:eastAsia="黑体"/>
          <w:color w:val="000000"/>
          <w:sz w:val="28"/>
          <w:szCs w:val="28"/>
        </w:rPr>
        <w:t>月</w:t>
      </w:r>
      <w:r>
        <w:rPr>
          <w:rFonts w:eastAsia="黑体"/>
          <w:color w:val="000000"/>
          <w:sz w:val="28"/>
          <w:szCs w:val="28"/>
          <w:u w:val="single"/>
        </w:rPr>
        <w:t xml:space="preserve">        </w:t>
      </w:r>
      <w:r>
        <w:rPr>
          <w:rFonts w:eastAsia="黑体"/>
          <w:color w:val="000000"/>
          <w:sz w:val="28"/>
          <w:szCs w:val="28"/>
        </w:rPr>
        <w:t>日</w:t>
      </w:r>
    </w:p>
    <w:p w14:paraId="68293451">
      <w:pPr>
        <w:rPr>
          <w:rFonts w:hint="eastAsia"/>
          <w:color w:val="000000"/>
        </w:rPr>
      </w:pPr>
      <w:bookmarkStart w:id="994" w:name="_Toc95223539"/>
      <w:r>
        <w:rPr>
          <w:rFonts w:hint="eastAsia"/>
          <w:color w:val="000000"/>
        </w:rPr>
        <w:br w:type="page"/>
      </w:r>
    </w:p>
    <w:p w14:paraId="1B189BE9">
      <w:pPr>
        <w:spacing w:beforeLines="50" w:afterLines="50" w:line="440" w:lineRule="exact"/>
        <w:jc w:val="left"/>
        <w:rPr>
          <w:rStyle w:val="120"/>
          <w:rFonts w:hint="eastAsia" w:ascii="宋体" w:hAnsi="宋体" w:eastAsia="宋体" w:cs="宋体"/>
          <w:sz w:val="32"/>
          <w:highlight w:val="none"/>
        </w:rPr>
      </w:pPr>
      <w:r>
        <w:rPr>
          <w:rStyle w:val="120"/>
          <w:rFonts w:hint="eastAsia" w:ascii="宋体" w:hAnsi="宋体" w:eastAsia="宋体" w:cs="宋体"/>
          <w:sz w:val="32"/>
          <w:highlight w:val="none"/>
        </w:rPr>
        <w:t>投标文件二：技术标目录</w:t>
      </w:r>
      <w:bookmarkEnd w:id="994"/>
    </w:p>
    <w:p w14:paraId="4A757280">
      <w:pPr>
        <w:adjustRightInd w:val="0"/>
        <w:snapToGrid w:val="0"/>
        <w:spacing w:line="560" w:lineRule="exact"/>
        <w:ind w:firstLine="420" w:firstLineChars="200"/>
        <w:rPr>
          <w:rFonts w:hint="eastAsia" w:ascii="宋体" w:hAnsi="宋体"/>
          <w:color w:val="000000"/>
          <w:szCs w:val="21"/>
        </w:rPr>
      </w:pPr>
      <w:r>
        <w:rPr>
          <w:rFonts w:hint="eastAsia" w:ascii="宋体" w:hAnsi="宋体"/>
          <w:color w:val="000000"/>
          <w:szCs w:val="21"/>
        </w:rPr>
        <w:t>（1）施工组织设计</w:t>
      </w:r>
    </w:p>
    <w:p w14:paraId="161C70FE">
      <w:pPr>
        <w:adjustRightInd w:val="0"/>
        <w:snapToGrid w:val="0"/>
        <w:spacing w:line="560" w:lineRule="exact"/>
        <w:ind w:firstLine="420" w:firstLineChars="200"/>
        <w:rPr>
          <w:rFonts w:hint="eastAsia" w:ascii="宋体" w:hAnsi="宋体"/>
          <w:color w:val="000000"/>
          <w:szCs w:val="21"/>
        </w:rPr>
      </w:pPr>
      <w:r>
        <w:rPr>
          <w:rFonts w:hint="eastAsia" w:ascii="宋体" w:hAnsi="宋体"/>
          <w:color w:val="000000"/>
          <w:szCs w:val="21"/>
        </w:rPr>
        <w:t>（2）其他技术标评审所需资料</w:t>
      </w:r>
    </w:p>
    <w:p w14:paraId="54F384A3">
      <w:pPr>
        <w:adjustRightInd w:val="0"/>
        <w:snapToGrid w:val="0"/>
        <w:spacing w:line="560" w:lineRule="exact"/>
        <w:rPr>
          <w:rFonts w:hint="eastAsia" w:ascii="宋体" w:hAnsi="宋体"/>
          <w:color w:val="000000"/>
          <w:szCs w:val="21"/>
        </w:rPr>
      </w:pPr>
    </w:p>
    <w:p w14:paraId="04ED82F0">
      <w:pPr>
        <w:adjustRightInd w:val="0"/>
        <w:snapToGrid w:val="0"/>
        <w:spacing w:line="560" w:lineRule="exact"/>
        <w:rPr>
          <w:rFonts w:hint="eastAsia" w:ascii="仿宋_GB2312" w:eastAsia="仿宋_GB2312"/>
          <w:color w:val="000000"/>
          <w:szCs w:val="21"/>
        </w:rPr>
      </w:pPr>
    </w:p>
    <w:p w14:paraId="2194FA78">
      <w:pPr>
        <w:rPr>
          <w:highlight w:val="none"/>
        </w:rPr>
      </w:pPr>
    </w:p>
    <w:p w14:paraId="15A2C948">
      <w:pPr>
        <w:rPr>
          <w:highlight w:val="none"/>
        </w:rPr>
      </w:pPr>
      <w:r>
        <w:rPr>
          <w:highlight w:val="none"/>
        </w:rPr>
        <w:br w:type="page"/>
      </w:r>
    </w:p>
    <w:p w14:paraId="32909EE7"/>
    <w:p w14:paraId="37AFF5C8">
      <w:pPr>
        <w:rPr>
          <w:highlight w:val="none"/>
        </w:rPr>
      </w:pPr>
    </w:p>
    <w:p w14:paraId="10A94BA1">
      <w:pPr>
        <w:pStyle w:val="2"/>
      </w:pPr>
    </w:p>
    <w:p w14:paraId="50582D72"/>
    <w:p w14:paraId="4408DAAE">
      <w:pPr>
        <w:pStyle w:val="2"/>
      </w:pPr>
    </w:p>
    <w:p w14:paraId="1ADCBC81"/>
    <w:p w14:paraId="52F921F7">
      <w:pPr>
        <w:jc w:val="center"/>
        <w:rPr>
          <w:rFonts w:eastAsia="黑体"/>
          <w:sz w:val="20"/>
          <w:szCs w:val="20"/>
          <w:highlight w:val="none"/>
        </w:rPr>
      </w:pPr>
      <w:r>
        <w:rPr>
          <w:rFonts w:eastAsia="黑体"/>
          <w:sz w:val="28"/>
          <w:szCs w:val="28"/>
          <w:highlight w:val="none"/>
        </w:rPr>
        <w:t>（项目名称）</w:t>
      </w:r>
    </w:p>
    <w:p w14:paraId="1CB3AF7F">
      <w:pPr>
        <w:jc w:val="center"/>
        <w:rPr>
          <w:rFonts w:eastAsia="黑体"/>
          <w:sz w:val="20"/>
          <w:szCs w:val="20"/>
          <w:highlight w:val="none"/>
        </w:rPr>
      </w:pPr>
    </w:p>
    <w:p w14:paraId="7F67D925">
      <w:pPr>
        <w:rPr>
          <w:rFonts w:eastAsia="黑体"/>
          <w:sz w:val="20"/>
          <w:szCs w:val="20"/>
          <w:highlight w:val="none"/>
        </w:rPr>
      </w:pPr>
    </w:p>
    <w:p w14:paraId="5AE9D7EA">
      <w:pPr>
        <w:jc w:val="center"/>
        <w:rPr>
          <w:rFonts w:hint="eastAsia" w:eastAsia="黑体"/>
          <w:sz w:val="44"/>
          <w:szCs w:val="44"/>
          <w:highlight w:val="none"/>
          <w:lang w:eastAsia="zh-CN"/>
        </w:rPr>
      </w:pPr>
      <w:r>
        <w:rPr>
          <w:rFonts w:eastAsia="黑体"/>
          <w:sz w:val="44"/>
          <w:szCs w:val="44"/>
          <w:highlight w:val="none"/>
        </w:rPr>
        <w:t>投  标  文  件</w:t>
      </w:r>
      <w:r>
        <w:rPr>
          <w:rFonts w:hint="eastAsia" w:eastAsia="黑体"/>
          <w:sz w:val="44"/>
          <w:szCs w:val="44"/>
          <w:highlight w:val="none"/>
        </w:rPr>
        <w:t xml:space="preserve">  </w:t>
      </w:r>
      <w:r>
        <w:rPr>
          <w:rFonts w:hint="eastAsia" w:eastAsia="黑体"/>
          <w:sz w:val="44"/>
          <w:szCs w:val="44"/>
          <w:highlight w:val="none"/>
          <w:lang w:val="en-US" w:eastAsia="zh-CN"/>
        </w:rPr>
        <w:t>二</w:t>
      </w:r>
    </w:p>
    <w:p w14:paraId="4D9A83AD">
      <w:pPr>
        <w:jc w:val="center"/>
        <w:rPr>
          <w:rFonts w:eastAsia="黑体"/>
          <w:sz w:val="44"/>
          <w:szCs w:val="44"/>
          <w:highlight w:val="none"/>
        </w:rPr>
      </w:pPr>
      <w:r>
        <w:rPr>
          <w:rFonts w:hint="eastAsia" w:eastAsia="黑体"/>
          <w:sz w:val="44"/>
          <w:szCs w:val="44"/>
          <w:highlight w:val="none"/>
        </w:rPr>
        <w:t>（商务标文件）</w:t>
      </w:r>
    </w:p>
    <w:p w14:paraId="00AD4571">
      <w:pPr>
        <w:rPr>
          <w:rFonts w:eastAsia="黑体"/>
          <w:sz w:val="28"/>
          <w:szCs w:val="28"/>
          <w:highlight w:val="none"/>
        </w:rPr>
      </w:pPr>
    </w:p>
    <w:p w14:paraId="03FF9373">
      <w:pPr>
        <w:rPr>
          <w:rFonts w:eastAsia="黑体"/>
          <w:sz w:val="28"/>
          <w:szCs w:val="28"/>
          <w:highlight w:val="none"/>
        </w:rPr>
      </w:pPr>
    </w:p>
    <w:p w14:paraId="6F4198FD">
      <w:pPr>
        <w:rPr>
          <w:rFonts w:eastAsia="黑体"/>
          <w:sz w:val="28"/>
          <w:szCs w:val="28"/>
          <w:highlight w:val="none"/>
        </w:rPr>
      </w:pPr>
    </w:p>
    <w:p w14:paraId="18D553B1">
      <w:pPr>
        <w:rPr>
          <w:rFonts w:eastAsia="黑体"/>
          <w:sz w:val="28"/>
          <w:szCs w:val="28"/>
          <w:highlight w:val="none"/>
        </w:rPr>
      </w:pPr>
    </w:p>
    <w:p w14:paraId="0E5FE50F">
      <w:pPr>
        <w:rPr>
          <w:rFonts w:eastAsia="黑体"/>
          <w:sz w:val="28"/>
          <w:szCs w:val="28"/>
          <w:highlight w:val="none"/>
        </w:rPr>
      </w:pPr>
    </w:p>
    <w:p w14:paraId="74AFA9E2">
      <w:pPr>
        <w:rPr>
          <w:rFonts w:eastAsia="黑体"/>
          <w:sz w:val="28"/>
          <w:szCs w:val="28"/>
          <w:highlight w:val="none"/>
        </w:rPr>
      </w:pPr>
    </w:p>
    <w:p w14:paraId="078AB10D">
      <w:pPr>
        <w:rPr>
          <w:rFonts w:eastAsia="黑体"/>
          <w:sz w:val="28"/>
          <w:szCs w:val="28"/>
          <w:highlight w:val="none"/>
        </w:rPr>
      </w:pPr>
    </w:p>
    <w:p w14:paraId="5C03182B">
      <w:pPr>
        <w:rPr>
          <w:rFonts w:eastAsia="黑体"/>
          <w:sz w:val="28"/>
          <w:szCs w:val="28"/>
          <w:highlight w:val="none"/>
        </w:rPr>
      </w:pPr>
    </w:p>
    <w:p w14:paraId="50FB798D">
      <w:pPr>
        <w:rPr>
          <w:rFonts w:eastAsia="黑体"/>
          <w:sz w:val="28"/>
          <w:szCs w:val="28"/>
          <w:highlight w:val="none"/>
        </w:rPr>
      </w:pPr>
    </w:p>
    <w:p w14:paraId="3118FFCA">
      <w:pPr>
        <w:pStyle w:val="2"/>
        <w:rPr>
          <w:rFonts w:eastAsia="黑体"/>
          <w:sz w:val="28"/>
          <w:szCs w:val="28"/>
          <w:highlight w:val="none"/>
        </w:rPr>
      </w:pPr>
    </w:p>
    <w:p w14:paraId="01BE5E84">
      <w:pPr>
        <w:rPr>
          <w:rFonts w:eastAsia="黑体"/>
          <w:sz w:val="28"/>
          <w:szCs w:val="28"/>
          <w:highlight w:val="none"/>
        </w:rPr>
      </w:pPr>
    </w:p>
    <w:p w14:paraId="2FE9E756">
      <w:pPr>
        <w:pStyle w:val="2"/>
        <w:rPr>
          <w:rFonts w:eastAsia="黑体"/>
          <w:sz w:val="28"/>
          <w:szCs w:val="28"/>
          <w:highlight w:val="none"/>
        </w:rPr>
      </w:pPr>
    </w:p>
    <w:p w14:paraId="67B6F8F9">
      <w:pPr>
        <w:rPr>
          <w:rFonts w:eastAsia="黑体"/>
          <w:sz w:val="28"/>
          <w:szCs w:val="28"/>
          <w:highlight w:val="none"/>
        </w:rPr>
      </w:pPr>
    </w:p>
    <w:p w14:paraId="3C7498B7">
      <w:pPr>
        <w:pStyle w:val="2"/>
        <w:rPr>
          <w:rFonts w:eastAsia="黑体"/>
          <w:sz w:val="28"/>
          <w:szCs w:val="28"/>
          <w:highlight w:val="none"/>
        </w:rPr>
      </w:pPr>
    </w:p>
    <w:p w14:paraId="34079401">
      <w:pPr>
        <w:rPr>
          <w:rFonts w:eastAsia="黑体"/>
          <w:sz w:val="28"/>
          <w:szCs w:val="28"/>
          <w:highlight w:val="none"/>
        </w:rPr>
      </w:pPr>
    </w:p>
    <w:p w14:paraId="794B988D">
      <w:pPr>
        <w:pStyle w:val="2"/>
      </w:pPr>
    </w:p>
    <w:p w14:paraId="0682BFC9">
      <w:pPr>
        <w:rPr>
          <w:rFonts w:eastAsia="黑体"/>
          <w:sz w:val="28"/>
          <w:szCs w:val="28"/>
          <w:highlight w:val="none"/>
        </w:rPr>
      </w:pPr>
    </w:p>
    <w:p w14:paraId="68117E32">
      <w:pPr>
        <w:rPr>
          <w:rFonts w:eastAsia="黑体"/>
          <w:sz w:val="28"/>
          <w:szCs w:val="28"/>
          <w:highlight w:val="none"/>
        </w:rPr>
      </w:pPr>
    </w:p>
    <w:p w14:paraId="038F9E3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u w:val="single"/>
        </w:rPr>
      </w:pPr>
      <w:r>
        <w:rPr>
          <w:rFonts w:hint="eastAsia" w:eastAsia="黑体"/>
          <w:sz w:val="28"/>
          <w:szCs w:val="28"/>
        </w:rPr>
        <w:t xml:space="preserve"> 投标人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w:t>
      </w:r>
      <w:r>
        <w:rPr>
          <w:rFonts w:eastAsia="黑体"/>
          <w:sz w:val="28"/>
          <w:szCs w:val="28"/>
        </w:rPr>
        <w:t>章）</w:t>
      </w:r>
    </w:p>
    <w:p w14:paraId="4CAB06D8">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rPr>
      </w:pPr>
      <w:r>
        <w:rPr>
          <w:rFonts w:hint="eastAsia" w:eastAsia="黑体"/>
          <w:sz w:val="28"/>
          <w:szCs w:val="28"/>
        </w:rPr>
        <w:t xml:space="preserve">   </w:t>
      </w:r>
      <w:r>
        <w:rPr>
          <w:rFonts w:eastAsia="黑体"/>
          <w:sz w:val="28"/>
          <w:szCs w:val="28"/>
        </w:rPr>
        <w:t>法定代表人</w:t>
      </w:r>
      <w:r>
        <w:rPr>
          <w:rFonts w:hint="eastAsia" w:eastAsia="黑体"/>
          <w:sz w:val="28"/>
          <w:szCs w:val="28"/>
          <w:lang w:val="en-US" w:eastAsia="zh-CN"/>
        </w:rPr>
        <w:t>或授权委托人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签字或盖章</w:t>
      </w:r>
      <w:r>
        <w:rPr>
          <w:rFonts w:eastAsia="黑体"/>
          <w:sz w:val="28"/>
          <w:szCs w:val="28"/>
        </w:rPr>
        <w:t>）</w:t>
      </w:r>
    </w:p>
    <w:p w14:paraId="350C1BB2">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2EE77B13">
      <w:pPr>
        <w:rPr>
          <w:highlight w:val="none"/>
        </w:rPr>
      </w:pPr>
    </w:p>
    <w:p w14:paraId="2F4494A4">
      <w:pPr>
        <w:pStyle w:val="2"/>
        <w:ind w:firstLine="420"/>
        <w:rPr>
          <w:highlight w:val="none"/>
        </w:rPr>
      </w:pPr>
    </w:p>
    <w:p w14:paraId="3AB72A24">
      <w:pPr>
        <w:rPr>
          <w:highlight w:val="none"/>
        </w:rPr>
      </w:pPr>
    </w:p>
    <w:p w14:paraId="60A767E1">
      <w:pPr>
        <w:spacing w:beforeLines="50" w:afterLines="50" w:line="440" w:lineRule="exact"/>
        <w:ind w:firstLine="643" w:firstLineChars="200"/>
        <w:jc w:val="left"/>
        <w:rPr>
          <w:rStyle w:val="120"/>
          <w:rFonts w:ascii="宋体" w:hAnsi="宋体" w:cs="宋体"/>
          <w:sz w:val="32"/>
          <w:highlight w:val="none"/>
        </w:rPr>
      </w:pPr>
      <w:bookmarkStart w:id="995" w:name="_Toc35424973"/>
      <w:bookmarkStart w:id="996" w:name="_Toc19174"/>
      <w:bookmarkStart w:id="997" w:name="_Toc35425139"/>
      <w:bookmarkStart w:id="998" w:name="_Toc78803401"/>
      <w:r>
        <w:rPr>
          <w:rStyle w:val="120"/>
          <w:rFonts w:hint="eastAsia" w:ascii="宋体" w:hAnsi="宋体" w:cs="宋体"/>
          <w:sz w:val="32"/>
          <w:highlight w:val="none"/>
        </w:rPr>
        <w:t>投标文件</w:t>
      </w:r>
      <w:bookmarkEnd w:id="995"/>
      <w:bookmarkEnd w:id="996"/>
      <w:bookmarkEnd w:id="997"/>
      <w:r>
        <w:rPr>
          <w:rStyle w:val="120"/>
          <w:rFonts w:hint="eastAsia" w:ascii="宋体" w:hAnsi="宋体" w:cs="宋体"/>
          <w:sz w:val="32"/>
          <w:highlight w:val="none"/>
          <w:lang w:val="en-US"/>
        </w:rPr>
        <w:t>二</w:t>
      </w:r>
      <w:r>
        <w:rPr>
          <w:rStyle w:val="120"/>
          <w:rFonts w:hint="eastAsia" w:ascii="宋体" w:hAnsi="宋体" w:cs="宋体"/>
          <w:sz w:val="32"/>
          <w:highlight w:val="none"/>
        </w:rPr>
        <w:t>：商务标目录</w:t>
      </w:r>
      <w:bookmarkEnd w:id="998"/>
    </w:p>
    <w:p w14:paraId="3318E4A9">
      <w:pPr>
        <w:adjustRightInd w:val="0"/>
        <w:snapToGrid w:val="0"/>
        <w:spacing w:line="560" w:lineRule="exact"/>
        <w:ind w:firstLine="420" w:firstLineChars="200"/>
        <w:rPr>
          <w:rFonts w:hint="eastAsia" w:ascii="宋体" w:hAnsi="宋体"/>
          <w:color w:val="000000"/>
          <w:szCs w:val="21"/>
        </w:rPr>
      </w:pPr>
      <w:r>
        <w:rPr>
          <w:rFonts w:hint="eastAsia" w:ascii="宋体" w:hAnsi="宋体"/>
          <w:color w:val="000000"/>
          <w:szCs w:val="21"/>
        </w:rPr>
        <w:t>（1）投标函；</w:t>
      </w:r>
    </w:p>
    <w:p w14:paraId="4E3CCDEE">
      <w:pPr>
        <w:adjustRightInd w:val="0"/>
        <w:snapToGrid w:val="0"/>
        <w:spacing w:line="560" w:lineRule="exact"/>
        <w:ind w:firstLine="420" w:firstLineChars="200"/>
        <w:rPr>
          <w:rFonts w:hint="eastAsia" w:eastAsia="宋体"/>
          <w:color w:val="000000"/>
          <w:lang w:eastAsia="zh-CN"/>
        </w:rPr>
      </w:pPr>
      <w:r>
        <w:rPr>
          <w:rFonts w:hint="eastAsia" w:ascii="宋体" w:hAnsi="宋体"/>
          <w:color w:val="000000"/>
          <w:szCs w:val="21"/>
        </w:rPr>
        <w:t>（2）工程量清单报价书</w:t>
      </w:r>
      <w:r>
        <w:rPr>
          <w:rFonts w:hint="eastAsia" w:ascii="宋体" w:hAnsi="宋体"/>
          <w:color w:val="000000"/>
          <w:szCs w:val="21"/>
          <w:lang w:eastAsia="zh-CN"/>
        </w:rPr>
        <w:t>；</w:t>
      </w:r>
    </w:p>
    <w:p w14:paraId="7DEC2A54">
      <w:pPr>
        <w:adjustRightInd w:val="0"/>
        <w:snapToGrid w:val="0"/>
        <w:spacing w:line="5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w:t>
      </w:r>
      <w:r>
        <w:rPr>
          <w:rFonts w:hint="eastAsia" w:ascii="宋体" w:hAnsi="宋体" w:cs="Times New Roman"/>
          <w:color w:val="000000"/>
          <w:szCs w:val="21"/>
          <w:lang w:val="en-US" w:eastAsia="zh-CN"/>
        </w:rPr>
        <w:t>3</w:t>
      </w:r>
      <w:r>
        <w:rPr>
          <w:rFonts w:hint="eastAsia" w:ascii="宋体" w:hAnsi="宋体" w:eastAsia="宋体" w:cs="Times New Roman"/>
          <w:color w:val="000000"/>
          <w:szCs w:val="21"/>
        </w:rPr>
        <w:t>）全国建筑市场监管公共服务平台(四库一平台)企业注册人员网页截图；</w:t>
      </w:r>
    </w:p>
    <w:p w14:paraId="66686266">
      <w:pPr>
        <w:adjustRightInd w:val="0"/>
        <w:snapToGrid w:val="0"/>
        <w:spacing w:line="5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w:t>
      </w:r>
      <w:r>
        <w:rPr>
          <w:rFonts w:hint="eastAsia" w:ascii="宋体" w:hAnsi="宋体" w:cs="Times New Roman"/>
          <w:color w:val="000000"/>
          <w:szCs w:val="21"/>
          <w:lang w:val="en-US" w:eastAsia="zh-CN"/>
        </w:rPr>
        <w:t>4</w:t>
      </w:r>
      <w:r>
        <w:rPr>
          <w:rFonts w:hint="eastAsia" w:ascii="宋体" w:hAnsi="宋体" w:eastAsia="宋体" w:cs="Times New Roman"/>
          <w:color w:val="000000"/>
          <w:szCs w:val="21"/>
        </w:rPr>
        <w:t>）详细评审所需其他材料。</w:t>
      </w:r>
    </w:p>
    <w:p w14:paraId="03122088">
      <w:pPr>
        <w:spacing w:line="540" w:lineRule="exact"/>
        <w:rPr>
          <w:rFonts w:eastAsia="黑体"/>
          <w:sz w:val="20"/>
          <w:szCs w:val="20"/>
          <w:highlight w:val="none"/>
        </w:rPr>
      </w:pPr>
    </w:p>
    <w:p w14:paraId="3338FC9F">
      <w:pPr>
        <w:spacing w:line="540" w:lineRule="exact"/>
        <w:rPr>
          <w:rFonts w:eastAsia="黑体"/>
          <w:sz w:val="20"/>
          <w:szCs w:val="20"/>
          <w:highlight w:val="none"/>
        </w:rPr>
      </w:pPr>
    </w:p>
    <w:p w14:paraId="3D5F9903">
      <w:pPr>
        <w:spacing w:line="540" w:lineRule="exact"/>
        <w:rPr>
          <w:rFonts w:eastAsia="黑体"/>
          <w:sz w:val="20"/>
          <w:szCs w:val="20"/>
          <w:highlight w:val="none"/>
        </w:rPr>
      </w:pPr>
    </w:p>
    <w:p w14:paraId="6FEF5B0D">
      <w:pPr>
        <w:spacing w:line="360" w:lineRule="auto"/>
        <w:ind w:firstLine="420" w:firstLineChars="200"/>
        <w:jc w:val="right"/>
        <w:rPr>
          <w:szCs w:val="21"/>
          <w:highlight w:val="none"/>
          <w:u w:val="single"/>
        </w:rPr>
      </w:pPr>
    </w:p>
    <w:p w14:paraId="70F20168">
      <w:pPr>
        <w:spacing w:line="360" w:lineRule="auto"/>
        <w:ind w:firstLine="420" w:firstLineChars="200"/>
        <w:jc w:val="right"/>
        <w:rPr>
          <w:szCs w:val="21"/>
          <w:highlight w:val="none"/>
          <w:u w:val="single"/>
        </w:rPr>
      </w:pPr>
    </w:p>
    <w:p w14:paraId="5BDCA848">
      <w:pPr>
        <w:spacing w:line="360" w:lineRule="auto"/>
        <w:ind w:firstLine="420" w:firstLineChars="200"/>
        <w:jc w:val="right"/>
        <w:rPr>
          <w:szCs w:val="21"/>
          <w:highlight w:val="none"/>
          <w:u w:val="single"/>
        </w:rPr>
      </w:pPr>
    </w:p>
    <w:p w14:paraId="5B4A47D5">
      <w:pPr>
        <w:spacing w:line="360" w:lineRule="auto"/>
        <w:ind w:firstLine="420" w:firstLineChars="200"/>
        <w:jc w:val="right"/>
        <w:rPr>
          <w:szCs w:val="21"/>
          <w:highlight w:val="none"/>
          <w:u w:val="single"/>
        </w:rPr>
      </w:pPr>
    </w:p>
    <w:p w14:paraId="6AF87BBA">
      <w:pPr>
        <w:spacing w:line="360" w:lineRule="auto"/>
        <w:ind w:firstLine="420" w:firstLineChars="200"/>
        <w:jc w:val="right"/>
        <w:rPr>
          <w:szCs w:val="21"/>
          <w:highlight w:val="none"/>
          <w:u w:val="single"/>
        </w:rPr>
      </w:pPr>
    </w:p>
    <w:p w14:paraId="49A7FE35">
      <w:pPr>
        <w:spacing w:line="360" w:lineRule="auto"/>
        <w:ind w:firstLine="420" w:firstLineChars="200"/>
        <w:jc w:val="right"/>
        <w:rPr>
          <w:szCs w:val="21"/>
          <w:highlight w:val="none"/>
          <w:u w:val="single"/>
        </w:rPr>
      </w:pPr>
    </w:p>
    <w:p w14:paraId="7EAE036F">
      <w:pPr>
        <w:spacing w:line="360" w:lineRule="auto"/>
        <w:ind w:firstLine="420" w:firstLineChars="200"/>
        <w:jc w:val="right"/>
        <w:rPr>
          <w:szCs w:val="21"/>
          <w:highlight w:val="none"/>
          <w:u w:val="single"/>
        </w:rPr>
      </w:pPr>
    </w:p>
    <w:p w14:paraId="39D3A8B9">
      <w:pPr>
        <w:spacing w:line="360" w:lineRule="auto"/>
        <w:ind w:firstLine="420" w:firstLineChars="200"/>
        <w:jc w:val="right"/>
        <w:rPr>
          <w:szCs w:val="21"/>
          <w:highlight w:val="none"/>
          <w:u w:val="single"/>
        </w:rPr>
      </w:pPr>
    </w:p>
    <w:p w14:paraId="042B576F">
      <w:pPr>
        <w:jc w:val="center"/>
        <w:rPr>
          <w:b/>
          <w:sz w:val="32"/>
          <w:szCs w:val="32"/>
          <w:highlight w:val="none"/>
        </w:rPr>
      </w:pPr>
    </w:p>
    <w:p w14:paraId="29EE3D81">
      <w:pPr>
        <w:jc w:val="center"/>
        <w:rPr>
          <w:b/>
          <w:sz w:val="32"/>
          <w:szCs w:val="32"/>
          <w:highlight w:val="none"/>
        </w:rPr>
      </w:pPr>
    </w:p>
    <w:p w14:paraId="569DA32B">
      <w:pPr>
        <w:jc w:val="center"/>
        <w:rPr>
          <w:b/>
          <w:sz w:val="32"/>
          <w:szCs w:val="32"/>
          <w:highlight w:val="none"/>
        </w:rPr>
      </w:pPr>
    </w:p>
    <w:p w14:paraId="30415CF4">
      <w:pPr>
        <w:jc w:val="center"/>
        <w:rPr>
          <w:b/>
          <w:sz w:val="32"/>
          <w:szCs w:val="32"/>
          <w:highlight w:val="none"/>
        </w:rPr>
      </w:pPr>
    </w:p>
    <w:p w14:paraId="1AAF50B0">
      <w:pPr>
        <w:jc w:val="center"/>
        <w:rPr>
          <w:b/>
          <w:sz w:val="32"/>
          <w:szCs w:val="32"/>
          <w:highlight w:val="none"/>
        </w:rPr>
      </w:pPr>
    </w:p>
    <w:p w14:paraId="5BCCA520">
      <w:pPr>
        <w:jc w:val="center"/>
        <w:rPr>
          <w:b/>
          <w:sz w:val="32"/>
          <w:szCs w:val="32"/>
          <w:highlight w:val="none"/>
        </w:rPr>
      </w:pPr>
    </w:p>
    <w:p w14:paraId="194A658F">
      <w:pPr>
        <w:jc w:val="center"/>
        <w:rPr>
          <w:b/>
          <w:sz w:val="32"/>
          <w:szCs w:val="32"/>
          <w:highlight w:val="none"/>
        </w:rPr>
      </w:pPr>
    </w:p>
    <w:p w14:paraId="3F1030A3">
      <w:pPr>
        <w:spacing w:line="360" w:lineRule="auto"/>
        <w:rPr>
          <w:b/>
          <w:bCs/>
          <w:sz w:val="32"/>
          <w:szCs w:val="32"/>
          <w:highlight w:val="none"/>
        </w:rPr>
      </w:pPr>
    </w:p>
    <w:p w14:paraId="5D358DCD">
      <w:pPr>
        <w:jc w:val="center"/>
        <w:rPr>
          <w:rFonts w:ascii="宋体" w:hAnsi="宋体"/>
          <w:b/>
          <w:sz w:val="32"/>
          <w:szCs w:val="32"/>
          <w:highlight w:val="none"/>
        </w:rPr>
      </w:pPr>
      <w:r>
        <w:rPr>
          <w:rFonts w:hint="eastAsia" w:ascii="宋体" w:hAnsi="宋体"/>
          <w:b/>
          <w:sz w:val="32"/>
          <w:szCs w:val="32"/>
          <w:highlight w:val="none"/>
        </w:rPr>
        <w:br w:type="page"/>
      </w:r>
      <w:r>
        <w:rPr>
          <w:rFonts w:hint="eastAsia" w:ascii="宋体" w:hAnsi="宋体"/>
          <w:b/>
          <w:sz w:val="32"/>
          <w:szCs w:val="32"/>
          <w:highlight w:val="none"/>
        </w:rPr>
        <w:t>（1）投 标 函</w:t>
      </w:r>
    </w:p>
    <w:p w14:paraId="246EE23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rPr>
      </w:pPr>
      <w:bookmarkStart w:id="999" w:name="_Toc35424974"/>
      <w:bookmarkStart w:id="1000" w:name="_Toc35425140"/>
      <w:bookmarkStart w:id="1001" w:name="_Toc15058950"/>
      <w:bookmarkStart w:id="1002" w:name="_Toc506107366"/>
      <w:r>
        <w:rPr>
          <w:rFonts w:hint="eastAsia" w:ascii="宋体" w:hAnsi="宋体" w:eastAsia="宋体" w:cs="宋体"/>
          <w:b/>
          <w:bCs/>
          <w:color w:val="auto"/>
        </w:rPr>
        <w:t>致 ：</w:t>
      </w:r>
      <w:r>
        <w:rPr>
          <w:rFonts w:hint="eastAsia" w:ascii="宋体" w:hAnsi="宋体" w:eastAsia="宋体" w:cs="宋体"/>
          <w:b/>
          <w:bCs/>
          <w:color w:val="auto"/>
          <w:u w:val="single"/>
          <w:lang w:val="en-US" w:eastAsia="zh-CN"/>
        </w:rPr>
        <w:t xml:space="preserve">       （招标人） </w:t>
      </w:r>
      <w:r>
        <w:rPr>
          <w:rFonts w:hint="eastAsia" w:ascii="宋体" w:hAnsi="宋体" w:eastAsia="宋体" w:cs="宋体"/>
          <w:color w:val="auto"/>
        </w:rPr>
        <w:t xml:space="preserve">：  </w:t>
      </w:r>
    </w:p>
    <w:p w14:paraId="4655D6FB">
      <w:pPr>
        <w:adjustRightInd w:val="0"/>
        <w:snapToGrid w:val="0"/>
        <w:spacing w:line="560" w:lineRule="exact"/>
        <w:ind w:firstLine="420" w:firstLineChars="200"/>
        <w:rPr>
          <w:rFonts w:ascii="宋体" w:hAnsi="宋体"/>
          <w:color w:val="000000"/>
          <w:sz w:val="21"/>
          <w:szCs w:val="21"/>
        </w:rPr>
      </w:pPr>
      <w:r>
        <w:rPr>
          <w:rFonts w:hint="eastAsia" w:ascii="宋体" w:hAnsi="宋体"/>
          <w:color w:val="000000"/>
          <w:sz w:val="21"/>
          <w:szCs w:val="21"/>
        </w:rPr>
        <w:t>1、根据你方招</w:t>
      </w:r>
      <w:bookmarkStart w:id="1003" w:name="_Toc60061591"/>
      <w:r>
        <w:rPr>
          <w:rFonts w:hint="eastAsia" w:ascii="宋体" w:hAnsi="宋体"/>
          <w:color w:val="000000"/>
          <w:sz w:val="21"/>
          <w:szCs w:val="21"/>
        </w:rPr>
        <w:t>标项目编号为</w:t>
      </w:r>
      <w:r>
        <w:rPr>
          <w:rFonts w:ascii="宋体" w:hAnsi="宋体"/>
          <w:color w:val="000000"/>
          <w:sz w:val="21"/>
          <w:szCs w:val="21"/>
          <w:u w:val="single"/>
        </w:rPr>
        <w:t xml:space="preserve">  </w:t>
      </w:r>
      <w:bookmarkEnd w:id="1003"/>
      <w:r>
        <w:rPr>
          <w:rFonts w:ascii="宋体" w:hAnsi="宋体"/>
          <w:color w:val="000000"/>
          <w:sz w:val="21"/>
          <w:szCs w:val="21"/>
          <w:u w:val="single"/>
        </w:rPr>
        <w:t xml:space="preserve">      </w:t>
      </w:r>
      <w:r>
        <w:rPr>
          <w:rFonts w:ascii="宋体" w:hAnsi="宋体"/>
          <w:color w:val="000000"/>
          <w:sz w:val="21"/>
          <w:szCs w:val="21"/>
        </w:rPr>
        <w:t xml:space="preserve"> </w:t>
      </w:r>
      <w:r>
        <w:rPr>
          <w:rFonts w:hint="eastAsia" w:ascii="宋体" w:hAnsi="宋体"/>
          <w:color w:val="000000"/>
          <w:sz w:val="21"/>
          <w:szCs w:val="21"/>
        </w:rPr>
        <w:t>的</w:t>
      </w:r>
      <w:r>
        <w:rPr>
          <w:rFonts w:ascii="宋体" w:hAnsi="宋体"/>
          <w:color w:val="000000"/>
          <w:sz w:val="21"/>
          <w:szCs w:val="21"/>
        </w:rPr>
        <w:t xml:space="preserve"> </w:t>
      </w:r>
      <w:r>
        <w:rPr>
          <w:rFonts w:ascii="宋体" w:hAnsi="宋体"/>
          <w:color w:val="000000"/>
          <w:sz w:val="21"/>
          <w:szCs w:val="21"/>
          <w:u w:val="single"/>
        </w:rPr>
        <w:t xml:space="preserve">                </w:t>
      </w:r>
      <w:r>
        <w:rPr>
          <w:rFonts w:hint="eastAsia" w:ascii="宋体" w:hAnsi="宋体"/>
          <w:color w:val="000000"/>
          <w:sz w:val="21"/>
          <w:szCs w:val="21"/>
        </w:rPr>
        <w:t>招标文件，遵照《中华人民共和国招标投标法》等有关规定，经踏勘项目现场和研究上述招标文件的投标须知、合同条件、技术规范、图纸、工程量清单和其他有关文件后，我方愿以</w:t>
      </w:r>
      <w:r>
        <w:rPr>
          <w:rFonts w:ascii="宋体" w:hAnsi="宋体"/>
          <w:color w:val="000000"/>
          <w:sz w:val="21"/>
          <w:szCs w:val="21"/>
        </w:rPr>
        <w:t xml:space="preserve"> </w:t>
      </w:r>
      <w:r>
        <w:rPr>
          <w:rFonts w:hint="eastAsia" w:ascii="宋体" w:hAnsi="宋体"/>
          <w:color w:val="000000"/>
          <w:sz w:val="21"/>
          <w:szCs w:val="21"/>
        </w:rPr>
        <w:t>（币种，金额、单位）</w:t>
      </w:r>
      <w:r>
        <w:rPr>
          <w:rFonts w:hint="eastAsia" w:ascii="宋体" w:hAnsi="宋体"/>
          <w:color w:val="000000"/>
          <w:sz w:val="21"/>
          <w:szCs w:val="21"/>
          <w:u w:val="single"/>
        </w:rPr>
        <w:t>人民币           元</w:t>
      </w:r>
      <w:r>
        <w:rPr>
          <w:rFonts w:hint="eastAsia" w:ascii="宋体" w:hAnsi="宋体"/>
          <w:color w:val="000000"/>
          <w:sz w:val="21"/>
          <w:szCs w:val="21"/>
        </w:rPr>
        <w:t>的投标总报价承包上述工程的施工、竣工，并承担任何质量缺陷保修责任。</w:t>
      </w:r>
    </w:p>
    <w:p w14:paraId="5F0C98BD">
      <w:pPr>
        <w:tabs>
          <w:tab w:val="left" w:pos="840"/>
        </w:tabs>
        <w:adjustRightInd w:val="0"/>
        <w:snapToGrid w:val="0"/>
        <w:spacing w:line="560" w:lineRule="exact"/>
        <w:ind w:firstLine="420" w:firstLineChars="200"/>
        <w:rPr>
          <w:rFonts w:ascii="宋体" w:hAnsi="宋体"/>
          <w:color w:val="000000"/>
          <w:sz w:val="21"/>
          <w:szCs w:val="21"/>
        </w:rPr>
      </w:pPr>
      <w:r>
        <w:rPr>
          <w:rFonts w:hint="eastAsia" w:ascii="宋体" w:hAnsi="宋体"/>
          <w:color w:val="000000"/>
          <w:sz w:val="21"/>
          <w:szCs w:val="21"/>
        </w:rPr>
        <w:t>2、我方已详细审核全部招标文件及有关附件，承诺招标文件及有关附件中所有条款。</w:t>
      </w:r>
    </w:p>
    <w:p w14:paraId="3FE6622D">
      <w:pPr>
        <w:adjustRightInd w:val="0"/>
        <w:snapToGrid w:val="0"/>
        <w:spacing w:line="560" w:lineRule="exact"/>
        <w:ind w:firstLine="420" w:firstLineChars="200"/>
        <w:rPr>
          <w:rFonts w:ascii="宋体" w:hAnsi="宋体"/>
          <w:color w:val="000000"/>
          <w:sz w:val="21"/>
          <w:szCs w:val="21"/>
        </w:rPr>
      </w:pPr>
      <w:r>
        <w:rPr>
          <w:rFonts w:hint="eastAsia" w:ascii="宋体" w:hAnsi="宋体"/>
          <w:color w:val="000000"/>
          <w:sz w:val="21"/>
          <w:szCs w:val="21"/>
        </w:rPr>
        <w:t>3、一旦我方中标，我方将派出</w:t>
      </w:r>
      <w:r>
        <w:rPr>
          <w:rFonts w:hint="eastAsia" w:ascii="宋体" w:hAnsi="宋体"/>
          <w:color w:val="000000"/>
          <w:sz w:val="21"/>
          <w:szCs w:val="21"/>
          <w:u w:val="single"/>
        </w:rPr>
        <w:t xml:space="preserve">           </w:t>
      </w:r>
      <w:r>
        <w:rPr>
          <w:rFonts w:hint="eastAsia" w:ascii="宋体" w:hAnsi="宋体"/>
          <w:color w:val="000000"/>
          <w:sz w:val="21"/>
          <w:szCs w:val="21"/>
        </w:rPr>
        <w:t>建造师为本工程项目经理，保证按照招标人要求开始本工程的施工，并在</w:t>
      </w:r>
      <w:r>
        <w:rPr>
          <w:rFonts w:ascii="宋体" w:hAnsi="宋体"/>
          <w:color w:val="000000"/>
          <w:sz w:val="21"/>
          <w:szCs w:val="21"/>
          <w:u w:val="single"/>
        </w:rPr>
        <w:t xml:space="preserve">       </w:t>
      </w:r>
      <w:r>
        <w:rPr>
          <w:rFonts w:hint="eastAsia" w:ascii="宋体" w:hAnsi="宋体"/>
          <w:color w:val="000000"/>
          <w:sz w:val="21"/>
          <w:szCs w:val="21"/>
        </w:rPr>
        <w:t>个日历天（工期）内完成本合同的施工，并移交整个工程，工程质量达到</w:t>
      </w:r>
      <w:r>
        <w:rPr>
          <w:rFonts w:ascii="宋体" w:hAnsi="宋体"/>
          <w:color w:val="000000"/>
          <w:sz w:val="21"/>
          <w:szCs w:val="21"/>
          <w:u w:val="single"/>
        </w:rPr>
        <w:t xml:space="preserve">          </w:t>
      </w:r>
      <w:r>
        <w:rPr>
          <w:rFonts w:hint="eastAsia" w:ascii="宋体" w:hAnsi="宋体"/>
          <w:color w:val="000000"/>
          <w:sz w:val="21"/>
          <w:szCs w:val="21"/>
        </w:rPr>
        <w:t xml:space="preserve"> 标准。</w:t>
      </w:r>
    </w:p>
    <w:p w14:paraId="68274B7B">
      <w:pPr>
        <w:adjustRightInd w:val="0"/>
        <w:snapToGrid w:val="0"/>
        <w:spacing w:line="560" w:lineRule="exact"/>
        <w:ind w:firstLine="420" w:firstLineChars="200"/>
        <w:rPr>
          <w:rFonts w:hint="eastAsia" w:ascii="宋体" w:hAnsi="宋体"/>
          <w:color w:val="000000"/>
          <w:sz w:val="21"/>
          <w:szCs w:val="21"/>
        </w:rPr>
      </w:pPr>
      <w:r>
        <w:rPr>
          <w:rFonts w:hint="eastAsia" w:ascii="宋体" w:hAnsi="宋体"/>
          <w:color w:val="000000"/>
          <w:sz w:val="21"/>
          <w:szCs w:val="21"/>
          <w:lang w:val="en-US" w:eastAsia="zh-CN"/>
        </w:rPr>
        <w:t>4</w:t>
      </w:r>
      <w:r>
        <w:rPr>
          <w:rFonts w:hint="eastAsia" w:ascii="宋体" w:hAnsi="宋体"/>
          <w:color w:val="000000"/>
          <w:sz w:val="21"/>
          <w:szCs w:val="21"/>
        </w:rPr>
        <w:t>、如果我方中标我方将按照招标文件的规定提交履约担保。工程验收合格后，方可退还。</w:t>
      </w:r>
    </w:p>
    <w:p w14:paraId="3E40DC48">
      <w:pPr>
        <w:adjustRightInd w:val="0"/>
        <w:snapToGrid w:val="0"/>
        <w:spacing w:line="560" w:lineRule="exact"/>
        <w:ind w:firstLine="420" w:firstLineChars="200"/>
        <w:jc w:val="left"/>
        <w:rPr>
          <w:rFonts w:hint="eastAsia" w:ascii="宋体" w:hAnsi="宋体"/>
          <w:color w:val="000000"/>
          <w:sz w:val="21"/>
          <w:szCs w:val="21"/>
        </w:rPr>
      </w:pPr>
      <w:r>
        <w:rPr>
          <w:rFonts w:hint="eastAsia" w:ascii="宋体" w:hAnsi="宋体"/>
          <w:color w:val="000000"/>
          <w:sz w:val="21"/>
          <w:szCs w:val="21"/>
          <w:lang w:val="en-US" w:eastAsia="zh-CN"/>
        </w:rPr>
        <w:t>5</w:t>
      </w:r>
      <w:r>
        <w:rPr>
          <w:rFonts w:hint="eastAsia" w:ascii="宋体" w:hAnsi="宋体"/>
          <w:color w:val="000000"/>
          <w:sz w:val="21"/>
          <w:szCs w:val="21"/>
        </w:rPr>
        <w:t>、我方承诺在招标文件规定的投标有效期内不撤销投标文件。</w:t>
      </w:r>
    </w:p>
    <w:p w14:paraId="4B7069B8">
      <w:pPr>
        <w:adjustRightInd w:val="0"/>
        <w:snapToGrid w:val="0"/>
        <w:spacing w:line="560" w:lineRule="exact"/>
        <w:ind w:firstLine="420" w:firstLineChars="200"/>
        <w:jc w:val="left"/>
        <w:rPr>
          <w:rFonts w:hint="eastAsia" w:ascii="宋体" w:hAnsi="宋体"/>
          <w:color w:val="000000"/>
          <w:sz w:val="21"/>
          <w:szCs w:val="21"/>
        </w:rPr>
      </w:pPr>
      <w:r>
        <w:rPr>
          <w:rFonts w:hint="eastAsia" w:ascii="宋体" w:hAnsi="宋体"/>
          <w:color w:val="000000"/>
          <w:sz w:val="21"/>
          <w:szCs w:val="21"/>
          <w:lang w:val="en-US" w:eastAsia="zh-CN"/>
        </w:rPr>
        <w:t>6</w:t>
      </w:r>
      <w:r>
        <w:rPr>
          <w:rFonts w:hint="eastAsia" w:ascii="宋体" w:hAnsi="宋体"/>
          <w:color w:val="000000"/>
          <w:sz w:val="21"/>
          <w:szCs w:val="21"/>
        </w:rPr>
        <w:t>、我单位提供如下通讯地址：</w:t>
      </w:r>
      <w:r>
        <w:rPr>
          <w:rFonts w:hint="eastAsia" w:ascii="宋体" w:hAnsi="宋体"/>
          <w:color w:val="000000"/>
          <w:sz w:val="21"/>
          <w:szCs w:val="21"/>
          <w:u w:val="single"/>
        </w:rPr>
        <w:t xml:space="preserve">                </w:t>
      </w:r>
      <w:r>
        <w:rPr>
          <w:rFonts w:hint="eastAsia" w:ascii="宋体" w:hAnsi="宋体"/>
          <w:color w:val="000000"/>
          <w:sz w:val="21"/>
          <w:szCs w:val="21"/>
        </w:rPr>
        <w:t>电子邮箱（地址），确认本项目相关法律文书均通过提供的以上地址送达，相关文书只要发送至以上电子邮箱（地址）即视为送达，投标人愿意承担一切法律后果。</w:t>
      </w:r>
    </w:p>
    <w:p w14:paraId="3E0C4000">
      <w:pPr>
        <w:adjustRightInd w:val="0"/>
        <w:snapToGrid w:val="0"/>
        <w:spacing w:line="560" w:lineRule="exact"/>
        <w:ind w:firstLine="420" w:firstLineChars="200"/>
        <w:jc w:val="left"/>
        <w:rPr>
          <w:rFonts w:hint="eastAsia" w:ascii="宋体" w:hAnsi="宋体" w:eastAsia="宋体" w:cs="宋体"/>
          <w:color w:val="auto"/>
          <w:sz w:val="21"/>
          <w:szCs w:val="21"/>
        </w:rPr>
      </w:pPr>
      <w:r>
        <w:rPr>
          <w:rFonts w:hint="eastAsia" w:ascii="宋体" w:hAnsi="宋体"/>
          <w:color w:val="000000"/>
          <w:sz w:val="21"/>
          <w:szCs w:val="21"/>
          <w:lang w:val="en-US" w:eastAsia="zh-CN"/>
        </w:rPr>
        <w:t>7</w:t>
      </w:r>
      <w:r>
        <w:rPr>
          <w:rFonts w:hint="eastAsia" w:ascii="宋体" w:hAnsi="宋体"/>
          <w:color w:val="000000"/>
          <w:sz w:val="21"/>
          <w:szCs w:val="21"/>
          <w:lang w:eastAsia="zh-CN"/>
        </w:rPr>
        <w:t>、</w:t>
      </w:r>
      <w:r>
        <w:rPr>
          <w:rFonts w:hint="eastAsia" w:ascii="宋体" w:hAnsi="宋体"/>
          <w:color w:val="000000"/>
          <w:sz w:val="21"/>
          <w:szCs w:val="21"/>
          <w:u w:val="single"/>
        </w:rPr>
        <w:t xml:space="preserve">                           </w:t>
      </w:r>
      <w:r>
        <w:rPr>
          <w:rFonts w:hint="eastAsia" w:ascii="宋体" w:hAnsi="宋体"/>
          <w:color w:val="000000"/>
          <w:sz w:val="21"/>
          <w:szCs w:val="21"/>
        </w:rPr>
        <w:t>（其他补充说明）</w:t>
      </w:r>
    </w:p>
    <w:p w14:paraId="2504D90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rPr>
      </w:pPr>
    </w:p>
    <w:p w14:paraId="7B092613">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u w:val="single"/>
        </w:rPr>
      </w:pPr>
      <w:r>
        <w:rPr>
          <w:rFonts w:hint="eastAsia" w:ascii="宋体" w:hAnsi="宋体" w:eastAsia="宋体" w:cs="宋体"/>
          <w:color w:val="auto"/>
          <w:szCs w:val="21"/>
        </w:rPr>
        <w:t>投标人：</w:t>
      </w:r>
      <w:r>
        <w:rPr>
          <w:rFonts w:hint="eastAsia" w:ascii="宋体" w:hAnsi="宋体" w:eastAsia="宋体" w:cs="宋体"/>
          <w:color w:val="auto"/>
          <w:szCs w:val="21"/>
          <w:u w:val="single"/>
        </w:rPr>
        <w:t xml:space="preserve">                             （</w:t>
      </w:r>
      <w:r>
        <w:rPr>
          <w:rFonts w:hint="eastAsia" w:ascii="宋体" w:hAnsi="宋体" w:cs="宋体"/>
          <w:color w:val="auto"/>
          <w:szCs w:val="21"/>
          <w:u w:val="single"/>
          <w:lang w:val="en-US" w:eastAsia="zh-CN"/>
        </w:rPr>
        <w:t>盖</w:t>
      </w:r>
      <w:r>
        <w:rPr>
          <w:rFonts w:hint="eastAsia" w:ascii="宋体" w:hAnsi="宋体" w:eastAsia="宋体" w:cs="宋体"/>
          <w:color w:val="auto"/>
          <w:szCs w:val="21"/>
          <w:u w:val="single"/>
        </w:rPr>
        <w:t xml:space="preserve">章）   </w:t>
      </w:r>
    </w:p>
    <w:p w14:paraId="41B57621">
      <w:pPr>
        <w:spacing w:line="600" w:lineRule="exact"/>
        <w:ind w:firstLine="2310" w:firstLineChars="1100"/>
        <w:jc w:val="left"/>
        <w:rPr>
          <w:rFonts w:ascii="宋体" w:hAnsi="宋体"/>
          <w:szCs w:val="21"/>
        </w:rPr>
      </w:pPr>
      <w:r>
        <w:rPr>
          <w:rFonts w:hint="eastAsia" w:ascii="宋体" w:hAnsi="宋体"/>
          <w:szCs w:val="21"/>
        </w:rPr>
        <w:t>法定代表人</w:t>
      </w:r>
      <w:r>
        <w:rPr>
          <w:rFonts w:hint="eastAsia" w:ascii="宋体" w:hAnsi="宋体"/>
          <w:szCs w:val="21"/>
          <w:lang w:val="en-US" w:eastAsia="zh-CN"/>
        </w:rPr>
        <w:t>或委托代理人</w:t>
      </w:r>
      <w:r>
        <w:rPr>
          <w:rFonts w:hint="eastAsia"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w:t>
      </w:r>
      <w:r>
        <w:rPr>
          <w:rFonts w:hint="eastAsia" w:ascii="宋体" w:hAnsi="宋体"/>
          <w:szCs w:val="21"/>
          <w:u w:val="single"/>
          <w:lang w:val="en-US" w:eastAsia="zh-CN"/>
        </w:rPr>
        <w:t>签字或盖章</w:t>
      </w:r>
      <w:r>
        <w:rPr>
          <w:rFonts w:hint="eastAsia" w:ascii="宋体" w:hAnsi="宋体"/>
          <w:szCs w:val="21"/>
          <w:u w:val="single"/>
        </w:rPr>
        <w:t>）</w:t>
      </w:r>
    </w:p>
    <w:p w14:paraId="75BF44E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rPr>
      </w:pPr>
      <w:r>
        <w:rPr>
          <w:rFonts w:hint="eastAsia" w:ascii="宋体" w:hAnsi="宋体" w:eastAsia="宋体" w:cs="宋体"/>
          <w:color w:val="auto"/>
          <w:szCs w:val="21"/>
        </w:rPr>
        <w:t>单位地址：</w:t>
      </w:r>
      <w:r>
        <w:rPr>
          <w:rFonts w:hint="eastAsia" w:ascii="宋体" w:hAnsi="宋体" w:eastAsia="宋体" w:cs="宋体"/>
          <w:color w:val="auto"/>
          <w:szCs w:val="21"/>
          <w:u w:val="single"/>
        </w:rPr>
        <w:t xml:space="preserve">                                       </w:t>
      </w:r>
    </w:p>
    <w:p w14:paraId="152985B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u w:val="single"/>
        </w:rPr>
      </w:pPr>
      <w:r>
        <w:rPr>
          <w:rFonts w:hint="eastAsia" w:ascii="宋体" w:hAnsi="宋体" w:eastAsia="宋体" w:cs="宋体"/>
          <w:color w:val="auto"/>
          <w:szCs w:val="21"/>
        </w:rPr>
        <w:t>邮政编码：</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电话：</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传真：</w:t>
      </w:r>
      <w:r>
        <w:rPr>
          <w:rFonts w:hint="eastAsia" w:ascii="宋体" w:hAnsi="宋体" w:eastAsia="宋体" w:cs="宋体"/>
          <w:color w:val="auto"/>
          <w:szCs w:val="21"/>
          <w:u w:val="single"/>
        </w:rPr>
        <w:t xml:space="preserve">       </w:t>
      </w:r>
    </w:p>
    <w:p w14:paraId="2636742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年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月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6809622B">
      <w:pPr>
        <w:pStyle w:val="8"/>
        <w:adjustRightInd w:val="0"/>
        <w:snapToGrid w:val="0"/>
        <w:spacing w:before="0" w:after="0" w:line="560" w:lineRule="exact"/>
        <w:jc w:val="center"/>
        <w:rPr>
          <w:rFonts w:hint="eastAsia"/>
          <w:color w:val="000000"/>
        </w:rPr>
      </w:pPr>
      <w:r>
        <w:rPr>
          <w:rFonts w:hint="eastAsia"/>
          <w:sz w:val="32"/>
          <w:szCs w:val="32"/>
          <w:highlight w:val="none"/>
        </w:rPr>
        <w:br w:type="page"/>
      </w:r>
      <w:bookmarkEnd w:id="7"/>
      <w:bookmarkEnd w:id="8"/>
      <w:bookmarkEnd w:id="9"/>
      <w:bookmarkEnd w:id="10"/>
      <w:bookmarkEnd w:id="11"/>
      <w:bookmarkEnd w:id="999"/>
      <w:bookmarkEnd w:id="1000"/>
      <w:bookmarkEnd w:id="1001"/>
      <w:bookmarkEnd w:id="1002"/>
      <w:bookmarkStart w:id="1004" w:name="_Toc78803402"/>
      <w:r>
        <w:rPr>
          <w:rFonts w:hint="eastAsia"/>
          <w:color w:val="000000"/>
        </w:rPr>
        <w:t>（2）工程量清单报价书</w:t>
      </w:r>
    </w:p>
    <w:p w14:paraId="7D855F0A">
      <w:pPr>
        <w:jc w:val="center"/>
        <w:rPr>
          <w:rFonts w:ascii="Calibri" w:hAnsi="Calibri"/>
          <w:sz w:val="32"/>
          <w:szCs w:val="32"/>
        </w:rPr>
      </w:pPr>
    </w:p>
    <w:p w14:paraId="2528277B">
      <w:pPr>
        <w:jc w:val="center"/>
        <w:rPr>
          <w:rFonts w:ascii="Calibri" w:hAnsi="Calibri"/>
          <w:sz w:val="32"/>
          <w:szCs w:val="32"/>
        </w:rPr>
      </w:pPr>
      <w:r>
        <w:rPr>
          <w:rFonts w:hint="eastAsia" w:ascii="仿宋_GB2312" w:hAnsi="Calibri" w:eastAsia="仿宋_GB2312"/>
          <w:b/>
          <w:sz w:val="36"/>
          <w:szCs w:val="36"/>
        </w:rPr>
        <w:t>①</w:t>
      </w:r>
      <w:r>
        <w:rPr>
          <w:rFonts w:hint="eastAsia" w:ascii="Calibri" w:hAnsi="Calibri"/>
          <w:b/>
          <w:sz w:val="36"/>
          <w:szCs w:val="36"/>
        </w:rPr>
        <w:t>工程量清单报价书（封面）</w:t>
      </w:r>
      <w:r>
        <w:rPr>
          <w:rFonts w:hint="eastAsia" w:ascii="Calibri" w:hAnsi="Calibri"/>
          <w:sz w:val="32"/>
          <w:szCs w:val="32"/>
          <w:vertAlign w:val="superscript"/>
        </w:rPr>
        <w:t>1</w:t>
      </w:r>
    </w:p>
    <w:p w14:paraId="3D7A056C">
      <w:pPr>
        <w:jc w:val="center"/>
        <w:rPr>
          <w:rFonts w:ascii="Calibri" w:hAnsi="Calibri"/>
          <w:b/>
          <w:sz w:val="32"/>
          <w:szCs w:val="32"/>
        </w:rPr>
      </w:pPr>
    </w:p>
    <w:p w14:paraId="5262813B">
      <w:pPr>
        <w:ind w:firstLine="643" w:firstLineChars="200"/>
        <w:jc w:val="center"/>
        <w:rPr>
          <w:rFonts w:ascii="Calibri" w:hAnsi="Calibri"/>
          <w:b/>
          <w:sz w:val="32"/>
          <w:szCs w:val="32"/>
        </w:rPr>
      </w:pPr>
      <w:r>
        <w:rPr>
          <w:rFonts w:hint="eastAsia" w:ascii="Calibri" w:hAnsi="Calibri"/>
          <w:b/>
          <w:sz w:val="32"/>
          <w:szCs w:val="32"/>
        </w:rPr>
        <w:t>投标总价</w:t>
      </w:r>
    </w:p>
    <w:p w14:paraId="51772B8A">
      <w:pPr>
        <w:spacing w:line="800" w:lineRule="exact"/>
        <w:ind w:firstLine="640" w:firstLineChars="200"/>
        <w:rPr>
          <w:rFonts w:ascii="Calibri" w:hAnsi="Calibri"/>
          <w:sz w:val="32"/>
          <w:szCs w:val="32"/>
          <w:u w:val="single"/>
        </w:rPr>
      </w:pPr>
      <w:r>
        <w:rPr>
          <w:rFonts w:hint="eastAsia" w:ascii="Calibri" w:hAnsi="Calibri"/>
          <w:sz w:val="32"/>
          <w:szCs w:val="32"/>
        </w:rPr>
        <w:t>招标人：</w:t>
      </w:r>
      <w:r>
        <w:rPr>
          <w:rFonts w:hint="eastAsia" w:ascii="Calibri" w:hAnsi="Calibri"/>
          <w:sz w:val="32"/>
          <w:szCs w:val="32"/>
          <w:u w:val="single"/>
        </w:rPr>
        <w:t xml:space="preserve">                                                 </w:t>
      </w:r>
    </w:p>
    <w:p w14:paraId="55501C58">
      <w:pPr>
        <w:spacing w:line="800" w:lineRule="exact"/>
        <w:ind w:firstLine="640" w:firstLineChars="200"/>
        <w:rPr>
          <w:rFonts w:ascii="Calibri" w:hAnsi="Calibri"/>
          <w:sz w:val="32"/>
          <w:szCs w:val="32"/>
        </w:rPr>
      </w:pPr>
      <w:r>
        <w:rPr>
          <w:rFonts w:hint="eastAsia" w:ascii="Calibri" w:hAnsi="Calibri"/>
          <w:sz w:val="32"/>
          <w:szCs w:val="32"/>
        </w:rPr>
        <w:t>工程名称：</w:t>
      </w:r>
      <w:r>
        <w:rPr>
          <w:rFonts w:hint="eastAsia" w:ascii="Calibri" w:hAnsi="Calibri"/>
          <w:sz w:val="32"/>
          <w:szCs w:val="32"/>
          <w:u w:val="single"/>
        </w:rPr>
        <w:t xml:space="preserve">                                               </w:t>
      </w:r>
    </w:p>
    <w:p w14:paraId="0A224365">
      <w:pPr>
        <w:spacing w:line="800" w:lineRule="exact"/>
        <w:ind w:firstLine="640" w:firstLineChars="200"/>
        <w:rPr>
          <w:rFonts w:ascii="Calibri" w:hAnsi="Calibri"/>
          <w:sz w:val="32"/>
          <w:szCs w:val="32"/>
          <w:u w:val="single"/>
        </w:rPr>
      </w:pPr>
      <w:r>
        <w:rPr>
          <w:rFonts w:hint="eastAsia" w:ascii="Calibri" w:hAnsi="Calibri"/>
          <w:sz w:val="32"/>
          <w:szCs w:val="32"/>
        </w:rPr>
        <w:t>投标总价（小写）：</w:t>
      </w:r>
      <w:r>
        <w:rPr>
          <w:rFonts w:hint="eastAsia" w:ascii="Calibri" w:hAnsi="Calibri"/>
          <w:sz w:val="32"/>
          <w:szCs w:val="32"/>
          <w:u w:val="single"/>
        </w:rPr>
        <w:t xml:space="preserve">                                       </w:t>
      </w:r>
    </w:p>
    <w:p w14:paraId="6243B7A2">
      <w:pPr>
        <w:spacing w:line="800" w:lineRule="exact"/>
        <w:ind w:firstLine="1920" w:firstLineChars="600"/>
        <w:rPr>
          <w:rFonts w:ascii="Calibri" w:hAnsi="Calibri"/>
          <w:sz w:val="32"/>
          <w:szCs w:val="32"/>
        </w:rPr>
      </w:pPr>
      <w:r>
        <w:rPr>
          <w:rFonts w:hint="eastAsia" w:ascii="Calibri" w:hAnsi="Calibri"/>
          <w:sz w:val="32"/>
          <w:szCs w:val="32"/>
        </w:rPr>
        <w:t>（大写）：</w:t>
      </w:r>
      <w:r>
        <w:rPr>
          <w:rFonts w:hint="eastAsia" w:ascii="Calibri" w:hAnsi="Calibri"/>
          <w:sz w:val="32"/>
          <w:szCs w:val="32"/>
          <w:u w:val="single"/>
        </w:rPr>
        <w:t xml:space="preserve">                                       </w:t>
      </w:r>
    </w:p>
    <w:p w14:paraId="7A25A46B">
      <w:pPr>
        <w:spacing w:line="800" w:lineRule="exact"/>
        <w:ind w:firstLine="640" w:firstLineChars="200"/>
        <w:rPr>
          <w:rFonts w:ascii="Calibri" w:hAnsi="Calibri"/>
          <w:sz w:val="32"/>
          <w:szCs w:val="32"/>
        </w:rPr>
      </w:pPr>
    </w:p>
    <w:p w14:paraId="7DB1D3AF">
      <w:pPr>
        <w:spacing w:line="800" w:lineRule="exact"/>
        <w:ind w:firstLine="640" w:firstLineChars="200"/>
        <w:rPr>
          <w:rFonts w:ascii="Calibri" w:hAnsi="Calibri"/>
          <w:sz w:val="32"/>
          <w:szCs w:val="32"/>
        </w:rPr>
      </w:pPr>
      <w:r>
        <w:rPr>
          <w:rFonts w:hint="eastAsia" w:ascii="Calibri" w:hAnsi="Calibri"/>
          <w:sz w:val="32"/>
          <w:szCs w:val="32"/>
        </w:rPr>
        <w:t>投 标 人：</w:t>
      </w:r>
      <w:r>
        <w:rPr>
          <w:rFonts w:hint="eastAsia" w:ascii="Calibri" w:hAnsi="Calibri"/>
          <w:sz w:val="32"/>
          <w:szCs w:val="32"/>
          <w:u w:val="single"/>
        </w:rPr>
        <w:t xml:space="preserve">                                     </w:t>
      </w:r>
      <w:r>
        <w:rPr>
          <w:rFonts w:hint="eastAsia" w:ascii="Calibri" w:hAnsi="Calibri"/>
          <w:sz w:val="32"/>
          <w:szCs w:val="32"/>
        </w:rPr>
        <w:t xml:space="preserve"> (单位盖章)</w:t>
      </w:r>
    </w:p>
    <w:p w14:paraId="2923CD59">
      <w:pPr>
        <w:spacing w:line="800" w:lineRule="exact"/>
        <w:ind w:firstLine="640" w:firstLineChars="200"/>
        <w:rPr>
          <w:rFonts w:ascii="Calibri" w:hAnsi="Calibri"/>
          <w:sz w:val="32"/>
          <w:szCs w:val="32"/>
        </w:rPr>
      </w:pPr>
    </w:p>
    <w:p w14:paraId="27258875">
      <w:pPr>
        <w:spacing w:line="800" w:lineRule="exact"/>
        <w:ind w:firstLine="640" w:firstLineChars="200"/>
        <w:rPr>
          <w:rFonts w:ascii="Calibri" w:hAnsi="Calibri"/>
          <w:sz w:val="32"/>
          <w:szCs w:val="32"/>
        </w:rPr>
      </w:pPr>
      <w:r>
        <w:rPr>
          <w:rFonts w:hint="eastAsia" w:ascii="Calibri" w:hAnsi="Calibri"/>
          <w:sz w:val="32"/>
          <w:szCs w:val="32"/>
        </w:rPr>
        <w:t>法定代表人：</w:t>
      </w:r>
      <w:r>
        <w:rPr>
          <w:rFonts w:hint="eastAsia" w:ascii="Calibri" w:hAnsi="Calibri"/>
          <w:sz w:val="32"/>
          <w:szCs w:val="32"/>
          <w:u w:val="single"/>
        </w:rPr>
        <w:t xml:space="preserve">                                 </w:t>
      </w:r>
      <w:r>
        <w:rPr>
          <w:rFonts w:hint="eastAsia" w:ascii="Calibri" w:hAnsi="Calibri"/>
          <w:sz w:val="32"/>
          <w:szCs w:val="32"/>
        </w:rPr>
        <w:t xml:space="preserve"> (签字或盖章)</w:t>
      </w:r>
    </w:p>
    <w:p w14:paraId="4925F3C8">
      <w:pPr>
        <w:spacing w:line="800" w:lineRule="exact"/>
        <w:ind w:firstLine="640" w:firstLineChars="200"/>
        <w:rPr>
          <w:rFonts w:ascii="Calibri" w:hAnsi="Calibri"/>
          <w:sz w:val="32"/>
          <w:szCs w:val="32"/>
        </w:rPr>
      </w:pPr>
    </w:p>
    <w:p w14:paraId="22B76E0B">
      <w:pPr>
        <w:spacing w:line="800" w:lineRule="exact"/>
        <w:ind w:firstLine="640" w:firstLineChars="200"/>
        <w:rPr>
          <w:rFonts w:ascii="Calibri" w:hAnsi="Calibri"/>
          <w:sz w:val="32"/>
          <w:szCs w:val="32"/>
          <w:u w:val="single"/>
        </w:rPr>
      </w:pPr>
      <w:r>
        <w:rPr>
          <w:rFonts w:hint="eastAsia" w:ascii="Calibri" w:hAnsi="Calibri"/>
          <w:sz w:val="32"/>
          <w:szCs w:val="32"/>
        </w:rPr>
        <w:t>编制人：</w:t>
      </w:r>
      <w:r>
        <w:rPr>
          <w:rFonts w:hint="eastAsia" w:ascii="Calibri" w:hAnsi="Calibri"/>
          <w:sz w:val="32"/>
          <w:szCs w:val="32"/>
          <w:u w:val="single"/>
        </w:rPr>
        <w:t xml:space="preserve">                                                 </w:t>
      </w:r>
    </w:p>
    <w:p w14:paraId="7BBAE3CA">
      <w:pPr>
        <w:spacing w:line="800" w:lineRule="exact"/>
        <w:ind w:firstLine="2720" w:firstLineChars="850"/>
        <w:rPr>
          <w:rFonts w:ascii="Calibri" w:hAnsi="Calibri"/>
          <w:sz w:val="32"/>
          <w:szCs w:val="32"/>
          <w:u w:val="single"/>
        </w:rPr>
      </w:pPr>
      <w:r>
        <w:rPr>
          <w:rFonts w:hint="eastAsia" w:ascii="Calibri" w:hAnsi="Calibri"/>
          <w:sz w:val="32"/>
          <w:szCs w:val="32"/>
        </w:rPr>
        <w:t xml:space="preserve"> (注册造价工程师签字并盖执业专用章)</w:t>
      </w:r>
    </w:p>
    <w:p w14:paraId="0D1E8CE0">
      <w:pPr>
        <w:spacing w:line="800" w:lineRule="exact"/>
        <w:ind w:firstLine="640" w:firstLineChars="200"/>
        <w:rPr>
          <w:rFonts w:ascii="Calibri" w:hAnsi="Calibri"/>
          <w:sz w:val="32"/>
          <w:szCs w:val="32"/>
        </w:rPr>
      </w:pPr>
    </w:p>
    <w:p w14:paraId="2768937A">
      <w:pPr>
        <w:spacing w:line="800" w:lineRule="exact"/>
        <w:ind w:firstLine="640" w:firstLineChars="200"/>
        <w:rPr>
          <w:rFonts w:ascii="Calibri" w:hAnsi="Calibri"/>
          <w:sz w:val="32"/>
          <w:szCs w:val="32"/>
        </w:rPr>
      </w:pPr>
      <w:r>
        <w:rPr>
          <w:rFonts w:hint="eastAsia" w:ascii="Calibri" w:hAnsi="Calibri"/>
          <w:sz w:val="32"/>
          <w:szCs w:val="32"/>
        </w:rPr>
        <w:t>编制时间：</w:t>
      </w:r>
      <w:r>
        <w:rPr>
          <w:rFonts w:hint="eastAsia" w:ascii="Calibri" w:hAnsi="Calibri"/>
          <w:sz w:val="32"/>
          <w:szCs w:val="32"/>
          <w:u w:val="single"/>
        </w:rPr>
        <w:t xml:space="preserve">             </w:t>
      </w:r>
      <w:r>
        <w:rPr>
          <w:rFonts w:hint="eastAsia" w:ascii="Calibri" w:hAnsi="Calibri"/>
          <w:sz w:val="32"/>
          <w:szCs w:val="32"/>
        </w:rPr>
        <w:t>年</w:t>
      </w:r>
      <w:r>
        <w:rPr>
          <w:rFonts w:hint="eastAsia" w:ascii="Calibri" w:hAnsi="Calibri"/>
          <w:sz w:val="32"/>
          <w:szCs w:val="32"/>
          <w:u w:val="single"/>
        </w:rPr>
        <w:t xml:space="preserve">          </w:t>
      </w:r>
      <w:r>
        <w:rPr>
          <w:rFonts w:hint="eastAsia" w:ascii="Calibri" w:hAnsi="Calibri"/>
          <w:sz w:val="32"/>
          <w:szCs w:val="32"/>
        </w:rPr>
        <w:t>月</w:t>
      </w:r>
      <w:r>
        <w:rPr>
          <w:rFonts w:hint="eastAsia" w:ascii="Calibri" w:hAnsi="Calibri"/>
          <w:sz w:val="32"/>
          <w:szCs w:val="32"/>
          <w:u w:val="single"/>
        </w:rPr>
        <w:t xml:space="preserve">          </w:t>
      </w:r>
      <w:r>
        <w:rPr>
          <w:rFonts w:hint="eastAsia" w:ascii="Calibri" w:hAnsi="Calibri"/>
          <w:sz w:val="32"/>
          <w:szCs w:val="32"/>
        </w:rPr>
        <w:t>日</w:t>
      </w:r>
    </w:p>
    <w:p w14:paraId="0E20567A">
      <w:pPr>
        <w:rPr>
          <w:rFonts w:ascii="Calibri" w:hAnsi="Calibri"/>
          <w:sz w:val="32"/>
          <w:szCs w:val="32"/>
        </w:rPr>
      </w:pPr>
    </w:p>
    <w:p w14:paraId="25DA0702">
      <w:pPr>
        <w:rPr>
          <w:rFonts w:ascii="宋体" w:hAnsi="宋体"/>
          <w:sz w:val="18"/>
          <w:szCs w:val="18"/>
        </w:rPr>
      </w:pPr>
      <w:r>
        <w:rPr>
          <w:rFonts w:hint="eastAsia" w:ascii="宋体" w:hAnsi="宋体"/>
          <w:sz w:val="18"/>
          <w:szCs w:val="18"/>
        </w:rPr>
        <w:t>1注：投标文件格式中工程量清单报价书（封面）及投标报价编制人信息表与投标文件制作工具导出文件不一致的，以投标文件格式文件为准。</w:t>
      </w:r>
    </w:p>
    <w:p w14:paraId="158AF5EF">
      <w:pPr>
        <w:jc w:val="center"/>
        <w:rPr>
          <w:rFonts w:hint="eastAsia" w:ascii="宋体" w:hAnsi="宋体"/>
          <w:sz w:val="32"/>
          <w:szCs w:val="32"/>
        </w:rPr>
      </w:pPr>
    </w:p>
    <w:p w14:paraId="3E802F3D">
      <w:pPr>
        <w:rPr>
          <w:rFonts w:hint="eastAsia" w:ascii="宋体" w:hAnsi="宋体"/>
          <w:sz w:val="32"/>
          <w:szCs w:val="32"/>
        </w:rPr>
      </w:pPr>
    </w:p>
    <w:p w14:paraId="73C8E6C7">
      <w:pPr>
        <w:jc w:val="center"/>
        <w:rPr>
          <w:rFonts w:ascii="宋体" w:hAnsi="宋体"/>
          <w:sz w:val="32"/>
          <w:szCs w:val="32"/>
        </w:rPr>
        <w:sectPr>
          <w:headerReference r:id="rId7" w:type="default"/>
          <w:footerReference r:id="rId8" w:type="default"/>
          <w:pgSz w:w="11910" w:h="16840"/>
          <w:pgMar w:top="1060" w:right="660" w:bottom="1020" w:left="1120" w:header="0" w:footer="833" w:gutter="0"/>
          <w:cols w:space="720" w:num="1"/>
        </w:sectPr>
      </w:pPr>
    </w:p>
    <w:p w14:paraId="6BE3DC7D">
      <w:pPr>
        <w:jc w:val="center"/>
        <w:rPr>
          <w:rFonts w:hint="eastAsia" w:ascii="宋体" w:hAnsi="宋体"/>
          <w:sz w:val="32"/>
          <w:szCs w:val="32"/>
        </w:rPr>
      </w:pPr>
    </w:p>
    <w:p w14:paraId="4FFA3562">
      <w:pPr>
        <w:jc w:val="center"/>
        <w:rPr>
          <w:rFonts w:ascii="Calibri" w:hAnsi="Calibri"/>
          <w:sz w:val="32"/>
          <w:szCs w:val="32"/>
        </w:rPr>
      </w:pPr>
      <w:r>
        <w:rPr>
          <w:rFonts w:hint="eastAsia" w:ascii="宋体" w:hAnsi="宋体"/>
          <w:sz w:val="32"/>
          <w:szCs w:val="32"/>
        </w:rPr>
        <w:t>②</w:t>
      </w:r>
      <w:r>
        <w:rPr>
          <w:rFonts w:hint="eastAsia" w:ascii="Calibri" w:hAnsi="Calibri"/>
          <w:sz w:val="32"/>
          <w:szCs w:val="32"/>
        </w:rPr>
        <w:t>投标报价编制人信息表</w:t>
      </w:r>
      <w:r>
        <w:rPr>
          <w:rFonts w:hint="eastAsia" w:ascii="Calibri" w:hAnsi="Calibri"/>
          <w:sz w:val="32"/>
          <w:szCs w:val="32"/>
          <w:vertAlign w:val="superscript"/>
        </w:rPr>
        <w:t>1</w:t>
      </w:r>
    </w:p>
    <w:p w14:paraId="4E0FE831">
      <w:pPr>
        <w:jc w:val="center"/>
        <w:rPr>
          <w:rFonts w:ascii="Calibri" w:hAnsi="Calibri"/>
          <w:sz w:val="32"/>
          <w:szCs w:val="32"/>
        </w:rPr>
      </w:pPr>
    </w:p>
    <w:tbl>
      <w:tblPr>
        <w:tblStyle w:val="47"/>
        <w:tblW w:w="10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16"/>
        <w:gridCol w:w="2951"/>
        <w:gridCol w:w="1737"/>
        <w:gridCol w:w="1563"/>
        <w:gridCol w:w="1967"/>
      </w:tblGrid>
      <w:tr w14:paraId="734C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827" w:type="dxa"/>
            <w:noWrap w:val="0"/>
            <w:vAlign w:val="center"/>
          </w:tcPr>
          <w:p w14:paraId="76C3EEF7">
            <w:pPr>
              <w:jc w:val="center"/>
              <w:rPr>
                <w:rFonts w:ascii="Calibri" w:hAnsi="Calibri"/>
                <w:szCs w:val="22"/>
              </w:rPr>
            </w:pPr>
            <w:r>
              <w:rPr>
                <w:rFonts w:hint="eastAsia" w:ascii="Calibri" w:hAnsi="Calibri"/>
                <w:szCs w:val="22"/>
              </w:rPr>
              <w:t>序号</w:t>
            </w:r>
          </w:p>
        </w:tc>
        <w:tc>
          <w:tcPr>
            <w:tcW w:w="1216" w:type="dxa"/>
            <w:noWrap w:val="0"/>
            <w:vAlign w:val="center"/>
          </w:tcPr>
          <w:p w14:paraId="2EAD4517">
            <w:pPr>
              <w:jc w:val="center"/>
              <w:rPr>
                <w:rFonts w:ascii="Calibri" w:hAnsi="Calibri"/>
                <w:szCs w:val="22"/>
              </w:rPr>
            </w:pPr>
            <w:r>
              <w:rPr>
                <w:rFonts w:hint="eastAsia" w:ascii="Calibri" w:hAnsi="Calibri"/>
                <w:szCs w:val="22"/>
              </w:rPr>
              <w:t>姓名</w:t>
            </w:r>
          </w:p>
        </w:tc>
        <w:tc>
          <w:tcPr>
            <w:tcW w:w="2951" w:type="dxa"/>
            <w:noWrap w:val="0"/>
            <w:vAlign w:val="center"/>
          </w:tcPr>
          <w:p w14:paraId="2519E21A">
            <w:pPr>
              <w:jc w:val="center"/>
              <w:rPr>
                <w:rFonts w:ascii="Calibri" w:hAnsi="Calibri"/>
                <w:szCs w:val="22"/>
              </w:rPr>
            </w:pPr>
            <w:r>
              <w:rPr>
                <w:rFonts w:hint="eastAsia" w:ascii="Calibri" w:hAnsi="Calibri"/>
                <w:szCs w:val="22"/>
              </w:rPr>
              <w:t>身份证号码</w:t>
            </w:r>
          </w:p>
        </w:tc>
        <w:tc>
          <w:tcPr>
            <w:tcW w:w="1737" w:type="dxa"/>
            <w:noWrap w:val="0"/>
            <w:vAlign w:val="center"/>
          </w:tcPr>
          <w:p w14:paraId="29F76927">
            <w:pPr>
              <w:jc w:val="center"/>
              <w:rPr>
                <w:rFonts w:ascii="Calibri" w:hAnsi="Calibri"/>
                <w:szCs w:val="22"/>
              </w:rPr>
            </w:pPr>
            <w:r>
              <w:rPr>
                <w:rFonts w:hint="eastAsia" w:ascii="Calibri" w:hAnsi="Calibri"/>
                <w:szCs w:val="22"/>
              </w:rPr>
              <w:t>手机号码</w:t>
            </w:r>
          </w:p>
        </w:tc>
        <w:tc>
          <w:tcPr>
            <w:tcW w:w="1563" w:type="dxa"/>
            <w:noWrap w:val="0"/>
            <w:vAlign w:val="center"/>
          </w:tcPr>
          <w:p w14:paraId="0498F078">
            <w:pPr>
              <w:jc w:val="center"/>
              <w:rPr>
                <w:rFonts w:ascii="Calibri" w:hAnsi="Calibri"/>
                <w:szCs w:val="22"/>
              </w:rPr>
            </w:pPr>
            <w:r>
              <w:rPr>
                <w:rFonts w:hint="eastAsia" w:ascii="Calibri" w:hAnsi="Calibri"/>
                <w:szCs w:val="22"/>
              </w:rPr>
              <w:t>单位名称</w:t>
            </w:r>
          </w:p>
        </w:tc>
        <w:tc>
          <w:tcPr>
            <w:tcW w:w="1967" w:type="dxa"/>
            <w:noWrap w:val="0"/>
            <w:vAlign w:val="center"/>
          </w:tcPr>
          <w:p w14:paraId="0B040D36">
            <w:pPr>
              <w:jc w:val="center"/>
              <w:rPr>
                <w:rFonts w:ascii="Calibri" w:hAnsi="Calibri"/>
                <w:szCs w:val="22"/>
              </w:rPr>
            </w:pPr>
            <w:r>
              <w:rPr>
                <w:rFonts w:hint="eastAsia" w:ascii="Calibri" w:hAnsi="Calibri"/>
                <w:szCs w:val="22"/>
              </w:rPr>
              <w:t>注册造价工程师注册证书号</w:t>
            </w:r>
          </w:p>
        </w:tc>
      </w:tr>
      <w:tr w14:paraId="0E2F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27" w:type="dxa"/>
            <w:noWrap w:val="0"/>
            <w:vAlign w:val="center"/>
          </w:tcPr>
          <w:p w14:paraId="64773D5B">
            <w:pPr>
              <w:jc w:val="center"/>
              <w:rPr>
                <w:rFonts w:ascii="Calibri" w:hAnsi="Calibri"/>
                <w:szCs w:val="22"/>
              </w:rPr>
            </w:pPr>
          </w:p>
        </w:tc>
        <w:tc>
          <w:tcPr>
            <w:tcW w:w="1216" w:type="dxa"/>
            <w:noWrap w:val="0"/>
            <w:vAlign w:val="center"/>
          </w:tcPr>
          <w:p w14:paraId="70AA3C12">
            <w:pPr>
              <w:jc w:val="center"/>
              <w:rPr>
                <w:rFonts w:ascii="Calibri" w:hAnsi="Calibri"/>
                <w:szCs w:val="22"/>
              </w:rPr>
            </w:pPr>
          </w:p>
        </w:tc>
        <w:tc>
          <w:tcPr>
            <w:tcW w:w="2951" w:type="dxa"/>
            <w:noWrap w:val="0"/>
            <w:vAlign w:val="center"/>
          </w:tcPr>
          <w:p w14:paraId="27D03DA0">
            <w:pPr>
              <w:jc w:val="center"/>
              <w:rPr>
                <w:rFonts w:ascii="Calibri" w:hAnsi="Calibri"/>
                <w:szCs w:val="22"/>
              </w:rPr>
            </w:pPr>
          </w:p>
        </w:tc>
        <w:tc>
          <w:tcPr>
            <w:tcW w:w="1737" w:type="dxa"/>
            <w:noWrap w:val="0"/>
            <w:vAlign w:val="center"/>
          </w:tcPr>
          <w:p w14:paraId="71B2152F">
            <w:pPr>
              <w:jc w:val="center"/>
              <w:rPr>
                <w:rFonts w:ascii="Calibri" w:hAnsi="Calibri"/>
                <w:szCs w:val="22"/>
              </w:rPr>
            </w:pPr>
          </w:p>
        </w:tc>
        <w:tc>
          <w:tcPr>
            <w:tcW w:w="1563" w:type="dxa"/>
            <w:noWrap w:val="0"/>
            <w:vAlign w:val="center"/>
          </w:tcPr>
          <w:p w14:paraId="56637195">
            <w:pPr>
              <w:jc w:val="center"/>
              <w:rPr>
                <w:rFonts w:ascii="Calibri" w:hAnsi="Calibri"/>
                <w:szCs w:val="22"/>
              </w:rPr>
            </w:pPr>
          </w:p>
        </w:tc>
        <w:tc>
          <w:tcPr>
            <w:tcW w:w="1967" w:type="dxa"/>
            <w:noWrap w:val="0"/>
            <w:vAlign w:val="center"/>
          </w:tcPr>
          <w:p w14:paraId="309B0DDF">
            <w:pPr>
              <w:jc w:val="center"/>
              <w:rPr>
                <w:rFonts w:ascii="Calibri" w:hAnsi="Calibri"/>
                <w:szCs w:val="22"/>
              </w:rPr>
            </w:pPr>
          </w:p>
        </w:tc>
      </w:tr>
      <w:tr w14:paraId="43C9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27" w:type="dxa"/>
            <w:noWrap w:val="0"/>
            <w:vAlign w:val="center"/>
          </w:tcPr>
          <w:p w14:paraId="73681B26">
            <w:pPr>
              <w:jc w:val="center"/>
              <w:rPr>
                <w:rFonts w:ascii="Calibri" w:hAnsi="Calibri"/>
                <w:szCs w:val="22"/>
              </w:rPr>
            </w:pPr>
          </w:p>
        </w:tc>
        <w:tc>
          <w:tcPr>
            <w:tcW w:w="1216" w:type="dxa"/>
            <w:noWrap w:val="0"/>
            <w:vAlign w:val="center"/>
          </w:tcPr>
          <w:p w14:paraId="24FDB299">
            <w:pPr>
              <w:jc w:val="center"/>
              <w:rPr>
                <w:rFonts w:ascii="Calibri" w:hAnsi="Calibri"/>
                <w:szCs w:val="22"/>
              </w:rPr>
            </w:pPr>
          </w:p>
        </w:tc>
        <w:tc>
          <w:tcPr>
            <w:tcW w:w="2951" w:type="dxa"/>
            <w:noWrap w:val="0"/>
            <w:vAlign w:val="center"/>
          </w:tcPr>
          <w:p w14:paraId="39C811F2">
            <w:pPr>
              <w:jc w:val="center"/>
              <w:rPr>
                <w:rFonts w:ascii="Calibri" w:hAnsi="Calibri"/>
                <w:szCs w:val="22"/>
              </w:rPr>
            </w:pPr>
          </w:p>
        </w:tc>
        <w:tc>
          <w:tcPr>
            <w:tcW w:w="1737" w:type="dxa"/>
            <w:noWrap w:val="0"/>
            <w:vAlign w:val="center"/>
          </w:tcPr>
          <w:p w14:paraId="561EFFBE">
            <w:pPr>
              <w:jc w:val="center"/>
              <w:rPr>
                <w:rFonts w:ascii="Calibri" w:hAnsi="Calibri"/>
                <w:szCs w:val="22"/>
              </w:rPr>
            </w:pPr>
          </w:p>
        </w:tc>
        <w:tc>
          <w:tcPr>
            <w:tcW w:w="1563" w:type="dxa"/>
            <w:noWrap w:val="0"/>
            <w:vAlign w:val="center"/>
          </w:tcPr>
          <w:p w14:paraId="03686129">
            <w:pPr>
              <w:jc w:val="center"/>
              <w:rPr>
                <w:rFonts w:ascii="Calibri" w:hAnsi="Calibri"/>
                <w:szCs w:val="22"/>
              </w:rPr>
            </w:pPr>
          </w:p>
        </w:tc>
        <w:tc>
          <w:tcPr>
            <w:tcW w:w="1967" w:type="dxa"/>
            <w:noWrap w:val="0"/>
            <w:vAlign w:val="center"/>
          </w:tcPr>
          <w:p w14:paraId="7663A0DE">
            <w:pPr>
              <w:jc w:val="center"/>
              <w:rPr>
                <w:rFonts w:ascii="Calibri" w:hAnsi="Calibri"/>
                <w:szCs w:val="22"/>
              </w:rPr>
            </w:pPr>
          </w:p>
        </w:tc>
      </w:tr>
    </w:tbl>
    <w:p w14:paraId="1C3498CD">
      <w:pPr>
        <w:rPr>
          <w:rFonts w:ascii="宋体" w:hAnsi="宋体"/>
          <w:b/>
          <w:sz w:val="24"/>
        </w:rPr>
      </w:pPr>
    </w:p>
    <w:p w14:paraId="0E3B9A49">
      <w:pPr>
        <w:spacing w:line="560" w:lineRule="exact"/>
        <w:rPr>
          <w:rFonts w:ascii="宋体" w:hAnsi="宋体"/>
          <w:b/>
          <w:sz w:val="24"/>
        </w:rPr>
      </w:pPr>
      <w:r>
        <w:rPr>
          <w:rFonts w:hint="eastAsia" w:ascii="宋体" w:hAnsi="宋体"/>
          <w:b/>
          <w:sz w:val="24"/>
        </w:rPr>
        <w:t>注：</w:t>
      </w:r>
    </w:p>
    <w:p w14:paraId="617A53C3">
      <w:pPr>
        <w:spacing w:line="560" w:lineRule="exact"/>
        <w:rPr>
          <w:rFonts w:ascii="宋体" w:hAnsi="宋体"/>
          <w:sz w:val="24"/>
        </w:rPr>
      </w:pPr>
      <w:r>
        <w:rPr>
          <w:rFonts w:hint="eastAsia" w:ascii="宋体" w:hAnsi="宋体"/>
          <w:sz w:val="24"/>
        </w:rPr>
        <w:t>1. 提供投标报价编制人员的注册造价工程师证书扫描件或影印件；</w:t>
      </w:r>
    </w:p>
    <w:p w14:paraId="6D22DC2A">
      <w:pPr>
        <w:spacing w:line="560" w:lineRule="exact"/>
        <w:rPr>
          <w:rFonts w:ascii="宋体" w:hAnsi="宋体"/>
          <w:sz w:val="24"/>
        </w:rPr>
      </w:pPr>
      <w:r>
        <w:rPr>
          <w:rFonts w:hint="eastAsia" w:ascii="宋体" w:hAnsi="宋体"/>
          <w:sz w:val="24"/>
        </w:rPr>
        <w:t>2. 若投标报价编制人员为投标人委托的造价咨询单位注册造价人员，须提供与造价咨询单位签订的委托协议。</w:t>
      </w:r>
    </w:p>
    <w:p w14:paraId="3614E8A5">
      <w:pPr>
        <w:spacing w:line="560" w:lineRule="exact"/>
        <w:rPr>
          <w:rFonts w:ascii="宋体" w:hAnsi="宋体"/>
          <w:sz w:val="24"/>
        </w:rPr>
      </w:pPr>
      <w:r>
        <w:rPr>
          <w:rFonts w:hint="eastAsia" w:ascii="宋体" w:hAnsi="宋体"/>
          <w:sz w:val="24"/>
        </w:rPr>
        <w:t>3. 表格内容将作为公安机关和行政主管部门调查串通投标、允许他人以自己名义从事工程造价业务等违法违规行为的重要依据。</w:t>
      </w:r>
    </w:p>
    <w:p w14:paraId="73668EF9">
      <w:pPr>
        <w:spacing w:line="560" w:lineRule="exact"/>
        <w:rPr>
          <w:rFonts w:ascii="宋体" w:hAnsi="宋体"/>
          <w:sz w:val="24"/>
        </w:rPr>
      </w:pPr>
      <w:r>
        <w:rPr>
          <w:rFonts w:hint="eastAsia" w:ascii="宋体" w:hAnsi="宋体"/>
          <w:sz w:val="24"/>
        </w:rPr>
        <w:t>4. 投标人填写内容务必真实准确，否则将承担投标失败、中标无效的风险。</w:t>
      </w:r>
    </w:p>
    <w:p w14:paraId="081E94DD">
      <w:pPr>
        <w:spacing w:line="560" w:lineRule="exact"/>
        <w:rPr>
          <w:rFonts w:ascii="宋体" w:hAnsi="宋体"/>
          <w:sz w:val="24"/>
        </w:rPr>
      </w:pPr>
    </w:p>
    <w:p w14:paraId="69A73CA9">
      <w:pPr>
        <w:spacing w:line="560" w:lineRule="exact"/>
        <w:rPr>
          <w:rFonts w:ascii="宋体" w:hAnsi="宋体"/>
          <w:sz w:val="24"/>
        </w:rPr>
      </w:pPr>
    </w:p>
    <w:p w14:paraId="3EBDA530">
      <w:pPr>
        <w:spacing w:line="560" w:lineRule="exact"/>
        <w:ind w:firstLine="480" w:firstLineChars="200"/>
        <w:rPr>
          <w:rFonts w:ascii="宋体" w:hAnsi="宋体"/>
          <w:sz w:val="24"/>
        </w:rPr>
      </w:pPr>
      <w:r>
        <w:rPr>
          <w:rFonts w:hint="eastAsia" w:ascii="宋体" w:hAnsi="宋体"/>
          <w:sz w:val="24"/>
        </w:rPr>
        <w:t>③工程量清单报价书正文格式：见2018版“工程量清单计价文件”格式，在滁州市公共资源交易中心网站下载招标文件后，使用投标文件制作工具导出“招标清单文件”，即为“工程量清单计价文件”正文格式。</w:t>
      </w:r>
    </w:p>
    <w:p w14:paraId="7ACE6453">
      <w:pPr>
        <w:pStyle w:val="8"/>
        <w:adjustRightInd w:val="0"/>
        <w:snapToGrid w:val="0"/>
        <w:spacing w:before="0" w:after="0" w:line="560" w:lineRule="exact"/>
        <w:jc w:val="center"/>
        <w:rPr>
          <w:rFonts w:hint="eastAsia"/>
          <w:color w:val="000000"/>
        </w:rPr>
      </w:pPr>
      <w:bookmarkStart w:id="1005" w:name="_Toc95223546"/>
    </w:p>
    <w:bookmarkEnd w:id="1005"/>
    <w:p w14:paraId="65A7D629">
      <w:pPr>
        <w:rPr>
          <w:rFonts w:hint="eastAsia"/>
          <w:bCs/>
          <w:szCs w:val="32"/>
          <w:highlight w:val="none"/>
        </w:rPr>
      </w:pPr>
      <w:r>
        <w:rPr>
          <w:rFonts w:hint="eastAsia"/>
          <w:bCs/>
          <w:szCs w:val="32"/>
          <w:highlight w:val="none"/>
        </w:rPr>
        <w:br w:type="page"/>
      </w:r>
    </w:p>
    <w:p w14:paraId="172B3F58">
      <w:pPr>
        <w:pStyle w:val="44"/>
        <w:spacing w:beforeLines="50" w:afterLines="50" w:line="440" w:lineRule="exact"/>
        <w:rPr>
          <w:bCs/>
          <w:szCs w:val="32"/>
          <w:highlight w:val="none"/>
        </w:rPr>
      </w:pPr>
      <w:r>
        <w:rPr>
          <w:rFonts w:hint="eastAsia"/>
          <w:bCs/>
          <w:szCs w:val="32"/>
          <w:highlight w:val="none"/>
        </w:rPr>
        <w:t>第</w:t>
      </w:r>
      <w:r>
        <w:rPr>
          <w:rFonts w:hint="eastAsia"/>
          <w:bCs/>
          <w:szCs w:val="32"/>
          <w:highlight w:val="none"/>
          <w:lang w:val="en-US" w:eastAsia="zh-CN"/>
        </w:rPr>
        <w:t>十</w:t>
      </w:r>
      <w:r>
        <w:rPr>
          <w:rFonts w:hint="eastAsia"/>
          <w:bCs/>
          <w:szCs w:val="32"/>
          <w:highlight w:val="none"/>
        </w:rPr>
        <w:t>章  招标单位、招标代理机构对本招标文件的确认</w:t>
      </w:r>
      <w:bookmarkEnd w:id="1004"/>
    </w:p>
    <w:p w14:paraId="7D391125">
      <w:pPr>
        <w:pStyle w:val="20"/>
        <w:rPr>
          <w:highlight w:val="none"/>
        </w:rPr>
      </w:pPr>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8B5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45DC8EDB">
            <w:pPr>
              <w:wordWrap w:val="0"/>
              <w:adjustRightInd w:val="0"/>
              <w:snapToGrid w:val="0"/>
              <w:spacing w:line="560" w:lineRule="exact"/>
              <w:rPr>
                <w:sz w:val="30"/>
                <w:highlight w:val="none"/>
              </w:rPr>
            </w:pPr>
          </w:p>
          <w:p w14:paraId="3CB446EA">
            <w:pPr>
              <w:wordWrap w:val="0"/>
              <w:spacing w:line="560" w:lineRule="exact"/>
              <w:ind w:firstLine="560" w:firstLineChars="200"/>
              <w:rPr>
                <w:sz w:val="28"/>
                <w:szCs w:val="28"/>
                <w:highlight w:val="none"/>
              </w:rPr>
            </w:pPr>
            <w:r>
              <w:rPr>
                <w:rFonts w:hint="eastAsia"/>
                <w:sz w:val="28"/>
                <w:szCs w:val="28"/>
                <w:highlight w:val="none"/>
              </w:rPr>
              <w:t>我单位对</w:t>
            </w:r>
            <w:r>
              <w:rPr>
                <w:rFonts w:hint="eastAsia"/>
                <w:sz w:val="28"/>
                <w:szCs w:val="28"/>
                <w:highlight w:val="none"/>
                <w:u w:val="single"/>
              </w:rPr>
              <w:t xml:space="preserve"> </w:t>
            </w:r>
            <w:r>
              <w:rPr>
                <w:rFonts w:hint="eastAsia"/>
                <w:sz w:val="28"/>
                <w:szCs w:val="28"/>
                <w:highlight w:val="none"/>
                <w:u w:val="single"/>
                <w:lang w:eastAsia="zh-CN"/>
              </w:rPr>
              <w:t>滁州市第三污水处理厂分布式光伏工程施工项目</w:t>
            </w:r>
            <w:r>
              <w:rPr>
                <w:rFonts w:hint="eastAsia"/>
                <w:sz w:val="28"/>
                <w:szCs w:val="28"/>
                <w:highlight w:val="none"/>
                <w:u w:val="single"/>
              </w:rPr>
              <w:t xml:space="preserve"> </w:t>
            </w:r>
            <w:r>
              <w:rPr>
                <w:rFonts w:hint="eastAsia"/>
                <w:sz w:val="28"/>
                <w:szCs w:val="28"/>
                <w:highlight w:val="none"/>
              </w:rPr>
              <w:t>的招标文件进行确认。</w:t>
            </w:r>
          </w:p>
          <w:p w14:paraId="71A0CDF3">
            <w:pPr>
              <w:widowControl/>
              <w:spacing w:line="360" w:lineRule="auto"/>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滁州市翼然新能源开发有限公司</w:t>
            </w:r>
            <w:r>
              <w:rPr>
                <w:rFonts w:hint="eastAsia" w:ascii="宋体" w:hAnsi="宋体"/>
                <w:color w:val="auto"/>
                <w:sz w:val="28"/>
                <w:szCs w:val="28"/>
                <w:highlight w:val="none"/>
              </w:rPr>
              <w:t xml:space="preserve">  </w:t>
            </w:r>
          </w:p>
          <w:p w14:paraId="7E988D38">
            <w:pPr>
              <w:adjustRightInd w:val="0"/>
              <w:snapToGrid w:val="0"/>
              <w:spacing w:line="560" w:lineRule="exact"/>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eastAsia="zh-CN"/>
              </w:rPr>
              <w:t>：</w:t>
            </w:r>
            <w:r>
              <w:rPr>
                <w:rFonts w:hint="eastAsia" w:ascii="宋体" w:hAnsi="宋体" w:cs="Times New Roman"/>
                <w:color w:val="auto"/>
                <w:sz w:val="28"/>
                <w:szCs w:val="28"/>
                <w:highlight w:val="none"/>
                <w:lang w:val="en-US" w:eastAsia="zh-CN"/>
              </w:rPr>
              <w:t>王以伟</w:t>
            </w:r>
            <w:r>
              <w:rPr>
                <w:rFonts w:hint="eastAsia" w:ascii="宋体" w:hAnsi="宋体" w:eastAsia="宋体" w:cs="Times New Roman"/>
                <w:color w:val="auto"/>
                <w:sz w:val="28"/>
                <w:szCs w:val="28"/>
                <w:highlight w:val="none"/>
              </w:rPr>
              <w:t xml:space="preserve"> </w:t>
            </w:r>
            <w:r>
              <w:rPr>
                <w:rFonts w:hint="eastAsia" w:ascii="宋体" w:hAnsi="宋体" w:eastAsia="宋体" w:cs="Times New Roman"/>
                <w:color w:val="auto"/>
                <w:sz w:val="28"/>
                <w:szCs w:val="28"/>
                <w:highlight w:val="none"/>
                <w:lang w:val="en-US" w:eastAsia="zh-CN"/>
              </w:rPr>
              <w:t xml:space="preserve"> </w:t>
            </w:r>
          </w:p>
          <w:p w14:paraId="27CF026B">
            <w:pPr>
              <w:spacing w:line="560" w:lineRule="exact"/>
              <w:ind w:firstLine="560" w:firstLineChars="20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联系电话：</w:t>
            </w:r>
            <w:r>
              <w:rPr>
                <w:rFonts w:hint="eastAsia" w:ascii="宋体" w:hAnsi="宋体"/>
                <w:color w:val="auto"/>
                <w:sz w:val="28"/>
                <w:szCs w:val="28"/>
                <w:highlight w:val="none"/>
                <w:lang w:val="en-US" w:eastAsia="zh-CN"/>
              </w:rPr>
              <w:t>0550-2350288</w:t>
            </w:r>
            <w:r>
              <w:rPr>
                <w:rFonts w:hint="eastAsia" w:ascii="宋体" w:hAnsi="宋体"/>
                <w:color w:val="auto"/>
                <w:sz w:val="28"/>
                <w:szCs w:val="28"/>
                <w:highlight w:val="none"/>
              </w:rPr>
              <w:t xml:space="preserve">  </w:t>
            </w:r>
          </w:p>
          <w:p w14:paraId="01C3939A">
            <w:pPr>
              <w:adjustRightInd w:val="0"/>
              <w:snapToGrid w:val="0"/>
              <w:spacing w:line="560" w:lineRule="exact"/>
              <w:ind w:firstLine="560" w:firstLineChars="200"/>
              <w:rPr>
                <w:rFonts w:hint="eastAsia" w:ascii="宋体" w:hAnsi="宋体" w:eastAsia="宋体" w:cs="Times New Roman"/>
                <w:color w:val="auto"/>
                <w:sz w:val="28"/>
                <w:szCs w:val="28"/>
                <w:highlight w:val="none"/>
                <w:lang w:val="en-US" w:eastAsia="zh-CN"/>
              </w:rPr>
            </w:pPr>
          </w:p>
          <w:p w14:paraId="01C406FE">
            <w:pPr>
              <w:wordWrap w:val="0"/>
              <w:spacing w:line="560" w:lineRule="exact"/>
              <w:ind w:firstLine="560" w:firstLineChars="200"/>
              <w:rPr>
                <w:rFonts w:ascii="宋体" w:hAnsi="宋体"/>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2BCF4FCB">
            <w:pPr>
              <w:wordWrap w:val="0"/>
              <w:spacing w:line="560" w:lineRule="exact"/>
              <w:ind w:firstLine="560" w:firstLineChars="200"/>
              <w:rPr>
                <w:rFonts w:ascii="宋体" w:hAnsi="宋体"/>
                <w:sz w:val="28"/>
                <w:szCs w:val="28"/>
                <w:highlight w:val="none"/>
              </w:rPr>
            </w:pPr>
          </w:p>
          <w:p w14:paraId="3879E6FD">
            <w:pPr>
              <w:wordWrap w:val="0"/>
              <w:spacing w:line="560" w:lineRule="exact"/>
              <w:ind w:firstLine="560" w:firstLineChars="200"/>
              <w:rPr>
                <w:rFonts w:ascii="宋体" w:hAnsi="宋体"/>
                <w:sz w:val="28"/>
                <w:szCs w:val="28"/>
                <w:highlight w:val="none"/>
              </w:rPr>
            </w:pPr>
          </w:p>
          <w:p w14:paraId="6BD2A618">
            <w:pPr>
              <w:wordWrap w:val="0"/>
              <w:spacing w:line="560" w:lineRule="exact"/>
              <w:ind w:firstLine="5740" w:firstLineChars="2050"/>
              <w:rPr>
                <w:rFonts w:ascii="宋体" w:hAnsi="宋体"/>
                <w:sz w:val="28"/>
                <w:szCs w:val="28"/>
                <w:highlight w:val="none"/>
              </w:rPr>
            </w:pPr>
            <w:r>
              <w:rPr>
                <w:rFonts w:hint="eastAsia" w:ascii="宋体" w:hAnsi="宋体"/>
                <w:sz w:val="28"/>
                <w:szCs w:val="28"/>
                <w:highlight w:val="none"/>
              </w:rPr>
              <w:t>（单位盖章）</w:t>
            </w:r>
          </w:p>
          <w:p w14:paraId="0DB51C41">
            <w:pPr>
              <w:spacing w:line="560" w:lineRule="exact"/>
              <w:ind w:firstLine="5880" w:firstLineChars="210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10</w:t>
            </w:r>
            <w:r>
              <w:rPr>
                <w:rFonts w:hint="eastAsia" w:ascii="宋体" w:hAnsi="宋体"/>
                <w:sz w:val="28"/>
                <w:szCs w:val="28"/>
                <w:highlight w:val="none"/>
              </w:rPr>
              <w:t>月</w:t>
            </w:r>
          </w:p>
          <w:p w14:paraId="72A7FF77">
            <w:pPr>
              <w:pStyle w:val="2"/>
              <w:ind w:firstLine="420"/>
              <w:rPr>
                <w:highlight w:val="none"/>
              </w:rPr>
            </w:pPr>
          </w:p>
        </w:tc>
      </w:tr>
      <w:tr w14:paraId="05F3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2080D8D4">
            <w:pPr>
              <w:spacing w:line="560" w:lineRule="exact"/>
              <w:ind w:firstLine="560" w:firstLineChars="200"/>
              <w:rPr>
                <w:rFonts w:ascii="宋体" w:hAnsi="宋体" w:cs="宋体"/>
                <w:sz w:val="28"/>
                <w:szCs w:val="28"/>
                <w:highlight w:val="none"/>
              </w:rPr>
            </w:pPr>
          </w:p>
          <w:p w14:paraId="297A006E">
            <w:pPr>
              <w:spacing w:line="560" w:lineRule="exact"/>
              <w:ind w:firstLine="560" w:firstLineChars="200"/>
              <w:rPr>
                <w:rFonts w:ascii="宋体" w:hAnsi="宋体" w:cs="宋体"/>
                <w:sz w:val="28"/>
                <w:szCs w:val="28"/>
                <w:highlight w:val="none"/>
                <w:u w:val="single"/>
              </w:rPr>
            </w:pPr>
            <w:r>
              <w:rPr>
                <w:rFonts w:hint="eastAsia" w:ascii="宋体" w:hAnsi="宋体" w:cs="宋体"/>
                <w:sz w:val="28"/>
                <w:szCs w:val="28"/>
                <w:highlight w:val="none"/>
              </w:rPr>
              <w:t>招标代理机构：</w:t>
            </w:r>
            <w:r>
              <w:rPr>
                <w:rFonts w:hint="eastAsia"/>
                <w:sz w:val="28"/>
                <w:szCs w:val="28"/>
                <w:highlight w:val="none"/>
              </w:rPr>
              <w:t>滁州市城投工程咨询管理有限公司</w:t>
            </w:r>
          </w:p>
          <w:p w14:paraId="04195C3D">
            <w:pPr>
              <w:spacing w:line="560" w:lineRule="exact"/>
              <w:ind w:firstLine="560" w:firstLineChars="200"/>
              <w:rPr>
                <w:rFonts w:hint="default" w:ascii="宋体" w:hAnsi="宋体" w:eastAsia="宋体" w:cs="宋体"/>
                <w:sz w:val="28"/>
                <w:szCs w:val="28"/>
                <w:highlight w:val="none"/>
                <w:u w:val="single"/>
                <w:lang w:val="en-US" w:eastAsia="zh-CN"/>
              </w:rPr>
            </w:pPr>
            <w:r>
              <w:rPr>
                <w:rFonts w:hint="eastAsia" w:ascii="宋体" w:hAnsi="宋体" w:cs="宋体"/>
                <w:sz w:val="28"/>
                <w:szCs w:val="28"/>
                <w:highlight w:val="none"/>
              </w:rPr>
              <w:t>联 系 人：</w:t>
            </w:r>
            <w:r>
              <w:rPr>
                <w:rFonts w:hint="eastAsia" w:ascii="宋体" w:hAnsi="宋体" w:cs="宋体"/>
                <w:sz w:val="28"/>
                <w:szCs w:val="28"/>
                <w:highlight w:val="none"/>
                <w:lang w:val="en-US" w:eastAsia="zh-CN"/>
              </w:rPr>
              <w:t>周蓓蕾</w:t>
            </w:r>
          </w:p>
          <w:p w14:paraId="47E8E678">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rPr>
              <w:t>联系电话：0550-351951</w:t>
            </w:r>
            <w:r>
              <w:rPr>
                <w:rFonts w:hint="eastAsia" w:ascii="宋体" w:hAnsi="宋体" w:cs="宋体"/>
                <w:sz w:val="28"/>
                <w:szCs w:val="28"/>
                <w:highlight w:val="none"/>
                <w:lang w:val="en-US" w:eastAsia="zh-CN"/>
              </w:rPr>
              <w:t>9</w:t>
            </w:r>
            <w:r>
              <w:rPr>
                <w:rFonts w:hint="eastAsia" w:ascii="宋体" w:hAnsi="宋体" w:cs="宋体"/>
                <w:sz w:val="28"/>
                <w:szCs w:val="28"/>
                <w:highlight w:val="none"/>
              </w:rPr>
              <w:t>、</w:t>
            </w:r>
            <w:r>
              <w:rPr>
                <w:rFonts w:hint="eastAsia" w:ascii="宋体" w:hAnsi="宋体" w:cs="宋体"/>
                <w:sz w:val="28"/>
                <w:szCs w:val="28"/>
                <w:highlight w:val="none"/>
                <w:lang w:eastAsia="zh-CN"/>
              </w:rPr>
              <w:t>18005505728</w:t>
            </w:r>
          </w:p>
          <w:p w14:paraId="60018F68">
            <w:pPr>
              <w:spacing w:line="560" w:lineRule="exact"/>
              <w:ind w:firstLine="5040" w:firstLineChars="1800"/>
              <w:rPr>
                <w:rFonts w:ascii="宋体" w:hAnsi="宋体" w:cs="宋体"/>
                <w:sz w:val="28"/>
                <w:szCs w:val="28"/>
                <w:highlight w:val="none"/>
              </w:rPr>
            </w:pPr>
          </w:p>
          <w:p w14:paraId="0781C8CF">
            <w:pPr>
              <w:spacing w:line="560" w:lineRule="exact"/>
              <w:ind w:firstLine="5460" w:firstLineChars="1950"/>
              <w:rPr>
                <w:rFonts w:ascii="宋体" w:hAnsi="宋体" w:cs="宋体"/>
                <w:sz w:val="28"/>
                <w:szCs w:val="28"/>
                <w:highlight w:val="none"/>
              </w:rPr>
            </w:pPr>
          </w:p>
          <w:p w14:paraId="0A1FE158">
            <w:pPr>
              <w:spacing w:line="560" w:lineRule="exact"/>
              <w:ind w:firstLine="5880" w:firstLineChars="2100"/>
              <w:rPr>
                <w:rFonts w:ascii="宋体" w:hAnsi="宋体" w:cs="宋体"/>
                <w:sz w:val="28"/>
                <w:szCs w:val="28"/>
                <w:highlight w:val="none"/>
              </w:rPr>
            </w:pPr>
            <w:r>
              <w:rPr>
                <w:rFonts w:hint="eastAsia" w:ascii="宋体" w:hAnsi="宋体" w:cs="宋体"/>
                <w:sz w:val="28"/>
                <w:szCs w:val="28"/>
                <w:highlight w:val="none"/>
              </w:rPr>
              <w:t>（单位盖章）</w:t>
            </w:r>
          </w:p>
          <w:p w14:paraId="144B0D1C">
            <w:pPr>
              <w:spacing w:line="560" w:lineRule="exact"/>
              <w:ind w:firstLine="6020" w:firstLineChars="215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10</w:t>
            </w:r>
            <w:r>
              <w:rPr>
                <w:rFonts w:hint="eastAsia" w:ascii="宋体" w:hAnsi="宋体"/>
                <w:sz w:val="28"/>
                <w:szCs w:val="28"/>
                <w:highlight w:val="none"/>
              </w:rPr>
              <w:t>月</w:t>
            </w:r>
          </w:p>
          <w:p w14:paraId="4EDF8AEB">
            <w:pPr>
              <w:pStyle w:val="2"/>
              <w:ind w:firstLine="420"/>
              <w:rPr>
                <w:highlight w:val="none"/>
              </w:rPr>
            </w:pPr>
          </w:p>
        </w:tc>
      </w:tr>
    </w:tbl>
    <w:p w14:paraId="2D7DD9E9">
      <w:r>
        <w:br w:type="page"/>
      </w:r>
    </w:p>
    <w:p w14:paraId="4A0ED87B">
      <w:pPr>
        <w:keepNext/>
        <w:keepLines/>
        <w:spacing w:before="200" w:after="200" w:line="600" w:lineRule="exact"/>
        <w:outlineLvl w:val="0"/>
        <w:rPr>
          <w:rFonts w:ascii="黑体" w:hAnsi="黑体" w:eastAsia="黑体"/>
          <w:b/>
          <w:bCs/>
          <w:color w:val="000000"/>
          <w:kern w:val="44"/>
          <w:sz w:val="28"/>
          <w:szCs w:val="28"/>
        </w:rPr>
      </w:pPr>
      <w:bookmarkStart w:id="1006" w:name="OLE_LINK24"/>
      <w:bookmarkStart w:id="1007" w:name="OLE_LINK25"/>
      <w:r>
        <w:rPr>
          <w:rFonts w:hint="eastAsia" w:ascii="黑体" w:hAnsi="黑体" w:eastAsia="黑体"/>
          <w:b/>
          <w:bCs/>
          <w:color w:val="000000"/>
          <w:kern w:val="44"/>
          <w:sz w:val="36"/>
          <w:szCs w:val="28"/>
        </w:rPr>
        <w:t>附件1 关于联合惩戒失信行为加强信用查询管理的通知</w:t>
      </w:r>
    </w:p>
    <w:p w14:paraId="4CF9FEAE">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一、失信行为联合惩戒的范围和查询渠道</w:t>
      </w:r>
    </w:p>
    <w:p w14:paraId="7DDEC04B">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在我市公共资源交易活动中对存在下列失信行为的投标人、法定代表人及其项目经理（建造师）实施联合惩戒，禁止参与我市公共资源交易活动。</w:t>
      </w:r>
    </w:p>
    <w:p w14:paraId="3CB9C23C">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（一）工程建设项目</w:t>
      </w:r>
    </w:p>
    <w:bookmarkEnd w:id="1006"/>
    <w:bookmarkEnd w:id="1007"/>
    <w:p w14:paraId="3A622E2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1、“信用中国”网站（www.creditchina.gov.cn）查询</w:t>
      </w:r>
      <w:bookmarkStart w:id="1008" w:name="OLE_LINK91"/>
      <w:bookmarkStart w:id="1009" w:name="OLE_LINK103"/>
      <w:bookmarkStart w:id="1010" w:name="OLE_LINK93"/>
      <w:bookmarkStart w:id="1011" w:name="OLE_LINK92"/>
      <w:r>
        <w:rPr>
          <w:rFonts w:hint="eastAsia" w:ascii="仿宋_GB2312" w:hAnsi="宋体" w:eastAsia="仿宋_GB2312"/>
          <w:color w:val="000000"/>
          <w:sz w:val="28"/>
          <w:szCs w:val="28"/>
        </w:rPr>
        <w:t>投标人、法定代表人及其项目经理(建造师)</w:t>
      </w:r>
      <w:bookmarkEnd w:id="1008"/>
      <w:bookmarkEnd w:id="1009"/>
      <w:bookmarkEnd w:id="1010"/>
      <w:bookmarkEnd w:id="1011"/>
      <w:r>
        <w:rPr>
          <w:rFonts w:hint="eastAsia" w:ascii="仿宋_GB2312" w:hAnsi="宋体" w:eastAsia="仿宋_GB2312"/>
          <w:color w:val="000000"/>
          <w:sz w:val="28"/>
          <w:szCs w:val="28"/>
        </w:rPr>
        <w:t>以下失信行为：</w:t>
      </w:r>
    </w:p>
    <w:p w14:paraId="324C406B">
      <w:pPr>
        <w:adjustRightInd w:val="0"/>
        <w:snapToGrid w:val="0"/>
        <w:spacing w:line="560" w:lineRule="exact"/>
        <w:ind w:firstLine="560" w:firstLineChars="200"/>
        <w:rPr>
          <w:rFonts w:hint="eastAsia" w:ascii="仿宋_GB2312" w:hAnsi="宋体" w:eastAsia="仿宋_GB2312"/>
          <w:color w:val="000000"/>
          <w:sz w:val="28"/>
          <w:szCs w:val="28"/>
        </w:rPr>
      </w:pPr>
      <w:bookmarkStart w:id="1012" w:name="OLE_LINK21"/>
      <w:bookmarkStart w:id="1013" w:name="OLE_LINK87"/>
      <w:bookmarkStart w:id="1014" w:name="OLE_LINK86"/>
      <w:bookmarkStart w:id="1015" w:name="OLE_LINK119"/>
      <w:bookmarkStart w:id="1016" w:name="OLE_LINK94"/>
      <w:r>
        <w:rPr>
          <w:rFonts w:hint="eastAsia" w:ascii="仿宋_GB2312" w:hAnsi="宋体" w:eastAsia="仿宋_GB2312"/>
          <w:color w:val="000000"/>
          <w:sz w:val="28"/>
          <w:szCs w:val="28"/>
        </w:rPr>
        <w:t>①被列入“失信被执行人”的;</w:t>
      </w:r>
    </w:p>
    <w:p w14:paraId="57A6906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②被列入</w:t>
      </w:r>
      <w:bookmarkStart w:id="1017" w:name="OLE_LINK116"/>
      <w:bookmarkStart w:id="1018" w:name="OLE_LINK118"/>
      <w:bookmarkStart w:id="1019" w:name="OLE_LINK115"/>
      <w:bookmarkStart w:id="1020" w:name="OLE_LINK117"/>
      <w:r>
        <w:rPr>
          <w:rFonts w:hint="eastAsia" w:ascii="仿宋_GB2312" w:hAnsi="宋体" w:eastAsia="仿宋_GB2312"/>
          <w:color w:val="000000"/>
          <w:sz w:val="28"/>
          <w:szCs w:val="28"/>
        </w:rPr>
        <w:t>“重大税收违法失信主体”</w:t>
      </w:r>
      <w:bookmarkEnd w:id="1017"/>
      <w:bookmarkEnd w:id="1018"/>
      <w:bookmarkEnd w:id="1019"/>
      <w:bookmarkEnd w:id="1020"/>
      <w:r>
        <w:rPr>
          <w:rFonts w:hint="eastAsia" w:ascii="仿宋_GB2312" w:hAnsi="宋体" w:eastAsia="仿宋_GB2312"/>
          <w:color w:val="000000"/>
          <w:sz w:val="28"/>
          <w:szCs w:val="28"/>
        </w:rPr>
        <w:t>的；</w:t>
      </w:r>
    </w:p>
    <w:p w14:paraId="2119302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③被列入“拖欠</w:t>
      </w:r>
      <w:bookmarkStart w:id="1021" w:name="OLE_LINK84"/>
      <w:bookmarkStart w:id="1022" w:name="OLE_LINK85"/>
      <w:r>
        <w:rPr>
          <w:rFonts w:hint="eastAsia" w:ascii="仿宋_GB2312" w:hAnsi="宋体" w:eastAsia="仿宋_GB2312"/>
          <w:color w:val="000000"/>
          <w:sz w:val="28"/>
          <w:szCs w:val="28"/>
        </w:rPr>
        <w:t>农民工工资失信联合惩戒对象</w:t>
      </w:r>
      <w:bookmarkEnd w:id="1021"/>
      <w:bookmarkEnd w:id="1022"/>
      <w:r>
        <w:rPr>
          <w:rFonts w:hint="eastAsia" w:ascii="仿宋_GB2312" w:hAnsi="宋体" w:eastAsia="仿宋_GB2312"/>
          <w:color w:val="000000"/>
          <w:sz w:val="28"/>
          <w:szCs w:val="28"/>
        </w:rPr>
        <w:t>名单”的；</w:t>
      </w:r>
    </w:p>
    <w:p w14:paraId="47545EC6">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④被列入 “严重失信主体名单”的；</w:t>
      </w:r>
    </w:p>
    <w:p w14:paraId="527346AC">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⑤在“信用中国”网站上披露的仍在公示期的严重失信行为(具体行为类别及判定依据见附件2)的。</w:t>
      </w:r>
    </w:p>
    <w:bookmarkEnd w:id="1012"/>
    <w:bookmarkEnd w:id="1013"/>
    <w:bookmarkEnd w:id="1014"/>
    <w:bookmarkEnd w:id="1015"/>
    <w:bookmarkEnd w:id="1016"/>
    <w:p w14:paraId="52F6896A">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w:t>
      </w:r>
      <w:bookmarkStart w:id="1023" w:name="OLE_LINK130"/>
      <w:r>
        <w:rPr>
          <w:rFonts w:hint="eastAsia" w:ascii="仿宋_GB2312" w:hAnsi="宋体" w:eastAsia="仿宋_GB2312"/>
          <w:color w:val="000000"/>
          <w:sz w:val="28"/>
          <w:szCs w:val="28"/>
        </w:rPr>
        <w:t>国家企业信用信息公示系统网站</w:t>
      </w:r>
      <w:bookmarkEnd w:id="1023"/>
      <w:r>
        <w:rPr>
          <w:rFonts w:hint="eastAsia" w:ascii="仿宋_GB2312" w:hAnsi="宋体" w:eastAsia="仿宋_GB2312"/>
          <w:color w:val="000000"/>
          <w:sz w:val="28"/>
          <w:szCs w:val="28"/>
        </w:rPr>
        <w:t>（</w:t>
      </w:r>
      <w:r>
        <w:rPr>
          <w:color w:val="000000"/>
        </w:rPr>
        <w:fldChar w:fldCharType="begin"/>
      </w:r>
      <w:r>
        <w:rPr>
          <w:color w:val="000000"/>
        </w:rPr>
        <w:instrText xml:space="preserve"> </w:instrText>
      </w:r>
      <w:r>
        <w:rPr>
          <w:rFonts w:hint="eastAsia"/>
          <w:color w:val="000000"/>
        </w:rPr>
        <w:instrText xml:space="preserve">HYPERLINK "http://www.gsxt.gov.cn）查询"</w:instrText>
      </w:r>
      <w:r>
        <w:rPr>
          <w:color w:val="000000"/>
        </w:rPr>
        <w:instrText xml:space="preserve"> </w:instrText>
      </w:r>
      <w:r>
        <w:rPr>
          <w:color w:val="000000"/>
        </w:rPr>
        <w:fldChar w:fldCharType="separate"/>
      </w:r>
      <w:bookmarkStart w:id="1024" w:name="OLE_LINK90"/>
      <w:bookmarkStart w:id="1025" w:name="OLE_LINK89"/>
      <w:r>
        <w:rPr>
          <w:rStyle w:val="58"/>
          <w:rFonts w:hint="eastAsia" w:ascii="仿宋_GB2312" w:hAnsi="宋体" w:eastAsia="仿宋_GB2312"/>
          <w:color w:val="000000"/>
          <w:sz w:val="28"/>
          <w:szCs w:val="28"/>
        </w:rPr>
        <w:t>www.gsxt.gov.cn</w:t>
      </w:r>
      <w:bookmarkEnd w:id="1024"/>
      <w:bookmarkEnd w:id="1025"/>
      <w:r>
        <w:rPr>
          <w:rStyle w:val="58"/>
          <w:rFonts w:hint="eastAsia" w:ascii="仿宋_GB2312" w:hAnsi="宋体" w:eastAsia="仿宋_GB2312"/>
          <w:color w:val="000000"/>
          <w:sz w:val="28"/>
          <w:szCs w:val="28"/>
        </w:rPr>
        <w:t>）</w:t>
      </w:r>
      <w:r>
        <w:rPr>
          <w:color w:val="000000"/>
        </w:rPr>
        <w:fldChar w:fldCharType="end"/>
      </w:r>
      <w:r>
        <w:rPr>
          <w:rFonts w:hint="eastAsia" w:ascii="仿宋_GB2312" w:hAnsi="宋体" w:eastAsia="仿宋_GB2312"/>
          <w:color w:val="000000"/>
          <w:sz w:val="28"/>
          <w:szCs w:val="28"/>
        </w:rPr>
        <w:t>查询投标人以下失信行为：</w:t>
      </w:r>
    </w:p>
    <w:p w14:paraId="46641C9F">
      <w:pPr>
        <w:adjustRightInd w:val="0"/>
        <w:snapToGrid w:val="0"/>
        <w:spacing w:line="560" w:lineRule="exact"/>
        <w:ind w:firstLine="560" w:firstLineChars="200"/>
        <w:rPr>
          <w:rFonts w:hint="eastAsia" w:ascii="仿宋_GB2312" w:hAnsi="宋体" w:eastAsia="仿宋_GB2312"/>
          <w:color w:val="000000"/>
          <w:sz w:val="28"/>
          <w:szCs w:val="28"/>
        </w:rPr>
      </w:pPr>
      <w:bookmarkStart w:id="1026" w:name="OLE_LINK121"/>
      <w:bookmarkStart w:id="1027" w:name="OLE_LINK120"/>
      <w:bookmarkStart w:id="1028" w:name="OLE_LINK122"/>
      <w:r>
        <w:rPr>
          <w:rFonts w:hint="eastAsia" w:ascii="仿宋_GB2312" w:hAnsi="宋体" w:eastAsia="仿宋_GB2312"/>
          <w:color w:val="000000"/>
          <w:sz w:val="28"/>
          <w:szCs w:val="28"/>
        </w:rPr>
        <w:t>①被列入“经营异常名录”或者“严重违法失信名单”的。</w:t>
      </w:r>
      <w:bookmarkEnd w:id="1026"/>
      <w:bookmarkEnd w:id="1027"/>
      <w:bookmarkEnd w:id="1028"/>
    </w:p>
    <w:p w14:paraId="097DAFC7">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3、由</w:t>
      </w:r>
      <w:r>
        <w:rPr>
          <w:rFonts w:hint="eastAsia" w:ascii="仿宋_GB2312" w:hAnsi="宋体" w:eastAsia="仿宋_GB2312"/>
          <w:color w:val="000000"/>
          <w:kern w:val="0"/>
          <w:sz w:val="28"/>
          <w:szCs w:val="28"/>
        </w:rPr>
        <w:t>投标人、法定代表人及其项目经理(建造师)</w:t>
      </w:r>
      <w:r>
        <w:rPr>
          <w:rFonts w:hint="eastAsia" w:ascii="仿宋_GB2312" w:hAnsi="宋体" w:eastAsia="仿宋_GB2312"/>
          <w:color w:val="000000"/>
          <w:sz w:val="28"/>
          <w:szCs w:val="28"/>
        </w:rPr>
        <w:t>进行承诺，不进行现场网上信用查询的失信行为：</w:t>
      </w:r>
    </w:p>
    <w:p w14:paraId="14CE1693">
      <w:pPr>
        <w:adjustRightInd w:val="0"/>
        <w:snapToGrid w:val="0"/>
        <w:spacing w:line="560" w:lineRule="exact"/>
        <w:ind w:firstLine="560" w:firstLineChars="200"/>
        <w:rPr>
          <w:rFonts w:hint="eastAsia" w:ascii="仿宋_GB2312" w:hAnsi="宋体" w:eastAsia="仿宋_GB2312" w:cs="楷体"/>
          <w:color w:val="000000"/>
          <w:sz w:val="28"/>
          <w:szCs w:val="28"/>
        </w:rPr>
      </w:pPr>
      <w:bookmarkStart w:id="1029" w:name="OLE_LINK123"/>
      <w:bookmarkStart w:id="1030" w:name="OLE_LINK124"/>
      <w:r>
        <w:rPr>
          <w:rFonts w:hint="eastAsia" w:ascii="仿宋_GB2312" w:hAnsi="宋体" w:eastAsia="仿宋_GB2312"/>
          <w:color w:val="000000"/>
          <w:sz w:val="28"/>
          <w:szCs w:val="28"/>
        </w:rPr>
        <w:t>①</w:t>
      </w:r>
      <w:r>
        <w:rPr>
          <w:rFonts w:hint="eastAsia" w:ascii="仿宋_GB2312" w:hAnsi="宋体" w:eastAsia="仿宋_GB2312" w:cs="楷体"/>
          <w:color w:val="000000"/>
          <w:sz w:val="28"/>
          <w:szCs w:val="28"/>
        </w:rPr>
        <w:t>前三年有行贿犯罪行为的单位和个人；</w:t>
      </w:r>
    </w:p>
    <w:p w14:paraId="4FC606B2">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②被滁州市县两级公管部门取消在一定期限内的投标资格且在取消期限内的；</w:t>
      </w:r>
    </w:p>
    <w:p w14:paraId="041FF06D">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③被滁州市县两级各行业主管部门取消在一定期限内的投标资格且在取消期限内的；</w:t>
      </w:r>
    </w:p>
    <w:p w14:paraId="4BA358EC">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④因拖欠农民工工资被</w:t>
      </w:r>
      <w:bookmarkStart w:id="1031" w:name="OLE_LINK107"/>
      <w:bookmarkStart w:id="1032" w:name="OLE_LINK108"/>
      <w:r>
        <w:rPr>
          <w:rFonts w:hint="eastAsia" w:ascii="仿宋_GB2312" w:hAnsi="宋体" w:eastAsia="仿宋_GB2312"/>
          <w:color w:val="000000"/>
          <w:sz w:val="28"/>
          <w:szCs w:val="28"/>
        </w:rPr>
        <w:t>县级及以上有关行政主管部门限制投标资格且在限制期限内的</w:t>
      </w:r>
      <w:bookmarkEnd w:id="1031"/>
      <w:bookmarkEnd w:id="1032"/>
      <w:r>
        <w:rPr>
          <w:rFonts w:hint="eastAsia" w:ascii="仿宋_GB2312" w:hAnsi="宋体" w:eastAsia="仿宋_GB2312"/>
          <w:color w:val="000000"/>
          <w:sz w:val="28"/>
          <w:szCs w:val="28"/>
        </w:rPr>
        <w:t>；</w:t>
      </w:r>
    </w:p>
    <w:p w14:paraId="2D4B367E">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029"/>
    <w:bookmarkEnd w:id="1030"/>
    <w:p w14:paraId="7CE10FC1">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（二）政府采购项目</w:t>
      </w:r>
    </w:p>
    <w:p w14:paraId="54FD75F7">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1、“信用中国”网站</w:t>
      </w:r>
      <w:r>
        <w:rPr>
          <w:rFonts w:hint="eastAsia" w:ascii="仿宋" w:hAnsi="仿宋" w:eastAsia="仿宋"/>
          <w:color w:val="000000"/>
          <w:sz w:val="28"/>
          <w:szCs w:val="28"/>
        </w:rPr>
        <w:t>（</w:t>
      </w:r>
      <w:r>
        <w:rPr>
          <w:rStyle w:val="58"/>
          <w:rFonts w:hint="eastAsia" w:ascii="仿宋" w:hAnsi="仿宋" w:eastAsia="仿宋"/>
          <w:color w:val="000000"/>
          <w:sz w:val="28"/>
          <w:szCs w:val="28"/>
        </w:rPr>
        <w:t>www.creditchina.gov.cn</w:t>
      </w:r>
      <w:r>
        <w:rPr>
          <w:rFonts w:hint="eastAsia" w:ascii="仿宋" w:hAnsi="仿宋" w:eastAsia="仿宋"/>
          <w:color w:val="000000"/>
          <w:sz w:val="28"/>
          <w:szCs w:val="28"/>
        </w:rPr>
        <w:t>）</w:t>
      </w:r>
      <w:r>
        <w:rPr>
          <w:rFonts w:hint="eastAsia" w:ascii="仿宋_GB2312" w:hAnsi="宋体" w:eastAsia="仿宋_GB2312"/>
          <w:color w:val="000000"/>
          <w:sz w:val="28"/>
          <w:szCs w:val="28"/>
        </w:rPr>
        <w:t>查询供应商、法定代表人及其项目负责人以下失信行为：</w:t>
      </w:r>
    </w:p>
    <w:p w14:paraId="0AA76A6F">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①被列入“失信被执行人”的;</w:t>
      </w:r>
    </w:p>
    <w:p w14:paraId="403FE0BC">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②被列入“重大税收违法失信主体”的；</w:t>
      </w:r>
    </w:p>
    <w:p w14:paraId="65052C14">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③被列入“拖欠农民工工资失信联合惩戒对象名单”的；</w:t>
      </w:r>
    </w:p>
    <w:p w14:paraId="5681D3BB">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④被列入 “严重失信主体名单”的；</w:t>
      </w:r>
    </w:p>
    <w:p w14:paraId="78B03D12">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⑤在“信用中国”网站上披露的仍在公示期的严重失信行为(具体行为类别及判定依据见附件2)的。</w:t>
      </w:r>
    </w:p>
    <w:p w14:paraId="170C2230">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2、国家企业信用信息公示系统网站</w:t>
      </w:r>
      <w:r>
        <w:rPr>
          <w:rFonts w:hint="eastAsia" w:ascii="仿宋" w:hAnsi="仿宋" w:eastAsia="仿宋"/>
          <w:color w:val="000000"/>
          <w:sz w:val="28"/>
          <w:szCs w:val="28"/>
        </w:rPr>
        <w:t>（</w:t>
      </w:r>
      <w:r>
        <w:rPr>
          <w:color w:val="000000"/>
        </w:rPr>
        <w:fldChar w:fldCharType="begin"/>
      </w:r>
      <w:r>
        <w:rPr>
          <w:color w:val="000000"/>
        </w:rPr>
        <w:instrText xml:space="preserve"> </w:instrText>
      </w:r>
      <w:r>
        <w:rPr>
          <w:rFonts w:hint="eastAsia"/>
          <w:color w:val="000000"/>
        </w:rPr>
        <w:instrText xml:space="preserve">HYPERLINK "http://www.gsxt.gov.cn）查询"</w:instrText>
      </w:r>
      <w:r>
        <w:rPr>
          <w:color w:val="000000"/>
        </w:rPr>
        <w:instrText xml:space="preserve"> </w:instrText>
      </w:r>
      <w:r>
        <w:rPr>
          <w:color w:val="000000"/>
        </w:rPr>
        <w:fldChar w:fldCharType="separate"/>
      </w:r>
      <w:r>
        <w:rPr>
          <w:rStyle w:val="58"/>
          <w:rFonts w:hint="eastAsia" w:ascii="仿宋" w:hAnsi="仿宋" w:eastAsia="仿宋"/>
          <w:color w:val="000000"/>
          <w:sz w:val="28"/>
          <w:szCs w:val="28"/>
        </w:rPr>
        <w:t>www.gsxt.gov.cn）</w:t>
      </w:r>
      <w:r>
        <w:rPr>
          <w:color w:val="000000"/>
        </w:rPr>
        <w:fldChar w:fldCharType="end"/>
      </w:r>
      <w:r>
        <w:rPr>
          <w:rFonts w:hint="eastAsia" w:ascii="仿宋_GB2312" w:hAnsi="宋体" w:eastAsia="仿宋_GB2312"/>
          <w:color w:val="000000"/>
          <w:sz w:val="28"/>
          <w:szCs w:val="28"/>
        </w:rPr>
        <w:t>查询供应商以下失信行为：</w:t>
      </w:r>
    </w:p>
    <w:p w14:paraId="35343DF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①</w:t>
      </w:r>
      <w:bookmarkStart w:id="1033" w:name="OLE_LINK100"/>
      <w:bookmarkStart w:id="1034" w:name="OLE_LINK101"/>
      <w:bookmarkStart w:id="1035" w:name="OLE_LINK102"/>
      <w:r>
        <w:rPr>
          <w:rFonts w:hint="eastAsia" w:ascii="仿宋_GB2312" w:hAnsi="宋体" w:eastAsia="仿宋_GB2312"/>
          <w:color w:val="000000"/>
          <w:sz w:val="28"/>
          <w:szCs w:val="28"/>
        </w:rPr>
        <w:t>被列入“经营异常名录”或者“严重违法失信名单”的</w:t>
      </w:r>
      <w:bookmarkEnd w:id="1033"/>
      <w:bookmarkEnd w:id="1034"/>
      <w:bookmarkEnd w:id="1035"/>
      <w:r>
        <w:rPr>
          <w:rFonts w:hint="eastAsia" w:ascii="仿宋_GB2312" w:hAnsi="宋体" w:eastAsia="仿宋_GB2312"/>
          <w:color w:val="000000"/>
          <w:sz w:val="28"/>
          <w:szCs w:val="28"/>
        </w:rPr>
        <w:t>。</w:t>
      </w:r>
    </w:p>
    <w:p w14:paraId="0689864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3、中国政府采购网站</w:t>
      </w:r>
      <w:r>
        <w:rPr>
          <w:rFonts w:hint="eastAsia" w:ascii="仿宋" w:hAnsi="仿宋" w:eastAsia="仿宋"/>
          <w:color w:val="000000"/>
          <w:sz w:val="28"/>
          <w:szCs w:val="28"/>
        </w:rPr>
        <w:t>（</w:t>
      </w:r>
      <w:bookmarkStart w:id="1036" w:name="OLE_LINK95"/>
      <w:bookmarkStart w:id="1037" w:name="OLE_LINK96"/>
      <w:r>
        <w:rPr>
          <w:rFonts w:ascii="仿宋" w:hAnsi="仿宋" w:eastAsia="仿宋"/>
          <w:color w:val="000000"/>
          <w:sz w:val="28"/>
          <w:szCs w:val="28"/>
        </w:rPr>
        <w:fldChar w:fldCharType="begin"/>
      </w:r>
      <w:r>
        <w:rPr>
          <w:rFonts w:ascii="仿宋" w:hAnsi="仿宋" w:eastAsia="仿宋"/>
          <w:color w:val="000000"/>
          <w:sz w:val="28"/>
          <w:szCs w:val="28"/>
        </w:rPr>
        <w:instrText xml:space="preserve"> HYPERLINK "http://www.ccgp.gov.cn" </w:instrText>
      </w:r>
      <w:r>
        <w:rPr>
          <w:rFonts w:ascii="仿宋" w:hAnsi="仿宋" w:eastAsia="仿宋"/>
          <w:color w:val="000000"/>
          <w:sz w:val="28"/>
          <w:szCs w:val="28"/>
        </w:rPr>
        <w:fldChar w:fldCharType="separate"/>
      </w:r>
      <w:r>
        <w:rPr>
          <w:rStyle w:val="58"/>
          <w:rFonts w:hint="eastAsia" w:ascii="仿宋" w:hAnsi="仿宋" w:eastAsia="仿宋"/>
          <w:color w:val="000000"/>
          <w:sz w:val="28"/>
          <w:szCs w:val="28"/>
        </w:rPr>
        <w:t>www.ccgp.gov.cn</w:t>
      </w:r>
      <w:r>
        <w:rPr>
          <w:rFonts w:ascii="仿宋" w:hAnsi="仿宋" w:eastAsia="仿宋"/>
          <w:color w:val="000000"/>
          <w:sz w:val="28"/>
          <w:szCs w:val="28"/>
        </w:rPr>
        <w:fldChar w:fldCharType="end"/>
      </w:r>
      <w:bookmarkEnd w:id="1036"/>
      <w:bookmarkEnd w:id="1037"/>
      <w:r>
        <w:rPr>
          <w:rFonts w:hint="eastAsia" w:ascii="仿宋" w:hAnsi="仿宋" w:eastAsia="仿宋"/>
          <w:color w:val="000000"/>
          <w:sz w:val="28"/>
          <w:szCs w:val="28"/>
        </w:rPr>
        <w:t>）</w:t>
      </w:r>
      <w:r>
        <w:rPr>
          <w:rFonts w:hint="eastAsia" w:ascii="仿宋_GB2312" w:hAnsi="宋体" w:eastAsia="仿宋_GB2312"/>
          <w:color w:val="000000"/>
          <w:sz w:val="28"/>
          <w:szCs w:val="28"/>
        </w:rPr>
        <w:t>查询以下失信行为：</w:t>
      </w:r>
    </w:p>
    <w:p w14:paraId="523F172B">
      <w:pPr>
        <w:adjustRightInd w:val="0"/>
        <w:snapToGrid w:val="0"/>
        <w:spacing w:line="560" w:lineRule="exact"/>
        <w:ind w:firstLine="560" w:firstLineChars="200"/>
        <w:rPr>
          <w:rFonts w:hint="eastAsia" w:ascii="仿宋_GB2312" w:hAnsi="宋体" w:eastAsia="仿宋_GB2312" w:cs="楷体"/>
          <w:color w:val="000000"/>
          <w:sz w:val="28"/>
          <w:szCs w:val="28"/>
        </w:rPr>
      </w:pPr>
      <w:r>
        <w:rPr>
          <w:rFonts w:hint="eastAsia" w:ascii="仿宋_GB2312" w:hAnsi="宋体" w:eastAsia="仿宋_GB2312"/>
          <w:color w:val="000000"/>
          <w:sz w:val="28"/>
          <w:szCs w:val="28"/>
        </w:rPr>
        <w:t>①</w:t>
      </w:r>
      <w:bookmarkStart w:id="1038" w:name="OLE_LINK105"/>
      <w:bookmarkStart w:id="1039" w:name="OLE_LINK106"/>
      <w:bookmarkStart w:id="1040" w:name="OLE_LINK104"/>
      <w:r>
        <w:rPr>
          <w:rFonts w:hint="eastAsia" w:ascii="仿宋_GB2312" w:hAnsi="宋体" w:eastAsia="仿宋_GB2312"/>
          <w:color w:val="000000"/>
          <w:sz w:val="28"/>
          <w:szCs w:val="28"/>
        </w:rPr>
        <w:t>被列入“政府采购严重违法失信行为信息记录”的</w:t>
      </w:r>
      <w:bookmarkEnd w:id="1038"/>
      <w:bookmarkEnd w:id="1039"/>
      <w:bookmarkEnd w:id="1040"/>
      <w:r>
        <w:rPr>
          <w:rFonts w:hint="eastAsia" w:ascii="仿宋_GB2312" w:hAnsi="宋体" w:eastAsia="仿宋_GB2312" w:cs="楷体"/>
          <w:color w:val="000000"/>
          <w:sz w:val="28"/>
          <w:szCs w:val="28"/>
        </w:rPr>
        <w:t>。</w:t>
      </w:r>
    </w:p>
    <w:p w14:paraId="477AA4C0">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4、由竞争主体进行承诺，不进行现场网上信用查询的失信行为：</w:t>
      </w:r>
    </w:p>
    <w:p w14:paraId="53AE4FE7">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①</w:t>
      </w:r>
      <w:r>
        <w:rPr>
          <w:rFonts w:hint="eastAsia" w:ascii="仿宋_GB2312" w:hAnsi="宋体" w:eastAsia="仿宋_GB2312" w:cs="楷体"/>
          <w:color w:val="000000"/>
          <w:sz w:val="28"/>
          <w:szCs w:val="28"/>
        </w:rPr>
        <w:t>前三年有行贿犯罪行为的单位和个人</w:t>
      </w:r>
      <w:r>
        <w:rPr>
          <w:rFonts w:hint="eastAsia" w:ascii="仿宋_GB2312" w:hAnsi="宋体" w:eastAsia="仿宋_GB2312"/>
          <w:color w:val="000000"/>
          <w:sz w:val="28"/>
          <w:szCs w:val="28"/>
        </w:rPr>
        <w:t>。</w:t>
      </w:r>
    </w:p>
    <w:p w14:paraId="5A7DB9FB">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二、在开评标活动中的查询程序</w:t>
      </w:r>
    </w:p>
    <w:p w14:paraId="06F53706">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2A20D4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12794C63">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3、项目单位及其委托的代理机构应当做好信用查询结果截图和记录留存。</w:t>
      </w:r>
    </w:p>
    <w:p w14:paraId="3763BAFB">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三、相关要求</w:t>
      </w:r>
    </w:p>
    <w:p w14:paraId="705C07BB">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1、参与公共资源交易活动的竞争主体根据上述范围查询的内容进行自查并承诺，出具《诚信投标承诺书》（诚信投标承诺书包括但不限于上述自查并承诺内容）并注明承诺日期（投标截止时间前5日内）。</w:t>
      </w:r>
    </w:p>
    <w:p w14:paraId="23E01DFD">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5FC523E8">
      <w:pPr>
        <w:wordWrap w:val="0"/>
        <w:adjustRightInd w:val="0"/>
        <w:snapToGrid w:val="0"/>
        <w:spacing w:line="560" w:lineRule="exact"/>
        <w:ind w:firstLine="560" w:firstLineChars="200"/>
        <w:rPr>
          <w:rFonts w:hint="eastAsia"/>
          <w:color w:val="000000"/>
        </w:rPr>
      </w:pPr>
      <w:r>
        <w:rPr>
          <w:rFonts w:hint="eastAsia" w:ascii="仿宋_GB2312" w:hAnsi="宋体" w:eastAsia="仿宋_GB2312"/>
          <w:color w:val="000000"/>
          <w:sz w:val="28"/>
          <w:szCs w:val="28"/>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000000"/>
        </w:rPr>
        <w:fldChar w:fldCharType="begin"/>
      </w:r>
      <w:r>
        <w:rPr>
          <w:color w:val="000000"/>
        </w:rPr>
        <w:instrText xml:space="preserve"> HYPERLINK "https://credit.ah.gov.cn/xinyong-fuwu/xvbahv/index.html" </w:instrText>
      </w:r>
      <w:r>
        <w:rPr>
          <w:color w:val="000000"/>
        </w:rPr>
        <w:fldChar w:fldCharType="separate"/>
      </w:r>
      <w:r>
        <w:rPr>
          <w:rStyle w:val="58"/>
          <w:rFonts w:hint="eastAsia" w:ascii="仿宋_GB2312" w:hAnsi="宋体" w:eastAsia="仿宋_GB2312"/>
          <w:color w:val="000000"/>
          <w:sz w:val="28"/>
          <w:szCs w:val="28"/>
        </w:rPr>
        <w:t>https://credit.ah.gov.cn/xinyong-fuwu/xvbahv/index.html</w:t>
      </w:r>
      <w:r>
        <w:rPr>
          <w:color w:val="000000"/>
        </w:rPr>
        <w:fldChar w:fldCharType="end"/>
      </w:r>
      <w:r>
        <w:rPr>
          <w:rFonts w:hint="eastAsia" w:ascii="仿宋_GB2312" w:hAnsi="宋体" w:eastAsia="仿宋_GB2312"/>
          <w:color w:val="000000"/>
          <w:sz w:val="28"/>
          <w:szCs w:val="28"/>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13E34B48">
      <w:pPr>
        <w:adjustRightInd w:val="0"/>
        <w:snapToGrid w:val="0"/>
        <w:spacing w:line="560" w:lineRule="exact"/>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2、“信用中国”查询的严重失信行为判定依据为各行业主管部门下发的联合惩戒文件中规定的行为（按附件2执行）。</w:t>
      </w:r>
    </w:p>
    <w:p w14:paraId="2B88FEB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3、资格预审的项目以递交资格预审申请文件截止时间查询为准；资格后审的项目以递交投标文件截止时间查询为准。</w:t>
      </w:r>
    </w:p>
    <w:p w14:paraId="4A59AA95">
      <w:pPr>
        <w:ind w:right="960"/>
        <w:rPr>
          <w:rFonts w:hint="eastAsia" w:ascii="仿宋" w:hAnsi="仿宋" w:eastAsia="仿宋"/>
          <w:color w:val="000000"/>
          <w:sz w:val="32"/>
          <w:szCs w:val="32"/>
        </w:rPr>
      </w:pPr>
    </w:p>
    <w:p w14:paraId="32D5BEC2">
      <w:pPr>
        <w:ind w:right="960"/>
        <w:rPr>
          <w:rFonts w:hint="eastAsia" w:ascii="仿宋" w:hAnsi="仿宋" w:eastAsia="仿宋"/>
          <w:color w:val="000000"/>
          <w:sz w:val="32"/>
          <w:szCs w:val="32"/>
        </w:rPr>
      </w:pPr>
    </w:p>
    <w:p w14:paraId="083C6D6C">
      <w:pPr>
        <w:ind w:right="960"/>
        <w:rPr>
          <w:rFonts w:hint="eastAsia" w:ascii="仿宋" w:hAnsi="仿宋" w:eastAsia="仿宋"/>
          <w:color w:val="000000"/>
          <w:sz w:val="32"/>
          <w:szCs w:val="32"/>
        </w:rPr>
      </w:pPr>
    </w:p>
    <w:p w14:paraId="6945543A">
      <w:pPr>
        <w:ind w:right="960"/>
        <w:rPr>
          <w:rFonts w:hint="eastAsia" w:ascii="仿宋" w:hAnsi="仿宋" w:eastAsia="仿宋"/>
          <w:color w:val="000000"/>
          <w:sz w:val="32"/>
          <w:szCs w:val="32"/>
        </w:rPr>
      </w:pPr>
    </w:p>
    <w:p w14:paraId="3A66ADF1">
      <w:pPr>
        <w:ind w:right="960"/>
        <w:rPr>
          <w:rFonts w:hint="eastAsia" w:ascii="仿宋" w:hAnsi="仿宋" w:eastAsia="仿宋"/>
          <w:color w:val="000000"/>
          <w:sz w:val="32"/>
          <w:szCs w:val="32"/>
        </w:rPr>
      </w:pPr>
    </w:p>
    <w:p w14:paraId="6050A5FD">
      <w:pPr>
        <w:ind w:right="960"/>
        <w:rPr>
          <w:rFonts w:hint="eastAsia" w:ascii="仿宋" w:hAnsi="仿宋" w:eastAsia="仿宋"/>
          <w:color w:val="000000"/>
          <w:sz w:val="32"/>
          <w:szCs w:val="32"/>
        </w:rPr>
      </w:pPr>
    </w:p>
    <w:p w14:paraId="502A74ED">
      <w:pPr>
        <w:ind w:right="960"/>
        <w:rPr>
          <w:rFonts w:hint="eastAsia" w:ascii="仿宋" w:hAnsi="仿宋" w:eastAsia="仿宋"/>
          <w:color w:val="000000"/>
          <w:sz w:val="32"/>
          <w:szCs w:val="32"/>
        </w:rPr>
      </w:pPr>
    </w:p>
    <w:p w14:paraId="09C3F9C4">
      <w:pPr>
        <w:ind w:right="960"/>
        <w:rPr>
          <w:rFonts w:hint="eastAsia" w:ascii="仿宋" w:hAnsi="仿宋" w:eastAsia="仿宋"/>
          <w:color w:val="000000"/>
          <w:sz w:val="32"/>
          <w:szCs w:val="32"/>
        </w:rPr>
      </w:pPr>
    </w:p>
    <w:p w14:paraId="10A9DC55">
      <w:pPr>
        <w:pStyle w:val="2"/>
        <w:rPr>
          <w:rFonts w:hint="eastAsia"/>
          <w:color w:val="000000"/>
        </w:rPr>
      </w:pPr>
    </w:p>
    <w:p w14:paraId="331B4991">
      <w:pPr>
        <w:rPr>
          <w:color w:val="000000"/>
        </w:rPr>
      </w:pPr>
    </w:p>
    <w:p w14:paraId="7B3BCB78">
      <w:pPr>
        <w:pStyle w:val="2"/>
        <w:rPr>
          <w:color w:val="000000"/>
        </w:rPr>
      </w:pPr>
    </w:p>
    <w:p w14:paraId="64AC7B5D">
      <w:pPr>
        <w:rPr>
          <w:color w:val="000000"/>
        </w:rPr>
      </w:pPr>
    </w:p>
    <w:p w14:paraId="5BD1D4CA">
      <w:pPr>
        <w:pStyle w:val="2"/>
        <w:rPr>
          <w:color w:val="000000"/>
        </w:rPr>
      </w:pPr>
    </w:p>
    <w:p w14:paraId="2DB666D3">
      <w:pPr>
        <w:rPr>
          <w:color w:val="000000"/>
        </w:rPr>
      </w:pPr>
    </w:p>
    <w:p w14:paraId="4AF62CEA">
      <w:pPr>
        <w:pStyle w:val="2"/>
        <w:rPr>
          <w:color w:val="000000"/>
        </w:rPr>
      </w:pPr>
    </w:p>
    <w:p w14:paraId="50249C86">
      <w:pPr>
        <w:rPr>
          <w:color w:val="000000"/>
        </w:rPr>
      </w:pPr>
    </w:p>
    <w:p w14:paraId="614BC541">
      <w:pPr>
        <w:ind w:right="960"/>
        <w:rPr>
          <w:rFonts w:ascii="仿宋" w:hAnsi="仿宋" w:eastAsia="仿宋"/>
          <w:color w:val="000000"/>
          <w:sz w:val="32"/>
          <w:szCs w:val="32"/>
        </w:rPr>
      </w:pPr>
    </w:p>
    <w:p w14:paraId="11E5531C">
      <w:pPr>
        <w:keepNext/>
        <w:keepLines/>
        <w:spacing w:before="200" w:after="200" w:line="600" w:lineRule="exact"/>
        <w:outlineLvl w:val="0"/>
        <w:rPr>
          <w:rFonts w:hint="eastAsia" w:ascii="黑体" w:hAnsi="黑体" w:eastAsia="黑体"/>
          <w:b/>
          <w:bCs/>
          <w:color w:val="000000"/>
          <w:kern w:val="44"/>
          <w:sz w:val="36"/>
          <w:szCs w:val="28"/>
        </w:rPr>
      </w:pPr>
      <w:bookmarkStart w:id="1041" w:name="_Toc95223549"/>
      <w:bookmarkStart w:id="1042" w:name="OLE_LINK31"/>
      <w:bookmarkStart w:id="1043" w:name="OLE_LINK41"/>
      <w:r>
        <w:rPr>
          <w:rFonts w:hint="eastAsia" w:ascii="黑体" w:hAnsi="黑体" w:eastAsia="黑体"/>
          <w:b/>
          <w:bCs/>
          <w:color w:val="000000"/>
          <w:kern w:val="44"/>
          <w:sz w:val="36"/>
          <w:szCs w:val="28"/>
        </w:rPr>
        <w:t xml:space="preserve">附件2 </w:t>
      </w:r>
      <w:bookmarkStart w:id="1044" w:name="OLE_LINK75"/>
      <w:bookmarkStart w:id="1045" w:name="OLE_LINK74"/>
      <w:r>
        <w:rPr>
          <w:rFonts w:hint="eastAsia" w:ascii="黑体" w:hAnsi="黑体" w:eastAsia="黑体"/>
          <w:b/>
          <w:bCs/>
          <w:color w:val="000000"/>
          <w:kern w:val="44"/>
          <w:sz w:val="36"/>
          <w:szCs w:val="28"/>
        </w:rPr>
        <w:t>“信用中国”查询的严重失信行为</w:t>
      </w:r>
      <w:bookmarkStart w:id="1046" w:name="OLE_LINK38"/>
      <w:bookmarkStart w:id="1047" w:name="OLE_LINK76"/>
      <w:bookmarkStart w:id="1048" w:name="OLE_LINK40"/>
      <w:bookmarkStart w:id="1049" w:name="OLE_LINK39"/>
      <w:r>
        <w:rPr>
          <w:rFonts w:hint="eastAsia" w:ascii="黑体" w:hAnsi="黑体" w:eastAsia="黑体"/>
          <w:b/>
          <w:bCs/>
          <w:color w:val="000000"/>
          <w:kern w:val="44"/>
          <w:sz w:val="36"/>
          <w:szCs w:val="28"/>
        </w:rPr>
        <w:t>类别及判定依据</w:t>
      </w:r>
      <w:bookmarkEnd w:id="1041"/>
      <w:bookmarkEnd w:id="1044"/>
      <w:bookmarkEnd w:id="1045"/>
      <w:bookmarkEnd w:id="1046"/>
      <w:bookmarkEnd w:id="1047"/>
      <w:bookmarkEnd w:id="1048"/>
      <w:bookmarkEnd w:id="1049"/>
    </w:p>
    <w:bookmarkEnd w:id="1042"/>
    <w:bookmarkEnd w:id="1043"/>
    <w:p w14:paraId="7C30188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32"/>
          <w:szCs w:val="32"/>
        </w:rPr>
        <w:t>“</w:t>
      </w:r>
      <w:r>
        <w:rPr>
          <w:rFonts w:hint="eastAsia" w:ascii="仿宋_GB2312" w:hAnsi="宋体" w:eastAsia="仿宋_GB2312"/>
          <w:color w:val="000000"/>
          <w:sz w:val="28"/>
          <w:szCs w:val="28"/>
        </w:rPr>
        <w:t>信用中国”查询的严重失信行为判定依据为各行业主管部门下发的联合惩戒文件中规定的行为。下面将部分类别的严重失信行为列举如下：</w:t>
      </w:r>
    </w:p>
    <w:p w14:paraId="504143EC">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一、安全生产领域严重失信行为：</w:t>
      </w:r>
    </w:p>
    <w:p w14:paraId="731024A3">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（一）下列发生生产安全事故的生产经营单位及其有关人员应当列入严重失信主体名单：</w:t>
      </w:r>
    </w:p>
    <w:p w14:paraId="17C96EE9">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1、发生特别重大、重大生产安全事故的生产经营单位及其主要负责人，以及经调查认定对该事故发生负有责任，应当列入名单的其他单位和人员；</w:t>
      </w:r>
    </w:p>
    <w:p w14:paraId="24022C24">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2、12个月内累计发生2起以上较大生产安全事故的生产经营单位及其主要负责人；</w:t>
      </w:r>
    </w:p>
    <w:p w14:paraId="10D0DA56">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3、发生生产安全事故，情节特别严重、影响特别恶劣，依照《中华人民共和国安全生产法》第一百一十四条的规定被处以罚款数额2倍以上5倍以下罚款的生产经营单位及其主要负责人；</w:t>
      </w:r>
    </w:p>
    <w:p w14:paraId="70DD881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4、瞒报、谎报生产安全事故的生产经营单位及其有关责任人员；</w:t>
      </w:r>
    </w:p>
    <w:p w14:paraId="0D5F681C">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5、发生生产安全事故后，不立即组织抢救或者在事故调查处理期间擅离职守或者逃匿的生产经营单位主要负责人。</w:t>
      </w:r>
    </w:p>
    <w:p w14:paraId="65A9D719">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（二）下列未发生生产安全事故，但因安全生产违法行为，受到行政处罚的生产经营单位或者机构及其有关人员，应当列入严重失信主体名单：</w:t>
      </w:r>
    </w:p>
    <w:p w14:paraId="0685E37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1、未依法取得安全生产相关许可或者许可被暂扣、吊销期间从事相关生产经营活动的生产经营单位及其主要负责人；</w:t>
      </w:r>
    </w:p>
    <w:p w14:paraId="70A63775">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2、承担安全评价、认证、检测、检验职责的机构及其直接责任人员租借资质、挂靠、出具虚假报告或者证书的；</w:t>
      </w:r>
    </w:p>
    <w:p w14:paraId="67E22CD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3、在应急管理部门作出行政处罚后，有执行能力拒不执行或者逃避执行的生产经营单位及其主要负责人；</w:t>
      </w:r>
    </w:p>
    <w:p w14:paraId="7A62BD99">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4、其他违反安全生产法律法规受到行政处罚，且性质恶劣、情节严重的。</w:t>
      </w:r>
    </w:p>
    <w:p w14:paraId="6B47636C">
      <w:pPr>
        <w:adjustRightInd w:val="0"/>
        <w:snapToGrid w:val="0"/>
        <w:spacing w:line="560" w:lineRule="exact"/>
        <w:ind w:firstLine="645"/>
        <w:jc w:val="left"/>
        <w:rPr>
          <w:rFonts w:hint="eastAsia" w:ascii="仿宋_GB2312" w:hAnsi="Calibri" w:eastAsia="仿宋_GB2312"/>
          <w:b/>
          <w:color w:val="000000"/>
          <w:sz w:val="28"/>
          <w:szCs w:val="28"/>
        </w:rPr>
      </w:pPr>
      <w:r>
        <w:rPr>
          <w:rFonts w:hint="eastAsia" w:ascii="仿宋_GB2312" w:hAnsi="宋体" w:eastAsia="仿宋_GB2312"/>
          <w:b/>
          <w:color w:val="000000"/>
          <w:sz w:val="28"/>
          <w:szCs w:val="28"/>
        </w:rPr>
        <w:t>依据：《安全生产严重失信主体名单管理办法》</w:t>
      </w:r>
      <w:r>
        <w:rPr>
          <w:rFonts w:hint="eastAsia" w:ascii="仿宋_GB2312" w:hAnsi="Calibri" w:eastAsia="仿宋_GB2312"/>
          <w:b/>
          <w:color w:val="000000"/>
          <w:sz w:val="28"/>
          <w:szCs w:val="28"/>
        </w:rPr>
        <w:t>（2023年8月8日应急管理部令第11号）</w:t>
      </w:r>
    </w:p>
    <w:p w14:paraId="5EBA46E8">
      <w:pPr>
        <w:adjustRightInd w:val="0"/>
        <w:snapToGrid w:val="0"/>
        <w:spacing w:line="560" w:lineRule="exact"/>
        <w:ind w:firstLine="645"/>
        <w:jc w:val="left"/>
        <w:rPr>
          <w:rFonts w:hint="eastAsia" w:ascii="仿宋_GB2312" w:hAnsi="宋体" w:eastAsia="仿宋_GB2312"/>
          <w:b/>
          <w:color w:val="000000"/>
          <w:sz w:val="28"/>
          <w:szCs w:val="28"/>
        </w:rPr>
      </w:pPr>
    </w:p>
    <w:p w14:paraId="62AA5A75">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二、环境保护领域严重失信行为：</w:t>
      </w:r>
    </w:p>
    <w:p w14:paraId="133918C1">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（一）因为环境违法构成</w:t>
      </w:r>
      <w:r>
        <w:rPr>
          <w:color w:val="000000"/>
        </w:rPr>
        <w:fldChar w:fldCharType="begin"/>
      </w:r>
      <w:r>
        <w:rPr>
          <w:color w:val="000000"/>
        </w:rPr>
        <w:instrText xml:space="preserve"> HYPERLINK "https://baike.sogou.com/m/fullLemma?lid=10403954&amp;g_ut=3" \t "https://baike.sogou.com/m/_blank" </w:instrText>
      </w:r>
      <w:r>
        <w:rPr>
          <w:color w:val="000000"/>
        </w:rPr>
        <w:fldChar w:fldCharType="separate"/>
      </w:r>
      <w:r>
        <w:rPr>
          <w:rStyle w:val="58"/>
          <w:rFonts w:hint="eastAsia" w:ascii="仿宋_GB2312" w:hAnsi="宋体" w:eastAsia="仿宋_GB2312"/>
          <w:color w:val="000000"/>
          <w:sz w:val="28"/>
          <w:szCs w:val="28"/>
        </w:rPr>
        <w:t>环境犯罪</w:t>
      </w:r>
      <w:r>
        <w:rPr>
          <w:color w:val="000000"/>
        </w:rPr>
        <w:fldChar w:fldCharType="end"/>
      </w:r>
      <w:r>
        <w:rPr>
          <w:rFonts w:hint="eastAsia" w:ascii="仿宋_GB2312" w:hAnsi="宋体" w:eastAsia="仿宋_GB2312"/>
          <w:color w:val="000000"/>
          <w:sz w:val="28"/>
          <w:szCs w:val="28"/>
        </w:rPr>
        <w:t>的；</w:t>
      </w:r>
    </w:p>
    <w:p w14:paraId="4D5C9D91">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（二）</w:t>
      </w:r>
      <w:r>
        <w:rPr>
          <w:color w:val="000000"/>
        </w:rPr>
        <w:fldChar w:fldCharType="begin"/>
      </w:r>
      <w:r>
        <w:rPr>
          <w:color w:val="000000"/>
        </w:rPr>
        <w:instrText xml:space="preserve"> HYPERLINK "https://baike.sogou.com/m/fullLemma?lid=76033123&amp;g_ut=3" \t "https://baike.sogou.com/m/_blank" </w:instrText>
      </w:r>
      <w:r>
        <w:rPr>
          <w:color w:val="000000"/>
        </w:rPr>
        <w:fldChar w:fldCharType="separate"/>
      </w:r>
      <w:r>
        <w:rPr>
          <w:rStyle w:val="58"/>
          <w:rFonts w:hint="eastAsia" w:ascii="仿宋_GB2312" w:hAnsi="宋体" w:eastAsia="仿宋_GB2312"/>
          <w:color w:val="000000"/>
          <w:sz w:val="28"/>
          <w:szCs w:val="28"/>
        </w:rPr>
        <w:t>建设项目环境影响评价</w:t>
      </w:r>
      <w:r>
        <w:rPr>
          <w:color w:val="000000"/>
        </w:rPr>
        <w:fldChar w:fldCharType="end"/>
      </w:r>
      <w:r>
        <w:rPr>
          <w:rFonts w:hint="eastAsia" w:ascii="仿宋_GB2312" w:hAnsi="宋体" w:eastAsia="仿宋_GB2312"/>
          <w:color w:val="000000"/>
          <w:sz w:val="28"/>
          <w:szCs w:val="28"/>
        </w:rPr>
        <w:t>文件未按规定通过审批，擅自开工建设的；</w:t>
      </w:r>
    </w:p>
    <w:p w14:paraId="25BD266E">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（三）建设项目环保设施未建成、环保措施未落实、未通过</w:t>
      </w:r>
      <w:r>
        <w:rPr>
          <w:color w:val="000000"/>
        </w:rPr>
        <w:fldChar w:fldCharType="begin"/>
      </w:r>
      <w:r>
        <w:rPr>
          <w:color w:val="000000"/>
        </w:rPr>
        <w:instrText xml:space="preserve"> HYPERLINK "https://baike.sogou.com/m/fullLemma?lid=6470550&amp;g_ut=3" \t "https://baike.sogou.com/m/_blank" </w:instrText>
      </w:r>
      <w:r>
        <w:rPr>
          <w:color w:val="000000"/>
        </w:rPr>
        <w:fldChar w:fldCharType="separate"/>
      </w:r>
      <w:r>
        <w:rPr>
          <w:rStyle w:val="58"/>
          <w:rFonts w:hint="eastAsia" w:ascii="仿宋_GB2312" w:hAnsi="宋体" w:eastAsia="仿宋_GB2312"/>
          <w:color w:val="000000"/>
          <w:sz w:val="28"/>
          <w:szCs w:val="28"/>
        </w:rPr>
        <w:t>竣工环保验收</w:t>
      </w:r>
      <w:r>
        <w:rPr>
          <w:color w:val="000000"/>
        </w:rPr>
        <w:fldChar w:fldCharType="end"/>
      </w:r>
      <w:r>
        <w:rPr>
          <w:rFonts w:hint="eastAsia" w:ascii="仿宋_GB2312" w:hAnsi="宋体" w:eastAsia="仿宋_GB2312"/>
          <w:color w:val="000000"/>
          <w:sz w:val="28"/>
          <w:szCs w:val="28"/>
        </w:rPr>
        <w:t>或者验收不合格，主体工程正式投入生产或者使用的；</w:t>
      </w:r>
    </w:p>
    <w:p w14:paraId="6A380CF8">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（四）建设项目性质、规模、地点、采用的生产工艺或者防治污染、防止生态破坏的措施发生重大变动，未重新报批环境影响评价文件，擅自投入生产或者使用的；</w:t>
      </w:r>
    </w:p>
    <w:p w14:paraId="0D3E808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（五）主要污染物排放总量超过控制指标的；</w:t>
      </w:r>
    </w:p>
    <w:p w14:paraId="6C8A6B4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（六）私设暗管或者利用</w:t>
      </w:r>
      <w:r>
        <w:rPr>
          <w:color w:val="000000"/>
        </w:rPr>
        <w:fldChar w:fldCharType="begin"/>
      </w:r>
      <w:r>
        <w:rPr>
          <w:color w:val="000000"/>
        </w:rPr>
        <w:instrText xml:space="preserve"> HYPERLINK "https://baike.sogou.com/m/fullLemma?lid=41657319&amp;g_ut=3" \t "https://baike.sogou.com/m/_blank" </w:instrText>
      </w:r>
      <w:r>
        <w:rPr>
          <w:color w:val="000000"/>
        </w:rPr>
        <w:fldChar w:fldCharType="separate"/>
      </w:r>
      <w:r>
        <w:rPr>
          <w:rStyle w:val="58"/>
          <w:rFonts w:hint="eastAsia" w:ascii="仿宋_GB2312" w:hAnsi="宋体" w:eastAsia="仿宋_GB2312"/>
          <w:color w:val="000000"/>
          <w:sz w:val="28"/>
          <w:szCs w:val="28"/>
        </w:rPr>
        <w:t>渗井</w:t>
      </w:r>
      <w:r>
        <w:rPr>
          <w:color w:val="000000"/>
        </w:rPr>
        <w:fldChar w:fldCharType="end"/>
      </w:r>
      <w:r>
        <w:rPr>
          <w:rFonts w:hint="eastAsia" w:ascii="仿宋_GB2312" w:hAnsi="宋体" w:eastAsia="仿宋_GB2312"/>
          <w:color w:val="000000"/>
          <w:sz w:val="28"/>
          <w:szCs w:val="28"/>
        </w:rPr>
        <w:t>、渗坑、裂隙、溶洞等排放、倾倒、处置水污染物，或者通过私设旁路排放</w:t>
      </w:r>
      <w:r>
        <w:rPr>
          <w:color w:val="000000"/>
        </w:rPr>
        <w:fldChar w:fldCharType="begin"/>
      </w:r>
      <w:r>
        <w:rPr>
          <w:color w:val="000000"/>
        </w:rPr>
        <w:instrText xml:space="preserve"> HYPERLINK "https://baike.sogou.com/m/fullLemma?lid=7758328&amp;g_ut=3" \t "https://baike.sogou.com/m/_blank" </w:instrText>
      </w:r>
      <w:r>
        <w:rPr>
          <w:color w:val="000000"/>
        </w:rPr>
        <w:fldChar w:fldCharType="separate"/>
      </w:r>
      <w:r>
        <w:rPr>
          <w:rStyle w:val="58"/>
          <w:rFonts w:hint="eastAsia" w:ascii="仿宋_GB2312" w:hAnsi="宋体" w:eastAsia="仿宋_GB2312"/>
          <w:color w:val="000000"/>
          <w:sz w:val="28"/>
          <w:szCs w:val="28"/>
        </w:rPr>
        <w:t>大气污染物</w:t>
      </w:r>
      <w:r>
        <w:rPr>
          <w:color w:val="000000"/>
        </w:rPr>
        <w:fldChar w:fldCharType="end"/>
      </w:r>
      <w:r>
        <w:rPr>
          <w:rFonts w:hint="eastAsia" w:ascii="仿宋_GB2312" w:hAnsi="宋体" w:eastAsia="仿宋_GB2312"/>
          <w:color w:val="000000"/>
          <w:sz w:val="28"/>
          <w:szCs w:val="28"/>
        </w:rPr>
        <w:t>的；</w:t>
      </w:r>
    </w:p>
    <w:p w14:paraId="691BD33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（七）非法排放、倾倒、处置危险废物，或者向无</w:t>
      </w:r>
      <w:r>
        <w:rPr>
          <w:color w:val="000000"/>
        </w:rPr>
        <w:fldChar w:fldCharType="begin"/>
      </w:r>
      <w:r>
        <w:rPr>
          <w:color w:val="000000"/>
        </w:rPr>
        <w:instrText xml:space="preserve"> HYPERLINK "https://baike.sogou.com/m/fullLemma?lid=5923292&amp;g_ut=3" \t "https://baike.sogou.com/m/_blank" </w:instrText>
      </w:r>
      <w:r>
        <w:rPr>
          <w:color w:val="000000"/>
        </w:rPr>
        <w:fldChar w:fldCharType="separate"/>
      </w:r>
      <w:r>
        <w:rPr>
          <w:rStyle w:val="58"/>
          <w:rFonts w:hint="eastAsia" w:ascii="仿宋_GB2312" w:hAnsi="宋体" w:eastAsia="仿宋_GB2312"/>
          <w:color w:val="000000"/>
          <w:sz w:val="28"/>
          <w:szCs w:val="28"/>
        </w:rPr>
        <w:t>经营许可证</w:t>
      </w:r>
      <w:r>
        <w:rPr>
          <w:color w:val="000000"/>
        </w:rPr>
        <w:fldChar w:fldCharType="end"/>
      </w:r>
      <w:r>
        <w:rPr>
          <w:rFonts w:hint="eastAsia" w:ascii="仿宋_GB2312" w:hAnsi="宋体" w:eastAsia="仿宋_GB2312"/>
          <w:color w:val="000000"/>
          <w:sz w:val="28"/>
          <w:szCs w:val="28"/>
        </w:rPr>
        <w:t>或者超出经营许可范围的单位或个人提供或者委托其收集、贮存、利用、处置危险废物的；</w:t>
      </w:r>
    </w:p>
    <w:p w14:paraId="377F324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（八）</w:t>
      </w:r>
      <w:r>
        <w:rPr>
          <w:color w:val="000000"/>
        </w:rPr>
        <w:fldChar w:fldCharType="begin"/>
      </w:r>
      <w:r>
        <w:rPr>
          <w:color w:val="000000"/>
        </w:rPr>
        <w:instrText xml:space="preserve"> HYPERLINK "https://baike.sogou.com/m/fullLemma?lid=167759803&amp;g_ut=3" \t "https://baike.sogou.com/m/_blank" </w:instrText>
      </w:r>
      <w:r>
        <w:rPr>
          <w:color w:val="000000"/>
        </w:rPr>
        <w:fldChar w:fldCharType="separate"/>
      </w:r>
      <w:r>
        <w:rPr>
          <w:rStyle w:val="58"/>
          <w:rFonts w:hint="eastAsia" w:ascii="仿宋_GB2312" w:hAnsi="宋体" w:eastAsia="仿宋_GB2312"/>
          <w:color w:val="000000"/>
          <w:sz w:val="28"/>
          <w:szCs w:val="28"/>
        </w:rPr>
        <w:t>环境违法行为</w:t>
      </w:r>
      <w:r>
        <w:rPr>
          <w:color w:val="000000"/>
        </w:rPr>
        <w:fldChar w:fldCharType="end"/>
      </w:r>
      <w:r>
        <w:rPr>
          <w:rFonts w:hint="eastAsia" w:ascii="仿宋_GB2312" w:hAnsi="宋体" w:eastAsia="仿宋_GB2312"/>
          <w:color w:val="000000"/>
          <w:sz w:val="28"/>
          <w:szCs w:val="28"/>
        </w:rPr>
        <w:t>造成集中式生活饮用水水源取水中断的；</w:t>
      </w:r>
    </w:p>
    <w:p w14:paraId="7131E34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（九）环境违法行为对生活饮用水水源保护区、自然保护区、</w:t>
      </w:r>
      <w:r>
        <w:rPr>
          <w:color w:val="000000"/>
        </w:rPr>
        <w:fldChar w:fldCharType="begin"/>
      </w:r>
      <w:r>
        <w:rPr>
          <w:color w:val="000000"/>
        </w:rPr>
        <w:instrText xml:space="preserve"> HYPERLINK "https://baike.sogou.com/m/fullLemma?lid=155199213&amp;g_ut=3" \t "https://baike.sogou.com/m/_blank" </w:instrText>
      </w:r>
      <w:r>
        <w:rPr>
          <w:color w:val="000000"/>
        </w:rPr>
        <w:fldChar w:fldCharType="separate"/>
      </w:r>
      <w:r>
        <w:rPr>
          <w:rStyle w:val="58"/>
          <w:rFonts w:hint="eastAsia" w:ascii="仿宋_GB2312" w:hAnsi="宋体" w:eastAsia="仿宋_GB2312"/>
          <w:color w:val="000000"/>
          <w:sz w:val="28"/>
          <w:szCs w:val="28"/>
        </w:rPr>
        <w:t>国家重点生态功能区</w:t>
      </w:r>
      <w:r>
        <w:rPr>
          <w:color w:val="000000"/>
        </w:rPr>
        <w:fldChar w:fldCharType="end"/>
      </w:r>
      <w:r>
        <w:rPr>
          <w:rFonts w:hint="eastAsia" w:ascii="仿宋_GB2312" w:hAnsi="宋体" w:eastAsia="仿宋_GB2312"/>
          <w:color w:val="000000"/>
          <w:sz w:val="28"/>
          <w:szCs w:val="28"/>
        </w:rPr>
        <w:t>、风景名胜区、居住功能区、</w:t>
      </w:r>
      <w:r>
        <w:rPr>
          <w:color w:val="000000"/>
        </w:rPr>
        <w:fldChar w:fldCharType="begin"/>
      </w:r>
      <w:r>
        <w:rPr>
          <w:color w:val="000000"/>
        </w:rPr>
        <w:instrText xml:space="preserve"> HYPERLINK "https://baike.sogou.com/m/fullLemma?lid=7757164&amp;g_ut=3" \t "https://baike.sogou.com/m/_blank" </w:instrText>
      </w:r>
      <w:r>
        <w:rPr>
          <w:color w:val="000000"/>
        </w:rPr>
        <w:fldChar w:fldCharType="separate"/>
      </w:r>
      <w:r>
        <w:rPr>
          <w:rStyle w:val="58"/>
          <w:rFonts w:hint="eastAsia" w:ascii="仿宋_GB2312" w:hAnsi="宋体" w:eastAsia="仿宋_GB2312"/>
          <w:color w:val="000000"/>
          <w:sz w:val="28"/>
          <w:szCs w:val="28"/>
        </w:rPr>
        <w:t>基本农田保护区</w:t>
      </w:r>
      <w:r>
        <w:rPr>
          <w:color w:val="000000"/>
        </w:rPr>
        <w:fldChar w:fldCharType="end"/>
      </w:r>
      <w:r>
        <w:rPr>
          <w:rFonts w:hint="eastAsia" w:ascii="仿宋_GB2312" w:hAnsi="宋体" w:eastAsia="仿宋_GB2312"/>
          <w:color w:val="000000"/>
          <w:sz w:val="28"/>
          <w:szCs w:val="28"/>
        </w:rPr>
        <w:t>等环境敏感区造成重大不利影响的；</w:t>
      </w:r>
    </w:p>
    <w:p w14:paraId="202BF31B">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（十）违法从事自然资源开发、交通基础设施建设，以及其他开发建设活动，造成严重生态破坏的；</w:t>
      </w:r>
    </w:p>
    <w:p w14:paraId="36104B92">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（十一）发生较大及以上突发环境事件的；</w:t>
      </w:r>
    </w:p>
    <w:p w14:paraId="1D87C321">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（十二）被环保部门挂牌督办，整改逾期未完成的；</w:t>
      </w:r>
    </w:p>
    <w:p w14:paraId="4724CFD3">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（十三）以暴力、威胁等方式拒绝、阻挠环保部门工作人员现场检查的；</w:t>
      </w:r>
    </w:p>
    <w:p w14:paraId="5979D3DF">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（十四）违反重污染天气应急预案有关规定，对重污染天气响应不力的。</w:t>
      </w:r>
    </w:p>
    <w:p w14:paraId="4411363B">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依据：《关于对环境保护领域失信生产经营单位及其有关人员开展联合惩戒的合作备忘录》、《</w:t>
      </w:r>
      <w:bookmarkStart w:id="1050" w:name="OLE_LINK12"/>
      <w:r>
        <w:rPr>
          <w:rFonts w:hint="eastAsia" w:ascii="仿宋_GB2312" w:hAnsi="宋体" w:eastAsia="仿宋_GB2312"/>
          <w:b/>
          <w:color w:val="000000"/>
          <w:sz w:val="28"/>
          <w:szCs w:val="28"/>
        </w:rPr>
        <w:t>企业环境信用评价办法（试行）</w:t>
      </w:r>
      <w:bookmarkEnd w:id="1050"/>
      <w:r>
        <w:rPr>
          <w:rFonts w:hint="eastAsia" w:ascii="仿宋_GB2312" w:hAnsi="宋体" w:eastAsia="仿宋_GB2312"/>
          <w:b/>
          <w:color w:val="000000"/>
          <w:sz w:val="28"/>
          <w:szCs w:val="28"/>
        </w:rPr>
        <w:t>》（环发〔2013〕150号）</w:t>
      </w:r>
    </w:p>
    <w:p w14:paraId="28ED7CAF">
      <w:pPr>
        <w:adjustRightInd w:val="0"/>
        <w:snapToGrid w:val="0"/>
        <w:spacing w:line="560" w:lineRule="exact"/>
        <w:ind w:firstLine="645"/>
        <w:jc w:val="left"/>
        <w:rPr>
          <w:rFonts w:hint="eastAsia" w:ascii="仿宋_GB2312" w:hAnsi="宋体" w:eastAsia="仿宋_GB2312"/>
          <w:b/>
          <w:color w:val="000000"/>
          <w:sz w:val="28"/>
          <w:szCs w:val="28"/>
        </w:rPr>
      </w:pPr>
    </w:p>
    <w:p w14:paraId="1FB83F4D">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三、</w:t>
      </w:r>
      <w:r>
        <w:rPr>
          <w:rFonts w:hint="eastAsia" w:ascii="仿宋_GB2312" w:hAnsi="宋体" w:eastAsia="仿宋_GB2312"/>
          <w:b/>
          <w:bCs/>
          <w:color w:val="000000"/>
          <w:sz w:val="28"/>
          <w:szCs w:val="28"/>
        </w:rPr>
        <w:t>公共资源交易领域严重失信行为</w:t>
      </w:r>
    </w:p>
    <w:p w14:paraId="175B39A4">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（一）违反法律规定，必须进行招标的项目而不招标的，将必须进行招标的项目化整为零或者以其他任何方式规避招标的； </w:t>
      </w:r>
    </w:p>
    <w:p w14:paraId="7608556A">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（二）招标代理机构违反法律规定，泄露应当保密的与招标投标活动有关的情况和资料的，或者与招标人、投标人串通损害 国家利益、社会公共利益或者他人合法权益的；</w:t>
      </w:r>
    </w:p>
    <w:p w14:paraId="7DE6B085">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（三）招标人以不合理的条件限制或者排斥潜在投标人的，对潜在投标人实行歧视待遇的，强制要求投标人组成联合体共同 投标的，或者限制投标人之间竞争的；</w:t>
      </w:r>
    </w:p>
    <w:p w14:paraId="4A882BC6">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（四）依法必须进行招标的项目的招标人向他人透露已获取招标文件的潜在投标人的名称、数量或者可能影响公平竞争的有 关招标投标的其他情况的，或者泄露标底的；</w:t>
      </w:r>
    </w:p>
    <w:p w14:paraId="36E6B618">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（五）投标人相互串通投标或者与招标人串通投标的，投标人以向招标人或者评标委员会成员行贿的手段谋取中标的； </w:t>
      </w:r>
    </w:p>
    <w:p w14:paraId="4017870A">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（六）投标人以他人名义投标或者以其他方式弄虚作假，骗取中标的；</w:t>
      </w:r>
    </w:p>
    <w:p w14:paraId="37FD4694">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（七）依法必须进行招标的项目，招标人违反法律规定，与投标人就投标价格、投标方案等实质性内容进行谈判的；</w:t>
      </w:r>
    </w:p>
    <w:p w14:paraId="17811A71">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1760C7B">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（九）招标人在评标委员会依法推荐的中标候选人以外确定中标人的，依法必须进行招标的项目在所有投标被评标委员会否 决后自行确定中标人的； </w:t>
      </w:r>
    </w:p>
    <w:p w14:paraId="44C3FEE2">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（十）中标人将中标项目转让给他人的，将中标项目肢解后分别转让给他人的，违反法律规定将中标项目的部分主体、关键 性工作分包给他人的，或者分包人再次分包的； </w:t>
      </w:r>
    </w:p>
    <w:p w14:paraId="065163DD">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（十一）招标人与中标人不按照招标文件和中标人的投标文件订立合同的，或者招标人、中标人订立背离合同实质性内容的 协议的； </w:t>
      </w:r>
    </w:p>
    <w:p w14:paraId="6F7BA3F3">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（十二）中标人不按照与招标人订立的合同履行义务，情节严重的； </w:t>
      </w:r>
    </w:p>
    <w:p w14:paraId="1966EB20">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3BE7C1A9">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6171E160">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 （十五）采购人对应当实行集中采购的政府采购项目，不委托集中采购机构实行集中采购的； </w:t>
      </w:r>
    </w:p>
    <w:p w14:paraId="537A8643">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（十六）采购人、采购代理机构违反法律规定隐匿、销毁应当保存的采购文件或者伪造、变造采购文件的； </w:t>
      </w:r>
    </w:p>
    <w:p w14:paraId="67D91287">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47D72D5A">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（十八）疫苗生产企业向县级疾病预防控制机构以外的单位或者个人销售第二类疫苗的； </w:t>
      </w:r>
    </w:p>
    <w:p w14:paraId="2C99BD86">
      <w:pPr>
        <w:adjustRightInd w:val="0"/>
        <w:snapToGrid w:val="0"/>
        <w:spacing w:line="560" w:lineRule="exact"/>
        <w:ind w:left="141" w:leftChars="67" w:firstLine="420" w:firstLineChars="150"/>
        <w:jc w:val="left"/>
        <w:rPr>
          <w:rFonts w:hint="eastAsia" w:ascii="仿宋_GB2312" w:hAnsi="宋体" w:eastAsia="仿宋_GB2312"/>
          <w:color w:val="000000"/>
          <w:sz w:val="28"/>
          <w:szCs w:val="28"/>
        </w:rPr>
      </w:pPr>
      <w:r>
        <w:rPr>
          <w:rFonts w:hint="eastAsia" w:ascii="仿宋_GB2312" w:hAnsi="Calibri" w:eastAsia="仿宋_GB2312"/>
          <w:color w:val="000000"/>
          <w:sz w:val="28"/>
          <w:szCs w:val="28"/>
        </w:rPr>
        <w:t>（十九）存在其他违反公共资源交易法律法规行为的。</w:t>
      </w:r>
    </w:p>
    <w:p w14:paraId="513F024B">
      <w:pPr>
        <w:adjustRightInd w:val="0"/>
        <w:snapToGrid w:val="0"/>
        <w:spacing w:line="560" w:lineRule="exact"/>
        <w:ind w:firstLine="894" w:firstLineChars="318"/>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依据：《</w:t>
      </w:r>
      <w:bookmarkStart w:id="1051" w:name="OLE_LINK13"/>
      <w:r>
        <w:rPr>
          <w:rFonts w:hint="eastAsia" w:ascii="仿宋_GB2312" w:hAnsi="宋体" w:eastAsia="仿宋_GB2312"/>
          <w:b/>
          <w:color w:val="000000"/>
          <w:sz w:val="28"/>
          <w:szCs w:val="28"/>
        </w:rPr>
        <w:t>关于对公共资源交易领域严重失信主体开展联合惩戒的备忘录</w:t>
      </w:r>
      <w:bookmarkEnd w:id="1051"/>
      <w:r>
        <w:rPr>
          <w:rFonts w:hint="eastAsia" w:ascii="仿宋_GB2312" w:hAnsi="宋体" w:eastAsia="仿宋_GB2312"/>
          <w:b/>
          <w:color w:val="000000"/>
          <w:sz w:val="28"/>
          <w:szCs w:val="28"/>
        </w:rPr>
        <w:t>》（发改法规〔2018〕457号）</w:t>
      </w:r>
    </w:p>
    <w:p w14:paraId="586B39EF">
      <w:pPr>
        <w:adjustRightInd w:val="0"/>
        <w:snapToGrid w:val="0"/>
        <w:spacing w:line="560" w:lineRule="exact"/>
        <w:ind w:firstLine="645"/>
        <w:jc w:val="left"/>
        <w:rPr>
          <w:rFonts w:hint="eastAsia" w:ascii="仿宋_GB2312" w:hAnsi="宋体" w:eastAsia="仿宋_GB2312"/>
          <w:color w:val="000000"/>
          <w:sz w:val="28"/>
          <w:szCs w:val="28"/>
        </w:rPr>
      </w:pPr>
    </w:p>
    <w:p w14:paraId="52F924BA">
      <w:pPr>
        <w:adjustRightInd w:val="0"/>
        <w:snapToGrid w:val="0"/>
        <w:spacing w:line="560" w:lineRule="exact"/>
        <w:ind w:firstLine="645"/>
        <w:jc w:val="left"/>
        <w:rPr>
          <w:rFonts w:hint="eastAsia" w:ascii="仿宋_GB2312" w:hAnsi="宋体" w:eastAsia="仿宋_GB2312"/>
          <w:b/>
          <w:bCs/>
          <w:color w:val="000000"/>
          <w:sz w:val="28"/>
          <w:szCs w:val="28"/>
        </w:rPr>
      </w:pPr>
      <w:r>
        <w:rPr>
          <w:rFonts w:hint="eastAsia" w:ascii="仿宋_GB2312" w:hAnsi="宋体" w:eastAsia="仿宋_GB2312"/>
          <w:b/>
          <w:color w:val="000000"/>
          <w:sz w:val="28"/>
          <w:szCs w:val="28"/>
        </w:rPr>
        <w:t>四、</w:t>
      </w:r>
      <w:r>
        <w:rPr>
          <w:rFonts w:hint="eastAsia" w:ascii="仿宋_GB2312" w:hAnsi="宋体" w:eastAsia="仿宋_GB2312"/>
          <w:b/>
          <w:bCs/>
          <w:color w:val="000000"/>
          <w:sz w:val="28"/>
          <w:szCs w:val="28"/>
        </w:rPr>
        <w:t>社会保险领域严重失信行为</w:t>
      </w:r>
    </w:p>
    <w:p w14:paraId="62502668">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（一）用人单位未按相关规定参加社会保险且拒不整改的； </w:t>
      </w:r>
    </w:p>
    <w:p w14:paraId="2EC80CDF">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（二）用人单位未如实申报社会保险缴费基数且拒不整改的； </w:t>
      </w:r>
    </w:p>
    <w:p w14:paraId="617EDC51">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（三）应缴纳社会保险费却拒不缴纳的； </w:t>
      </w:r>
    </w:p>
    <w:p w14:paraId="5DCC33F5">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（四）隐匿、转移、侵占、挪用社会保险费款、基金或者违规投资运营的；</w:t>
      </w:r>
    </w:p>
    <w:p w14:paraId="31F477FF">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（五）以欺诈、伪造证明材料或者其他手段参加、申报社会保险和骗取社会保险基金支出或社会保险待遇的； </w:t>
      </w:r>
    </w:p>
    <w:p w14:paraId="2CD154DD">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（六）非法获取、出售或变相交易社会保险个人权益数据的； </w:t>
      </w:r>
    </w:p>
    <w:p w14:paraId="38067C7E">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（七）社会保险服务机构违反服务协议或相关规定的； </w:t>
      </w:r>
    </w:p>
    <w:p w14:paraId="23A626D0">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（八）拒绝协助社会保险行政部门、经办机构对事故和问题进 行调查核实的；拒绝接受或协助税务部门对社会保险实施监督检查， 不如实提供与社会保险相关各项资料的； </w:t>
      </w:r>
    </w:p>
    <w:p w14:paraId="0F58F845">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（九）其他违反法律法规规定的。</w:t>
      </w:r>
    </w:p>
    <w:p w14:paraId="2B9DE631">
      <w:pPr>
        <w:adjustRightInd w:val="0"/>
        <w:snapToGrid w:val="0"/>
        <w:spacing w:line="560" w:lineRule="exact"/>
        <w:ind w:firstLine="551" w:firstLineChars="196"/>
        <w:jc w:val="left"/>
        <w:rPr>
          <w:rFonts w:hint="eastAsia" w:ascii="仿宋_GB2312" w:hAnsi="Calibri" w:eastAsia="仿宋_GB2312"/>
          <w:color w:val="000000"/>
          <w:sz w:val="28"/>
          <w:szCs w:val="28"/>
        </w:rPr>
      </w:pPr>
      <w:r>
        <w:rPr>
          <w:rFonts w:hint="eastAsia" w:ascii="仿宋_GB2312" w:hAnsi="Calibri" w:eastAsia="仿宋_GB2312"/>
          <w:b/>
          <w:color w:val="000000"/>
          <w:sz w:val="28"/>
          <w:szCs w:val="28"/>
        </w:rPr>
        <w:t>依据：《关于对社会保险领域严重失信企业及其有关人员实施联合惩戒的合作备忘录》（发改财金〔2018〕1704号）</w:t>
      </w:r>
    </w:p>
    <w:p w14:paraId="5F230DFD">
      <w:pPr>
        <w:adjustRightInd w:val="0"/>
        <w:snapToGrid w:val="0"/>
        <w:spacing w:line="560" w:lineRule="exact"/>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w:t>
      </w:r>
    </w:p>
    <w:p w14:paraId="339E9367">
      <w:pPr>
        <w:adjustRightInd w:val="0"/>
        <w:snapToGrid w:val="0"/>
        <w:spacing w:line="560" w:lineRule="exact"/>
        <w:ind w:firstLine="562" w:firstLineChars="200"/>
        <w:jc w:val="left"/>
        <w:rPr>
          <w:rFonts w:hint="eastAsia" w:ascii="仿宋_GB2312" w:hAnsi="宋体" w:eastAsia="仿宋_GB2312"/>
          <w:b/>
          <w:bCs/>
          <w:color w:val="000000"/>
          <w:sz w:val="28"/>
          <w:szCs w:val="28"/>
        </w:rPr>
      </w:pPr>
      <w:r>
        <w:rPr>
          <w:rFonts w:hint="eastAsia" w:ascii="仿宋_GB2312" w:hAnsi="宋体" w:eastAsia="仿宋_GB2312"/>
          <w:b/>
          <w:color w:val="000000"/>
          <w:sz w:val="28"/>
          <w:szCs w:val="28"/>
        </w:rPr>
        <w:t>五、建筑市场领域</w:t>
      </w:r>
      <w:r>
        <w:rPr>
          <w:rFonts w:hint="eastAsia" w:ascii="仿宋_GB2312" w:hAnsi="宋体" w:eastAsia="仿宋_GB2312"/>
          <w:b/>
          <w:bCs/>
          <w:color w:val="000000"/>
          <w:sz w:val="28"/>
          <w:szCs w:val="28"/>
        </w:rPr>
        <w:t>严重失信行为</w:t>
      </w:r>
    </w:p>
    <w:p w14:paraId="52D451E2">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（一）利用虚假材料、以欺骗手段取得企业资质的；</w:t>
      </w:r>
    </w:p>
    <w:p w14:paraId="42DD1938">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（二）发生转包、出借资质，受到行政处罚的；</w:t>
      </w:r>
    </w:p>
    <w:p w14:paraId="7EBBA976">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（三）发生重大及以上工程质量安全事故，或1年内累计发生2次及以上较大工程质量安全事故，或发生性质恶劣、危害性严重、社会影响大的较大工程质量安全事故，受到行政处罚的；</w:t>
      </w:r>
    </w:p>
    <w:p w14:paraId="79A2C480">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（四）经法院判决或仲裁机构裁决，认定为拖欠工程款,且拒不履行生效法律文书确定的义务的。</w:t>
      </w:r>
    </w:p>
    <w:p w14:paraId="21D43199">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各级住房城乡建设主管部门应当参照建筑市场主体“黑名单”，对被人力资源社会保障行政部门列入拖欠农民工工资“黑名单”的建筑市场各方主体加强监管。</w:t>
      </w:r>
    </w:p>
    <w:p w14:paraId="20F91FD3">
      <w:pPr>
        <w:ind w:firstLine="562" w:firstLineChars="200"/>
        <w:jc w:val="left"/>
        <w:rPr>
          <w:rFonts w:hint="eastAsia" w:ascii="宋体" w:hAnsi="宋体"/>
          <w:color w:val="000000"/>
          <w:sz w:val="28"/>
          <w:szCs w:val="28"/>
        </w:rPr>
      </w:pPr>
      <w:r>
        <w:rPr>
          <w:rFonts w:hint="eastAsia" w:ascii="仿宋_GB2312" w:hAnsi="Calibri" w:eastAsia="仿宋_GB2312"/>
          <w:b/>
          <w:color w:val="000000"/>
          <w:sz w:val="28"/>
          <w:szCs w:val="28"/>
        </w:rPr>
        <w:t>依据：《</w:t>
      </w:r>
      <w:bookmarkStart w:id="1052" w:name="OLE_LINK18"/>
      <w:r>
        <w:rPr>
          <w:rFonts w:hint="eastAsia" w:ascii="仿宋_GB2312" w:hAnsi="Calibri" w:eastAsia="仿宋_GB2312"/>
          <w:b/>
          <w:color w:val="000000"/>
          <w:sz w:val="28"/>
          <w:szCs w:val="28"/>
        </w:rPr>
        <w:t>建筑市场信用管理暂行办法</w:t>
      </w:r>
      <w:bookmarkEnd w:id="1052"/>
      <w:r>
        <w:rPr>
          <w:rFonts w:hint="eastAsia" w:ascii="仿宋_GB2312" w:hAnsi="Calibri" w:eastAsia="仿宋_GB2312"/>
          <w:b/>
          <w:color w:val="000000"/>
          <w:sz w:val="28"/>
          <w:szCs w:val="28"/>
        </w:rPr>
        <w:t>》（建市〔2017〕241号）</w:t>
      </w:r>
    </w:p>
    <w:p w14:paraId="2FD7B31D">
      <w:pPr>
        <w:adjustRightInd w:val="0"/>
        <w:snapToGrid w:val="0"/>
        <w:spacing w:line="560" w:lineRule="exact"/>
        <w:rPr>
          <w:rFonts w:hint="eastAsia" w:ascii="仿宋_GB2312" w:hAnsi="宋体" w:eastAsia="仿宋_GB2312"/>
          <w:b/>
          <w:color w:val="000000"/>
          <w:sz w:val="28"/>
          <w:szCs w:val="28"/>
        </w:rPr>
      </w:pPr>
    </w:p>
    <w:p w14:paraId="16A49D62">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六、</w:t>
      </w:r>
      <w:bookmarkStart w:id="1053" w:name="OLE_LINK20"/>
      <w:bookmarkStart w:id="1054" w:name="OLE_LINK19"/>
      <w:r>
        <w:rPr>
          <w:rFonts w:hint="eastAsia" w:ascii="仿宋_GB2312" w:hAnsi="宋体" w:eastAsia="仿宋_GB2312"/>
          <w:b/>
          <w:color w:val="000000"/>
          <w:sz w:val="28"/>
          <w:szCs w:val="28"/>
        </w:rPr>
        <w:t>政府采购严重失信行为</w:t>
      </w:r>
      <w:bookmarkEnd w:id="1053"/>
      <w:bookmarkEnd w:id="1054"/>
    </w:p>
    <w:p w14:paraId="3E03F70A">
      <w:pPr>
        <w:adjustRightInd w:val="0"/>
        <w:snapToGrid w:val="0"/>
        <w:spacing w:line="560" w:lineRule="exact"/>
        <w:ind w:firstLine="615"/>
        <w:rPr>
          <w:rFonts w:hint="eastAsia" w:ascii="仿宋_GB2312" w:hAnsi="Calibri" w:eastAsia="仿宋_GB2312"/>
          <w:color w:val="000000"/>
          <w:sz w:val="28"/>
          <w:szCs w:val="28"/>
        </w:rPr>
      </w:pPr>
      <w:r>
        <w:rPr>
          <w:rFonts w:hint="eastAsia" w:ascii="仿宋_GB2312" w:hAnsi="Calibri" w:eastAsia="仿宋_GB2312"/>
          <w:color w:val="000000"/>
          <w:sz w:val="28"/>
          <w:szCs w:val="28"/>
        </w:rPr>
        <w:t>供应商、采购代理机构在三年内受到财政部门作出下列情形之一的行政处罚，列入政府采购严重违法失信行为记录名单。</w:t>
      </w:r>
      <w:r>
        <w:rPr>
          <w:rFonts w:hint="eastAsia" w:ascii="仿宋_GB2312" w:hAnsi="Calibri" w:eastAsia="仿宋_GB2312"/>
          <w:color w:val="000000"/>
          <w:sz w:val="28"/>
          <w:szCs w:val="28"/>
        </w:rPr>
        <w:br w:type="textWrapping"/>
      </w:r>
      <w:r>
        <w:rPr>
          <w:rFonts w:hint="eastAsia" w:ascii="仿宋_GB2312" w:hAnsi="Calibri" w:eastAsia="仿宋_GB2312"/>
          <w:color w:val="000000"/>
          <w:sz w:val="28"/>
          <w:szCs w:val="28"/>
        </w:rPr>
        <w:t>　　（一）三万元以上罚款；</w:t>
      </w:r>
      <w:r>
        <w:rPr>
          <w:rFonts w:hint="eastAsia" w:ascii="仿宋_GB2312" w:hAnsi="Calibri" w:eastAsia="仿宋_GB2312"/>
          <w:color w:val="000000"/>
          <w:sz w:val="28"/>
          <w:szCs w:val="28"/>
        </w:rPr>
        <w:br w:type="textWrapping"/>
      </w:r>
      <w:r>
        <w:rPr>
          <w:rFonts w:hint="eastAsia" w:ascii="仿宋_GB2312" w:hAnsi="Calibri" w:eastAsia="仿宋_GB2312"/>
          <w:color w:val="000000"/>
          <w:sz w:val="28"/>
          <w:szCs w:val="28"/>
        </w:rPr>
        <w:t>　　（二）在一至三年内禁止参加政府采购活动（处罚期限届满的除外）；</w:t>
      </w:r>
      <w:r>
        <w:rPr>
          <w:rFonts w:hint="eastAsia" w:ascii="仿宋_GB2312" w:hAnsi="Calibri" w:eastAsia="仿宋_GB2312"/>
          <w:color w:val="000000"/>
          <w:sz w:val="28"/>
          <w:szCs w:val="28"/>
        </w:rPr>
        <w:br w:type="textWrapping"/>
      </w:r>
      <w:r>
        <w:rPr>
          <w:rFonts w:hint="eastAsia" w:ascii="仿宋_GB2312" w:hAnsi="Calibri" w:eastAsia="仿宋_GB2312"/>
          <w:color w:val="000000"/>
          <w:sz w:val="28"/>
          <w:szCs w:val="28"/>
        </w:rPr>
        <w:t>　　（三）在一至三年内禁止代理政府采购业务（处罚期限届满的除外）；</w:t>
      </w:r>
      <w:r>
        <w:rPr>
          <w:rFonts w:hint="eastAsia" w:ascii="仿宋_GB2312" w:hAnsi="Calibri" w:eastAsia="仿宋_GB2312"/>
          <w:color w:val="000000"/>
          <w:sz w:val="28"/>
          <w:szCs w:val="28"/>
        </w:rPr>
        <w:br w:type="textWrapping"/>
      </w:r>
      <w:r>
        <w:rPr>
          <w:rFonts w:hint="eastAsia" w:ascii="仿宋_GB2312" w:hAnsi="宋体" w:eastAsia="仿宋_GB2312"/>
          <w:color w:val="000000"/>
          <w:sz w:val="28"/>
          <w:szCs w:val="28"/>
        </w:rPr>
        <w:t xml:space="preserve">　 </w:t>
      </w:r>
      <w:r>
        <w:rPr>
          <w:rFonts w:hint="eastAsia" w:ascii="仿宋_GB2312" w:hAnsi="Calibri" w:eastAsia="仿宋_GB2312"/>
          <w:color w:val="000000"/>
          <w:sz w:val="28"/>
          <w:szCs w:val="28"/>
        </w:rPr>
        <w:t>（四）撤销政府采购代理机构资格（仅针对《政府采购法》第78条修改前作出的处罚决定）。</w:t>
      </w:r>
    </w:p>
    <w:p w14:paraId="2384A8E2">
      <w:pPr>
        <w:adjustRightInd w:val="0"/>
        <w:snapToGrid w:val="0"/>
        <w:spacing w:line="560" w:lineRule="exact"/>
        <w:ind w:firstLine="562" w:firstLineChars="200"/>
        <w:jc w:val="left"/>
        <w:rPr>
          <w:rFonts w:hint="eastAsia" w:ascii="仿宋_GB2312" w:hAnsi="Calibri" w:eastAsia="仿宋_GB2312"/>
          <w:b/>
          <w:color w:val="000000"/>
          <w:sz w:val="28"/>
          <w:szCs w:val="28"/>
        </w:rPr>
      </w:pPr>
      <w:r>
        <w:rPr>
          <w:rFonts w:hint="eastAsia" w:ascii="仿宋_GB2312" w:hAnsi="Calibri" w:eastAsia="仿宋_GB2312"/>
          <w:b/>
          <w:color w:val="000000"/>
          <w:sz w:val="28"/>
          <w:szCs w:val="28"/>
        </w:rPr>
        <w:t>依据：《关于报送政府采购严重违法失信行为信息记录的通知》</w:t>
      </w:r>
      <w:r>
        <w:rPr>
          <w:rFonts w:hint="eastAsia" w:ascii="Calibri" w:hAnsi="Calibri"/>
          <w:b/>
          <w:color w:val="000000"/>
          <w:sz w:val="28"/>
          <w:szCs w:val="28"/>
        </w:rPr>
        <w:t>（财办库〔</w:t>
      </w:r>
      <w:r>
        <w:rPr>
          <w:rFonts w:ascii="Calibri" w:hAnsi="Calibri"/>
          <w:b/>
          <w:color w:val="000000"/>
          <w:sz w:val="28"/>
          <w:szCs w:val="28"/>
        </w:rPr>
        <w:t>2014</w:t>
      </w:r>
      <w:r>
        <w:rPr>
          <w:rFonts w:hint="eastAsia" w:ascii="Calibri" w:hAnsi="Calibri"/>
          <w:b/>
          <w:color w:val="000000"/>
          <w:sz w:val="28"/>
          <w:szCs w:val="28"/>
        </w:rPr>
        <w:t>〕</w:t>
      </w:r>
      <w:r>
        <w:rPr>
          <w:rFonts w:ascii="Calibri" w:hAnsi="Calibri"/>
          <w:b/>
          <w:color w:val="000000"/>
          <w:sz w:val="28"/>
          <w:szCs w:val="28"/>
        </w:rPr>
        <w:t>526</w:t>
      </w:r>
      <w:r>
        <w:rPr>
          <w:rFonts w:hint="eastAsia" w:ascii="Calibri" w:hAnsi="Calibri"/>
          <w:b/>
          <w:color w:val="000000"/>
          <w:sz w:val="28"/>
          <w:szCs w:val="28"/>
        </w:rPr>
        <w:t>号）</w:t>
      </w:r>
    </w:p>
    <w:p w14:paraId="36748B2E">
      <w:pPr>
        <w:adjustRightInd w:val="0"/>
        <w:snapToGrid w:val="0"/>
        <w:spacing w:line="560" w:lineRule="exact"/>
        <w:rPr>
          <w:rFonts w:hint="eastAsia" w:ascii="仿宋_GB2312" w:hAnsi="宋体" w:eastAsia="仿宋_GB2312"/>
          <w:b/>
          <w:color w:val="000000"/>
          <w:sz w:val="28"/>
          <w:szCs w:val="28"/>
        </w:rPr>
      </w:pPr>
    </w:p>
    <w:p w14:paraId="7121168B">
      <w:pPr>
        <w:pStyle w:val="2"/>
        <w:ind w:left="0" w:leftChars="0" w:firstLine="0" w:firstLineChars="0"/>
      </w:pPr>
      <w:r>
        <w:rPr>
          <w:rFonts w:hint="eastAsia" w:ascii="仿宋_GB2312" w:hAnsi="宋体" w:eastAsia="仿宋_GB2312"/>
          <w:b/>
          <w:color w:val="000000"/>
          <w:sz w:val="28"/>
          <w:szCs w:val="28"/>
        </w:rPr>
        <w:t>未列出的其他类别严重失信行为，由招标人（代理机构）根据各类别行业主管部门下发的联合惩戒文件进行判</w:t>
      </w:r>
      <w:r>
        <w:rPr>
          <w:rFonts w:hint="eastAsia" w:ascii="仿宋_GB2312" w:hAnsi="宋体" w:eastAsia="仿宋_GB2312"/>
          <w:b/>
          <w:color w:val="000000"/>
          <w:sz w:val="32"/>
          <w:szCs w:val="32"/>
        </w:rPr>
        <w:t>断。</w:t>
      </w:r>
    </w:p>
    <w:sectPr>
      <w:headerReference r:id="rId9" w:type="default"/>
      <w:footerReference r:id="rId10"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42DBF">
    <w:pPr>
      <w:pStyle w:val="29"/>
      <w:rPr>
        <w:rStyle w:val="51"/>
      </w:rPr>
    </w:pPr>
  </w:p>
  <w:p w14:paraId="53435915">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8C72">
    <w:pPr>
      <w:pStyle w:val="29"/>
      <w:rPr>
        <w:rStyle w:val="51"/>
      </w:rPr>
    </w:pPr>
  </w:p>
  <w:p w14:paraId="78B0040E">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6B4D4">
    <w:pPr>
      <w:pStyle w:val="29"/>
      <w:rPr>
        <w:rStyle w:val="51"/>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1E254">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701E254">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0A8F7B91">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C588D">
    <w:pPr>
      <w:pStyle w:val="29"/>
      <w:rPr>
        <w:rStyle w:val="5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F04E6">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B8F04E6">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2441B96C">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67B4">
    <w:pPr>
      <w:pStyle w:val="29"/>
      <w:rPr>
        <w:rStyle w:val="5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02D7ED">
                          <w:pPr>
                            <w:pStyle w:val="2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qv1RMoBAACc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qv1RMoBAACcAwAADgAAAAAAAAABACAAAAAeAQAAZHJzL2Uyb0Rv&#10;Yy54bWxQSwUGAAAAAAYABgBZAQAAWgUAAAAA&#10;">
              <v:fill on="f" focussize="0,0"/>
              <v:stroke on="f"/>
              <v:imagedata o:title=""/>
              <o:lock v:ext="edit" aspectratio="f"/>
              <v:textbox inset="0mm,0mm,0mm,0mm" style="mso-fit-shape-to-text:t;">
                <w:txbxContent>
                  <w:p w14:paraId="2802D7ED">
                    <w:pPr>
                      <w:pStyle w:val="29"/>
                    </w:pPr>
                    <w:r>
                      <w:fldChar w:fldCharType="begin"/>
                    </w:r>
                    <w:r>
                      <w:instrText xml:space="preserve"> PAGE  \* MERGEFORMAT </w:instrText>
                    </w:r>
                    <w:r>
                      <w:fldChar w:fldCharType="separate"/>
                    </w:r>
                    <w:r>
                      <w:t>2</w:t>
                    </w:r>
                    <w:r>
                      <w:fldChar w:fldCharType="end"/>
                    </w:r>
                  </w:p>
                </w:txbxContent>
              </v:textbox>
            </v:shape>
          </w:pict>
        </mc:Fallback>
      </mc:AlternateContent>
    </w:r>
  </w:p>
  <w:p w14:paraId="01B2BA8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23331">
    <w:pPr>
      <w:pStyle w:val="30"/>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6B492">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BC04">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0B1C5"/>
    <w:multiLevelType w:val="singleLevel"/>
    <w:tmpl w:val="84E0B1C5"/>
    <w:lvl w:ilvl="0" w:tentative="0">
      <w:start w:val="1"/>
      <w:numFmt w:val="decimal"/>
      <w:suff w:val="space"/>
      <w:lvlText w:val="（%1）"/>
      <w:lvlJc w:val="left"/>
    </w:lvl>
  </w:abstractNum>
  <w:abstractNum w:abstractNumId="1">
    <w:nsid w:val="152B3C79"/>
    <w:multiLevelType w:val="singleLevel"/>
    <w:tmpl w:val="152B3C79"/>
    <w:lvl w:ilvl="0" w:tentative="0">
      <w:start w:val="1"/>
      <w:numFmt w:val="decimal"/>
      <w:suff w:val="nothing"/>
      <w:lvlText w:val="（%1）"/>
      <w:lvlJc w:val="left"/>
    </w:lvl>
  </w:abstractNum>
  <w:abstractNum w:abstractNumId="2">
    <w:nsid w:val="17A77041"/>
    <w:multiLevelType w:val="singleLevel"/>
    <w:tmpl w:val="17A77041"/>
    <w:lvl w:ilvl="0" w:tentative="0">
      <w:start w:val="4"/>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36C"/>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425A17"/>
    <w:rsid w:val="01542AFA"/>
    <w:rsid w:val="015E6630"/>
    <w:rsid w:val="016C75C7"/>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EB23C8"/>
    <w:rsid w:val="02ED4254"/>
    <w:rsid w:val="02F54A67"/>
    <w:rsid w:val="02FB586B"/>
    <w:rsid w:val="032764F6"/>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F0F22"/>
    <w:rsid w:val="04D7542D"/>
    <w:rsid w:val="04DD163F"/>
    <w:rsid w:val="04E452F2"/>
    <w:rsid w:val="04E82F5F"/>
    <w:rsid w:val="05084E1A"/>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606ACF"/>
    <w:rsid w:val="06632C8A"/>
    <w:rsid w:val="066C44D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F7F68"/>
    <w:rsid w:val="07433326"/>
    <w:rsid w:val="074D1200"/>
    <w:rsid w:val="07701435"/>
    <w:rsid w:val="078057A6"/>
    <w:rsid w:val="0791006E"/>
    <w:rsid w:val="07A93817"/>
    <w:rsid w:val="07AA51F7"/>
    <w:rsid w:val="07C16E32"/>
    <w:rsid w:val="07C956F1"/>
    <w:rsid w:val="07DE071F"/>
    <w:rsid w:val="07E724F1"/>
    <w:rsid w:val="07F54B10"/>
    <w:rsid w:val="0805246C"/>
    <w:rsid w:val="080D2DB2"/>
    <w:rsid w:val="08236132"/>
    <w:rsid w:val="0824157E"/>
    <w:rsid w:val="082A5712"/>
    <w:rsid w:val="08365D8B"/>
    <w:rsid w:val="083932FD"/>
    <w:rsid w:val="083C1D74"/>
    <w:rsid w:val="08664D5B"/>
    <w:rsid w:val="087338E5"/>
    <w:rsid w:val="087E552F"/>
    <w:rsid w:val="08935065"/>
    <w:rsid w:val="08994E2C"/>
    <w:rsid w:val="089E0248"/>
    <w:rsid w:val="08AA7F40"/>
    <w:rsid w:val="08AC09F8"/>
    <w:rsid w:val="08AF1C74"/>
    <w:rsid w:val="08B76FB8"/>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97733"/>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CF6036"/>
    <w:rsid w:val="0AD53C26"/>
    <w:rsid w:val="0ADD3B4A"/>
    <w:rsid w:val="0AEE775A"/>
    <w:rsid w:val="0AFF5154"/>
    <w:rsid w:val="0B0260FA"/>
    <w:rsid w:val="0B127FA5"/>
    <w:rsid w:val="0B187C06"/>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F0CD9"/>
    <w:rsid w:val="0C631998"/>
    <w:rsid w:val="0C6821F6"/>
    <w:rsid w:val="0C8170B4"/>
    <w:rsid w:val="0C990787"/>
    <w:rsid w:val="0C992D4F"/>
    <w:rsid w:val="0CA529C0"/>
    <w:rsid w:val="0CAE3A50"/>
    <w:rsid w:val="0CBF15FF"/>
    <w:rsid w:val="0CC20F4F"/>
    <w:rsid w:val="0CD8398F"/>
    <w:rsid w:val="0CD91857"/>
    <w:rsid w:val="0CDA4E4E"/>
    <w:rsid w:val="0CF258A4"/>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6059EA"/>
    <w:rsid w:val="0E632208"/>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839F3"/>
    <w:rsid w:val="120E39AF"/>
    <w:rsid w:val="12114BE2"/>
    <w:rsid w:val="121911ED"/>
    <w:rsid w:val="12261816"/>
    <w:rsid w:val="122816CA"/>
    <w:rsid w:val="1231523F"/>
    <w:rsid w:val="12392AE3"/>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597FDE"/>
    <w:rsid w:val="13610A7C"/>
    <w:rsid w:val="13663F63"/>
    <w:rsid w:val="1370511E"/>
    <w:rsid w:val="138A2CF3"/>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975C2"/>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1629A"/>
    <w:rsid w:val="153E6FE7"/>
    <w:rsid w:val="15535F3F"/>
    <w:rsid w:val="155C3CBE"/>
    <w:rsid w:val="15697093"/>
    <w:rsid w:val="15760076"/>
    <w:rsid w:val="157E5DA4"/>
    <w:rsid w:val="159F6FD6"/>
    <w:rsid w:val="15A5462A"/>
    <w:rsid w:val="15B01BBF"/>
    <w:rsid w:val="15EC3B3E"/>
    <w:rsid w:val="15F1786F"/>
    <w:rsid w:val="15F46C2A"/>
    <w:rsid w:val="16121567"/>
    <w:rsid w:val="16175528"/>
    <w:rsid w:val="162D4D4B"/>
    <w:rsid w:val="16343F81"/>
    <w:rsid w:val="163948ED"/>
    <w:rsid w:val="164275F4"/>
    <w:rsid w:val="164717FA"/>
    <w:rsid w:val="16501227"/>
    <w:rsid w:val="1654148B"/>
    <w:rsid w:val="165710DF"/>
    <w:rsid w:val="16573B76"/>
    <w:rsid w:val="165B71D5"/>
    <w:rsid w:val="16700A7A"/>
    <w:rsid w:val="16734728"/>
    <w:rsid w:val="167D1103"/>
    <w:rsid w:val="1683572D"/>
    <w:rsid w:val="169E0BEA"/>
    <w:rsid w:val="16AF7EFC"/>
    <w:rsid w:val="16DD2BAC"/>
    <w:rsid w:val="16F70EB5"/>
    <w:rsid w:val="17191BC1"/>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82A95"/>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AF000F5"/>
    <w:rsid w:val="1B397563"/>
    <w:rsid w:val="1B403FA5"/>
    <w:rsid w:val="1B450A9E"/>
    <w:rsid w:val="1B481CDF"/>
    <w:rsid w:val="1B4B17D0"/>
    <w:rsid w:val="1B524326"/>
    <w:rsid w:val="1B55168B"/>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67DF1"/>
    <w:rsid w:val="1D494085"/>
    <w:rsid w:val="1D6104E9"/>
    <w:rsid w:val="1D6D5E73"/>
    <w:rsid w:val="1D6E2EA0"/>
    <w:rsid w:val="1D7C0366"/>
    <w:rsid w:val="1D90430C"/>
    <w:rsid w:val="1DA228F6"/>
    <w:rsid w:val="1DA26C67"/>
    <w:rsid w:val="1DB571C9"/>
    <w:rsid w:val="1DBF6F58"/>
    <w:rsid w:val="1DFC5003"/>
    <w:rsid w:val="1E2527AC"/>
    <w:rsid w:val="1E2851F8"/>
    <w:rsid w:val="1E2A3F9F"/>
    <w:rsid w:val="1E65546D"/>
    <w:rsid w:val="1E7B6900"/>
    <w:rsid w:val="1E933E22"/>
    <w:rsid w:val="1EB60A31"/>
    <w:rsid w:val="1EC6457D"/>
    <w:rsid w:val="1EC7170B"/>
    <w:rsid w:val="1EC7534C"/>
    <w:rsid w:val="1ECD7160"/>
    <w:rsid w:val="1ED34F83"/>
    <w:rsid w:val="1ED4353F"/>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665891"/>
    <w:rsid w:val="208241B4"/>
    <w:rsid w:val="208F5999"/>
    <w:rsid w:val="20B05494"/>
    <w:rsid w:val="20BD4F1E"/>
    <w:rsid w:val="20D109C9"/>
    <w:rsid w:val="20EE5770"/>
    <w:rsid w:val="2107261C"/>
    <w:rsid w:val="21147FEE"/>
    <w:rsid w:val="21154D5A"/>
    <w:rsid w:val="2132760F"/>
    <w:rsid w:val="213F7E47"/>
    <w:rsid w:val="21592FEC"/>
    <w:rsid w:val="215B2DFE"/>
    <w:rsid w:val="215C5CD9"/>
    <w:rsid w:val="215E3FAB"/>
    <w:rsid w:val="215F2E6D"/>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F4708"/>
    <w:rsid w:val="23C16A9A"/>
    <w:rsid w:val="23C465C3"/>
    <w:rsid w:val="23E66003"/>
    <w:rsid w:val="23F80076"/>
    <w:rsid w:val="23FE2FB7"/>
    <w:rsid w:val="23FE3AF7"/>
    <w:rsid w:val="241B7142"/>
    <w:rsid w:val="24452007"/>
    <w:rsid w:val="244802C7"/>
    <w:rsid w:val="244C0B39"/>
    <w:rsid w:val="245A32E7"/>
    <w:rsid w:val="24635935"/>
    <w:rsid w:val="24660E6A"/>
    <w:rsid w:val="24665559"/>
    <w:rsid w:val="24691825"/>
    <w:rsid w:val="248E0BEE"/>
    <w:rsid w:val="249222CA"/>
    <w:rsid w:val="24B056E4"/>
    <w:rsid w:val="24CC572F"/>
    <w:rsid w:val="24CF65FC"/>
    <w:rsid w:val="24D258A5"/>
    <w:rsid w:val="24DA6A74"/>
    <w:rsid w:val="24DB4BCD"/>
    <w:rsid w:val="24F602A0"/>
    <w:rsid w:val="250025A0"/>
    <w:rsid w:val="25296C9F"/>
    <w:rsid w:val="25401D76"/>
    <w:rsid w:val="2544236B"/>
    <w:rsid w:val="25453733"/>
    <w:rsid w:val="256C3562"/>
    <w:rsid w:val="257F6C45"/>
    <w:rsid w:val="258C736F"/>
    <w:rsid w:val="25977271"/>
    <w:rsid w:val="259B2D68"/>
    <w:rsid w:val="259E7D45"/>
    <w:rsid w:val="25A6077B"/>
    <w:rsid w:val="25A941CC"/>
    <w:rsid w:val="25A97E1E"/>
    <w:rsid w:val="25B40CD0"/>
    <w:rsid w:val="25BF4424"/>
    <w:rsid w:val="25C17AFA"/>
    <w:rsid w:val="25C251DB"/>
    <w:rsid w:val="25E00E0C"/>
    <w:rsid w:val="25EF379B"/>
    <w:rsid w:val="260C11C1"/>
    <w:rsid w:val="261049C1"/>
    <w:rsid w:val="261E645E"/>
    <w:rsid w:val="26383109"/>
    <w:rsid w:val="2641214D"/>
    <w:rsid w:val="26597FFC"/>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F673E"/>
    <w:rsid w:val="28644CCA"/>
    <w:rsid w:val="28687E65"/>
    <w:rsid w:val="28732D83"/>
    <w:rsid w:val="288F6949"/>
    <w:rsid w:val="28911AF2"/>
    <w:rsid w:val="289151CA"/>
    <w:rsid w:val="28A10C81"/>
    <w:rsid w:val="28A2680F"/>
    <w:rsid w:val="28DF17A9"/>
    <w:rsid w:val="28EB31BC"/>
    <w:rsid w:val="28EB583C"/>
    <w:rsid w:val="28EC2844"/>
    <w:rsid w:val="28F402DA"/>
    <w:rsid w:val="28FC78BE"/>
    <w:rsid w:val="29000A40"/>
    <w:rsid w:val="290F29AF"/>
    <w:rsid w:val="292D0766"/>
    <w:rsid w:val="293634F4"/>
    <w:rsid w:val="29600B3C"/>
    <w:rsid w:val="29606D8E"/>
    <w:rsid w:val="29671ECA"/>
    <w:rsid w:val="29770361"/>
    <w:rsid w:val="2985201E"/>
    <w:rsid w:val="29C55899"/>
    <w:rsid w:val="29D3130E"/>
    <w:rsid w:val="29F2147C"/>
    <w:rsid w:val="2A0C4A40"/>
    <w:rsid w:val="2A0D3DED"/>
    <w:rsid w:val="2A10431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3447BE"/>
    <w:rsid w:val="2C3C07B5"/>
    <w:rsid w:val="2C3D3C75"/>
    <w:rsid w:val="2C4B420E"/>
    <w:rsid w:val="2C56006A"/>
    <w:rsid w:val="2C5F50DB"/>
    <w:rsid w:val="2C660165"/>
    <w:rsid w:val="2C6619D7"/>
    <w:rsid w:val="2C6A0BA3"/>
    <w:rsid w:val="2C6E17C2"/>
    <w:rsid w:val="2C745C43"/>
    <w:rsid w:val="2C8A76F4"/>
    <w:rsid w:val="2C931BC6"/>
    <w:rsid w:val="2CA45E14"/>
    <w:rsid w:val="2CB43679"/>
    <w:rsid w:val="2CB62CA6"/>
    <w:rsid w:val="2CD40261"/>
    <w:rsid w:val="2CEE34EF"/>
    <w:rsid w:val="2CF605F7"/>
    <w:rsid w:val="2D016FE9"/>
    <w:rsid w:val="2D14362B"/>
    <w:rsid w:val="2D2E304F"/>
    <w:rsid w:val="2D3C07FE"/>
    <w:rsid w:val="2D551A36"/>
    <w:rsid w:val="2D5756FC"/>
    <w:rsid w:val="2D5D5591"/>
    <w:rsid w:val="2D74743A"/>
    <w:rsid w:val="2D7C11D4"/>
    <w:rsid w:val="2D7F4766"/>
    <w:rsid w:val="2D8D3A62"/>
    <w:rsid w:val="2DAF3E40"/>
    <w:rsid w:val="2DBE7F60"/>
    <w:rsid w:val="2DF22E0E"/>
    <w:rsid w:val="2DF6381D"/>
    <w:rsid w:val="2DF6788C"/>
    <w:rsid w:val="2E0D1588"/>
    <w:rsid w:val="2E3944B7"/>
    <w:rsid w:val="2E4749F8"/>
    <w:rsid w:val="2E4C1B78"/>
    <w:rsid w:val="2E73313B"/>
    <w:rsid w:val="2E866E5E"/>
    <w:rsid w:val="2E9077CD"/>
    <w:rsid w:val="2EA916B2"/>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D19D9"/>
    <w:rsid w:val="2F7E2877"/>
    <w:rsid w:val="2F8567D8"/>
    <w:rsid w:val="2F8B5040"/>
    <w:rsid w:val="2F9107C4"/>
    <w:rsid w:val="2F961B57"/>
    <w:rsid w:val="2FA0209F"/>
    <w:rsid w:val="2FDC6A42"/>
    <w:rsid w:val="2FE65B09"/>
    <w:rsid w:val="2FFF53A8"/>
    <w:rsid w:val="30047098"/>
    <w:rsid w:val="30077F63"/>
    <w:rsid w:val="30115CE5"/>
    <w:rsid w:val="30135C1F"/>
    <w:rsid w:val="30191760"/>
    <w:rsid w:val="3028092A"/>
    <w:rsid w:val="302F54E7"/>
    <w:rsid w:val="304863A9"/>
    <w:rsid w:val="30726790"/>
    <w:rsid w:val="30801AC4"/>
    <w:rsid w:val="30823D65"/>
    <w:rsid w:val="30831C53"/>
    <w:rsid w:val="308E438B"/>
    <w:rsid w:val="30A43A04"/>
    <w:rsid w:val="30C87FB8"/>
    <w:rsid w:val="30CB1DAF"/>
    <w:rsid w:val="30E90E2B"/>
    <w:rsid w:val="30ED02EA"/>
    <w:rsid w:val="30FF267A"/>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2170EE1"/>
    <w:rsid w:val="323531D1"/>
    <w:rsid w:val="325066A8"/>
    <w:rsid w:val="32563FE3"/>
    <w:rsid w:val="325D3410"/>
    <w:rsid w:val="3260226B"/>
    <w:rsid w:val="327652E9"/>
    <w:rsid w:val="327A5FF1"/>
    <w:rsid w:val="32A55CC0"/>
    <w:rsid w:val="32A937D2"/>
    <w:rsid w:val="32C95971"/>
    <w:rsid w:val="32CF5928"/>
    <w:rsid w:val="32E41009"/>
    <w:rsid w:val="32E9078F"/>
    <w:rsid w:val="32ED34FF"/>
    <w:rsid w:val="330856D0"/>
    <w:rsid w:val="33316646"/>
    <w:rsid w:val="333A06E2"/>
    <w:rsid w:val="33462B8C"/>
    <w:rsid w:val="33491C13"/>
    <w:rsid w:val="335E45B2"/>
    <w:rsid w:val="33680D19"/>
    <w:rsid w:val="33691E57"/>
    <w:rsid w:val="336E025D"/>
    <w:rsid w:val="33735D99"/>
    <w:rsid w:val="33736E76"/>
    <w:rsid w:val="337570A4"/>
    <w:rsid w:val="33833CFC"/>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AF7CC9"/>
    <w:rsid w:val="34B14942"/>
    <w:rsid w:val="34E526B4"/>
    <w:rsid w:val="34F03DC0"/>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04BC"/>
    <w:rsid w:val="35E06512"/>
    <w:rsid w:val="35E33F92"/>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D848CF"/>
    <w:rsid w:val="37DA41AF"/>
    <w:rsid w:val="37DB157C"/>
    <w:rsid w:val="37DB3C7D"/>
    <w:rsid w:val="37EE7D30"/>
    <w:rsid w:val="37F62976"/>
    <w:rsid w:val="37F77F19"/>
    <w:rsid w:val="38042FDA"/>
    <w:rsid w:val="381C3F20"/>
    <w:rsid w:val="3822692C"/>
    <w:rsid w:val="38343F2A"/>
    <w:rsid w:val="38490F9C"/>
    <w:rsid w:val="384C1631"/>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7B4E62"/>
    <w:rsid w:val="39972B1A"/>
    <w:rsid w:val="399A1410"/>
    <w:rsid w:val="39C47D94"/>
    <w:rsid w:val="39CD1539"/>
    <w:rsid w:val="39CD5D32"/>
    <w:rsid w:val="39D0322E"/>
    <w:rsid w:val="39DA1DFA"/>
    <w:rsid w:val="39DC71EB"/>
    <w:rsid w:val="39DD5D2E"/>
    <w:rsid w:val="39E01A69"/>
    <w:rsid w:val="3A045F91"/>
    <w:rsid w:val="3A076679"/>
    <w:rsid w:val="3A0A0953"/>
    <w:rsid w:val="3A211C22"/>
    <w:rsid w:val="3A2C4127"/>
    <w:rsid w:val="3A4F0AA8"/>
    <w:rsid w:val="3A543DA5"/>
    <w:rsid w:val="3A5576B6"/>
    <w:rsid w:val="3A682780"/>
    <w:rsid w:val="3A697EB7"/>
    <w:rsid w:val="3A7F0311"/>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F15E2"/>
    <w:rsid w:val="3B8536A6"/>
    <w:rsid w:val="3B9F0C51"/>
    <w:rsid w:val="3BA00572"/>
    <w:rsid w:val="3BB1021B"/>
    <w:rsid w:val="3BE15B0C"/>
    <w:rsid w:val="3BE64EF0"/>
    <w:rsid w:val="3BF72A83"/>
    <w:rsid w:val="3C135790"/>
    <w:rsid w:val="3C1752F7"/>
    <w:rsid w:val="3C193171"/>
    <w:rsid w:val="3C1E3214"/>
    <w:rsid w:val="3C2528C6"/>
    <w:rsid w:val="3C371BD0"/>
    <w:rsid w:val="3C4F1FEA"/>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7E96"/>
    <w:rsid w:val="3DE26317"/>
    <w:rsid w:val="3DEB1B40"/>
    <w:rsid w:val="3DFC4E7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F024C1A"/>
    <w:rsid w:val="3F0D0FA0"/>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E3A67"/>
    <w:rsid w:val="41C95125"/>
    <w:rsid w:val="41EA02ED"/>
    <w:rsid w:val="42075BA1"/>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81712B"/>
    <w:rsid w:val="44901E7E"/>
    <w:rsid w:val="449F54A7"/>
    <w:rsid w:val="44A1052F"/>
    <w:rsid w:val="44C93406"/>
    <w:rsid w:val="44D74994"/>
    <w:rsid w:val="44DD0E3B"/>
    <w:rsid w:val="44E67CEF"/>
    <w:rsid w:val="44F62875"/>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A688F"/>
    <w:rsid w:val="45FD7B3D"/>
    <w:rsid w:val="460A10C2"/>
    <w:rsid w:val="46220C85"/>
    <w:rsid w:val="46230254"/>
    <w:rsid w:val="46244F73"/>
    <w:rsid w:val="46287B26"/>
    <w:rsid w:val="462A00B0"/>
    <w:rsid w:val="462D24EF"/>
    <w:rsid w:val="46427F4E"/>
    <w:rsid w:val="46534E0B"/>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80CE7"/>
    <w:rsid w:val="49096FCD"/>
    <w:rsid w:val="491D7C08"/>
    <w:rsid w:val="494625B6"/>
    <w:rsid w:val="49507E2D"/>
    <w:rsid w:val="49512BB1"/>
    <w:rsid w:val="495E0009"/>
    <w:rsid w:val="49641F5D"/>
    <w:rsid w:val="49666B6B"/>
    <w:rsid w:val="496C26B3"/>
    <w:rsid w:val="496F2CCC"/>
    <w:rsid w:val="498F64FC"/>
    <w:rsid w:val="49AD1724"/>
    <w:rsid w:val="49BE7E39"/>
    <w:rsid w:val="49C40005"/>
    <w:rsid w:val="49C65419"/>
    <w:rsid w:val="49D04BAB"/>
    <w:rsid w:val="49EA0282"/>
    <w:rsid w:val="49EA17C4"/>
    <w:rsid w:val="49EF440A"/>
    <w:rsid w:val="4A1A2F1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6D3DA8"/>
    <w:rsid w:val="4C727CFA"/>
    <w:rsid w:val="4C88081B"/>
    <w:rsid w:val="4C8872A2"/>
    <w:rsid w:val="4C9C19F3"/>
    <w:rsid w:val="4CA47183"/>
    <w:rsid w:val="4CB7606E"/>
    <w:rsid w:val="4CB91CB1"/>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679DB"/>
    <w:rsid w:val="4DE61D12"/>
    <w:rsid w:val="4DF1146E"/>
    <w:rsid w:val="4DF82017"/>
    <w:rsid w:val="4E0E661C"/>
    <w:rsid w:val="4E1E3790"/>
    <w:rsid w:val="4E2E44B5"/>
    <w:rsid w:val="4E4C57ED"/>
    <w:rsid w:val="4E5505A6"/>
    <w:rsid w:val="4E7B0CB2"/>
    <w:rsid w:val="4E820BD8"/>
    <w:rsid w:val="4E8D729C"/>
    <w:rsid w:val="4E8E1C0C"/>
    <w:rsid w:val="4E9609D8"/>
    <w:rsid w:val="4E98004C"/>
    <w:rsid w:val="4EA5208F"/>
    <w:rsid w:val="4EAE617F"/>
    <w:rsid w:val="4EBD702F"/>
    <w:rsid w:val="4EC310A1"/>
    <w:rsid w:val="4EC818B0"/>
    <w:rsid w:val="4ECB59F9"/>
    <w:rsid w:val="4ECE1CAC"/>
    <w:rsid w:val="4EE414BB"/>
    <w:rsid w:val="4EE87B84"/>
    <w:rsid w:val="4EFF65C5"/>
    <w:rsid w:val="4F0052D1"/>
    <w:rsid w:val="4F014784"/>
    <w:rsid w:val="4F0431E6"/>
    <w:rsid w:val="4F1B712F"/>
    <w:rsid w:val="4F1C605F"/>
    <w:rsid w:val="4F254824"/>
    <w:rsid w:val="4F2658BE"/>
    <w:rsid w:val="4F4736A7"/>
    <w:rsid w:val="4F7914EF"/>
    <w:rsid w:val="4F9174FD"/>
    <w:rsid w:val="4F9402D2"/>
    <w:rsid w:val="4F9A6D4E"/>
    <w:rsid w:val="4FB10142"/>
    <w:rsid w:val="4FB82BD0"/>
    <w:rsid w:val="4FC643B6"/>
    <w:rsid w:val="4FD1578E"/>
    <w:rsid w:val="4FE10E76"/>
    <w:rsid w:val="4FEE2189"/>
    <w:rsid w:val="4FF71C3D"/>
    <w:rsid w:val="50016856"/>
    <w:rsid w:val="5008518B"/>
    <w:rsid w:val="500B32A2"/>
    <w:rsid w:val="502B6647"/>
    <w:rsid w:val="502B6EFE"/>
    <w:rsid w:val="50324E90"/>
    <w:rsid w:val="504C1B11"/>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C05FF6"/>
    <w:rsid w:val="51D135DE"/>
    <w:rsid w:val="51DF4444"/>
    <w:rsid w:val="51F65295"/>
    <w:rsid w:val="51F872B4"/>
    <w:rsid w:val="51FD3DB6"/>
    <w:rsid w:val="52097713"/>
    <w:rsid w:val="520C3BB6"/>
    <w:rsid w:val="52252174"/>
    <w:rsid w:val="52295AE6"/>
    <w:rsid w:val="522D0E7F"/>
    <w:rsid w:val="523E4D62"/>
    <w:rsid w:val="5243507E"/>
    <w:rsid w:val="525402A0"/>
    <w:rsid w:val="52554706"/>
    <w:rsid w:val="525F5585"/>
    <w:rsid w:val="527D469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ED4967"/>
    <w:rsid w:val="55F350C4"/>
    <w:rsid w:val="561019A5"/>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7016033"/>
    <w:rsid w:val="5707525A"/>
    <w:rsid w:val="570847EE"/>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9125866"/>
    <w:rsid w:val="5915352F"/>
    <w:rsid w:val="591B0458"/>
    <w:rsid w:val="59232E69"/>
    <w:rsid w:val="59304651"/>
    <w:rsid w:val="593E2965"/>
    <w:rsid w:val="594856C1"/>
    <w:rsid w:val="59486EBB"/>
    <w:rsid w:val="59493AFE"/>
    <w:rsid w:val="594968EC"/>
    <w:rsid w:val="594C38F9"/>
    <w:rsid w:val="594C4A1E"/>
    <w:rsid w:val="59567838"/>
    <w:rsid w:val="595E16C1"/>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873ECB"/>
    <w:rsid w:val="5A934A0F"/>
    <w:rsid w:val="5A957C98"/>
    <w:rsid w:val="5A9E6D6F"/>
    <w:rsid w:val="5AAC50E0"/>
    <w:rsid w:val="5AAD60EA"/>
    <w:rsid w:val="5AB61DE0"/>
    <w:rsid w:val="5ACB527F"/>
    <w:rsid w:val="5AD7761B"/>
    <w:rsid w:val="5B072DB6"/>
    <w:rsid w:val="5B19492B"/>
    <w:rsid w:val="5B233465"/>
    <w:rsid w:val="5B506B61"/>
    <w:rsid w:val="5B557DDB"/>
    <w:rsid w:val="5B5F0F2E"/>
    <w:rsid w:val="5B667984"/>
    <w:rsid w:val="5B6B796C"/>
    <w:rsid w:val="5B7C0F56"/>
    <w:rsid w:val="5B9808C1"/>
    <w:rsid w:val="5BB10CB2"/>
    <w:rsid w:val="5BC16A09"/>
    <w:rsid w:val="5C012CC6"/>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96565"/>
    <w:rsid w:val="5D6F2EDA"/>
    <w:rsid w:val="5D783847"/>
    <w:rsid w:val="5D83037A"/>
    <w:rsid w:val="5D885121"/>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3F3871"/>
    <w:rsid w:val="5E40706E"/>
    <w:rsid w:val="5E4C1080"/>
    <w:rsid w:val="5E4E1C8A"/>
    <w:rsid w:val="5E5D7A78"/>
    <w:rsid w:val="5E7833A1"/>
    <w:rsid w:val="5E8274BA"/>
    <w:rsid w:val="5EA06D09"/>
    <w:rsid w:val="5EA53C9A"/>
    <w:rsid w:val="5EB822A5"/>
    <w:rsid w:val="5EBC7F37"/>
    <w:rsid w:val="5ECE7D1A"/>
    <w:rsid w:val="5ED36C86"/>
    <w:rsid w:val="5EDA60B0"/>
    <w:rsid w:val="5EDE0F33"/>
    <w:rsid w:val="5EE35A57"/>
    <w:rsid w:val="5F1645A7"/>
    <w:rsid w:val="5F6A54DD"/>
    <w:rsid w:val="5F815969"/>
    <w:rsid w:val="5F8B4FA7"/>
    <w:rsid w:val="5F9B72D1"/>
    <w:rsid w:val="5FAB0A44"/>
    <w:rsid w:val="5FB17C29"/>
    <w:rsid w:val="5FB34738"/>
    <w:rsid w:val="5FB95E1C"/>
    <w:rsid w:val="5FC85F82"/>
    <w:rsid w:val="5FCB3FE5"/>
    <w:rsid w:val="5FD8170F"/>
    <w:rsid w:val="5FDC5EDE"/>
    <w:rsid w:val="5FEB2206"/>
    <w:rsid w:val="5FED772C"/>
    <w:rsid w:val="5FF97EAE"/>
    <w:rsid w:val="60155C27"/>
    <w:rsid w:val="60162D11"/>
    <w:rsid w:val="601A6070"/>
    <w:rsid w:val="60226F8B"/>
    <w:rsid w:val="603B4F3C"/>
    <w:rsid w:val="60477ABF"/>
    <w:rsid w:val="604B06AE"/>
    <w:rsid w:val="60526566"/>
    <w:rsid w:val="607F756F"/>
    <w:rsid w:val="60917251"/>
    <w:rsid w:val="60982996"/>
    <w:rsid w:val="60C53D01"/>
    <w:rsid w:val="60C9018D"/>
    <w:rsid w:val="61012C93"/>
    <w:rsid w:val="61053FC5"/>
    <w:rsid w:val="610C088E"/>
    <w:rsid w:val="614A03E6"/>
    <w:rsid w:val="61531A50"/>
    <w:rsid w:val="61532201"/>
    <w:rsid w:val="61651210"/>
    <w:rsid w:val="61666018"/>
    <w:rsid w:val="616B46BB"/>
    <w:rsid w:val="616E5EB6"/>
    <w:rsid w:val="617526CF"/>
    <w:rsid w:val="618560EB"/>
    <w:rsid w:val="618E3791"/>
    <w:rsid w:val="619B5D77"/>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922E0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43871"/>
    <w:rsid w:val="651B533C"/>
    <w:rsid w:val="651E27DC"/>
    <w:rsid w:val="65206DF6"/>
    <w:rsid w:val="65291D8F"/>
    <w:rsid w:val="65570D94"/>
    <w:rsid w:val="655774EE"/>
    <w:rsid w:val="65795592"/>
    <w:rsid w:val="65A10F4D"/>
    <w:rsid w:val="65A93335"/>
    <w:rsid w:val="65BC5BDE"/>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4179"/>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9D31F9"/>
    <w:rsid w:val="679D3BF4"/>
    <w:rsid w:val="679D472E"/>
    <w:rsid w:val="67A41618"/>
    <w:rsid w:val="67AE4749"/>
    <w:rsid w:val="67C56A11"/>
    <w:rsid w:val="67DC3A63"/>
    <w:rsid w:val="67E071EA"/>
    <w:rsid w:val="67FC4971"/>
    <w:rsid w:val="68221BAF"/>
    <w:rsid w:val="682D62D9"/>
    <w:rsid w:val="685143BC"/>
    <w:rsid w:val="68542A0A"/>
    <w:rsid w:val="68555296"/>
    <w:rsid w:val="686C1E80"/>
    <w:rsid w:val="689079C3"/>
    <w:rsid w:val="689A2A1B"/>
    <w:rsid w:val="68D46A71"/>
    <w:rsid w:val="68D56910"/>
    <w:rsid w:val="68EF70C5"/>
    <w:rsid w:val="68F22D9F"/>
    <w:rsid w:val="69162C86"/>
    <w:rsid w:val="69180AD7"/>
    <w:rsid w:val="69214083"/>
    <w:rsid w:val="69456B9A"/>
    <w:rsid w:val="69481344"/>
    <w:rsid w:val="695700E3"/>
    <w:rsid w:val="697C3CC5"/>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6908F7"/>
    <w:rsid w:val="6A722F0B"/>
    <w:rsid w:val="6A7A4D5B"/>
    <w:rsid w:val="6A7E7518"/>
    <w:rsid w:val="6A825953"/>
    <w:rsid w:val="6A881C38"/>
    <w:rsid w:val="6A8A11E6"/>
    <w:rsid w:val="6A8B2F63"/>
    <w:rsid w:val="6A904811"/>
    <w:rsid w:val="6A9C6F1F"/>
    <w:rsid w:val="6AC034F3"/>
    <w:rsid w:val="6AC31AF5"/>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114575"/>
    <w:rsid w:val="6C3E2214"/>
    <w:rsid w:val="6C427652"/>
    <w:rsid w:val="6C4D48CD"/>
    <w:rsid w:val="6C8202CD"/>
    <w:rsid w:val="6C8639E2"/>
    <w:rsid w:val="6C961621"/>
    <w:rsid w:val="6C9D5038"/>
    <w:rsid w:val="6CBB7DE1"/>
    <w:rsid w:val="6CC445CB"/>
    <w:rsid w:val="6CCE0EE6"/>
    <w:rsid w:val="6CD042ED"/>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A5203F"/>
    <w:rsid w:val="6DA610B2"/>
    <w:rsid w:val="6DBD67AE"/>
    <w:rsid w:val="6DCF3167"/>
    <w:rsid w:val="6DD54C21"/>
    <w:rsid w:val="6DF453C2"/>
    <w:rsid w:val="6DFC1EB9"/>
    <w:rsid w:val="6E25722B"/>
    <w:rsid w:val="6E3363CE"/>
    <w:rsid w:val="6E3C316F"/>
    <w:rsid w:val="6E453429"/>
    <w:rsid w:val="6E456275"/>
    <w:rsid w:val="6E4E36BD"/>
    <w:rsid w:val="6E6127F4"/>
    <w:rsid w:val="6E631ECC"/>
    <w:rsid w:val="6E860D5E"/>
    <w:rsid w:val="6E880670"/>
    <w:rsid w:val="6E9028F6"/>
    <w:rsid w:val="6EB7522E"/>
    <w:rsid w:val="6EC002E5"/>
    <w:rsid w:val="6EC64ECD"/>
    <w:rsid w:val="6EC71F62"/>
    <w:rsid w:val="6ECD2CED"/>
    <w:rsid w:val="6EE1422E"/>
    <w:rsid w:val="6EE449F0"/>
    <w:rsid w:val="6EF14DB2"/>
    <w:rsid w:val="6EFA06B8"/>
    <w:rsid w:val="6F046E40"/>
    <w:rsid w:val="6F1743AC"/>
    <w:rsid w:val="6F3E2352"/>
    <w:rsid w:val="6F46088C"/>
    <w:rsid w:val="6F4656AB"/>
    <w:rsid w:val="6F5C1867"/>
    <w:rsid w:val="6F5C3F48"/>
    <w:rsid w:val="6F61462B"/>
    <w:rsid w:val="6F6D6714"/>
    <w:rsid w:val="6F8561D3"/>
    <w:rsid w:val="6F926B42"/>
    <w:rsid w:val="6F9C2017"/>
    <w:rsid w:val="6FB37BE5"/>
    <w:rsid w:val="6FC2450B"/>
    <w:rsid w:val="6FC7059A"/>
    <w:rsid w:val="6FCA64CD"/>
    <w:rsid w:val="6FE112C4"/>
    <w:rsid w:val="6FF069FB"/>
    <w:rsid w:val="6FF36A80"/>
    <w:rsid w:val="6FFB0619"/>
    <w:rsid w:val="6FFD7D02"/>
    <w:rsid w:val="70020E6A"/>
    <w:rsid w:val="701904DB"/>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C16C93"/>
    <w:rsid w:val="72D66A82"/>
    <w:rsid w:val="72D67597"/>
    <w:rsid w:val="72E43D31"/>
    <w:rsid w:val="72EF16DE"/>
    <w:rsid w:val="72FF6E9B"/>
    <w:rsid w:val="73027148"/>
    <w:rsid w:val="7305147C"/>
    <w:rsid w:val="731A30F8"/>
    <w:rsid w:val="733A7EE8"/>
    <w:rsid w:val="734D11ED"/>
    <w:rsid w:val="735A55D3"/>
    <w:rsid w:val="73621B80"/>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41378E4"/>
    <w:rsid w:val="74213FF1"/>
    <w:rsid w:val="743138C9"/>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F273DA"/>
    <w:rsid w:val="74F600B5"/>
    <w:rsid w:val="750C6A4F"/>
    <w:rsid w:val="75102AF5"/>
    <w:rsid w:val="751C1B98"/>
    <w:rsid w:val="752E2E69"/>
    <w:rsid w:val="753F1C14"/>
    <w:rsid w:val="75404D65"/>
    <w:rsid w:val="75410DEE"/>
    <w:rsid w:val="754B45FC"/>
    <w:rsid w:val="754C4FE3"/>
    <w:rsid w:val="75780005"/>
    <w:rsid w:val="75846F2D"/>
    <w:rsid w:val="758E56B6"/>
    <w:rsid w:val="759D26FD"/>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B5097"/>
    <w:rsid w:val="777E55F4"/>
    <w:rsid w:val="777F79AC"/>
    <w:rsid w:val="77820DEB"/>
    <w:rsid w:val="7792671F"/>
    <w:rsid w:val="7797445D"/>
    <w:rsid w:val="77986D62"/>
    <w:rsid w:val="77A015C8"/>
    <w:rsid w:val="77A92E90"/>
    <w:rsid w:val="77B650A0"/>
    <w:rsid w:val="77BB5477"/>
    <w:rsid w:val="77CE048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B20233"/>
    <w:rsid w:val="78D12FAA"/>
    <w:rsid w:val="78D855C6"/>
    <w:rsid w:val="78FC0536"/>
    <w:rsid w:val="78FE7954"/>
    <w:rsid w:val="79315979"/>
    <w:rsid w:val="79424F4F"/>
    <w:rsid w:val="795831E5"/>
    <w:rsid w:val="796E7E54"/>
    <w:rsid w:val="79756315"/>
    <w:rsid w:val="79765CDA"/>
    <w:rsid w:val="798B6ADC"/>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15C44"/>
    <w:rsid w:val="7BAB0D70"/>
    <w:rsid w:val="7BBC11CF"/>
    <w:rsid w:val="7BBF79A8"/>
    <w:rsid w:val="7BC24F1F"/>
    <w:rsid w:val="7BE129E3"/>
    <w:rsid w:val="7BE23EB3"/>
    <w:rsid w:val="7BE91898"/>
    <w:rsid w:val="7BF72207"/>
    <w:rsid w:val="7C101909"/>
    <w:rsid w:val="7C161B08"/>
    <w:rsid w:val="7C3A2FA7"/>
    <w:rsid w:val="7C541407"/>
    <w:rsid w:val="7C5840BF"/>
    <w:rsid w:val="7C6D071B"/>
    <w:rsid w:val="7C84107F"/>
    <w:rsid w:val="7C9909ED"/>
    <w:rsid w:val="7C9C2291"/>
    <w:rsid w:val="7CA46921"/>
    <w:rsid w:val="7CA56991"/>
    <w:rsid w:val="7CA71E0B"/>
    <w:rsid w:val="7CB85E09"/>
    <w:rsid w:val="7CFE3A42"/>
    <w:rsid w:val="7CFF1519"/>
    <w:rsid w:val="7D013878"/>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D32800"/>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CF7C45"/>
    <w:rsid w:val="7ED82860"/>
    <w:rsid w:val="7EF45DB1"/>
    <w:rsid w:val="7EFD2358"/>
    <w:rsid w:val="7EFF5324"/>
    <w:rsid w:val="7F03165A"/>
    <w:rsid w:val="7F077A20"/>
    <w:rsid w:val="7F077BC2"/>
    <w:rsid w:val="7F09267A"/>
    <w:rsid w:val="7F2B23E6"/>
    <w:rsid w:val="7F2B4123"/>
    <w:rsid w:val="7F3426C9"/>
    <w:rsid w:val="7F3E0944"/>
    <w:rsid w:val="7F3E5DC7"/>
    <w:rsid w:val="7F43784F"/>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120"/>
    <w:qFormat/>
    <w:uiPriority w:val="0"/>
    <w:pPr>
      <w:keepNext/>
      <w:keepLines/>
      <w:spacing w:line="440" w:lineRule="exact"/>
      <w:jc w:val="center"/>
      <w:outlineLvl w:val="0"/>
    </w:pPr>
    <w:rPr>
      <w:b/>
      <w:bCs/>
      <w:kern w:val="44"/>
      <w:sz w:val="44"/>
      <w:szCs w:val="44"/>
    </w:rPr>
  </w:style>
  <w:style w:type="paragraph" w:styleId="7">
    <w:name w:val="heading 2"/>
    <w:basedOn w:val="1"/>
    <w:next w:val="1"/>
    <w:link w:val="197"/>
    <w:qFormat/>
    <w:uiPriority w:val="0"/>
    <w:pPr>
      <w:keepNext/>
      <w:keepLines/>
      <w:spacing w:line="440" w:lineRule="exact"/>
      <w:jc w:val="left"/>
      <w:outlineLvl w:val="1"/>
    </w:pPr>
    <w:rPr>
      <w:rFonts w:ascii="Arial" w:hAnsi="Arial" w:eastAsia="黑体"/>
      <w:b/>
      <w:bCs/>
      <w:szCs w:val="32"/>
    </w:rPr>
  </w:style>
  <w:style w:type="paragraph" w:styleId="8">
    <w:name w:val="heading 3"/>
    <w:basedOn w:val="1"/>
    <w:next w:val="1"/>
    <w:link w:val="153"/>
    <w:qFormat/>
    <w:uiPriority w:val="0"/>
    <w:pPr>
      <w:keepNext/>
      <w:keepLines/>
      <w:spacing w:line="415" w:lineRule="auto"/>
      <w:outlineLvl w:val="2"/>
    </w:pPr>
    <w:rPr>
      <w:b/>
      <w:bCs/>
      <w:kern w:val="0"/>
      <w:sz w:val="32"/>
      <w:szCs w:val="32"/>
    </w:rPr>
  </w:style>
  <w:style w:type="paragraph" w:styleId="9">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10">
    <w:name w:val="heading 5"/>
    <w:basedOn w:val="1"/>
    <w:next w:val="1"/>
    <w:link w:val="129"/>
    <w:qFormat/>
    <w:uiPriority w:val="0"/>
    <w:pPr>
      <w:keepNext/>
      <w:keepLines/>
      <w:spacing w:line="376" w:lineRule="auto"/>
      <w:outlineLvl w:val="4"/>
    </w:pPr>
    <w:rPr>
      <w:b/>
      <w:bCs/>
      <w:sz w:val="28"/>
      <w:szCs w:val="28"/>
    </w:rPr>
  </w:style>
  <w:style w:type="paragraph" w:styleId="11">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2">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13">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4">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200" w:firstLineChars="200"/>
    </w:pPr>
    <w:rPr>
      <w:rFonts w:ascii="宋体"/>
      <w:szCs w:val="20"/>
    </w:rPr>
  </w:style>
  <w:style w:type="paragraph" w:styleId="3">
    <w:name w:val="Body Text Indent"/>
    <w:basedOn w:val="1"/>
    <w:next w:val="4"/>
    <w:qFormat/>
    <w:uiPriority w:val="0"/>
    <w:pPr>
      <w:ind w:left="420" w:leftChars="200"/>
    </w:pPr>
  </w:style>
  <w:style w:type="paragraph" w:styleId="4">
    <w:name w:val="envelope return"/>
    <w:basedOn w:val="1"/>
    <w:next w:val="5"/>
    <w:qFormat/>
    <w:uiPriority w:val="0"/>
    <w:pPr>
      <w:snapToGrid w:val="0"/>
    </w:pPr>
    <w:rPr>
      <w:rFonts w:ascii="Arial" w:hAnsi="Arial"/>
    </w:rPr>
  </w:style>
  <w:style w:type="paragraph" w:styleId="5">
    <w:name w:val="toc 7"/>
    <w:basedOn w:val="1"/>
    <w:next w:val="1"/>
    <w:qFormat/>
    <w:uiPriority w:val="39"/>
    <w:pPr>
      <w:ind w:left="1260"/>
      <w:jc w:val="left"/>
    </w:pPr>
    <w:rPr>
      <w:sz w:val="18"/>
      <w:szCs w:val="18"/>
    </w:rPr>
  </w:style>
  <w:style w:type="paragraph" w:styleId="15">
    <w:name w:val="table of authorities"/>
    <w:basedOn w:val="1"/>
    <w:next w:val="1"/>
    <w:unhideWhenUsed/>
    <w:qFormat/>
    <w:uiPriority w:val="0"/>
    <w:pPr>
      <w:ind w:left="420" w:leftChars="200"/>
    </w:pPr>
  </w:style>
  <w:style w:type="paragraph" w:styleId="16">
    <w:name w:val="Normal Indent"/>
    <w:basedOn w:val="1"/>
    <w:next w:val="2"/>
    <w:qFormat/>
    <w:uiPriority w:val="0"/>
    <w:pPr>
      <w:ind w:firstLine="420" w:firstLineChars="200"/>
    </w:pPr>
  </w:style>
  <w:style w:type="paragraph" w:styleId="17">
    <w:name w:val="Document Map"/>
    <w:basedOn w:val="1"/>
    <w:qFormat/>
    <w:uiPriority w:val="0"/>
    <w:pPr>
      <w:shd w:val="clear" w:color="auto" w:fill="000080"/>
    </w:pPr>
  </w:style>
  <w:style w:type="paragraph" w:styleId="18">
    <w:name w:val="annotation text"/>
    <w:basedOn w:val="1"/>
    <w:link w:val="112"/>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1"/>
    <w:link w:val="142"/>
    <w:qFormat/>
    <w:uiPriority w:val="0"/>
  </w:style>
  <w:style w:type="paragraph" w:styleId="21">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22">
    <w:name w:val="toc 5"/>
    <w:basedOn w:val="1"/>
    <w:next w:val="1"/>
    <w:qFormat/>
    <w:uiPriority w:val="39"/>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next w:val="1"/>
    <w:link w:val="136"/>
    <w:qFormat/>
    <w:uiPriority w:val="0"/>
    <w:rPr>
      <w:rFonts w:ascii="Courier New" w:hAnsi="Courier New"/>
      <w:szCs w:val="20"/>
    </w:rPr>
  </w:style>
  <w:style w:type="paragraph" w:styleId="25">
    <w:name w:val="toc 8"/>
    <w:basedOn w:val="1"/>
    <w:next w:val="1"/>
    <w:qFormat/>
    <w:uiPriority w:val="39"/>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line="360" w:lineRule="exact"/>
      <w:ind w:firstLine="600" w:firstLineChars="250"/>
      <w:jc w:val="left"/>
    </w:pPr>
    <w:rPr>
      <w:sz w:val="24"/>
    </w:r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jc w:val="left"/>
    </w:pPr>
    <w:rPr>
      <w:b/>
      <w:bCs/>
      <w:caps/>
      <w:sz w:val="20"/>
      <w:szCs w:val="20"/>
    </w:rPr>
  </w:style>
  <w:style w:type="paragraph" w:styleId="32">
    <w:name w:val="toc 4"/>
    <w:basedOn w:val="1"/>
    <w:next w:val="1"/>
    <w:qFormat/>
    <w:uiPriority w:val="39"/>
    <w:pPr>
      <w:ind w:left="630"/>
      <w:jc w:val="left"/>
    </w:pPr>
    <w:rPr>
      <w:sz w:val="18"/>
      <w:szCs w:val="18"/>
    </w:rPr>
  </w:style>
  <w:style w:type="paragraph" w:styleId="33">
    <w:name w:val="List"/>
    <w:basedOn w:val="1"/>
    <w:qFormat/>
    <w:uiPriority w:val="0"/>
    <w:pPr>
      <w:ind w:left="420" w:hanging="420"/>
    </w:pPr>
  </w:style>
  <w:style w:type="paragraph" w:styleId="34">
    <w:name w:val="footnote text"/>
    <w:basedOn w:val="1"/>
    <w:qFormat/>
    <w:uiPriority w:val="0"/>
    <w:rPr>
      <w:sz w:val="20"/>
      <w:szCs w:val="20"/>
    </w:rPr>
  </w:style>
  <w:style w:type="paragraph" w:styleId="35">
    <w:name w:val="toc 6"/>
    <w:basedOn w:val="1"/>
    <w:next w:val="1"/>
    <w:qFormat/>
    <w:uiPriority w:val="39"/>
    <w:pPr>
      <w:ind w:left="1050"/>
      <w:jc w:val="left"/>
    </w:pPr>
    <w:rPr>
      <w:sz w:val="18"/>
      <w:szCs w:val="18"/>
    </w:rPr>
  </w:style>
  <w:style w:type="paragraph" w:styleId="36">
    <w:name w:val="Body Text Indent 3"/>
    <w:basedOn w:val="1"/>
    <w:qFormat/>
    <w:uiPriority w:val="0"/>
    <w:pPr>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39"/>
    <w:pPr>
      <w:ind w:left="210"/>
      <w:jc w:val="left"/>
    </w:pPr>
    <w:rPr>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qFormat/>
    <w:uiPriority w:val="0"/>
    <w:pPr>
      <w:spacing w:line="440" w:lineRule="exact"/>
    </w:pPr>
    <w:rPr>
      <w:sz w:val="28"/>
    </w:rPr>
  </w:style>
  <w:style w:type="paragraph" w:styleId="41">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next w:val="43"/>
    <w:qFormat/>
    <w:uiPriority w:val="99"/>
    <w:pPr>
      <w:widowControl/>
      <w:spacing w:beforeAutospacing="1" w:afterAutospacing="1"/>
      <w:jc w:val="left"/>
    </w:pPr>
    <w:rPr>
      <w:rFonts w:ascii="宋体" w:hAnsi="宋体" w:cs="宋体"/>
      <w:kern w:val="0"/>
      <w:sz w:val="24"/>
    </w:rPr>
  </w:style>
  <w:style w:type="paragraph" w:customStyle="1" w:styleId="43">
    <w:name w:val="正文文字 8"/>
    <w:basedOn w:val="1"/>
    <w:next w:val="1"/>
    <w:qFormat/>
    <w:uiPriority w:val="0"/>
    <w:pPr>
      <w:ind w:left="240"/>
    </w:pPr>
    <w:rPr>
      <w:sz w:val="16"/>
    </w:rPr>
  </w:style>
  <w:style w:type="paragraph" w:styleId="44">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8"/>
    <w:next w:val="18"/>
    <w:qFormat/>
    <w:uiPriority w:val="0"/>
    <w:rPr>
      <w:b/>
      <w:bCs/>
    </w:rPr>
  </w:style>
  <w:style w:type="paragraph" w:styleId="46">
    <w:name w:val="Body Text First Indent"/>
    <w:basedOn w:val="20"/>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333333"/>
      <w:u w:val="none"/>
    </w:rPr>
  </w:style>
  <w:style w:type="character" w:styleId="53">
    <w:name w:val="Emphasis"/>
    <w:qFormat/>
    <w:uiPriority w:val="0"/>
    <w:rPr>
      <w:color w:val="CC0033"/>
    </w:rPr>
  </w:style>
  <w:style w:type="character" w:styleId="54">
    <w:name w:val="HTML Definition"/>
    <w:qFormat/>
    <w:uiPriority w:val="0"/>
  </w:style>
  <w:style w:type="character" w:styleId="55">
    <w:name w:val="HTML Typewriter"/>
    <w:qFormat/>
    <w:uiPriority w:val="0"/>
    <w:rPr>
      <w:rFonts w:hint="default" w:ascii="monospace" w:hAnsi="monospace" w:eastAsia="monospace" w:cs="monospace"/>
      <w:sz w:val="20"/>
    </w:rPr>
  </w:style>
  <w:style w:type="character" w:styleId="56">
    <w:name w:val="HTML Acronym"/>
    <w:basedOn w:val="49"/>
    <w:qFormat/>
    <w:uiPriority w:val="0"/>
  </w:style>
  <w:style w:type="character" w:styleId="57">
    <w:name w:val="HTML Variable"/>
    <w:qFormat/>
    <w:uiPriority w:val="0"/>
  </w:style>
  <w:style w:type="character" w:styleId="58">
    <w:name w:val="Hyperlink"/>
    <w:basedOn w:val="49"/>
    <w:qFormat/>
    <w:uiPriority w:val="99"/>
    <w:rPr>
      <w:color w:val="333333"/>
      <w:u w:val="none"/>
    </w:rPr>
  </w:style>
  <w:style w:type="character" w:styleId="59">
    <w:name w:val="HTML Code"/>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qFormat/>
    <w:uiPriority w:val="0"/>
  </w:style>
  <w:style w:type="character" w:styleId="62">
    <w:name w:val="footnote reference"/>
    <w:qFormat/>
    <w:uiPriority w:val="0"/>
    <w:rPr>
      <w:vertAlign w:val="superscript"/>
    </w:rPr>
  </w:style>
  <w:style w:type="character" w:styleId="63">
    <w:name w:val="HTML Keyboard"/>
    <w:qFormat/>
    <w:uiPriority w:val="0"/>
    <w:rPr>
      <w:rFonts w:ascii="monospace" w:hAnsi="monospace" w:eastAsia="monospace" w:cs="monospace"/>
      <w:sz w:val="20"/>
    </w:rPr>
  </w:style>
  <w:style w:type="character" w:styleId="64">
    <w:name w:val="HTML Sample"/>
    <w:qFormat/>
    <w:uiPriority w:val="0"/>
    <w:rPr>
      <w:rFonts w:hint="default" w:ascii="monospace" w:hAnsi="monospace" w:eastAsia="monospace" w:cs="monospace"/>
    </w:rPr>
  </w:style>
  <w:style w:type="paragraph" w:styleId="65">
    <w:name w:val="List Paragraph"/>
    <w:basedOn w:val="1"/>
    <w:qFormat/>
    <w:uiPriority w:val="34"/>
    <w:pPr>
      <w:ind w:firstLine="420" w:firstLineChars="200"/>
    </w:pPr>
  </w:style>
  <w:style w:type="paragraph" w:customStyle="1" w:styleId="66">
    <w:name w:val="_Style 62"/>
    <w:basedOn w:val="1"/>
    <w:next w:val="1"/>
    <w:qFormat/>
    <w:uiPriority w:val="0"/>
    <w:pPr>
      <w:pBdr>
        <w:top w:val="single" w:color="auto" w:sz="6" w:space="1"/>
      </w:pBdr>
      <w:jc w:val="center"/>
    </w:pPr>
    <w:rPr>
      <w:rFonts w:ascii="Arial"/>
      <w:vanish/>
      <w:sz w:val="16"/>
    </w:rPr>
  </w:style>
  <w:style w:type="paragraph" w:customStyle="1" w:styleId="67">
    <w:name w:val="Blockquote"/>
    <w:basedOn w:val="1"/>
    <w:qFormat/>
    <w:uiPriority w:val="0"/>
    <w:pPr>
      <w:autoSpaceDE w:val="0"/>
      <w:autoSpaceDN w:val="0"/>
      <w:adjustRightInd w:val="0"/>
      <w:ind w:left="360" w:right="360"/>
      <w:jc w:val="left"/>
    </w:pPr>
    <w:rPr>
      <w:kern w:val="0"/>
      <w:sz w:val="24"/>
      <w:szCs w:val="20"/>
    </w:rPr>
  </w:style>
  <w:style w:type="paragraph" w:customStyle="1" w:styleId="68">
    <w:name w:val="表格"/>
    <w:basedOn w:val="1"/>
    <w:qFormat/>
    <w:uiPriority w:val="0"/>
    <w:pPr>
      <w:jc w:val="center"/>
      <w:textAlignment w:val="center"/>
    </w:pPr>
    <w:rPr>
      <w:rFonts w:ascii="华文细黑" w:hAnsi="华文细黑"/>
      <w:kern w:val="0"/>
      <w:szCs w:val="20"/>
    </w:rPr>
  </w:style>
  <w:style w:type="paragraph" w:customStyle="1" w:styleId="69">
    <w:name w:val="表格文字"/>
    <w:basedOn w:val="1"/>
    <w:qFormat/>
    <w:uiPriority w:val="0"/>
    <w:pPr>
      <w:adjustRightInd w:val="0"/>
      <w:spacing w:line="420" w:lineRule="atLeast"/>
      <w:jc w:val="left"/>
      <w:textAlignment w:val="baseline"/>
    </w:pPr>
    <w:rPr>
      <w:kern w:val="0"/>
      <w:szCs w:val="20"/>
    </w:rPr>
  </w:style>
  <w:style w:type="paragraph" w:customStyle="1" w:styleId="70">
    <w:name w:val="Char"/>
    <w:basedOn w:val="1"/>
    <w:next w:val="1"/>
    <w:qFormat/>
    <w:uiPriority w:val="0"/>
    <w:pPr>
      <w:widowControl/>
      <w:spacing w:line="360" w:lineRule="auto"/>
      <w:jc w:val="left"/>
    </w:pPr>
    <w:rPr>
      <w:kern w:val="0"/>
      <w:szCs w:val="20"/>
      <w:lang w:eastAsia="en-US"/>
    </w:rPr>
  </w:style>
  <w:style w:type="paragraph" w:customStyle="1" w:styleId="7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样式2"/>
    <w:basedOn w:val="8"/>
    <w:qFormat/>
    <w:uiPriority w:val="0"/>
  </w:style>
  <w:style w:type="paragraph" w:customStyle="1" w:styleId="73">
    <w:name w:val="Default Paragraph Char Char Char Char"/>
    <w:basedOn w:val="1"/>
    <w:next w:val="1"/>
    <w:qFormat/>
    <w:uiPriority w:val="0"/>
    <w:pPr>
      <w:spacing w:line="360" w:lineRule="auto"/>
    </w:pPr>
    <w:rPr>
      <w:szCs w:val="20"/>
    </w:rPr>
  </w:style>
  <w:style w:type="paragraph" w:customStyle="1" w:styleId="74">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5">
    <w:name w:val="默认段落字体 Para Char Char Char Char"/>
    <w:basedOn w:val="1"/>
    <w:qFormat/>
    <w:uiPriority w:val="0"/>
  </w:style>
  <w:style w:type="paragraph" w:customStyle="1" w:styleId="76">
    <w:name w:val="样式 标题 1 + 黑体 五号"/>
    <w:basedOn w:val="6"/>
    <w:qFormat/>
    <w:uiPriority w:val="0"/>
    <w:pPr>
      <w:jc w:val="left"/>
    </w:pPr>
    <w:rPr>
      <w:rFonts w:ascii="黑体" w:hAnsi="黑体" w:eastAsia="黑体"/>
      <w:sz w:val="21"/>
    </w:rPr>
  </w:style>
  <w:style w:type="paragraph" w:customStyle="1" w:styleId="77">
    <w:name w:val="样式4"/>
    <w:basedOn w:val="8"/>
    <w:qFormat/>
    <w:uiPriority w:val="0"/>
    <w:rPr>
      <w:rFonts w:eastAsia="Arial"/>
    </w:rPr>
  </w:style>
  <w:style w:type="paragraph" w:customStyle="1" w:styleId="78">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79">
    <w:name w:val="列出段落1"/>
    <w:basedOn w:val="1"/>
    <w:qFormat/>
    <w:uiPriority w:val="0"/>
    <w:pPr>
      <w:ind w:firstLine="200" w:firstLineChars="200"/>
    </w:pPr>
  </w:style>
  <w:style w:type="paragraph" w:customStyle="1" w:styleId="80">
    <w:name w:val="p0 New"/>
    <w:basedOn w:val="1"/>
    <w:qFormat/>
    <w:uiPriority w:val="0"/>
    <w:pPr>
      <w:widowControl/>
      <w:jc w:val="left"/>
    </w:pPr>
    <w:rPr>
      <w:rFonts w:ascii="宋体" w:hAnsi="宋体" w:cs="宋体"/>
      <w:kern w:val="0"/>
      <w:sz w:val="18"/>
      <w:szCs w:val="18"/>
    </w:rPr>
  </w:style>
  <w:style w:type="paragraph" w:customStyle="1" w:styleId="81">
    <w:name w:val="样式 标题 1 + 黑体 三号 非加粗 居中 段前: 6 磅 段后: 6 磅 行距: 固定值 20 磅"/>
    <w:basedOn w:val="6"/>
    <w:qFormat/>
    <w:uiPriority w:val="0"/>
    <w:pPr>
      <w:spacing w:line="400" w:lineRule="exact"/>
    </w:pPr>
    <w:rPr>
      <w:rFonts w:ascii="黑体" w:hAnsi="黑体" w:eastAsia="黑体" w:cs="宋体"/>
      <w:b w:val="0"/>
      <w:bCs w:val="0"/>
      <w:sz w:val="32"/>
      <w:szCs w:val="20"/>
    </w:rPr>
  </w:style>
  <w:style w:type="paragraph" w:customStyle="1" w:styleId="82">
    <w:name w:val="_Style 78"/>
    <w:basedOn w:val="6"/>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3">
    <w:name w:val="Char1"/>
    <w:basedOn w:val="1"/>
    <w:qFormat/>
    <w:uiPriority w:val="0"/>
    <w:pPr>
      <w:tabs>
        <w:tab w:val="left" w:pos="360"/>
      </w:tabs>
    </w:pPr>
    <w:rPr>
      <w:sz w:val="24"/>
    </w:rPr>
  </w:style>
  <w:style w:type="paragraph" w:customStyle="1" w:styleId="84">
    <w:name w:val="样式1"/>
    <w:basedOn w:val="8"/>
    <w:qFormat/>
    <w:uiPriority w:val="0"/>
    <w:rPr>
      <w:rFonts w:eastAsia="Arial"/>
    </w:rPr>
  </w:style>
  <w:style w:type="paragraph" w:customStyle="1" w:styleId="85">
    <w:name w:val="Char Char Char Char Char Char Char Char Char Char Char Char Char"/>
    <w:basedOn w:val="1"/>
    <w:qFormat/>
    <w:uiPriority w:val="0"/>
  </w:style>
  <w:style w:type="paragraph" w:customStyle="1" w:styleId="86">
    <w:name w:val="p"/>
    <w:basedOn w:val="1"/>
    <w:qFormat/>
    <w:uiPriority w:val="0"/>
    <w:rPr>
      <w:rFonts w:ascii="宋体"/>
      <w:sz w:val="24"/>
    </w:rPr>
  </w:style>
  <w:style w:type="paragraph" w:customStyle="1" w:styleId="87">
    <w:name w:val="Char Char Char Char"/>
    <w:basedOn w:val="1"/>
    <w:qFormat/>
    <w:uiPriority w:val="0"/>
  </w:style>
  <w:style w:type="paragraph" w:customStyle="1" w:styleId="88">
    <w:name w:val="_Style 84"/>
    <w:basedOn w:val="1"/>
    <w:next w:val="1"/>
    <w:qFormat/>
    <w:uiPriority w:val="0"/>
    <w:pPr>
      <w:pBdr>
        <w:bottom w:val="single" w:color="auto" w:sz="6" w:space="1"/>
      </w:pBdr>
      <w:jc w:val="center"/>
    </w:pPr>
    <w:rPr>
      <w:rFonts w:ascii="Arial"/>
      <w:vanish/>
      <w:sz w:val="16"/>
    </w:rPr>
  </w:style>
  <w:style w:type="paragraph" w:customStyle="1" w:styleId="89">
    <w:name w:val="1"/>
    <w:basedOn w:val="1"/>
    <w:next w:val="1"/>
    <w:qFormat/>
    <w:uiPriority w:val="0"/>
  </w:style>
  <w:style w:type="paragraph" w:customStyle="1" w:styleId="90">
    <w:name w:val="p15"/>
    <w:qFormat/>
    <w:uiPriority w:val="0"/>
    <w:pPr>
      <w:jc w:val="both"/>
    </w:pPr>
    <w:rPr>
      <w:rFonts w:ascii="宋体" w:hAnsi="Times New Roman" w:eastAsia="宋体" w:cs="宋体"/>
      <w:sz w:val="21"/>
      <w:szCs w:val="21"/>
      <w:lang w:val="en-US" w:eastAsia="zh-CN" w:bidi="ar-SA"/>
    </w:rPr>
  </w:style>
  <w:style w:type="paragraph" w:customStyle="1" w:styleId="91">
    <w:name w:val="样式 标题 2 + Times New Roman 四号 非加粗 段前: 5 磅 段后: 0 磅 行距: 固定值 20..."/>
    <w:basedOn w:val="7"/>
    <w:qFormat/>
    <w:uiPriority w:val="0"/>
    <w:pPr>
      <w:spacing w:line="400" w:lineRule="exact"/>
    </w:pPr>
    <w:rPr>
      <w:rFonts w:ascii="Times New Roman" w:hAnsi="Times New Roman" w:cs="宋体"/>
      <w:b w:val="0"/>
      <w:bCs w:val="0"/>
      <w:sz w:val="28"/>
      <w:szCs w:val="20"/>
    </w:rPr>
  </w:style>
  <w:style w:type="paragraph" w:customStyle="1" w:styleId="92">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3">
    <w:name w:val="p0"/>
    <w:basedOn w:val="1"/>
    <w:qFormat/>
    <w:uiPriority w:val="99"/>
    <w:pPr>
      <w:widowControl/>
    </w:pPr>
    <w:rPr>
      <w:kern w:val="0"/>
      <w:szCs w:val="21"/>
    </w:rPr>
  </w:style>
  <w:style w:type="paragraph" w:customStyle="1" w:styleId="94">
    <w:name w:val="样式3"/>
    <w:basedOn w:val="8"/>
    <w:qFormat/>
    <w:uiPriority w:val="0"/>
    <w:rPr>
      <w:rFonts w:eastAsia="Arial"/>
    </w:rPr>
  </w:style>
  <w:style w:type="paragraph" w:customStyle="1" w:styleId="95">
    <w:name w:val="样式 标题 3 + (中文) 黑体 小四 非加粗 段前: 7.8 磅 段后: 0 磅 行距: 固定值 20 磅"/>
    <w:basedOn w:val="8"/>
    <w:qFormat/>
    <w:uiPriority w:val="0"/>
    <w:pPr>
      <w:spacing w:line="400" w:lineRule="exact"/>
    </w:pPr>
    <w:rPr>
      <w:rFonts w:eastAsia="黑体" w:cs="宋体"/>
      <w:b w:val="0"/>
      <w:bCs w:val="0"/>
      <w:sz w:val="24"/>
      <w:szCs w:val="20"/>
    </w:rPr>
  </w:style>
  <w:style w:type="paragraph" w:customStyle="1" w:styleId="96">
    <w:name w:val="Char Char Char Char Char Char Char Char Char Char Char Char Char1"/>
    <w:basedOn w:val="1"/>
    <w:qFormat/>
    <w:uiPriority w:val="0"/>
  </w:style>
  <w:style w:type="paragraph" w:customStyle="1" w:styleId="97">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98">
    <w:name w:val="正文2"/>
    <w:qFormat/>
    <w:uiPriority w:val="0"/>
    <w:pPr>
      <w:widowControl w:val="0"/>
      <w:jc w:val="both"/>
    </w:pPr>
    <w:rPr>
      <w:rFonts w:ascii="Times New Roman" w:hAnsi="Times New Roman" w:eastAsia="宋体" w:cs="Times New Roman"/>
      <w:lang w:val="en-US" w:eastAsia="zh-CN" w:bidi="ar-SA"/>
    </w:rPr>
  </w:style>
  <w:style w:type="character" w:customStyle="1" w:styleId="99">
    <w:name w:val="first-child"/>
    <w:basedOn w:val="49"/>
    <w:qFormat/>
    <w:uiPriority w:val="0"/>
  </w:style>
  <w:style w:type="character" w:customStyle="1" w:styleId="100">
    <w:name w:val="Char Char Char Char Char Char"/>
    <w:qFormat/>
    <w:uiPriority w:val="0"/>
    <w:rPr>
      <w:rFonts w:ascii="Arial" w:hAnsi="Arial" w:eastAsia="黑体"/>
      <w:b/>
      <w:bCs/>
      <w:kern w:val="2"/>
      <w:sz w:val="32"/>
      <w:szCs w:val="32"/>
      <w:lang w:val="en-US" w:eastAsia="zh-CN" w:bidi="ar-SA"/>
    </w:rPr>
  </w:style>
  <w:style w:type="character" w:customStyle="1" w:styleId="101">
    <w:name w:val="l11"/>
    <w:qFormat/>
    <w:uiPriority w:val="0"/>
    <w:rPr>
      <w:color w:val="999999"/>
    </w:rPr>
  </w:style>
  <w:style w:type="character" w:customStyle="1" w:styleId="102">
    <w:name w:val="Char Char"/>
    <w:qFormat/>
    <w:uiPriority w:val="0"/>
    <w:rPr>
      <w:rFonts w:ascii="Arial" w:hAnsi="Arial" w:eastAsia="黑体"/>
      <w:b/>
      <w:bCs/>
      <w:kern w:val="2"/>
      <w:sz w:val="32"/>
      <w:szCs w:val="32"/>
      <w:lang w:val="en-US" w:eastAsia="zh-CN" w:bidi="ar-SA"/>
    </w:rPr>
  </w:style>
  <w:style w:type="character" w:customStyle="1" w:styleId="103">
    <w:name w:val="Char Char5"/>
    <w:qFormat/>
    <w:uiPriority w:val="0"/>
    <w:rPr>
      <w:rFonts w:ascii="Arial" w:hAnsi="Arial" w:eastAsia="黑体"/>
      <w:b/>
      <w:bCs/>
      <w:kern w:val="2"/>
      <w:sz w:val="32"/>
      <w:szCs w:val="32"/>
    </w:rPr>
  </w:style>
  <w:style w:type="character" w:customStyle="1" w:styleId="104">
    <w:name w:val="msg-box28"/>
    <w:basedOn w:val="49"/>
    <w:qFormat/>
    <w:uiPriority w:val="0"/>
  </w:style>
  <w:style w:type="character" w:customStyle="1" w:styleId="105">
    <w:name w:val="img_title6"/>
    <w:qFormat/>
    <w:uiPriority w:val="0"/>
    <w:rPr>
      <w:vanish/>
    </w:rPr>
  </w:style>
  <w:style w:type="character" w:customStyle="1" w:styleId="106">
    <w:name w:val="tit12"/>
    <w:qFormat/>
    <w:uiPriority w:val="0"/>
    <w:rPr>
      <w:color w:val="04A06C"/>
    </w:rPr>
  </w:style>
  <w:style w:type="character" w:customStyle="1" w:styleId="107">
    <w:name w:val="Char Char2"/>
    <w:qFormat/>
    <w:uiPriority w:val="0"/>
    <w:rPr>
      <w:rFonts w:eastAsia="宋体"/>
      <w:kern w:val="2"/>
      <w:sz w:val="21"/>
      <w:szCs w:val="24"/>
      <w:lang w:val="en-US" w:eastAsia="zh-CN" w:bidi="ar-SA"/>
    </w:rPr>
  </w:style>
  <w:style w:type="character" w:customStyle="1" w:styleId="108">
    <w:name w:val="nostart"/>
    <w:qFormat/>
    <w:uiPriority w:val="0"/>
    <w:rPr>
      <w:color w:val="FF0000"/>
    </w:rPr>
  </w:style>
  <w:style w:type="character" w:customStyle="1" w:styleId="109">
    <w:name w:val="nostart3"/>
    <w:basedOn w:val="49"/>
    <w:qFormat/>
    <w:uiPriority w:val="0"/>
  </w:style>
  <w:style w:type="character" w:customStyle="1" w:styleId="110">
    <w:name w:val="img4"/>
    <w:basedOn w:val="49"/>
    <w:qFormat/>
    <w:uiPriority w:val="0"/>
  </w:style>
  <w:style w:type="character" w:customStyle="1" w:styleId="111">
    <w:name w:val="tit11"/>
    <w:qFormat/>
    <w:uiPriority w:val="0"/>
    <w:rPr>
      <w:color w:val="B60000"/>
    </w:rPr>
  </w:style>
  <w:style w:type="character" w:customStyle="1" w:styleId="112">
    <w:name w:val="批注文字 Char"/>
    <w:link w:val="18"/>
    <w:qFormat/>
    <w:uiPriority w:val="0"/>
    <w:rPr>
      <w:rFonts w:eastAsia="宋体"/>
      <w:kern w:val="2"/>
      <w:sz w:val="21"/>
      <w:szCs w:val="24"/>
      <w:lang w:val="en-US" w:eastAsia="zh-CN" w:bidi="ar-SA"/>
    </w:rPr>
  </w:style>
  <w:style w:type="character" w:customStyle="1" w:styleId="113">
    <w:name w:val="over"/>
    <w:qFormat/>
    <w:uiPriority w:val="0"/>
    <w:rPr>
      <w:color w:val="B60000"/>
    </w:rPr>
  </w:style>
  <w:style w:type="character" w:customStyle="1" w:styleId="114">
    <w:name w:val="HTML 预设格式 Char"/>
    <w:link w:val="41"/>
    <w:qFormat/>
    <w:uiPriority w:val="0"/>
    <w:rPr>
      <w:rFonts w:ascii="宋体" w:hAnsi="宋体" w:cs="宋体"/>
      <w:sz w:val="24"/>
      <w:szCs w:val="24"/>
    </w:rPr>
  </w:style>
  <w:style w:type="character" w:customStyle="1" w:styleId="115">
    <w:name w:val="l6"/>
    <w:qFormat/>
    <w:uiPriority w:val="0"/>
    <w:rPr>
      <w:color w:val="999999"/>
    </w:rPr>
  </w:style>
  <w:style w:type="character" w:customStyle="1" w:styleId="116">
    <w:name w:val="datetime"/>
    <w:qFormat/>
    <w:uiPriority w:val="0"/>
    <w:rPr>
      <w:rFonts w:hint="default" w:ascii="Arial" w:hAnsi="Arial" w:cs="Arial"/>
      <w:color w:val="999999"/>
      <w:sz w:val="21"/>
      <w:szCs w:val="21"/>
    </w:rPr>
  </w:style>
  <w:style w:type="character" w:customStyle="1" w:styleId="117">
    <w:name w:val="txt1"/>
    <w:basedOn w:val="49"/>
    <w:qFormat/>
    <w:uiPriority w:val="0"/>
  </w:style>
  <w:style w:type="character" w:customStyle="1" w:styleId="118">
    <w:name w:val="starting1"/>
    <w:qFormat/>
    <w:uiPriority w:val="0"/>
    <w:rPr>
      <w:color w:val="339900"/>
    </w:rPr>
  </w:style>
  <w:style w:type="character" w:customStyle="1" w:styleId="119">
    <w:name w:val="starting2"/>
    <w:qFormat/>
    <w:uiPriority w:val="0"/>
    <w:rPr>
      <w:color w:val="B60000"/>
    </w:rPr>
  </w:style>
  <w:style w:type="character" w:customStyle="1" w:styleId="120">
    <w:name w:val="标题 1 Char"/>
    <w:link w:val="6"/>
    <w:qFormat/>
    <w:uiPriority w:val="0"/>
    <w:rPr>
      <w:rFonts w:eastAsia="宋体"/>
      <w:b/>
      <w:bCs/>
      <w:kern w:val="44"/>
      <w:sz w:val="44"/>
      <w:szCs w:val="44"/>
      <w:lang w:val="en-US" w:eastAsia="zh-CN" w:bidi="ar-SA"/>
    </w:rPr>
  </w:style>
  <w:style w:type="character" w:customStyle="1" w:styleId="121">
    <w:name w:val="red"/>
    <w:qFormat/>
    <w:uiPriority w:val="0"/>
    <w:rPr>
      <w:rFonts w:hint="default" w:ascii="Arial" w:hAnsi="Arial" w:cs="Arial"/>
      <w:color w:val="E50000"/>
    </w:rPr>
  </w:style>
  <w:style w:type="character" w:customStyle="1" w:styleId="122">
    <w:name w:val="Char Char4"/>
    <w:qFormat/>
    <w:uiPriority w:val="0"/>
    <w:rPr>
      <w:rFonts w:eastAsia="宋体"/>
      <w:b/>
      <w:bCs/>
      <w:kern w:val="44"/>
      <w:sz w:val="44"/>
      <w:szCs w:val="44"/>
      <w:lang w:val="en-US" w:eastAsia="zh-CN" w:bidi="ar-SA"/>
    </w:rPr>
  </w:style>
  <w:style w:type="character" w:customStyle="1" w:styleId="123">
    <w:name w:val="font161"/>
    <w:qFormat/>
    <w:uiPriority w:val="0"/>
    <w:rPr>
      <w:b/>
      <w:bCs/>
      <w:sz w:val="32"/>
      <w:szCs w:val="32"/>
    </w:rPr>
  </w:style>
  <w:style w:type="character" w:customStyle="1" w:styleId="124">
    <w:name w:val="Char Char8"/>
    <w:qFormat/>
    <w:uiPriority w:val="0"/>
    <w:rPr>
      <w:rFonts w:ascii="Arial" w:hAnsi="Arial" w:eastAsia="黑体"/>
      <w:b/>
      <w:bCs/>
      <w:kern w:val="2"/>
      <w:sz w:val="32"/>
      <w:szCs w:val="32"/>
      <w:lang w:val="en-US" w:eastAsia="zh-CN" w:bidi="ar-SA"/>
    </w:rPr>
  </w:style>
  <w:style w:type="character" w:customStyle="1" w:styleId="125">
    <w:name w:val="msg-box29"/>
    <w:basedOn w:val="49"/>
    <w:qFormat/>
    <w:uiPriority w:val="0"/>
  </w:style>
  <w:style w:type="character" w:customStyle="1" w:styleId="126">
    <w:name w:val="over2"/>
    <w:qFormat/>
    <w:uiPriority w:val="0"/>
    <w:rPr>
      <w:color w:val="999999"/>
    </w:rPr>
  </w:style>
  <w:style w:type="character" w:customStyle="1" w:styleId="127">
    <w:name w:val="img_title7"/>
    <w:qFormat/>
    <w:uiPriority w:val="0"/>
    <w:rPr>
      <w:vanish/>
    </w:rPr>
  </w:style>
  <w:style w:type="character" w:customStyle="1" w:styleId="128">
    <w:name w:val="l7"/>
    <w:qFormat/>
    <w:uiPriority w:val="0"/>
    <w:rPr>
      <w:color w:val="999999"/>
    </w:rPr>
  </w:style>
  <w:style w:type="character" w:customStyle="1" w:styleId="129">
    <w:name w:val="标题 5 Char"/>
    <w:link w:val="10"/>
    <w:qFormat/>
    <w:uiPriority w:val="0"/>
    <w:rPr>
      <w:b/>
      <w:bCs/>
      <w:kern w:val="2"/>
      <w:sz w:val="28"/>
      <w:szCs w:val="28"/>
    </w:rPr>
  </w:style>
  <w:style w:type="character" w:customStyle="1" w:styleId="130">
    <w:name w:val="l51"/>
    <w:qFormat/>
    <w:uiPriority w:val="0"/>
    <w:rPr>
      <w:color w:val="999999"/>
    </w:rPr>
  </w:style>
  <w:style w:type="character" w:customStyle="1" w:styleId="131">
    <w:name w:val="num81"/>
    <w:basedOn w:val="49"/>
    <w:qFormat/>
    <w:uiPriority w:val="0"/>
  </w:style>
  <w:style w:type="character" w:customStyle="1" w:styleId="132">
    <w:name w:val="Char Char1"/>
    <w:qFormat/>
    <w:uiPriority w:val="0"/>
    <w:rPr>
      <w:rFonts w:eastAsia="宋体"/>
      <w:kern w:val="2"/>
      <w:sz w:val="21"/>
      <w:szCs w:val="24"/>
      <w:lang w:val="en-US" w:eastAsia="zh-CN" w:bidi="ar-SA"/>
    </w:rPr>
  </w:style>
  <w:style w:type="character" w:customStyle="1" w:styleId="133">
    <w:name w:val="zs"/>
    <w:qFormat/>
    <w:uiPriority w:val="0"/>
    <w:rPr>
      <w:color w:val="8D744B"/>
      <w:sz w:val="18"/>
      <w:szCs w:val="18"/>
    </w:rPr>
  </w:style>
  <w:style w:type="character" w:customStyle="1" w:styleId="134">
    <w:name w:val="bigfont"/>
    <w:basedOn w:val="49"/>
    <w:qFormat/>
    <w:uiPriority w:val="0"/>
  </w:style>
  <w:style w:type="character" w:customStyle="1" w:styleId="135">
    <w:name w:val="txt"/>
    <w:qFormat/>
    <w:uiPriority w:val="0"/>
    <w:rPr>
      <w:color w:val="C0C0C0"/>
    </w:rPr>
  </w:style>
  <w:style w:type="character" w:customStyle="1" w:styleId="136">
    <w:name w:val="纯文本 Char2"/>
    <w:link w:val="24"/>
    <w:qFormat/>
    <w:uiPriority w:val="0"/>
    <w:rPr>
      <w:rFonts w:ascii="Courier New" w:hAnsi="Courier New" w:eastAsia="宋体"/>
      <w:kern w:val="2"/>
      <w:sz w:val="21"/>
      <w:lang w:val="en-US" w:eastAsia="zh-CN" w:bidi="ar-SA"/>
    </w:rPr>
  </w:style>
  <w:style w:type="character" w:customStyle="1" w:styleId="137">
    <w:name w:val="jg"/>
    <w:basedOn w:val="49"/>
    <w:qFormat/>
    <w:uiPriority w:val="0"/>
  </w:style>
  <w:style w:type="character" w:customStyle="1" w:styleId="138">
    <w:name w:val="17"/>
    <w:qFormat/>
    <w:uiPriority w:val="0"/>
    <w:rPr>
      <w:rFonts w:ascii="仿宋_GB2312" w:eastAsia="仿宋_GB2312"/>
      <w:color w:val="auto"/>
      <w:sz w:val="28"/>
      <w:szCs w:val="28"/>
      <w:u w:val="single"/>
    </w:rPr>
  </w:style>
  <w:style w:type="character" w:customStyle="1" w:styleId="139">
    <w:name w:val="job"/>
    <w:basedOn w:val="49"/>
    <w:qFormat/>
    <w:uiPriority w:val="0"/>
  </w:style>
  <w:style w:type="character" w:customStyle="1" w:styleId="140">
    <w:name w:val="job1"/>
    <w:basedOn w:val="49"/>
    <w:qFormat/>
    <w:uiPriority w:val="0"/>
  </w:style>
  <w:style w:type="character" w:customStyle="1" w:styleId="141">
    <w:name w:val="标题 2 Char"/>
    <w:qFormat/>
    <w:uiPriority w:val="0"/>
    <w:rPr>
      <w:rFonts w:ascii="Arial" w:hAnsi="Arial" w:eastAsia="黑体"/>
      <w:b/>
      <w:bCs/>
      <w:kern w:val="2"/>
      <w:sz w:val="21"/>
      <w:szCs w:val="32"/>
      <w:lang w:val="en-US" w:eastAsia="zh-CN" w:bidi="ar-SA"/>
    </w:rPr>
  </w:style>
  <w:style w:type="character" w:customStyle="1" w:styleId="142">
    <w:name w:val="正文文本 Char"/>
    <w:link w:val="20"/>
    <w:qFormat/>
    <w:uiPriority w:val="0"/>
    <w:rPr>
      <w:rFonts w:eastAsia="宋体"/>
      <w:kern w:val="2"/>
      <w:sz w:val="21"/>
      <w:szCs w:val="24"/>
      <w:lang w:val="en-US" w:eastAsia="zh-CN" w:bidi="ar-SA"/>
    </w:rPr>
  </w:style>
  <w:style w:type="character" w:customStyle="1" w:styleId="143">
    <w:name w:val="p05"/>
    <w:basedOn w:val="49"/>
    <w:qFormat/>
    <w:uiPriority w:val="0"/>
  </w:style>
  <w:style w:type="character" w:customStyle="1" w:styleId="144">
    <w:name w:val="Char Char7"/>
    <w:qFormat/>
    <w:uiPriority w:val="0"/>
    <w:rPr>
      <w:rFonts w:ascii="Arial" w:hAnsi="Arial" w:eastAsia="黑体"/>
      <w:b/>
      <w:bCs/>
      <w:kern w:val="2"/>
      <w:sz w:val="32"/>
      <w:szCs w:val="32"/>
      <w:lang w:val="en-US" w:eastAsia="zh-CN" w:bidi="ar-SA"/>
    </w:rPr>
  </w:style>
  <w:style w:type="character" w:customStyle="1" w:styleId="145">
    <w:name w:val="over3"/>
    <w:basedOn w:val="49"/>
    <w:qFormat/>
    <w:uiPriority w:val="0"/>
  </w:style>
  <w:style w:type="character" w:customStyle="1" w:styleId="146">
    <w:name w:val="Char Char3"/>
    <w:qFormat/>
    <w:uiPriority w:val="0"/>
    <w:rPr>
      <w:rFonts w:ascii="Arial" w:hAnsi="Arial" w:eastAsia="黑体"/>
      <w:b/>
      <w:bCs/>
      <w:kern w:val="2"/>
      <w:sz w:val="32"/>
      <w:szCs w:val="32"/>
      <w:lang w:val="en-US" w:eastAsia="zh-CN" w:bidi="ar-SA"/>
    </w:rPr>
  </w:style>
  <w:style w:type="character" w:customStyle="1" w:styleId="147">
    <w:name w:val="Char Char71"/>
    <w:qFormat/>
    <w:uiPriority w:val="0"/>
    <w:rPr>
      <w:rFonts w:ascii="Arial" w:hAnsi="Arial" w:eastAsia="黑体"/>
      <w:b/>
      <w:bCs/>
      <w:kern w:val="2"/>
      <w:sz w:val="32"/>
      <w:szCs w:val="32"/>
      <w:lang w:val="en-US" w:eastAsia="zh-CN" w:bidi="ar-SA"/>
    </w:rPr>
  </w:style>
  <w:style w:type="character" w:customStyle="1" w:styleId="148">
    <w:name w:val="num51"/>
    <w:basedOn w:val="49"/>
    <w:qFormat/>
    <w:uiPriority w:val="0"/>
  </w:style>
  <w:style w:type="character" w:customStyle="1" w:styleId="149">
    <w:name w:val="Char Char Char"/>
    <w:qFormat/>
    <w:uiPriority w:val="0"/>
    <w:rPr>
      <w:rFonts w:eastAsia="宋体"/>
      <w:b/>
      <w:bCs/>
      <w:kern w:val="44"/>
      <w:sz w:val="44"/>
      <w:szCs w:val="44"/>
      <w:lang w:val="en-US" w:eastAsia="zh-CN" w:bidi="ar-SA"/>
    </w:rPr>
  </w:style>
  <w:style w:type="character" w:customStyle="1" w:styleId="150">
    <w:name w:val="msg-box31"/>
    <w:basedOn w:val="49"/>
    <w:qFormat/>
    <w:uiPriority w:val="0"/>
  </w:style>
  <w:style w:type="character" w:customStyle="1" w:styleId="151">
    <w:name w:val="msg-box30"/>
    <w:basedOn w:val="49"/>
    <w:qFormat/>
    <w:uiPriority w:val="0"/>
  </w:style>
  <w:style w:type="character" w:customStyle="1" w:styleId="152">
    <w:name w:val="标题 1 Char Char"/>
    <w:qFormat/>
    <w:uiPriority w:val="0"/>
    <w:rPr>
      <w:rFonts w:eastAsia="宋体"/>
      <w:b/>
      <w:bCs/>
      <w:kern w:val="44"/>
      <w:sz w:val="44"/>
      <w:szCs w:val="44"/>
      <w:lang w:val="en-US" w:eastAsia="zh-CN" w:bidi="ar-SA"/>
    </w:rPr>
  </w:style>
  <w:style w:type="character" w:customStyle="1" w:styleId="153">
    <w:name w:val="标题 3 Char"/>
    <w:link w:val="8"/>
    <w:qFormat/>
    <w:uiPriority w:val="0"/>
    <w:rPr>
      <w:b/>
      <w:bCs/>
      <w:sz w:val="32"/>
      <w:szCs w:val="32"/>
    </w:rPr>
  </w:style>
  <w:style w:type="character" w:customStyle="1" w:styleId="154">
    <w:name w:val="c1"/>
    <w:basedOn w:val="49"/>
    <w:qFormat/>
    <w:uiPriority w:val="0"/>
  </w:style>
  <w:style w:type="character" w:customStyle="1" w:styleId="155">
    <w:name w:val="纯文本 Char1"/>
    <w:qFormat/>
    <w:uiPriority w:val="0"/>
    <w:rPr>
      <w:rFonts w:ascii="Courier New" w:hAnsi="Courier New" w:eastAsia="宋体"/>
      <w:kern w:val="2"/>
      <w:sz w:val="21"/>
      <w:lang w:val="en-US" w:eastAsia="zh-CN" w:bidi="ar-SA"/>
    </w:rPr>
  </w:style>
  <w:style w:type="character" w:customStyle="1" w:styleId="156">
    <w:name w:val="Char Char Char1"/>
    <w:qFormat/>
    <w:uiPriority w:val="0"/>
    <w:rPr>
      <w:rFonts w:ascii="Arial" w:hAnsi="Arial" w:eastAsia="黑体"/>
      <w:b/>
      <w:bCs/>
      <w:kern w:val="2"/>
      <w:sz w:val="32"/>
      <w:szCs w:val="32"/>
      <w:lang w:val="en-US" w:eastAsia="zh-CN" w:bidi="ar-SA"/>
    </w:rPr>
  </w:style>
  <w:style w:type="character" w:customStyle="1" w:styleId="157">
    <w:name w:val="l3"/>
    <w:qFormat/>
    <w:uiPriority w:val="0"/>
    <w:rPr>
      <w:color w:val="999999"/>
    </w:rPr>
  </w:style>
  <w:style w:type="character" w:customStyle="1" w:styleId="158">
    <w:name w:val="tit14"/>
    <w:qFormat/>
    <w:uiPriority w:val="0"/>
    <w:rPr>
      <w:color w:val="B60000"/>
    </w:rPr>
  </w:style>
  <w:style w:type="character" w:customStyle="1" w:styleId="159">
    <w:name w:val="tit10"/>
    <w:qFormat/>
    <w:uiPriority w:val="0"/>
    <w:rPr>
      <w:color w:val="B60000"/>
    </w:rPr>
  </w:style>
  <w:style w:type="character" w:customStyle="1" w:styleId="160">
    <w:name w:val="l21"/>
    <w:qFormat/>
    <w:uiPriority w:val="0"/>
    <w:rPr>
      <w:color w:val="999999"/>
    </w:rPr>
  </w:style>
  <w:style w:type="character" w:customStyle="1" w:styleId="161">
    <w:name w:val="num71"/>
    <w:basedOn w:val="49"/>
    <w:qFormat/>
    <w:uiPriority w:val="0"/>
  </w:style>
  <w:style w:type="character" w:customStyle="1" w:styleId="162">
    <w:name w:val="标题 2 Char Char"/>
    <w:qFormat/>
    <w:uiPriority w:val="0"/>
    <w:rPr>
      <w:rFonts w:ascii="Arial" w:hAnsi="Arial" w:eastAsia="黑体"/>
      <w:b/>
      <w:bCs/>
      <w:kern w:val="2"/>
      <w:sz w:val="32"/>
      <w:szCs w:val="32"/>
      <w:lang w:val="en-US" w:eastAsia="zh-CN" w:bidi="ar-SA"/>
    </w:rPr>
  </w:style>
  <w:style w:type="character" w:customStyle="1" w:styleId="163">
    <w:name w:val="buvis"/>
    <w:qFormat/>
    <w:uiPriority w:val="0"/>
    <w:rPr>
      <w:color w:val="999999"/>
    </w:rPr>
  </w:style>
  <w:style w:type="character" w:customStyle="1" w:styleId="164">
    <w:name w:val="name"/>
    <w:qFormat/>
    <w:uiPriority w:val="0"/>
    <w:rPr>
      <w:color w:val="444444"/>
      <w:sz w:val="21"/>
      <w:szCs w:val="21"/>
    </w:rPr>
  </w:style>
  <w:style w:type="character" w:customStyle="1" w:styleId="165">
    <w:name w:val="layui-this"/>
    <w:qFormat/>
    <w:uiPriority w:val="0"/>
    <w:rPr>
      <w:bdr w:val="single" w:color="EEEEEE" w:sz="6" w:space="0"/>
      <w:shd w:val="clear" w:color="auto" w:fill="FFFFFF"/>
    </w:rPr>
  </w:style>
  <w:style w:type="character" w:customStyle="1" w:styleId="166">
    <w:name w:val="标题 2 Char1"/>
    <w:qFormat/>
    <w:uiPriority w:val="0"/>
    <w:rPr>
      <w:rFonts w:ascii="Arial" w:hAnsi="Arial" w:eastAsia="黑体"/>
      <w:b/>
      <w:bCs/>
      <w:kern w:val="2"/>
      <w:sz w:val="32"/>
      <w:szCs w:val="32"/>
      <w:lang w:val="en-US" w:eastAsia="zh-CN" w:bidi="ar-SA"/>
    </w:rPr>
  </w:style>
  <w:style w:type="character" w:customStyle="1" w:styleId="167">
    <w:name w:val="zw"/>
    <w:qFormat/>
    <w:uiPriority w:val="0"/>
    <w:rPr>
      <w:color w:val="BD1E22"/>
      <w:sz w:val="22"/>
      <w:szCs w:val="22"/>
    </w:rPr>
  </w:style>
  <w:style w:type="character" w:customStyle="1" w:styleId="168">
    <w:name w:val="name1"/>
    <w:qFormat/>
    <w:uiPriority w:val="0"/>
    <w:rPr>
      <w:color w:val="695435"/>
      <w:sz w:val="24"/>
      <w:szCs w:val="24"/>
    </w:rPr>
  </w:style>
  <w:style w:type="character" w:customStyle="1" w:styleId="169">
    <w:name w:val="num61"/>
    <w:basedOn w:val="49"/>
    <w:qFormat/>
    <w:uiPriority w:val="0"/>
  </w:style>
  <w:style w:type="character" w:customStyle="1" w:styleId="170">
    <w:name w:val="mesg-myd"/>
    <w:qFormat/>
    <w:uiPriority w:val="0"/>
    <w:rPr>
      <w:color w:val="EE0000"/>
    </w:rPr>
  </w:style>
  <w:style w:type="character" w:customStyle="1" w:styleId="171">
    <w:name w:val="c2"/>
    <w:basedOn w:val="49"/>
    <w:qFormat/>
    <w:uiPriority w:val="0"/>
  </w:style>
  <w:style w:type="character" w:customStyle="1" w:styleId="172">
    <w:name w:val="c3"/>
    <w:basedOn w:val="49"/>
    <w:qFormat/>
    <w:uiPriority w:val="0"/>
  </w:style>
  <w:style w:type="character" w:customStyle="1" w:styleId="173">
    <w:name w:val="over1"/>
    <w:qFormat/>
    <w:uiPriority w:val="0"/>
    <w:rPr>
      <w:color w:val="B60000"/>
    </w:rPr>
  </w:style>
  <w:style w:type="character" w:customStyle="1" w:styleId="174">
    <w:name w:val="tit13"/>
    <w:qFormat/>
    <w:uiPriority w:val="0"/>
    <w:rPr>
      <w:color w:val="FFFFFF"/>
    </w:rPr>
  </w:style>
  <w:style w:type="character" w:customStyle="1" w:styleId="175">
    <w:name w:val="Char Char21"/>
    <w:qFormat/>
    <w:uiPriority w:val="0"/>
    <w:rPr>
      <w:rFonts w:eastAsia="宋体"/>
      <w:kern w:val="2"/>
      <w:sz w:val="21"/>
      <w:szCs w:val="24"/>
      <w:lang w:val="en-US" w:eastAsia="zh-CN" w:bidi="ar-SA"/>
    </w:rPr>
  </w:style>
  <w:style w:type="character" w:customStyle="1" w:styleId="176">
    <w:name w:val="l41"/>
    <w:qFormat/>
    <w:uiPriority w:val="0"/>
    <w:rPr>
      <w:color w:val="999999"/>
    </w:rPr>
  </w:style>
  <w:style w:type="character" w:customStyle="1" w:styleId="177">
    <w:name w:val="16"/>
    <w:qFormat/>
    <w:uiPriority w:val="0"/>
    <w:rPr>
      <w:rFonts w:ascii="仿宋_GB2312" w:eastAsia="仿宋_GB2312"/>
      <w:color w:val="auto"/>
      <w:sz w:val="28"/>
      <w:szCs w:val="28"/>
    </w:rPr>
  </w:style>
  <w:style w:type="character" w:customStyle="1" w:styleId="178">
    <w:name w:val="num31"/>
    <w:basedOn w:val="49"/>
    <w:qFormat/>
    <w:uiPriority w:val="0"/>
  </w:style>
  <w:style w:type="character" w:customStyle="1" w:styleId="179">
    <w:name w:val="starting4"/>
    <w:basedOn w:val="49"/>
    <w:qFormat/>
    <w:uiPriority w:val="0"/>
  </w:style>
  <w:style w:type="character" w:customStyle="1" w:styleId="180">
    <w:name w:val="bsharetext"/>
    <w:basedOn w:val="49"/>
    <w:qFormat/>
    <w:uiPriority w:val="0"/>
  </w:style>
  <w:style w:type="character" w:customStyle="1" w:styleId="181">
    <w:name w:val="unit"/>
    <w:qFormat/>
    <w:uiPriority w:val="0"/>
    <w:rPr>
      <w:color w:val="999999"/>
    </w:rPr>
  </w:style>
  <w:style w:type="character" w:customStyle="1" w:styleId="182">
    <w:name w:val="nostart2"/>
    <w:qFormat/>
    <w:uiPriority w:val="0"/>
    <w:rPr>
      <w:color w:val="B60000"/>
    </w:rPr>
  </w:style>
  <w:style w:type="character" w:customStyle="1" w:styleId="183">
    <w:name w:val="纯文本 Char"/>
    <w:qFormat/>
    <w:uiPriority w:val="99"/>
    <w:rPr>
      <w:rFonts w:ascii="Courier New" w:hAnsi="Courier New" w:eastAsia="宋体"/>
      <w:kern w:val="2"/>
      <w:sz w:val="21"/>
      <w:lang w:val="en-US" w:eastAsia="zh-CN" w:bidi="ar-SA"/>
    </w:rPr>
  </w:style>
  <w:style w:type="character" w:customStyle="1" w:styleId="184">
    <w:name w:val="Char Char81"/>
    <w:qFormat/>
    <w:uiPriority w:val="0"/>
    <w:rPr>
      <w:rFonts w:ascii="Arial" w:hAnsi="Arial" w:eastAsia="黑体"/>
      <w:b/>
      <w:bCs/>
      <w:kern w:val="2"/>
      <w:sz w:val="32"/>
      <w:szCs w:val="32"/>
      <w:lang w:val="en-US" w:eastAsia="zh-CN" w:bidi="ar-SA"/>
    </w:rPr>
  </w:style>
  <w:style w:type="character" w:customStyle="1" w:styleId="185">
    <w:name w:val="starting"/>
    <w:qFormat/>
    <w:uiPriority w:val="0"/>
    <w:rPr>
      <w:color w:val="339900"/>
    </w:rPr>
  </w:style>
  <w:style w:type="character" w:customStyle="1" w:styleId="186">
    <w:name w:val="nostart1"/>
    <w:qFormat/>
    <w:uiPriority w:val="0"/>
    <w:rPr>
      <w:color w:val="FF0000"/>
    </w:rPr>
  </w:style>
  <w:style w:type="character" w:customStyle="1" w:styleId="187">
    <w:name w:val="num210"/>
    <w:basedOn w:val="49"/>
    <w:qFormat/>
    <w:uiPriority w:val="0"/>
  </w:style>
  <w:style w:type="character" w:customStyle="1" w:styleId="188">
    <w:name w:val="buvis1"/>
    <w:qFormat/>
    <w:uiPriority w:val="0"/>
    <w:rPr>
      <w:color w:val="CC0000"/>
    </w:rPr>
  </w:style>
  <w:style w:type="character" w:customStyle="1" w:styleId="189">
    <w:name w:val="starting3"/>
    <w:basedOn w:val="49"/>
    <w:qFormat/>
    <w:uiPriority w:val="0"/>
  </w:style>
  <w:style w:type="character" w:customStyle="1" w:styleId="190">
    <w:name w:val="textcontents"/>
    <w:basedOn w:val="49"/>
    <w:qFormat/>
    <w:uiPriority w:val="0"/>
  </w:style>
  <w:style w:type="character" w:customStyle="1" w:styleId="191">
    <w:name w:val="num41"/>
    <w:basedOn w:val="49"/>
    <w:qFormat/>
    <w:uiPriority w:val="0"/>
  </w:style>
  <w:style w:type="character" w:customStyle="1" w:styleId="192">
    <w:name w:val="tit9"/>
    <w:qFormat/>
    <w:uiPriority w:val="0"/>
    <w:rPr>
      <w:color w:val="B60000"/>
      <w:sz w:val="27"/>
      <w:szCs w:val="27"/>
      <w:bdr w:val="single" w:color="DFCEB8" w:sz="6" w:space="0"/>
      <w:shd w:val="clear" w:color="auto" w:fill="FFFFFF"/>
    </w:rPr>
  </w:style>
  <w:style w:type="character" w:customStyle="1" w:styleId="193">
    <w:name w:val="name2"/>
    <w:qFormat/>
    <w:uiPriority w:val="0"/>
    <w:rPr>
      <w:color w:val="000000"/>
      <w:sz w:val="39"/>
      <w:szCs w:val="39"/>
    </w:rPr>
  </w:style>
  <w:style w:type="character" w:customStyle="1" w:styleId="194">
    <w:name w:val="img_title8"/>
    <w:qFormat/>
    <w:uiPriority w:val="0"/>
    <w:rPr>
      <w:vanish/>
    </w:rPr>
  </w:style>
  <w:style w:type="character" w:customStyle="1" w:styleId="195">
    <w:name w:val="tit15"/>
    <w:qFormat/>
    <w:uiPriority w:val="0"/>
    <w:rPr>
      <w:b/>
      <w:color w:val="B60000"/>
    </w:rPr>
  </w:style>
  <w:style w:type="character" w:customStyle="1" w:styleId="196">
    <w:name w:val="img_title9"/>
    <w:qFormat/>
    <w:uiPriority w:val="0"/>
    <w:rPr>
      <w:vanish/>
    </w:rPr>
  </w:style>
  <w:style w:type="character" w:customStyle="1" w:styleId="197">
    <w:name w:val="标题 2 Char2"/>
    <w:link w:val="7"/>
    <w:qFormat/>
    <w:uiPriority w:val="0"/>
    <w:rPr>
      <w:rFonts w:ascii="Arial" w:hAnsi="Arial" w:eastAsia="黑体"/>
      <w:b/>
      <w:bCs/>
      <w:kern w:val="2"/>
      <w:sz w:val="21"/>
      <w:szCs w:val="32"/>
      <w:lang w:val="en-US" w:eastAsia="zh-CN" w:bidi="ar-SA"/>
    </w:rPr>
  </w:style>
  <w:style w:type="paragraph" w:customStyle="1" w:styleId="198">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199">
    <w:name w:val="font12"/>
    <w:basedOn w:val="49"/>
    <w:qFormat/>
    <w:uiPriority w:val="0"/>
    <w:rPr>
      <w:rFonts w:hint="eastAsia" w:ascii="仿宋" w:hAnsi="仿宋" w:eastAsia="仿宋" w:cs="仿宋"/>
      <w:b/>
      <w:color w:val="000000"/>
      <w:sz w:val="32"/>
      <w:szCs w:val="32"/>
      <w:u w:val="none"/>
    </w:rPr>
  </w:style>
  <w:style w:type="character" w:customStyle="1" w:styleId="200">
    <w:name w:val="font101"/>
    <w:basedOn w:val="49"/>
    <w:qFormat/>
    <w:uiPriority w:val="0"/>
    <w:rPr>
      <w:rFonts w:hint="default" w:ascii="Times New Roman" w:hAnsi="Times New Roman" w:cs="Times New Roman"/>
      <w:color w:val="000000"/>
      <w:sz w:val="24"/>
      <w:szCs w:val="24"/>
      <w:u w:val="none"/>
    </w:rPr>
  </w:style>
  <w:style w:type="character" w:customStyle="1" w:styleId="201">
    <w:name w:val="font111"/>
    <w:basedOn w:val="49"/>
    <w:qFormat/>
    <w:uiPriority w:val="0"/>
    <w:rPr>
      <w:rFonts w:ascii="仿宋_GB2312" w:eastAsia="仿宋_GB2312" w:cs="仿宋_GB2312"/>
      <w:color w:val="000000"/>
      <w:sz w:val="24"/>
      <w:szCs w:val="24"/>
      <w:u w:val="none"/>
    </w:rPr>
  </w:style>
  <w:style w:type="character" w:customStyle="1" w:styleId="202">
    <w:name w:val="font91"/>
    <w:basedOn w:val="49"/>
    <w:qFormat/>
    <w:uiPriority w:val="0"/>
    <w:rPr>
      <w:rFonts w:hint="eastAsia" w:ascii="仿宋" w:hAnsi="仿宋" w:eastAsia="仿宋" w:cs="仿宋"/>
      <w:color w:val="000000"/>
      <w:sz w:val="24"/>
      <w:szCs w:val="24"/>
      <w:u w:val="single"/>
    </w:rPr>
  </w:style>
  <w:style w:type="character" w:customStyle="1" w:styleId="203">
    <w:name w:val="font81"/>
    <w:basedOn w:val="49"/>
    <w:qFormat/>
    <w:uiPriority w:val="0"/>
    <w:rPr>
      <w:rFonts w:hint="default" w:ascii="Times New Roman" w:hAnsi="Times New Roman" w:cs="Times New Roman"/>
      <w:color w:val="000000"/>
      <w:sz w:val="24"/>
      <w:szCs w:val="24"/>
      <w:u w:val="none"/>
    </w:rPr>
  </w:style>
  <w:style w:type="character" w:customStyle="1" w:styleId="204">
    <w:name w:val="font61"/>
    <w:basedOn w:val="49"/>
    <w:qFormat/>
    <w:uiPriority w:val="0"/>
    <w:rPr>
      <w:rFonts w:hint="eastAsia" w:ascii="仿宋_GB2312" w:eastAsia="仿宋_GB2312" w:cs="仿宋_GB2312"/>
      <w:color w:val="000000"/>
      <w:sz w:val="24"/>
      <w:szCs w:val="24"/>
      <w:u w:val="none"/>
    </w:rPr>
  </w:style>
  <w:style w:type="character" w:customStyle="1" w:styleId="205">
    <w:name w:val="font21"/>
    <w:basedOn w:val="49"/>
    <w:qFormat/>
    <w:uiPriority w:val="0"/>
    <w:rPr>
      <w:rFonts w:hint="default" w:ascii="Times New Roman" w:hAnsi="Times New Roman" w:cs="Times New Roman"/>
      <w:color w:val="000000"/>
      <w:sz w:val="24"/>
      <w:szCs w:val="24"/>
      <w:u w:val="none"/>
    </w:rPr>
  </w:style>
  <w:style w:type="character" w:customStyle="1" w:styleId="206">
    <w:name w:val="NormalCharacter"/>
    <w:semiHidden/>
    <w:qFormat/>
    <w:uiPriority w:val="0"/>
    <w:rPr>
      <w:snapToGrid w:val="0"/>
      <w:kern w:val="0"/>
      <w:sz w:val="32"/>
      <w:szCs w:val="32"/>
      <w:lang w:val="en-US" w:eastAsia="zh-CN" w:bidi="ar-SA"/>
    </w:rPr>
  </w:style>
  <w:style w:type="character" w:customStyle="1" w:styleId="207">
    <w:name w:val="first-child1"/>
    <w:basedOn w:val="49"/>
    <w:qFormat/>
    <w:uiPriority w:val="0"/>
  </w:style>
  <w:style w:type="character" w:customStyle="1" w:styleId="208">
    <w:name w:val="hover1"/>
    <w:basedOn w:val="49"/>
    <w:qFormat/>
    <w:uiPriority w:val="0"/>
    <w:rPr>
      <w:color w:val="2590EB"/>
    </w:rPr>
  </w:style>
  <w:style w:type="character" w:customStyle="1" w:styleId="209">
    <w:name w:val="hover2"/>
    <w:basedOn w:val="49"/>
    <w:qFormat/>
    <w:uiPriority w:val="0"/>
  </w:style>
  <w:style w:type="character" w:customStyle="1" w:styleId="210">
    <w:name w:val="hover3"/>
    <w:basedOn w:val="49"/>
    <w:qFormat/>
    <w:uiPriority w:val="0"/>
    <w:rPr>
      <w:color w:val="2590EB"/>
    </w:rPr>
  </w:style>
  <w:style w:type="character" w:customStyle="1" w:styleId="211">
    <w:name w:val="hover4"/>
    <w:basedOn w:val="49"/>
    <w:qFormat/>
    <w:uiPriority w:val="0"/>
    <w:rPr>
      <w:color w:val="2590EB"/>
      <w:shd w:val="clear" w:fill="E9F4FD"/>
    </w:rPr>
  </w:style>
  <w:style w:type="character" w:customStyle="1" w:styleId="212">
    <w:name w:val="mini-outputtext1"/>
    <w:basedOn w:val="49"/>
    <w:qFormat/>
    <w:uiPriority w:val="0"/>
  </w:style>
  <w:style w:type="character" w:customStyle="1" w:styleId="213">
    <w:name w:val="hover"/>
    <w:basedOn w:val="49"/>
    <w:qFormat/>
    <w:uiPriority w:val="0"/>
    <w:rPr>
      <w:color w:val="2590EB"/>
    </w:rPr>
  </w:style>
  <w:style w:type="paragraph" w:customStyle="1" w:styleId="214">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character" w:customStyle="1" w:styleId="215">
    <w:name w:val="time"/>
    <w:basedOn w:val="49"/>
    <w:qFormat/>
    <w:uiPriority w:val="0"/>
  </w:style>
  <w:style w:type="character" w:customStyle="1" w:styleId="216">
    <w:name w:val="status"/>
    <w:basedOn w:val="49"/>
    <w:qFormat/>
    <w:uiPriority w:val="0"/>
    <w:rPr>
      <w:color w:val="0776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102</Pages>
  <Words>17139</Words>
  <Characters>18650</Characters>
  <Lines>411</Lines>
  <Paragraphs>115</Paragraphs>
  <TotalTime>48</TotalTime>
  <ScaleCrop>false</ScaleCrop>
  <LinksUpToDate>false</LinksUpToDate>
  <CharactersWithSpaces>18942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傻傻一辈子</cp:lastModifiedBy>
  <cp:lastPrinted>2023-06-08T00:43:00Z</cp:lastPrinted>
  <dcterms:modified xsi:type="dcterms:W3CDTF">2025-10-14T06:50:59Z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40CBC1B083924196992377331F4909AC_13</vt:lpwstr>
  </property>
  <property fmtid="{D5CDD505-2E9C-101B-9397-08002B2CF9AE}" pid="4" name="KSOTemplateDocerSaveRecord">
    <vt:lpwstr>eyJoZGlkIjoiMTljMDcwYWJmYjExZWQzNTVmZDAzZTYwM2JlMzJmZDYiLCJ1c2VySWQiOiIzODU2Mzk2OTQifQ==</vt:lpwstr>
  </property>
</Properties>
</file>