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13E8">
      <w:pPr>
        <w:spacing w:after="156" w:afterLines="50"/>
        <w:ind w:left="-850" w:leftChars="-405" w:right="-625"/>
        <w:jc w:val="center"/>
        <w:rPr>
          <w:rFonts w:hint="eastAsia" w:ascii="宋体" w:hAnsi="宋体" w:cs="宋体"/>
          <w:b/>
          <w:bCs/>
          <w:color w:val="auto"/>
          <w:w w:val="85"/>
          <w:sz w:val="44"/>
          <w:szCs w:val="44"/>
          <w:highlight w:val="none"/>
          <w:lang w:val="en-US" w:eastAsia="zh-CN"/>
        </w:rPr>
      </w:pPr>
      <w:bookmarkStart w:id="0" w:name="OLE_LINK1"/>
    </w:p>
    <w:p w14:paraId="47AE0B09">
      <w:pPr>
        <w:keepNext w:val="0"/>
        <w:keepLines w:val="0"/>
        <w:pageBreakBefore w:val="0"/>
        <w:widowControl w:val="0"/>
        <w:kinsoku/>
        <w:wordWrap/>
        <w:overflowPunct/>
        <w:topLinePunct w:val="0"/>
        <w:autoSpaceDE/>
        <w:autoSpaceDN/>
        <w:bidi w:val="0"/>
        <w:adjustRightInd/>
        <w:snapToGrid/>
        <w:spacing w:before="157" w:beforeLines="50" w:after="157" w:afterLines="50" w:line="840" w:lineRule="exact"/>
        <w:jc w:val="center"/>
        <w:textAlignment w:val="auto"/>
        <w:rPr>
          <w:rFonts w:hint="default" w:ascii="宋体"/>
          <w:b/>
          <w:bCs w:val="0"/>
          <w:color w:val="auto"/>
          <w:sz w:val="52"/>
          <w:szCs w:val="52"/>
          <w:highlight w:val="none"/>
          <w:lang w:val="en-US"/>
        </w:rPr>
      </w:pPr>
      <w:r>
        <w:rPr>
          <w:rFonts w:hint="default" w:ascii="宋体"/>
          <w:b/>
          <w:bCs w:val="0"/>
          <w:color w:val="auto"/>
          <w:sz w:val="52"/>
          <w:szCs w:val="52"/>
          <w:highlight w:val="none"/>
          <w:lang w:val="en-US" w:eastAsia="zh-CN"/>
        </w:rPr>
        <w:t>中新大道（福州路-经三路）下穿S22天天高速滁马段安全技术评价</w:t>
      </w:r>
      <w:r>
        <w:rPr>
          <w:rFonts w:hint="eastAsia" w:ascii="宋体"/>
          <w:b/>
          <w:bCs w:val="0"/>
          <w:color w:val="auto"/>
          <w:sz w:val="52"/>
          <w:szCs w:val="52"/>
          <w:highlight w:val="none"/>
          <w:lang w:val="en-US" w:eastAsia="zh-CN"/>
        </w:rPr>
        <w:t>报告</w:t>
      </w:r>
      <w:r>
        <w:rPr>
          <w:rFonts w:hint="default" w:ascii="宋体"/>
          <w:b/>
          <w:bCs w:val="0"/>
          <w:color w:val="auto"/>
          <w:sz w:val="52"/>
          <w:szCs w:val="52"/>
          <w:highlight w:val="none"/>
          <w:lang w:val="en-US" w:eastAsia="zh-CN"/>
        </w:rPr>
        <w:t>编制咨询服务项目</w:t>
      </w:r>
    </w:p>
    <w:p w14:paraId="3B722E9F">
      <w:pPr>
        <w:rPr>
          <w:rFonts w:hint="eastAsia" w:ascii="宋体"/>
          <w:bCs/>
          <w:color w:val="auto"/>
          <w:szCs w:val="21"/>
          <w:highlight w:val="none"/>
        </w:rPr>
      </w:pPr>
    </w:p>
    <w:p w14:paraId="00E95DF9">
      <w:pPr>
        <w:spacing w:line="360" w:lineRule="auto"/>
        <w:jc w:val="center"/>
        <w:rPr>
          <w:rFonts w:hint="eastAsia" w:ascii="宋体" w:hAnsi="宋体" w:cs="宋体"/>
          <w:b/>
          <w:color w:val="auto"/>
          <w:sz w:val="96"/>
          <w:szCs w:val="96"/>
          <w:highlight w:val="none"/>
          <w:lang w:val="en-US" w:eastAsia="zh-CN"/>
        </w:rPr>
      </w:pPr>
    </w:p>
    <w:p w14:paraId="3FBF3C19">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lang w:val="en-US" w:eastAsia="zh-CN"/>
        </w:rPr>
        <w:t>招 标</w:t>
      </w:r>
      <w:r>
        <w:rPr>
          <w:rFonts w:hint="eastAsia" w:ascii="宋体" w:hAnsi="宋体" w:cs="宋体"/>
          <w:b/>
          <w:color w:val="auto"/>
          <w:sz w:val="96"/>
          <w:szCs w:val="96"/>
          <w:highlight w:val="none"/>
        </w:rPr>
        <w:t xml:space="preserve"> 文 件</w:t>
      </w:r>
    </w:p>
    <w:p w14:paraId="3C76AF0D">
      <w:pPr>
        <w:rPr>
          <w:rFonts w:hint="eastAsia" w:ascii="宋体" w:hAnsi="宋体"/>
          <w:b/>
          <w:color w:val="auto"/>
          <w:sz w:val="84"/>
          <w:szCs w:val="84"/>
          <w:highlight w:val="none"/>
        </w:rPr>
      </w:pPr>
    </w:p>
    <w:p w14:paraId="4A7FD18D">
      <w:pPr>
        <w:pStyle w:val="35"/>
        <w:rPr>
          <w:rFonts w:hint="eastAsia"/>
          <w:color w:val="auto"/>
          <w:highlight w:val="none"/>
        </w:rPr>
      </w:pPr>
    </w:p>
    <w:p w14:paraId="4C460C2D">
      <w:pPr>
        <w:rPr>
          <w:rFonts w:hint="eastAsia"/>
          <w:color w:val="auto"/>
          <w:highlight w:val="none"/>
        </w:rPr>
      </w:pPr>
    </w:p>
    <w:p w14:paraId="404E689C">
      <w:pPr>
        <w:rPr>
          <w:rFonts w:hint="eastAsia" w:ascii="宋体"/>
          <w:color w:val="auto"/>
          <w:sz w:val="28"/>
          <w:szCs w:val="28"/>
          <w:highlight w:val="none"/>
        </w:rPr>
      </w:pPr>
    </w:p>
    <w:p w14:paraId="5EEB095C">
      <w:pPr>
        <w:pStyle w:val="27"/>
        <w:ind w:left="0" w:leftChars="0" w:firstLine="0" w:firstLineChars="0"/>
        <w:rPr>
          <w:rFonts w:hint="eastAsia"/>
          <w:color w:val="auto"/>
          <w:highlight w:val="none"/>
        </w:rPr>
      </w:pPr>
    </w:p>
    <w:p w14:paraId="7974D0E1">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u w:val="single"/>
          <w:lang w:val="en-US" w:eastAsia="zh-CN"/>
        </w:rPr>
        <w:t>滁州市苏滁产城融合开发建设有限公司</w:t>
      </w:r>
      <w:r>
        <w:rPr>
          <w:rFonts w:hint="eastAsia" w:ascii="宋体"/>
          <w:b/>
          <w:color w:val="auto"/>
          <w:sz w:val="32"/>
          <w:szCs w:val="32"/>
          <w:highlight w:val="none"/>
        </w:rPr>
        <w:t>（盖章）</w:t>
      </w:r>
    </w:p>
    <w:p w14:paraId="41A12475">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（盖章）</w:t>
      </w:r>
    </w:p>
    <w:p w14:paraId="1D0C730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lang w:val="en-US" w:eastAsia="zh-CN"/>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月</w:t>
      </w:r>
    </w:p>
    <w:p w14:paraId="11D8DEB2">
      <w:pPr>
        <w:spacing w:line="360" w:lineRule="exact"/>
        <w:jc w:val="both"/>
        <w:rPr>
          <w:rFonts w:hint="eastAsia"/>
          <w:b/>
          <w:color w:val="auto"/>
          <w:sz w:val="36"/>
          <w:highlight w:val="none"/>
        </w:rPr>
      </w:pPr>
    </w:p>
    <w:p w14:paraId="0292D2CD">
      <w:pPr>
        <w:rPr>
          <w:rFonts w:hint="eastAsia"/>
          <w:b/>
          <w:color w:val="auto"/>
          <w:sz w:val="36"/>
          <w:highlight w:val="none"/>
        </w:rPr>
      </w:pPr>
      <w:r>
        <w:rPr>
          <w:rFonts w:hint="eastAsia"/>
          <w:b/>
          <w:color w:val="auto"/>
          <w:sz w:val="36"/>
          <w:highlight w:val="none"/>
        </w:rPr>
        <w:br w:type="page"/>
      </w:r>
    </w:p>
    <w:p w14:paraId="31668C46">
      <w:pPr>
        <w:spacing w:line="360" w:lineRule="exact"/>
        <w:jc w:val="center"/>
        <w:rPr>
          <w:rFonts w:hint="eastAsia"/>
          <w:b/>
          <w:color w:val="auto"/>
          <w:sz w:val="36"/>
          <w:highlight w:val="none"/>
        </w:rPr>
      </w:pPr>
      <w:r>
        <w:rPr>
          <w:rFonts w:hint="eastAsia"/>
          <w:b/>
          <w:color w:val="auto"/>
          <w:sz w:val="36"/>
          <w:highlight w:val="none"/>
        </w:rPr>
        <w:t>目  录</w:t>
      </w:r>
    </w:p>
    <w:p w14:paraId="7C7066CB">
      <w:pPr>
        <w:spacing w:line="360" w:lineRule="exact"/>
        <w:jc w:val="center"/>
        <w:rPr>
          <w:rFonts w:hint="eastAsia"/>
          <w:b/>
          <w:color w:val="auto"/>
          <w:sz w:val="36"/>
          <w:highlight w:val="none"/>
        </w:rPr>
      </w:pPr>
    </w:p>
    <w:p w14:paraId="56A10D92">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ascii="宋体" w:hAnsi="宋体"/>
          <w:b/>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ascii="宋体" w:hAnsi="宋体"/>
          <w:color w:val="auto"/>
          <w:sz w:val="28"/>
          <w:szCs w:val="28"/>
          <w:highlight w:val="none"/>
        </w:rPr>
        <w:fldChar w:fldCharType="begin"/>
      </w:r>
      <w:r>
        <w:rPr>
          <w:rStyle w:val="47"/>
          <w:rFonts w:ascii="宋体" w:hAnsi="宋体"/>
          <w:color w:val="auto"/>
          <w:sz w:val="28"/>
          <w:szCs w:val="28"/>
          <w:highlight w:val="none"/>
        </w:rPr>
        <w:instrText xml:space="preserve"> </w:instrText>
      </w:r>
      <w:r>
        <w:rPr>
          <w:rFonts w:ascii="宋体" w:hAnsi="宋体"/>
          <w:color w:val="auto"/>
          <w:sz w:val="28"/>
          <w:szCs w:val="28"/>
          <w:highlight w:val="none"/>
        </w:rPr>
        <w:instrText xml:space="preserve">HYPERLINK \l "_Toc58430304"</w:instrText>
      </w:r>
      <w:r>
        <w:rPr>
          <w:rStyle w:val="47"/>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Style w:val="47"/>
          <w:rFonts w:hint="eastAsia" w:ascii="宋体" w:hAnsi="宋体"/>
          <w:b/>
          <w:color w:val="auto"/>
          <w:sz w:val="28"/>
          <w:szCs w:val="28"/>
          <w:highlight w:val="none"/>
        </w:rPr>
        <w:t>第一章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招标公告</w:t>
      </w:r>
      <w:r>
        <w:rPr>
          <w:rFonts w:ascii="宋体" w:hAnsi="宋体"/>
          <w:b/>
          <w:color w:val="auto"/>
          <w:sz w:val="28"/>
          <w:szCs w:val="28"/>
          <w:highlight w:val="none"/>
        </w:rPr>
        <w:tab/>
      </w:r>
      <w:r>
        <w:rPr>
          <w:rFonts w:hint="eastAsia" w:ascii="宋体" w:hAnsi="宋体"/>
          <w:b/>
          <w:color w:val="auto"/>
          <w:sz w:val="28"/>
          <w:szCs w:val="28"/>
          <w:highlight w:val="none"/>
          <w:lang w:val="en-US" w:eastAsia="zh-CN"/>
        </w:rPr>
        <w:t>1</w:t>
      </w:r>
      <w:r>
        <w:rPr>
          <w:rFonts w:ascii="宋体" w:hAnsi="宋体"/>
          <w:b/>
          <w:color w:val="auto"/>
          <w:sz w:val="28"/>
          <w:szCs w:val="28"/>
          <w:highlight w:val="none"/>
        </w:rPr>
        <w:fldChar w:fldCharType="end"/>
      </w:r>
    </w:p>
    <w:p w14:paraId="526C863D">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eastAsia" w:ascii="宋体" w:hAnsi="宋体" w:eastAsia="宋体"/>
          <w:b/>
          <w:color w:val="auto"/>
          <w:sz w:val="28"/>
          <w:szCs w:val="28"/>
          <w:highlight w:val="none"/>
          <w:lang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"_Toc58430313"</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第二章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投标人</w:t>
      </w:r>
      <w:r>
        <w:rPr>
          <w:rStyle w:val="47"/>
          <w:rFonts w:hint="eastAsia" w:ascii="宋体" w:hAnsi="宋体"/>
          <w:b/>
          <w:color w:val="auto"/>
          <w:sz w:val="28"/>
          <w:szCs w:val="28"/>
          <w:highlight w:val="none"/>
        </w:rPr>
        <w:t>须知</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5</w:t>
      </w:r>
    </w:p>
    <w:p w14:paraId="2E10A08E">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"_Toc58430316"</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第三章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评标办法（</w:t>
      </w:r>
      <w:r>
        <w:rPr>
          <w:rStyle w:val="47"/>
          <w:rFonts w:hint="eastAsia" w:ascii="宋体" w:hAnsi="宋体"/>
          <w:b/>
          <w:color w:val="auto"/>
          <w:sz w:val="28"/>
          <w:szCs w:val="28"/>
          <w:highlight w:val="none"/>
          <w:lang w:val="en-US" w:eastAsia="zh-CN"/>
        </w:rPr>
        <w:t>最低评标价法</w:t>
      </w:r>
      <w:r>
        <w:rPr>
          <w:rStyle w:val="47"/>
          <w:rFonts w:hint="eastAsia" w:ascii="宋体" w:hAnsi="宋体"/>
          <w:b/>
          <w:color w:val="auto"/>
          <w:sz w:val="28"/>
          <w:szCs w:val="28"/>
          <w:highlight w:val="none"/>
        </w:rPr>
        <w:t>）</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19</w:t>
      </w:r>
    </w:p>
    <w:p w14:paraId="756FF240">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"_Toc58430328"</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第四章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采购需求</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25</w:t>
      </w:r>
    </w:p>
    <w:p w14:paraId="0BD5CD3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第五章 合同协议书</w:t>
      </w:r>
      <w:r>
        <w:rPr>
          <w:rFonts w:ascii="宋体" w:hAnsi="宋体"/>
          <w:b/>
          <w:color w:val="auto"/>
          <w:sz w:val="28"/>
          <w:szCs w:val="28"/>
          <w:highlight w:val="none"/>
        </w:rPr>
        <w:tab/>
      </w:r>
      <w:r>
        <w:rPr>
          <w:rFonts w:hint="eastAsia" w:ascii="宋体" w:hAnsi="宋体"/>
          <w:b/>
          <w:color w:val="auto"/>
          <w:sz w:val="28"/>
          <w:szCs w:val="28"/>
          <w:highlight w:val="none"/>
          <w:lang w:val="en-US" w:eastAsia="zh-CN"/>
        </w:rPr>
        <w:t>27</w:t>
      </w:r>
    </w:p>
    <w:p w14:paraId="08D4698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"_Toc58430332"</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w:t>
      </w:r>
      <w:r>
        <w:rPr>
          <w:rStyle w:val="47"/>
          <w:rFonts w:hint="eastAsia" w:ascii="宋体" w:hAnsi="宋体"/>
          <w:b/>
          <w:color w:val="auto"/>
          <w:sz w:val="28"/>
          <w:szCs w:val="28"/>
          <w:highlight w:val="none"/>
          <w:lang w:val="en-US" w:eastAsia="zh-CN"/>
        </w:rPr>
        <w:t>六</w:t>
      </w:r>
      <w:r>
        <w:rPr>
          <w:rStyle w:val="47"/>
          <w:rFonts w:hint="eastAsia" w:ascii="宋体" w:hAnsi="宋体"/>
          <w:b/>
          <w:color w:val="auto"/>
          <w:sz w:val="28"/>
          <w:szCs w:val="28"/>
          <w:highlight w:val="none"/>
        </w:rPr>
        <w:t>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w:t>
      </w:r>
      <w:r>
        <w:rPr>
          <w:rStyle w:val="47"/>
          <w:rFonts w:hint="eastAsia" w:ascii="宋体" w:hAnsi="宋体"/>
          <w:b/>
          <w:color w:val="auto"/>
          <w:sz w:val="28"/>
          <w:szCs w:val="28"/>
          <w:highlight w:val="none"/>
          <w:lang w:eastAsia="zh-CN"/>
        </w:rPr>
        <w:t>文件</w:t>
      </w:r>
      <w:r>
        <w:rPr>
          <w:rStyle w:val="47"/>
          <w:rFonts w:hint="eastAsia" w:ascii="宋体" w:hAnsi="宋体"/>
          <w:b/>
          <w:color w:val="auto"/>
          <w:sz w:val="28"/>
          <w:szCs w:val="28"/>
          <w:highlight w:val="none"/>
        </w:rPr>
        <w:t>格式</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33</w:t>
      </w:r>
    </w:p>
    <w:p w14:paraId="35E73014">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before="156" w:beforeLines="50" w:after="156" w:afterLines="50" w:line="920" w:lineRule="exact"/>
        <w:ind w:left="120" w:hanging="140" w:hangingChars="50"/>
        <w:jc w:val="center"/>
        <w:textAlignment w:val="auto"/>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587" w:right="1587" w:bottom="1587" w:left="1587" w:header="851" w:footer="992" w:gutter="0"/>
          <w:pgNumType w:start="1"/>
          <w:cols w:space="720" w:num="1"/>
          <w:rtlGutter w:val="0"/>
          <w:docGrid w:type="lines" w:linePitch="312" w:charSpace="0"/>
        </w:sectPr>
      </w:pPr>
      <w:r>
        <w:rPr>
          <w:rFonts w:hint="eastAsia" w:ascii="宋体" w:hAnsi="宋体" w:cs="宋体"/>
          <w:color w:val="auto"/>
          <w:sz w:val="28"/>
          <w:szCs w:val="28"/>
          <w:highlight w:val="none"/>
        </w:rPr>
        <w:fldChar w:fldCharType="end"/>
      </w:r>
    </w:p>
    <w:p w14:paraId="26C6180F">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219D8D0B">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bookmarkStart w:id="2" w:name="_Toc58430313"/>
      <w:bookmarkStart w:id="72" w:name="_GoBack"/>
      <w:r>
        <w:rPr>
          <w:rFonts w:hint="eastAsia" w:ascii="仿宋" w:hAnsi="仿宋" w:eastAsia="仿宋" w:cs="仿宋"/>
          <w:color w:val="auto"/>
          <w:sz w:val="28"/>
          <w:szCs w:val="28"/>
          <w:highlight w:val="none"/>
        </w:rPr>
        <w:t>项目概况</w:t>
      </w:r>
    </w:p>
    <w:p w14:paraId="2BCA7D54">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中新大道（福州路-经三路）下穿S22天天高速滁马段安全技术评价报告编制咨询服务项目</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eastAsia="zh-CN"/>
        </w:rPr>
        <w:t>中新苏滁高新技术产业开发区（https://scp.chuzhou.gov.cn/）、</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招标文件</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446630A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8805FA0">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项目编号：HXJY1110001058029001 </w:t>
      </w:r>
    </w:p>
    <w:p w14:paraId="4F29AFD5">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中新大道（福州路-经三路）下穿S22天天高速滁马段安全技术评价报告编制咨询服务项目</w:t>
      </w:r>
    </w:p>
    <w:p w14:paraId="302FE9BA">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75000.00元</w:t>
      </w:r>
    </w:p>
    <w:p w14:paraId="5C22861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75000.00元</w:t>
      </w:r>
    </w:p>
    <w:p w14:paraId="3D86EAE3">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安全技术评价报告编制</w:t>
      </w:r>
    </w:p>
    <w:p w14:paraId="3461DB2F">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合同履行期限：自合同签订之日起15个日历天内完成全部安全技术评价报告并出具成果资料。</w:t>
      </w:r>
    </w:p>
    <w:p w14:paraId="4C4C68F8">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r>
        <w:rPr>
          <w:rFonts w:hint="eastAsia" w:ascii="仿宋" w:hAnsi="仿宋" w:eastAsia="仿宋" w:cs="仿宋"/>
          <w:color w:val="auto"/>
          <w:sz w:val="28"/>
          <w:szCs w:val="28"/>
          <w:highlight w:val="none"/>
          <w:lang w:eastAsia="zh-CN"/>
        </w:rPr>
        <w:t>。</w:t>
      </w:r>
    </w:p>
    <w:p w14:paraId="106AC96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80"/>
      <w:bookmarkStart w:id="4" w:name="_Toc28359003"/>
      <w:bookmarkStart w:id="5" w:name="_Toc35393791"/>
      <w:bookmarkStart w:id="6" w:name="_Toc35393622"/>
      <w:r>
        <w:rPr>
          <w:rFonts w:hint="eastAsia" w:ascii="黑体" w:hAnsi="黑体" w:eastAsia="黑体" w:cs="黑体"/>
          <w:color w:val="auto"/>
          <w:sz w:val="28"/>
          <w:szCs w:val="28"/>
          <w:highlight w:val="none"/>
        </w:rPr>
        <w:t>二、申请人的资格要求</w:t>
      </w:r>
      <w:bookmarkEnd w:id="3"/>
      <w:bookmarkEnd w:id="4"/>
      <w:bookmarkEnd w:id="5"/>
      <w:bookmarkEnd w:id="6"/>
    </w:p>
    <w:p w14:paraId="0421588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bookmarkStart w:id="7" w:name="_Toc35393623"/>
      <w:bookmarkStart w:id="8" w:name="_Toc28359081"/>
      <w:bookmarkStart w:id="9" w:name="_Toc28359004"/>
      <w:bookmarkStart w:id="10" w:name="_Toc35393792"/>
      <w:r>
        <w:rPr>
          <w:rFonts w:hint="eastAsia" w:ascii="仿宋" w:hAnsi="仿宋" w:eastAsia="仿宋" w:cs="Times New Roman"/>
          <w:color w:val="auto"/>
          <w:sz w:val="28"/>
          <w:szCs w:val="28"/>
          <w:highlight w:val="none"/>
        </w:rPr>
        <w:t>1.投标人具有</w:t>
      </w:r>
      <w:r>
        <w:rPr>
          <w:rFonts w:hint="eastAsia" w:ascii="仿宋" w:hAnsi="仿宋" w:eastAsia="仿宋" w:cs="Times New Roman"/>
          <w:color w:val="auto"/>
          <w:sz w:val="28"/>
          <w:szCs w:val="28"/>
          <w:highlight w:val="none"/>
          <w:lang w:val="en-US" w:eastAsia="zh-CN"/>
        </w:rPr>
        <w:t>独立承担民事责任能力</w:t>
      </w:r>
      <w:r>
        <w:rPr>
          <w:rFonts w:hint="eastAsia" w:ascii="仿宋" w:hAnsi="仿宋" w:eastAsia="仿宋" w:cs="Times New Roman"/>
          <w:color w:val="auto"/>
          <w:sz w:val="28"/>
          <w:szCs w:val="28"/>
          <w:highlight w:val="none"/>
        </w:rPr>
        <w:t>且具有相应的服务能力；</w:t>
      </w:r>
    </w:p>
    <w:p w14:paraId="2E4DE51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2</w:t>
      </w:r>
      <w:r>
        <w:rPr>
          <w:rFonts w:hint="eastAsia" w:ascii="仿宋" w:hAnsi="仿宋" w:eastAsia="仿宋" w:cs="Times New Roman"/>
          <w:color w:val="auto"/>
          <w:sz w:val="28"/>
          <w:szCs w:val="28"/>
          <w:highlight w:val="none"/>
          <w:lang w:val="en-US" w:eastAsia="zh-CN"/>
        </w:rPr>
        <w:t>.投标人拟派项目负责人具有安全评价师职业资格证书或安全相关专业中级以上职称证书或者国家注册安全师工程师注册证书。</w:t>
      </w:r>
    </w:p>
    <w:p w14:paraId="4B668D6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w:t>
      </w:r>
      <w:bookmarkEnd w:id="7"/>
      <w:bookmarkEnd w:id="8"/>
      <w:bookmarkEnd w:id="9"/>
      <w:bookmarkEnd w:id="10"/>
      <w:r>
        <w:rPr>
          <w:rFonts w:hint="eastAsia" w:ascii="黑体" w:hAnsi="黑体" w:eastAsia="黑体" w:cs="黑体"/>
          <w:color w:val="auto"/>
          <w:sz w:val="28"/>
          <w:szCs w:val="28"/>
          <w:highlight w:val="none"/>
          <w:lang w:val="en-US" w:eastAsia="zh-CN"/>
        </w:rPr>
        <w:t>招标文件</w:t>
      </w:r>
    </w:p>
    <w:p w14:paraId="16B4ED61">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w:t>
      </w:r>
      <w:r>
        <w:rPr>
          <w:rFonts w:hint="eastAsia" w:ascii="仿宋" w:hAnsi="仿宋" w:eastAsia="仿宋" w:cs="宋体"/>
          <w:color w:val="auto"/>
          <w:sz w:val="28"/>
          <w:szCs w:val="28"/>
          <w:highlight w:val="none"/>
          <w:u w:val="none"/>
          <w:lang w:val="en-US" w:eastAsia="zh-CN"/>
        </w:rPr>
        <w:t>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18</w:t>
      </w:r>
      <w:r>
        <w:rPr>
          <w:rFonts w:hint="eastAsia" w:ascii="仿宋" w:hAnsi="仿宋" w:eastAsia="仿宋" w:cs="宋体"/>
          <w:color w:val="auto"/>
          <w:sz w:val="28"/>
          <w:szCs w:val="28"/>
          <w:highlight w:val="none"/>
          <w:u w:val="none"/>
        </w:rPr>
        <w:t>日至202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24</w:t>
      </w:r>
      <w:r>
        <w:rPr>
          <w:rFonts w:hint="eastAsia" w:ascii="仿宋" w:hAnsi="仿宋" w:eastAsia="仿宋" w:cs="宋体"/>
          <w:color w:val="auto"/>
          <w:sz w:val="28"/>
          <w:szCs w:val="28"/>
          <w:highlight w:val="none"/>
          <w:u w:val="none"/>
        </w:rPr>
        <w:t>日</w:t>
      </w:r>
    </w:p>
    <w:p w14:paraId="5D38E8FA">
      <w:pPr>
        <w:keepNext w:val="0"/>
        <w:keepLines w:val="0"/>
        <w:pageBreakBefore w:val="0"/>
        <w:widowControl w:val="0"/>
        <w:kinsoku/>
        <w:wordWrap/>
        <w:overflowPunct/>
        <w:topLinePunct w:val="0"/>
        <w:autoSpaceDE/>
        <w:autoSpaceDN/>
        <w:bidi w:val="0"/>
        <w:adjustRightInd/>
        <w:snapToGrid/>
        <w:ind w:firstLine="539"/>
        <w:jc w:val="left"/>
        <w:textAlignment w:val="auto"/>
        <w:rPr>
          <w:rFonts w:hint="default" w:ascii="仿宋" w:hAnsi="仿宋" w:eastAsia="仿宋" w:cs="宋体"/>
          <w:color w:val="auto"/>
          <w:sz w:val="28"/>
          <w:szCs w:val="28"/>
          <w:highlight w:val="none"/>
          <w:u w:val="single"/>
          <w:lang w:val="en-US"/>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中新苏滁高新技术产业开发区（https://scp.chuzhou.gov.cn/）、</w:t>
      </w:r>
      <w:r>
        <w:rPr>
          <w:rFonts w:hint="eastAsia" w:ascii="仿宋" w:hAnsi="仿宋" w:eastAsia="仿宋" w:cs="宋体"/>
          <w:color w:val="auto"/>
          <w:sz w:val="28"/>
          <w:szCs w:val="28"/>
          <w:highlight w:val="none"/>
          <w:lang w:val="en-US" w:eastAsia="zh-CN"/>
        </w:rPr>
        <w:t>滁州市城投工程咨询管理有限公司网站（https://www.czctgczx.com/）</w:t>
      </w:r>
    </w:p>
    <w:p w14:paraId="479FE4AE">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方式：网上下载</w:t>
      </w:r>
    </w:p>
    <w:p w14:paraId="7BAFF1BA">
      <w:pPr>
        <w:keepNext w:val="0"/>
        <w:keepLines w:val="0"/>
        <w:pageBreakBefore w:val="0"/>
        <w:widowControl w:val="0"/>
        <w:kinsoku/>
        <w:wordWrap/>
        <w:overflowPunct/>
        <w:topLinePunct w:val="0"/>
        <w:autoSpaceDE/>
        <w:autoSpaceDN/>
        <w:bidi w:val="0"/>
        <w:adjustRightInd/>
        <w:snapToGrid/>
        <w:ind w:firstLine="539"/>
        <w:jc w:val="left"/>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BEBF84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82"/>
      <w:bookmarkStart w:id="12" w:name="_Toc28359005"/>
      <w:bookmarkStart w:id="13" w:name="_Toc35393624"/>
      <w:bookmarkStart w:id="14" w:name="_Toc35393793"/>
      <w:r>
        <w:rPr>
          <w:rFonts w:hint="eastAsia" w:ascii="黑体" w:hAnsi="黑体" w:eastAsia="黑体" w:cs="黑体"/>
          <w:color w:val="auto"/>
          <w:sz w:val="28"/>
          <w:szCs w:val="28"/>
          <w:highlight w:val="none"/>
        </w:rPr>
        <w:t>四、提交</w:t>
      </w:r>
      <w:bookmarkEnd w:id="11"/>
      <w:bookmarkEnd w:id="12"/>
      <w:r>
        <w:rPr>
          <w:rFonts w:hint="eastAsia" w:ascii="黑体" w:hAnsi="黑体" w:eastAsia="黑体" w:cs="黑体"/>
          <w:color w:val="auto"/>
          <w:sz w:val="28"/>
          <w:szCs w:val="28"/>
          <w:highlight w:val="none"/>
          <w:lang w:eastAsia="zh-CN"/>
        </w:rPr>
        <w:t>招标文件</w:t>
      </w:r>
      <w:r>
        <w:rPr>
          <w:rFonts w:hint="eastAsia" w:ascii="黑体" w:hAnsi="黑体" w:eastAsia="黑体" w:cs="黑体"/>
          <w:color w:val="auto"/>
          <w:sz w:val="28"/>
          <w:szCs w:val="28"/>
          <w:highlight w:val="none"/>
        </w:rPr>
        <w:t>截止时间、开标时间和地点</w:t>
      </w:r>
      <w:bookmarkEnd w:id="13"/>
      <w:bookmarkEnd w:id="14"/>
    </w:p>
    <w:p w14:paraId="118C0C2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bCs/>
          <w:iCs/>
          <w:color w:val="auto"/>
          <w:sz w:val="28"/>
          <w:szCs w:val="28"/>
          <w:highlight w:val="none"/>
          <w:lang w:val="en-US"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24</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15</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14:paraId="592226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4E9C4C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5727B2B8">
      <w:pPr>
        <w:pStyle w:val="129"/>
        <w:rPr>
          <w:color w:val="auto"/>
          <w:highlight w:val="none"/>
        </w:rPr>
      </w:pPr>
      <w:bookmarkStart w:id="15" w:name="_Toc35393626"/>
      <w:bookmarkStart w:id="16" w:name="_Toc35393795"/>
      <w:r>
        <w:rPr>
          <w:color w:val="auto"/>
          <w:highlight w:val="none"/>
        </w:rPr>
        <w:t>窗体顶端</w:t>
      </w:r>
    </w:p>
    <w:p w14:paraId="50506EB0">
      <w:pPr>
        <w:pStyle w:val="35"/>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本项目不要求投标人提交投标保证金。</w:t>
      </w:r>
    </w:p>
    <w:bookmarkEnd w:id="15"/>
    <w:bookmarkEnd w:id="16"/>
    <w:p w14:paraId="2CC4B02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7D82F8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2.招标文件及相关资料售价：人民币0元/套。</w:t>
      </w:r>
    </w:p>
    <w:p w14:paraId="7C0A61F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投标人应在投标截止时间之前，登录新点电子交易平台【滁州专区】上传投标文件</w:t>
      </w:r>
    </w:p>
    <w:p w14:paraId="6B362F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5.本项目仅接受加密电子投标文件投标人在投标截止时间前通过新点电子交易平台后在【滁州专区】</w:t>
      </w:r>
    </w:p>
    <w:p w14:paraId="68180D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（https://www.etrading.cn/BREpointSSO/login/oauth2login?regioncode=DQ_ChuZhou）交易系统递交电子投标文件。</w:t>
      </w:r>
    </w:p>
    <w:p w14:paraId="175187DE">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871733B">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w:t>
      </w:r>
      <w:r>
        <w:rPr>
          <w:rFonts w:hint="eastAsia" w:ascii="仿宋" w:hAnsi="仿宋" w:eastAsia="仿宋" w:cs="仿宋"/>
          <w:color w:val="auto"/>
          <w:kern w:val="2"/>
          <w:sz w:val="28"/>
          <w:szCs w:val="28"/>
          <w:highlight w:val="none"/>
          <w:lang w:eastAsia="zh-CN"/>
        </w:rPr>
        <w:t>招标人</w:t>
      </w:r>
      <w:r>
        <w:rPr>
          <w:rFonts w:hint="eastAsia" w:ascii="仿宋" w:hAnsi="仿宋" w:eastAsia="仿宋" w:cs="仿宋"/>
          <w:color w:val="auto"/>
          <w:kern w:val="2"/>
          <w:sz w:val="28"/>
          <w:szCs w:val="28"/>
          <w:highlight w:val="none"/>
        </w:rPr>
        <w:t>信息</w:t>
      </w:r>
    </w:p>
    <w:p w14:paraId="0F4A2EA8">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滁州市苏滁产城融合开发建设有限公司</w:t>
      </w:r>
    </w:p>
    <w:p w14:paraId="11CE88B9">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w:t>
      </w:r>
      <w:r>
        <w:rPr>
          <w:rFonts w:hint="eastAsia" w:ascii="仿宋" w:hAnsi="仿宋" w:eastAsia="仿宋" w:cs="仿宋"/>
          <w:color w:val="auto"/>
          <w:sz w:val="28"/>
          <w:szCs w:val="28"/>
          <w:highlight w:val="none"/>
          <w:u w:val="single"/>
        </w:rPr>
        <w:t xml:space="preserve">  </w:t>
      </w:r>
    </w:p>
    <w:p w14:paraId="5DB56ABC">
      <w:pPr>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w:t>
      </w:r>
      <w:r>
        <w:rPr>
          <w:rFonts w:hint="eastAsia" w:ascii="仿宋" w:hAnsi="仿宋" w:eastAsia="仿宋" w:cs="仿宋"/>
          <w:color w:val="auto"/>
          <w:sz w:val="28"/>
          <w:szCs w:val="28"/>
          <w:highlight w:val="none"/>
          <w:u w:val="single"/>
        </w:rPr>
        <w:t>3769071</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18855087080</w:t>
      </w:r>
    </w:p>
    <w:p w14:paraId="06EDFE12">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C014D91">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1A3A4C65">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C74182">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54981D26">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FEFF1FA">
      <w:pPr>
        <w:pStyle w:val="17"/>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刘毅、</w:t>
      </w:r>
      <w:r>
        <w:rPr>
          <w:rFonts w:hint="eastAsia" w:ascii="仿宋" w:hAnsi="仿宋" w:eastAsia="仿宋" w:cs="仿宋"/>
          <w:color w:val="auto"/>
          <w:sz w:val="28"/>
          <w:szCs w:val="28"/>
          <w:highlight w:val="none"/>
          <w:u w:val="single" w:color="auto"/>
        </w:rPr>
        <w:t>杨韦</w:t>
      </w:r>
    </w:p>
    <w:p w14:paraId="4A4FBA8F">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val="en-US" w:eastAsia="zh-CN"/>
        </w:rPr>
        <w:t>0550-</w:t>
      </w:r>
      <w:r>
        <w:rPr>
          <w:rFonts w:hint="eastAsia" w:ascii="仿宋" w:hAnsi="仿宋" w:eastAsia="仿宋" w:cs="仿宋"/>
          <w:color w:val="auto"/>
          <w:sz w:val="28"/>
          <w:szCs w:val="28"/>
          <w:highlight w:val="none"/>
          <w:u w:val="single" w:color="auto"/>
        </w:rPr>
        <w:t>3769071</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rPr>
        <w:t>0550</w:t>
      </w:r>
      <w:r>
        <w:rPr>
          <w:rFonts w:hint="eastAsia" w:ascii="仿宋" w:hAnsi="仿宋" w:eastAsia="仿宋" w:cs="仿宋"/>
          <w:color w:val="auto"/>
          <w:sz w:val="28"/>
          <w:szCs w:val="28"/>
          <w:highlight w:val="none"/>
          <w:u w:val="single"/>
        </w:rPr>
        <w:t xml:space="preserve">-3519590 </w:t>
      </w:r>
      <w:bookmarkEnd w:id="72"/>
    </w:p>
    <w:p w14:paraId="34659DB7">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 xml:space="preserve">第二章 </w:t>
      </w:r>
      <w:r>
        <w:rPr>
          <w:rFonts w:hint="eastAsia" w:ascii="宋体" w:hAnsi="Times New Roman" w:eastAsia="宋体" w:cs="Times New Roman"/>
          <w:b/>
          <w:color w:val="auto"/>
          <w:sz w:val="32"/>
          <w:szCs w:val="32"/>
          <w:highlight w:val="none"/>
          <w:lang w:val="en-US" w:eastAsia="zh-CN"/>
        </w:rPr>
        <w:t>投标人</w:t>
      </w:r>
      <w:r>
        <w:rPr>
          <w:rFonts w:hint="eastAsia" w:ascii="宋体" w:hAnsi="Times New Roman" w:eastAsia="宋体" w:cs="Times New Roman"/>
          <w:b/>
          <w:color w:val="auto"/>
          <w:sz w:val="32"/>
          <w:szCs w:val="32"/>
          <w:highlight w:val="none"/>
        </w:rPr>
        <w:t>须知</w:t>
      </w:r>
      <w:bookmarkEnd w:id="2"/>
    </w:p>
    <w:p w14:paraId="63FF8D08">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b/>
          <w:color w:val="auto"/>
          <w:sz w:val="30"/>
          <w:szCs w:val="30"/>
          <w:highlight w:val="none"/>
        </w:rPr>
      </w:pPr>
      <w:bookmarkStart w:id="17" w:name="_Toc449028865"/>
      <w:bookmarkStart w:id="18" w:name="_Toc58430314"/>
      <w:r>
        <w:rPr>
          <w:rFonts w:hint="eastAsia" w:ascii="宋体"/>
          <w:b/>
          <w:color w:val="auto"/>
          <w:sz w:val="30"/>
          <w:szCs w:val="30"/>
          <w:highlight w:val="none"/>
        </w:rPr>
        <w:t>一、</w:t>
      </w:r>
      <w:r>
        <w:rPr>
          <w:rFonts w:hint="eastAsia" w:ascii="宋体"/>
          <w:b/>
          <w:color w:val="auto"/>
          <w:sz w:val="30"/>
          <w:szCs w:val="30"/>
          <w:highlight w:val="none"/>
          <w:lang w:val="en-US" w:eastAsia="zh-CN"/>
        </w:rPr>
        <w:t>投标人</w:t>
      </w:r>
      <w:r>
        <w:rPr>
          <w:rFonts w:hint="eastAsia" w:ascii="宋体"/>
          <w:b/>
          <w:color w:val="auto"/>
          <w:sz w:val="30"/>
          <w:szCs w:val="30"/>
          <w:highlight w:val="none"/>
        </w:rPr>
        <w:t>须知前附表</w:t>
      </w:r>
      <w:bookmarkEnd w:id="17"/>
      <w:bookmarkEnd w:id="18"/>
    </w:p>
    <w:tbl>
      <w:tblPr>
        <w:tblStyle w:val="36"/>
        <w:tblW w:w="994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070"/>
        <w:gridCol w:w="7161"/>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713" w:type="dxa"/>
            <w:noWrap w:val="0"/>
            <w:vAlign w:val="center"/>
          </w:tcPr>
          <w:p w14:paraId="1ACE9E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2070" w:type="dxa"/>
            <w:noWrap w:val="0"/>
            <w:vAlign w:val="center"/>
          </w:tcPr>
          <w:p w14:paraId="5BF350D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7161" w:type="dxa"/>
            <w:noWrap w:val="0"/>
            <w:vAlign w:val="center"/>
          </w:tcPr>
          <w:p w14:paraId="4BB3F0F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713" w:type="dxa"/>
            <w:noWrap w:val="0"/>
            <w:vAlign w:val="center"/>
          </w:tcPr>
          <w:p w14:paraId="2281E93F">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070" w:type="dxa"/>
            <w:noWrap w:val="0"/>
            <w:vAlign w:val="center"/>
          </w:tcPr>
          <w:p w14:paraId="5143EBB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161" w:type="dxa"/>
            <w:noWrap w:val="0"/>
            <w:vAlign w:val="center"/>
          </w:tcPr>
          <w:p w14:paraId="46D56C39">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中新大道（福州路-经三路）下穿S22天天高速滁马段安全技术评价报告编制咨询服务项目</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713" w:type="dxa"/>
            <w:noWrap w:val="0"/>
            <w:vAlign w:val="center"/>
          </w:tcPr>
          <w:p w14:paraId="5EF7851D">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070" w:type="dxa"/>
            <w:noWrap w:val="0"/>
            <w:vAlign w:val="center"/>
          </w:tcPr>
          <w:p w14:paraId="13FCEC5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7161" w:type="dxa"/>
            <w:noWrap w:val="0"/>
            <w:vAlign w:val="center"/>
          </w:tcPr>
          <w:p w14:paraId="50E62BF8">
            <w:pPr>
              <w:pStyle w:val="20"/>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自合同签订之日起15个日历天内完成全部安全技术评价报告并出具成果资料</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713" w:type="dxa"/>
            <w:noWrap w:val="0"/>
            <w:vAlign w:val="center"/>
          </w:tcPr>
          <w:p w14:paraId="3CB4AFD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070" w:type="dxa"/>
            <w:noWrap w:val="0"/>
            <w:vAlign w:val="center"/>
          </w:tcPr>
          <w:p w14:paraId="3810D5A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7161" w:type="dxa"/>
            <w:noWrap w:val="0"/>
            <w:vAlign w:val="center"/>
          </w:tcPr>
          <w:p w14:paraId="5812B676">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中新大道（福州路-经三路）下穿S22天天高速滁马段</w:t>
            </w:r>
            <w:r>
              <w:rPr>
                <w:rFonts w:hint="eastAsia" w:ascii="宋体" w:hAnsi="宋体" w:eastAsia="宋体" w:cs="宋体"/>
                <w:color w:val="auto"/>
                <w:sz w:val="21"/>
                <w:szCs w:val="21"/>
                <w:highlight w:val="none"/>
                <w:lang w:val="en-US" w:eastAsia="zh-CN"/>
              </w:rPr>
              <w:t>，招标人指定地点</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713" w:type="dxa"/>
            <w:noWrap w:val="0"/>
            <w:vAlign w:val="center"/>
          </w:tcPr>
          <w:p w14:paraId="50C5B7F0">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070" w:type="dxa"/>
            <w:noWrap w:val="0"/>
            <w:vAlign w:val="center"/>
          </w:tcPr>
          <w:p w14:paraId="0DD8F1B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7161" w:type="dxa"/>
            <w:noWrap w:val="0"/>
            <w:vAlign w:val="center"/>
          </w:tcPr>
          <w:p w14:paraId="0511E431">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 xml:space="preserve">刘毅；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w:t>
            </w:r>
            <w:r>
              <w:rPr>
                <w:rFonts w:hint="eastAsia" w:ascii="宋体" w:hAnsi="宋体" w:eastAsia="宋体" w:cs="宋体"/>
                <w:color w:val="auto"/>
                <w:sz w:val="21"/>
                <w:szCs w:val="21"/>
                <w:highlight w:val="none"/>
              </w:rPr>
              <w:t>3769071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18855087080</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713" w:type="dxa"/>
            <w:noWrap w:val="0"/>
            <w:vAlign w:val="center"/>
          </w:tcPr>
          <w:p w14:paraId="68C3498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070" w:type="dxa"/>
            <w:noWrap w:val="0"/>
            <w:vAlign w:val="center"/>
          </w:tcPr>
          <w:p w14:paraId="605A74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7161" w:type="dxa"/>
            <w:noWrap w:val="0"/>
            <w:vAlign w:val="center"/>
          </w:tcPr>
          <w:p w14:paraId="3A157804">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2C674A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713" w:type="dxa"/>
            <w:noWrap w:val="0"/>
            <w:vAlign w:val="center"/>
          </w:tcPr>
          <w:p w14:paraId="24429CE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070" w:type="dxa"/>
            <w:noWrap w:val="0"/>
            <w:vAlign w:val="center"/>
          </w:tcPr>
          <w:p w14:paraId="0B90B69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161" w:type="dxa"/>
            <w:noWrap w:val="0"/>
            <w:vAlign w:val="center"/>
          </w:tcPr>
          <w:p w14:paraId="2D12EDE1">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9BA0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713" w:type="dxa"/>
            <w:noWrap w:val="0"/>
            <w:vAlign w:val="center"/>
          </w:tcPr>
          <w:p w14:paraId="55F7E70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2070" w:type="dxa"/>
            <w:noWrap w:val="0"/>
            <w:vAlign w:val="center"/>
          </w:tcPr>
          <w:p w14:paraId="064BAD7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7161" w:type="dxa"/>
            <w:noWrap w:val="0"/>
            <w:vAlign w:val="center"/>
          </w:tcPr>
          <w:p w14:paraId="4B6C8123">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75000.00元</w:t>
            </w:r>
          </w:p>
        </w:tc>
      </w:tr>
      <w:tr w14:paraId="6092DC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0C6A0D2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2070" w:type="dxa"/>
            <w:noWrap w:val="0"/>
            <w:vAlign w:val="center"/>
          </w:tcPr>
          <w:p w14:paraId="68B1E92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7161" w:type="dxa"/>
            <w:noWrap w:val="0"/>
            <w:vAlign w:val="center"/>
          </w:tcPr>
          <w:p w14:paraId="3B31F56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75000.00元</w:t>
            </w:r>
            <w:r>
              <w:rPr>
                <w:rFonts w:hint="eastAsia" w:ascii="宋体" w:hAnsi="宋体" w:eastAsia="宋体" w:cs="宋体"/>
                <w:color w:val="auto"/>
                <w:sz w:val="21"/>
                <w:szCs w:val="21"/>
                <w:highlight w:val="none"/>
              </w:rPr>
              <w:t>，投标报价均不得高于最高限价，否则将作为无效投标处理。</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478704C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070" w:type="dxa"/>
            <w:noWrap w:val="0"/>
            <w:vAlign w:val="center"/>
          </w:tcPr>
          <w:p w14:paraId="6CDD50B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161" w:type="dxa"/>
            <w:noWrap w:val="0"/>
            <w:vAlign w:val="center"/>
          </w:tcPr>
          <w:p w14:paraId="07CFCA20">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见第四章《采购需求》</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713" w:type="dxa"/>
            <w:noWrap w:val="0"/>
            <w:vAlign w:val="center"/>
          </w:tcPr>
          <w:p w14:paraId="5F9F090D">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70" w:type="dxa"/>
            <w:noWrap w:val="0"/>
            <w:vAlign w:val="center"/>
          </w:tcPr>
          <w:p w14:paraId="25D27B6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7161" w:type="dxa"/>
            <w:noWrap w:val="0"/>
            <w:vAlign w:val="center"/>
          </w:tcPr>
          <w:p w14:paraId="71A24F0E">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713" w:type="dxa"/>
            <w:noWrap w:val="0"/>
            <w:vAlign w:val="center"/>
          </w:tcPr>
          <w:p w14:paraId="09BE437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070" w:type="dxa"/>
            <w:noWrap w:val="0"/>
            <w:vAlign w:val="center"/>
          </w:tcPr>
          <w:p w14:paraId="61DC447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161" w:type="dxa"/>
            <w:noWrap w:val="0"/>
            <w:vAlign w:val="center"/>
          </w:tcPr>
          <w:p w14:paraId="217B8706">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713" w:type="dxa"/>
            <w:noWrap w:val="0"/>
            <w:vAlign w:val="center"/>
          </w:tcPr>
          <w:p w14:paraId="1E093A8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070" w:type="dxa"/>
            <w:noWrap w:val="0"/>
            <w:vAlign w:val="center"/>
          </w:tcPr>
          <w:p w14:paraId="11CE69F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资格条件及其他要求</w:t>
            </w:r>
          </w:p>
        </w:tc>
        <w:tc>
          <w:tcPr>
            <w:tcW w:w="7161" w:type="dxa"/>
            <w:noWrap w:val="0"/>
            <w:vAlign w:val="center"/>
          </w:tcPr>
          <w:p w14:paraId="773E763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3A3210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32E2A2B0">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70" w:type="dxa"/>
            <w:noWrap w:val="0"/>
            <w:vAlign w:val="center"/>
          </w:tcPr>
          <w:p w14:paraId="7FEB4BB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161" w:type="dxa"/>
            <w:noWrap w:val="0"/>
            <w:vAlign w:val="center"/>
          </w:tcPr>
          <w:p w14:paraId="1C09ABA4">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自行踏勘现场</w:t>
            </w:r>
          </w:p>
        </w:tc>
      </w:tr>
      <w:tr w14:paraId="4F2D19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6018CE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070" w:type="dxa"/>
            <w:noWrap w:val="0"/>
            <w:vAlign w:val="center"/>
          </w:tcPr>
          <w:p w14:paraId="7692235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161" w:type="dxa"/>
            <w:noWrap w:val="0"/>
            <w:vAlign w:val="center"/>
          </w:tcPr>
          <w:p w14:paraId="358BEE0C">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2DDFF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713" w:type="dxa"/>
            <w:noWrap w:val="0"/>
            <w:vAlign w:val="center"/>
          </w:tcPr>
          <w:p w14:paraId="79286DF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070" w:type="dxa"/>
            <w:noWrap w:val="0"/>
            <w:vAlign w:val="center"/>
          </w:tcPr>
          <w:p w14:paraId="5DB96C6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161" w:type="dxa"/>
            <w:noWrap w:val="0"/>
            <w:vAlign w:val="center"/>
          </w:tcPr>
          <w:p w14:paraId="4D987695">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713" w:type="dxa"/>
            <w:noWrap w:val="0"/>
            <w:vAlign w:val="center"/>
          </w:tcPr>
          <w:p w14:paraId="3CF265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070" w:type="dxa"/>
            <w:noWrap w:val="0"/>
            <w:vAlign w:val="center"/>
          </w:tcPr>
          <w:p w14:paraId="75E5DD4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7161" w:type="dxa"/>
            <w:noWrap w:val="0"/>
            <w:vAlign w:val="center"/>
          </w:tcPr>
          <w:p w14:paraId="30D4861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1500</w:t>
            </w:r>
            <w:r>
              <w:rPr>
                <w:rFonts w:hint="eastAsia" w:ascii="宋体" w:hAnsi="宋体" w:eastAsia="宋体" w:cs="宋体"/>
                <w:color w:val="auto"/>
                <w:sz w:val="21"/>
                <w:szCs w:val="21"/>
                <w:highlight w:val="none"/>
              </w:rPr>
              <w:t>元；支付主体：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p w14:paraId="6DF7E566">
            <w:pPr>
              <w:pStyle w:val="34"/>
              <w:keepNext w:val="0"/>
              <w:keepLines w:val="0"/>
              <w:pageBreakBefore w:val="0"/>
              <w:kinsoku/>
              <w:overflowPunct/>
              <w:topLinePunct w:val="0"/>
              <w:autoSpaceDE/>
              <w:autoSpaceDN/>
              <w:bidi w:val="0"/>
              <w:adjustRightInd/>
              <w:spacing w:after="0"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2.专家评委费：具体金额以实际发生为准；支付主体：中标人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5E5A0FB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070" w:type="dxa"/>
            <w:noWrap w:val="0"/>
            <w:vAlign w:val="center"/>
          </w:tcPr>
          <w:p w14:paraId="6787E22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7161" w:type="dxa"/>
            <w:noWrap w:val="0"/>
            <w:vAlign w:val="center"/>
          </w:tcPr>
          <w:p w14:paraId="0E424F1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以澄清公告形式在中新苏滁高新技术产业开发区（https://scp.chuzhou.gov.cn/）、滁州市城投工程咨询管理有限公司网站（https://www.czctgczx.com/）予以公告。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293122E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070" w:type="dxa"/>
            <w:noWrap w:val="0"/>
            <w:vAlign w:val="center"/>
          </w:tcPr>
          <w:p w14:paraId="1D59A44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161" w:type="dxa"/>
            <w:noWrap w:val="0"/>
            <w:vAlign w:val="center"/>
          </w:tcPr>
          <w:p w14:paraId="615A471B">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3" w:type="dxa"/>
            <w:noWrap w:val="0"/>
            <w:vAlign w:val="center"/>
          </w:tcPr>
          <w:p w14:paraId="5ACB8AE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070" w:type="dxa"/>
            <w:noWrap w:val="0"/>
            <w:vAlign w:val="center"/>
          </w:tcPr>
          <w:p w14:paraId="1063505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161" w:type="dxa"/>
            <w:noWrap w:val="0"/>
            <w:vAlign w:val="top"/>
          </w:tcPr>
          <w:p w14:paraId="742D35F8">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713" w:type="dxa"/>
            <w:noWrap w:val="0"/>
            <w:vAlign w:val="center"/>
          </w:tcPr>
          <w:p w14:paraId="7CEFC78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070" w:type="dxa"/>
            <w:noWrap w:val="0"/>
            <w:vAlign w:val="center"/>
          </w:tcPr>
          <w:p w14:paraId="24352CD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数量</w:t>
            </w:r>
          </w:p>
        </w:tc>
        <w:tc>
          <w:tcPr>
            <w:tcW w:w="7161"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7AAB8E5E">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85991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070" w:type="dxa"/>
            <w:noWrap w:val="0"/>
            <w:vAlign w:val="center"/>
          </w:tcPr>
          <w:p w14:paraId="345E1EB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1" w:type="dxa"/>
            <w:noWrap w:val="0"/>
            <w:vAlign w:val="center"/>
          </w:tcPr>
          <w:p w14:paraId="127821E8">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投标</w:t>
            </w:r>
            <w:r>
              <w:rPr>
                <w:rFonts w:hint="eastAsia" w:ascii="宋体" w:hAnsi="宋体" w:eastAsia="宋体" w:cs="宋体"/>
                <w:b w:val="0"/>
                <w:bCs/>
                <w:color w:val="auto"/>
                <w:kern w:val="0"/>
                <w:sz w:val="21"/>
                <w:szCs w:val="21"/>
                <w:highlight w:val="none"/>
                <w:lang w:eastAsia="zh-CN"/>
              </w:rPr>
              <w:t>文件</w:t>
            </w:r>
            <w:r>
              <w:rPr>
                <w:rFonts w:hint="eastAsia" w:ascii="宋体" w:hAnsi="宋体" w:eastAsia="宋体" w:cs="宋体"/>
                <w:b w:val="0"/>
                <w:bCs/>
                <w:color w:val="auto"/>
                <w:kern w:val="0"/>
                <w:sz w:val="21"/>
                <w:szCs w:val="21"/>
                <w:highlight w:val="none"/>
              </w:rPr>
              <w:t>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37E039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070" w:type="dxa"/>
            <w:noWrap w:val="0"/>
            <w:vAlign w:val="center"/>
          </w:tcPr>
          <w:p w14:paraId="3BC5F71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开标时间</w:t>
            </w:r>
          </w:p>
        </w:tc>
        <w:tc>
          <w:tcPr>
            <w:tcW w:w="7161"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24</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15</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00</w:t>
            </w:r>
            <w:r>
              <w:rPr>
                <w:rFonts w:hint="eastAsia" w:ascii="宋体" w:hAnsi="宋体" w:eastAsia="宋体" w:cs="宋体"/>
                <w:b/>
                <w:bCs/>
                <w:color w:val="auto"/>
                <w:sz w:val="21"/>
                <w:szCs w:val="21"/>
                <w:highlight w:val="none"/>
                <w:u w:val="none"/>
              </w:rPr>
              <w:t>分</w:t>
            </w:r>
          </w:p>
          <w:p w14:paraId="6916FBC6">
            <w:pPr>
              <w:keepNext w:val="0"/>
              <w:keepLines w:val="0"/>
              <w:pageBreakBefore w:val="0"/>
              <w:widowControl/>
              <w:kinsoku/>
              <w:wordWrap/>
              <w:overflowPunct/>
              <w:topLinePunct w:val="0"/>
              <w:autoSpaceDE/>
              <w:autoSpaceDN/>
              <w:bidi w:val="0"/>
              <w:adjustRightInd/>
              <w:spacing w:line="500" w:lineRule="exact"/>
              <w:ind w:left="0" w:leftChars="0" w:firstLine="0" w:firstLineChars="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6D1D1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72FC633C">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070" w:type="dxa"/>
            <w:shd w:val="clear" w:color="auto" w:fill="auto"/>
            <w:noWrap w:val="0"/>
            <w:vAlign w:val="center"/>
          </w:tcPr>
          <w:p w14:paraId="28135D7C">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投标文件提交截止时间及地点</w:t>
            </w:r>
          </w:p>
        </w:tc>
        <w:tc>
          <w:tcPr>
            <w:tcW w:w="7161" w:type="dxa"/>
            <w:shd w:val="clear" w:color="auto" w:fill="auto"/>
            <w:noWrap w:val="0"/>
            <w:vAlign w:val="center"/>
          </w:tcPr>
          <w:p w14:paraId="07643FC4">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24</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rPr>
              <w:t>时</w:t>
            </w:r>
            <w:r>
              <w:rPr>
                <w:rFonts w:hint="eastAsia" w:ascii="宋体" w:hAnsi="宋体" w:cs="宋体"/>
                <w:b/>
                <w:bCs/>
                <w:color w:val="auto"/>
                <w:kern w:val="0"/>
                <w:sz w:val="21"/>
                <w:szCs w:val="21"/>
                <w:highlight w:val="none"/>
                <w:lang w:val="en-US" w:eastAsia="zh-CN"/>
              </w:rPr>
              <w:t>00</w:t>
            </w:r>
            <w:r>
              <w:rPr>
                <w:rFonts w:hint="eastAsia" w:ascii="宋体" w:hAnsi="宋体" w:eastAsia="宋体" w:cs="宋体"/>
                <w:b/>
                <w:bCs/>
                <w:color w:val="auto"/>
                <w:kern w:val="0"/>
                <w:sz w:val="21"/>
                <w:szCs w:val="21"/>
                <w:highlight w:val="none"/>
              </w:rPr>
              <w:t>分</w:t>
            </w:r>
          </w:p>
          <w:p w14:paraId="40F27636">
            <w:pPr>
              <w:keepNext w:val="0"/>
              <w:keepLines w:val="0"/>
              <w:pageBreakBefore w:val="0"/>
              <w:kinsoku/>
              <w:wordWrap/>
              <w:overflowPunct/>
              <w:topLinePunct w:val="0"/>
              <w:autoSpaceDE/>
              <w:autoSpaceDN/>
              <w:bidi w:val="0"/>
              <w:adjustRightInd/>
              <w:spacing w:line="500" w:lineRule="exact"/>
              <w:ind w:firstLine="18" w:firstLineChars="9"/>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713" w:type="dxa"/>
            <w:noWrap w:val="0"/>
            <w:vAlign w:val="center"/>
          </w:tcPr>
          <w:p w14:paraId="560C40A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2070" w:type="dxa"/>
            <w:noWrap w:val="0"/>
            <w:vAlign w:val="center"/>
          </w:tcPr>
          <w:p w14:paraId="719AA11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是否退还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p>
        </w:tc>
        <w:tc>
          <w:tcPr>
            <w:tcW w:w="7161" w:type="dxa"/>
            <w:noWrap w:val="0"/>
            <w:vAlign w:val="center"/>
          </w:tcPr>
          <w:p w14:paraId="516E23ED">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AA6805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070" w:type="dxa"/>
            <w:noWrap w:val="0"/>
            <w:vAlign w:val="center"/>
          </w:tcPr>
          <w:p w14:paraId="050AF5D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7161" w:type="dxa"/>
            <w:noWrap w:val="0"/>
            <w:vAlign w:val="center"/>
          </w:tcPr>
          <w:p w14:paraId="5DF80CF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713" w:type="dxa"/>
            <w:noWrap w:val="0"/>
            <w:vAlign w:val="center"/>
          </w:tcPr>
          <w:p w14:paraId="7E6D43F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2070" w:type="dxa"/>
            <w:noWrap w:val="0"/>
            <w:vAlign w:val="center"/>
          </w:tcPr>
          <w:p w14:paraId="207C454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1" w:type="dxa"/>
            <w:noWrap w:val="0"/>
            <w:vAlign w:val="top"/>
          </w:tcPr>
          <w:p w14:paraId="266A046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713" w:type="dxa"/>
            <w:noWrap w:val="0"/>
            <w:vAlign w:val="center"/>
          </w:tcPr>
          <w:p w14:paraId="74DF9AF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2070" w:type="dxa"/>
            <w:noWrap w:val="0"/>
            <w:vAlign w:val="center"/>
          </w:tcPr>
          <w:p w14:paraId="78FAAE3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1" w:type="dxa"/>
            <w:noWrap w:val="0"/>
            <w:vAlign w:val="center"/>
          </w:tcPr>
          <w:p w14:paraId="32475C60">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713" w:type="dxa"/>
            <w:noWrap w:val="0"/>
            <w:vAlign w:val="center"/>
          </w:tcPr>
          <w:p w14:paraId="3B796C28">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2070" w:type="dxa"/>
            <w:noWrap w:val="0"/>
            <w:vAlign w:val="center"/>
          </w:tcPr>
          <w:p w14:paraId="71147DF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7161" w:type="dxa"/>
            <w:noWrap w:val="0"/>
            <w:vAlign w:val="center"/>
          </w:tcPr>
          <w:p w14:paraId="532B01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2CC505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2070" w:type="dxa"/>
            <w:noWrap w:val="0"/>
            <w:vAlign w:val="center"/>
          </w:tcPr>
          <w:p w14:paraId="3311133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1" w:type="dxa"/>
            <w:noWrap w:val="0"/>
            <w:vAlign w:val="center"/>
          </w:tcPr>
          <w:p w14:paraId="7F33D73A">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41F8AE0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2070" w:type="dxa"/>
            <w:noWrap w:val="0"/>
            <w:vAlign w:val="center"/>
          </w:tcPr>
          <w:p w14:paraId="7821FEC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7161" w:type="dxa"/>
            <w:noWrap w:val="0"/>
            <w:vAlign w:val="center"/>
          </w:tcPr>
          <w:p w14:paraId="7DD765F2">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通过登录新点电子交易平台【滁州专区】线上提出异议</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5A87340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2070" w:type="dxa"/>
            <w:noWrap w:val="0"/>
            <w:vAlign w:val="center"/>
          </w:tcPr>
          <w:p w14:paraId="0FDF8B7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答复在线质疑的时间及方式</w:t>
            </w:r>
          </w:p>
        </w:tc>
        <w:tc>
          <w:tcPr>
            <w:tcW w:w="7161" w:type="dxa"/>
            <w:noWrap w:val="0"/>
            <w:vAlign w:val="center"/>
          </w:tcPr>
          <w:p w14:paraId="72AD20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同“17</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r>
              <w:rPr>
                <w:rFonts w:hint="eastAsia" w:ascii="宋体" w:hAnsi="宋体" w:eastAsia="宋体" w:cs="宋体"/>
                <w:color w:val="auto"/>
                <w:sz w:val="21"/>
                <w:szCs w:val="21"/>
                <w:highlight w:val="none"/>
                <w:lang w:val="en-US" w:eastAsia="zh-CN"/>
              </w:rPr>
              <w:t>”。</w:t>
            </w:r>
          </w:p>
        </w:tc>
      </w:tr>
      <w:tr w14:paraId="2B8A84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783" w:type="dxa"/>
            <w:gridSpan w:val="2"/>
            <w:noWrap w:val="0"/>
            <w:vAlign w:val="center"/>
          </w:tcPr>
          <w:p w14:paraId="4937962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161" w:type="dxa"/>
            <w:noWrap w:val="0"/>
            <w:vAlign w:val="center"/>
          </w:tcPr>
          <w:p w14:paraId="10E50EA8">
            <w:pPr>
              <w:pStyle w:val="17"/>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完成全部工作并出具全部成果资料，通过相关主管部门审批后一次性付清合同价款。</w:t>
            </w:r>
          </w:p>
        </w:tc>
      </w:tr>
    </w:tbl>
    <w:p w14:paraId="28C69260">
      <w:pPr>
        <w:rPr>
          <w:rFonts w:hint="eastAsia" w:ascii="宋体" w:hAnsi="Times New Roman" w:eastAsia="宋体" w:cs="Times New Roman"/>
          <w:b/>
          <w:color w:val="auto"/>
          <w:sz w:val="30"/>
          <w:szCs w:val="30"/>
          <w:highlight w:val="none"/>
        </w:rPr>
      </w:pPr>
      <w:bookmarkStart w:id="19" w:name="_Toc449028866"/>
      <w:bookmarkStart w:id="20" w:name="_Toc58430315"/>
      <w:r>
        <w:rPr>
          <w:rFonts w:hint="eastAsia" w:ascii="宋体" w:hAnsi="Times New Roman" w:eastAsia="宋体" w:cs="Times New Roman"/>
          <w:b/>
          <w:color w:val="auto"/>
          <w:sz w:val="30"/>
          <w:szCs w:val="30"/>
          <w:highlight w:val="none"/>
        </w:rPr>
        <w:br w:type="page"/>
      </w:r>
    </w:p>
    <w:p w14:paraId="5D092569">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二、</w:t>
      </w:r>
      <w:r>
        <w:rPr>
          <w:rFonts w:hint="eastAsia" w:ascii="宋体" w:hAnsi="Times New Roman" w:eastAsia="宋体" w:cs="Times New Roman"/>
          <w:b/>
          <w:color w:val="auto"/>
          <w:sz w:val="30"/>
          <w:szCs w:val="30"/>
          <w:highlight w:val="none"/>
          <w:lang w:eastAsia="zh-CN"/>
        </w:rPr>
        <w:t>投标人</w:t>
      </w:r>
      <w:r>
        <w:rPr>
          <w:rFonts w:hint="eastAsia" w:ascii="宋体" w:hAnsi="Times New Roman" w:eastAsia="宋体" w:cs="Times New Roman"/>
          <w:b/>
          <w:color w:val="auto"/>
          <w:sz w:val="30"/>
          <w:szCs w:val="30"/>
          <w:highlight w:val="none"/>
        </w:rPr>
        <w:t>须知</w:t>
      </w:r>
      <w:bookmarkEnd w:id="19"/>
      <w:bookmarkEnd w:id="20"/>
    </w:p>
    <w:p w14:paraId="7DB5F58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265DF29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8ED1D7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1.1本次招标项目名称：见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A91EC09">
      <w:pPr>
        <w:keepNext w:val="0"/>
        <w:keepLines w:val="0"/>
        <w:pageBreakBefore w:val="0"/>
        <w:kinsoku/>
        <w:wordWrap/>
        <w:overflowPunct/>
        <w:topLinePunct w:val="0"/>
        <w:autoSpaceDE/>
        <w:autoSpaceDN/>
        <w:bidi w:val="0"/>
        <w:snapToGrid w:val="0"/>
        <w:spacing w:line="500" w:lineRule="exact"/>
        <w:ind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项目编号：见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0DBABB">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A56A65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0B7F4A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5923DF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85C55DF">
      <w:pPr>
        <w:keepNext w:val="0"/>
        <w:keepLines w:val="0"/>
        <w:pageBreakBefore w:val="0"/>
        <w:kinsoku/>
        <w:wordWrap/>
        <w:overflowPunct/>
        <w:topLinePunct w:val="0"/>
        <w:autoSpaceDE/>
        <w:autoSpaceDN/>
        <w:bidi w:val="0"/>
        <w:snapToGrid w:val="0"/>
        <w:spacing w:line="50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DDE2D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1.3资金来源：见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8EB262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1.4本项目预算：见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2575EC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1.5本项目最高限价：见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60B181E8">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8C046D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9FEBFC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第四章采购需求。</w:t>
      </w:r>
    </w:p>
    <w:p w14:paraId="5CAEEE87">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0961602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3.1本项目划分：见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330D5CA">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DE3642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4.1本项目招标方式：见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B79A7EB">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02E2CAA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总价合同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08B6D253">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657D19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最低评标价法 。</w:t>
      </w:r>
      <w:r>
        <w:rPr>
          <w:rFonts w:hint="eastAsia" w:ascii="宋体" w:hAnsi="宋体" w:cs="宋体"/>
          <w:color w:val="auto"/>
          <w:szCs w:val="21"/>
          <w:highlight w:val="none"/>
        </w:rPr>
        <w:t>（详见第三章评标办法）</w:t>
      </w:r>
    </w:p>
    <w:p w14:paraId="30C0A9E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资格：</w:t>
      </w:r>
    </w:p>
    <w:p w14:paraId="7768583A">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7.1本项目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资格：见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C6408C4">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2A1C68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14:paraId="1F585B69">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152045539"/>
      <w:bookmarkStart w:id="23" w:name="_Toc152042315"/>
      <w:bookmarkStart w:id="24" w:name="_Toc247592876"/>
      <w:bookmarkStart w:id="25" w:name="_Toc296602429"/>
      <w:bookmarkStart w:id="26" w:name="_Toc144974507"/>
      <w:bookmarkStart w:id="27" w:name="_Toc247513962"/>
      <w:bookmarkStart w:id="28" w:name="_Toc247527563"/>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6292D57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9.1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踏勘项目现场。 </w:t>
      </w:r>
    </w:p>
    <w:p w14:paraId="40A25EED">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踏勘现场发生的费用自理。</w:t>
      </w:r>
    </w:p>
    <w:p w14:paraId="2E6F200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自行负责在踏勘现场中所发生的人员伤亡和财产损失。</w:t>
      </w:r>
    </w:p>
    <w:p w14:paraId="3C8DC6B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bookmarkStart w:id="29" w:name="_Toc247513963"/>
      <w:bookmarkStart w:id="30" w:name="_Toc296602430"/>
      <w:bookmarkStart w:id="31" w:name="_Toc152045540"/>
      <w:bookmarkStart w:id="32" w:name="_Toc144974508"/>
      <w:bookmarkStart w:id="33" w:name="_Toc247592877"/>
      <w:bookmarkStart w:id="34" w:name="_Toc247527564"/>
      <w:bookmarkStart w:id="35" w:name="_Toc152042316"/>
    </w:p>
    <w:p w14:paraId="095043B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CFF504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10.1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须知前附表规定的时间和地点召开投标预备会，澄清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提出的问题。</w:t>
      </w:r>
    </w:p>
    <w:p w14:paraId="4D94E919">
      <w:pPr>
        <w:keepNext w:val="0"/>
        <w:keepLines w:val="0"/>
        <w:pageBreakBefore w:val="0"/>
        <w:numPr>
          <w:ilvl w:val="0"/>
          <w:numId w:val="8"/>
        </w:numPr>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联合投标、合同分包</w:t>
      </w:r>
    </w:p>
    <w:p w14:paraId="17407B56">
      <w:pPr>
        <w:pStyle w:val="35"/>
        <w:keepNext w:val="0"/>
        <w:keepLines w:val="0"/>
        <w:pageBreakBefore w:val="0"/>
        <w:kinsoku/>
        <w:wordWrap/>
        <w:overflowPunct/>
        <w:topLinePunct w:val="0"/>
        <w:autoSpaceDE/>
        <w:autoSpaceDN/>
        <w:bidi w:val="0"/>
        <w:spacing w:after="0" w:line="500" w:lineRule="exact"/>
        <w:ind w:left="0" w:leftChars="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11.1 </w:t>
      </w:r>
      <w:r>
        <w:rPr>
          <w:rFonts w:hint="eastAsia" w:ascii="宋体" w:hAnsi="宋体" w:cs="宋体"/>
          <w:color w:val="auto"/>
          <w:szCs w:val="21"/>
          <w:highlight w:val="none"/>
          <w:lang w:val="en-US" w:eastAsia="zh-CN"/>
        </w:rPr>
        <w:t>本项目不接受联合体投标。</w:t>
      </w:r>
    </w:p>
    <w:p w14:paraId="179F2911">
      <w:pPr>
        <w:keepNext w:val="0"/>
        <w:keepLines w:val="0"/>
        <w:pageBreakBefore w:val="0"/>
        <w:kinsoku/>
        <w:wordWrap/>
        <w:overflowPunct/>
        <w:topLinePunct w:val="0"/>
        <w:autoSpaceDE/>
        <w:autoSpaceDN/>
        <w:bidi w:val="0"/>
        <w:spacing w:line="500" w:lineRule="exact"/>
        <w:ind w:firstLine="413" w:firstLineChars="196"/>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E4B18A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7F943C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应注意的事项</w:t>
      </w:r>
    </w:p>
    <w:p w14:paraId="29A558E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一旦参加投标，即被认为接受了本</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中的所有条件和规定。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必须严格按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的要求编制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，以便评委审核。否则，由此产生的一切后果由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w:t>
      </w:r>
    </w:p>
    <w:p w14:paraId="09C11E2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对采购内容中规定的技术参数、规格、数量和要求等必须最大限度的满足</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的相关要求。</w:t>
      </w:r>
    </w:p>
    <w:p w14:paraId="66AC8D5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，不得参加同一合同项下的政府采购活动。</w:t>
      </w:r>
      <w:r>
        <w:rPr>
          <w:rFonts w:hint="eastAsia" w:ascii="宋体" w:hAnsi="宋体" w:cs="宋体"/>
          <w:color w:val="auto"/>
          <w:szCs w:val="21"/>
          <w:highlight w:val="none"/>
        </w:rPr>
        <w:t>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2210261B">
      <w:pPr>
        <w:keepNext w:val="0"/>
        <w:keepLines w:val="0"/>
        <w:pageBreakBefore w:val="0"/>
        <w:kinsoku/>
        <w:wordWrap/>
        <w:overflowPunct/>
        <w:topLinePunct w:val="0"/>
        <w:autoSpaceDE/>
        <w:autoSpaceDN/>
        <w:bidi w:val="0"/>
        <w:spacing w:line="500" w:lineRule="exact"/>
        <w:ind w:firstLine="417" w:firstLineChars="19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13.5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被视为充分熟悉本招标项目所在地的与履行合同有关的各种情况，包括但不限于：</w:t>
      </w:r>
    </w:p>
    <w:p w14:paraId="42199CAE">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4D937245">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004E621">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14A55628">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不再对上述情况进行描述。</w:t>
      </w:r>
    </w:p>
    <w:p w14:paraId="5C1B24B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61066C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lang w:eastAsia="zh-CN"/>
        </w:rPr>
      </w:pPr>
      <w:bookmarkStart w:id="36" w:name="_Toc449028868"/>
      <w:r>
        <w:rPr>
          <w:rFonts w:hint="eastAsia" w:ascii="宋体" w:hAnsi="宋体" w:eastAsia="宋体" w:cs="宋体"/>
          <w:b/>
          <w:color w:val="auto"/>
          <w:sz w:val="28"/>
          <w:szCs w:val="28"/>
          <w:highlight w:val="none"/>
        </w:rPr>
        <w:t>（二）</w:t>
      </w:r>
      <w:bookmarkEnd w:id="36"/>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eastAsia="zh-CN"/>
        </w:rPr>
        <w:t>文件</w:t>
      </w:r>
    </w:p>
    <w:p w14:paraId="46A4402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的编制依据</w:t>
      </w:r>
    </w:p>
    <w:p w14:paraId="777EEB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w:t>
      </w:r>
      <w:r>
        <w:rPr>
          <w:rFonts w:hint="eastAsia" w:ascii="宋体" w:hAnsi="宋体" w:cs="宋体"/>
          <w:color w:val="auto"/>
          <w:spacing w:val="-2"/>
          <w:szCs w:val="21"/>
          <w:highlight w:val="none"/>
          <w:lang w:eastAsia="zh-CN"/>
        </w:rPr>
        <w:t>招标文件</w:t>
      </w:r>
      <w:r>
        <w:rPr>
          <w:rFonts w:hint="eastAsia" w:ascii="宋体" w:hAnsi="宋体" w:cs="宋体"/>
          <w:color w:val="auto"/>
          <w:spacing w:val="-2"/>
          <w:szCs w:val="21"/>
          <w:highlight w:val="none"/>
        </w:rPr>
        <w:t>。</w:t>
      </w:r>
    </w:p>
    <w:p w14:paraId="40878A9D">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055017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15.1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包括内容：</w:t>
      </w:r>
    </w:p>
    <w:p w14:paraId="6295F93E">
      <w:pPr>
        <w:keepNext w:val="0"/>
        <w:keepLines w:val="0"/>
        <w:pageBreakBefore w:val="0"/>
        <w:kinsoku/>
        <w:wordWrap/>
        <w:overflowPunct/>
        <w:topLinePunct w:val="0"/>
        <w:autoSpaceDE/>
        <w:autoSpaceDN/>
        <w:bidi w:val="0"/>
        <w:spacing w:line="500" w:lineRule="exact"/>
        <w:ind w:firstLine="1470" w:firstLineChars="7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79FDCAE1">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w:t>
      </w:r>
    </w:p>
    <w:p w14:paraId="7092E14E">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5D819F8A">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15E89240">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5A2E8E89">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w:t>
      </w:r>
    </w:p>
    <w:p w14:paraId="12C92DCA">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起约束作用。</w:t>
      </w:r>
    </w:p>
    <w:p w14:paraId="7F0264F9">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21816CE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15.4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中新苏滁高新技术产业开发区（https://scp.chuzhou.gov.cn/）、滁州市城投工程咨询管理有限公司网站（https://www.czctgczx.com/）予以发布，但不指明澄清问题的来源。如果澄清内容影响投标文件编制的，将相应延长投标截止时间。</w:t>
      </w:r>
    </w:p>
    <w:p w14:paraId="1642BB00">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16. </w:t>
      </w:r>
      <w:r>
        <w:rPr>
          <w:rFonts w:hint="eastAsia" w:ascii="宋体" w:hAnsi="宋体" w:cs="宋体"/>
          <w:b/>
          <w:bCs/>
          <w:color w:val="auto"/>
          <w:szCs w:val="21"/>
          <w:highlight w:val="none"/>
          <w:lang w:eastAsia="zh-CN"/>
        </w:rPr>
        <w:t>招标文件</w:t>
      </w:r>
      <w:r>
        <w:rPr>
          <w:rFonts w:hint="eastAsia" w:ascii="宋体" w:hAnsi="宋体" w:cs="宋体"/>
          <w:b/>
          <w:bCs/>
          <w:color w:val="auto"/>
          <w:szCs w:val="21"/>
          <w:highlight w:val="none"/>
        </w:rPr>
        <w:t>的修改、补充</w:t>
      </w:r>
    </w:p>
    <w:p w14:paraId="147FC37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16.1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进行必要的修改和补充，并以澄清公告形式在中新苏滁高新技术产业开发区（https://scp.chuzhou.gov.cn/）、滁州市城投工程咨询管理有限公司网站（https://www.czctgczx.com/）予以公告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请各位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注意查看有关澄清内容，如不及时查看造成后果由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自负。</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的修改、补充等内容作为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的组成部分，具有约束作用。</w:t>
      </w:r>
    </w:p>
    <w:p w14:paraId="084A3441">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lang w:eastAsia="zh-CN"/>
        </w:rPr>
        <w:t>招标文件的解释</w:t>
      </w:r>
    </w:p>
    <w:p w14:paraId="31A55C4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（1）构成本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的各个组成文件应互为解释，互为说明；</w:t>
      </w:r>
    </w:p>
    <w:p w14:paraId="5CC6CD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9EDD97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135B59B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9288502">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的发出</w:t>
      </w:r>
    </w:p>
    <w:p w14:paraId="0A2CBA3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的澄清、修改、补充及招标答疑等在网站发出。</w:t>
      </w:r>
    </w:p>
    <w:p w14:paraId="4FC9C7E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7" w:name="_Toc44902886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的编制</w:t>
      </w:r>
      <w:bookmarkEnd w:id="37"/>
    </w:p>
    <w:p w14:paraId="7C9D5282">
      <w:pPr>
        <w:keepNext w:val="0"/>
        <w:keepLines w:val="0"/>
        <w:pageBreakBefore w:val="0"/>
        <w:kinsoku/>
        <w:wordWrap/>
        <w:overflowPunct/>
        <w:topLinePunct w:val="0"/>
        <w:autoSpaceDE/>
        <w:autoSpaceDN/>
        <w:bidi w:val="0"/>
        <w:spacing w:line="500" w:lineRule="exact"/>
        <w:ind w:firstLine="306" w:firstLineChars="145"/>
        <w:textAlignment w:val="auto"/>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788D9573">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4DADC22B">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19.2除</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中另有规定外，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所使用的度量衡均须采用法定计量单位。</w:t>
      </w:r>
    </w:p>
    <w:p w14:paraId="6DB94D96">
      <w:pPr>
        <w:keepNext w:val="0"/>
        <w:keepLines w:val="0"/>
        <w:pageBreakBefore w:val="0"/>
        <w:kinsoku/>
        <w:wordWrap/>
        <w:overflowPunct/>
        <w:topLinePunct w:val="0"/>
        <w:autoSpaceDE/>
        <w:autoSpaceDN/>
        <w:bidi w:val="0"/>
        <w:spacing w:line="500" w:lineRule="exact"/>
        <w:ind w:firstLine="417" w:firstLineChars="198"/>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2A6B9B4A">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20.1</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C4F64E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具体内容详见第六章</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格式内容。</w:t>
      </w:r>
    </w:p>
    <w:p w14:paraId="39666C4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w:t>
      </w:r>
    </w:p>
    <w:p w14:paraId="4D6349D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w:t>
      </w:r>
    </w:p>
    <w:p w14:paraId="442674CD">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14AD4D63">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5D489C39">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投标人须知前附表规定接受联合体投标的，资格审查资料应包括联合体各方相关情况。</w:t>
      </w:r>
    </w:p>
    <w:p w14:paraId="17BEB06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招标人有权核查投标人在投标文件中提供的资料，若发现投标人以他人名义投标或者以其他方式弄虚作假骗取中标的，中标无效；如果签订合同后发现中标人提供了虚假材料，招标人有权解除合同。</w:t>
      </w:r>
    </w:p>
    <w:p w14:paraId="7DE4084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投标文件的制作应满足以下规定：</w:t>
      </w:r>
    </w:p>
    <w:p w14:paraId="28B05F8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a</w:t>
      </w:r>
      <w:r>
        <w:rPr>
          <w:rFonts w:hint="eastAsia" w:ascii="宋体" w:hAnsi="宋体" w:cs="宋体"/>
          <w:color w:val="auto"/>
          <w:szCs w:val="21"/>
          <w:highlight w:val="none"/>
        </w:rPr>
        <w:t>.投标文件由投标人使用电子交易系统提供的“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5769BC26">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390A255">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DCD0F30">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66080AA1">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投标人中标后须递交与网上电子投标文件完全一致的纸质版投标文件，在领取中标通知书时，一并递交给招标代理机构。</w:t>
      </w:r>
    </w:p>
    <w:p w14:paraId="7D53EE2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2219291">
      <w:pPr>
        <w:keepNext w:val="0"/>
        <w:keepLines w:val="0"/>
        <w:pageBreakBefore w:val="0"/>
        <w:kinsoku/>
        <w:wordWrap/>
        <w:overflowPunct/>
        <w:topLinePunct w:val="0"/>
        <w:autoSpaceDE/>
        <w:autoSpaceDN/>
        <w:bidi w:val="0"/>
        <w:spacing w:line="500" w:lineRule="exact"/>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21.1投标报价文件中的单价和总价全部采用人民币表示。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的报价应</w:t>
      </w:r>
      <w:r>
        <w:rPr>
          <w:rFonts w:hint="eastAsia" w:ascii="宋体" w:hAnsi="宋体" w:cs="宋体"/>
          <w:color w:val="auto"/>
          <w:szCs w:val="21"/>
          <w:highlight w:val="none"/>
          <w:lang w:val="en-US" w:eastAsia="zh-CN"/>
        </w:rPr>
        <w:t>包含为完成本次服务范围内所有内容产生的费用、</w:t>
      </w:r>
      <w:r>
        <w:rPr>
          <w:rFonts w:hint="eastAsia" w:ascii="宋体" w:hAnsi="宋体" w:cs="宋体"/>
          <w:color w:val="auto"/>
          <w:szCs w:val="21"/>
          <w:highlight w:val="none"/>
          <w:lang w:eastAsia="zh-CN"/>
        </w:rPr>
        <w:t>会务费及专家评审费、</w:t>
      </w:r>
      <w:r>
        <w:rPr>
          <w:rFonts w:hint="eastAsia" w:ascii="宋体" w:hAnsi="宋体" w:cs="宋体"/>
          <w:color w:val="auto"/>
          <w:szCs w:val="21"/>
          <w:highlight w:val="none"/>
          <w:lang w:val="en-US" w:eastAsia="zh-CN"/>
        </w:rPr>
        <w:t>国家对供应商征收的各种税费等所有费用，招标人不再为此支付其他任何费用。</w:t>
      </w:r>
      <w:r>
        <w:rPr>
          <w:rFonts w:hint="eastAsia" w:ascii="宋体" w:hAnsi="宋体" w:cs="宋体"/>
          <w:color w:val="auto"/>
          <w:szCs w:val="21"/>
          <w:highlight w:val="none"/>
        </w:rPr>
        <w:t>中标价格今后将不作任何调整，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自行考虑投标风险。</w:t>
      </w:r>
    </w:p>
    <w:p w14:paraId="051CF94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只允许有一个方案、一个报价。</w:t>
      </w:r>
    </w:p>
    <w:p w14:paraId="1F1352B4">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应按“采购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所列</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进行报价，不得采用总价下浮的方式进行报价。</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包括</w:t>
      </w:r>
      <w:r>
        <w:rPr>
          <w:rFonts w:hint="eastAsia" w:ascii="宋体" w:hAnsi="宋体" w:cs="宋体"/>
          <w:color w:val="auto"/>
          <w:szCs w:val="21"/>
          <w:highlight w:val="none"/>
          <w:lang w:val="en-US" w:eastAsia="zh-CN"/>
        </w:rPr>
        <w:t>完成本次服务范围所有有内容产生的费用及</w:t>
      </w:r>
      <w:r>
        <w:rPr>
          <w:rFonts w:hint="eastAsia" w:ascii="宋体" w:hAnsi="宋体" w:cs="宋体"/>
          <w:color w:val="auto"/>
          <w:szCs w:val="21"/>
          <w:highlight w:val="none"/>
        </w:rPr>
        <w:t>国家对中标单位征收的各种税费等所有一切费用，</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今后将不作任何调整。</w:t>
      </w:r>
    </w:p>
    <w:p w14:paraId="26CF0DB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投标报价应由法定代表人或被授权人签署。</w:t>
      </w:r>
    </w:p>
    <w:p w14:paraId="5552ED4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5</w:t>
      </w:r>
      <w:r>
        <w:rPr>
          <w:rFonts w:hint="eastAsia" w:ascii="宋体"/>
          <w:bCs/>
          <w:color w:val="auto"/>
          <w:szCs w:val="21"/>
          <w:highlight w:val="none"/>
          <w:lang w:eastAsia="zh-CN"/>
        </w:rPr>
        <w:t>投标人</w:t>
      </w:r>
      <w:r>
        <w:rPr>
          <w:rFonts w:hint="eastAsia" w:ascii="宋体"/>
          <w:bCs/>
          <w:color w:val="auto"/>
          <w:szCs w:val="21"/>
          <w:highlight w:val="none"/>
        </w:rPr>
        <w:t>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6E90D1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16F2C61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22.1 投标有效期见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456500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22.2在投标有效期内，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撤销或修改其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的，应承担</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和法律规定的责任。</w:t>
      </w:r>
    </w:p>
    <w:p w14:paraId="615A0C4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延长投标有效期。</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同意延长的，不得要求或被允许修改或撤销其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拒绝延长的，其投标失效。</w:t>
      </w:r>
    </w:p>
    <w:p w14:paraId="517F2154">
      <w:pPr>
        <w:keepNext w:val="0"/>
        <w:keepLines w:val="0"/>
        <w:pageBreakBefore w:val="0"/>
        <w:kinsoku/>
        <w:wordWrap/>
        <w:overflowPunct/>
        <w:topLinePunct w:val="0"/>
        <w:autoSpaceDE/>
        <w:autoSpaceDN/>
        <w:bidi w:val="0"/>
        <w:spacing w:line="500" w:lineRule="exact"/>
        <w:ind w:firstLine="405" w:firstLineChars="192"/>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4F5B07A">
      <w:pPr>
        <w:keepNext w:val="0"/>
        <w:keepLines w:val="0"/>
        <w:pageBreakBefore w:val="0"/>
        <w:kinsoku/>
        <w:wordWrap/>
        <w:overflowPunct/>
        <w:topLinePunct w:val="0"/>
        <w:autoSpaceDE/>
        <w:autoSpaceDN/>
        <w:bidi w:val="0"/>
        <w:spacing w:line="5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23.1</w:t>
      </w:r>
      <w:r>
        <w:rPr>
          <w:rFonts w:hint="eastAsia" w:ascii="宋体" w:hAnsi="宋体" w:cs="宋体"/>
          <w:color w:val="auto"/>
          <w:szCs w:val="21"/>
          <w:highlight w:val="none"/>
          <w:lang w:val="en-US" w:eastAsia="zh-CN"/>
        </w:rPr>
        <w:t>本项目不要求缴纳投标保证金。</w:t>
      </w:r>
    </w:p>
    <w:p w14:paraId="4CDE01CD">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的递交</w:t>
      </w:r>
      <w:bookmarkEnd w:id="38"/>
    </w:p>
    <w:p w14:paraId="188FD95D">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的份数和签署</w:t>
      </w:r>
    </w:p>
    <w:p w14:paraId="47F6FCD7">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lang w:val="en-US" w:eastAsia="zh-CN"/>
        </w:rPr>
      </w:pPr>
      <w:bookmarkStart w:id="39"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1加密电子投标文件应在投标截止时间前通过登录新点电子交易平台【滁州专区】上传投标文件。</w:t>
      </w:r>
    </w:p>
    <w:p w14:paraId="19EBCB9C">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（投标人中标后须递交与网上电子投标文件完全一致的纸质版投标文件，并按要求加盖单位章；份数：正本1份，副本1份；中标人领取中标通知书时，一并递交给代理机构）。</w:t>
      </w:r>
    </w:p>
    <w:p w14:paraId="0BBFAA11">
      <w:pPr>
        <w:keepNext w:val="0"/>
        <w:keepLines w:val="0"/>
        <w:pageBreakBefore w:val="0"/>
        <w:kinsoku/>
        <w:wordWrap/>
        <w:overflowPunct/>
        <w:topLinePunct w:val="0"/>
        <w:autoSpaceDE/>
        <w:autoSpaceDN/>
        <w:bidi w:val="0"/>
        <w:spacing w:line="500" w:lineRule="exact"/>
        <w:ind w:firstLine="312" w:firstLineChars="14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的提交</w:t>
      </w:r>
    </w:p>
    <w:p w14:paraId="1EA22789">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25.1投标人应当在第一章“招标公告”规定的投标截止时间前，将加密投标文件上传至电子交易系统。</w:t>
      </w:r>
    </w:p>
    <w:p w14:paraId="319A6CE6">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27.2</w:t>
      </w:r>
      <w:r>
        <w:rPr>
          <w:rFonts w:hint="eastAsia" w:ascii="宋体" w:hAnsi="宋体" w:cs="宋体"/>
          <w:b w:val="0"/>
          <w:bCs/>
          <w:color w:val="auto"/>
          <w:szCs w:val="21"/>
          <w:highlight w:val="none"/>
        </w:rPr>
        <w:t>除投标人须知前附表另有规定外，投标人所递交的投标文件不予退还。</w:t>
      </w:r>
    </w:p>
    <w:p w14:paraId="35CD4CDD">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27.3</w:t>
      </w:r>
      <w:r>
        <w:rPr>
          <w:rFonts w:hint="eastAsia" w:ascii="宋体" w:hAnsi="宋体" w:cs="宋体"/>
          <w:b w:val="0"/>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DBC5CD5">
      <w:pPr>
        <w:keepNext w:val="0"/>
        <w:keepLines w:val="0"/>
        <w:pageBreakBefore w:val="0"/>
        <w:kinsoku/>
        <w:wordWrap/>
        <w:overflowPunct/>
        <w:topLinePunct w:val="0"/>
        <w:autoSpaceDE/>
        <w:autoSpaceDN/>
        <w:bidi w:val="0"/>
        <w:spacing w:line="500" w:lineRule="exact"/>
        <w:ind w:firstLine="314" w:firstLineChars="149"/>
        <w:textAlignment w:val="auto"/>
        <w:rPr>
          <w:rFonts w:hint="eastAsia" w:ascii="宋体" w:hAnsi="宋体" w:cs="宋体"/>
          <w:b/>
          <w:color w:val="auto"/>
          <w:szCs w:val="21"/>
          <w:highlight w:val="none"/>
        </w:rPr>
      </w:pPr>
      <w:r>
        <w:rPr>
          <w:rFonts w:hint="eastAsia" w:ascii="宋体" w:hAnsi="宋体" w:cs="宋体"/>
          <w:b/>
          <w:color w:val="auto"/>
          <w:szCs w:val="21"/>
          <w:highlight w:val="none"/>
        </w:rPr>
        <w:t>26．</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的修改与撤回</w:t>
      </w:r>
    </w:p>
    <w:p w14:paraId="73AF4EAE">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5C9A4D6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65B91A2F">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 开标</w:t>
      </w:r>
    </w:p>
    <w:p w14:paraId="4928C5EA">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1122FB32">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3036A2A2">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开标程序</w:t>
      </w:r>
    </w:p>
    <w:p w14:paraId="280C8992">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372DAFC7">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（1）公布在投标截止时间前通过电子交易系统完成投标文件递交的投标人名称；</w:t>
      </w:r>
    </w:p>
    <w:p w14:paraId="6DFF6A4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08B058C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3CEBEBF">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（4）按投标人须知前附表规定公布投标人名称、标段名称、投标报价、工期及其他内容；</w:t>
      </w:r>
    </w:p>
    <w:p w14:paraId="1DEF1466">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3CF180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27.4</w:t>
      </w:r>
      <w:r>
        <w:rPr>
          <w:rFonts w:hint="eastAsia" w:ascii="宋体" w:hAnsi="宋体" w:eastAsia="宋体" w:cs="宋体"/>
          <w:color w:val="auto"/>
          <w:kern w:val="2"/>
          <w:sz w:val="21"/>
          <w:szCs w:val="21"/>
          <w:highlight w:val="none"/>
          <w:lang w:val="en-US" w:eastAsia="zh-CN" w:bidi="ar-SA"/>
        </w:rPr>
        <w:t>开标异议</w:t>
      </w:r>
    </w:p>
    <w:p w14:paraId="3B519782">
      <w:pPr>
        <w:keepNext w:val="0"/>
        <w:keepLines w:val="0"/>
        <w:pageBreakBefore w:val="0"/>
        <w:kinsoku/>
        <w:wordWrap/>
        <w:overflowPunct/>
        <w:topLinePunct w:val="0"/>
        <w:autoSpaceDE/>
        <w:autoSpaceDN/>
        <w:bidi w:val="0"/>
        <w:spacing w:line="500" w:lineRule="exact"/>
        <w:ind w:right="-155" w:rightChars="-74" w:firstLine="420" w:firstLineChars="200"/>
        <w:jc w:val="left"/>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kinsoku/>
        <w:wordWrap/>
        <w:overflowPunct/>
        <w:topLinePunct w:val="0"/>
        <w:autoSpaceDE/>
        <w:autoSpaceDN/>
        <w:bidi w:val="0"/>
        <w:spacing w:line="500" w:lineRule="exact"/>
        <w:ind w:firstLine="42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72582DBF">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4E3766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3B189A3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762A94FE">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29. 评标</w:t>
      </w:r>
    </w:p>
    <w:p w14:paraId="70BEEED7">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进行评审。第三章“评标办法”没有规定的方法、评审因素和标准，不作为评标依据。</w:t>
      </w:r>
    </w:p>
    <w:p w14:paraId="26922152">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提交书面评标报告和中标候选人名单。评标委员会推荐中标候选人的人数见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60E0B5A">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3865BCA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w:t>
      </w:r>
      <w:r>
        <w:rPr>
          <w:rFonts w:hint="eastAsia" w:ascii="宋体"/>
          <w:color w:val="auto"/>
          <w:szCs w:val="21"/>
          <w:highlight w:val="none"/>
          <w:lang w:eastAsia="zh-CN"/>
        </w:rPr>
        <w:t>招标文件</w:t>
      </w:r>
      <w:r>
        <w:rPr>
          <w:rFonts w:hint="eastAsia" w:ascii="宋体"/>
          <w:color w:val="auto"/>
          <w:szCs w:val="21"/>
          <w:highlight w:val="none"/>
        </w:rPr>
        <w:t>的澄清</w:t>
      </w:r>
    </w:p>
    <w:p w14:paraId="2BE859A2">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.4.1在评标过程中，评标委员会认为需要，可要求</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招标文件</w:t>
      </w:r>
      <w:r>
        <w:rPr>
          <w:rFonts w:hint="eastAsia" w:ascii="宋体"/>
          <w:color w:val="auto"/>
          <w:szCs w:val="21"/>
          <w:highlight w:val="none"/>
        </w:rPr>
        <w:t>中的有关问题进行澄清或提供补充说明及有关资料，</w:t>
      </w:r>
      <w:r>
        <w:rPr>
          <w:rFonts w:hint="eastAsia" w:ascii="宋体"/>
          <w:color w:val="auto"/>
          <w:szCs w:val="21"/>
          <w:highlight w:val="none"/>
          <w:lang w:eastAsia="zh-CN"/>
        </w:rPr>
        <w:t>投标人</w:t>
      </w:r>
      <w:r>
        <w:rPr>
          <w:rFonts w:hint="eastAsia" w:ascii="宋体"/>
          <w:color w:val="auto"/>
          <w:szCs w:val="21"/>
          <w:highlight w:val="none"/>
        </w:rPr>
        <w:t>应做出书面答复。</w:t>
      </w:r>
    </w:p>
    <w:p w14:paraId="1AFB7AB9">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w:t>
      </w:r>
      <w:r>
        <w:rPr>
          <w:rFonts w:hint="eastAsia" w:ascii="宋体"/>
          <w:color w:val="auto"/>
          <w:szCs w:val="21"/>
          <w:highlight w:val="none"/>
          <w:lang w:eastAsia="zh-CN"/>
        </w:rPr>
        <w:t>投标人</w:t>
      </w:r>
      <w:r>
        <w:rPr>
          <w:rFonts w:hint="eastAsia" w:ascii="宋体"/>
          <w:color w:val="auto"/>
          <w:szCs w:val="21"/>
          <w:highlight w:val="none"/>
        </w:rPr>
        <w:t>法定代表人或其委托代理人签字或盖章，签字或盖章的书面答复将被视为</w:t>
      </w:r>
      <w:r>
        <w:rPr>
          <w:rFonts w:hint="eastAsia" w:ascii="宋体"/>
          <w:color w:val="auto"/>
          <w:szCs w:val="21"/>
          <w:highlight w:val="none"/>
          <w:lang w:eastAsia="zh-CN"/>
        </w:rPr>
        <w:t>招标文件</w:t>
      </w:r>
      <w:r>
        <w:rPr>
          <w:rFonts w:hint="eastAsia" w:ascii="宋体"/>
          <w:color w:val="auto"/>
          <w:szCs w:val="21"/>
          <w:highlight w:val="none"/>
        </w:rPr>
        <w:t>的组成部分。</w:t>
      </w:r>
    </w:p>
    <w:p w14:paraId="49E336EA">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7A2C5D0C">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的报价明显低于其他通过符合性审查</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不能证明其报价合理性的，评标委员会应当将其作为无效投标处理。</w:t>
      </w:r>
    </w:p>
    <w:p w14:paraId="38CAE898">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737D7BB3">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（1）评标委员会应当对</w:t>
      </w:r>
      <w:r>
        <w:rPr>
          <w:rFonts w:hint="eastAsia" w:ascii="宋体"/>
          <w:color w:val="auto"/>
          <w:szCs w:val="21"/>
          <w:highlight w:val="none"/>
          <w:lang w:eastAsia="zh-CN"/>
        </w:rPr>
        <w:t>投标人</w:t>
      </w:r>
      <w:r>
        <w:rPr>
          <w:rFonts w:hint="eastAsia" w:ascii="宋体"/>
          <w:color w:val="auto"/>
          <w:szCs w:val="21"/>
          <w:highlight w:val="none"/>
        </w:rPr>
        <w:t>提供的报告、证明材料及详细说明认真研究。对存在意见分歧的，可采用投票方式表决决定（按多数评委意见为准）；</w:t>
      </w:r>
    </w:p>
    <w:p w14:paraId="761DA60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29ADB63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067CB7B">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评标委员会成员和与评标活动有关的工作人员不得透露对</w:t>
      </w:r>
      <w:r>
        <w:rPr>
          <w:rFonts w:hint="eastAsia" w:ascii="宋体"/>
          <w:color w:val="auto"/>
          <w:szCs w:val="21"/>
          <w:highlight w:val="none"/>
          <w:lang w:eastAsia="zh-CN"/>
        </w:rPr>
        <w:t>招标文件</w:t>
      </w:r>
      <w:r>
        <w:rPr>
          <w:rFonts w:hint="eastAsia" w:ascii="宋体"/>
          <w:color w:val="auto"/>
          <w:szCs w:val="21"/>
          <w:highlight w:val="none"/>
        </w:rPr>
        <w:t>的评审和比较、中标人的推荐情况以及与评标有关的其他情况。</w:t>
      </w:r>
    </w:p>
    <w:p w14:paraId="42677946">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41B5F6AE">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color w:val="auto"/>
          <w:szCs w:val="21"/>
          <w:highlight w:val="none"/>
          <w:lang w:eastAsia="zh-CN"/>
        </w:rPr>
        <w:t>招标人</w:t>
      </w:r>
      <w:r>
        <w:rPr>
          <w:rFonts w:hint="eastAsia" w:ascii="宋体"/>
          <w:color w:val="auto"/>
          <w:szCs w:val="21"/>
          <w:highlight w:val="none"/>
        </w:rPr>
        <w:t>应将中标人的情况在中新苏滁高新技术产业开发区（https://scp.chuzhou.gov.cn/）、滁州市城投工程咨询管理有限公司网站（https://www.czctgczx.com/）予以公告，公告期为3日。</w:t>
      </w:r>
      <w:r>
        <w:rPr>
          <w:rFonts w:hint="eastAsia" w:ascii="宋体" w:hAnsi="宋体" w:cs="宋体"/>
          <w:b/>
          <w:bCs/>
          <w:color w:val="auto"/>
          <w:szCs w:val="21"/>
          <w:highlight w:val="none"/>
        </w:rPr>
        <w:t xml:space="preserve">  </w:t>
      </w:r>
    </w:p>
    <w:p w14:paraId="2893B7B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30. 定标</w:t>
      </w:r>
    </w:p>
    <w:p w14:paraId="656E47C5">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30.1 中标人的确定</w:t>
      </w:r>
    </w:p>
    <w:p w14:paraId="14E6A89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30.1.1除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C48589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30.2 中标通知书</w:t>
      </w:r>
    </w:p>
    <w:p w14:paraId="0BA81D80">
      <w:pPr>
        <w:pStyle w:val="13"/>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30.2.1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29CF21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、采购代理机构公章后，方可发出。</w:t>
      </w:r>
    </w:p>
    <w:p w14:paraId="37CE554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31. 开评标异常情况处理</w:t>
      </w:r>
    </w:p>
    <w:p w14:paraId="034892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31.1废标（重新招标）</w:t>
      </w:r>
    </w:p>
    <w:p w14:paraId="45A4E481">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2B4A84D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5E083CCE">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w:t>
      </w:r>
      <w:r>
        <w:rPr>
          <w:rFonts w:hint="eastAsia" w:ascii="宋体" w:hAnsi="宋体" w:eastAsia="宋体" w:cs="宋体"/>
          <w:color w:val="auto"/>
          <w:kern w:val="10"/>
          <w:szCs w:val="21"/>
          <w:highlight w:val="none"/>
          <w:lang w:eastAsia="zh-CN"/>
        </w:rPr>
        <w:t>投标人</w:t>
      </w:r>
      <w:r>
        <w:rPr>
          <w:rFonts w:hint="eastAsia" w:ascii="宋体" w:hAnsi="宋体" w:eastAsia="宋体" w:cs="宋体"/>
          <w:color w:val="auto"/>
          <w:kern w:val="10"/>
          <w:szCs w:val="21"/>
          <w:highlight w:val="none"/>
        </w:rPr>
        <w:t>的报价均脱离实际且无充分证据的；</w:t>
      </w:r>
    </w:p>
    <w:p w14:paraId="3C00AD8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(3)因重大变故，采购任务取消的。</w:t>
      </w:r>
    </w:p>
    <w:p w14:paraId="7438AA4B">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31.2变更采购方式</w:t>
      </w:r>
    </w:p>
    <w:p w14:paraId="304CF7C8">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bookmarkStart w:id="40" w:name="_Toc449028873"/>
      <w:r>
        <w:rPr>
          <w:rFonts w:hint="eastAsia" w:ascii="宋体" w:hAnsi="宋体" w:eastAsia="宋体" w:cs="宋体"/>
          <w:color w:val="auto"/>
          <w:kern w:val="10"/>
          <w:szCs w:val="21"/>
          <w:highlight w:val="none"/>
        </w:rPr>
        <w:t>截止投标时间提交投标文件的投标人不足3家或经评审后有效投标人不足3家，根据项目具体情况，经招标人确认后可现场转为竞争性谈判。</w:t>
      </w:r>
    </w:p>
    <w:p w14:paraId="4168FF84">
      <w:pPr>
        <w:keepNext w:val="0"/>
        <w:keepLines w:val="0"/>
        <w:pageBreakBefore w:val="0"/>
        <w:kinsoku/>
        <w:wordWrap/>
        <w:overflowPunct/>
        <w:topLinePunct w:val="0"/>
        <w:autoSpaceDE/>
        <w:autoSpaceDN/>
        <w:bidi w:val="0"/>
        <w:adjustRightInd w:val="0"/>
        <w:snapToGrid w:val="0"/>
        <w:spacing w:line="500" w:lineRule="exact"/>
        <w:ind w:firstLine="562"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57DDED54">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32. 合同授予标准</w:t>
      </w:r>
    </w:p>
    <w:p w14:paraId="05481F39">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32.1 本招标项目的合同将授予按本投标须知第30条规定所确定的中标人。 </w:t>
      </w:r>
    </w:p>
    <w:p w14:paraId="18539A6E">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 合同协议书的签订</w:t>
      </w:r>
    </w:p>
    <w:p w14:paraId="0D2F171D">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日历天内</w:t>
      </w:r>
      <w:r>
        <w:rPr>
          <w:rFonts w:hint="eastAsia" w:ascii="宋体" w:hAnsi="宋体" w:cs="宋体"/>
          <w:color w:val="auto"/>
          <w:szCs w:val="21"/>
          <w:highlight w:val="none"/>
        </w:rPr>
        <w:t>，按照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和中标人的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3486D17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0389EBB8">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33.3</w:t>
      </w:r>
      <w:r>
        <w:rPr>
          <w:rFonts w:hint="eastAsia" w:ascii="宋体" w:hAnsi="宋体" w:cs="宋体"/>
          <w:color w:val="auto"/>
          <w:szCs w:val="21"/>
          <w:highlight w:val="none"/>
          <w:lang w:val="en-US" w:eastAsia="zh-CN"/>
        </w:rPr>
        <w:t>中标人如不按本投标须知第30条的规定与招标人订立合同，依法承担民事责任，同时依法承担相应法律责任。</w:t>
      </w:r>
    </w:p>
    <w:p w14:paraId="43E9CC3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252D67BE">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63A4609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须知前附表规定的担保形式、金额和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4DC61C2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34.2中标人不能按本章第34.1款要求提交履约担保的，视为放弃中标，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38E9C6F9">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26553498">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05EEEA0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不得泄漏招标投标活动中应当保密的情况和资料，不得与</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 xml:space="preserve">串通损害国家利益，社会公共利益或者他人合法权益。 </w:t>
      </w:r>
    </w:p>
    <w:p w14:paraId="7B232892">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36.对</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 xml:space="preserve">的纪律要求 </w:t>
      </w:r>
    </w:p>
    <w:p w14:paraId="3090510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36.1</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不得以任何方式干扰、影响评标工作。</w:t>
      </w:r>
    </w:p>
    <w:p w14:paraId="46E99431">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37.对评标委员会成员的纪律要求 </w:t>
      </w:r>
    </w:p>
    <w:p w14:paraId="65471E5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w:t>
      </w:r>
    </w:p>
    <w:p w14:paraId="3EE85A00">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84E0BD7">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38.对与评标活动有关的工作人员的纪律要求 </w:t>
      </w:r>
    </w:p>
    <w:p w14:paraId="31F13EA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的评审和比较、中标候选人的推荐情况以及评标有关的其他情况。在评标活动中，与评标活动有关的工作人员不得擅离职守，影响评标程序正常进行。</w:t>
      </w:r>
    </w:p>
    <w:p w14:paraId="35A2573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3" w:name="_Toc449028875"/>
      <w:r>
        <w:rPr>
          <w:rFonts w:hint="eastAsia" w:ascii="宋体" w:hAnsi="宋体" w:eastAsia="宋体" w:cs="宋体"/>
          <w:b/>
          <w:color w:val="auto"/>
          <w:sz w:val="28"/>
          <w:szCs w:val="28"/>
          <w:highlight w:val="none"/>
        </w:rPr>
        <w:t>（八）质疑与投诉</w:t>
      </w:r>
      <w:bookmarkEnd w:id="43"/>
    </w:p>
    <w:p w14:paraId="77D3D939">
      <w:pPr>
        <w:keepNext w:val="0"/>
        <w:keepLines w:val="0"/>
        <w:pageBreakBefore w:val="0"/>
        <w:kinsoku/>
        <w:wordWrap/>
        <w:overflowPunct/>
        <w:topLinePunct w:val="0"/>
        <w:autoSpaceDE/>
        <w:autoSpaceDN/>
        <w:bidi w:val="0"/>
        <w:spacing w:line="500" w:lineRule="exact"/>
        <w:ind w:firstLine="314" w:firstLineChars="149"/>
        <w:jc w:val="lef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39</w:t>
      </w:r>
      <w:r>
        <w:rPr>
          <w:rFonts w:hint="eastAsia" w:ascii="宋体" w:hAnsi="宋体"/>
          <w:b/>
          <w:color w:val="auto"/>
          <w:szCs w:val="21"/>
          <w:highlight w:val="none"/>
        </w:rPr>
        <w:t>. 投诉</w:t>
      </w:r>
    </w:p>
    <w:p w14:paraId="7B2D3B5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w:t>
      </w:r>
      <w:r>
        <w:rPr>
          <w:rFonts w:hint="eastAsia" w:ascii="宋体"/>
          <w:color w:val="auto"/>
          <w:kern w:val="10"/>
          <w:szCs w:val="21"/>
          <w:highlight w:val="none"/>
          <w:lang w:eastAsia="zh-CN"/>
        </w:rPr>
        <w:t>投标人</w:t>
      </w:r>
      <w:r>
        <w:rPr>
          <w:rFonts w:hint="eastAsia" w:ascii="宋体"/>
          <w:color w:val="auto"/>
          <w:kern w:val="10"/>
          <w:szCs w:val="21"/>
          <w:highlight w:val="none"/>
        </w:rPr>
        <w:t>或者其他利害关系人认为招标投标活动违反法律、法规和规章规定的，有权向相关行政监督部门投诉。投诉应当有明确的请求和必要的证明材料。</w:t>
      </w:r>
    </w:p>
    <w:p w14:paraId="433CA35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黑体" w:eastAsia="黑体"/>
          <w:color w:val="auto"/>
          <w:sz w:val="30"/>
          <w:szCs w:val="30"/>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.2</w:t>
      </w:r>
      <w:r>
        <w:rPr>
          <w:rFonts w:hint="eastAsia" w:ascii="宋体"/>
          <w:color w:val="auto"/>
          <w:kern w:val="10"/>
          <w:szCs w:val="21"/>
          <w:highlight w:val="none"/>
          <w:lang w:eastAsia="zh-CN"/>
        </w:rPr>
        <w:t>投标人</w:t>
      </w:r>
      <w:r>
        <w:rPr>
          <w:rFonts w:hint="eastAsia" w:ascii="宋体"/>
          <w:color w:val="auto"/>
          <w:kern w:val="10"/>
          <w:szCs w:val="21"/>
          <w:highlight w:val="none"/>
        </w:rPr>
        <w:t>和其他利害关系人对</w:t>
      </w:r>
      <w:r>
        <w:rPr>
          <w:rFonts w:hint="eastAsia" w:ascii="宋体"/>
          <w:color w:val="auto"/>
          <w:kern w:val="10"/>
          <w:szCs w:val="21"/>
          <w:highlight w:val="none"/>
          <w:lang w:eastAsia="zh-CN"/>
        </w:rPr>
        <w:t>招标文件</w:t>
      </w:r>
      <w:r>
        <w:rPr>
          <w:rFonts w:hint="eastAsia" w:ascii="宋体"/>
          <w:color w:val="auto"/>
          <w:kern w:val="10"/>
          <w:szCs w:val="21"/>
          <w:highlight w:val="none"/>
        </w:rPr>
        <w:t>、开标和评标结果事项投诉的，应当按照</w:t>
      </w:r>
      <w:r>
        <w:rPr>
          <w:rFonts w:hint="eastAsia" w:ascii="宋体"/>
          <w:color w:val="auto"/>
          <w:kern w:val="10"/>
          <w:szCs w:val="21"/>
          <w:highlight w:val="none"/>
          <w:lang w:eastAsia="zh-CN"/>
        </w:rPr>
        <w:t>投标人</w:t>
      </w:r>
      <w:r>
        <w:rPr>
          <w:rFonts w:hint="eastAsia" w:ascii="宋体"/>
          <w:color w:val="auto"/>
          <w:kern w:val="10"/>
          <w:szCs w:val="21"/>
          <w:highlight w:val="none"/>
        </w:rPr>
        <w:t>须知的规定先向</w:t>
      </w:r>
      <w:r>
        <w:rPr>
          <w:rFonts w:hint="eastAsia" w:ascii="宋体"/>
          <w:color w:val="auto"/>
          <w:kern w:val="10"/>
          <w:szCs w:val="21"/>
          <w:highlight w:val="none"/>
          <w:lang w:eastAsia="zh-CN"/>
        </w:rPr>
        <w:t>招标人</w:t>
      </w:r>
      <w:r>
        <w:rPr>
          <w:rFonts w:hint="eastAsia" w:ascii="宋体"/>
          <w:color w:val="auto"/>
          <w:kern w:val="10"/>
          <w:szCs w:val="21"/>
          <w:highlight w:val="none"/>
        </w:rPr>
        <w:t>提出异议。异议答复期间不计算在规定的期限内。</w:t>
      </w:r>
    </w:p>
    <w:p w14:paraId="79996EB8">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bookmarkStart w:id="44" w:name="_Toc58430316"/>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第三章 评标办法（</w:t>
      </w:r>
      <w:r>
        <w:rPr>
          <w:rFonts w:hint="eastAsia" w:ascii="宋体" w:cs="Times New Roman"/>
          <w:b/>
          <w:color w:val="auto"/>
          <w:sz w:val="32"/>
          <w:szCs w:val="32"/>
          <w:highlight w:val="none"/>
          <w:lang w:val="en-US" w:eastAsia="zh-CN"/>
        </w:rPr>
        <w:t>最低评标价法</w:t>
      </w:r>
      <w:r>
        <w:rPr>
          <w:rFonts w:hint="eastAsia" w:ascii="宋体" w:hAnsi="Times New Roman" w:eastAsia="宋体" w:cs="Times New Roman"/>
          <w:b/>
          <w:color w:val="auto"/>
          <w:sz w:val="32"/>
          <w:szCs w:val="32"/>
          <w:highlight w:val="none"/>
        </w:rPr>
        <w:t>）</w:t>
      </w:r>
      <w:bookmarkEnd w:id="44"/>
    </w:p>
    <w:p w14:paraId="6C2BAEC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5" w:name="_Toc58430317"/>
      <w:bookmarkStart w:id="46" w:name="_Toc449028877"/>
      <w:bookmarkStart w:id="47" w:name="_Toc362983801"/>
      <w:bookmarkStart w:id="48" w:name="_Toc267320058"/>
      <w:bookmarkStart w:id="49" w:name="_Toc363135205"/>
      <w:r>
        <w:rPr>
          <w:rFonts w:hint="eastAsia" w:ascii="宋体" w:hAnsi="宋体" w:eastAsia="宋体" w:cs="宋体"/>
          <w:b/>
          <w:color w:val="auto"/>
          <w:sz w:val="28"/>
          <w:szCs w:val="28"/>
          <w:highlight w:val="none"/>
        </w:rPr>
        <w:t>一、总则</w:t>
      </w:r>
      <w:bookmarkEnd w:id="45"/>
      <w:bookmarkEnd w:id="46"/>
      <w:bookmarkEnd w:id="47"/>
    </w:p>
    <w:p w14:paraId="40038418">
      <w:pPr>
        <w:keepNext w:val="0"/>
        <w:keepLines w:val="0"/>
        <w:pageBreakBefore w:val="0"/>
        <w:widowControl w:val="0"/>
        <w:kinsoku/>
        <w:wordWrap/>
        <w:overflowPunct/>
        <w:topLinePunct w:val="0"/>
        <w:autoSpaceDE/>
        <w:autoSpaceDN/>
        <w:bidi w:val="0"/>
        <w:adjustRightInd/>
        <w:snapToGrid/>
        <w:spacing w:line="500" w:lineRule="exact"/>
        <w:ind w:firstLine="316" w:firstLineChars="150"/>
        <w:jc w:val="left"/>
        <w:textAlignment w:val="auto"/>
        <w:rPr>
          <w:rFonts w:hint="eastAsia" w:ascii="宋体"/>
          <w:b/>
          <w:color w:val="auto"/>
          <w:szCs w:val="21"/>
          <w:highlight w:val="none"/>
        </w:rPr>
      </w:pPr>
      <w:r>
        <w:rPr>
          <w:rFonts w:hint="eastAsia" w:ascii="宋体"/>
          <w:b/>
          <w:color w:val="auto"/>
          <w:szCs w:val="21"/>
          <w:highlight w:val="none"/>
        </w:rPr>
        <w:t xml:space="preserve"> 1.本次评标采用最低评标价法</w:t>
      </w:r>
    </w:p>
    <w:p w14:paraId="072AF38B">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1.1最低评标价法，是指</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全部实质性要求且投标报价由低到高的供应商为中标候选人的评标方法。</w:t>
      </w:r>
    </w:p>
    <w:p w14:paraId="0E70C76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hAnsi="宋体" w:eastAsia="宋体" w:cs="宋体"/>
          <w:color w:val="auto"/>
          <w:szCs w:val="21"/>
          <w:highlight w:val="none"/>
        </w:rPr>
        <w:t xml:space="preserve"> 1.2最低评标价法一般适用于标准定制商品及通用服务项目的项目评审。</w:t>
      </w:r>
      <w:r>
        <w:rPr>
          <w:rFonts w:hint="eastAsia" w:ascii="宋体"/>
          <w:color w:val="auto"/>
          <w:szCs w:val="21"/>
          <w:highlight w:val="none"/>
        </w:rPr>
        <w:t>。</w:t>
      </w:r>
    </w:p>
    <w:p w14:paraId="5A95EDE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2．评标程序</w:t>
      </w:r>
    </w:p>
    <w:p w14:paraId="297B8CF5">
      <w:pPr>
        <w:spacing w:line="500" w:lineRule="exact"/>
        <w:ind w:firstLine="420" w:firstLineChars="200"/>
        <w:jc w:val="left"/>
        <w:rPr>
          <w:rFonts w:hint="eastAsia" w:ascii="宋体" w:hAnsi="宋体" w:eastAsia="宋体" w:cs="宋体"/>
          <w:color w:val="auto"/>
          <w:szCs w:val="21"/>
          <w:highlight w:val="none"/>
        </w:rPr>
      </w:pPr>
      <w:bookmarkStart w:id="50" w:name="_Toc58430318"/>
      <w:bookmarkStart w:id="51" w:name="_Toc362983802"/>
      <w:bookmarkStart w:id="52" w:name="_Toc449028878"/>
      <w:r>
        <w:rPr>
          <w:rFonts w:hint="eastAsia" w:ascii="宋体" w:hAnsi="宋体" w:eastAsia="宋体" w:cs="宋体"/>
          <w:color w:val="auto"/>
          <w:szCs w:val="21"/>
          <w:highlight w:val="none"/>
        </w:rPr>
        <w:t>2.1投标文件的初审</w:t>
      </w:r>
    </w:p>
    <w:p w14:paraId="147BB9AF">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2.1.1资格性检查。依据法律法规和招标文件的规定，对投标文件中的资格证明、投标保证金等进行审查，以确定投标人是否具备投标资格。 </w:t>
      </w:r>
    </w:p>
    <w:p w14:paraId="547D14B0">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1B0FFB31">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2.2投标文件的澄清</w:t>
      </w:r>
    </w:p>
    <w:p w14:paraId="0F953433">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301FF42D">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4CC88623">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2.2.3招标人不接受投标人主动提出的澄清。</w:t>
      </w:r>
    </w:p>
    <w:p w14:paraId="2566D776">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2.3比较与评价</w:t>
      </w:r>
    </w:p>
    <w:p w14:paraId="56712CF9">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3.1按招标文件中规定的评标方法和标准，对资格性检查和符合性检查合格的投标文件进行综合比较与评价。 </w:t>
      </w:r>
    </w:p>
    <w:p w14:paraId="3792A1C1">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2.4推荐中标候选人名单</w:t>
      </w:r>
    </w:p>
    <w:p w14:paraId="0BC882C4">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2.4.1中标候选人数量应当根据采购需要确定，但必须按顺序排列中标候选人。</w:t>
      </w:r>
    </w:p>
    <w:p w14:paraId="0AF92CF3">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2.5在投标文件的审查、澄清、评价和比较以及授予合同过程中，投标人对招标人和评标委员会成员施加影响的任何行为，都将导致取消其中标资格。</w:t>
      </w:r>
    </w:p>
    <w:p w14:paraId="7B4C4FAC">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初审</w:t>
      </w:r>
      <w:bookmarkEnd w:id="50"/>
      <w:bookmarkEnd w:id="51"/>
      <w:bookmarkEnd w:id="52"/>
    </w:p>
    <w:p w14:paraId="56CCA698">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3.资格性审查:</w:t>
      </w:r>
    </w:p>
    <w:p w14:paraId="108E27B1">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3.1评审细则</w:t>
      </w:r>
    </w:p>
    <w:tbl>
      <w:tblPr>
        <w:tblStyle w:val="36"/>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4941"/>
        <w:gridCol w:w="2919"/>
      </w:tblGrid>
      <w:tr w14:paraId="13D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19D3AF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216" w:type="dxa"/>
            <w:gridSpan w:val="2"/>
            <w:noWrap w:val="0"/>
            <w:vAlign w:val="center"/>
          </w:tcPr>
          <w:p w14:paraId="43EC14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2919" w:type="dxa"/>
            <w:noWrap w:val="0"/>
            <w:vAlign w:val="center"/>
          </w:tcPr>
          <w:p w14:paraId="55D706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52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rPr>
        <w:tc>
          <w:tcPr>
            <w:tcW w:w="795" w:type="dxa"/>
            <w:noWrap w:val="0"/>
            <w:vAlign w:val="center"/>
          </w:tcPr>
          <w:p w14:paraId="48A70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5" w:type="dxa"/>
            <w:noWrap w:val="0"/>
            <w:vAlign w:val="center"/>
          </w:tcPr>
          <w:p w14:paraId="6DECD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重要要求</w:t>
            </w:r>
          </w:p>
        </w:tc>
        <w:tc>
          <w:tcPr>
            <w:tcW w:w="4941" w:type="dxa"/>
            <w:noWrap w:val="0"/>
            <w:vAlign w:val="center"/>
          </w:tcPr>
          <w:p w14:paraId="6E0C57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（1）法定代表人身份证明和本人有效身份证(或法定代表人授权委托书和委托代理人有效身份证)</w:t>
            </w:r>
          </w:p>
        </w:tc>
        <w:tc>
          <w:tcPr>
            <w:tcW w:w="2919" w:type="dxa"/>
            <w:noWrap w:val="0"/>
            <w:vAlign w:val="center"/>
          </w:tcPr>
          <w:p w14:paraId="4B8B61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w:t>
            </w:r>
          </w:p>
        </w:tc>
      </w:tr>
      <w:tr w14:paraId="73D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1369A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5" w:type="dxa"/>
            <w:vMerge w:val="restart"/>
            <w:noWrap w:val="0"/>
            <w:vAlign w:val="center"/>
          </w:tcPr>
          <w:p w14:paraId="3225E7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应符合的基本资格条件</w:t>
            </w:r>
          </w:p>
        </w:tc>
        <w:tc>
          <w:tcPr>
            <w:tcW w:w="4941" w:type="dxa"/>
            <w:noWrap w:val="0"/>
            <w:vAlign w:val="center"/>
          </w:tcPr>
          <w:p w14:paraId="060602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w:t>
            </w:r>
            <w:r>
              <w:rPr>
                <w:rFonts w:hint="eastAsia" w:ascii="宋体" w:hAnsi="宋体" w:eastAsia="宋体" w:cs="宋体"/>
                <w:color w:val="auto"/>
                <w:sz w:val="21"/>
                <w:szCs w:val="21"/>
                <w:highlight w:val="none"/>
                <w:lang w:val="en-US" w:eastAsia="zh-CN"/>
              </w:rPr>
              <w:t>独立承担民事责任能力</w:t>
            </w:r>
            <w:r>
              <w:rPr>
                <w:rFonts w:hint="eastAsia" w:ascii="宋体" w:hAnsi="宋体" w:eastAsia="宋体" w:cs="宋体"/>
                <w:color w:val="auto"/>
                <w:sz w:val="21"/>
                <w:szCs w:val="21"/>
                <w:highlight w:val="none"/>
              </w:rPr>
              <w:t>且具有相应的服务能力</w:t>
            </w:r>
          </w:p>
        </w:tc>
        <w:tc>
          <w:tcPr>
            <w:tcW w:w="2919" w:type="dxa"/>
            <w:noWrap w:val="0"/>
            <w:vAlign w:val="center"/>
          </w:tcPr>
          <w:p w14:paraId="160FBA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6424BA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有效的营业执照</w:t>
            </w:r>
          </w:p>
        </w:tc>
      </w:tr>
      <w:tr w14:paraId="533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0BD234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604DF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noWrap w:val="0"/>
            <w:vAlign w:val="center"/>
          </w:tcPr>
          <w:p w14:paraId="3612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3）诚信投标承诺书</w:t>
            </w:r>
          </w:p>
        </w:tc>
        <w:tc>
          <w:tcPr>
            <w:tcW w:w="2919" w:type="dxa"/>
            <w:noWrap w:val="0"/>
            <w:vAlign w:val="center"/>
          </w:tcPr>
          <w:p w14:paraId="54D118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4BA29A7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格式见附件</w:t>
            </w:r>
          </w:p>
        </w:tc>
      </w:tr>
      <w:tr w14:paraId="5E0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4A353C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2F8457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shd w:val="clear" w:color="auto" w:fill="auto"/>
            <w:noWrap w:val="0"/>
            <w:vAlign w:val="center"/>
          </w:tcPr>
          <w:p w14:paraId="6E85E3C1">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（4）项目负责人具有安全评价师职业资格证书或安全相关专业中级以上职称证书或者国家注册安全师工程师注册证书</w:t>
            </w:r>
          </w:p>
        </w:tc>
        <w:tc>
          <w:tcPr>
            <w:tcW w:w="2919" w:type="dxa"/>
            <w:shd w:val="clear" w:color="auto" w:fill="auto"/>
            <w:noWrap w:val="0"/>
            <w:vAlign w:val="center"/>
          </w:tcPr>
          <w:p w14:paraId="5C6D0029">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04C69024">
            <w:pPr>
              <w:spacing w:line="440" w:lineRule="exact"/>
              <w:rPr>
                <w:rFonts w:hint="eastAsia" w:ascii="宋体" w:hAnsi="Times New Roman" w:eastAsia="宋体" w:cs="Times New Roman"/>
                <w:color w:val="auto"/>
                <w:kern w:val="2"/>
                <w:sz w:val="21"/>
                <w:szCs w:val="21"/>
                <w:highlight w:val="none"/>
                <w:lang w:val="en-US" w:eastAsia="zh-CN" w:bidi="ar-SA"/>
              </w:rPr>
            </w:pPr>
            <w:r>
              <w:rPr>
                <w:rFonts w:hint="default" w:ascii="宋体"/>
                <w:color w:val="auto"/>
                <w:szCs w:val="21"/>
                <w:highlight w:val="none"/>
                <w:lang w:val="en-US" w:eastAsia="zh-CN"/>
              </w:rPr>
              <w:t>有效</w:t>
            </w:r>
            <w:r>
              <w:rPr>
                <w:rFonts w:hint="eastAsia" w:ascii="宋体"/>
                <w:color w:val="auto"/>
                <w:szCs w:val="21"/>
                <w:highlight w:val="none"/>
                <w:lang w:val="en-US" w:eastAsia="zh-CN"/>
              </w:rPr>
              <w:t>身份证及证书</w:t>
            </w:r>
          </w:p>
        </w:tc>
      </w:tr>
      <w:tr w14:paraId="7D0B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789489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07CAB6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shd w:val="clear" w:color="auto" w:fill="auto"/>
            <w:noWrap w:val="0"/>
            <w:vAlign w:val="center"/>
          </w:tcPr>
          <w:p w14:paraId="5DACBD2B">
            <w:pPr>
              <w:spacing w:line="44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投标人的法定代表人(或委托代理人)及拟任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2919" w:type="dxa"/>
            <w:shd w:val="clear" w:color="auto" w:fill="auto"/>
            <w:noWrap w:val="0"/>
            <w:vAlign w:val="center"/>
          </w:tcPr>
          <w:p w14:paraId="1DF1C235">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15550D1A">
            <w:pPr>
              <w:spacing w:line="440" w:lineRule="exact"/>
              <w:rPr>
                <w:rFonts w:hint="default" w:ascii="宋体"/>
                <w:color w:val="auto"/>
                <w:szCs w:val="21"/>
                <w:highlight w:val="none"/>
                <w:lang w:val="en-US" w:eastAsia="zh-CN"/>
              </w:rPr>
            </w:pPr>
            <w:r>
              <w:rPr>
                <w:rFonts w:hint="eastAsia" w:ascii="宋体"/>
                <w:color w:val="auto"/>
                <w:szCs w:val="21"/>
                <w:highlight w:val="none"/>
                <w:lang w:val="en-US" w:eastAsia="zh-CN"/>
              </w:rPr>
              <w:t>养老保险证明</w:t>
            </w:r>
          </w:p>
        </w:tc>
      </w:tr>
    </w:tbl>
    <w:p w14:paraId="1704E46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如评标专家在</w:t>
      </w:r>
      <w:r>
        <w:rPr>
          <w:rFonts w:hint="eastAsia" w:ascii="宋体" w:hAnsi="宋体" w:eastAsia="宋体" w:cs="宋体"/>
          <w:b/>
          <w:color w:val="auto"/>
          <w:sz w:val="21"/>
          <w:szCs w:val="21"/>
          <w:highlight w:val="none"/>
          <w:lang w:val="en-US" w:eastAsia="zh-CN"/>
        </w:rPr>
        <w:t>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过程中，如果由于</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自身原因导致评标专家无法查看并检验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中相关资料的，否决其投标。即使</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将原件携带至现场的，同样按否决投标处理。</w:t>
      </w:r>
    </w:p>
    <w:p w14:paraId="3B3F76EC">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4.符合性审查</w:t>
      </w:r>
    </w:p>
    <w:p w14:paraId="59064B2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4．1评审细则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CC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A8874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35" w:type="dxa"/>
            <w:gridSpan w:val="2"/>
            <w:noWrap w:val="0"/>
            <w:vAlign w:val="center"/>
          </w:tcPr>
          <w:p w14:paraId="1AA0BA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审查因素</w:t>
            </w:r>
          </w:p>
        </w:tc>
        <w:tc>
          <w:tcPr>
            <w:tcW w:w="4173" w:type="dxa"/>
            <w:noWrap w:val="0"/>
            <w:vAlign w:val="center"/>
          </w:tcPr>
          <w:p w14:paraId="690DAE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47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3998D4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dxa"/>
            <w:vMerge w:val="restart"/>
            <w:noWrap w:val="0"/>
            <w:vAlign w:val="center"/>
          </w:tcPr>
          <w:p w14:paraId="73304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招标文件的有效性</w:t>
            </w:r>
          </w:p>
        </w:tc>
        <w:tc>
          <w:tcPr>
            <w:tcW w:w="2931" w:type="dxa"/>
            <w:noWrap w:val="0"/>
            <w:vAlign w:val="center"/>
          </w:tcPr>
          <w:p w14:paraId="024E7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（1）招标文件签署</w:t>
            </w:r>
          </w:p>
        </w:tc>
        <w:tc>
          <w:tcPr>
            <w:tcW w:w="4173" w:type="dxa"/>
            <w:noWrap w:val="0"/>
            <w:vAlign w:val="center"/>
          </w:tcPr>
          <w:p w14:paraId="56CDE2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签字、盖章符合要求。</w:t>
            </w:r>
          </w:p>
        </w:tc>
      </w:tr>
      <w:tr w14:paraId="426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464391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40AA9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5DF544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（2）投标方案</w:t>
            </w:r>
          </w:p>
        </w:tc>
        <w:tc>
          <w:tcPr>
            <w:tcW w:w="4173" w:type="dxa"/>
            <w:noWrap w:val="0"/>
            <w:vAlign w:val="center"/>
          </w:tcPr>
          <w:p w14:paraId="23FC92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每个分包只能有一个方案投标。</w:t>
            </w:r>
          </w:p>
        </w:tc>
      </w:tr>
      <w:tr w14:paraId="321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4E7A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C720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381A9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（3）报价唯一</w:t>
            </w:r>
          </w:p>
        </w:tc>
        <w:tc>
          <w:tcPr>
            <w:tcW w:w="4173" w:type="dxa"/>
            <w:noWrap w:val="0"/>
            <w:vAlign w:val="center"/>
          </w:tcPr>
          <w:p w14:paraId="5ED57F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只能在限价范围内报价，</w:t>
            </w:r>
            <w:r>
              <w:rPr>
                <w:rFonts w:hint="eastAsia" w:ascii="宋体" w:hAnsi="宋体" w:eastAsia="宋体" w:cs="宋体"/>
                <w:color w:val="auto"/>
                <w:sz w:val="21"/>
                <w:szCs w:val="21"/>
                <w:highlight w:val="none"/>
              </w:rPr>
              <w:t>只能有一个有效报价，不得提交选择性报价。</w:t>
            </w:r>
          </w:p>
        </w:tc>
      </w:tr>
      <w:tr w14:paraId="741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7E52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1EAB75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C4055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的有效期</w:t>
            </w:r>
          </w:p>
        </w:tc>
        <w:tc>
          <w:tcPr>
            <w:tcW w:w="4173" w:type="dxa"/>
            <w:noWrap w:val="0"/>
            <w:vAlign w:val="center"/>
          </w:tcPr>
          <w:p w14:paraId="7BE492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完全响应。</w:t>
            </w:r>
          </w:p>
        </w:tc>
      </w:tr>
      <w:tr w14:paraId="7E2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6BD7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dxa"/>
            <w:vMerge w:val="restart"/>
            <w:noWrap w:val="0"/>
            <w:vAlign w:val="center"/>
          </w:tcPr>
          <w:p w14:paraId="511F23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招标文件的完整性</w:t>
            </w:r>
          </w:p>
        </w:tc>
        <w:tc>
          <w:tcPr>
            <w:tcW w:w="2931" w:type="dxa"/>
            <w:noWrap w:val="0"/>
            <w:vAlign w:val="center"/>
          </w:tcPr>
          <w:p w14:paraId="5F3B04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（5）招标文件份数</w:t>
            </w:r>
          </w:p>
        </w:tc>
        <w:tc>
          <w:tcPr>
            <w:tcW w:w="4173" w:type="dxa"/>
            <w:noWrap w:val="0"/>
            <w:vAlign w:val="center"/>
          </w:tcPr>
          <w:p w14:paraId="3603D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满足招标文件要求</w:t>
            </w:r>
          </w:p>
        </w:tc>
      </w:tr>
      <w:tr w14:paraId="73B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92D7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5D532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221B67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（6）招标文件形式内容</w:t>
            </w:r>
          </w:p>
        </w:tc>
        <w:tc>
          <w:tcPr>
            <w:tcW w:w="4173" w:type="dxa"/>
            <w:noWrap w:val="0"/>
            <w:vAlign w:val="center"/>
          </w:tcPr>
          <w:p w14:paraId="0AAEAD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招标文件内容清晰、齐全无遗漏。</w:t>
            </w:r>
          </w:p>
        </w:tc>
      </w:tr>
      <w:tr w14:paraId="657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82DD8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dxa"/>
            <w:vMerge w:val="restart"/>
            <w:noWrap w:val="0"/>
            <w:vAlign w:val="center"/>
          </w:tcPr>
          <w:p w14:paraId="478953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招标文件的响应程度</w:t>
            </w:r>
          </w:p>
        </w:tc>
        <w:tc>
          <w:tcPr>
            <w:tcW w:w="2931" w:type="dxa"/>
            <w:noWrap w:val="0"/>
            <w:vAlign w:val="center"/>
          </w:tcPr>
          <w:p w14:paraId="14C6C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（7）采购需求响应程度</w:t>
            </w:r>
          </w:p>
        </w:tc>
        <w:tc>
          <w:tcPr>
            <w:tcW w:w="4173" w:type="dxa"/>
            <w:noWrap w:val="0"/>
            <w:vAlign w:val="center"/>
          </w:tcPr>
          <w:p w14:paraId="7372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r w14:paraId="357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25E1A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3D5E0C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1CC1C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（8）商务条款响应程度（包括供货期、售后服务、技术培训等）</w:t>
            </w:r>
          </w:p>
        </w:tc>
        <w:tc>
          <w:tcPr>
            <w:tcW w:w="4173" w:type="dxa"/>
            <w:noWrap w:val="0"/>
            <w:vAlign w:val="center"/>
          </w:tcPr>
          <w:p w14:paraId="1D41C2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bl>
    <w:p w14:paraId="4786F04A">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4.2资格审查及评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rPr>
        <w:t>细则中涉及的有关证明材料及相关证书，</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中须按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p>
    <w:p w14:paraId="144B2225">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4.3评标委员会判定</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本身的内容，而不寻求外部的证据，但投标有不真实不正确的内容时除外。</w:t>
      </w:r>
    </w:p>
    <w:p w14:paraId="73B6E7D3">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4.4如果</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的要求，评标委员会将予以拒绝，</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不得通过修正或撤销不符合要求的偏离或保留，而使其投标成为实质上响应的投标。</w:t>
      </w:r>
    </w:p>
    <w:p w14:paraId="3921DEB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4.5只有通过初审的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才能进入下一步程序。</w:t>
      </w:r>
    </w:p>
    <w:p w14:paraId="65D0579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3" w:name="_Toc58430319"/>
      <w:bookmarkStart w:id="54" w:name="_Toc449028879"/>
      <w:bookmarkStart w:id="55" w:name="_Toc362983803"/>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的澄清和补正</w:t>
      </w:r>
      <w:bookmarkEnd w:id="53"/>
      <w:bookmarkEnd w:id="54"/>
      <w:bookmarkEnd w:id="55"/>
    </w:p>
    <w:p w14:paraId="4702916A">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w:t>
      </w:r>
      <w:r>
        <w:rPr>
          <w:rFonts w:hint="eastAsia" w:ascii="宋体"/>
          <w:color w:val="auto"/>
          <w:szCs w:val="21"/>
          <w:highlight w:val="none"/>
          <w:lang w:eastAsia="zh-CN"/>
        </w:rPr>
        <w:t>投标人</w:t>
      </w:r>
      <w:r>
        <w:rPr>
          <w:rFonts w:hint="eastAsia" w:ascii="宋体"/>
          <w:color w:val="auto"/>
          <w:szCs w:val="21"/>
          <w:highlight w:val="none"/>
        </w:rPr>
        <w:t>就其</w:t>
      </w:r>
      <w:r>
        <w:rPr>
          <w:rFonts w:hint="eastAsia" w:ascii="宋体"/>
          <w:color w:val="auto"/>
          <w:szCs w:val="21"/>
          <w:highlight w:val="none"/>
          <w:lang w:eastAsia="zh-CN"/>
        </w:rPr>
        <w:t>招标文件</w:t>
      </w:r>
      <w:r>
        <w:rPr>
          <w:rFonts w:hint="eastAsia" w:ascii="宋体"/>
          <w:color w:val="auto"/>
          <w:szCs w:val="21"/>
          <w:highlight w:val="none"/>
        </w:rPr>
        <w:t>中含义不明确、同类问题表述不一致或者有明显文字和计算错误的内容进行澄清。</w:t>
      </w:r>
      <w:r>
        <w:rPr>
          <w:rFonts w:hint="eastAsia" w:ascii="宋体"/>
          <w:color w:val="auto"/>
          <w:szCs w:val="21"/>
          <w:highlight w:val="none"/>
          <w:lang w:eastAsia="zh-CN"/>
        </w:rPr>
        <w:t>投标人</w:t>
      </w:r>
      <w:r>
        <w:rPr>
          <w:rFonts w:hint="eastAsia" w:ascii="宋体"/>
          <w:color w:val="auto"/>
          <w:szCs w:val="21"/>
          <w:highlight w:val="none"/>
        </w:rPr>
        <w:t>必须在规定时间内进行回复</w:t>
      </w:r>
      <w:r>
        <w:rPr>
          <w:rFonts w:hint="eastAsia" w:ascii="宋体" w:hAnsi="宋体" w:cs="宋体"/>
          <w:b/>
          <w:bCs/>
          <w:color w:val="auto"/>
          <w:szCs w:val="21"/>
          <w:highlight w:val="none"/>
          <w:lang w:bidi="ar"/>
        </w:rPr>
        <w:t>。</w:t>
      </w:r>
    </w:p>
    <w:p w14:paraId="1EE4A4C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w:t>
      </w:r>
      <w:r>
        <w:rPr>
          <w:rFonts w:hint="eastAsia" w:ascii="宋体"/>
          <w:color w:val="auto"/>
          <w:szCs w:val="21"/>
          <w:highlight w:val="none"/>
          <w:lang w:eastAsia="zh-CN"/>
        </w:rPr>
        <w:t>投标人</w:t>
      </w:r>
      <w:r>
        <w:rPr>
          <w:rFonts w:hint="eastAsia" w:ascii="宋体"/>
          <w:color w:val="auto"/>
          <w:szCs w:val="21"/>
          <w:highlight w:val="none"/>
        </w:rPr>
        <w:t>的澄清、说明或者补正应当在系统进行，但不得超出</w:t>
      </w:r>
      <w:r>
        <w:rPr>
          <w:rFonts w:hint="eastAsia" w:ascii="宋体"/>
          <w:color w:val="auto"/>
          <w:szCs w:val="21"/>
          <w:highlight w:val="none"/>
          <w:lang w:eastAsia="zh-CN"/>
        </w:rPr>
        <w:t>招标文件</w:t>
      </w:r>
      <w:r>
        <w:rPr>
          <w:rFonts w:hint="eastAsia" w:ascii="宋体"/>
          <w:color w:val="auto"/>
          <w:szCs w:val="21"/>
          <w:highlight w:val="none"/>
        </w:rPr>
        <w:t>的范围或者改变</w:t>
      </w:r>
      <w:r>
        <w:rPr>
          <w:rFonts w:hint="eastAsia" w:ascii="宋体"/>
          <w:color w:val="auto"/>
          <w:szCs w:val="21"/>
          <w:highlight w:val="none"/>
          <w:lang w:eastAsia="zh-CN"/>
        </w:rPr>
        <w:t>招标文件</w:t>
      </w:r>
      <w:r>
        <w:rPr>
          <w:rFonts w:hint="eastAsia" w:ascii="宋体"/>
          <w:color w:val="auto"/>
          <w:szCs w:val="21"/>
          <w:highlight w:val="none"/>
        </w:rPr>
        <w:t>的实质性内容。</w:t>
      </w:r>
    </w:p>
    <w:p w14:paraId="02DD680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5B05E20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FED7B3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r>
        <w:rPr>
          <w:rFonts w:hint="eastAsia" w:ascii="宋体"/>
          <w:color w:val="auto"/>
          <w:szCs w:val="21"/>
          <w:highlight w:val="none"/>
          <w:lang w:eastAsia="zh-CN"/>
        </w:rPr>
        <w:t>；</w:t>
      </w:r>
      <w:r>
        <w:rPr>
          <w:rFonts w:hint="eastAsia" w:ascii="宋体" w:hAnsi="宋体" w:cs="宋体"/>
          <w:color w:val="auto"/>
          <w:szCs w:val="21"/>
          <w:highlight w:val="none"/>
        </w:rPr>
        <w:t>投标的数量与招标的数量不一致时，以招标数量为准。</w:t>
      </w:r>
    </w:p>
    <w:p w14:paraId="2083C939">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bCs/>
          <w:color w:val="auto"/>
          <w:szCs w:val="21"/>
          <w:highlight w:val="none"/>
        </w:rPr>
      </w:pPr>
      <w:r>
        <w:rPr>
          <w:rFonts w:hint="eastAsia" w:ascii="宋体"/>
          <w:color w:val="auto"/>
          <w:szCs w:val="21"/>
          <w:highlight w:val="none"/>
        </w:rPr>
        <w:t xml:space="preserve"> 5.4评委会将按上述修正错误的方法调整</w:t>
      </w:r>
      <w:r>
        <w:rPr>
          <w:rFonts w:hint="eastAsia" w:ascii="宋体"/>
          <w:color w:val="auto"/>
          <w:szCs w:val="21"/>
          <w:highlight w:val="none"/>
          <w:lang w:eastAsia="zh-CN"/>
        </w:rPr>
        <w:t>招标文件</w:t>
      </w:r>
      <w:r>
        <w:rPr>
          <w:rFonts w:hint="eastAsia" w:ascii="宋体"/>
          <w:color w:val="auto"/>
          <w:szCs w:val="21"/>
          <w:highlight w:val="none"/>
        </w:rPr>
        <w:t>中的投标报价，调整后的价格应对</w:t>
      </w:r>
      <w:r>
        <w:rPr>
          <w:rFonts w:hint="eastAsia" w:ascii="宋体"/>
          <w:color w:val="auto"/>
          <w:szCs w:val="21"/>
          <w:highlight w:val="none"/>
          <w:lang w:eastAsia="zh-CN"/>
        </w:rPr>
        <w:t>投标人</w:t>
      </w:r>
      <w:r>
        <w:rPr>
          <w:rFonts w:hint="eastAsia" w:ascii="宋体"/>
          <w:color w:val="auto"/>
          <w:szCs w:val="21"/>
          <w:highlight w:val="none"/>
        </w:rPr>
        <w:t>具有约束力。无论</w:t>
      </w:r>
      <w:r>
        <w:rPr>
          <w:rFonts w:hint="eastAsia" w:ascii="宋体"/>
          <w:color w:val="auto"/>
          <w:szCs w:val="21"/>
          <w:highlight w:val="none"/>
          <w:lang w:eastAsia="zh-CN"/>
        </w:rPr>
        <w:t>投标人</w:t>
      </w:r>
      <w:r>
        <w:rPr>
          <w:rFonts w:hint="eastAsia" w:ascii="宋体"/>
          <w:color w:val="auto"/>
          <w:szCs w:val="21"/>
          <w:highlight w:val="none"/>
        </w:rPr>
        <w:t>是接受或是拒绝调整后的价格，都应当由</w:t>
      </w:r>
      <w:r>
        <w:rPr>
          <w:rFonts w:hint="eastAsia" w:ascii="宋体"/>
          <w:color w:val="auto"/>
          <w:szCs w:val="21"/>
          <w:highlight w:val="none"/>
          <w:lang w:eastAsia="zh-CN"/>
        </w:rPr>
        <w:t>投标人</w:t>
      </w:r>
      <w:r>
        <w:rPr>
          <w:rFonts w:hint="eastAsia" w:ascii="宋体"/>
          <w:color w:val="auto"/>
          <w:szCs w:val="21"/>
          <w:highlight w:val="none"/>
        </w:rPr>
        <w:t>确认。</w:t>
      </w:r>
      <w:r>
        <w:rPr>
          <w:rFonts w:hint="eastAsia" w:ascii="宋体"/>
          <w:b/>
          <w:bCs/>
          <w:color w:val="auto"/>
          <w:szCs w:val="21"/>
          <w:highlight w:val="none"/>
          <w:lang w:eastAsia="zh-CN"/>
        </w:rPr>
        <w:t>投标人</w:t>
      </w:r>
      <w:r>
        <w:rPr>
          <w:rFonts w:hint="eastAsia" w:ascii="宋体"/>
          <w:b/>
          <w:bCs/>
          <w:color w:val="auto"/>
          <w:szCs w:val="21"/>
          <w:highlight w:val="none"/>
        </w:rPr>
        <w:t>拒绝对</w:t>
      </w:r>
      <w:r>
        <w:rPr>
          <w:rFonts w:hint="eastAsia" w:ascii="宋体"/>
          <w:b/>
          <w:bCs/>
          <w:color w:val="auto"/>
          <w:szCs w:val="21"/>
          <w:highlight w:val="none"/>
          <w:lang w:eastAsia="zh-CN"/>
        </w:rPr>
        <w:t>招标文件</w:t>
      </w:r>
      <w:r>
        <w:rPr>
          <w:rFonts w:hint="eastAsia" w:ascii="宋体"/>
          <w:b/>
          <w:bCs/>
          <w:color w:val="auto"/>
          <w:szCs w:val="21"/>
          <w:highlight w:val="none"/>
        </w:rPr>
        <w:t>出现的错漏按上述原则进行修正、澄清、说明，评标委员会应当否决其投标。</w:t>
      </w:r>
      <w:bookmarkStart w:id="56" w:name="_Toc58430320"/>
      <w:bookmarkStart w:id="57" w:name="_Toc449028880"/>
    </w:p>
    <w:p w14:paraId="27FC191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四、比较与评价</w:t>
      </w:r>
      <w:bookmarkEnd w:id="56"/>
      <w:bookmarkEnd w:id="57"/>
    </w:p>
    <w:p w14:paraId="7F5C09E7">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rPr>
      </w:pPr>
      <w:bookmarkStart w:id="58" w:name="_Toc449028881"/>
      <w:bookmarkStart w:id="59" w:name="_Toc58430321"/>
      <w:bookmarkStart w:id="60" w:name="_Toc362983805"/>
      <w:r>
        <w:rPr>
          <w:rFonts w:hint="eastAsia" w:ascii="宋体" w:hAnsi="宋体" w:eastAsia="宋体" w:cs="宋体"/>
          <w:color w:val="auto"/>
          <w:szCs w:val="21"/>
          <w:highlight w:val="none"/>
        </w:rPr>
        <w:t>6.详细评审即按</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中规定的评标方法和标准，评标委员会将对通过</w:t>
      </w:r>
      <w:r>
        <w:rPr>
          <w:rFonts w:hint="eastAsia" w:ascii="宋体" w:hAnsi="宋体" w:eastAsia="宋体" w:cs="宋体"/>
          <w:color w:val="auto"/>
          <w:szCs w:val="21"/>
          <w:highlight w:val="none"/>
          <w:lang w:val="en-US" w:eastAsia="zh-CN"/>
        </w:rPr>
        <w:t>符合性审查</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，进行评审，综合比较与评价。</w:t>
      </w:r>
    </w:p>
    <w:p w14:paraId="7E27354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w:t>
      </w:r>
    </w:p>
    <w:p w14:paraId="08FD77A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按照最低评标价法的原则确定中标候选人，在有效报价中按有效报价最低原则，推荐有效投标报价最低的为第一中标候选人，次低的为第二中标候选人，依次类推，推荐3名中标候选人，并标明排序，但投标报价低于其成本的除外。有效投标报价最低的有效投标人有两名或两名以上相同时，由招标人或评标委员会主任抽签确定第一中标候选人。</w:t>
      </w:r>
    </w:p>
    <w:p w14:paraId="473262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五、推荐中标候选人</w:t>
      </w:r>
      <w:bookmarkEnd w:id="58"/>
      <w:bookmarkEnd w:id="59"/>
      <w:bookmarkEnd w:id="60"/>
    </w:p>
    <w:bookmarkEnd w:id="48"/>
    <w:p w14:paraId="6C62FC2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7.评标委员会按</w:t>
      </w:r>
      <w:r>
        <w:rPr>
          <w:rFonts w:hint="eastAsia" w:ascii="宋体" w:hAnsi="宋体" w:cs="宋体"/>
          <w:color w:val="auto"/>
          <w:szCs w:val="21"/>
          <w:highlight w:val="none"/>
          <w:lang w:val="en-US" w:eastAsia="zh-CN"/>
        </w:rPr>
        <w:t>有效报价由低到高的顺序</w:t>
      </w:r>
      <w:r>
        <w:rPr>
          <w:rFonts w:hint="eastAsia" w:ascii="宋体" w:hAnsi="宋体" w:cs="宋体"/>
          <w:color w:val="auto"/>
          <w:szCs w:val="21"/>
          <w:highlight w:val="none"/>
        </w:rPr>
        <w:t>推荐3名中标候选人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AEB97C9">
      <w:pP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7.1如出现有效投标报价最低的有效投标人有两名或两名以上相同时，由招标人或评标委员会主任抽签确定第一中标候选人。</w:t>
      </w:r>
    </w:p>
    <w:p w14:paraId="5C6E376C">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870F7C6">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8.</w:t>
      </w:r>
      <w:bookmarkStart w:id="61" w:name="_Hlk61815781"/>
      <w:r>
        <w:rPr>
          <w:rFonts w:hint="eastAsia" w:ascii="宋体" w:hAnsi="宋体" w:cs="宋体"/>
          <w:b/>
          <w:color w:val="auto"/>
          <w:szCs w:val="21"/>
          <w:highlight w:val="none"/>
        </w:rPr>
        <w:t>无效投标条款</w:t>
      </w:r>
    </w:p>
    <w:p w14:paraId="35692AA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8.1招标文件有下列情形之一的,其招标文件拒收:</w:t>
      </w:r>
    </w:p>
    <w:p w14:paraId="655033C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 未在开标截止时间前通过网上招标投标系统递交有效电子投标文件的，开标系统不予接收，投标将被拒绝。</w:t>
      </w:r>
    </w:p>
    <w:p w14:paraId="7F093AF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30分钟，否则投标文件将被拒绝。</w:t>
      </w:r>
    </w:p>
    <w:p w14:paraId="308F695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8.2投标人有下列情形之一的,资格审查后其投标作无效投标处理：</w:t>
      </w:r>
    </w:p>
    <w:p w14:paraId="1D91AF5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(1)投标人为本项目提供招标代理服务的；</w:t>
      </w:r>
    </w:p>
    <w:p w14:paraId="08467CF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(2)投标人与在本项目代理机构存在相互任职或工作的；</w:t>
      </w:r>
    </w:p>
    <w:p w14:paraId="6EB96CB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 评标专家无法查看并检验招标文件中相关资料的；</w:t>
      </w:r>
    </w:p>
    <w:p w14:paraId="189DF9C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(4)被暂停营业的；</w:t>
      </w:r>
    </w:p>
    <w:p w14:paraId="55D011AC">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(5)被暂停或取消投标资格的；</w:t>
      </w:r>
    </w:p>
    <w:p w14:paraId="768FF61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(6)投标人单位负责人为同一人或者存在直接控股、管理关系的不同单位的；</w:t>
      </w:r>
    </w:p>
    <w:p w14:paraId="1A8F0C5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(7)投标人基本资格条件和特定资格条件中有一项及以上不符合要求的；</w:t>
      </w:r>
    </w:p>
    <w:p w14:paraId="24069B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(8)其它情形，经评标委员会委提出按无效投标处理的；</w:t>
      </w:r>
    </w:p>
    <w:p w14:paraId="145E527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（9)招标文件规定的其它无效投标情形。</w:t>
      </w:r>
    </w:p>
    <w:p w14:paraId="50856FB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8.3 投标人有下列情形之一的,符合性审查后其投标按无效投标处理：</w:t>
      </w:r>
    </w:p>
    <w:p w14:paraId="049A30C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(1)招标文件签字、盖章不全，经评标委员会一致认定对开评标内容有实质性影响的；</w:t>
      </w:r>
    </w:p>
    <w:p w14:paraId="53D3D90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(2)未按规定的格式填写导致实质性内容不全以及实质上不响应，或者关键字迹模糊、无法辨认；</w:t>
      </w:r>
    </w:p>
    <w:p w14:paraId="52200C7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(3)同一投标人提交两个以上不同的招标文件或者投标报价，但招标文件规定提交备选方案的除外；</w:t>
      </w:r>
    </w:p>
    <w:p w14:paraId="0BBD4EB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(4)招标文件没有对招标文件的实质性要求和条件作出响应;</w:t>
      </w:r>
    </w:p>
    <w:p w14:paraId="789D207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(5)投标报价超出规定的投标限价或公布的采购预算的；</w:t>
      </w:r>
    </w:p>
    <w:p w14:paraId="3A3AF7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(6)不按评标委员会要求澄清、说明或补正的，或者评标委员会根据招标文件的规定对招标文件的计算错误进行修正后，投标人不接受修正的投标报价的。</w:t>
      </w:r>
    </w:p>
    <w:p w14:paraId="2EE8AAE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(7)其它情形，经评标委员会委提出按无效投标处理的；</w:t>
      </w:r>
    </w:p>
    <w:p w14:paraId="7FA8288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(8)招标文件含有招标人不能接受的附加条件的；</w:t>
      </w:r>
    </w:p>
    <w:p w14:paraId="01441677">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(9)招标文件规定的其它无效投标情形。</w:t>
      </w:r>
    </w:p>
    <w:p w14:paraId="1391959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8.4 投标人有下列情形之一的, 详细评审后其投标按无效投标处理：</w:t>
      </w:r>
    </w:p>
    <w:p w14:paraId="543ED6A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(1)投标产品不符合必须强制执行的国家标准的；</w:t>
      </w:r>
    </w:p>
    <w:p w14:paraId="54CB7D7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(2)投标人有串通投标、弄虚作假、行贿等违法行为；</w:t>
      </w:r>
    </w:p>
    <w:p w14:paraId="67AD273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(3)招标文件含有违反国家法律、法规的内容，或附有招标人不能接受的条件的；</w:t>
      </w:r>
    </w:p>
    <w:p w14:paraId="7B7FD85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(4)报价明显低于其他投标人，且不能证明报价合理性的投标无效；</w:t>
      </w:r>
    </w:p>
    <w:p w14:paraId="40D5C19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(5)拒不确认评标委员会评审修正的投标无效；</w:t>
      </w:r>
    </w:p>
    <w:p w14:paraId="48AC5EB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(6)其它情形，经评标委员会委提出按无效投标处理的；</w:t>
      </w:r>
    </w:p>
    <w:p w14:paraId="7186A66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(7)招标文件规定的其它无效投标情形。</w:t>
      </w:r>
    </w:p>
    <w:bookmarkEnd w:id="61"/>
    <w:p w14:paraId="69149954">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ascii="Times New Roman" w:hAnsi="Times New Roman" w:cs="Times New Roman"/>
          <w:color w:val="auto"/>
          <w:spacing w:val="-10"/>
          <w:w w:val="105"/>
          <w:sz w:val="28"/>
          <w:szCs w:val="28"/>
          <w:highlight w:val="none"/>
          <w:lang w:eastAsia="zh-CN"/>
        </w:rPr>
      </w:pPr>
      <w:bookmarkStart w:id="62" w:name="_Toc58430328"/>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第四章  采购需求</w:t>
      </w:r>
      <w:bookmarkEnd w:id="49"/>
      <w:bookmarkEnd w:id="62"/>
      <w:bookmarkStart w:id="63" w:name="_Toc58430329"/>
      <w:bookmarkStart w:id="64" w:name="_Toc449028945"/>
    </w:p>
    <w:p w14:paraId="33CF2ECA">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ind w:left="0" w:leftChars="0"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一、项目背景</w:t>
      </w:r>
    </w:p>
    <w:p w14:paraId="66F3ED1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中新大道（</w:t>
      </w:r>
      <w:r>
        <w:rPr>
          <w:rFonts w:hint="eastAsia" w:ascii="宋体" w:hAnsi="宋体" w:cs="宋体"/>
          <w:color w:val="auto"/>
          <w:szCs w:val="21"/>
          <w:highlight w:val="none"/>
          <w:lang w:val="en-US" w:eastAsia="zh-CN"/>
        </w:rPr>
        <w:t>福州</w:t>
      </w:r>
      <w:r>
        <w:rPr>
          <w:rFonts w:hint="eastAsia" w:ascii="宋体" w:hAnsi="宋体" w:eastAsia="宋体" w:cs="宋体"/>
          <w:color w:val="auto"/>
          <w:szCs w:val="21"/>
          <w:highlight w:val="none"/>
          <w:lang w:val="en-US" w:eastAsia="zh-CN"/>
        </w:rPr>
        <w:t>路-经三路）基础设施建设项目因建设需要须实施下穿滁马高速公路工程，该工程涉及S22天天高速滁马段桥上及桥下的施工改造，目前已编制完成设计方案及施工方案，并通过专家评审。根据《涉路施工安全评价技术规范》(JTG/T4520-2025)以及高速产权单位的要求，在项目实施前</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lang w:val="en-US" w:eastAsia="zh-CN"/>
        </w:rPr>
        <w:t>具有相应资质的安全评价机构对涉路施工活动设计方案和施工方案进行安全评价。</w:t>
      </w:r>
    </w:p>
    <w:p w14:paraId="6CD80AF7">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ind w:left="0" w:leftChars="0" w:firstLine="482"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b/>
          <w:bCs/>
          <w:color w:val="auto"/>
          <w:sz w:val="24"/>
          <w:szCs w:val="24"/>
          <w:highlight w:val="none"/>
          <w:lang w:val="en-US" w:eastAsia="zh-CN"/>
        </w:rPr>
        <w:t>二、采购需求</w:t>
      </w:r>
    </w:p>
    <w:p w14:paraId="77A7608C">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1、服务内容：完成本项目相关方案编制、安全评价工作、安全报告编制，及经相关主管部门审查、验收、取得相关批复等全部工作。具体以招标要求为准。</w:t>
      </w:r>
    </w:p>
    <w:p w14:paraId="4726CD9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2、成果文件提交要求：</w:t>
      </w:r>
      <w:r>
        <w:rPr>
          <w:rFonts w:hint="eastAsia" w:ascii="宋体" w:hAnsi="宋体" w:eastAsia="宋体" w:cs="宋体"/>
          <w:color w:val="auto"/>
          <w:szCs w:val="21"/>
          <w:highlight w:val="none"/>
          <w:lang w:val="en-US" w:eastAsia="zh-CN"/>
        </w:rPr>
        <w:t>安全技术评价报告应满足国家</w:t>
      </w:r>
      <w:r>
        <w:rPr>
          <w:rFonts w:hint="eastAsia" w:ascii="宋体" w:hAnsi="宋体" w:eastAsia="宋体" w:cs="宋体"/>
          <w:color w:val="auto"/>
          <w:szCs w:val="21"/>
          <w:highlight w:val="none"/>
          <w:lang w:val="en-US" w:eastAsia="zh-CN"/>
        </w:rPr>
        <w:t xml:space="preserve">、地方和行业相关法律、法规、规范的要求，确保项目通过相关部门的审查需求。 </w:t>
      </w:r>
    </w:p>
    <w:p w14:paraId="60B1FA1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3、服务期限：自合同签订之日起15个日历天内完成全部安全技术评价报告并出具成果资料。 </w:t>
      </w:r>
    </w:p>
    <w:p w14:paraId="39C4224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4、技术服务内容</w:t>
      </w:r>
    </w:p>
    <w:p w14:paraId="28DDE15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①项目现场调查与相关资料收集整理；</w:t>
      </w:r>
    </w:p>
    <w:p w14:paraId="5DC86FB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②主要危险、有害因素辨识与分析，划分评价单元、选择评价方法，定性、定量评价，提出安全对策及措施等；</w:t>
      </w:r>
    </w:p>
    <w:p w14:paraId="6164D8F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③报告编制、修订、打印、装订；</w:t>
      </w:r>
    </w:p>
    <w:p w14:paraId="277801C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④评审会议组织；</w:t>
      </w:r>
    </w:p>
    <w:p w14:paraId="211BA1C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⑤提交的成果必须符合国家及地方现行规范和标准要求，满足相关专业机构或政府主管部门审查审批要求；</w:t>
      </w:r>
    </w:p>
    <w:p w14:paraId="1A2A032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5、其他要求：编制单位在成交后应在规定的时间内，保质保量完成全部工作，所需的全部费用都包含在本单位投标报价中。 </w:t>
      </w:r>
    </w:p>
    <w:p w14:paraId="38A4570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6、招标人或上级部门对上报的</w:t>
      </w:r>
      <w:r>
        <w:rPr>
          <w:rFonts w:hint="eastAsia" w:ascii="宋体" w:hAnsi="宋体" w:eastAsia="宋体" w:cs="宋体"/>
          <w:color w:val="auto"/>
          <w:szCs w:val="21"/>
          <w:highlight w:val="none"/>
          <w:lang w:val="en-US" w:eastAsia="zh-CN"/>
        </w:rPr>
        <w:t>安全技术评价报告</w:t>
      </w:r>
      <w:r>
        <w:rPr>
          <w:rFonts w:hint="eastAsia" w:ascii="宋体" w:hAnsi="宋体" w:eastAsia="宋体" w:cs="宋体"/>
          <w:color w:val="auto"/>
          <w:szCs w:val="21"/>
          <w:highlight w:val="none"/>
          <w:lang w:val="en-US" w:eastAsia="zh-CN"/>
        </w:rPr>
        <w:t>成果在核查等过程中发现问题的，编制单位需对疑问部分再次进行详细核查及修改直至成果通过招标人和上级部门核查。</w:t>
      </w:r>
    </w:p>
    <w:p w14:paraId="24889B3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本项目涉及S22天天高速桥梁上部两侧原护栏升级改造、增设桥梁中分带防落物网及其他安全设施及预埋管线等，需要在高速公路上施工作业，对设计标准及相应的施工组织要求较高，其安全评价及后续方案审查、批复及验收需要与高速产权单位(安徽皖通高速公路股份有限公司滁州高速公路管理中心、安徽省高速公路路政支队滁马巢湖路政大队)充分对接、协调，请投标单位充份考虑，相关费用包含在投标报价内。</w:t>
      </w:r>
    </w:p>
    <w:p w14:paraId="4F404E56">
      <w:pPr>
        <w:keepNext w:val="0"/>
        <w:keepLines w:val="0"/>
        <w:pageBreakBefore w:val="0"/>
        <w:widowControl w:val="0"/>
        <w:kinsoku/>
        <w:wordWrap/>
        <w:overflowPunct/>
        <w:topLinePunct w:val="0"/>
        <w:autoSpaceDE/>
        <w:autoSpaceDN/>
        <w:bidi w:val="0"/>
        <w:adjustRightInd/>
        <w:snapToGrid w:val="0"/>
        <w:spacing w:line="500" w:lineRule="exact"/>
        <w:ind w:left="0" w:leftChars="0"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br w:type="page"/>
      </w:r>
    </w:p>
    <w:p w14:paraId="276540E5">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hAnsi="Times New Roman" w:eastAsia="宋体" w:cs="Times New Roman"/>
          <w:b/>
          <w:color w:val="auto"/>
          <w:sz w:val="32"/>
          <w:szCs w:val="32"/>
          <w:highlight w:val="none"/>
          <w:lang w:val="en-US" w:eastAsia="zh-CN"/>
        </w:rPr>
      </w:pPr>
      <w:r>
        <w:rPr>
          <w:rFonts w:hint="eastAsia" w:ascii="宋体" w:hAnsi="Times New Roman" w:eastAsia="宋体" w:cs="Times New Roman"/>
          <w:b/>
          <w:color w:val="auto"/>
          <w:sz w:val="32"/>
          <w:szCs w:val="32"/>
          <w:highlight w:val="none"/>
        </w:rPr>
        <w:t>第五章  合同条款及格式</w:t>
      </w:r>
      <w:bookmarkStart w:id="65" w:name="_Toc58430330"/>
      <w:r>
        <w:rPr>
          <w:rFonts w:hint="eastAsia" w:ascii="宋体" w:cs="Times New Roman"/>
          <w:b/>
          <w:color w:val="auto"/>
          <w:sz w:val="32"/>
          <w:szCs w:val="32"/>
          <w:highlight w:val="none"/>
          <w:lang w:val="en-US" w:eastAsia="zh-CN"/>
        </w:rPr>
        <w:t xml:space="preserve"> </w:t>
      </w:r>
    </w:p>
    <w:bookmarkEnd w:id="65"/>
    <w:p w14:paraId="3A00E749">
      <w:pPr>
        <w:keepNext w:val="0"/>
        <w:keepLines w:val="0"/>
        <w:pageBreakBefore w:val="0"/>
        <w:widowControl w:val="0"/>
        <w:kinsoku/>
        <w:wordWrap/>
        <w:overflowPunct/>
        <w:topLinePunct w:val="0"/>
        <w:autoSpaceDE/>
        <w:autoSpaceDN/>
        <w:bidi w:val="0"/>
        <w:snapToGrid/>
        <w:spacing w:line="440" w:lineRule="exact"/>
        <w:ind w:left="0" w:leftChars="0" w:right="-433" w:rightChars="-206" w:firstLine="0" w:firstLineChars="0"/>
        <w:jc w:val="center"/>
        <w:textAlignment w:val="auto"/>
        <w:rPr>
          <w:rFonts w:hint="eastAsia" w:ascii="宋体" w:hAnsi="宋体" w:eastAsia="宋体" w:cs="宋体"/>
          <w:color w:val="auto"/>
          <w:sz w:val="36"/>
          <w:szCs w:val="36"/>
          <w:highlight w:val="none"/>
          <w:lang w:eastAsia="zh-CN"/>
        </w:rPr>
      </w:pPr>
    </w:p>
    <w:p w14:paraId="2F3FB92E">
      <w:pPr>
        <w:keepNext w:val="0"/>
        <w:keepLines w:val="0"/>
        <w:pageBreakBefore w:val="0"/>
        <w:widowControl w:val="0"/>
        <w:kinsoku/>
        <w:wordWrap/>
        <w:overflowPunct/>
        <w:topLinePunct w:val="0"/>
        <w:autoSpaceDE/>
        <w:autoSpaceDN/>
        <w:bidi w:val="0"/>
        <w:adjustRightInd/>
        <w:snapToGrid/>
        <w:spacing w:before="157" w:beforeLines="50" w:line="700" w:lineRule="exact"/>
        <w:ind w:firstLine="0" w:firstLineChars="0"/>
        <w:jc w:val="center"/>
        <w:textAlignment w:val="auto"/>
        <w:outlineLvl w:val="1"/>
        <w:rPr>
          <w:rFonts w:hint="eastAsia" w:ascii="宋体" w:hAnsi="宋体" w:eastAsia="宋体" w:cs="宋体"/>
          <w:b/>
          <w:color w:val="auto"/>
          <w:sz w:val="52"/>
          <w:szCs w:val="24"/>
          <w:highlight w:val="none"/>
        </w:rPr>
      </w:pPr>
      <w:r>
        <w:rPr>
          <w:rFonts w:hint="eastAsia" w:ascii="宋体" w:hAnsi="宋体" w:eastAsia="宋体" w:cs="宋体"/>
          <w:b/>
          <w:color w:val="auto"/>
          <w:w w:val="66"/>
          <w:sz w:val="72"/>
          <w:szCs w:val="72"/>
          <w:highlight w:val="none"/>
        </w:rPr>
        <w:t>技术服务合同</w:t>
      </w:r>
    </w:p>
    <w:p w14:paraId="0795A8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36"/>
          <w:szCs w:val="24"/>
          <w:highlight w:val="none"/>
        </w:rPr>
      </w:pPr>
    </w:p>
    <w:p w14:paraId="23253BF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
          <w:color w:val="auto"/>
          <w:kern w:val="2"/>
          <w:sz w:val="36"/>
          <w:szCs w:val="24"/>
          <w:highlight w:val="none"/>
          <w:lang w:val="en-US" w:eastAsia="zh-CN" w:bidi="ar-SA"/>
        </w:rPr>
      </w:pPr>
    </w:p>
    <w:p w14:paraId="14C9D50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
          <w:color w:val="auto"/>
          <w:kern w:val="2"/>
          <w:sz w:val="36"/>
          <w:szCs w:val="24"/>
          <w:highlight w:val="none"/>
          <w:lang w:val="en-US" w:eastAsia="zh-CN" w:bidi="ar-SA"/>
        </w:rPr>
      </w:pPr>
    </w:p>
    <w:p w14:paraId="29CD251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kern w:val="2"/>
          <w:sz w:val="21"/>
          <w:szCs w:val="22"/>
          <w:highlight w:val="none"/>
          <w:lang w:val="en-US" w:eastAsia="zh-CN" w:bidi="ar-SA"/>
        </w:rPr>
      </w:pPr>
    </w:p>
    <w:tbl>
      <w:tblPr>
        <w:tblStyle w:val="36"/>
        <w:tblW w:w="8519" w:type="dxa"/>
        <w:tblInd w:w="0" w:type="dxa"/>
        <w:tblLayout w:type="fixed"/>
        <w:tblCellMar>
          <w:top w:w="0" w:type="dxa"/>
          <w:left w:w="108" w:type="dxa"/>
          <w:bottom w:w="0" w:type="dxa"/>
          <w:right w:w="108" w:type="dxa"/>
        </w:tblCellMar>
      </w:tblPr>
      <w:tblGrid>
        <w:gridCol w:w="1940"/>
        <w:gridCol w:w="6579"/>
      </w:tblGrid>
      <w:tr w14:paraId="69801C20">
        <w:tblPrEx>
          <w:tblCellMar>
            <w:top w:w="0" w:type="dxa"/>
            <w:left w:w="108" w:type="dxa"/>
            <w:bottom w:w="0" w:type="dxa"/>
            <w:right w:w="108" w:type="dxa"/>
          </w:tblCellMar>
        </w:tblPrEx>
        <w:trPr>
          <w:trHeight w:val="894" w:hRule="atLeast"/>
        </w:trPr>
        <w:tc>
          <w:tcPr>
            <w:tcW w:w="1940" w:type="dxa"/>
            <w:noWrap w:val="0"/>
            <w:vAlign w:val="center"/>
          </w:tcPr>
          <w:p w14:paraId="014B7CB9">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w w:val="90"/>
                <w:kern w:val="2"/>
                <w:sz w:val="28"/>
                <w:szCs w:val="28"/>
                <w:highlight w:val="none"/>
                <w:lang w:val="en-US" w:eastAsia="zh-CN" w:bidi="ar-SA"/>
              </w:rPr>
            </w:pPr>
            <w:r>
              <w:rPr>
                <w:rFonts w:hint="eastAsia" w:ascii="宋体" w:hAnsi="宋体" w:eastAsia="宋体" w:cs="宋体"/>
                <w:b w:val="0"/>
                <w:bCs w:val="0"/>
                <w:color w:val="auto"/>
                <w:w w:val="90"/>
                <w:kern w:val="0"/>
                <w:sz w:val="28"/>
                <w:szCs w:val="28"/>
                <w:highlight w:val="none"/>
                <w:lang w:val="en-US" w:eastAsia="zh-CN" w:bidi="ar-SA"/>
              </w:rPr>
              <w:t>项 目 名 称：</w:t>
            </w:r>
          </w:p>
        </w:tc>
        <w:tc>
          <w:tcPr>
            <w:tcW w:w="6579" w:type="dxa"/>
            <w:noWrap w:val="0"/>
            <w:vAlign w:val="bottom"/>
          </w:tcPr>
          <w:p w14:paraId="51E6CB3F">
            <w:pPr>
              <w:autoSpaceDE w:val="0"/>
              <w:autoSpaceDN w:val="0"/>
              <w:spacing w:line="240" w:lineRule="auto"/>
              <w:ind w:firstLine="0" w:firstLineChars="0"/>
              <w:jc w:val="left"/>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pacing w:val="0"/>
                <w:w w:val="99"/>
                <w:sz w:val="28"/>
                <w:szCs w:val="28"/>
                <w:highlight w:val="none"/>
                <w:u w:val="single"/>
                <w:lang w:val="en-US" w:eastAsia="zh-CN"/>
              </w:rPr>
              <w:t xml:space="preserve">    </w:t>
            </w:r>
          </w:p>
        </w:tc>
      </w:tr>
      <w:tr w14:paraId="6DA46045">
        <w:tblPrEx>
          <w:tblCellMar>
            <w:top w:w="0" w:type="dxa"/>
            <w:left w:w="108" w:type="dxa"/>
            <w:bottom w:w="0" w:type="dxa"/>
            <w:right w:w="108" w:type="dxa"/>
          </w:tblCellMar>
        </w:tblPrEx>
        <w:trPr>
          <w:trHeight w:val="894" w:hRule="atLeast"/>
        </w:trPr>
        <w:tc>
          <w:tcPr>
            <w:tcW w:w="1940" w:type="dxa"/>
            <w:noWrap w:val="0"/>
            <w:vAlign w:val="center"/>
          </w:tcPr>
          <w:p w14:paraId="03FA88C4">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w w:val="90"/>
                <w:sz w:val="28"/>
                <w:szCs w:val="28"/>
                <w:highlight w:val="none"/>
              </w:rPr>
            </w:pPr>
            <w:r>
              <w:rPr>
                <w:rFonts w:hint="eastAsia" w:ascii="宋体" w:hAnsi="宋体" w:eastAsia="宋体" w:cs="宋体"/>
                <w:b w:val="0"/>
                <w:bCs w:val="0"/>
                <w:color w:val="auto"/>
                <w:w w:val="90"/>
                <w:kern w:val="0"/>
                <w:sz w:val="28"/>
                <w:szCs w:val="28"/>
                <w:highlight w:val="none"/>
                <w:lang w:val="en-US" w:eastAsia="zh-CN" w:bidi="ar-SA"/>
              </w:rPr>
              <w:t>项 目 地 点：</w:t>
            </w:r>
          </w:p>
        </w:tc>
        <w:tc>
          <w:tcPr>
            <w:tcW w:w="6579" w:type="dxa"/>
            <w:noWrap w:val="0"/>
            <w:vAlign w:val="bottom"/>
          </w:tcPr>
          <w:p w14:paraId="1AA6EEAE">
            <w:pPr>
              <w:autoSpaceDE w:val="0"/>
              <w:autoSpaceDN w:val="0"/>
              <w:spacing w:line="240" w:lineRule="auto"/>
              <w:ind w:firstLine="0" w:firstLineChars="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tc>
      </w:tr>
      <w:tr w14:paraId="33AF14FC">
        <w:tblPrEx>
          <w:tblCellMar>
            <w:top w:w="0" w:type="dxa"/>
            <w:left w:w="108" w:type="dxa"/>
            <w:bottom w:w="0" w:type="dxa"/>
            <w:right w:w="108" w:type="dxa"/>
          </w:tblCellMar>
        </w:tblPrEx>
        <w:trPr>
          <w:trHeight w:val="1490" w:hRule="atLeast"/>
        </w:trPr>
        <w:tc>
          <w:tcPr>
            <w:tcW w:w="1940" w:type="dxa"/>
            <w:noWrap w:val="0"/>
            <w:vAlign w:val="center"/>
          </w:tcPr>
          <w:p w14:paraId="7DC36460">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both"/>
              <w:textAlignment w:val="auto"/>
              <w:rPr>
                <w:rFonts w:hint="eastAsia" w:ascii="宋体" w:hAnsi="宋体" w:eastAsia="宋体" w:cs="宋体"/>
                <w:b w:val="0"/>
                <w:bCs w:val="0"/>
                <w:color w:val="auto"/>
                <w:w w:val="90"/>
                <w:sz w:val="28"/>
                <w:szCs w:val="28"/>
                <w:highlight w:val="none"/>
              </w:rPr>
            </w:pPr>
            <w:r>
              <w:rPr>
                <w:rFonts w:hint="eastAsia" w:ascii="宋体" w:hAnsi="宋体" w:eastAsia="宋体" w:cs="宋体"/>
                <w:b w:val="0"/>
                <w:bCs w:val="0"/>
                <w:color w:val="auto"/>
                <w:w w:val="90"/>
                <w:sz w:val="28"/>
                <w:szCs w:val="28"/>
                <w:highlight w:val="none"/>
              </w:rPr>
              <w:t>合 同 编 号：</w:t>
            </w:r>
          </w:p>
          <w:p w14:paraId="358A8327">
            <w:pPr>
              <w:keepNext w:val="0"/>
              <w:keepLines w:val="0"/>
              <w:pageBreakBefore w:val="0"/>
              <w:widowControl w:val="0"/>
              <w:kinsoku/>
              <w:wordWrap/>
              <w:overflowPunct/>
              <w:topLinePunct w:val="0"/>
              <w:bidi w:val="0"/>
              <w:adjustRightInd/>
              <w:snapToGrid/>
              <w:spacing w:line="320" w:lineRule="exact"/>
              <w:ind w:left="0" w:leftChars="0" w:firstLine="0" w:firstLineChars="0"/>
              <w:jc w:val="both"/>
              <w:textAlignment w:val="auto"/>
              <w:rPr>
                <w:rFonts w:hint="eastAsia" w:ascii="宋体" w:hAnsi="宋体" w:eastAsia="宋体" w:cs="宋体"/>
                <w:b w:val="0"/>
                <w:bCs w:val="0"/>
                <w:color w:val="auto"/>
                <w:w w:val="90"/>
                <w:kern w:val="2"/>
                <w:sz w:val="28"/>
                <w:szCs w:val="28"/>
                <w:highlight w:val="none"/>
                <w:lang w:val="en-US" w:eastAsia="zh-CN" w:bidi="ar-SA"/>
              </w:rPr>
            </w:pPr>
            <w:r>
              <w:rPr>
                <w:rFonts w:hint="eastAsia" w:ascii="宋体" w:hAnsi="宋体" w:eastAsia="宋体" w:cs="宋体"/>
                <w:b w:val="0"/>
                <w:bCs w:val="0"/>
                <w:color w:val="auto"/>
                <w:w w:val="90"/>
                <w:kern w:val="2"/>
                <w:sz w:val="28"/>
                <w:szCs w:val="28"/>
                <w:highlight w:val="none"/>
                <w:lang w:val="en-US" w:eastAsia="zh-CN" w:bidi="ar-SA"/>
              </w:rPr>
              <w:t>(由乙方编填)</w:t>
            </w:r>
          </w:p>
        </w:tc>
        <w:tc>
          <w:tcPr>
            <w:tcW w:w="6579" w:type="dxa"/>
            <w:noWrap w:val="0"/>
            <w:vAlign w:val="center"/>
          </w:tcPr>
          <w:p w14:paraId="366BA0C7">
            <w:pPr>
              <w:autoSpaceDE w:val="0"/>
              <w:autoSpaceDN w:val="0"/>
              <w:spacing w:line="24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tc>
      </w:tr>
      <w:tr w14:paraId="65B1BC85">
        <w:tblPrEx>
          <w:tblCellMar>
            <w:top w:w="0" w:type="dxa"/>
            <w:left w:w="108" w:type="dxa"/>
            <w:bottom w:w="0" w:type="dxa"/>
            <w:right w:w="108" w:type="dxa"/>
          </w:tblCellMar>
        </w:tblPrEx>
        <w:trPr>
          <w:trHeight w:val="863" w:hRule="atLeast"/>
        </w:trPr>
        <w:tc>
          <w:tcPr>
            <w:tcW w:w="1940" w:type="dxa"/>
            <w:noWrap w:val="0"/>
            <w:vAlign w:val="center"/>
          </w:tcPr>
          <w:p w14:paraId="0B73A77D">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b w:val="0"/>
                <w:bCs w:val="0"/>
                <w:color w:val="auto"/>
                <w:w w:val="90"/>
                <w:kern w:val="2"/>
                <w:sz w:val="28"/>
                <w:szCs w:val="28"/>
                <w:highlight w:val="none"/>
                <w:lang w:val="en-US" w:eastAsia="zh-CN" w:bidi="ar-SA"/>
              </w:rPr>
            </w:pPr>
            <w:r>
              <w:rPr>
                <w:rFonts w:hint="eastAsia" w:ascii="宋体" w:hAnsi="宋体" w:eastAsia="宋体" w:cs="宋体"/>
                <w:b w:val="0"/>
                <w:bCs w:val="0"/>
                <w:color w:val="auto"/>
                <w:w w:val="90"/>
                <w:kern w:val="0"/>
                <w:sz w:val="28"/>
                <w:szCs w:val="28"/>
                <w:highlight w:val="none"/>
                <w:lang w:val="en-US" w:eastAsia="zh-CN" w:bidi="ar-SA"/>
              </w:rPr>
              <w:t>委 托 单 位：</w:t>
            </w:r>
          </w:p>
        </w:tc>
        <w:tc>
          <w:tcPr>
            <w:tcW w:w="6579" w:type="dxa"/>
            <w:noWrap w:val="0"/>
            <w:vAlign w:val="center"/>
          </w:tcPr>
          <w:p w14:paraId="42708BB4">
            <w:pPr>
              <w:autoSpaceDE w:val="0"/>
              <w:autoSpaceDN w:val="0"/>
              <w:spacing w:line="240" w:lineRule="auto"/>
              <w:ind w:firstLine="0" w:firstLineChars="0"/>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tc>
      </w:tr>
      <w:tr w14:paraId="4100AA95">
        <w:tblPrEx>
          <w:tblCellMar>
            <w:top w:w="0" w:type="dxa"/>
            <w:left w:w="108" w:type="dxa"/>
            <w:bottom w:w="0" w:type="dxa"/>
            <w:right w:w="108" w:type="dxa"/>
          </w:tblCellMar>
        </w:tblPrEx>
        <w:trPr>
          <w:trHeight w:val="894" w:hRule="atLeast"/>
        </w:trPr>
        <w:tc>
          <w:tcPr>
            <w:tcW w:w="1940" w:type="dxa"/>
            <w:noWrap w:val="0"/>
            <w:vAlign w:val="center"/>
          </w:tcPr>
          <w:p w14:paraId="3DBCE74E">
            <w:pPr>
              <w:keepNext w:val="0"/>
              <w:keepLines w:val="0"/>
              <w:pageBreakBefore w:val="0"/>
              <w:kinsoku/>
              <w:wordWrap/>
              <w:overflowPunct/>
              <w:topLinePunct w:val="0"/>
              <w:autoSpaceDE w:val="0"/>
              <w:autoSpaceDN w:val="0"/>
              <w:bidi w:val="0"/>
              <w:adjustRightInd/>
              <w:snapToGrid/>
              <w:spacing w:line="320" w:lineRule="exact"/>
              <w:ind w:firstLine="0" w:firstLineChars="0"/>
              <w:jc w:val="both"/>
              <w:textAlignment w:val="auto"/>
              <w:rPr>
                <w:rFonts w:hint="eastAsia" w:ascii="宋体" w:hAnsi="宋体" w:eastAsia="宋体" w:cs="宋体"/>
                <w:b w:val="0"/>
                <w:bCs w:val="0"/>
                <w:color w:val="auto"/>
                <w:w w:val="90"/>
                <w:kern w:val="2"/>
                <w:sz w:val="28"/>
                <w:szCs w:val="28"/>
                <w:highlight w:val="none"/>
                <w:lang w:val="en-US" w:eastAsia="zh-CN" w:bidi="ar-SA"/>
              </w:rPr>
            </w:pPr>
            <w:r>
              <w:rPr>
                <w:rFonts w:hint="eastAsia" w:ascii="宋体" w:hAnsi="宋体" w:eastAsia="宋体" w:cs="宋体"/>
                <w:b w:val="0"/>
                <w:bCs w:val="0"/>
                <w:color w:val="auto"/>
                <w:w w:val="90"/>
                <w:sz w:val="28"/>
                <w:szCs w:val="28"/>
                <w:highlight w:val="none"/>
                <w:lang w:val="en-US" w:eastAsia="zh-CN"/>
              </w:rPr>
              <w:t xml:space="preserve">服 务 </w:t>
            </w:r>
            <w:r>
              <w:rPr>
                <w:rFonts w:hint="eastAsia" w:ascii="宋体" w:hAnsi="宋体" w:eastAsia="宋体" w:cs="宋体"/>
                <w:b w:val="0"/>
                <w:bCs w:val="0"/>
                <w:color w:val="auto"/>
                <w:w w:val="90"/>
                <w:sz w:val="28"/>
                <w:szCs w:val="28"/>
                <w:highlight w:val="none"/>
                <w:lang w:eastAsia="zh-CN"/>
              </w:rPr>
              <w:t>单</w:t>
            </w:r>
            <w:r>
              <w:rPr>
                <w:rFonts w:hint="eastAsia" w:ascii="宋体" w:hAnsi="宋体" w:eastAsia="宋体" w:cs="宋体"/>
                <w:b w:val="0"/>
                <w:bCs w:val="0"/>
                <w:color w:val="auto"/>
                <w:w w:val="90"/>
                <w:sz w:val="28"/>
                <w:szCs w:val="28"/>
                <w:highlight w:val="none"/>
                <w:lang w:val="en-US" w:eastAsia="zh-CN"/>
              </w:rPr>
              <w:t xml:space="preserve"> </w:t>
            </w:r>
            <w:r>
              <w:rPr>
                <w:rFonts w:hint="eastAsia" w:ascii="宋体" w:hAnsi="宋体" w:eastAsia="宋体" w:cs="宋体"/>
                <w:b w:val="0"/>
                <w:bCs w:val="0"/>
                <w:color w:val="auto"/>
                <w:w w:val="90"/>
                <w:sz w:val="28"/>
                <w:szCs w:val="28"/>
                <w:highlight w:val="none"/>
                <w:lang w:eastAsia="zh-CN"/>
              </w:rPr>
              <w:t>位</w:t>
            </w:r>
            <w:r>
              <w:rPr>
                <w:rFonts w:hint="eastAsia" w:ascii="宋体" w:hAnsi="宋体" w:eastAsia="宋体" w:cs="宋体"/>
                <w:b w:val="0"/>
                <w:bCs w:val="0"/>
                <w:color w:val="auto"/>
                <w:w w:val="90"/>
                <w:sz w:val="28"/>
                <w:szCs w:val="28"/>
                <w:highlight w:val="none"/>
              </w:rPr>
              <w:t>：</w:t>
            </w:r>
          </w:p>
        </w:tc>
        <w:tc>
          <w:tcPr>
            <w:tcW w:w="6579" w:type="dxa"/>
            <w:noWrap w:val="0"/>
            <w:vAlign w:val="bottom"/>
          </w:tcPr>
          <w:p w14:paraId="346B13C1">
            <w:pPr>
              <w:autoSpaceDE w:val="0"/>
              <w:autoSpaceDN w:val="0"/>
              <w:spacing w:line="24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tc>
      </w:tr>
      <w:tr w14:paraId="2DF21771">
        <w:tblPrEx>
          <w:tblCellMar>
            <w:top w:w="0" w:type="dxa"/>
            <w:left w:w="108" w:type="dxa"/>
            <w:bottom w:w="0" w:type="dxa"/>
            <w:right w:w="108" w:type="dxa"/>
          </w:tblCellMar>
        </w:tblPrEx>
        <w:trPr>
          <w:trHeight w:val="884" w:hRule="atLeast"/>
        </w:trPr>
        <w:tc>
          <w:tcPr>
            <w:tcW w:w="1940" w:type="dxa"/>
            <w:noWrap w:val="0"/>
            <w:vAlign w:val="center"/>
          </w:tcPr>
          <w:p w14:paraId="52C9612E">
            <w:pPr>
              <w:keepNext w:val="0"/>
              <w:keepLines w:val="0"/>
              <w:pageBreakBefore w:val="0"/>
              <w:kinsoku/>
              <w:wordWrap/>
              <w:overflowPunct/>
              <w:topLinePunct w:val="0"/>
              <w:autoSpaceDE w:val="0"/>
              <w:autoSpaceDN w:val="0"/>
              <w:bidi w:val="0"/>
              <w:adjustRightInd/>
              <w:snapToGrid/>
              <w:spacing w:line="320" w:lineRule="exact"/>
              <w:ind w:firstLine="0" w:firstLineChars="0"/>
              <w:jc w:val="both"/>
              <w:textAlignment w:val="auto"/>
              <w:rPr>
                <w:rFonts w:hint="eastAsia" w:ascii="宋体" w:hAnsi="宋体" w:eastAsia="宋体" w:cs="宋体"/>
                <w:b w:val="0"/>
                <w:bCs w:val="0"/>
                <w:color w:val="auto"/>
                <w:w w:val="90"/>
                <w:kern w:val="2"/>
                <w:sz w:val="28"/>
                <w:szCs w:val="28"/>
                <w:highlight w:val="none"/>
                <w:lang w:val="en-US" w:eastAsia="zh-CN" w:bidi="ar-SA"/>
              </w:rPr>
            </w:pPr>
            <w:r>
              <w:rPr>
                <w:rFonts w:hint="eastAsia" w:ascii="宋体" w:hAnsi="宋体" w:eastAsia="宋体" w:cs="宋体"/>
                <w:b w:val="0"/>
                <w:bCs w:val="0"/>
                <w:color w:val="auto"/>
                <w:w w:val="90"/>
                <w:sz w:val="28"/>
                <w:szCs w:val="28"/>
                <w:highlight w:val="none"/>
              </w:rPr>
              <w:t>签 订 日 期：</w:t>
            </w:r>
          </w:p>
        </w:tc>
        <w:tc>
          <w:tcPr>
            <w:tcW w:w="6579" w:type="dxa"/>
            <w:noWrap w:val="0"/>
            <w:vAlign w:val="bottom"/>
          </w:tcPr>
          <w:p w14:paraId="2B1E418F">
            <w:pPr>
              <w:autoSpaceDE w:val="0"/>
              <w:autoSpaceDN w:val="0"/>
              <w:spacing w:line="24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tc>
      </w:tr>
    </w:tbl>
    <w:p w14:paraId="6AC74383">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BC34B30">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0" w:firstLineChars="0"/>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技术服务合同</w:t>
      </w:r>
    </w:p>
    <w:p w14:paraId="4D5A6884">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lang w:eastAsia="zh-CN"/>
        </w:rPr>
        <w:t>委托单位（甲方）</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lang w:val="en-US" w:eastAsia="zh-CN"/>
        </w:rPr>
        <w:t xml:space="preserve">                                    </w:t>
      </w:r>
    </w:p>
    <w:p w14:paraId="7B28A53D">
      <w:pPr>
        <w:keepNext w:val="0"/>
        <w:keepLines w:val="0"/>
        <w:pageBreakBefore w:val="0"/>
        <w:widowControl w:val="0"/>
        <w:kinsoku/>
        <w:wordWrap/>
        <w:overflowPunct/>
        <w:topLinePunct w:val="0"/>
        <w:autoSpaceDE/>
        <w:autoSpaceDN/>
        <w:bidi w:val="0"/>
        <w:adjustRightInd/>
        <w:snapToGrid/>
        <w:spacing w:after="157" w:afterLines="50" w:line="700" w:lineRule="exact"/>
        <w:ind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lang w:eastAsia="zh-CN"/>
        </w:rPr>
        <w:t>单位（乙方）</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lang w:val="en-US" w:eastAsia="zh-CN"/>
        </w:rPr>
        <w:t xml:space="preserve">                                    </w:t>
      </w:r>
    </w:p>
    <w:p w14:paraId="5335CE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依照《中华人民共和国民法典》、《中华人民共和国建筑法》</w:t>
      </w:r>
      <w:r>
        <w:rPr>
          <w:rFonts w:hint="eastAsia" w:ascii="宋体" w:hAnsi="宋体" w:eastAsia="宋体" w:cs="宋体"/>
          <w:color w:val="auto"/>
          <w:sz w:val="24"/>
          <w:szCs w:val="24"/>
          <w:highlight w:val="none"/>
          <w:lang w:eastAsia="zh-CN"/>
        </w:rPr>
        <w:t>、《中华人民共和国安全生产法》、《公路安全保护条例》</w:t>
      </w:r>
      <w:r>
        <w:rPr>
          <w:rFonts w:hint="eastAsia" w:ascii="宋体" w:hAnsi="宋体" w:eastAsia="宋体" w:cs="宋体"/>
          <w:color w:val="auto"/>
          <w:sz w:val="24"/>
          <w:szCs w:val="24"/>
          <w:highlight w:val="none"/>
        </w:rPr>
        <w:t>及其他有关法律、行政法规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遵循平等、自愿、公平和诚实信用的原则，双方就本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技术服务事项协商一致，订立本合同。</w:t>
      </w:r>
    </w:p>
    <w:p w14:paraId="7F1DC0A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第一条</w:t>
      </w:r>
      <w:r>
        <w:rPr>
          <w:rFonts w:hint="eastAsia" w:ascii="宋体" w:hAnsi="宋体" w:eastAsia="宋体" w:cs="宋体"/>
          <w:color w:val="auto"/>
          <w:sz w:val="24"/>
          <w:szCs w:val="24"/>
          <w:highlight w:val="none"/>
        </w:rPr>
        <w:t xml:space="preserve"> 合同依据</w:t>
      </w:r>
    </w:p>
    <w:p w14:paraId="2EDF3B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1.1《中华人民共和国民法典》。</w:t>
      </w:r>
    </w:p>
    <w:p w14:paraId="607E9B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国家及地方有关建设工程管理法规和规章。</w:t>
      </w:r>
    </w:p>
    <w:p w14:paraId="4EAF27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建设工程批准文件。</w:t>
      </w:r>
    </w:p>
    <w:p w14:paraId="1EC3055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w:t>
      </w:r>
      <w:r>
        <w:rPr>
          <w:rFonts w:hint="eastAsia" w:ascii="宋体" w:hAnsi="宋体" w:eastAsia="宋体" w:cs="宋体"/>
          <w:color w:val="auto"/>
          <w:sz w:val="24"/>
          <w:szCs w:val="24"/>
          <w:highlight w:val="none"/>
        </w:rPr>
        <w:t xml:space="preserve"> 工程概况</w:t>
      </w:r>
    </w:p>
    <w:p w14:paraId="4109B4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工程名称</w:t>
      </w:r>
    </w:p>
    <w:p w14:paraId="21617D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single"/>
          <w:lang w:val="en-US" w:eastAsia="zh-CN"/>
        </w:rPr>
        <w:t>中新大道（福州路-经三路）下穿S22天天高速滁马段</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 xml:space="preserve">  </w:t>
      </w:r>
    </w:p>
    <w:p w14:paraId="408E65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2.2 工程建设地点</w:t>
      </w:r>
    </w:p>
    <w:p w14:paraId="0EB309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安徽省滁州市</w:t>
      </w:r>
    </w:p>
    <w:p w14:paraId="2EDE4E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2.3 工程规模、特征</w:t>
      </w:r>
    </w:p>
    <w:p w14:paraId="3321F0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none"/>
          <w:vertAlign w:val="baseline"/>
          <w:lang w:val="en-US" w:eastAsia="zh-CN"/>
        </w:rPr>
      </w:pPr>
      <w:r>
        <w:rPr>
          <w:rFonts w:hint="eastAsia" w:ascii="宋体" w:hAnsi="宋体" w:cs="宋体"/>
          <w:color w:val="auto"/>
          <w:sz w:val="24"/>
          <w:highlight w:val="none"/>
          <w:u w:val="none"/>
          <w:vertAlign w:val="baseline"/>
          <w:lang w:val="en-US" w:eastAsia="zh-CN"/>
        </w:rPr>
        <w:t>中新大道（福州路-经三路）下穿S22天天高速滁马段安全技术评价报告编制咨询服务项目</w:t>
      </w:r>
      <w:r>
        <w:rPr>
          <w:rFonts w:hint="eastAsia" w:ascii="宋体" w:hAnsi="宋体" w:eastAsia="宋体" w:cs="宋体"/>
          <w:color w:val="auto"/>
          <w:sz w:val="24"/>
          <w:highlight w:val="none"/>
          <w:u w:val="none"/>
          <w:vertAlign w:val="baseline"/>
          <w:lang w:val="en-US" w:eastAsia="zh-CN"/>
        </w:rPr>
        <w:t>，完成本项目相关方案编制、安全评价工作、安全报告编制，及经相关主管部门审查、验收、取得相关批复等全部工作。具体以甲方要求为准。</w:t>
      </w:r>
    </w:p>
    <w:p w14:paraId="1EA8AA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项目负责人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p>
    <w:p w14:paraId="50949A7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第三条 </w:t>
      </w:r>
      <w:r>
        <w:rPr>
          <w:rFonts w:hint="eastAsia" w:ascii="宋体" w:hAnsi="宋体" w:eastAsia="宋体" w:cs="宋体"/>
          <w:color w:val="auto"/>
          <w:sz w:val="24"/>
          <w:szCs w:val="24"/>
          <w:highlight w:val="none"/>
          <w:lang w:eastAsia="zh-CN"/>
        </w:rPr>
        <w:t>技术服务</w:t>
      </w:r>
      <w:r>
        <w:rPr>
          <w:rFonts w:hint="eastAsia" w:ascii="宋体" w:hAnsi="宋体" w:eastAsia="宋体" w:cs="宋体"/>
          <w:color w:val="auto"/>
          <w:sz w:val="24"/>
          <w:szCs w:val="24"/>
          <w:highlight w:val="none"/>
        </w:rPr>
        <w:t>内容</w:t>
      </w:r>
    </w:p>
    <w:p w14:paraId="640350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项目现场调查与相关资料收集整理；</w:t>
      </w:r>
    </w:p>
    <w:p w14:paraId="320C1F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3.2主要危险、有害因素辨识与分析，划分评价单元、选择评价方法，定性、定量评价，提出安全对策及措施等；</w:t>
      </w:r>
    </w:p>
    <w:p w14:paraId="66A378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3.3报告编制、修订、打印、装订；</w:t>
      </w:r>
    </w:p>
    <w:p w14:paraId="3E5126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3.4评审会议组织；</w:t>
      </w:r>
    </w:p>
    <w:p w14:paraId="13AD45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3.5提交的成果必须符合国家及地方现行规范和标准要求，满足相关专业机构或政府主管部门审查审批要求；</w:t>
      </w:r>
    </w:p>
    <w:p w14:paraId="3F7786B9">
      <w:pPr>
        <w:keepNext w:val="0"/>
        <w:keepLines w:val="0"/>
        <w:pageBreakBefore w:val="0"/>
        <w:widowControl w:val="0"/>
        <w:numPr>
          <w:ilvl w:val="0"/>
          <w:numId w:val="9"/>
        </w:numPr>
        <w:tabs>
          <w:tab w:val="left" w:pos="525"/>
        </w:tabs>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技术服务费</w:t>
      </w:r>
    </w:p>
    <w:p w14:paraId="122C42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 编制费总价：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（含税金）</w:t>
      </w:r>
      <w:r>
        <w:rPr>
          <w:rFonts w:hint="eastAsia" w:ascii="宋体" w:hAnsi="宋体" w:eastAsia="宋体" w:cs="宋体"/>
          <w:color w:val="auto"/>
          <w:sz w:val="24"/>
          <w:szCs w:val="24"/>
          <w:highlight w:val="none"/>
          <w:lang w:val="en-US" w:eastAsia="zh-CN"/>
        </w:rPr>
        <w:t>；</w:t>
      </w:r>
    </w:p>
    <w:p w14:paraId="694BB6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4.2 付款方式：</w:t>
      </w:r>
      <w:r>
        <w:rPr>
          <w:rFonts w:hint="eastAsia" w:ascii="宋体" w:hAnsi="宋体" w:eastAsia="宋体" w:cs="宋体"/>
          <w:color w:val="auto"/>
          <w:sz w:val="24"/>
          <w:szCs w:val="24"/>
          <w:highlight w:val="none"/>
          <w:u w:val="single"/>
          <w:lang w:val="en-US" w:eastAsia="zh-CN"/>
        </w:rPr>
        <w:t>完成全部工作并出具全部成果资料，通过相关主管部门审批后一次性付清合同价款。</w:t>
      </w:r>
    </w:p>
    <w:p w14:paraId="0AA1E1EA">
      <w:pPr>
        <w:keepNext w:val="0"/>
        <w:keepLines w:val="0"/>
        <w:pageBreakBefore w:val="0"/>
        <w:widowControl w:val="0"/>
        <w:numPr>
          <w:ilvl w:val="0"/>
          <w:numId w:val="9"/>
        </w:numPr>
        <w:tabs>
          <w:tab w:val="left" w:pos="525"/>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双方责任</w:t>
      </w:r>
    </w:p>
    <w:p w14:paraId="686D73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责任</w:t>
      </w:r>
    </w:p>
    <w:p w14:paraId="1D25F4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按本合同第四条规定的内容，在规定的时间内向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提交资料及文件，并对其完整性、正确性及时</w:t>
      </w:r>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不得要求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违反国家有关标准进行技术服务。</w:t>
      </w:r>
    </w:p>
    <w:p w14:paraId="7B38A3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提交上述资料及文件超过规定期限3天以内，</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按合同第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条规定交付成果资料时间顺延；超过规定期限3天以上时，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有权重新确定提交技术服务文件的时间。</w:t>
      </w:r>
    </w:p>
    <w:p w14:paraId="4CD805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变更委托技术服务项目、规模、条件或因提交的资料错误，以致造成</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需返工时，双方除需另行协商签订补充协议（或另订合同）、重新明确有关条款外，</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所耗工作量向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增付技术服务费。</w:t>
      </w:r>
    </w:p>
    <w:p w14:paraId="6F5457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必须按合同规定支付预付款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。收到预付款作为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安排</w:t>
      </w:r>
      <w:r>
        <w:rPr>
          <w:rFonts w:hint="eastAsia" w:ascii="宋体" w:hAnsi="宋体" w:eastAsia="宋体" w:cs="宋体"/>
          <w:color w:val="auto"/>
          <w:sz w:val="24"/>
          <w:szCs w:val="24"/>
          <w:highlight w:val="none"/>
          <w:lang w:val="en-US" w:eastAsia="zh-CN"/>
        </w:rPr>
        <w:t>方案编制开始</w:t>
      </w:r>
      <w:r>
        <w:rPr>
          <w:rFonts w:hint="eastAsia" w:ascii="宋体" w:hAnsi="宋体" w:eastAsia="宋体" w:cs="宋体"/>
          <w:color w:val="auto"/>
          <w:sz w:val="24"/>
          <w:szCs w:val="24"/>
          <w:highlight w:val="none"/>
        </w:rPr>
        <w:t>的标志；未收到预付款，</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w:t>
      </w:r>
      <w:r>
        <w:rPr>
          <w:rFonts w:hint="eastAsia" w:ascii="宋体" w:hAnsi="宋体" w:eastAsia="宋体" w:cs="宋体"/>
          <w:color w:val="auto"/>
          <w:sz w:val="24"/>
          <w:szCs w:val="24"/>
          <w:highlight w:val="none"/>
          <w:lang w:val="en-US" w:eastAsia="zh-CN"/>
        </w:rPr>
        <w:t>推迟编制</w:t>
      </w:r>
      <w:r>
        <w:rPr>
          <w:rFonts w:hint="eastAsia" w:ascii="宋体" w:hAnsi="宋体" w:eastAsia="宋体" w:cs="宋体"/>
          <w:color w:val="auto"/>
          <w:sz w:val="24"/>
          <w:szCs w:val="24"/>
          <w:highlight w:val="none"/>
        </w:rPr>
        <w:t>工作的</w:t>
      </w:r>
      <w:r>
        <w:rPr>
          <w:rFonts w:hint="eastAsia" w:ascii="宋体" w:hAnsi="宋体" w:eastAsia="宋体" w:cs="宋体"/>
          <w:color w:val="auto"/>
          <w:sz w:val="24"/>
          <w:szCs w:val="24"/>
          <w:highlight w:val="none"/>
          <w:lang w:val="en-US" w:eastAsia="zh-CN"/>
        </w:rPr>
        <w:t>开始</w:t>
      </w:r>
      <w:r>
        <w:rPr>
          <w:rFonts w:hint="eastAsia" w:ascii="宋体" w:hAnsi="宋体" w:eastAsia="宋体" w:cs="宋体"/>
          <w:color w:val="auto"/>
          <w:sz w:val="24"/>
          <w:szCs w:val="24"/>
          <w:highlight w:val="none"/>
        </w:rPr>
        <w:t>时间，且交付文件的时间顺延。</w:t>
      </w:r>
    </w:p>
    <w:p w14:paraId="1B52DA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比合同规定时间提前交付技术服务资料及文件时，如果</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能够做到，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提前投入的工作量，向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支付赶工费。</w:t>
      </w:r>
    </w:p>
    <w:p w14:paraId="0200C6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应为派赴现场处理有关技术服务问题的工作人员提供方便条件</w:t>
      </w:r>
      <w:r>
        <w:rPr>
          <w:rFonts w:hint="eastAsia" w:ascii="宋体" w:hAnsi="宋体" w:eastAsia="宋体" w:cs="宋体"/>
          <w:color w:val="auto"/>
          <w:sz w:val="24"/>
          <w:szCs w:val="24"/>
          <w:highlight w:val="none"/>
          <w:lang w:eastAsia="zh-CN"/>
        </w:rPr>
        <w:t>，包括但不限于协调</w:t>
      </w:r>
      <w:r>
        <w:rPr>
          <w:rFonts w:hint="eastAsia" w:ascii="宋体" w:hAnsi="宋体" w:eastAsia="宋体" w:cs="宋体"/>
          <w:color w:val="auto"/>
          <w:sz w:val="24"/>
          <w:szCs w:val="24"/>
          <w:highlight w:val="none"/>
          <w:lang w:val="en-US" w:eastAsia="zh-CN"/>
        </w:rPr>
        <w:t>施工方或使用方</w:t>
      </w:r>
      <w:r>
        <w:rPr>
          <w:rFonts w:hint="eastAsia" w:ascii="宋体" w:hAnsi="宋体" w:eastAsia="宋体" w:cs="宋体"/>
          <w:color w:val="auto"/>
          <w:sz w:val="24"/>
          <w:szCs w:val="24"/>
          <w:highlight w:val="none"/>
          <w:lang w:eastAsia="zh-CN"/>
        </w:rPr>
        <w:t>配合</w:t>
      </w:r>
      <w:r>
        <w:rPr>
          <w:rFonts w:hint="eastAsia" w:ascii="宋体" w:hAnsi="宋体" w:eastAsia="宋体" w:cs="宋体"/>
          <w:color w:val="auto"/>
          <w:sz w:val="24"/>
          <w:szCs w:val="24"/>
          <w:highlight w:val="none"/>
          <w:lang w:val="en-US" w:eastAsia="zh-CN"/>
        </w:rPr>
        <w:t>开口编制</w:t>
      </w:r>
      <w:r>
        <w:rPr>
          <w:rFonts w:hint="eastAsia" w:ascii="宋体" w:hAnsi="宋体" w:eastAsia="宋体" w:cs="宋体"/>
          <w:color w:val="auto"/>
          <w:sz w:val="24"/>
          <w:szCs w:val="24"/>
          <w:highlight w:val="none"/>
          <w:lang w:eastAsia="zh-CN"/>
        </w:rPr>
        <w:t>工作开展等</w:t>
      </w:r>
      <w:r>
        <w:rPr>
          <w:rFonts w:hint="eastAsia" w:ascii="宋体" w:hAnsi="宋体" w:eastAsia="宋体" w:cs="宋体"/>
          <w:color w:val="auto"/>
          <w:sz w:val="24"/>
          <w:szCs w:val="24"/>
          <w:highlight w:val="none"/>
        </w:rPr>
        <w:t>。</w:t>
      </w:r>
    </w:p>
    <w:p w14:paraId="7C1CAD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应保护</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的技术服务方案、文件、资料图纸、数据、计算软件和专利技术。未经</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同意，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交付的技术服务资料及文件不得擅自修改、复制或向第三人转让或用于本合同外的项目，如发生以上情况，</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应负法律责任，</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提出索赔。</w:t>
      </w:r>
    </w:p>
    <w:p w14:paraId="1F8147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责任</w:t>
      </w:r>
    </w:p>
    <w:p w14:paraId="6A9FF5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应按国家技术规范、标准、规程及</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提出的技术服务要求，进行工程技术服务，按合同规定的进度要求提交质量合格的</w:t>
      </w:r>
      <w:r>
        <w:rPr>
          <w:rFonts w:hint="eastAsia" w:ascii="宋体" w:hAnsi="宋体" w:eastAsia="宋体" w:cs="宋体"/>
          <w:color w:val="auto"/>
          <w:sz w:val="24"/>
          <w:szCs w:val="24"/>
          <w:highlight w:val="none"/>
          <w:lang w:val="en-US" w:eastAsia="zh-CN"/>
        </w:rPr>
        <w:t>安全技术评价报告</w:t>
      </w:r>
      <w:r>
        <w:rPr>
          <w:rFonts w:hint="eastAsia" w:ascii="宋体" w:hAnsi="宋体" w:eastAsia="宋体" w:cs="宋体"/>
          <w:color w:val="auto"/>
          <w:sz w:val="24"/>
          <w:szCs w:val="24"/>
          <w:highlight w:val="none"/>
        </w:rPr>
        <w:t>。</w:t>
      </w:r>
    </w:p>
    <w:p w14:paraId="5B27FA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按本合同第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条和第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条规定的内容、进度及份数向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交付</w:t>
      </w:r>
      <w:r>
        <w:rPr>
          <w:rFonts w:hint="eastAsia" w:ascii="宋体" w:hAnsi="宋体" w:eastAsia="宋体" w:cs="宋体"/>
          <w:color w:val="auto"/>
          <w:sz w:val="24"/>
          <w:szCs w:val="24"/>
          <w:highlight w:val="none"/>
          <w:lang w:val="en-US" w:eastAsia="zh-CN"/>
        </w:rPr>
        <w:t>安全技术评价报告</w:t>
      </w:r>
      <w:r>
        <w:rPr>
          <w:rFonts w:hint="eastAsia" w:ascii="宋体" w:hAnsi="宋体" w:eastAsia="宋体" w:cs="宋体"/>
          <w:color w:val="auto"/>
          <w:sz w:val="24"/>
          <w:szCs w:val="24"/>
          <w:highlight w:val="none"/>
        </w:rPr>
        <w:t>（出现7.1.1、7.1.2、7.1.3规定有关交付资料文件顺延的情况除外）。</w:t>
      </w:r>
    </w:p>
    <w:p w14:paraId="70DD95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对发现的重大质量问题，及时向甲方通报。</w:t>
      </w:r>
    </w:p>
    <w:p w14:paraId="35A960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应保护</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的知识产权，不得向第三人泄露、转让</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提交的产品图纸等技术经济资料。如发生以上情况并给</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造成经济损失，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索赔。</w:t>
      </w:r>
    </w:p>
    <w:p w14:paraId="7891B22A">
      <w:pPr>
        <w:keepNext w:val="0"/>
        <w:keepLines w:val="0"/>
        <w:pageBreakBefore w:val="0"/>
        <w:widowControl w:val="0"/>
        <w:numPr>
          <w:ilvl w:val="0"/>
          <w:numId w:val="9"/>
        </w:numPr>
        <w:tabs>
          <w:tab w:val="left" w:pos="525"/>
        </w:tabs>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违约责任</w:t>
      </w:r>
    </w:p>
    <w:p w14:paraId="6126E2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在合同履行期间，</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要求终止或解除合同，</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未开始技术服务工作的，不退还</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已付的</w:t>
      </w:r>
      <w:r>
        <w:rPr>
          <w:rFonts w:hint="eastAsia" w:ascii="宋体" w:hAnsi="宋体" w:eastAsia="宋体" w:cs="宋体"/>
          <w:color w:val="auto"/>
          <w:sz w:val="24"/>
          <w:szCs w:val="24"/>
          <w:highlight w:val="none"/>
          <w:lang w:val="en-US" w:eastAsia="zh-CN"/>
        </w:rPr>
        <w:t>预付款（如有）</w:t>
      </w:r>
      <w:r>
        <w:rPr>
          <w:rFonts w:hint="eastAsia" w:ascii="宋体" w:hAnsi="宋体" w:eastAsia="宋体" w:cs="宋体"/>
          <w:color w:val="auto"/>
          <w:sz w:val="24"/>
          <w:szCs w:val="24"/>
          <w:highlight w:val="none"/>
        </w:rPr>
        <w:t>；已开始技术服务工作的，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已进行的实际工作量，不足一半时，按该阶段技术服务费的一半支付；超过一半时，按该阶段技术服务费的全部支付。</w:t>
      </w:r>
    </w:p>
    <w:p w14:paraId="2BF739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应按本合同第六条规定的金额和时间向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支付技术服务费，每逾期支付一天，应承担支付应付未付部分金额千分之二的逾期违约金。逾期超过30天以上时，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有权暂停履行下阶段工作，并书面通知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w:t>
      </w:r>
    </w:p>
    <w:p w14:paraId="0C528E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安全技术评价报告</w:t>
      </w:r>
      <w:r>
        <w:rPr>
          <w:rFonts w:hint="eastAsia" w:ascii="宋体" w:hAnsi="宋体" w:eastAsia="宋体" w:cs="宋体"/>
          <w:color w:val="auto"/>
          <w:sz w:val="24"/>
          <w:szCs w:val="24"/>
          <w:highlight w:val="none"/>
        </w:rPr>
        <w:t>出现的遗漏或错误负责修改或补充。由于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错误造成工程质量事故损失，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除负责采取补救措施外，应免收直接受损失部分的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费，并根据损失程度向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支付赔偿金。</w:t>
      </w:r>
    </w:p>
    <w:p w14:paraId="6C785F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.4 由于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自身原因，延误了按本合同第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条规定的</w:t>
      </w:r>
      <w:r>
        <w:rPr>
          <w:rFonts w:hint="eastAsia" w:ascii="宋体" w:hAnsi="宋体" w:eastAsia="宋体" w:cs="宋体"/>
          <w:color w:val="auto"/>
          <w:sz w:val="24"/>
          <w:szCs w:val="24"/>
          <w:highlight w:val="none"/>
          <w:lang w:val="en-US" w:eastAsia="zh-CN"/>
        </w:rPr>
        <w:t>安全技术评价报告</w:t>
      </w:r>
      <w:r>
        <w:rPr>
          <w:rFonts w:hint="eastAsia" w:ascii="宋体" w:hAnsi="宋体" w:eastAsia="宋体" w:cs="宋体"/>
          <w:color w:val="auto"/>
          <w:sz w:val="24"/>
          <w:szCs w:val="24"/>
          <w:highlight w:val="none"/>
        </w:rPr>
        <w:t>交付时间，每延误一天，应减收该项目</w:t>
      </w:r>
      <w:r>
        <w:rPr>
          <w:rFonts w:hint="eastAsia" w:ascii="宋体" w:hAnsi="宋体" w:eastAsia="宋体" w:cs="宋体"/>
          <w:color w:val="auto"/>
          <w:sz w:val="24"/>
          <w:szCs w:val="24"/>
          <w:highlight w:val="none"/>
          <w:lang w:val="en-US" w:eastAsia="zh-CN"/>
        </w:rPr>
        <w:t>服务费</w:t>
      </w:r>
      <w:r>
        <w:rPr>
          <w:rFonts w:hint="eastAsia" w:ascii="宋体" w:hAnsi="宋体" w:eastAsia="宋体" w:cs="宋体"/>
          <w:color w:val="auto"/>
          <w:sz w:val="24"/>
          <w:szCs w:val="24"/>
          <w:highlight w:val="none"/>
        </w:rPr>
        <w:t>的千分之二。</w:t>
      </w:r>
    </w:p>
    <w:p w14:paraId="4B0690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.5 合同生效3天内，</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要求终止或解除合同，</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返还</w:t>
      </w:r>
      <w:r>
        <w:rPr>
          <w:rFonts w:hint="eastAsia" w:ascii="宋体" w:hAnsi="宋体" w:eastAsia="宋体" w:cs="宋体"/>
          <w:color w:val="auto"/>
          <w:sz w:val="24"/>
          <w:szCs w:val="24"/>
          <w:highlight w:val="none"/>
          <w:lang w:val="en-US" w:eastAsia="zh-CN"/>
        </w:rPr>
        <w:t>预付款（如有）</w:t>
      </w:r>
      <w:r>
        <w:rPr>
          <w:rFonts w:hint="eastAsia" w:ascii="宋体" w:hAnsi="宋体" w:eastAsia="宋体" w:cs="宋体"/>
          <w:color w:val="auto"/>
          <w:sz w:val="24"/>
          <w:szCs w:val="24"/>
          <w:highlight w:val="none"/>
        </w:rPr>
        <w:t>。</w:t>
      </w:r>
    </w:p>
    <w:p w14:paraId="11BBB0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lang w:val="en-US" w:eastAsia="zh-CN"/>
        </w:rPr>
        <w:t>6.6 一方因违约，导致守约方产生的维权费用，包括并不限于诉讼费、律师费、公证费、保全费、保函费、调查取证费等相关一切实现债权费用，由违约方承担。</w:t>
      </w:r>
    </w:p>
    <w:p w14:paraId="7AF38EA2">
      <w:pPr>
        <w:keepNext w:val="0"/>
        <w:keepLines w:val="0"/>
        <w:pageBreakBefore w:val="0"/>
        <w:widowControl w:val="0"/>
        <w:numPr>
          <w:ilvl w:val="0"/>
          <w:numId w:val="9"/>
        </w:numPr>
        <w:tabs>
          <w:tab w:val="left" w:pos="525"/>
        </w:tabs>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其它</w:t>
      </w:r>
    </w:p>
    <w:p w14:paraId="57702B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派专人留驻施工现场进行配合与解决有关问题，双方应另行签订补充协议或技术咨询服务合同。</w:t>
      </w:r>
    </w:p>
    <w:p w14:paraId="5B5C96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为本合同项目所采用的国家或地方标准图，由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自费向有关出版部门购买。如甲方要求交付的</w:t>
      </w:r>
      <w:r>
        <w:rPr>
          <w:rFonts w:hint="eastAsia" w:ascii="宋体" w:hAnsi="宋体" w:eastAsia="宋体" w:cs="宋体"/>
          <w:color w:val="auto"/>
          <w:sz w:val="24"/>
          <w:szCs w:val="24"/>
          <w:highlight w:val="none"/>
          <w:lang w:val="en-US" w:eastAsia="zh-CN"/>
        </w:rPr>
        <w:t>安全技术评价报告</w:t>
      </w:r>
      <w:r>
        <w:rPr>
          <w:rFonts w:hint="eastAsia" w:ascii="宋体" w:hAnsi="宋体" w:eastAsia="宋体" w:cs="宋体"/>
          <w:color w:val="auto"/>
          <w:sz w:val="24"/>
          <w:szCs w:val="24"/>
          <w:highlight w:val="none"/>
        </w:rPr>
        <w:t>份数超出本合同第五条规定的数量，乙方另收工本费。</w:t>
      </w:r>
    </w:p>
    <w:p w14:paraId="522B5D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承担本合同内容之外的工作，另行支付费用。</w:t>
      </w:r>
    </w:p>
    <w:p w14:paraId="67EAB7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由于不可抗力因素致使合同无法履行时，双方应及时协商解决。</w:t>
      </w:r>
    </w:p>
    <w:p w14:paraId="1E99FE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合同履行过程中发生争议，甲乙双方应及时协商，如协商不成，按下列第</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种方法解决：</w:t>
      </w:r>
    </w:p>
    <w:p w14:paraId="1AA4D1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（1）向</w:t>
      </w:r>
      <w:r>
        <w:rPr>
          <w:rFonts w:hint="eastAsia" w:ascii="宋体" w:hAnsi="宋体" w:eastAsia="宋体" w:cs="宋体"/>
          <w:color w:val="auto"/>
          <w:sz w:val="24"/>
          <w:szCs w:val="24"/>
          <w:highlight w:val="none"/>
          <w:u w:val="single"/>
          <w:lang w:val="en-US" w:eastAsia="zh-CN"/>
        </w:rPr>
        <w:t xml:space="preserve"> 滁州 </w:t>
      </w:r>
      <w:r>
        <w:rPr>
          <w:rFonts w:hint="eastAsia" w:ascii="宋体" w:hAnsi="宋体" w:eastAsia="宋体" w:cs="宋体"/>
          <w:color w:val="auto"/>
          <w:sz w:val="24"/>
          <w:szCs w:val="24"/>
          <w:highlight w:val="none"/>
          <w:lang w:val="en-US" w:eastAsia="zh-CN"/>
        </w:rPr>
        <w:t>仲裁委员会申请仲裁；（2）向</w:t>
      </w:r>
      <w:r>
        <w:rPr>
          <w:rFonts w:hint="eastAsia" w:ascii="宋体" w:hAnsi="宋体" w:eastAsia="宋体" w:cs="宋体"/>
          <w:color w:val="auto"/>
          <w:sz w:val="24"/>
          <w:szCs w:val="24"/>
          <w:highlight w:val="none"/>
          <w:u w:val="single"/>
          <w:lang w:val="en-US" w:eastAsia="zh-CN"/>
        </w:rPr>
        <w:t xml:space="preserve"> 项目所在地 </w:t>
      </w:r>
      <w:r>
        <w:rPr>
          <w:rFonts w:hint="eastAsia" w:ascii="宋体" w:hAnsi="宋体" w:eastAsia="宋体" w:cs="宋体"/>
          <w:color w:val="auto"/>
          <w:sz w:val="24"/>
          <w:szCs w:val="24"/>
          <w:highlight w:val="none"/>
          <w:lang w:val="en-US" w:eastAsia="zh-CN"/>
        </w:rPr>
        <w:t>人民法院起诉。</w:t>
      </w:r>
    </w:p>
    <w:p w14:paraId="7BD3D3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w:t>
      </w:r>
    </w:p>
    <w:p w14:paraId="318974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本合同经</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rPr>
        <w:t>方签章后生效。</w:t>
      </w:r>
    </w:p>
    <w:p w14:paraId="4A7963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本合同未尽事宜，双方可签订补充协议，有关协议及双方认可的来往电报、传真、会议纪要等，均为本合同组成部分，与本合同具有同等法律效力。</w:t>
      </w:r>
    </w:p>
    <w:p w14:paraId="2B734A7B">
      <w:pPr>
        <w:keepNext w:val="0"/>
        <w:keepLines w:val="0"/>
        <w:pageBreakBefore w:val="0"/>
        <w:widowControl w:val="0"/>
        <w:kinsoku/>
        <w:wordWrap/>
        <w:overflowPunct/>
        <w:topLinePunct w:val="0"/>
        <w:autoSpaceDE/>
        <w:autoSpaceDN/>
        <w:bidi w:val="0"/>
        <w:adjustRightInd/>
        <w:snapToGrid/>
        <w:spacing w:before="313" w:beforeLines="100"/>
        <w:ind w:firstLine="482" w:firstLineChars="200"/>
        <w:jc w:val="righ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（以下无正文）</w:t>
      </w:r>
    </w:p>
    <w:p w14:paraId="7FC03EAF">
      <w:pPr>
        <w:spacing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D7B08B5">
      <w:pPr>
        <w:keepNext w:val="0"/>
        <w:keepLines w:val="0"/>
        <w:pageBreakBefore w:val="0"/>
        <w:widowControl w:val="0"/>
        <w:kinsoku/>
        <w:wordWrap/>
        <w:overflowPunct/>
        <w:topLinePunct w:val="0"/>
        <w:autoSpaceDE/>
        <w:autoSpaceDN/>
        <w:bidi w:val="0"/>
        <w:adjustRightInd/>
        <w:snapToGrid/>
        <w:spacing w:before="313" w:beforeLines="100"/>
        <w:ind w:firstLine="482" w:firstLineChars="200"/>
        <w:jc w:val="right"/>
        <w:textAlignment w:val="auto"/>
        <w:rPr>
          <w:rFonts w:hint="eastAsia" w:ascii="宋体" w:hAnsi="宋体" w:eastAsia="宋体" w:cs="宋体"/>
          <w:b/>
          <w:bCs/>
          <w:color w:val="auto"/>
          <w:kern w:val="2"/>
          <w:sz w:val="24"/>
          <w:szCs w:val="24"/>
          <w:highlight w:val="none"/>
          <w:lang w:val="en-US" w:eastAsia="zh-CN" w:bidi="ar-SA"/>
        </w:rPr>
      </w:pPr>
    </w:p>
    <w:p w14:paraId="59B2414B">
      <w:pPr>
        <w:keepNext w:val="0"/>
        <w:keepLines w:val="0"/>
        <w:pageBreakBefore w:val="0"/>
        <w:widowControl w:val="0"/>
        <w:kinsoku/>
        <w:wordWrap/>
        <w:overflowPunct/>
        <w:topLinePunct w:val="0"/>
        <w:autoSpaceDE/>
        <w:autoSpaceDN/>
        <w:bidi w:val="0"/>
        <w:adjustRightInd/>
        <w:snapToGrid/>
        <w:spacing w:before="313" w:beforeLines="100"/>
        <w:ind w:firstLine="482" w:firstLineChars="200"/>
        <w:jc w:val="right"/>
        <w:textAlignment w:val="auto"/>
        <w:rPr>
          <w:rFonts w:hint="eastAsia" w:ascii="宋体" w:hAnsi="宋体" w:eastAsia="宋体" w:cs="宋体"/>
          <w:b/>
          <w:bCs/>
          <w:color w:val="auto"/>
          <w:kern w:val="2"/>
          <w:sz w:val="24"/>
          <w:szCs w:val="24"/>
          <w:highlight w:val="none"/>
          <w:lang w:val="en-US" w:eastAsia="zh-CN" w:bidi="ar-SA"/>
        </w:rPr>
      </w:pPr>
    </w:p>
    <w:tbl>
      <w:tblPr>
        <w:tblStyle w:val="36"/>
        <w:tblW w:w="10217" w:type="dxa"/>
        <w:jc w:val="center"/>
        <w:tblLayout w:type="fixed"/>
        <w:tblCellMar>
          <w:top w:w="0" w:type="dxa"/>
          <w:left w:w="108" w:type="dxa"/>
          <w:bottom w:w="0" w:type="dxa"/>
          <w:right w:w="108" w:type="dxa"/>
        </w:tblCellMar>
      </w:tblPr>
      <w:tblGrid>
        <w:gridCol w:w="1581"/>
        <w:gridCol w:w="3527"/>
        <w:gridCol w:w="1539"/>
        <w:gridCol w:w="3570"/>
      </w:tblGrid>
      <w:tr w14:paraId="636DB319">
        <w:tblPrEx>
          <w:tblCellMar>
            <w:top w:w="0" w:type="dxa"/>
            <w:left w:w="108" w:type="dxa"/>
            <w:bottom w:w="0" w:type="dxa"/>
            <w:right w:w="108" w:type="dxa"/>
          </w:tblCellMar>
        </w:tblPrEx>
        <w:trPr>
          <w:trHeight w:val="850" w:hRule="atLeast"/>
          <w:jc w:val="center"/>
        </w:trPr>
        <w:tc>
          <w:tcPr>
            <w:tcW w:w="1581" w:type="dxa"/>
            <w:noWrap w:val="0"/>
            <w:vAlign w:val="center"/>
          </w:tcPr>
          <w:p w14:paraId="4112461B">
            <w:pPr>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甲</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方：</w:t>
            </w:r>
          </w:p>
          <w:p w14:paraId="13F9E8D7">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p>
        </w:tc>
        <w:tc>
          <w:tcPr>
            <w:tcW w:w="3527" w:type="dxa"/>
            <w:noWrap w:val="0"/>
            <w:vAlign w:val="center"/>
          </w:tcPr>
          <w:p w14:paraId="7E62568C">
            <w:pPr>
              <w:spacing w:line="500" w:lineRule="exact"/>
              <w:ind w:firstLine="0" w:firstLineChars="0"/>
              <w:jc w:val="left"/>
              <w:rPr>
                <w:rFonts w:hint="eastAsia" w:ascii="宋体" w:hAnsi="宋体" w:eastAsia="宋体" w:cs="宋体"/>
                <w:color w:val="auto"/>
                <w:sz w:val="24"/>
                <w:szCs w:val="24"/>
                <w:highlight w:val="none"/>
                <w:lang w:val="en-US" w:eastAsia="zh-CN"/>
              </w:rPr>
            </w:pPr>
          </w:p>
        </w:tc>
        <w:tc>
          <w:tcPr>
            <w:tcW w:w="1539" w:type="dxa"/>
            <w:noWrap w:val="0"/>
            <w:vAlign w:val="center"/>
          </w:tcPr>
          <w:p w14:paraId="737ECC97">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方：</w:t>
            </w:r>
          </w:p>
          <w:p w14:paraId="59449832">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p>
        </w:tc>
        <w:tc>
          <w:tcPr>
            <w:tcW w:w="3570" w:type="dxa"/>
            <w:noWrap w:val="0"/>
            <w:vAlign w:val="center"/>
          </w:tcPr>
          <w:p w14:paraId="71FFA74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p>
        </w:tc>
      </w:tr>
      <w:tr w14:paraId="02139078">
        <w:tblPrEx>
          <w:tblCellMar>
            <w:top w:w="0" w:type="dxa"/>
            <w:left w:w="108" w:type="dxa"/>
            <w:bottom w:w="0" w:type="dxa"/>
            <w:right w:w="108" w:type="dxa"/>
          </w:tblCellMar>
        </w:tblPrEx>
        <w:trPr>
          <w:trHeight w:val="850" w:hRule="atLeast"/>
          <w:jc w:val="center"/>
        </w:trPr>
        <w:tc>
          <w:tcPr>
            <w:tcW w:w="1581" w:type="dxa"/>
            <w:noWrap w:val="0"/>
            <w:vAlign w:val="center"/>
          </w:tcPr>
          <w:p w14:paraId="29BDA626">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tc>
        <w:tc>
          <w:tcPr>
            <w:tcW w:w="3527" w:type="dxa"/>
            <w:noWrap w:val="0"/>
            <w:vAlign w:val="center"/>
          </w:tcPr>
          <w:p w14:paraId="42236D37">
            <w:pPr>
              <w:spacing w:line="240" w:lineRule="auto"/>
              <w:ind w:firstLine="0" w:firstLineChars="0"/>
              <w:jc w:val="center"/>
              <w:rPr>
                <w:rFonts w:hint="eastAsia" w:ascii="宋体" w:hAnsi="宋体" w:eastAsia="宋体" w:cs="宋体"/>
                <w:color w:val="auto"/>
                <w:sz w:val="24"/>
                <w:szCs w:val="24"/>
                <w:highlight w:val="none"/>
              </w:rPr>
            </w:pPr>
          </w:p>
        </w:tc>
        <w:tc>
          <w:tcPr>
            <w:tcW w:w="1539" w:type="dxa"/>
            <w:noWrap w:val="0"/>
            <w:vAlign w:val="center"/>
          </w:tcPr>
          <w:p w14:paraId="652FF4E3">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法定代表人或授权代表：</w:t>
            </w:r>
          </w:p>
        </w:tc>
        <w:tc>
          <w:tcPr>
            <w:tcW w:w="3570" w:type="dxa"/>
            <w:noWrap w:val="0"/>
            <w:vAlign w:val="center"/>
          </w:tcPr>
          <w:p w14:paraId="5ECF0859">
            <w:pPr>
              <w:spacing w:line="240" w:lineRule="auto"/>
              <w:ind w:firstLine="0" w:firstLineChars="0"/>
              <w:jc w:val="both"/>
              <w:rPr>
                <w:rFonts w:hint="eastAsia" w:ascii="宋体" w:hAnsi="宋体" w:eastAsia="宋体" w:cs="宋体"/>
                <w:color w:val="auto"/>
                <w:kern w:val="2"/>
                <w:sz w:val="24"/>
                <w:szCs w:val="24"/>
                <w:highlight w:val="none"/>
                <w:lang w:val="en-US" w:eastAsia="zh-CN" w:bidi="ar-SA"/>
              </w:rPr>
            </w:pPr>
          </w:p>
        </w:tc>
      </w:tr>
      <w:tr w14:paraId="76CD038B">
        <w:tblPrEx>
          <w:tblCellMar>
            <w:top w:w="0" w:type="dxa"/>
            <w:left w:w="108" w:type="dxa"/>
            <w:bottom w:w="0" w:type="dxa"/>
            <w:right w:w="108" w:type="dxa"/>
          </w:tblCellMar>
        </w:tblPrEx>
        <w:trPr>
          <w:trHeight w:val="850" w:hRule="atLeast"/>
          <w:jc w:val="center"/>
        </w:trPr>
        <w:tc>
          <w:tcPr>
            <w:tcW w:w="1581" w:type="dxa"/>
            <w:noWrap w:val="0"/>
            <w:vAlign w:val="center"/>
          </w:tcPr>
          <w:p w14:paraId="100E2A8E">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3527" w:type="dxa"/>
            <w:noWrap w:val="0"/>
            <w:vAlign w:val="center"/>
          </w:tcPr>
          <w:p w14:paraId="4072877B">
            <w:pPr>
              <w:spacing w:line="240" w:lineRule="auto"/>
              <w:ind w:firstLine="0" w:firstLineChars="0"/>
              <w:jc w:val="both"/>
              <w:rPr>
                <w:rFonts w:hint="eastAsia" w:ascii="宋体" w:hAnsi="宋体" w:eastAsia="宋体" w:cs="宋体"/>
                <w:color w:val="auto"/>
                <w:sz w:val="24"/>
                <w:szCs w:val="24"/>
                <w:highlight w:val="none"/>
              </w:rPr>
            </w:pPr>
          </w:p>
        </w:tc>
        <w:tc>
          <w:tcPr>
            <w:tcW w:w="1539" w:type="dxa"/>
            <w:noWrap w:val="0"/>
            <w:vAlign w:val="center"/>
          </w:tcPr>
          <w:p w14:paraId="6A6A7C6C">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      话：</w:t>
            </w:r>
          </w:p>
        </w:tc>
        <w:tc>
          <w:tcPr>
            <w:tcW w:w="3570" w:type="dxa"/>
            <w:noWrap w:val="0"/>
            <w:vAlign w:val="center"/>
          </w:tcPr>
          <w:p w14:paraId="7E5C2D2A">
            <w:pPr>
              <w:spacing w:line="240" w:lineRule="auto"/>
              <w:ind w:firstLine="0" w:firstLineChars="0"/>
              <w:rPr>
                <w:rFonts w:hint="eastAsia" w:ascii="宋体" w:hAnsi="宋体" w:eastAsia="宋体" w:cs="宋体"/>
                <w:color w:val="auto"/>
                <w:kern w:val="2"/>
                <w:sz w:val="24"/>
                <w:szCs w:val="24"/>
                <w:highlight w:val="none"/>
                <w:lang w:val="en-US" w:eastAsia="zh-CN" w:bidi="ar-SA"/>
              </w:rPr>
            </w:pPr>
          </w:p>
        </w:tc>
      </w:tr>
      <w:tr w14:paraId="37FDB03E">
        <w:tblPrEx>
          <w:tblCellMar>
            <w:top w:w="0" w:type="dxa"/>
            <w:left w:w="108" w:type="dxa"/>
            <w:bottom w:w="0" w:type="dxa"/>
            <w:right w:w="108" w:type="dxa"/>
          </w:tblCellMar>
        </w:tblPrEx>
        <w:trPr>
          <w:trHeight w:val="850" w:hRule="atLeast"/>
          <w:jc w:val="center"/>
        </w:trPr>
        <w:tc>
          <w:tcPr>
            <w:tcW w:w="1581" w:type="dxa"/>
            <w:noWrap w:val="0"/>
            <w:vAlign w:val="center"/>
          </w:tcPr>
          <w:p w14:paraId="035DAEF0">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      号：</w:t>
            </w:r>
          </w:p>
        </w:tc>
        <w:tc>
          <w:tcPr>
            <w:tcW w:w="3527" w:type="dxa"/>
            <w:noWrap w:val="0"/>
            <w:vAlign w:val="center"/>
          </w:tcPr>
          <w:p w14:paraId="0A18A48F">
            <w:pPr>
              <w:spacing w:line="240" w:lineRule="auto"/>
              <w:ind w:firstLine="0" w:firstLineChars="0"/>
              <w:jc w:val="both"/>
              <w:rPr>
                <w:rFonts w:hint="eastAsia" w:ascii="宋体" w:hAnsi="宋体" w:eastAsia="宋体" w:cs="宋体"/>
                <w:color w:val="auto"/>
                <w:sz w:val="24"/>
                <w:szCs w:val="24"/>
                <w:highlight w:val="none"/>
              </w:rPr>
            </w:pPr>
          </w:p>
        </w:tc>
        <w:tc>
          <w:tcPr>
            <w:tcW w:w="1539" w:type="dxa"/>
            <w:noWrap w:val="0"/>
            <w:vAlign w:val="center"/>
          </w:tcPr>
          <w:p w14:paraId="165A443E">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      号：</w:t>
            </w:r>
          </w:p>
        </w:tc>
        <w:tc>
          <w:tcPr>
            <w:tcW w:w="3570" w:type="dxa"/>
            <w:noWrap w:val="0"/>
            <w:vAlign w:val="center"/>
          </w:tcPr>
          <w:p w14:paraId="1068BD83">
            <w:pPr>
              <w:spacing w:line="240" w:lineRule="auto"/>
              <w:ind w:firstLine="0" w:firstLineChars="0"/>
              <w:jc w:val="both"/>
              <w:rPr>
                <w:rFonts w:hint="eastAsia" w:ascii="宋体" w:hAnsi="宋体" w:eastAsia="宋体" w:cs="宋体"/>
                <w:color w:val="auto"/>
                <w:sz w:val="24"/>
                <w:szCs w:val="24"/>
                <w:highlight w:val="none"/>
                <w:lang w:val="en-US" w:eastAsia="zh-CN"/>
              </w:rPr>
            </w:pPr>
          </w:p>
        </w:tc>
      </w:tr>
      <w:tr w14:paraId="71D9B63C">
        <w:tblPrEx>
          <w:tblCellMar>
            <w:top w:w="0" w:type="dxa"/>
            <w:left w:w="108" w:type="dxa"/>
            <w:bottom w:w="0" w:type="dxa"/>
            <w:right w:w="108" w:type="dxa"/>
          </w:tblCellMar>
        </w:tblPrEx>
        <w:trPr>
          <w:trHeight w:val="850" w:hRule="atLeast"/>
          <w:jc w:val="center"/>
        </w:trPr>
        <w:tc>
          <w:tcPr>
            <w:tcW w:w="1581" w:type="dxa"/>
            <w:noWrap w:val="0"/>
            <w:vAlign w:val="center"/>
          </w:tcPr>
          <w:p w14:paraId="2451618A">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tc>
        <w:tc>
          <w:tcPr>
            <w:tcW w:w="3527" w:type="dxa"/>
            <w:noWrap w:val="0"/>
            <w:vAlign w:val="center"/>
          </w:tcPr>
          <w:p w14:paraId="38B3F6DF">
            <w:pPr>
              <w:spacing w:line="240" w:lineRule="auto"/>
              <w:ind w:firstLine="0" w:firstLineChars="0"/>
              <w:jc w:val="both"/>
              <w:rPr>
                <w:rFonts w:hint="eastAsia" w:ascii="宋体" w:hAnsi="宋体" w:eastAsia="宋体" w:cs="宋体"/>
                <w:color w:val="auto"/>
                <w:sz w:val="24"/>
                <w:szCs w:val="24"/>
                <w:highlight w:val="none"/>
              </w:rPr>
            </w:pPr>
          </w:p>
        </w:tc>
        <w:tc>
          <w:tcPr>
            <w:tcW w:w="1539" w:type="dxa"/>
            <w:noWrap w:val="0"/>
            <w:vAlign w:val="center"/>
          </w:tcPr>
          <w:p w14:paraId="2B630714">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      址：</w:t>
            </w:r>
          </w:p>
        </w:tc>
        <w:tc>
          <w:tcPr>
            <w:tcW w:w="3570" w:type="dxa"/>
            <w:noWrap w:val="0"/>
            <w:vAlign w:val="center"/>
          </w:tcPr>
          <w:p w14:paraId="546A91BC">
            <w:pPr>
              <w:spacing w:line="240" w:lineRule="auto"/>
              <w:ind w:firstLine="0" w:firstLineChars="0"/>
              <w:jc w:val="both"/>
              <w:rPr>
                <w:rFonts w:hint="eastAsia" w:ascii="宋体" w:hAnsi="宋体" w:eastAsia="宋体" w:cs="宋体"/>
                <w:color w:val="auto"/>
                <w:sz w:val="24"/>
                <w:szCs w:val="24"/>
                <w:highlight w:val="none"/>
                <w:lang w:val="en-US" w:eastAsia="zh-CN"/>
              </w:rPr>
            </w:pPr>
          </w:p>
        </w:tc>
      </w:tr>
      <w:tr w14:paraId="6BEB12DA">
        <w:tblPrEx>
          <w:tblCellMar>
            <w:top w:w="0" w:type="dxa"/>
            <w:left w:w="108" w:type="dxa"/>
            <w:bottom w:w="0" w:type="dxa"/>
            <w:right w:w="108" w:type="dxa"/>
          </w:tblCellMar>
        </w:tblPrEx>
        <w:trPr>
          <w:trHeight w:val="850" w:hRule="atLeast"/>
          <w:jc w:val="center"/>
        </w:trPr>
        <w:tc>
          <w:tcPr>
            <w:tcW w:w="1581" w:type="dxa"/>
            <w:noWrap w:val="0"/>
            <w:vAlign w:val="center"/>
          </w:tcPr>
          <w:p w14:paraId="1AE37FC7">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3527" w:type="dxa"/>
            <w:noWrap w:val="0"/>
            <w:vAlign w:val="center"/>
          </w:tcPr>
          <w:p w14:paraId="7C18057C">
            <w:pPr>
              <w:spacing w:line="240" w:lineRule="auto"/>
              <w:ind w:firstLine="0" w:firstLineChars="0"/>
              <w:jc w:val="both"/>
              <w:rPr>
                <w:rFonts w:hint="eastAsia" w:ascii="宋体" w:hAnsi="宋体" w:eastAsia="宋体" w:cs="宋体"/>
                <w:color w:val="auto"/>
                <w:sz w:val="24"/>
                <w:szCs w:val="24"/>
                <w:highlight w:val="none"/>
              </w:rPr>
            </w:pPr>
          </w:p>
        </w:tc>
        <w:tc>
          <w:tcPr>
            <w:tcW w:w="1539" w:type="dxa"/>
            <w:noWrap w:val="0"/>
            <w:vAlign w:val="center"/>
          </w:tcPr>
          <w:p w14:paraId="4E0456DB">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开户银行：</w:t>
            </w:r>
          </w:p>
        </w:tc>
        <w:tc>
          <w:tcPr>
            <w:tcW w:w="3570" w:type="dxa"/>
            <w:noWrap w:val="0"/>
            <w:vAlign w:val="center"/>
          </w:tcPr>
          <w:p w14:paraId="5CE081BD">
            <w:pPr>
              <w:spacing w:line="240" w:lineRule="auto"/>
              <w:ind w:firstLine="0" w:firstLineChars="0"/>
              <w:jc w:val="both"/>
              <w:rPr>
                <w:rFonts w:hint="eastAsia" w:ascii="宋体" w:hAnsi="宋体" w:eastAsia="宋体" w:cs="宋体"/>
                <w:color w:val="auto"/>
                <w:kern w:val="2"/>
                <w:sz w:val="24"/>
                <w:szCs w:val="24"/>
                <w:highlight w:val="none"/>
                <w:lang w:val="en-US" w:eastAsia="zh-CN" w:bidi="ar-SA"/>
              </w:rPr>
            </w:pPr>
          </w:p>
        </w:tc>
      </w:tr>
      <w:tr w14:paraId="17BA1A4C">
        <w:tblPrEx>
          <w:tblCellMar>
            <w:top w:w="0" w:type="dxa"/>
            <w:left w:w="108" w:type="dxa"/>
            <w:bottom w:w="0" w:type="dxa"/>
            <w:right w:w="108" w:type="dxa"/>
          </w:tblCellMar>
        </w:tblPrEx>
        <w:trPr>
          <w:trHeight w:val="850" w:hRule="atLeast"/>
          <w:jc w:val="center"/>
        </w:trPr>
        <w:tc>
          <w:tcPr>
            <w:tcW w:w="1581" w:type="dxa"/>
            <w:noWrap w:val="0"/>
            <w:vAlign w:val="center"/>
          </w:tcPr>
          <w:p w14:paraId="4EF0BA76">
            <w:pPr>
              <w:spacing w:line="240" w:lineRule="auto"/>
              <w:ind w:firstLine="0" w:firstLineChars="0"/>
              <w:jc w:val="distribut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val="en-US" w:eastAsia="zh-CN"/>
              </w:rPr>
              <w:t>账号</w:t>
            </w:r>
            <w:r>
              <w:rPr>
                <w:rFonts w:hint="eastAsia" w:ascii="宋体" w:hAnsi="宋体" w:eastAsia="宋体" w:cs="宋体"/>
                <w:color w:val="auto"/>
                <w:sz w:val="24"/>
                <w:szCs w:val="24"/>
                <w:highlight w:val="none"/>
              </w:rPr>
              <w:t>：</w:t>
            </w:r>
          </w:p>
        </w:tc>
        <w:tc>
          <w:tcPr>
            <w:tcW w:w="3527" w:type="dxa"/>
            <w:noWrap w:val="0"/>
            <w:vAlign w:val="center"/>
          </w:tcPr>
          <w:p w14:paraId="0B239A8F">
            <w:pPr>
              <w:spacing w:line="240" w:lineRule="auto"/>
              <w:ind w:firstLine="0" w:firstLineChars="0"/>
              <w:jc w:val="both"/>
              <w:rPr>
                <w:rFonts w:hint="eastAsia" w:ascii="宋体" w:hAnsi="宋体" w:eastAsia="宋体" w:cs="宋体"/>
                <w:color w:val="auto"/>
                <w:sz w:val="24"/>
                <w:szCs w:val="24"/>
                <w:highlight w:val="none"/>
              </w:rPr>
            </w:pPr>
          </w:p>
        </w:tc>
        <w:tc>
          <w:tcPr>
            <w:tcW w:w="1539" w:type="dxa"/>
            <w:noWrap w:val="0"/>
            <w:vAlign w:val="center"/>
          </w:tcPr>
          <w:p w14:paraId="0062D1B2">
            <w:pPr>
              <w:spacing w:line="240" w:lineRule="auto"/>
              <w:ind w:firstLine="0" w:firstLineChars="0"/>
              <w:jc w:val="distribut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val="en-US" w:eastAsia="zh-CN"/>
              </w:rPr>
              <w:t>账号</w:t>
            </w:r>
            <w:r>
              <w:rPr>
                <w:rFonts w:hint="eastAsia" w:ascii="宋体" w:hAnsi="宋体" w:eastAsia="宋体" w:cs="宋体"/>
                <w:color w:val="auto"/>
                <w:sz w:val="24"/>
                <w:szCs w:val="24"/>
                <w:highlight w:val="none"/>
              </w:rPr>
              <w:t>：</w:t>
            </w:r>
          </w:p>
        </w:tc>
        <w:tc>
          <w:tcPr>
            <w:tcW w:w="3570" w:type="dxa"/>
            <w:noWrap w:val="0"/>
            <w:vAlign w:val="center"/>
          </w:tcPr>
          <w:p w14:paraId="632E1CBF">
            <w:pPr>
              <w:spacing w:line="240" w:lineRule="auto"/>
              <w:ind w:firstLine="0" w:firstLineChars="0"/>
              <w:jc w:val="both"/>
              <w:rPr>
                <w:rFonts w:hint="eastAsia" w:ascii="宋体" w:hAnsi="宋体" w:eastAsia="宋体" w:cs="宋体"/>
                <w:color w:val="auto"/>
                <w:kern w:val="2"/>
                <w:sz w:val="24"/>
                <w:szCs w:val="24"/>
                <w:highlight w:val="none"/>
                <w:lang w:val="en-US" w:eastAsia="zh-CN" w:bidi="ar-SA"/>
              </w:rPr>
            </w:pPr>
          </w:p>
        </w:tc>
      </w:tr>
    </w:tbl>
    <w:p w14:paraId="0D97CFC4">
      <w:pPr>
        <w:ind w:firstLine="643" w:firstLineChars="20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br w:type="page"/>
      </w:r>
    </w:p>
    <w:p w14:paraId="79B6295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rPr>
        <w:t xml:space="preserve">章  </w:t>
      </w:r>
      <w:r>
        <w:rPr>
          <w:rFonts w:hint="eastAsia" w:ascii="宋体" w:hAnsi="Times New Roman" w:eastAsia="宋体" w:cs="Times New Roman"/>
          <w:b/>
          <w:color w:val="auto"/>
          <w:sz w:val="32"/>
          <w:szCs w:val="32"/>
          <w:highlight w:val="none"/>
          <w:lang w:eastAsia="zh-CN"/>
        </w:rPr>
        <w:t>招标文件</w:t>
      </w:r>
      <w:r>
        <w:rPr>
          <w:rFonts w:hint="eastAsia" w:ascii="宋体" w:hAnsi="Times New Roman" w:eastAsia="宋体" w:cs="Times New Roman"/>
          <w:b/>
          <w:color w:val="auto"/>
          <w:sz w:val="32"/>
          <w:szCs w:val="32"/>
          <w:highlight w:val="none"/>
        </w:rPr>
        <w:t>格式</w:t>
      </w:r>
    </w:p>
    <w:p w14:paraId="44C34767">
      <w:pPr>
        <w:jc w:val="center"/>
        <w:rPr>
          <w:rFonts w:hint="eastAsia" w:eastAsia="黑体"/>
          <w:color w:val="auto"/>
          <w:sz w:val="20"/>
          <w:highlight w:val="none"/>
        </w:rPr>
      </w:pPr>
    </w:p>
    <w:p w14:paraId="12B0AB51">
      <w:pPr>
        <w:rPr>
          <w:rFonts w:hint="eastAsia" w:eastAsia="黑体"/>
          <w:color w:val="auto"/>
          <w:sz w:val="20"/>
          <w:highlight w:val="none"/>
        </w:rPr>
      </w:pPr>
    </w:p>
    <w:p w14:paraId="65B13DED">
      <w:pPr>
        <w:rPr>
          <w:rFonts w:hint="eastAsia" w:eastAsia="黑体"/>
          <w:color w:val="auto"/>
          <w:sz w:val="20"/>
          <w:highlight w:val="none"/>
        </w:rPr>
      </w:pPr>
    </w:p>
    <w:p w14:paraId="0F1DEA53">
      <w:pPr>
        <w:rPr>
          <w:rFonts w:hint="eastAsia" w:eastAsia="黑体"/>
          <w:color w:val="auto"/>
          <w:sz w:val="20"/>
          <w:highlight w:val="none"/>
        </w:rPr>
      </w:pPr>
    </w:p>
    <w:p w14:paraId="0D73A1A1">
      <w:pPr>
        <w:jc w:val="center"/>
        <w:rPr>
          <w:rFonts w:hint="eastAsia" w:ascii="宋体"/>
          <w:b/>
          <w:color w:val="auto"/>
          <w:sz w:val="44"/>
          <w:szCs w:val="44"/>
          <w:highlight w:val="none"/>
        </w:rPr>
      </w:pPr>
      <w:r>
        <w:rPr>
          <w:rFonts w:hint="eastAsia" w:ascii="宋体"/>
          <w:b/>
          <w:color w:val="auto"/>
          <w:sz w:val="44"/>
          <w:szCs w:val="44"/>
          <w:highlight w:val="none"/>
          <w:lang w:val="en-US" w:eastAsia="zh-CN"/>
        </w:rPr>
        <w:t>投标文件</w:t>
      </w:r>
    </w:p>
    <w:p w14:paraId="2B7968EA">
      <w:pPr>
        <w:jc w:val="center"/>
        <w:rPr>
          <w:rFonts w:hint="eastAsia" w:eastAsia="黑体"/>
          <w:color w:val="auto"/>
          <w:sz w:val="44"/>
          <w:szCs w:val="44"/>
          <w:highlight w:val="none"/>
        </w:rPr>
      </w:pPr>
    </w:p>
    <w:p w14:paraId="3B423825">
      <w:pPr>
        <w:jc w:val="center"/>
        <w:rPr>
          <w:rFonts w:hint="eastAsia" w:eastAsia="黑体"/>
          <w:color w:val="auto"/>
          <w:sz w:val="44"/>
          <w:szCs w:val="44"/>
          <w:highlight w:val="none"/>
        </w:rPr>
      </w:pPr>
    </w:p>
    <w:p w14:paraId="6D49D39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EA60D66">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691238B">
      <w:pPr>
        <w:rPr>
          <w:rFonts w:hint="eastAsia" w:ascii="宋体"/>
          <w:color w:val="auto"/>
          <w:sz w:val="28"/>
          <w:szCs w:val="28"/>
          <w:highlight w:val="none"/>
        </w:rPr>
      </w:pPr>
    </w:p>
    <w:p w14:paraId="3742B360">
      <w:pPr>
        <w:rPr>
          <w:rFonts w:hint="eastAsia" w:ascii="宋体"/>
          <w:color w:val="auto"/>
          <w:sz w:val="28"/>
          <w:szCs w:val="28"/>
          <w:highlight w:val="none"/>
        </w:rPr>
      </w:pPr>
    </w:p>
    <w:p w14:paraId="62B8FC86">
      <w:pPr>
        <w:rPr>
          <w:rFonts w:hint="eastAsia" w:ascii="宋体"/>
          <w:color w:val="auto"/>
          <w:sz w:val="28"/>
          <w:szCs w:val="28"/>
          <w:highlight w:val="none"/>
        </w:rPr>
      </w:pPr>
    </w:p>
    <w:p w14:paraId="7D23F189">
      <w:pPr>
        <w:rPr>
          <w:rFonts w:hint="eastAsia" w:ascii="宋体"/>
          <w:color w:val="auto"/>
          <w:sz w:val="28"/>
          <w:szCs w:val="28"/>
          <w:highlight w:val="none"/>
        </w:rPr>
      </w:pPr>
    </w:p>
    <w:p w14:paraId="42A88458">
      <w:pPr>
        <w:rPr>
          <w:rFonts w:hint="eastAsia" w:ascii="宋体"/>
          <w:color w:val="auto"/>
          <w:sz w:val="28"/>
          <w:szCs w:val="28"/>
          <w:highlight w:val="none"/>
        </w:rPr>
      </w:pPr>
    </w:p>
    <w:p w14:paraId="05D012F9">
      <w:pPr>
        <w:rPr>
          <w:rFonts w:hint="eastAsia" w:ascii="宋体"/>
          <w:color w:val="auto"/>
          <w:sz w:val="28"/>
          <w:szCs w:val="28"/>
          <w:highlight w:val="none"/>
        </w:rPr>
      </w:pPr>
    </w:p>
    <w:p w14:paraId="58373D45">
      <w:pPr>
        <w:rPr>
          <w:rFonts w:hint="eastAsia" w:ascii="宋体"/>
          <w:color w:val="auto"/>
          <w:sz w:val="28"/>
          <w:szCs w:val="28"/>
          <w:highlight w:val="none"/>
        </w:rPr>
      </w:pPr>
    </w:p>
    <w:p w14:paraId="734B660D">
      <w:pPr>
        <w:jc w:val="center"/>
        <w:rPr>
          <w:rFonts w:hint="eastAsia" w:ascii="宋体"/>
          <w:color w:val="auto"/>
          <w:sz w:val="28"/>
          <w:szCs w:val="28"/>
          <w:highlight w:val="none"/>
          <w:u w:val="single"/>
        </w:rPr>
      </w:pPr>
      <w:r>
        <w:rPr>
          <w:rFonts w:hint="eastAsia" w:ascii="宋体"/>
          <w:color w:val="auto"/>
          <w:sz w:val="28"/>
          <w:szCs w:val="28"/>
          <w:highlight w:val="none"/>
          <w:lang w:eastAsia="zh-CN"/>
        </w:rPr>
        <w:t>投标人</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3394E04">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986FEA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9B2D2A1">
      <w:pPr>
        <w:spacing w:line="720" w:lineRule="auto"/>
        <w:jc w:val="center"/>
        <w:rPr>
          <w:rFonts w:hint="eastAsia" w:ascii="宋体"/>
          <w:b/>
          <w:color w:val="auto"/>
          <w:sz w:val="36"/>
          <w:szCs w:val="36"/>
          <w:highlight w:val="none"/>
        </w:rPr>
      </w:pPr>
    </w:p>
    <w:p w14:paraId="28BC2454">
      <w:pPr>
        <w:spacing w:line="400" w:lineRule="exact"/>
        <w:ind w:firstLine="4130" w:firstLineChars="935"/>
        <w:rPr>
          <w:rFonts w:hint="eastAsia"/>
          <w:b/>
          <w:color w:val="auto"/>
          <w:sz w:val="44"/>
          <w:szCs w:val="44"/>
          <w:highlight w:val="none"/>
        </w:rPr>
      </w:pPr>
    </w:p>
    <w:p w14:paraId="76C1DE1F">
      <w:pPr>
        <w:spacing w:line="400" w:lineRule="exact"/>
        <w:ind w:firstLine="4130" w:firstLineChars="935"/>
        <w:rPr>
          <w:rFonts w:hint="eastAsia"/>
          <w:b/>
          <w:color w:val="auto"/>
          <w:sz w:val="44"/>
          <w:szCs w:val="44"/>
          <w:highlight w:val="none"/>
        </w:rPr>
      </w:pPr>
    </w:p>
    <w:p w14:paraId="19AB07E8">
      <w:pPr>
        <w:spacing w:line="400" w:lineRule="exact"/>
        <w:ind w:firstLine="4130" w:firstLineChars="935"/>
        <w:rPr>
          <w:rFonts w:hint="eastAsia"/>
          <w:b/>
          <w:color w:val="auto"/>
          <w:sz w:val="44"/>
          <w:szCs w:val="44"/>
          <w:highlight w:val="none"/>
        </w:rPr>
      </w:pPr>
    </w:p>
    <w:p w14:paraId="5BA0D63D">
      <w:pPr>
        <w:jc w:val="center"/>
        <w:rPr>
          <w:rFonts w:hint="eastAsia"/>
          <w:b/>
          <w:color w:val="auto"/>
          <w:sz w:val="44"/>
          <w:szCs w:val="44"/>
          <w:highlight w:val="none"/>
        </w:rPr>
      </w:pPr>
      <w:r>
        <w:rPr>
          <w:rFonts w:hint="eastAsia"/>
          <w:b/>
          <w:color w:val="auto"/>
          <w:sz w:val="36"/>
          <w:szCs w:val="36"/>
          <w:highlight w:val="none"/>
        </w:rPr>
        <w:t>目   录</w:t>
      </w:r>
    </w:p>
    <w:p w14:paraId="0904FEAC">
      <w:pPr>
        <w:spacing w:line="500" w:lineRule="exact"/>
        <w:jc w:val="left"/>
        <w:rPr>
          <w:rFonts w:hint="eastAsia" w:ascii="宋体"/>
          <w:color w:val="auto"/>
          <w:szCs w:val="21"/>
          <w:highlight w:val="none"/>
        </w:rPr>
      </w:pPr>
      <w:r>
        <w:rPr>
          <w:rFonts w:hint="eastAsia" w:ascii="宋体"/>
          <w:color w:val="auto"/>
          <w:szCs w:val="21"/>
          <w:highlight w:val="none"/>
        </w:rPr>
        <w:t xml:space="preserve">                                                                                                                                                                                                                                                                                                                                                                                                                                                                                                                                                                                                                                                                                                                                                                                                                                                                                                                                                                                                                                                                                                                                                                                                                                                                                                                                                                                                                                                                                                                                                                                                                                                                                       </w:t>
      </w:r>
    </w:p>
    <w:p w14:paraId="14FF7D96">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 xml:space="preserve">（1）法定代表人身份证明及其有效身份证复印件（或法定代表人授权委托书及其有效身份证复印件）（格式见附件）；                                                                                                                                                                                                                                                                                                                                                                                                                                                                                                                                                                                                                                                                                                                                                                                                                                                                                                                                                                                                                                                                                                                                                                                                                                                                                                                                                                                                                                                                                                                                                                                                                                                                                        </w:t>
      </w:r>
    </w:p>
    <w:p w14:paraId="5C9EF272">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（2）投标人有效的营业执照（或三证合一的有效证件）；</w:t>
      </w:r>
    </w:p>
    <w:p w14:paraId="2E2ED654">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（3）诚信投标承诺书（格式见附件）；</w:t>
      </w:r>
    </w:p>
    <w:p w14:paraId="2762BD6C">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（4）项目负责人有效身份证及证书；</w:t>
      </w:r>
    </w:p>
    <w:p w14:paraId="1FAB27B4">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5）投标人的法定代表人(或委托代理人)及拟任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3BAE97B">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（6）开标一览表（格式见附件）；</w:t>
      </w:r>
    </w:p>
    <w:p w14:paraId="0CC844CF">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（7）投标函（格式见附件）；</w:t>
      </w:r>
    </w:p>
    <w:p w14:paraId="4D675F0D">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（8）投标人认为需要提供的其他证明材料。</w:t>
      </w:r>
    </w:p>
    <w:p w14:paraId="52371B11">
      <w:pPr>
        <w:spacing w:line="500" w:lineRule="exact"/>
        <w:ind w:firstLine="420" w:firstLineChars="200"/>
        <w:jc w:val="left"/>
        <w:rPr>
          <w:rFonts w:hint="eastAsia" w:ascii="宋体" w:hAnsi="Times New Roman" w:eastAsia="宋体" w:cs="Times New Roman"/>
          <w:color w:val="auto"/>
          <w:szCs w:val="21"/>
          <w:highlight w:val="none"/>
        </w:rPr>
      </w:pPr>
    </w:p>
    <w:p w14:paraId="1FD75D18">
      <w:pPr>
        <w:spacing w:line="400" w:lineRule="exact"/>
        <w:ind w:firstLine="562" w:firstLineChars="200"/>
        <w:rPr>
          <w:rFonts w:hint="eastAsia"/>
          <w:b/>
          <w:color w:val="auto"/>
          <w:sz w:val="28"/>
          <w:szCs w:val="28"/>
          <w:highlight w:val="none"/>
        </w:rPr>
      </w:pPr>
    </w:p>
    <w:p w14:paraId="370B4C1A">
      <w:pPr>
        <w:spacing w:line="400" w:lineRule="exact"/>
        <w:ind w:firstLine="562" w:firstLineChars="200"/>
        <w:rPr>
          <w:rFonts w:hint="eastAsia"/>
          <w:b/>
          <w:color w:val="auto"/>
          <w:sz w:val="28"/>
          <w:szCs w:val="28"/>
          <w:highlight w:val="none"/>
        </w:rPr>
      </w:pPr>
    </w:p>
    <w:p w14:paraId="09E594E0">
      <w:pPr>
        <w:spacing w:line="400" w:lineRule="exact"/>
        <w:ind w:firstLine="562" w:firstLineChars="200"/>
        <w:rPr>
          <w:rFonts w:hint="eastAsia"/>
          <w:b/>
          <w:color w:val="auto"/>
          <w:sz w:val="28"/>
          <w:szCs w:val="28"/>
          <w:highlight w:val="none"/>
        </w:rPr>
      </w:pPr>
    </w:p>
    <w:p w14:paraId="235911AE">
      <w:pPr>
        <w:spacing w:line="400" w:lineRule="exact"/>
        <w:ind w:firstLine="562" w:firstLineChars="200"/>
        <w:rPr>
          <w:rFonts w:hint="eastAsia"/>
          <w:b/>
          <w:color w:val="auto"/>
          <w:sz w:val="28"/>
          <w:szCs w:val="28"/>
          <w:highlight w:val="none"/>
        </w:rPr>
      </w:pPr>
    </w:p>
    <w:p w14:paraId="52FD35E4">
      <w:pPr>
        <w:spacing w:line="400" w:lineRule="exact"/>
        <w:ind w:firstLine="562" w:firstLineChars="200"/>
        <w:rPr>
          <w:rFonts w:hint="eastAsia"/>
          <w:b/>
          <w:color w:val="auto"/>
          <w:sz w:val="28"/>
          <w:szCs w:val="28"/>
          <w:highlight w:val="none"/>
        </w:rPr>
      </w:pPr>
    </w:p>
    <w:p w14:paraId="3743E6E4">
      <w:pPr>
        <w:spacing w:line="400" w:lineRule="exact"/>
        <w:rPr>
          <w:b/>
          <w:color w:val="auto"/>
          <w:sz w:val="28"/>
          <w:szCs w:val="28"/>
          <w:highlight w:val="none"/>
        </w:rPr>
        <w:sectPr>
          <w:headerReference r:id="rId8" w:type="default"/>
          <w:footerReference r:id="rId9" w:type="default"/>
          <w:pgSz w:w="11906" w:h="16838"/>
          <w:pgMar w:top="1587" w:right="1587" w:bottom="1587" w:left="1587" w:header="851" w:footer="992" w:gutter="0"/>
          <w:pgNumType w:fmt="decimal" w:start="1"/>
          <w:cols w:space="720" w:num="1"/>
          <w:rtlGutter w:val="0"/>
          <w:docGrid w:type="lines" w:linePitch="312" w:charSpace="0"/>
        </w:sectPr>
      </w:pPr>
    </w:p>
    <w:p w14:paraId="54D8C531">
      <w:pPr>
        <w:spacing w:line="360" w:lineRule="auto"/>
        <w:rPr>
          <w:rFonts w:hint="eastAsia"/>
          <w:b/>
          <w:color w:val="auto"/>
          <w:sz w:val="28"/>
          <w:szCs w:val="28"/>
          <w:highlight w:val="none"/>
        </w:rPr>
      </w:pPr>
      <w:r>
        <w:rPr>
          <w:rFonts w:hint="eastAsia"/>
          <w:b/>
          <w:color w:val="auto"/>
          <w:sz w:val="28"/>
          <w:szCs w:val="28"/>
          <w:highlight w:val="none"/>
        </w:rPr>
        <w:t>附件1</w:t>
      </w:r>
    </w:p>
    <w:p w14:paraId="75A7925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BD2D961">
      <w:pPr>
        <w:pStyle w:val="122"/>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C30061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B957D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9704F6A">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2C9C77A">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C4A4A1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3E13C5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03334F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名称）的法定代表人。</w:t>
      </w:r>
    </w:p>
    <w:p w14:paraId="7226A7A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30822F62">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69EF04F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08FBE61">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99F2BF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eastAsia="zh-CN"/>
        </w:rPr>
        <w:t>招标文件</w:t>
      </w:r>
      <w:r>
        <w:rPr>
          <w:rFonts w:hint="eastAsia" w:ascii="宋体"/>
          <w:color w:val="auto"/>
          <w:sz w:val="24"/>
          <w:highlight w:val="none"/>
        </w:rPr>
        <w:t>，全权处理与该项目投标、评审答疑、签订合同以及与合同执行有关的一切事务，其法律后果由我方承担。</w:t>
      </w:r>
    </w:p>
    <w:p w14:paraId="0BB52CC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2EDFF50E">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B9B118F">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9DE40A7">
      <w:pPr>
        <w:spacing w:line="48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 xml:space="preserve">：             </w:t>
      </w:r>
      <w:r>
        <w:rPr>
          <w:rFonts w:hint="eastAsia" w:ascii="宋体"/>
          <w:color w:val="auto"/>
          <w:sz w:val="28"/>
          <w:szCs w:val="28"/>
          <w:highlight w:val="none"/>
        </w:rPr>
        <w:t>（盖单位章）</w:t>
      </w:r>
    </w:p>
    <w:p w14:paraId="0D96B49B">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1AA7BBB">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7680D3B">
      <w:pPr>
        <w:spacing w:line="360" w:lineRule="exact"/>
        <w:rPr>
          <w:rFonts w:hint="eastAsia"/>
          <w:b/>
          <w:color w:val="auto"/>
          <w:sz w:val="28"/>
          <w:szCs w:val="28"/>
          <w:highlight w:val="none"/>
          <w:u w:val="single"/>
        </w:rPr>
      </w:pPr>
    </w:p>
    <w:p w14:paraId="48477964">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2890D0AE">
      <w:pPr>
        <w:spacing w:line="360" w:lineRule="auto"/>
        <w:jc w:val="center"/>
        <w:rPr>
          <w:rFonts w:hint="eastAsia"/>
          <w:b/>
          <w:color w:val="auto"/>
          <w:sz w:val="28"/>
          <w:szCs w:val="28"/>
          <w:highlight w:val="none"/>
        </w:rPr>
      </w:pPr>
      <w:bookmarkStart w:id="66" w:name="_Toc440443268"/>
      <w:bookmarkStart w:id="67" w:name="_Toc449028950"/>
      <w:r>
        <w:rPr>
          <w:rFonts w:hint="eastAsia"/>
          <w:b/>
          <w:color w:val="auto"/>
          <w:sz w:val="28"/>
          <w:szCs w:val="28"/>
          <w:highlight w:val="none"/>
        </w:rPr>
        <w:t>诚信投标承诺书 </w:t>
      </w:r>
    </w:p>
    <w:p w14:paraId="5FC4BD4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688C4AD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909890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D16BFB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w:t>
      </w:r>
      <w:r>
        <w:rPr>
          <w:rFonts w:hint="eastAsia" w:ascii="宋体" w:hAnsi="宋体"/>
          <w:color w:val="auto"/>
          <w:szCs w:val="21"/>
          <w:highlight w:val="none"/>
          <w:lang w:eastAsia="zh-CN"/>
        </w:rPr>
        <w:t>投标人</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投标人</w:t>
      </w:r>
      <w:r>
        <w:rPr>
          <w:rFonts w:hint="eastAsia" w:ascii="宋体" w:hAnsi="宋体"/>
          <w:color w:val="auto"/>
          <w:szCs w:val="21"/>
          <w:highlight w:val="none"/>
        </w:rPr>
        <w:t>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2C415BD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投标人</w:t>
      </w:r>
      <w:r>
        <w:rPr>
          <w:rFonts w:hint="eastAsia" w:ascii="宋体" w:hAnsi="宋体"/>
          <w:color w:val="auto"/>
          <w:szCs w:val="21"/>
          <w:highlight w:val="none"/>
        </w:rPr>
        <w:t>串通投标，损害国家利益、社会公共利益或者他人的合法权益；</w:t>
      </w:r>
    </w:p>
    <w:p w14:paraId="4D5AF97F">
      <w:pPr>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六、我公司没有下列情形：</w:t>
      </w:r>
      <w:bookmarkStart w:id="68" w:name="OLE_LINK133"/>
      <w:bookmarkStart w:id="69"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68"/>
      <w:bookmarkEnd w:id="69"/>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r>
        <w:rPr>
          <w:rFonts w:hint="eastAsia" w:ascii="宋体" w:hAnsi="宋体"/>
          <w:color w:val="auto"/>
          <w:szCs w:val="21"/>
          <w:highlight w:val="none"/>
          <w:lang w:eastAsia="zh-CN"/>
        </w:rPr>
        <w:t>。</w:t>
      </w:r>
    </w:p>
    <w:p w14:paraId="51F973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14C5211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6399FC2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w:t>
      </w:r>
      <w:r>
        <w:rPr>
          <w:rFonts w:hint="eastAsia" w:ascii="宋体" w:hAnsi="宋体"/>
          <w:color w:val="auto"/>
          <w:szCs w:val="21"/>
          <w:highlight w:val="none"/>
          <w:lang w:eastAsia="zh-CN"/>
        </w:rPr>
        <w:t>招标文件</w:t>
      </w:r>
      <w:r>
        <w:rPr>
          <w:rFonts w:hint="eastAsia" w:ascii="宋体" w:hAnsi="宋体"/>
          <w:color w:val="auto"/>
          <w:szCs w:val="21"/>
          <w:highlight w:val="none"/>
        </w:rPr>
        <w:t>要求提供相关后续服务；</w:t>
      </w:r>
    </w:p>
    <w:p w14:paraId="3199B03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D8DEA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460CCEF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106D042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62BE0A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0F8B5443">
      <w:pPr>
        <w:spacing w:line="500" w:lineRule="exact"/>
        <w:ind w:firstLine="420" w:firstLineChars="200"/>
        <w:rPr>
          <w:rFonts w:hint="eastAsia" w:ascii="宋体" w:hAnsi="宋体"/>
          <w:color w:val="auto"/>
          <w:szCs w:val="21"/>
          <w:highlight w:val="none"/>
        </w:rPr>
      </w:pPr>
    </w:p>
    <w:p w14:paraId="26CD09F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34B614">
      <w:pPr>
        <w:spacing w:line="360" w:lineRule="auto"/>
        <w:jc w:val="center"/>
        <w:rPr>
          <w:rFonts w:hint="eastAsia"/>
          <w:b/>
          <w:color w:val="auto"/>
          <w:sz w:val="28"/>
          <w:szCs w:val="28"/>
          <w:highlight w:val="none"/>
        </w:rPr>
      </w:pPr>
    </w:p>
    <w:p w14:paraId="4208B35F">
      <w:pPr>
        <w:spacing w:line="360" w:lineRule="exact"/>
        <w:ind w:firstLine="443" w:firstLineChars="147"/>
        <w:rPr>
          <w:rFonts w:hint="eastAsia" w:ascii="宋体"/>
          <w:b/>
          <w:color w:val="auto"/>
          <w:sz w:val="30"/>
          <w:szCs w:val="30"/>
          <w:highlight w:val="none"/>
        </w:rPr>
      </w:pPr>
    </w:p>
    <w:p w14:paraId="60E30D5F">
      <w:pPr>
        <w:spacing w:line="360" w:lineRule="exact"/>
        <w:ind w:firstLine="443" w:firstLineChars="147"/>
        <w:rPr>
          <w:rFonts w:hint="eastAsia" w:ascii="宋体"/>
          <w:b/>
          <w:color w:val="auto"/>
          <w:sz w:val="30"/>
          <w:szCs w:val="30"/>
          <w:highlight w:val="none"/>
        </w:rPr>
      </w:pPr>
    </w:p>
    <w:p w14:paraId="4BCC4F46">
      <w:pPr>
        <w:spacing w:line="360" w:lineRule="exact"/>
        <w:ind w:firstLine="443" w:firstLineChars="147"/>
        <w:rPr>
          <w:rFonts w:hint="eastAsia" w:ascii="宋体"/>
          <w:b/>
          <w:color w:val="auto"/>
          <w:sz w:val="30"/>
          <w:szCs w:val="30"/>
          <w:highlight w:val="none"/>
        </w:rPr>
      </w:pPr>
    </w:p>
    <w:p w14:paraId="14FC7AE2">
      <w:pPr>
        <w:spacing w:line="360" w:lineRule="exact"/>
        <w:ind w:firstLine="443" w:firstLineChars="147"/>
        <w:rPr>
          <w:rFonts w:hint="eastAsia" w:ascii="宋体"/>
          <w:b/>
          <w:color w:val="auto"/>
          <w:sz w:val="30"/>
          <w:szCs w:val="30"/>
          <w:highlight w:val="none"/>
        </w:rPr>
      </w:pPr>
    </w:p>
    <w:p w14:paraId="12A30DB5">
      <w:pPr>
        <w:spacing w:line="360" w:lineRule="exact"/>
        <w:ind w:firstLine="443" w:firstLineChars="147"/>
        <w:rPr>
          <w:rFonts w:hint="eastAsia" w:ascii="宋体"/>
          <w:b/>
          <w:color w:val="auto"/>
          <w:sz w:val="30"/>
          <w:szCs w:val="30"/>
          <w:highlight w:val="none"/>
        </w:rPr>
      </w:pPr>
    </w:p>
    <w:p w14:paraId="201191B9">
      <w:pPr>
        <w:spacing w:line="360" w:lineRule="exact"/>
        <w:ind w:firstLine="443" w:firstLineChars="147"/>
        <w:rPr>
          <w:rFonts w:hint="eastAsia" w:ascii="宋体"/>
          <w:b/>
          <w:color w:val="auto"/>
          <w:sz w:val="30"/>
          <w:szCs w:val="30"/>
          <w:highlight w:val="none"/>
        </w:rPr>
      </w:pPr>
    </w:p>
    <w:p w14:paraId="660D4055">
      <w:pPr>
        <w:spacing w:line="360" w:lineRule="exact"/>
        <w:ind w:firstLine="443" w:firstLineChars="147"/>
        <w:rPr>
          <w:rFonts w:hint="eastAsia" w:ascii="宋体"/>
          <w:b/>
          <w:color w:val="auto"/>
          <w:sz w:val="30"/>
          <w:szCs w:val="30"/>
          <w:highlight w:val="none"/>
        </w:rPr>
      </w:pPr>
    </w:p>
    <w:p w14:paraId="21399F2E">
      <w:pPr>
        <w:spacing w:line="360" w:lineRule="exact"/>
        <w:ind w:firstLine="443" w:firstLineChars="147"/>
        <w:rPr>
          <w:rFonts w:hint="eastAsia" w:ascii="宋体"/>
          <w:b/>
          <w:color w:val="auto"/>
          <w:sz w:val="30"/>
          <w:szCs w:val="30"/>
          <w:highlight w:val="none"/>
        </w:rPr>
      </w:pPr>
    </w:p>
    <w:bookmarkEnd w:id="66"/>
    <w:bookmarkEnd w:id="67"/>
    <w:p w14:paraId="53E03863">
      <w:pPr>
        <w:rPr>
          <w:rFonts w:hint="eastAsia" w:ascii="宋体" w:hAnsi="Times New Roman" w:eastAsia="宋体" w:cs="Times New Roman"/>
          <w:color w:val="auto"/>
          <w:szCs w:val="21"/>
          <w:highlight w:val="none"/>
        </w:rPr>
      </w:pPr>
    </w:p>
    <w:p w14:paraId="715818E3">
      <w:pPr>
        <w:spacing w:line="400" w:lineRule="exact"/>
        <w:rPr>
          <w:b/>
          <w:color w:val="auto"/>
          <w:sz w:val="28"/>
          <w:szCs w:val="28"/>
          <w:highlight w:val="none"/>
        </w:rPr>
        <w:sectPr>
          <w:pgSz w:w="11906" w:h="16838"/>
          <w:pgMar w:top="1587" w:right="1587" w:bottom="1587" w:left="1587" w:header="851" w:footer="992" w:gutter="0"/>
          <w:pgNumType w:fmt="decimal"/>
          <w:cols w:space="0" w:num="1"/>
          <w:rtlGutter w:val="0"/>
          <w:docGrid w:type="lines" w:linePitch="312" w:charSpace="0"/>
        </w:sectPr>
      </w:pPr>
    </w:p>
    <w:p w14:paraId="0EF4585B">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6963941F">
      <w:pPr>
        <w:spacing w:line="360" w:lineRule="exact"/>
        <w:ind w:firstLine="472" w:firstLineChars="147"/>
        <w:jc w:val="center"/>
        <w:rPr>
          <w:rFonts w:hint="eastAsia" w:ascii="宋体"/>
          <w:b/>
          <w:color w:val="auto"/>
          <w:sz w:val="32"/>
          <w:szCs w:val="32"/>
          <w:highlight w:val="none"/>
        </w:rPr>
      </w:pPr>
    </w:p>
    <w:p w14:paraId="3FBB7EB2">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60D0434E">
      <w:pPr>
        <w:spacing w:line="360" w:lineRule="exact"/>
        <w:ind w:firstLine="354" w:firstLineChars="147"/>
        <w:rPr>
          <w:rFonts w:hint="eastAsia" w:ascii="宋体"/>
          <w:b/>
          <w:color w:val="auto"/>
          <w:sz w:val="24"/>
          <w:highlight w:val="none"/>
        </w:rPr>
      </w:pPr>
    </w:p>
    <w:p w14:paraId="5A0BF5CB">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w:t>
      </w:r>
      <w:r>
        <w:rPr>
          <w:rFonts w:hint="eastAsia" w:ascii="宋体"/>
          <w:color w:val="auto"/>
          <w:sz w:val="24"/>
          <w:highlight w:val="none"/>
          <w:lang w:eastAsia="zh-CN"/>
        </w:rPr>
        <w:t>招标文件</w:t>
      </w:r>
      <w:r>
        <w:rPr>
          <w:rFonts w:hint="eastAsia" w:ascii="宋体"/>
          <w:color w:val="auto"/>
          <w:sz w:val="24"/>
          <w:highlight w:val="none"/>
        </w:rPr>
        <w:t>，唱标时，以</w:t>
      </w:r>
      <w:r>
        <w:rPr>
          <w:rFonts w:hint="eastAsia" w:ascii="宋体"/>
          <w:color w:val="auto"/>
          <w:sz w:val="24"/>
          <w:highlight w:val="none"/>
          <w:lang w:eastAsia="zh-CN"/>
        </w:rPr>
        <w:t>招标文件</w:t>
      </w:r>
      <w:r>
        <w:rPr>
          <w:rFonts w:hint="eastAsia" w:ascii="宋体"/>
          <w:color w:val="auto"/>
          <w:sz w:val="24"/>
          <w:highlight w:val="none"/>
        </w:rPr>
        <w:t>中的开标一览表进行唱标）</w:t>
      </w:r>
    </w:p>
    <w:p w14:paraId="112BB3D3">
      <w:pPr>
        <w:snapToGrid w:val="0"/>
        <w:spacing w:line="460" w:lineRule="exact"/>
        <w:ind w:left="2940" w:leftChars="1400" w:firstLine="720" w:firstLineChars="300"/>
        <w:rPr>
          <w:rFonts w:hint="eastAsia" w:ascii="宋体"/>
          <w:color w:val="auto"/>
          <w:sz w:val="24"/>
          <w:highlight w:val="none"/>
        </w:rPr>
      </w:pP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E5E0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56C5C982">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C3DC6DB">
            <w:pPr>
              <w:spacing w:line="360" w:lineRule="auto"/>
              <w:jc w:val="left"/>
              <w:rPr>
                <w:rFonts w:hint="eastAsia"/>
                <w:color w:val="auto"/>
                <w:sz w:val="24"/>
                <w:highlight w:val="none"/>
              </w:rPr>
            </w:pPr>
            <w:r>
              <w:rPr>
                <w:rFonts w:hint="eastAsia"/>
                <w:color w:val="auto"/>
                <w:sz w:val="24"/>
                <w:highlight w:val="none"/>
              </w:rPr>
              <w:t xml:space="preserve">         </w:t>
            </w:r>
          </w:p>
        </w:tc>
      </w:tr>
      <w:tr w14:paraId="2B07C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5DC89DD8">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FFA190D">
            <w:pPr>
              <w:rPr>
                <w:rFonts w:hint="eastAsia" w:ascii="宋体" w:eastAsia="宋体"/>
                <w:color w:val="auto"/>
                <w:sz w:val="24"/>
                <w:highlight w:val="none"/>
                <w:lang w:val="en-US" w:eastAsia="zh-CN"/>
              </w:rPr>
            </w:pPr>
            <w:r>
              <w:rPr>
                <w:rFonts w:hint="eastAsia" w:ascii="宋体"/>
                <w:color w:val="auto"/>
                <w:sz w:val="24"/>
                <w:highlight w:val="none"/>
                <w:lang w:val="en-US" w:eastAsia="zh-CN"/>
              </w:rPr>
              <w:t xml:space="preserve"> </w:t>
            </w:r>
          </w:p>
        </w:tc>
      </w:tr>
      <w:tr w14:paraId="491B9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60B09C0D">
            <w:pPr>
              <w:spacing w:line="460" w:lineRule="exact"/>
              <w:ind w:firstLine="120" w:firstLineChars="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p>
        </w:tc>
        <w:tc>
          <w:tcPr>
            <w:tcW w:w="6952" w:type="dxa"/>
            <w:tcBorders>
              <w:left w:val="single" w:color="auto" w:sz="12" w:space="0"/>
            </w:tcBorders>
            <w:noWrap w:val="0"/>
            <w:vAlign w:val="top"/>
          </w:tcPr>
          <w:p w14:paraId="7C004709">
            <w:pPr>
              <w:pStyle w:val="18"/>
              <w:spacing w:line="460" w:lineRule="exact"/>
              <w:ind w:left="86" w:leftChars="41"/>
              <w:rPr>
                <w:rFonts w:hint="eastAsia" w:ascii="宋体" w:eastAsia="宋体"/>
                <w:color w:val="auto"/>
                <w:sz w:val="24"/>
                <w:szCs w:val="24"/>
                <w:highlight w:val="none"/>
              </w:rPr>
            </w:pPr>
          </w:p>
        </w:tc>
      </w:tr>
      <w:tr w14:paraId="0AB4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6B970750">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73CCA11F">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w:t>
            </w:r>
          </w:p>
          <w:p w14:paraId="37D47D48">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元</w:t>
            </w:r>
            <w:r>
              <w:rPr>
                <w:rFonts w:hint="eastAsia" w:ascii="宋体"/>
                <w:color w:val="auto"/>
                <w:sz w:val="24"/>
                <w:highlight w:val="none"/>
                <w:u w:val="single"/>
              </w:rPr>
              <w:t xml:space="preserve"> </w:t>
            </w:r>
            <w:r>
              <w:rPr>
                <w:rFonts w:hint="eastAsia" w:ascii="宋体"/>
                <w:color w:val="auto"/>
                <w:sz w:val="24"/>
                <w:highlight w:val="none"/>
              </w:rPr>
              <w:t>；</w:t>
            </w:r>
          </w:p>
          <w:p w14:paraId="4261A588">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lang w:val="en-US" w:eastAsia="zh-CN"/>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color w:val="auto"/>
                <w:sz w:val="24"/>
                <w:highlight w:val="none"/>
                <w:lang w:val="en-US" w:eastAsia="zh-CN"/>
              </w:rPr>
              <w:t>响应招标文件要求。</w:t>
            </w:r>
          </w:p>
          <w:p w14:paraId="469684A3">
            <w:pPr>
              <w:pStyle w:val="22"/>
              <w:rPr>
                <w:rFonts w:hint="default" w:ascii="宋体"/>
                <w:color w:val="auto"/>
                <w:sz w:val="24"/>
                <w:highlight w:val="none"/>
                <w:lang w:val="en-US" w:eastAsia="zh-CN"/>
              </w:rPr>
            </w:pPr>
          </w:p>
        </w:tc>
      </w:tr>
    </w:tbl>
    <w:p w14:paraId="41456AF2">
      <w:pPr>
        <w:snapToGrid w:val="0"/>
        <w:spacing w:line="460" w:lineRule="exact"/>
        <w:ind w:left="2940" w:leftChars="1400" w:firstLine="723" w:firstLineChars="300"/>
        <w:rPr>
          <w:rFonts w:hint="eastAsia" w:ascii="宋体"/>
          <w:b/>
          <w:color w:val="auto"/>
          <w:sz w:val="24"/>
          <w:highlight w:val="none"/>
        </w:rPr>
      </w:pPr>
    </w:p>
    <w:p w14:paraId="73BA66C1">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（盖单位章）：</w:t>
      </w:r>
    </w:p>
    <w:p w14:paraId="4AA1D79D">
      <w:pPr>
        <w:snapToGrid w:val="0"/>
        <w:spacing w:before="312" w:beforeLines="100" w:after="312" w:afterLines="100" w:line="360" w:lineRule="auto"/>
        <w:jc w:val="center"/>
        <w:rPr>
          <w:rFonts w:cs="Arial"/>
          <w:b/>
          <w:bCs/>
          <w:color w:val="auto"/>
          <w:sz w:val="30"/>
          <w:szCs w:val="30"/>
          <w:highlight w:val="none"/>
        </w:rPr>
        <w:sectPr>
          <w:pgSz w:w="11906" w:h="16838"/>
          <w:pgMar w:top="1587" w:right="1587" w:bottom="1587" w:left="1587" w:header="851" w:footer="992" w:gutter="0"/>
          <w:pgNumType w:fmt="decimal"/>
          <w:cols w:space="720" w:num="1"/>
          <w:rtlGutter w:val="0"/>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06A2C081">
      <w:pPr>
        <w:spacing w:line="360" w:lineRule="exact"/>
        <w:ind w:firstLine="443" w:firstLineChars="147"/>
        <w:rPr>
          <w:rFonts w:hint="eastAsia" w:ascii="宋体"/>
          <w:b/>
          <w:color w:val="auto"/>
          <w:sz w:val="30"/>
          <w:szCs w:val="30"/>
          <w:highlight w:val="none"/>
        </w:rPr>
      </w:pPr>
    </w:p>
    <w:p w14:paraId="5E858282">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3353D38">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13B03063">
      <w:pPr>
        <w:spacing w:line="440" w:lineRule="exact"/>
        <w:rPr>
          <w:rFonts w:hint="eastAsia" w:ascii="宋体"/>
          <w:color w:val="auto"/>
          <w:sz w:val="24"/>
          <w:highlight w:val="none"/>
        </w:rPr>
      </w:pPr>
    </w:p>
    <w:p w14:paraId="7DB4BBAC">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的名称）全权处理本项目投标的有关事宜。</w:t>
      </w:r>
    </w:p>
    <w:p w14:paraId="0E4FC9E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（项目编号）”项目的货物与服务，总投标价为人民币（大写）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小写）                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p w14:paraId="7F4AEFF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068B894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767BD7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rPr>
        <w:t>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B196070">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lang w:val="en-US" w:eastAsia="zh-CN"/>
        </w:rPr>
        <w:t>.</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w:t>
      </w:r>
      <w:r>
        <w:rPr>
          <w:rFonts w:hint="eastAsia" w:ascii="宋体"/>
          <w:color w:val="auto"/>
          <w:sz w:val="24"/>
          <w:highlight w:val="none"/>
          <w:lang w:eastAsia="zh-CN"/>
        </w:rPr>
        <w:t>投标人</w:t>
      </w:r>
      <w:r>
        <w:rPr>
          <w:rFonts w:hint="eastAsia" w:ascii="宋体"/>
          <w:color w:val="auto"/>
          <w:sz w:val="24"/>
          <w:highlight w:val="none"/>
        </w:rPr>
        <w:t>愿意承担一切法律后果。</w:t>
      </w:r>
    </w:p>
    <w:p w14:paraId="3534B0DE">
      <w:pPr>
        <w:spacing w:line="440" w:lineRule="exact"/>
        <w:rPr>
          <w:rFonts w:hint="eastAsia" w:ascii="宋体"/>
          <w:color w:val="auto"/>
          <w:sz w:val="24"/>
          <w:highlight w:val="none"/>
        </w:rPr>
      </w:pPr>
      <w:r>
        <w:rPr>
          <w:rFonts w:hint="eastAsia" w:ascii="宋体"/>
          <w:color w:val="auto"/>
          <w:sz w:val="24"/>
          <w:highlight w:val="none"/>
        </w:rPr>
        <w:t> </w:t>
      </w:r>
    </w:p>
    <w:p w14:paraId="73911EDE">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（盖单位章）</w:t>
      </w:r>
    </w:p>
    <w:p w14:paraId="2EE797F5">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687FB852">
      <w:pPr>
        <w:spacing w:line="440" w:lineRule="exact"/>
        <w:ind w:firstLine="3720" w:firstLineChars="15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0C9FE22">
      <w:pPr>
        <w:spacing w:line="440" w:lineRule="exact"/>
        <w:ind w:firstLine="3720" w:firstLineChars="1550"/>
        <w:rPr>
          <w:rFonts w:hint="eastAsia" w:ascii="宋体"/>
          <w:b/>
          <w:color w:val="auto"/>
          <w:sz w:val="28"/>
          <w:szCs w:val="28"/>
          <w:highlight w:val="none"/>
        </w:rPr>
        <w:sectPr>
          <w:pgSz w:w="11906" w:h="16838"/>
          <w:pgMar w:top="1587" w:right="1587" w:bottom="1587" w:left="1587" w:header="680" w:footer="680" w:gutter="0"/>
          <w:pgNumType w:fmt="decimal"/>
          <w:cols w:space="0" w:num="1"/>
          <w:rtlGutter w:val="0"/>
          <w:docGrid w:type="lines" w:linePitch="316" w:charSpace="0"/>
        </w:sect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bookmarkEnd w:id="63"/>
    <w:bookmarkEnd w:id="64"/>
    <w:p w14:paraId="5B2F503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bookmarkStart w:id="70" w:name="_Toc58430333"/>
      <w:bookmarkStart w:id="71" w:name="_Toc449028957"/>
      <w:r>
        <w:rPr>
          <w:rFonts w:hint="eastAsia" w:ascii="宋体" w:hAnsi="Times New Roman" w:eastAsia="宋体" w:cs="Times New Roman"/>
          <w:b/>
          <w:color w:val="auto"/>
          <w:sz w:val="32"/>
          <w:szCs w:val="32"/>
          <w:highlight w:val="none"/>
          <w:lang w:val="en-US" w:eastAsia="zh-CN"/>
        </w:rPr>
        <w:t>招标人</w:t>
      </w:r>
      <w:r>
        <w:rPr>
          <w:rFonts w:hint="eastAsia" w:ascii="宋体" w:hAnsi="Times New Roman" w:eastAsia="宋体" w:cs="Times New Roman"/>
          <w:b/>
          <w:color w:val="auto"/>
          <w:sz w:val="32"/>
          <w:szCs w:val="32"/>
          <w:highlight w:val="none"/>
        </w:rPr>
        <w:t>、</w:t>
      </w:r>
      <w:r>
        <w:rPr>
          <w:rFonts w:hint="eastAsia" w:ascii="宋体" w:hAnsi="Times New Roman" w:eastAsia="宋体" w:cs="Times New Roman"/>
          <w:b/>
          <w:color w:val="auto"/>
          <w:sz w:val="32"/>
          <w:szCs w:val="32"/>
          <w:highlight w:val="none"/>
          <w:lang w:val="en-US" w:eastAsia="zh-CN"/>
        </w:rPr>
        <w:t>招标</w:t>
      </w:r>
      <w:r>
        <w:rPr>
          <w:rFonts w:hint="eastAsia" w:ascii="宋体" w:hAnsi="Times New Roman" w:eastAsia="宋体" w:cs="Times New Roman"/>
          <w:b/>
          <w:color w:val="auto"/>
          <w:sz w:val="32"/>
          <w:szCs w:val="32"/>
          <w:highlight w:val="none"/>
        </w:rPr>
        <w:t>代理机构对本</w:t>
      </w:r>
      <w:r>
        <w:rPr>
          <w:rFonts w:hint="eastAsia" w:ascii="宋体" w:hAnsi="Times New Roman" w:eastAsia="宋体" w:cs="Times New Roman"/>
          <w:b/>
          <w:color w:val="auto"/>
          <w:sz w:val="32"/>
          <w:szCs w:val="32"/>
          <w:highlight w:val="none"/>
          <w:lang w:val="en-US" w:eastAsia="zh-CN"/>
        </w:rPr>
        <w:t>招标文件</w:t>
      </w:r>
      <w:r>
        <w:rPr>
          <w:rFonts w:hint="eastAsia" w:ascii="宋体" w:hAnsi="Times New Roman" w:eastAsia="宋体" w:cs="Times New Roman"/>
          <w:b/>
          <w:color w:val="auto"/>
          <w:sz w:val="32"/>
          <w:szCs w:val="32"/>
          <w:highlight w:val="none"/>
        </w:rPr>
        <w:t>的确认</w:t>
      </w:r>
      <w:bookmarkEnd w:id="70"/>
      <w:bookmarkEnd w:id="71"/>
    </w:p>
    <w:p w14:paraId="5027823C">
      <w:pPr>
        <w:spacing w:line="440" w:lineRule="exact"/>
        <w:rPr>
          <w:rFonts w:hint="eastAsia" w:ascii="宋体"/>
          <w:color w:val="auto"/>
          <w:sz w:val="24"/>
          <w:highlight w:val="none"/>
          <w:u w:val="single"/>
        </w:rPr>
      </w:pPr>
    </w:p>
    <w:tbl>
      <w:tblPr>
        <w:tblStyle w:val="36"/>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0497CDC">
            <w:pPr>
              <w:spacing w:line="440" w:lineRule="exact"/>
              <w:ind w:firstLine="560" w:firstLineChars="200"/>
              <w:rPr>
                <w:rFonts w:hint="eastAsia" w:ascii="宋体" w:cs="宋体"/>
                <w:color w:val="auto"/>
                <w:sz w:val="28"/>
                <w:szCs w:val="28"/>
                <w:highlight w:val="none"/>
              </w:rPr>
            </w:pPr>
          </w:p>
          <w:p w14:paraId="1A304B5C">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中新大道（福州路-经三路）下穿S22天天高速滁马段安全技术评价报告编制咨询服务项目 </w:t>
            </w:r>
            <w:r>
              <w:rPr>
                <w:rFonts w:hint="eastAsia" w:ascii="宋体" w:cs="宋体"/>
                <w:color w:val="auto"/>
                <w:sz w:val="28"/>
                <w:szCs w:val="28"/>
                <w:highlight w:val="none"/>
              </w:rPr>
              <w:t>的</w:t>
            </w:r>
            <w:r>
              <w:rPr>
                <w:rFonts w:hint="eastAsia" w:ascii="宋体" w:cs="宋体"/>
                <w:color w:val="auto"/>
                <w:sz w:val="28"/>
                <w:szCs w:val="28"/>
                <w:highlight w:val="none"/>
                <w:lang w:eastAsia="zh-CN"/>
              </w:rPr>
              <w:t>招标文件</w:t>
            </w:r>
            <w:r>
              <w:rPr>
                <w:rFonts w:hint="eastAsia" w:ascii="宋体" w:cs="宋体"/>
                <w:color w:val="auto"/>
                <w:sz w:val="28"/>
                <w:szCs w:val="28"/>
                <w:highlight w:val="none"/>
              </w:rPr>
              <w:t>进行确认。</w:t>
            </w:r>
          </w:p>
          <w:p w14:paraId="0C4687C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滁州市苏滁产城融合开发建设有限公司</w:t>
            </w:r>
          </w:p>
          <w:p w14:paraId="3D57C6E7">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刘毅</w:t>
            </w:r>
          </w:p>
          <w:p w14:paraId="2B5CDFF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w:t>
            </w:r>
            <w:r>
              <w:rPr>
                <w:rFonts w:hint="eastAsia" w:ascii="宋体" w:hAnsi="宋体" w:cs="宋体"/>
                <w:color w:val="auto"/>
                <w:sz w:val="28"/>
                <w:szCs w:val="28"/>
                <w:highlight w:val="none"/>
              </w:rPr>
              <w:t>3769071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18855087080</w:t>
            </w:r>
          </w:p>
          <w:p w14:paraId="1D843A94">
            <w:pPr>
              <w:spacing w:line="540" w:lineRule="exact"/>
              <w:ind w:firstLine="7140" w:firstLineChars="2550"/>
              <w:rPr>
                <w:rFonts w:hint="eastAsia" w:ascii="宋体" w:cs="宋体"/>
                <w:color w:val="auto"/>
                <w:sz w:val="28"/>
                <w:szCs w:val="28"/>
                <w:highlight w:val="none"/>
              </w:rPr>
            </w:pPr>
          </w:p>
          <w:p w14:paraId="20049E5F">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84171B5">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11C4FDF6">
            <w:pPr>
              <w:spacing w:line="440" w:lineRule="exact"/>
              <w:rPr>
                <w:rFonts w:hint="eastAsia" w:ascii="宋体" w:cs="宋体"/>
                <w:color w:val="auto"/>
                <w:sz w:val="28"/>
                <w:szCs w:val="28"/>
                <w:highlight w:val="none"/>
              </w:rPr>
            </w:pPr>
          </w:p>
          <w:p w14:paraId="5FF0FB7A">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01A35B9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22684045">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686E5825">
            <w:pPr>
              <w:spacing w:line="520" w:lineRule="exact"/>
              <w:ind w:firstLine="6300" w:firstLineChars="2250"/>
              <w:rPr>
                <w:rFonts w:hint="eastAsia" w:ascii="宋体" w:cs="宋体"/>
                <w:color w:val="auto"/>
                <w:sz w:val="28"/>
                <w:szCs w:val="28"/>
                <w:highlight w:val="none"/>
              </w:rPr>
            </w:pPr>
          </w:p>
          <w:p w14:paraId="69784CCD">
            <w:pPr>
              <w:pStyle w:val="35"/>
              <w:rPr>
                <w:rFonts w:hint="eastAsia"/>
                <w:color w:val="auto"/>
                <w:highlight w:val="none"/>
              </w:rPr>
            </w:pPr>
          </w:p>
          <w:p w14:paraId="1B93EB1E">
            <w:pPr>
              <w:spacing w:line="520" w:lineRule="exact"/>
              <w:ind w:firstLine="6580" w:firstLineChars="2350"/>
              <w:rPr>
                <w:rFonts w:hint="eastAsia" w:ascii="宋体" w:cs="宋体"/>
                <w:color w:val="auto"/>
                <w:sz w:val="28"/>
                <w:szCs w:val="28"/>
                <w:highlight w:val="none"/>
              </w:rPr>
            </w:pPr>
          </w:p>
          <w:p w14:paraId="588D1772">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2F1F8B8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bookmarkEnd w:id="0"/>
    </w:tbl>
    <w:p w14:paraId="7CFD80ED">
      <w:pPr>
        <w:rPr>
          <w:color w:val="auto"/>
          <w:highlight w:val="none"/>
        </w:rPr>
      </w:pPr>
    </w:p>
    <w:sectPr>
      <w:headerReference r:id="rId10" w:type="default"/>
      <w:footerReference r:id="rId11" w:type="default"/>
      <w:pgSz w:w="11906" w:h="16838"/>
      <w:pgMar w:top="1587" w:right="1587" w:bottom="158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20B0604020202020204"/>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ActionIcon">
    <w:altName w:val="ksdb"/>
    <w:panose1 w:val="00000000000000000000"/>
    <w:charset w:val="00"/>
    <w:family w:val="auto"/>
    <w:pitch w:val="default"/>
    <w:sig w:usb0="00000000" w:usb1="00000000" w:usb2="00000000" w:usb3="00000000" w:csb0="00000000" w:csb1="00000000"/>
  </w:font>
  <w:font w:name="ModIcon">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3CA">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98D">
    <w:pPr>
      <w:pStyle w:val="22"/>
      <w:framePr w:wrap="around" w:vAnchor="text" w:hAnchor="margin" w:xAlign="center" w:y="1"/>
      <w:tabs>
        <w:tab w:val="clear" w:pos="4153"/>
        <w:tab w:val="clear" w:pos="8306"/>
      </w:tabs>
      <w:rPr>
        <w:rStyle w:val="40"/>
      </w:rPr>
    </w:pPr>
    <w:r>
      <w:fldChar w:fldCharType="begin"/>
    </w:r>
    <w:r>
      <w:rPr>
        <w:rStyle w:val="40"/>
      </w:rPr>
      <w:instrText xml:space="preserve">PAGE  </w:instrText>
    </w:r>
    <w:r>
      <w:fldChar w:fldCharType="separate"/>
    </w:r>
    <w:r>
      <w:t xml:space="preserve"> </w:t>
    </w:r>
    <w:r>
      <w:fldChar w:fldCharType="end"/>
    </w:r>
  </w:p>
  <w:p w14:paraId="72930192">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F4EC">
    <w:pPr>
      <w:pStyle w:val="22"/>
      <w:framePr w:wrap="around" w:vAnchor="text" w:hAnchor="margin" w:xAlign="center" w:y="1"/>
      <w:tabs>
        <w:tab w:val="clear" w:pos="4153"/>
        <w:tab w:val="clear" w:pos="8306"/>
      </w:tabs>
      <w:rPr>
        <w:rStyle w:val="40"/>
        <w:rFonts w:hint="eastAsia"/>
      </w:rPr>
    </w:pPr>
  </w:p>
  <w:p w14:paraId="4E2F41FC">
    <w:pPr>
      <w:pStyle w:val="22"/>
      <w:tabs>
        <w:tab w:val="clear" w:pos="4153"/>
        <w:tab w:val="clear" w:pos="8306"/>
      </w:tabs>
      <w:rPr>
        <w:rFonts w:hint="eastAsia"/>
        <w:szCs w:val="21"/>
      </w:rPr>
    </w:pPr>
  </w:p>
  <w:p w14:paraId="00C9D172">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2"/>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E2A0E">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E2A0E">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2"/>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88A70">
                          <w:pPr>
                            <w:pStyle w:val="2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B88A70">
                    <w:pPr>
                      <w:pStyle w:val="2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D35">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E6F9">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4"/>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A4E6365E"/>
    <w:multiLevelType w:val="singleLevel"/>
    <w:tmpl w:val="A4E6365E"/>
    <w:lvl w:ilvl="0" w:tentative="0">
      <w:start w:val="4"/>
      <w:numFmt w:val="chineseCounting"/>
      <w:suff w:val="space"/>
      <w:lvlText w:val="第%1条"/>
      <w:lvlJc w:val="left"/>
      <w:rPr>
        <w:rFonts w:hint="eastAsia"/>
      </w:rPr>
    </w:lvl>
  </w:abstractNum>
  <w:abstractNum w:abstractNumId="2">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3">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6F1D7D26"/>
    <w:multiLevelType w:val="multilevel"/>
    <w:tmpl w:val="6F1D7D26"/>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8"/>
  </w:num>
  <w:num w:numId="4">
    <w:abstractNumId w:val="4"/>
  </w:num>
  <w:num w:numId="5">
    <w:abstractNumId w:val="5"/>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AA4"/>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88D"/>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1BE7"/>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352C"/>
    <w:rsid w:val="0160078A"/>
    <w:rsid w:val="016025FC"/>
    <w:rsid w:val="01727AD4"/>
    <w:rsid w:val="018C519F"/>
    <w:rsid w:val="01910A08"/>
    <w:rsid w:val="01A56261"/>
    <w:rsid w:val="01CE57B8"/>
    <w:rsid w:val="01F1538A"/>
    <w:rsid w:val="01F30A1B"/>
    <w:rsid w:val="0213141D"/>
    <w:rsid w:val="02136A35"/>
    <w:rsid w:val="02263E9A"/>
    <w:rsid w:val="02276CDB"/>
    <w:rsid w:val="02602E58"/>
    <w:rsid w:val="026A14A8"/>
    <w:rsid w:val="0284108D"/>
    <w:rsid w:val="02846ED2"/>
    <w:rsid w:val="02922C89"/>
    <w:rsid w:val="029F0F02"/>
    <w:rsid w:val="02AB3F80"/>
    <w:rsid w:val="02F92D08"/>
    <w:rsid w:val="02FF011F"/>
    <w:rsid w:val="0306625F"/>
    <w:rsid w:val="030E0E24"/>
    <w:rsid w:val="030F18F7"/>
    <w:rsid w:val="0314369E"/>
    <w:rsid w:val="03192A63"/>
    <w:rsid w:val="032B6C3A"/>
    <w:rsid w:val="03321D76"/>
    <w:rsid w:val="0332792D"/>
    <w:rsid w:val="03433F84"/>
    <w:rsid w:val="034D4E02"/>
    <w:rsid w:val="03636F78"/>
    <w:rsid w:val="037800D1"/>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B3F4D"/>
    <w:rsid w:val="04BD2AAB"/>
    <w:rsid w:val="04C00E1E"/>
    <w:rsid w:val="04C90D1F"/>
    <w:rsid w:val="050138D2"/>
    <w:rsid w:val="05037796"/>
    <w:rsid w:val="05072DB3"/>
    <w:rsid w:val="05713E65"/>
    <w:rsid w:val="05777F14"/>
    <w:rsid w:val="057F7413"/>
    <w:rsid w:val="05834CBB"/>
    <w:rsid w:val="059302F0"/>
    <w:rsid w:val="059960DD"/>
    <w:rsid w:val="05B55DC4"/>
    <w:rsid w:val="05C23B25"/>
    <w:rsid w:val="05C56ED2"/>
    <w:rsid w:val="05E57574"/>
    <w:rsid w:val="05EB7E30"/>
    <w:rsid w:val="05FB6F31"/>
    <w:rsid w:val="0600615C"/>
    <w:rsid w:val="060C4B01"/>
    <w:rsid w:val="0619721E"/>
    <w:rsid w:val="062459A5"/>
    <w:rsid w:val="06304C93"/>
    <w:rsid w:val="064510DB"/>
    <w:rsid w:val="06581AF4"/>
    <w:rsid w:val="06620B3A"/>
    <w:rsid w:val="066761DB"/>
    <w:rsid w:val="066E7569"/>
    <w:rsid w:val="069717B9"/>
    <w:rsid w:val="06D00DD5"/>
    <w:rsid w:val="06D0451E"/>
    <w:rsid w:val="06DA6FC6"/>
    <w:rsid w:val="06EB6E0C"/>
    <w:rsid w:val="06F34B4B"/>
    <w:rsid w:val="06F37A6F"/>
    <w:rsid w:val="06FF299A"/>
    <w:rsid w:val="070A729C"/>
    <w:rsid w:val="07342561"/>
    <w:rsid w:val="073C599D"/>
    <w:rsid w:val="073E5575"/>
    <w:rsid w:val="074128B0"/>
    <w:rsid w:val="074A10F8"/>
    <w:rsid w:val="075524D7"/>
    <w:rsid w:val="0761194E"/>
    <w:rsid w:val="076432D3"/>
    <w:rsid w:val="07702E6D"/>
    <w:rsid w:val="07745151"/>
    <w:rsid w:val="0781151E"/>
    <w:rsid w:val="07A019A5"/>
    <w:rsid w:val="07B54D24"/>
    <w:rsid w:val="07B63215"/>
    <w:rsid w:val="07B77A9C"/>
    <w:rsid w:val="07BC624E"/>
    <w:rsid w:val="07DC7A53"/>
    <w:rsid w:val="08000695"/>
    <w:rsid w:val="08081FA5"/>
    <w:rsid w:val="080B7557"/>
    <w:rsid w:val="08181E21"/>
    <w:rsid w:val="08184EC7"/>
    <w:rsid w:val="081C0B89"/>
    <w:rsid w:val="082B48A9"/>
    <w:rsid w:val="082D6348"/>
    <w:rsid w:val="084F5179"/>
    <w:rsid w:val="085264A2"/>
    <w:rsid w:val="085D7896"/>
    <w:rsid w:val="08684A24"/>
    <w:rsid w:val="0878647D"/>
    <w:rsid w:val="08924472"/>
    <w:rsid w:val="08A62997"/>
    <w:rsid w:val="08A969C4"/>
    <w:rsid w:val="08AF6108"/>
    <w:rsid w:val="08B001C4"/>
    <w:rsid w:val="08D00FFA"/>
    <w:rsid w:val="08EF5F46"/>
    <w:rsid w:val="09086D86"/>
    <w:rsid w:val="09095327"/>
    <w:rsid w:val="090F12E9"/>
    <w:rsid w:val="09174665"/>
    <w:rsid w:val="09367BAA"/>
    <w:rsid w:val="09381D73"/>
    <w:rsid w:val="09473B2C"/>
    <w:rsid w:val="096A3477"/>
    <w:rsid w:val="097C361B"/>
    <w:rsid w:val="09905A49"/>
    <w:rsid w:val="09AB5942"/>
    <w:rsid w:val="09AB63DF"/>
    <w:rsid w:val="09B064D1"/>
    <w:rsid w:val="09BF2ED7"/>
    <w:rsid w:val="09BF7674"/>
    <w:rsid w:val="09F45FD8"/>
    <w:rsid w:val="09F806A3"/>
    <w:rsid w:val="0A0B50CF"/>
    <w:rsid w:val="0A0D1190"/>
    <w:rsid w:val="0A2456C5"/>
    <w:rsid w:val="0A2543E3"/>
    <w:rsid w:val="0A474057"/>
    <w:rsid w:val="0A4D018D"/>
    <w:rsid w:val="0A641E3D"/>
    <w:rsid w:val="0AA34B1B"/>
    <w:rsid w:val="0AAD7CD9"/>
    <w:rsid w:val="0AAE61EA"/>
    <w:rsid w:val="0AB6328D"/>
    <w:rsid w:val="0ABD15CE"/>
    <w:rsid w:val="0ABF263A"/>
    <w:rsid w:val="0AD12B8F"/>
    <w:rsid w:val="0AF618DB"/>
    <w:rsid w:val="0B043FF8"/>
    <w:rsid w:val="0B0A6314"/>
    <w:rsid w:val="0B335CF7"/>
    <w:rsid w:val="0B5C5BE2"/>
    <w:rsid w:val="0B6B051B"/>
    <w:rsid w:val="0B6E6353"/>
    <w:rsid w:val="0B7B2E88"/>
    <w:rsid w:val="0B8415DD"/>
    <w:rsid w:val="0B842ECF"/>
    <w:rsid w:val="0BA53A0C"/>
    <w:rsid w:val="0BA8462C"/>
    <w:rsid w:val="0BB96A92"/>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76A4C"/>
    <w:rsid w:val="0C782EF0"/>
    <w:rsid w:val="0C7B0EF4"/>
    <w:rsid w:val="0C8323B5"/>
    <w:rsid w:val="0C8E44C1"/>
    <w:rsid w:val="0C9C7EE1"/>
    <w:rsid w:val="0CA20839"/>
    <w:rsid w:val="0CA21D1B"/>
    <w:rsid w:val="0CB14648"/>
    <w:rsid w:val="0CB21A52"/>
    <w:rsid w:val="0CD72DE2"/>
    <w:rsid w:val="0CED2FC7"/>
    <w:rsid w:val="0CEE4F60"/>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93B77"/>
    <w:rsid w:val="0EEE7499"/>
    <w:rsid w:val="0EEF38D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2239"/>
    <w:rsid w:val="10B64B12"/>
    <w:rsid w:val="10B7072A"/>
    <w:rsid w:val="10B93AD7"/>
    <w:rsid w:val="10C04E65"/>
    <w:rsid w:val="10D57578"/>
    <w:rsid w:val="10E83584"/>
    <w:rsid w:val="10F245C8"/>
    <w:rsid w:val="10F872F2"/>
    <w:rsid w:val="10FD18AA"/>
    <w:rsid w:val="1102722C"/>
    <w:rsid w:val="11136BE5"/>
    <w:rsid w:val="112244C7"/>
    <w:rsid w:val="113D64B6"/>
    <w:rsid w:val="113E38BD"/>
    <w:rsid w:val="11531836"/>
    <w:rsid w:val="11633A20"/>
    <w:rsid w:val="11700B96"/>
    <w:rsid w:val="117A7D9D"/>
    <w:rsid w:val="117B6FDE"/>
    <w:rsid w:val="117D1895"/>
    <w:rsid w:val="1189681F"/>
    <w:rsid w:val="118D065E"/>
    <w:rsid w:val="119111DD"/>
    <w:rsid w:val="1195478B"/>
    <w:rsid w:val="119D0D92"/>
    <w:rsid w:val="11B01C7F"/>
    <w:rsid w:val="11C72224"/>
    <w:rsid w:val="11D16BFE"/>
    <w:rsid w:val="11E20E0C"/>
    <w:rsid w:val="11E53874"/>
    <w:rsid w:val="11EB5F12"/>
    <w:rsid w:val="11F63B39"/>
    <w:rsid w:val="11F811A4"/>
    <w:rsid w:val="121534BC"/>
    <w:rsid w:val="12321755"/>
    <w:rsid w:val="12392DC6"/>
    <w:rsid w:val="123A0C48"/>
    <w:rsid w:val="125735A8"/>
    <w:rsid w:val="125E4649"/>
    <w:rsid w:val="12653E6A"/>
    <w:rsid w:val="126C6BB2"/>
    <w:rsid w:val="127658D7"/>
    <w:rsid w:val="12864FA7"/>
    <w:rsid w:val="12957C2C"/>
    <w:rsid w:val="12A06CFD"/>
    <w:rsid w:val="12CC7D65"/>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C44C6D"/>
    <w:rsid w:val="13F53078"/>
    <w:rsid w:val="13FD017F"/>
    <w:rsid w:val="1400703C"/>
    <w:rsid w:val="14024E31"/>
    <w:rsid w:val="140568AB"/>
    <w:rsid w:val="142F0857"/>
    <w:rsid w:val="1444680B"/>
    <w:rsid w:val="14473B09"/>
    <w:rsid w:val="14526E7B"/>
    <w:rsid w:val="145853B5"/>
    <w:rsid w:val="14667ACE"/>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4C626D"/>
    <w:rsid w:val="156275CE"/>
    <w:rsid w:val="157952EA"/>
    <w:rsid w:val="157B75AD"/>
    <w:rsid w:val="15876E40"/>
    <w:rsid w:val="158C2DC7"/>
    <w:rsid w:val="15A718D7"/>
    <w:rsid w:val="15BF64B6"/>
    <w:rsid w:val="15C50828"/>
    <w:rsid w:val="15D975F0"/>
    <w:rsid w:val="15EC6D9F"/>
    <w:rsid w:val="15F64207"/>
    <w:rsid w:val="15FB6C69"/>
    <w:rsid w:val="160B3752"/>
    <w:rsid w:val="161B13E4"/>
    <w:rsid w:val="16225C7A"/>
    <w:rsid w:val="1626576B"/>
    <w:rsid w:val="163F2811"/>
    <w:rsid w:val="16442095"/>
    <w:rsid w:val="16445BF1"/>
    <w:rsid w:val="164E7686"/>
    <w:rsid w:val="16514B0C"/>
    <w:rsid w:val="165322D8"/>
    <w:rsid w:val="16535142"/>
    <w:rsid w:val="165665A6"/>
    <w:rsid w:val="165C2B80"/>
    <w:rsid w:val="16630A92"/>
    <w:rsid w:val="16704820"/>
    <w:rsid w:val="16850E26"/>
    <w:rsid w:val="16893F4C"/>
    <w:rsid w:val="1699418F"/>
    <w:rsid w:val="16A22419"/>
    <w:rsid w:val="16BB08D6"/>
    <w:rsid w:val="16C33CD0"/>
    <w:rsid w:val="16C51CF0"/>
    <w:rsid w:val="16C86EEE"/>
    <w:rsid w:val="16CF74AC"/>
    <w:rsid w:val="16D36F75"/>
    <w:rsid w:val="16D62899"/>
    <w:rsid w:val="16D86AD9"/>
    <w:rsid w:val="16E24DAF"/>
    <w:rsid w:val="16E478E9"/>
    <w:rsid w:val="16F21AF1"/>
    <w:rsid w:val="16F45869"/>
    <w:rsid w:val="17025136"/>
    <w:rsid w:val="17080CB3"/>
    <w:rsid w:val="17104E33"/>
    <w:rsid w:val="172779EC"/>
    <w:rsid w:val="172C5003"/>
    <w:rsid w:val="17435B9A"/>
    <w:rsid w:val="17530278"/>
    <w:rsid w:val="1770488D"/>
    <w:rsid w:val="177251DB"/>
    <w:rsid w:val="17966920"/>
    <w:rsid w:val="179F403B"/>
    <w:rsid w:val="17B31280"/>
    <w:rsid w:val="17B46DA6"/>
    <w:rsid w:val="17E07B23"/>
    <w:rsid w:val="17F04282"/>
    <w:rsid w:val="181D21AB"/>
    <w:rsid w:val="18241EFA"/>
    <w:rsid w:val="182551D2"/>
    <w:rsid w:val="18302625"/>
    <w:rsid w:val="183C5221"/>
    <w:rsid w:val="184B770B"/>
    <w:rsid w:val="18534811"/>
    <w:rsid w:val="188056B2"/>
    <w:rsid w:val="1887731B"/>
    <w:rsid w:val="189F35B2"/>
    <w:rsid w:val="18A312F5"/>
    <w:rsid w:val="18A71570"/>
    <w:rsid w:val="18AF5EEB"/>
    <w:rsid w:val="18B06992"/>
    <w:rsid w:val="18BF29A5"/>
    <w:rsid w:val="18C43019"/>
    <w:rsid w:val="18D95C4B"/>
    <w:rsid w:val="18E33521"/>
    <w:rsid w:val="18EB67F8"/>
    <w:rsid w:val="18FA4C8D"/>
    <w:rsid w:val="18FF7748"/>
    <w:rsid w:val="19133920"/>
    <w:rsid w:val="191915B7"/>
    <w:rsid w:val="19296091"/>
    <w:rsid w:val="19341F4D"/>
    <w:rsid w:val="19526877"/>
    <w:rsid w:val="195A5631"/>
    <w:rsid w:val="196C36C2"/>
    <w:rsid w:val="19733208"/>
    <w:rsid w:val="1978271D"/>
    <w:rsid w:val="197E7B00"/>
    <w:rsid w:val="19933B34"/>
    <w:rsid w:val="199724DC"/>
    <w:rsid w:val="19C96DDB"/>
    <w:rsid w:val="19CF01B9"/>
    <w:rsid w:val="19DC46F7"/>
    <w:rsid w:val="19DE34A8"/>
    <w:rsid w:val="19E52623"/>
    <w:rsid w:val="19FA6457"/>
    <w:rsid w:val="1A0B2274"/>
    <w:rsid w:val="1A187AC0"/>
    <w:rsid w:val="1A393B90"/>
    <w:rsid w:val="1A431141"/>
    <w:rsid w:val="1A535B25"/>
    <w:rsid w:val="1A7208D9"/>
    <w:rsid w:val="1A764FB0"/>
    <w:rsid w:val="1A767F97"/>
    <w:rsid w:val="1A8C60A2"/>
    <w:rsid w:val="1A932C82"/>
    <w:rsid w:val="1AA37850"/>
    <w:rsid w:val="1AA650CC"/>
    <w:rsid w:val="1AA864FA"/>
    <w:rsid w:val="1AB937F0"/>
    <w:rsid w:val="1AB97B24"/>
    <w:rsid w:val="1AC90DBB"/>
    <w:rsid w:val="1AD930B1"/>
    <w:rsid w:val="1AFA71C6"/>
    <w:rsid w:val="1B103E63"/>
    <w:rsid w:val="1B267FBB"/>
    <w:rsid w:val="1B3C77DE"/>
    <w:rsid w:val="1B3E1360"/>
    <w:rsid w:val="1B453F87"/>
    <w:rsid w:val="1B4A02FA"/>
    <w:rsid w:val="1B6603B7"/>
    <w:rsid w:val="1B6D0A69"/>
    <w:rsid w:val="1B7D2468"/>
    <w:rsid w:val="1B886580"/>
    <w:rsid w:val="1BAB30F2"/>
    <w:rsid w:val="1BB64807"/>
    <w:rsid w:val="1BC45815"/>
    <w:rsid w:val="1BCA6B98"/>
    <w:rsid w:val="1BEC2FB3"/>
    <w:rsid w:val="1BEE345E"/>
    <w:rsid w:val="1BF209FD"/>
    <w:rsid w:val="1BF530EC"/>
    <w:rsid w:val="1C044843"/>
    <w:rsid w:val="1C165429"/>
    <w:rsid w:val="1C2F10F1"/>
    <w:rsid w:val="1C450915"/>
    <w:rsid w:val="1C4C7B54"/>
    <w:rsid w:val="1C5E4FF3"/>
    <w:rsid w:val="1C6D30D8"/>
    <w:rsid w:val="1C7911F1"/>
    <w:rsid w:val="1C7B60E4"/>
    <w:rsid w:val="1C872CDB"/>
    <w:rsid w:val="1CCB47C0"/>
    <w:rsid w:val="1CE27F12"/>
    <w:rsid w:val="1CF3330B"/>
    <w:rsid w:val="1D0C2883"/>
    <w:rsid w:val="1D3B1144"/>
    <w:rsid w:val="1D44297A"/>
    <w:rsid w:val="1D4E4561"/>
    <w:rsid w:val="1D703128"/>
    <w:rsid w:val="1D7C5FBA"/>
    <w:rsid w:val="1D81336E"/>
    <w:rsid w:val="1D8A4831"/>
    <w:rsid w:val="1D9F19C4"/>
    <w:rsid w:val="1DA575B0"/>
    <w:rsid w:val="1DAF24EA"/>
    <w:rsid w:val="1DB375C5"/>
    <w:rsid w:val="1DB46449"/>
    <w:rsid w:val="1DBC69B5"/>
    <w:rsid w:val="1DC332DD"/>
    <w:rsid w:val="1DDB0E18"/>
    <w:rsid w:val="1DE80C95"/>
    <w:rsid w:val="1E061E25"/>
    <w:rsid w:val="1E226345"/>
    <w:rsid w:val="1E37428D"/>
    <w:rsid w:val="1E3A6C06"/>
    <w:rsid w:val="1E424E8A"/>
    <w:rsid w:val="1E4F4461"/>
    <w:rsid w:val="1E674B72"/>
    <w:rsid w:val="1E736290"/>
    <w:rsid w:val="1E8C6387"/>
    <w:rsid w:val="1E9A6CF6"/>
    <w:rsid w:val="1EB06519"/>
    <w:rsid w:val="1EB458DE"/>
    <w:rsid w:val="1EC00497"/>
    <w:rsid w:val="1EDA5344"/>
    <w:rsid w:val="1EE613D0"/>
    <w:rsid w:val="1EF1268E"/>
    <w:rsid w:val="1EF21855"/>
    <w:rsid w:val="1EF501D6"/>
    <w:rsid w:val="1F022AED"/>
    <w:rsid w:val="1F066139"/>
    <w:rsid w:val="1F1830CB"/>
    <w:rsid w:val="1F1D4CEA"/>
    <w:rsid w:val="1F313050"/>
    <w:rsid w:val="1F3431EF"/>
    <w:rsid w:val="1F412ACD"/>
    <w:rsid w:val="1F536EA5"/>
    <w:rsid w:val="1F6D61B8"/>
    <w:rsid w:val="1F896D6A"/>
    <w:rsid w:val="1FA51C58"/>
    <w:rsid w:val="1FA7649E"/>
    <w:rsid w:val="1FAD4807"/>
    <w:rsid w:val="1FB44E66"/>
    <w:rsid w:val="1FB97650"/>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17017"/>
    <w:rsid w:val="211A14D6"/>
    <w:rsid w:val="211F34E2"/>
    <w:rsid w:val="21505D92"/>
    <w:rsid w:val="21564CC5"/>
    <w:rsid w:val="215869F4"/>
    <w:rsid w:val="21725E20"/>
    <w:rsid w:val="217F21D3"/>
    <w:rsid w:val="21894835"/>
    <w:rsid w:val="219F6403"/>
    <w:rsid w:val="21A148C9"/>
    <w:rsid w:val="21A84B20"/>
    <w:rsid w:val="21BA145D"/>
    <w:rsid w:val="21D06ED2"/>
    <w:rsid w:val="21D547D9"/>
    <w:rsid w:val="21E36C06"/>
    <w:rsid w:val="21F841CB"/>
    <w:rsid w:val="22094970"/>
    <w:rsid w:val="2224426F"/>
    <w:rsid w:val="224C10D0"/>
    <w:rsid w:val="225222AD"/>
    <w:rsid w:val="22541289"/>
    <w:rsid w:val="22560474"/>
    <w:rsid w:val="225C24EF"/>
    <w:rsid w:val="226433E0"/>
    <w:rsid w:val="2268322E"/>
    <w:rsid w:val="22685BE4"/>
    <w:rsid w:val="22786DC6"/>
    <w:rsid w:val="22803E07"/>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3442A"/>
    <w:rsid w:val="24A773D3"/>
    <w:rsid w:val="24B65FDB"/>
    <w:rsid w:val="24DB6D9D"/>
    <w:rsid w:val="24F904EE"/>
    <w:rsid w:val="25096983"/>
    <w:rsid w:val="25237319"/>
    <w:rsid w:val="25276E09"/>
    <w:rsid w:val="253311F6"/>
    <w:rsid w:val="253B3193"/>
    <w:rsid w:val="25552E9E"/>
    <w:rsid w:val="255866F6"/>
    <w:rsid w:val="25654FC9"/>
    <w:rsid w:val="25781413"/>
    <w:rsid w:val="25851E17"/>
    <w:rsid w:val="2586379D"/>
    <w:rsid w:val="25DF1492"/>
    <w:rsid w:val="25EB1207"/>
    <w:rsid w:val="25F211C5"/>
    <w:rsid w:val="25F723E2"/>
    <w:rsid w:val="26377520"/>
    <w:rsid w:val="263C274B"/>
    <w:rsid w:val="26487037"/>
    <w:rsid w:val="264B7744"/>
    <w:rsid w:val="2651082C"/>
    <w:rsid w:val="267E7EE2"/>
    <w:rsid w:val="26A804CA"/>
    <w:rsid w:val="26C66AA9"/>
    <w:rsid w:val="26DD1E76"/>
    <w:rsid w:val="26F64CE5"/>
    <w:rsid w:val="26F86CAF"/>
    <w:rsid w:val="26F87EF2"/>
    <w:rsid w:val="271703C5"/>
    <w:rsid w:val="27351CB2"/>
    <w:rsid w:val="27361586"/>
    <w:rsid w:val="27383550"/>
    <w:rsid w:val="276C4FA7"/>
    <w:rsid w:val="277D1B2D"/>
    <w:rsid w:val="27835FFC"/>
    <w:rsid w:val="2794279E"/>
    <w:rsid w:val="279E7050"/>
    <w:rsid w:val="27A466B8"/>
    <w:rsid w:val="27AF6D80"/>
    <w:rsid w:val="27B0198F"/>
    <w:rsid w:val="27B92AB7"/>
    <w:rsid w:val="27D43FB1"/>
    <w:rsid w:val="27DE552A"/>
    <w:rsid w:val="27E022D4"/>
    <w:rsid w:val="27F84A8D"/>
    <w:rsid w:val="27FC3AE4"/>
    <w:rsid w:val="27FC632B"/>
    <w:rsid w:val="28065AFB"/>
    <w:rsid w:val="280C4E96"/>
    <w:rsid w:val="281901D3"/>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A51F1"/>
    <w:rsid w:val="28EC71CA"/>
    <w:rsid w:val="290B259E"/>
    <w:rsid w:val="291D0C4F"/>
    <w:rsid w:val="2924258A"/>
    <w:rsid w:val="29274E04"/>
    <w:rsid w:val="293F46A3"/>
    <w:rsid w:val="29516F20"/>
    <w:rsid w:val="296D1EE4"/>
    <w:rsid w:val="29720A71"/>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A77572"/>
    <w:rsid w:val="2ABC3312"/>
    <w:rsid w:val="2AC50660"/>
    <w:rsid w:val="2ACE42A1"/>
    <w:rsid w:val="2AD156A5"/>
    <w:rsid w:val="2AD73080"/>
    <w:rsid w:val="2AE44BDB"/>
    <w:rsid w:val="2AE5579D"/>
    <w:rsid w:val="2AFA0B1C"/>
    <w:rsid w:val="2B1334DC"/>
    <w:rsid w:val="2B1505A0"/>
    <w:rsid w:val="2B165951"/>
    <w:rsid w:val="2B165956"/>
    <w:rsid w:val="2B214434"/>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3B319A"/>
    <w:rsid w:val="2C3C1A6A"/>
    <w:rsid w:val="2C540D91"/>
    <w:rsid w:val="2C6537E2"/>
    <w:rsid w:val="2C6C7279"/>
    <w:rsid w:val="2C8965FC"/>
    <w:rsid w:val="2C903C46"/>
    <w:rsid w:val="2CA14AE9"/>
    <w:rsid w:val="2CA90A4C"/>
    <w:rsid w:val="2CAB6572"/>
    <w:rsid w:val="2CAC2D20"/>
    <w:rsid w:val="2CC10625"/>
    <w:rsid w:val="2CC47634"/>
    <w:rsid w:val="2CD326FB"/>
    <w:rsid w:val="2CD33D72"/>
    <w:rsid w:val="2CDD2170"/>
    <w:rsid w:val="2CE850D0"/>
    <w:rsid w:val="2CEA7FC6"/>
    <w:rsid w:val="2CF220D0"/>
    <w:rsid w:val="2D032370"/>
    <w:rsid w:val="2D056154"/>
    <w:rsid w:val="2D082C6C"/>
    <w:rsid w:val="2D094BEA"/>
    <w:rsid w:val="2D236108"/>
    <w:rsid w:val="2D2A52C6"/>
    <w:rsid w:val="2D4D7629"/>
    <w:rsid w:val="2D7520BC"/>
    <w:rsid w:val="2D8F1DD6"/>
    <w:rsid w:val="2D915A33"/>
    <w:rsid w:val="2D954534"/>
    <w:rsid w:val="2D9800A5"/>
    <w:rsid w:val="2DC3712A"/>
    <w:rsid w:val="2DE171DF"/>
    <w:rsid w:val="2DEF1551"/>
    <w:rsid w:val="2E0200C9"/>
    <w:rsid w:val="2E3C6ABB"/>
    <w:rsid w:val="2E4345B4"/>
    <w:rsid w:val="2E5A3DAC"/>
    <w:rsid w:val="2E5D53FD"/>
    <w:rsid w:val="2E61599C"/>
    <w:rsid w:val="2E6332CF"/>
    <w:rsid w:val="2E8D3926"/>
    <w:rsid w:val="2EA63495"/>
    <w:rsid w:val="2EBA0298"/>
    <w:rsid w:val="2EBF09B3"/>
    <w:rsid w:val="2ED22F7C"/>
    <w:rsid w:val="2ED73784"/>
    <w:rsid w:val="2EDF3673"/>
    <w:rsid w:val="2EE213C2"/>
    <w:rsid w:val="2EFC30B5"/>
    <w:rsid w:val="2F486989"/>
    <w:rsid w:val="2F653004"/>
    <w:rsid w:val="2F684953"/>
    <w:rsid w:val="2F8135BA"/>
    <w:rsid w:val="2F866E22"/>
    <w:rsid w:val="2F8D622E"/>
    <w:rsid w:val="2F9037FD"/>
    <w:rsid w:val="2F917CA1"/>
    <w:rsid w:val="2F982E42"/>
    <w:rsid w:val="2FCB7EDC"/>
    <w:rsid w:val="2FD951A4"/>
    <w:rsid w:val="2FE60F0B"/>
    <w:rsid w:val="2FFE3400"/>
    <w:rsid w:val="301B0290"/>
    <w:rsid w:val="303C4D07"/>
    <w:rsid w:val="30647164"/>
    <w:rsid w:val="306C3ED5"/>
    <w:rsid w:val="306C6C6A"/>
    <w:rsid w:val="306D3F93"/>
    <w:rsid w:val="30711C4D"/>
    <w:rsid w:val="308A649E"/>
    <w:rsid w:val="308E5A68"/>
    <w:rsid w:val="309F63EE"/>
    <w:rsid w:val="30A2226B"/>
    <w:rsid w:val="30BB2AFC"/>
    <w:rsid w:val="30C22649"/>
    <w:rsid w:val="30DC08E6"/>
    <w:rsid w:val="30E97669"/>
    <w:rsid w:val="31172428"/>
    <w:rsid w:val="312E022B"/>
    <w:rsid w:val="314221E6"/>
    <w:rsid w:val="314A45AB"/>
    <w:rsid w:val="314D7BF8"/>
    <w:rsid w:val="31534D0D"/>
    <w:rsid w:val="3162165D"/>
    <w:rsid w:val="317118EE"/>
    <w:rsid w:val="318555E4"/>
    <w:rsid w:val="318A3760"/>
    <w:rsid w:val="31AD0696"/>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53CA7"/>
    <w:rsid w:val="32BB5035"/>
    <w:rsid w:val="32C43EEA"/>
    <w:rsid w:val="32CD6692"/>
    <w:rsid w:val="32D71710"/>
    <w:rsid w:val="32D94B0D"/>
    <w:rsid w:val="32E70612"/>
    <w:rsid w:val="32ED5A24"/>
    <w:rsid w:val="32F966F8"/>
    <w:rsid w:val="33010C9A"/>
    <w:rsid w:val="33171483"/>
    <w:rsid w:val="332C4891"/>
    <w:rsid w:val="332E38A7"/>
    <w:rsid w:val="332F3D9F"/>
    <w:rsid w:val="33380434"/>
    <w:rsid w:val="333A0650"/>
    <w:rsid w:val="333F59D3"/>
    <w:rsid w:val="334703EE"/>
    <w:rsid w:val="335E1849"/>
    <w:rsid w:val="335F4F26"/>
    <w:rsid w:val="33625BED"/>
    <w:rsid w:val="337473C4"/>
    <w:rsid w:val="337F6063"/>
    <w:rsid w:val="3380392C"/>
    <w:rsid w:val="3381627F"/>
    <w:rsid w:val="33866BAC"/>
    <w:rsid w:val="339A2E9C"/>
    <w:rsid w:val="33A37FA3"/>
    <w:rsid w:val="33B73A4E"/>
    <w:rsid w:val="33B946F2"/>
    <w:rsid w:val="33B95A18"/>
    <w:rsid w:val="33D4718D"/>
    <w:rsid w:val="33E54418"/>
    <w:rsid w:val="33F07509"/>
    <w:rsid w:val="33F627C9"/>
    <w:rsid w:val="341A5E10"/>
    <w:rsid w:val="34272982"/>
    <w:rsid w:val="342804A8"/>
    <w:rsid w:val="343C7EFD"/>
    <w:rsid w:val="34472085"/>
    <w:rsid w:val="34474E14"/>
    <w:rsid w:val="34572B3B"/>
    <w:rsid w:val="34670FD0"/>
    <w:rsid w:val="3474193F"/>
    <w:rsid w:val="347A4AA6"/>
    <w:rsid w:val="34BA5036"/>
    <w:rsid w:val="34BC5AFA"/>
    <w:rsid w:val="34D337DA"/>
    <w:rsid w:val="34D6600F"/>
    <w:rsid w:val="34EE34A0"/>
    <w:rsid w:val="34FA7F15"/>
    <w:rsid w:val="34FB24F0"/>
    <w:rsid w:val="352930DB"/>
    <w:rsid w:val="353A0493"/>
    <w:rsid w:val="353B59DD"/>
    <w:rsid w:val="35534E88"/>
    <w:rsid w:val="35633752"/>
    <w:rsid w:val="3569521C"/>
    <w:rsid w:val="35823489"/>
    <w:rsid w:val="35897E8C"/>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2E5E9D"/>
    <w:rsid w:val="373C4996"/>
    <w:rsid w:val="374A1E98"/>
    <w:rsid w:val="37533C0B"/>
    <w:rsid w:val="375F68D7"/>
    <w:rsid w:val="37781747"/>
    <w:rsid w:val="37794D4F"/>
    <w:rsid w:val="37A02925"/>
    <w:rsid w:val="37B3277F"/>
    <w:rsid w:val="37B34CA4"/>
    <w:rsid w:val="37BD7469"/>
    <w:rsid w:val="37D9327F"/>
    <w:rsid w:val="37E172EC"/>
    <w:rsid w:val="37E93A81"/>
    <w:rsid w:val="37F75EE1"/>
    <w:rsid w:val="381274A5"/>
    <w:rsid w:val="38172D0E"/>
    <w:rsid w:val="38194CD8"/>
    <w:rsid w:val="38317A04"/>
    <w:rsid w:val="38430BE0"/>
    <w:rsid w:val="384B5B0E"/>
    <w:rsid w:val="38591578"/>
    <w:rsid w:val="385B0E4C"/>
    <w:rsid w:val="385C66C2"/>
    <w:rsid w:val="38645F08"/>
    <w:rsid w:val="38697E97"/>
    <w:rsid w:val="387168C2"/>
    <w:rsid w:val="3888121E"/>
    <w:rsid w:val="38966328"/>
    <w:rsid w:val="389B1BDF"/>
    <w:rsid w:val="38A1659F"/>
    <w:rsid w:val="38AF2F46"/>
    <w:rsid w:val="38C95821"/>
    <w:rsid w:val="38F02478"/>
    <w:rsid w:val="390239BE"/>
    <w:rsid w:val="390C0398"/>
    <w:rsid w:val="39180C1C"/>
    <w:rsid w:val="392A1B36"/>
    <w:rsid w:val="392A34F7"/>
    <w:rsid w:val="392A4E38"/>
    <w:rsid w:val="393A6E69"/>
    <w:rsid w:val="39675500"/>
    <w:rsid w:val="396B1563"/>
    <w:rsid w:val="39754190"/>
    <w:rsid w:val="39BF57BB"/>
    <w:rsid w:val="39CD2DB0"/>
    <w:rsid w:val="39D92970"/>
    <w:rsid w:val="39EB161F"/>
    <w:rsid w:val="39FA113F"/>
    <w:rsid w:val="39FE7012"/>
    <w:rsid w:val="3A0D5454"/>
    <w:rsid w:val="3A1172F4"/>
    <w:rsid w:val="3A23599A"/>
    <w:rsid w:val="3A255086"/>
    <w:rsid w:val="3A2E4C8D"/>
    <w:rsid w:val="3A35147E"/>
    <w:rsid w:val="3A446EBF"/>
    <w:rsid w:val="3A4B4EF0"/>
    <w:rsid w:val="3A514258"/>
    <w:rsid w:val="3A6802CC"/>
    <w:rsid w:val="3A684F47"/>
    <w:rsid w:val="3A6A4A9F"/>
    <w:rsid w:val="3A72247D"/>
    <w:rsid w:val="3A7D77A0"/>
    <w:rsid w:val="3A810023"/>
    <w:rsid w:val="3A860F49"/>
    <w:rsid w:val="3AA1177A"/>
    <w:rsid w:val="3AB72586"/>
    <w:rsid w:val="3ABC194A"/>
    <w:rsid w:val="3AF37A62"/>
    <w:rsid w:val="3AF61300"/>
    <w:rsid w:val="3AF97C15"/>
    <w:rsid w:val="3AFB6916"/>
    <w:rsid w:val="3AFD73E8"/>
    <w:rsid w:val="3B00073C"/>
    <w:rsid w:val="3B381919"/>
    <w:rsid w:val="3B437E53"/>
    <w:rsid w:val="3B506C62"/>
    <w:rsid w:val="3B615DAA"/>
    <w:rsid w:val="3B944458"/>
    <w:rsid w:val="3B954675"/>
    <w:rsid w:val="3B9823B7"/>
    <w:rsid w:val="3B984165"/>
    <w:rsid w:val="3BAF7463"/>
    <w:rsid w:val="3BB271C7"/>
    <w:rsid w:val="3BB557AB"/>
    <w:rsid w:val="3BBF5B96"/>
    <w:rsid w:val="3BC46D08"/>
    <w:rsid w:val="3BC744EA"/>
    <w:rsid w:val="3BD60968"/>
    <w:rsid w:val="3C065573"/>
    <w:rsid w:val="3C4414D2"/>
    <w:rsid w:val="3C595B04"/>
    <w:rsid w:val="3C5C17D2"/>
    <w:rsid w:val="3C5F42F8"/>
    <w:rsid w:val="3C6C0F9B"/>
    <w:rsid w:val="3C7301F1"/>
    <w:rsid w:val="3C7356FA"/>
    <w:rsid w:val="3C8C1F1C"/>
    <w:rsid w:val="3CA1704A"/>
    <w:rsid w:val="3CA31014"/>
    <w:rsid w:val="3CD4741F"/>
    <w:rsid w:val="3CFB3A43"/>
    <w:rsid w:val="3CFB661F"/>
    <w:rsid w:val="3D0B626C"/>
    <w:rsid w:val="3D0F4D1C"/>
    <w:rsid w:val="3D341146"/>
    <w:rsid w:val="3D487A50"/>
    <w:rsid w:val="3D5139EC"/>
    <w:rsid w:val="3D7A6218"/>
    <w:rsid w:val="3D8552FA"/>
    <w:rsid w:val="3D8C367A"/>
    <w:rsid w:val="3DB039E8"/>
    <w:rsid w:val="3DCF2188"/>
    <w:rsid w:val="3DD1570D"/>
    <w:rsid w:val="3DDE7492"/>
    <w:rsid w:val="3DF2026B"/>
    <w:rsid w:val="3DF80EEB"/>
    <w:rsid w:val="3DFA1107"/>
    <w:rsid w:val="3DFF04CC"/>
    <w:rsid w:val="3E24689A"/>
    <w:rsid w:val="3E557A55"/>
    <w:rsid w:val="3E5D2794"/>
    <w:rsid w:val="3E8134BC"/>
    <w:rsid w:val="3E832EAB"/>
    <w:rsid w:val="3E864749"/>
    <w:rsid w:val="3E8D1F7B"/>
    <w:rsid w:val="3E9073D3"/>
    <w:rsid w:val="3EAC582F"/>
    <w:rsid w:val="3EC60FE9"/>
    <w:rsid w:val="3EC80F65"/>
    <w:rsid w:val="3ED35D96"/>
    <w:rsid w:val="3EE0310F"/>
    <w:rsid w:val="3F21764F"/>
    <w:rsid w:val="3F270382"/>
    <w:rsid w:val="3F4D34B9"/>
    <w:rsid w:val="3F5C61BC"/>
    <w:rsid w:val="3F821E5A"/>
    <w:rsid w:val="3F826617"/>
    <w:rsid w:val="3F882148"/>
    <w:rsid w:val="3FAD5B09"/>
    <w:rsid w:val="3FAF5707"/>
    <w:rsid w:val="3FB35A12"/>
    <w:rsid w:val="3FD61700"/>
    <w:rsid w:val="3FD85683"/>
    <w:rsid w:val="3FFB4CC3"/>
    <w:rsid w:val="3FFF6096"/>
    <w:rsid w:val="40044B90"/>
    <w:rsid w:val="40153FD6"/>
    <w:rsid w:val="402042D4"/>
    <w:rsid w:val="40273D0A"/>
    <w:rsid w:val="40310071"/>
    <w:rsid w:val="4045485F"/>
    <w:rsid w:val="404C3770"/>
    <w:rsid w:val="40A01D3A"/>
    <w:rsid w:val="40C652D1"/>
    <w:rsid w:val="40C92CD2"/>
    <w:rsid w:val="40CF0629"/>
    <w:rsid w:val="40EE1315"/>
    <w:rsid w:val="410B7187"/>
    <w:rsid w:val="411249BA"/>
    <w:rsid w:val="414172BF"/>
    <w:rsid w:val="41674D32"/>
    <w:rsid w:val="416A190F"/>
    <w:rsid w:val="416E7E42"/>
    <w:rsid w:val="418770B8"/>
    <w:rsid w:val="418C651A"/>
    <w:rsid w:val="41B6712E"/>
    <w:rsid w:val="41BA6A45"/>
    <w:rsid w:val="41C85859"/>
    <w:rsid w:val="41CA339C"/>
    <w:rsid w:val="41D103D1"/>
    <w:rsid w:val="41D758D6"/>
    <w:rsid w:val="41DF2F7B"/>
    <w:rsid w:val="41F63994"/>
    <w:rsid w:val="42277327"/>
    <w:rsid w:val="422F448D"/>
    <w:rsid w:val="42312C1E"/>
    <w:rsid w:val="42366258"/>
    <w:rsid w:val="42426BD9"/>
    <w:rsid w:val="424514EC"/>
    <w:rsid w:val="424B3CDF"/>
    <w:rsid w:val="424C228D"/>
    <w:rsid w:val="424E40FE"/>
    <w:rsid w:val="427E4A81"/>
    <w:rsid w:val="428C524B"/>
    <w:rsid w:val="42927D62"/>
    <w:rsid w:val="429338D8"/>
    <w:rsid w:val="429A5AFA"/>
    <w:rsid w:val="429B3874"/>
    <w:rsid w:val="429F5DD9"/>
    <w:rsid w:val="42AD499A"/>
    <w:rsid w:val="42B61086"/>
    <w:rsid w:val="42C26869"/>
    <w:rsid w:val="42DD6902"/>
    <w:rsid w:val="42ED02B3"/>
    <w:rsid w:val="42FE6FA4"/>
    <w:rsid w:val="43000F6E"/>
    <w:rsid w:val="43014CE6"/>
    <w:rsid w:val="43040332"/>
    <w:rsid w:val="430F518E"/>
    <w:rsid w:val="43152860"/>
    <w:rsid w:val="431762B8"/>
    <w:rsid w:val="431A4176"/>
    <w:rsid w:val="431B17D2"/>
    <w:rsid w:val="43283847"/>
    <w:rsid w:val="434A043B"/>
    <w:rsid w:val="43560B8E"/>
    <w:rsid w:val="43607C5E"/>
    <w:rsid w:val="43772A58"/>
    <w:rsid w:val="438761B4"/>
    <w:rsid w:val="4389474A"/>
    <w:rsid w:val="439026A0"/>
    <w:rsid w:val="43923B90"/>
    <w:rsid w:val="43A4707C"/>
    <w:rsid w:val="43D67B4D"/>
    <w:rsid w:val="43DF0926"/>
    <w:rsid w:val="43F15324"/>
    <w:rsid w:val="43F81C45"/>
    <w:rsid w:val="440B706C"/>
    <w:rsid w:val="44110F59"/>
    <w:rsid w:val="44133603"/>
    <w:rsid w:val="441A605F"/>
    <w:rsid w:val="441D70DF"/>
    <w:rsid w:val="441E176A"/>
    <w:rsid w:val="44292D63"/>
    <w:rsid w:val="443B0E5E"/>
    <w:rsid w:val="4445330B"/>
    <w:rsid w:val="44484B78"/>
    <w:rsid w:val="445826E4"/>
    <w:rsid w:val="445C06B9"/>
    <w:rsid w:val="445F3A72"/>
    <w:rsid w:val="446077EA"/>
    <w:rsid w:val="44665E49"/>
    <w:rsid w:val="446C618F"/>
    <w:rsid w:val="448F024A"/>
    <w:rsid w:val="44A363C2"/>
    <w:rsid w:val="44B26298"/>
    <w:rsid w:val="44BE2E8F"/>
    <w:rsid w:val="44C45FCB"/>
    <w:rsid w:val="44C86593"/>
    <w:rsid w:val="44D02189"/>
    <w:rsid w:val="44D73F50"/>
    <w:rsid w:val="44FC1D24"/>
    <w:rsid w:val="44FE1514"/>
    <w:rsid w:val="451008C2"/>
    <w:rsid w:val="451277B0"/>
    <w:rsid w:val="45196317"/>
    <w:rsid w:val="45246F22"/>
    <w:rsid w:val="452470E5"/>
    <w:rsid w:val="45280308"/>
    <w:rsid w:val="453B44DF"/>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58671E"/>
    <w:rsid w:val="465C2A22"/>
    <w:rsid w:val="466E205D"/>
    <w:rsid w:val="467911B3"/>
    <w:rsid w:val="46794B93"/>
    <w:rsid w:val="46812B8D"/>
    <w:rsid w:val="46832413"/>
    <w:rsid w:val="46885E2A"/>
    <w:rsid w:val="469F2601"/>
    <w:rsid w:val="46A82FBF"/>
    <w:rsid w:val="46AB40C3"/>
    <w:rsid w:val="46BA58D8"/>
    <w:rsid w:val="46C439A8"/>
    <w:rsid w:val="46C978C9"/>
    <w:rsid w:val="46CE7995"/>
    <w:rsid w:val="46D7323F"/>
    <w:rsid w:val="46DC1387"/>
    <w:rsid w:val="46E0501A"/>
    <w:rsid w:val="46F87B6E"/>
    <w:rsid w:val="46FC1214"/>
    <w:rsid w:val="47021DBA"/>
    <w:rsid w:val="471F2FD5"/>
    <w:rsid w:val="4739206F"/>
    <w:rsid w:val="475D3DAD"/>
    <w:rsid w:val="47946129"/>
    <w:rsid w:val="479C5383"/>
    <w:rsid w:val="479F646B"/>
    <w:rsid w:val="47A56FB4"/>
    <w:rsid w:val="47AD7CF1"/>
    <w:rsid w:val="47D67F88"/>
    <w:rsid w:val="47F54AA9"/>
    <w:rsid w:val="47FE69E9"/>
    <w:rsid w:val="4803505C"/>
    <w:rsid w:val="480831B5"/>
    <w:rsid w:val="480D66CD"/>
    <w:rsid w:val="480F105A"/>
    <w:rsid w:val="48194880"/>
    <w:rsid w:val="481F19ED"/>
    <w:rsid w:val="482849BA"/>
    <w:rsid w:val="48390A7E"/>
    <w:rsid w:val="483D056E"/>
    <w:rsid w:val="483F2BC9"/>
    <w:rsid w:val="485A1120"/>
    <w:rsid w:val="48A7549C"/>
    <w:rsid w:val="48B545A9"/>
    <w:rsid w:val="48B63E7D"/>
    <w:rsid w:val="48BA15B1"/>
    <w:rsid w:val="48BE3AE4"/>
    <w:rsid w:val="48C742DC"/>
    <w:rsid w:val="48D273AC"/>
    <w:rsid w:val="48D50D84"/>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A003601"/>
    <w:rsid w:val="4A0D3F70"/>
    <w:rsid w:val="4A103FF4"/>
    <w:rsid w:val="4A1277D9"/>
    <w:rsid w:val="4A5D0A54"/>
    <w:rsid w:val="4A666565"/>
    <w:rsid w:val="4A7B66E4"/>
    <w:rsid w:val="4A7D5113"/>
    <w:rsid w:val="4A7F4FCB"/>
    <w:rsid w:val="4A812A30"/>
    <w:rsid w:val="4A89523C"/>
    <w:rsid w:val="4A8D0C0F"/>
    <w:rsid w:val="4AB019AF"/>
    <w:rsid w:val="4AC54E91"/>
    <w:rsid w:val="4AD130D3"/>
    <w:rsid w:val="4AD5154D"/>
    <w:rsid w:val="4AEA3364"/>
    <w:rsid w:val="4AF73617"/>
    <w:rsid w:val="4B101F6A"/>
    <w:rsid w:val="4B223A4B"/>
    <w:rsid w:val="4B593BC4"/>
    <w:rsid w:val="4B6A463C"/>
    <w:rsid w:val="4B902FB1"/>
    <w:rsid w:val="4B92472D"/>
    <w:rsid w:val="4B9761E7"/>
    <w:rsid w:val="4B9E0E3F"/>
    <w:rsid w:val="4BB63B5B"/>
    <w:rsid w:val="4BB9615E"/>
    <w:rsid w:val="4BCC283D"/>
    <w:rsid w:val="4BD35E6D"/>
    <w:rsid w:val="4BDC1E4C"/>
    <w:rsid w:val="4BE1231B"/>
    <w:rsid w:val="4BFF5353"/>
    <w:rsid w:val="4C1F6EFC"/>
    <w:rsid w:val="4C2F265F"/>
    <w:rsid w:val="4C5B5DF1"/>
    <w:rsid w:val="4C6D6DCE"/>
    <w:rsid w:val="4C752052"/>
    <w:rsid w:val="4C7D3694"/>
    <w:rsid w:val="4C9F27AB"/>
    <w:rsid w:val="4CBD4A44"/>
    <w:rsid w:val="4CCE433F"/>
    <w:rsid w:val="4CD40D75"/>
    <w:rsid w:val="4CDE3815"/>
    <w:rsid w:val="4D012DED"/>
    <w:rsid w:val="4D0D2958"/>
    <w:rsid w:val="4D145493"/>
    <w:rsid w:val="4D2D4855"/>
    <w:rsid w:val="4D382097"/>
    <w:rsid w:val="4D393332"/>
    <w:rsid w:val="4D3B01A7"/>
    <w:rsid w:val="4D4746C5"/>
    <w:rsid w:val="4D4D1254"/>
    <w:rsid w:val="4D5A74CD"/>
    <w:rsid w:val="4D6759FB"/>
    <w:rsid w:val="4D6E3517"/>
    <w:rsid w:val="4D87403A"/>
    <w:rsid w:val="4DA344FE"/>
    <w:rsid w:val="4DB639B0"/>
    <w:rsid w:val="4DB7491F"/>
    <w:rsid w:val="4DE70682"/>
    <w:rsid w:val="4DF53699"/>
    <w:rsid w:val="4DFD50C1"/>
    <w:rsid w:val="4E2B70BB"/>
    <w:rsid w:val="4E4645AE"/>
    <w:rsid w:val="4E496865"/>
    <w:rsid w:val="4E58321E"/>
    <w:rsid w:val="4E6B2193"/>
    <w:rsid w:val="4E9B1B4B"/>
    <w:rsid w:val="4EAC1FAA"/>
    <w:rsid w:val="4EB91CD7"/>
    <w:rsid w:val="4EDE7C89"/>
    <w:rsid w:val="4EE2777A"/>
    <w:rsid w:val="4EE72FE2"/>
    <w:rsid w:val="4EFF135C"/>
    <w:rsid w:val="4F0E00E7"/>
    <w:rsid w:val="4F22412F"/>
    <w:rsid w:val="4F285863"/>
    <w:rsid w:val="4F2A1121"/>
    <w:rsid w:val="4F50502B"/>
    <w:rsid w:val="4F6264CF"/>
    <w:rsid w:val="4F6E6D3E"/>
    <w:rsid w:val="4F7F68E8"/>
    <w:rsid w:val="4F864B42"/>
    <w:rsid w:val="4F926200"/>
    <w:rsid w:val="4F9A0295"/>
    <w:rsid w:val="4FA1745C"/>
    <w:rsid w:val="4FA531B3"/>
    <w:rsid w:val="4FBA4253"/>
    <w:rsid w:val="4FC55461"/>
    <w:rsid w:val="4FCE7CFE"/>
    <w:rsid w:val="4FDC12AC"/>
    <w:rsid w:val="4FE20FB2"/>
    <w:rsid w:val="501C4F0D"/>
    <w:rsid w:val="502128F0"/>
    <w:rsid w:val="502B7CA9"/>
    <w:rsid w:val="5038679F"/>
    <w:rsid w:val="50463D38"/>
    <w:rsid w:val="5047222E"/>
    <w:rsid w:val="505226DD"/>
    <w:rsid w:val="50670571"/>
    <w:rsid w:val="50792360"/>
    <w:rsid w:val="50994255"/>
    <w:rsid w:val="50A0464D"/>
    <w:rsid w:val="50B05655"/>
    <w:rsid w:val="50B11AF9"/>
    <w:rsid w:val="50B95E75"/>
    <w:rsid w:val="50C54952"/>
    <w:rsid w:val="50CA2BBB"/>
    <w:rsid w:val="50CA6916"/>
    <w:rsid w:val="50CD6207"/>
    <w:rsid w:val="50D17AA6"/>
    <w:rsid w:val="50F10148"/>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B59A8"/>
    <w:rsid w:val="523E1BC7"/>
    <w:rsid w:val="523F6E00"/>
    <w:rsid w:val="524B22B7"/>
    <w:rsid w:val="52692D61"/>
    <w:rsid w:val="527728CF"/>
    <w:rsid w:val="528172AA"/>
    <w:rsid w:val="52B8492E"/>
    <w:rsid w:val="52CD201A"/>
    <w:rsid w:val="52DB316A"/>
    <w:rsid w:val="52DF5523"/>
    <w:rsid w:val="52EE334D"/>
    <w:rsid w:val="530C01BA"/>
    <w:rsid w:val="530F02BC"/>
    <w:rsid w:val="53130F14"/>
    <w:rsid w:val="531C6A38"/>
    <w:rsid w:val="532A16EF"/>
    <w:rsid w:val="534972AB"/>
    <w:rsid w:val="5373169B"/>
    <w:rsid w:val="53747D16"/>
    <w:rsid w:val="5378497F"/>
    <w:rsid w:val="53C27B7A"/>
    <w:rsid w:val="53C6061F"/>
    <w:rsid w:val="53E544DB"/>
    <w:rsid w:val="53F046E7"/>
    <w:rsid w:val="53F82EC8"/>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5DD63E8"/>
    <w:rsid w:val="560501F2"/>
    <w:rsid w:val="564447FE"/>
    <w:rsid w:val="56466840"/>
    <w:rsid w:val="565467A5"/>
    <w:rsid w:val="56644224"/>
    <w:rsid w:val="5666680E"/>
    <w:rsid w:val="5669634B"/>
    <w:rsid w:val="56735DD8"/>
    <w:rsid w:val="567A473C"/>
    <w:rsid w:val="5685797A"/>
    <w:rsid w:val="568C1A21"/>
    <w:rsid w:val="569F4D37"/>
    <w:rsid w:val="56AB2F3F"/>
    <w:rsid w:val="56C42FEC"/>
    <w:rsid w:val="56E83D9B"/>
    <w:rsid w:val="56EA73AE"/>
    <w:rsid w:val="56F0657B"/>
    <w:rsid w:val="56F20621"/>
    <w:rsid w:val="56F20776"/>
    <w:rsid w:val="56F37AB8"/>
    <w:rsid w:val="56FC15F5"/>
    <w:rsid w:val="57122BC6"/>
    <w:rsid w:val="572D6623"/>
    <w:rsid w:val="57364C46"/>
    <w:rsid w:val="575A47E7"/>
    <w:rsid w:val="575C02E5"/>
    <w:rsid w:val="577473DD"/>
    <w:rsid w:val="57911484"/>
    <w:rsid w:val="57B43C7D"/>
    <w:rsid w:val="57BE00CF"/>
    <w:rsid w:val="57C33EC0"/>
    <w:rsid w:val="57CF104F"/>
    <w:rsid w:val="57CF47C9"/>
    <w:rsid w:val="57D939CD"/>
    <w:rsid w:val="57FF0946"/>
    <w:rsid w:val="58075B26"/>
    <w:rsid w:val="580A355F"/>
    <w:rsid w:val="58127ED2"/>
    <w:rsid w:val="58172F6B"/>
    <w:rsid w:val="58281E5B"/>
    <w:rsid w:val="582C247D"/>
    <w:rsid w:val="583D29A8"/>
    <w:rsid w:val="58406187"/>
    <w:rsid w:val="58537A63"/>
    <w:rsid w:val="58643CC2"/>
    <w:rsid w:val="58773629"/>
    <w:rsid w:val="588075E9"/>
    <w:rsid w:val="588C2AEC"/>
    <w:rsid w:val="58CA7BFC"/>
    <w:rsid w:val="58E83887"/>
    <w:rsid w:val="58F90DE0"/>
    <w:rsid w:val="59106321"/>
    <w:rsid w:val="59140C82"/>
    <w:rsid w:val="59202A8D"/>
    <w:rsid w:val="59372DB8"/>
    <w:rsid w:val="593B01E1"/>
    <w:rsid w:val="593C3F2A"/>
    <w:rsid w:val="59457283"/>
    <w:rsid w:val="59493F76"/>
    <w:rsid w:val="59550FA6"/>
    <w:rsid w:val="595650B7"/>
    <w:rsid w:val="59576FB6"/>
    <w:rsid w:val="595B6559"/>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582745"/>
    <w:rsid w:val="5A603305"/>
    <w:rsid w:val="5A701838"/>
    <w:rsid w:val="5A7732C0"/>
    <w:rsid w:val="5A8156DE"/>
    <w:rsid w:val="5ACC7530"/>
    <w:rsid w:val="5ADF3707"/>
    <w:rsid w:val="5AE3249E"/>
    <w:rsid w:val="5AE56545"/>
    <w:rsid w:val="5AE92129"/>
    <w:rsid w:val="5AF102AB"/>
    <w:rsid w:val="5B163201"/>
    <w:rsid w:val="5B1A473F"/>
    <w:rsid w:val="5B2E3D47"/>
    <w:rsid w:val="5B37709F"/>
    <w:rsid w:val="5B6149A2"/>
    <w:rsid w:val="5B636D7E"/>
    <w:rsid w:val="5B77749C"/>
    <w:rsid w:val="5B7A1772"/>
    <w:rsid w:val="5B7A6DEA"/>
    <w:rsid w:val="5B7E6A7C"/>
    <w:rsid w:val="5B865931"/>
    <w:rsid w:val="5B955B74"/>
    <w:rsid w:val="5BA20303"/>
    <w:rsid w:val="5BB26726"/>
    <w:rsid w:val="5BB926FC"/>
    <w:rsid w:val="5BCF1086"/>
    <w:rsid w:val="5BF54320"/>
    <w:rsid w:val="5C0C22DA"/>
    <w:rsid w:val="5C1633F6"/>
    <w:rsid w:val="5C246971"/>
    <w:rsid w:val="5C4867F4"/>
    <w:rsid w:val="5C630938"/>
    <w:rsid w:val="5C6737F1"/>
    <w:rsid w:val="5C9C18B0"/>
    <w:rsid w:val="5C9E7970"/>
    <w:rsid w:val="5CBD1826"/>
    <w:rsid w:val="5CC37F37"/>
    <w:rsid w:val="5CDC6150"/>
    <w:rsid w:val="5CE45005"/>
    <w:rsid w:val="5CE943C9"/>
    <w:rsid w:val="5CF96FBB"/>
    <w:rsid w:val="5CFD1C22"/>
    <w:rsid w:val="5D044DFB"/>
    <w:rsid w:val="5D2A3C5C"/>
    <w:rsid w:val="5D2E4206"/>
    <w:rsid w:val="5D50591B"/>
    <w:rsid w:val="5D8B5480"/>
    <w:rsid w:val="5DA21809"/>
    <w:rsid w:val="5DAB5B22"/>
    <w:rsid w:val="5DD0374A"/>
    <w:rsid w:val="5DD064FA"/>
    <w:rsid w:val="5DDA30BD"/>
    <w:rsid w:val="5DE33611"/>
    <w:rsid w:val="5DEA03F9"/>
    <w:rsid w:val="5DEB5F1F"/>
    <w:rsid w:val="5DEB608F"/>
    <w:rsid w:val="5E023994"/>
    <w:rsid w:val="5E1E1CFB"/>
    <w:rsid w:val="5E211941"/>
    <w:rsid w:val="5E2719AF"/>
    <w:rsid w:val="5E2C7B5F"/>
    <w:rsid w:val="5E37388C"/>
    <w:rsid w:val="5E3E5C21"/>
    <w:rsid w:val="5E481D94"/>
    <w:rsid w:val="5E49652D"/>
    <w:rsid w:val="5E55621E"/>
    <w:rsid w:val="5E556A51"/>
    <w:rsid w:val="5E6C7060"/>
    <w:rsid w:val="5E79177D"/>
    <w:rsid w:val="5EA7453C"/>
    <w:rsid w:val="5EAE0F71"/>
    <w:rsid w:val="5ED27BE1"/>
    <w:rsid w:val="5ED35BB4"/>
    <w:rsid w:val="5ED75612"/>
    <w:rsid w:val="5F1F1B33"/>
    <w:rsid w:val="5F2136D8"/>
    <w:rsid w:val="5F2D0AE0"/>
    <w:rsid w:val="5F432EF8"/>
    <w:rsid w:val="5F47659C"/>
    <w:rsid w:val="5F526256"/>
    <w:rsid w:val="5F555D46"/>
    <w:rsid w:val="5F7E529D"/>
    <w:rsid w:val="5FB40CBE"/>
    <w:rsid w:val="5FC2239B"/>
    <w:rsid w:val="5FCA04E2"/>
    <w:rsid w:val="5FDC007A"/>
    <w:rsid w:val="5FDF1F8A"/>
    <w:rsid w:val="5FE356A8"/>
    <w:rsid w:val="5FF40024"/>
    <w:rsid w:val="602676E1"/>
    <w:rsid w:val="602E4F74"/>
    <w:rsid w:val="603418A5"/>
    <w:rsid w:val="60366D51"/>
    <w:rsid w:val="604D4C6F"/>
    <w:rsid w:val="60602BF4"/>
    <w:rsid w:val="60936B26"/>
    <w:rsid w:val="60A457EB"/>
    <w:rsid w:val="60A74497"/>
    <w:rsid w:val="60B61030"/>
    <w:rsid w:val="60BE1C9B"/>
    <w:rsid w:val="60C356C4"/>
    <w:rsid w:val="60E03D35"/>
    <w:rsid w:val="60E43825"/>
    <w:rsid w:val="60E92BEA"/>
    <w:rsid w:val="60FB4923"/>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8211F"/>
    <w:rsid w:val="6229771A"/>
    <w:rsid w:val="622C555D"/>
    <w:rsid w:val="623B7475"/>
    <w:rsid w:val="624049F6"/>
    <w:rsid w:val="624A590A"/>
    <w:rsid w:val="626478C2"/>
    <w:rsid w:val="626529F4"/>
    <w:rsid w:val="626C4988"/>
    <w:rsid w:val="62854B94"/>
    <w:rsid w:val="62E224E8"/>
    <w:rsid w:val="62FE497B"/>
    <w:rsid w:val="62FF03D9"/>
    <w:rsid w:val="62FF64C2"/>
    <w:rsid w:val="630E4B89"/>
    <w:rsid w:val="63352116"/>
    <w:rsid w:val="63377DE5"/>
    <w:rsid w:val="633C769A"/>
    <w:rsid w:val="63452A53"/>
    <w:rsid w:val="635B58F5"/>
    <w:rsid w:val="637531A0"/>
    <w:rsid w:val="63966FB4"/>
    <w:rsid w:val="63973036"/>
    <w:rsid w:val="639B6291"/>
    <w:rsid w:val="639C2D33"/>
    <w:rsid w:val="63A105E6"/>
    <w:rsid w:val="63AD6150"/>
    <w:rsid w:val="63AF198D"/>
    <w:rsid w:val="63C96D02"/>
    <w:rsid w:val="63D36046"/>
    <w:rsid w:val="63D556A7"/>
    <w:rsid w:val="63D6255C"/>
    <w:rsid w:val="63E61F5F"/>
    <w:rsid w:val="63F00811"/>
    <w:rsid w:val="63F657AA"/>
    <w:rsid w:val="640F0BB9"/>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346D9"/>
    <w:rsid w:val="65220A06"/>
    <w:rsid w:val="652A1A23"/>
    <w:rsid w:val="65384140"/>
    <w:rsid w:val="653A1C66"/>
    <w:rsid w:val="65426D6C"/>
    <w:rsid w:val="65473A27"/>
    <w:rsid w:val="65540C76"/>
    <w:rsid w:val="656E7B61"/>
    <w:rsid w:val="657753A5"/>
    <w:rsid w:val="657A5833"/>
    <w:rsid w:val="65812DF0"/>
    <w:rsid w:val="65842EE1"/>
    <w:rsid w:val="659B022A"/>
    <w:rsid w:val="65A767B0"/>
    <w:rsid w:val="65AE3104"/>
    <w:rsid w:val="65B838A4"/>
    <w:rsid w:val="65C94D98"/>
    <w:rsid w:val="65F52031"/>
    <w:rsid w:val="6602534E"/>
    <w:rsid w:val="66065FEC"/>
    <w:rsid w:val="660A5F17"/>
    <w:rsid w:val="660C7EB8"/>
    <w:rsid w:val="66332DC3"/>
    <w:rsid w:val="6639006E"/>
    <w:rsid w:val="663C7C5F"/>
    <w:rsid w:val="663F7785"/>
    <w:rsid w:val="66432405"/>
    <w:rsid w:val="664804B3"/>
    <w:rsid w:val="66504BAC"/>
    <w:rsid w:val="665E7BD6"/>
    <w:rsid w:val="66632EA0"/>
    <w:rsid w:val="66633E9A"/>
    <w:rsid w:val="66656C51"/>
    <w:rsid w:val="66664CDC"/>
    <w:rsid w:val="666920D7"/>
    <w:rsid w:val="668D3AA7"/>
    <w:rsid w:val="668D6304"/>
    <w:rsid w:val="669C6028"/>
    <w:rsid w:val="669F0689"/>
    <w:rsid w:val="66A87A0F"/>
    <w:rsid w:val="66B20509"/>
    <w:rsid w:val="66C50541"/>
    <w:rsid w:val="66C509D5"/>
    <w:rsid w:val="66DA2CB3"/>
    <w:rsid w:val="66F40793"/>
    <w:rsid w:val="6717038D"/>
    <w:rsid w:val="671706D3"/>
    <w:rsid w:val="671B5AC7"/>
    <w:rsid w:val="67274610"/>
    <w:rsid w:val="672F48CC"/>
    <w:rsid w:val="6730396A"/>
    <w:rsid w:val="67346B89"/>
    <w:rsid w:val="6751773B"/>
    <w:rsid w:val="6760172C"/>
    <w:rsid w:val="67801EB9"/>
    <w:rsid w:val="67A71109"/>
    <w:rsid w:val="67C76B2D"/>
    <w:rsid w:val="67CE0D8B"/>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C3AD3"/>
    <w:rsid w:val="693E4935"/>
    <w:rsid w:val="694D54E1"/>
    <w:rsid w:val="69564B94"/>
    <w:rsid w:val="69674FF3"/>
    <w:rsid w:val="699944EC"/>
    <w:rsid w:val="69995724"/>
    <w:rsid w:val="69A12371"/>
    <w:rsid w:val="69B47EE5"/>
    <w:rsid w:val="69C4686C"/>
    <w:rsid w:val="6A176F2F"/>
    <w:rsid w:val="6A23687A"/>
    <w:rsid w:val="6A240036"/>
    <w:rsid w:val="6A372756"/>
    <w:rsid w:val="6A3B19C7"/>
    <w:rsid w:val="6A4B5F33"/>
    <w:rsid w:val="6A577BBA"/>
    <w:rsid w:val="6A590439"/>
    <w:rsid w:val="6A597D4C"/>
    <w:rsid w:val="6A680FC7"/>
    <w:rsid w:val="6A880A74"/>
    <w:rsid w:val="6A90057A"/>
    <w:rsid w:val="6A942216"/>
    <w:rsid w:val="6A9B0075"/>
    <w:rsid w:val="6AC51D73"/>
    <w:rsid w:val="6AC82C33"/>
    <w:rsid w:val="6AD67F71"/>
    <w:rsid w:val="6AE213F9"/>
    <w:rsid w:val="6AE85CC0"/>
    <w:rsid w:val="6AF7771D"/>
    <w:rsid w:val="6B016B32"/>
    <w:rsid w:val="6B036F9E"/>
    <w:rsid w:val="6B1C3BBC"/>
    <w:rsid w:val="6B311795"/>
    <w:rsid w:val="6B4D0219"/>
    <w:rsid w:val="6B9D6AAA"/>
    <w:rsid w:val="6BA17867"/>
    <w:rsid w:val="6BA44634"/>
    <w:rsid w:val="6BA8544F"/>
    <w:rsid w:val="6BB141CE"/>
    <w:rsid w:val="6BBA58AE"/>
    <w:rsid w:val="6BBE4C73"/>
    <w:rsid w:val="6BD45513"/>
    <w:rsid w:val="6BEF0C80"/>
    <w:rsid w:val="6BF41DBA"/>
    <w:rsid w:val="6BF817E3"/>
    <w:rsid w:val="6C022DB1"/>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4F53A2"/>
    <w:rsid w:val="6D522224"/>
    <w:rsid w:val="6D6625F0"/>
    <w:rsid w:val="6D737889"/>
    <w:rsid w:val="6D787B59"/>
    <w:rsid w:val="6D7F4662"/>
    <w:rsid w:val="6D832E39"/>
    <w:rsid w:val="6D8A7542"/>
    <w:rsid w:val="6D916E4E"/>
    <w:rsid w:val="6DA06D26"/>
    <w:rsid w:val="6DB3108B"/>
    <w:rsid w:val="6DBD5004"/>
    <w:rsid w:val="6DC63E68"/>
    <w:rsid w:val="6DCF4F15"/>
    <w:rsid w:val="6DD447A6"/>
    <w:rsid w:val="6DDB172E"/>
    <w:rsid w:val="6DEF4626"/>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DF0D5C"/>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D50FC"/>
    <w:rsid w:val="707E0FD5"/>
    <w:rsid w:val="707F70C6"/>
    <w:rsid w:val="70867402"/>
    <w:rsid w:val="70A95654"/>
    <w:rsid w:val="70C312D3"/>
    <w:rsid w:val="70D43718"/>
    <w:rsid w:val="70DA254F"/>
    <w:rsid w:val="70F73101"/>
    <w:rsid w:val="7116172E"/>
    <w:rsid w:val="71241D10"/>
    <w:rsid w:val="712437CA"/>
    <w:rsid w:val="712D0854"/>
    <w:rsid w:val="712D6B22"/>
    <w:rsid w:val="713B389B"/>
    <w:rsid w:val="7142463B"/>
    <w:rsid w:val="71910D2E"/>
    <w:rsid w:val="71AC2056"/>
    <w:rsid w:val="71C1345D"/>
    <w:rsid w:val="71CB2462"/>
    <w:rsid w:val="71D445CE"/>
    <w:rsid w:val="71DA38CD"/>
    <w:rsid w:val="71E25B41"/>
    <w:rsid w:val="71F650B9"/>
    <w:rsid w:val="720F6001"/>
    <w:rsid w:val="72310399"/>
    <w:rsid w:val="72473CB6"/>
    <w:rsid w:val="724C122A"/>
    <w:rsid w:val="726245AA"/>
    <w:rsid w:val="72686E3D"/>
    <w:rsid w:val="727A26CE"/>
    <w:rsid w:val="727E580E"/>
    <w:rsid w:val="72983176"/>
    <w:rsid w:val="72AB51FE"/>
    <w:rsid w:val="72BE2D27"/>
    <w:rsid w:val="72CB65F3"/>
    <w:rsid w:val="72D92A8F"/>
    <w:rsid w:val="72DA2EC0"/>
    <w:rsid w:val="72F739A7"/>
    <w:rsid w:val="73016068"/>
    <w:rsid w:val="732B4FB5"/>
    <w:rsid w:val="73504D4A"/>
    <w:rsid w:val="7363682B"/>
    <w:rsid w:val="73816CB2"/>
    <w:rsid w:val="73893830"/>
    <w:rsid w:val="73A125FD"/>
    <w:rsid w:val="73C03C7E"/>
    <w:rsid w:val="73C81640"/>
    <w:rsid w:val="73CD6A9A"/>
    <w:rsid w:val="73D5604B"/>
    <w:rsid w:val="73DD6D17"/>
    <w:rsid w:val="73E2776E"/>
    <w:rsid w:val="73F52103"/>
    <w:rsid w:val="73FE0302"/>
    <w:rsid w:val="74022067"/>
    <w:rsid w:val="74097116"/>
    <w:rsid w:val="740A4EF9"/>
    <w:rsid w:val="740A7DB8"/>
    <w:rsid w:val="740E54D1"/>
    <w:rsid w:val="741B5358"/>
    <w:rsid w:val="742170E9"/>
    <w:rsid w:val="743857C5"/>
    <w:rsid w:val="745B4F58"/>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7E5B9F"/>
    <w:rsid w:val="75D35377"/>
    <w:rsid w:val="75EB3928"/>
    <w:rsid w:val="75F93477"/>
    <w:rsid w:val="75FE283B"/>
    <w:rsid w:val="76063D02"/>
    <w:rsid w:val="7631116A"/>
    <w:rsid w:val="76312C11"/>
    <w:rsid w:val="76345B3A"/>
    <w:rsid w:val="764346F2"/>
    <w:rsid w:val="76454D95"/>
    <w:rsid w:val="76564426"/>
    <w:rsid w:val="767317AC"/>
    <w:rsid w:val="7686064F"/>
    <w:rsid w:val="769474D0"/>
    <w:rsid w:val="769E4F43"/>
    <w:rsid w:val="76B858B5"/>
    <w:rsid w:val="76BF021D"/>
    <w:rsid w:val="76DF0673"/>
    <w:rsid w:val="77176354"/>
    <w:rsid w:val="773310E1"/>
    <w:rsid w:val="773D3F97"/>
    <w:rsid w:val="774910E8"/>
    <w:rsid w:val="774950AA"/>
    <w:rsid w:val="774A0F8C"/>
    <w:rsid w:val="774A385E"/>
    <w:rsid w:val="775760CE"/>
    <w:rsid w:val="77951A25"/>
    <w:rsid w:val="77960CE5"/>
    <w:rsid w:val="77CB650B"/>
    <w:rsid w:val="77CC2A1C"/>
    <w:rsid w:val="77CE4490"/>
    <w:rsid w:val="77D70E4B"/>
    <w:rsid w:val="77E67A2B"/>
    <w:rsid w:val="78042DEB"/>
    <w:rsid w:val="78261305"/>
    <w:rsid w:val="784974F5"/>
    <w:rsid w:val="784B19A6"/>
    <w:rsid w:val="78540E39"/>
    <w:rsid w:val="78681083"/>
    <w:rsid w:val="788B24B1"/>
    <w:rsid w:val="789079E5"/>
    <w:rsid w:val="7891016B"/>
    <w:rsid w:val="78A04C44"/>
    <w:rsid w:val="78C338C8"/>
    <w:rsid w:val="78CC4C8C"/>
    <w:rsid w:val="78D87374"/>
    <w:rsid w:val="78E72828"/>
    <w:rsid w:val="78EA7B9F"/>
    <w:rsid w:val="79224F56"/>
    <w:rsid w:val="79336CA0"/>
    <w:rsid w:val="793A7966"/>
    <w:rsid w:val="793B1C09"/>
    <w:rsid w:val="7947274B"/>
    <w:rsid w:val="79BA79F3"/>
    <w:rsid w:val="79BB215E"/>
    <w:rsid w:val="79D87646"/>
    <w:rsid w:val="79E82BC7"/>
    <w:rsid w:val="7A1067EC"/>
    <w:rsid w:val="7A192CE7"/>
    <w:rsid w:val="7A2E2EA3"/>
    <w:rsid w:val="7A3007C8"/>
    <w:rsid w:val="7A3231AD"/>
    <w:rsid w:val="7A4A77F3"/>
    <w:rsid w:val="7A5A72EE"/>
    <w:rsid w:val="7A844288"/>
    <w:rsid w:val="7AA82540"/>
    <w:rsid w:val="7AB931D5"/>
    <w:rsid w:val="7ADC02AF"/>
    <w:rsid w:val="7AE56AF0"/>
    <w:rsid w:val="7AF81F4F"/>
    <w:rsid w:val="7B002DC3"/>
    <w:rsid w:val="7B080E99"/>
    <w:rsid w:val="7B0C23FF"/>
    <w:rsid w:val="7B0E1773"/>
    <w:rsid w:val="7B110428"/>
    <w:rsid w:val="7B113011"/>
    <w:rsid w:val="7B205002"/>
    <w:rsid w:val="7B220D7A"/>
    <w:rsid w:val="7B2F5349"/>
    <w:rsid w:val="7B5666FB"/>
    <w:rsid w:val="7B5C232E"/>
    <w:rsid w:val="7B5E12BB"/>
    <w:rsid w:val="7B637C47"/>
    <w:rsid w:val="7BA43E85"/>
    <w:rsid w:val="7BBF4208"/>
    <w:rsid w:val="7BC0312E"/>
    <w:rsid w:val="7BC62E25"/>
    <w:rsid w:val="7BD02203"/>
    <w:rsid w:val="7BD22006"/>
    <w:rsid w:val="7BD81F86"/>
    <w:rsid w:val="7BE349AD"/>
    <w:rsid w:val="7BEC5FF5"/>
    <w:rsid w:val="7BEE0798"/>
    <w:rsid w:val="7BF81ADB"/>
    <w:rsid w:val="7BFC0690"/>
    <w:rsid w:val="7BFE17E7"/>
    <w:rsid w:val="7C013085"/>
    <w:rsid w:val="7C0E2B1C"/>
    <w:rsid w:val="7C0E57A2"/>
    <w:rsid w:val="7C151079"/>
    <w:rsid w:val="7C2253BC"/>
    <w:rsid w:val="7C2E374F"/>
    <w:rsid w:val="7C3A12F7"/>
    <w:rsid w:val="7C43229D"/>
    <w:rsid w:val="7C4756C9"/>
    <w:rsid w:val="7C582C3F"/>
    <w:rsid w:val="7C593EE8"/>
    <w:rsid w:val="7C753C13"/>
    <w:rsid w:val="7C7A6994"/>
    <w:rsid w:val="7C855A65"/>
    <w:rsid w:val="7C9932BE"/>
    <w:rsid w:val="7C9B286D"/>
    <w:rsid w:val="7C9B7FF0"/>
    <w:rsid w:val="7CB53251"/>
    <w:rsid w:val="7CB62D19"/>
    <w:rsid w:val="7CBE2D25"/>
    <w:rsid w:val="7CD93821"/>
    <w:rsid w:val="7CD95805"/>
    <w:rsid w:val="7CDB5685"/>
    <w:rsid w:val="7CE309DD"/>
    <w:rsid w:val="7D0A7D18"/>
    <w:rsid w:val="7D13314E"/>
    <w:rsid w:val="7D230DDA"/>
    <w:rsid w:val="7D2D1C58"/>
    <w:rsid w:val="7D365DD8"/>
    <w:rsid w:val="7D3A23FC"/>
    <w:rsid w:val="7D625FC7"/>
    <w:rsid w:val="7D650CA3"/>
    <w:rsid w:val="7D6A0419"/>
    <w:rsid w:val="7D6B7727"/>
    <w:rsid w:val="7D7A5D33"/>
    <w:rsid w:val="7DB12889"/>
    <w:rsid w:val="7DB52379"/>
    <w:rsid w:val="7DBC3708"/>
    <w:rsid w:val="7DD018F6"/>
    <w:rsid w:val="7DD4016C"/>
    <w:rsid w:val="7DE43DFE"/>
    <w:rsid w:val="7DEE5D3D"/>
    <w:rsid w:val="7E167D92"/>
    <w:rsid w:val="7E1A50EB"/>
    <w:rsid w:val="7E1D2CB4"/>
    <w:rsid w:val="7E222BD7"/>
    <w:rsid w:val="7E24305B"/>
    <w:rsid w:val="7E290672"/>
    <w:rsid w:val="7E355268"/>
    <w:rsid w:val="7E4266E2"/>
    <w:rsid w:val="7E576F8D"/>
    <w:rsid w:val="7E5A400A"/>
    <w:rsid w:val="7E6C2A49"/>
    <w:rsid w:val="7E6D4A02"/>
    <w:rsid w:val="7E722A66"/>
    <w:rsid w:val="7E794FBB"/>
    <w:rsid w:val="7E806AA4"/>
    <w:rsid w:val="7E8F4979"/>
    <w:rsid w:val="7E9C305C"/>
    <w:rsid w:val="7EA06B86"/>
    <w:rsid w:val="7EA26042"/>
    <w:rsid w:val="7EA53F01"/>
    <w:rsid w:val="7EAF6879"/>
    <w:rsid w:val="7EB45D48"/>
    <w:rsid w:val="7EC17031"/>
    <w:rsid w:val="7EEA7E01"/>
    <w:rsid w:val="7F0417A2"/>
    <w:rsid w:val="7F360FA8"/>
    <w:rsid w:val="7F3D43D5"/>
    <w:rsid w:val="7F427C3D"/>
    <w:rsid w:val="7F517E80"/>
    <w:rsid w:val="7F7211CD"/>
    <w:rsid w:val="7F8B3961"/>
    <w:rsid w:val="7F8F3102"/>
    <w:rsid w:val="7F9C0E05"/>
    <w:rsid w:val="7F9F140C"/>
    <w:rsid w:val="7FA76140"/>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8">
    <w:name w:val="Default Paragraph Font"/>
    <w:autoRedefine/>
    <w:semiHidden/>
    <w:qFormat/>
    <w:uiPriority w:val="0"/>
  </w:style>
  <w:style w:type="table" w:default="1" w:styleId="36">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0"/>
    <w:autoRedefine/>
    <w:qFormat/>
    <w:uiPriority w:val="0"/>
    <w:pPr>
      <w:jc w:val="left"/>
    </w:pPr>
  </w:style>
  <w:style w:type="paragraph" w:styleId="14">
    <w:name w:val="Body Text"/>
    <w:basedOn w:val="1"/>
    <w:semiHidden/>
    <w:qFormat/>
    <w:uiPriority w:val="0"/>
    <w:pPr>
      <w:spacing w:after="120"/>
    </w:pPr>
  </w:style>
  <w:style w:type="paragraph" w:styleId="15">
    <w:name w:val="Body Text Indent"/>
    <w:basedOn w:val="1"/>
    <w:link w:val="53"/>
    <w:autoRedefine/>
    <w:qFormat/>
    <w:uiPriority w:val="0"/>
    <w:pPr>
      <w:spacing w:after="120"/>
      <w:ind w:left="200" w:leftChars="200"/>
    </w:pPr>
  </w:style>
  <w:style w:type="paragraph" w:styleId="16">
    <w:name w:val="toc 3"/>
    <w:basedOn w:val="1"/>
    <w:next w:val="1"/>
    <w:qFormat/>
    <w:uiPriority w:val="39"/>
    <w:pPr>
      <w:tabs>
        <w:tab w:val="right" w:leader="dot" w:pos="9288"/>
      </w:tabs>
      <w:ind w:left="400" w:leftChars="400"/>
    </w:pPr>
    <w:rPr>
      <w:rFonts w:ascii="宋体"/>
    </w:rPr>
  </w:style>
  <w:style w:type="paragraph" w:styleId="17">
    <w:name w:val="Plain Text"/>
    <w:basedOn w:val="1"/>
    <w:next w:val="1"/>
    <w:link w:val="61"/>
    <w:qFormat/>
    <w:uiPriority w:val="99"/>
    <w:rPr>
      <w:rFonts w:ascii="宋体"/>
      <w:color w:val="000000"/>
      <w:szCs w:val="20"/>
      <w:u w:val="none" w:color="000000"/>
    </w:rPr>
  </w:style>
  <w:style w:type="paragraph" w:styleId="18">
    <w:name w:val="Date"/>
    <w:basedOn w:val="1"/>
    <w:next w:val="1"/>
    <w:link w:val="62"/>
    <w:autoRedefine/>
    <w:qFormat/>
    <w:uiPriority w:val="0"/>
    <w:rPr>
      <w:rFonts w:ascii="Arial" w:hAnsi="Arial" w:eastAsia="仿宋_GB2312"/>
      <w:color w:val="000000"/>
      <w:sz w:val="32"/>
      <w:szCs w:val="20"/>
      <w:u w:val="none" w:color="000000"/>
    </w:rPr>
  </w:style>
  <w:style w:type="paragraph" w:styleId="19">
    <w:name w:val="Body Text Indent 2"/>
    <w:basedOn w:val="1"/>
    <w:link w:val="63"/>
    <w:qFormat/>
    <w:uiPriority w:val="0"/>
    <w:pPr>
      <w:spacing w:after="120" w:line="480" w:lineRule="auto"/>
      <w:ind w:left="420" w:leftChars="200"/>
    </w:p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4"/>
    <w:autoRedefine/>
    <w:qFormat/>
    <w:uiPriority w:val="0"/>
    <w:rPr>
      <w:sz w:val="18"/>
      <w:szCs w:val="18"/>
    </w:rPr>
  </w:style>
  <w:style w:type="paragraph" w:styleId="22">
    <w:name w:val="footer"/>
    <w:basedOn w:val="1"/>
    <w:link w:val="65"/>
    <w:qFormat/>
    <w:uiPriority w:val="0"/>
    <w:pPr>
      <w:tabs>
        <w:tab w:val="center" w:pos="4153"/>
        <w:tab w:val="right" w:pos="8306"/>
      </w:tabs>
      <w:snapToGrid w:val="0"/>
      <w:jc w:val="left"/>
    </w:pPr>
    <w:rPr>
      <w:sz w:val="18"/>
      <w:szCs w:val="18"/>
    </w:rPr>
  </w:style>
  <w:style w:type="paragraph" w:styleId="23">
    <w:name w:val="envelope return"/>
    <w:basedOn w:val="1"/>
    <w:next w:val="9"/>
    <w:qFormat/>
    <w:uiPriority w:val="0"/>
    <w:pPr>
      <w:snapToGrid w:val="0"/>
    </w:pPr>
    <w:rPr>
      <w:rFonts w:ascii="Arial" w:hAnsi="Arial"/>
    </w:rPr>
  </w:style>
  <w:style w:type="paragraph" w:styleId="24">
    <w:name w:val="header"/>
    <w:basedOn w:val="1"/>
    <w:next w:val="14"/>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7">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8">
    <w:name w:val="toc 2"/>
    <w:basedOn w:val="1"/>
    <w:next w:val="1"/>
    <w:qFormat/>
    <w:uiPriority w:val="39"/>
    <w:pPr>
      <w:ind w:left="200" w:leftChars="200"/>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3"/>
    <w:next w:val="13"/>
    <w:link w:val="67"/>
    <w:qFormat/>
    <w:uiPriority w:val="0"/>
    <w:rPr>
      <w:b/>
      <w:bCs/>
    </w:rPr>
  </w:style>
  <w:style w:type="paragraph" w:styleId="34">
    <w:name w:val="Body Text First Indent"/>
    <w:basedOn w:val="14"/>
    <w:unhideWhenUsed/>
    <w:qFormat/>
    <w:uiPriority w:val="99"/>
    <w:pPr>
      <w:ind w:firstLine="420" w:firstLineChars="100"/>
    </w:pPr>
  </w:style>
  <w:style w:type="paragraph" w:styleId="35">
    <w:name w:val="Body Text First Indent 2"/>
    <w:basedOn w:val="15"/>
    <w:link w:val="54"/>
    <w:autoRedefine/>
    <w:qFormat/>
    <w:uiPriority w:val="0"/>
    <w:pPr>
      <w:ind w:left="42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autoRedefine/>
    <w:qFormat/>
    <w:uiPriority w:val="0"/>
    <w:rPr>
      <w:rFonts w:ascii="monospace" w:hAnsi="monospace" w:eastAsia="monospace" w:cs="monospace"/>
      <w:sz w:val="20"/>
    </w:rPr>
  </w:style>
  <w:style w:type="character" w:styleId="45">
    <w:name w:val="HTML Acronym"/>
    <w:basedOn w:val="38"/>
    <w:autoRedefine/>
    <w:qFormat/>
    <w:uiPriority w:val="0"/>
    <w:rPr>
      <w:bdr w:val="none" w:color="auto" w:sz="0" w:space="0"/>
    </w:rPr>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autoRedefin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5"/>
    <w:autoRedefine/>
    <w:qFormat/>
    <w:uiPriority w:val="0"/>
    <w:rPr>
      <w:kern w:val="2"/>
      <w:sz w:val="21"/>
      <w:szCs w:val="24"/>
    </w:rPr>
  </w:style>
  <w:style w:type="character" w:customStyle="1" w:styleId="54">
    <w:name w:val="正文文本首行缩进 2 字符"/>
    <w:link w:val="35"/>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3"/>
    <w:qFormat/>
    <w:uiPriority w:val="0"/>
    <w:rPr>
      <w:kern w:val="2"/>
      <w:sz w:val="21"/>
      <w:szCs w:val="24"/>
    </w:rPr>
  </w:style>
  <w:style w:type="character" w:customStyle="1" w:styleId="61">
    <w:name w:val="纯文本 字符"/>
    <w:link w:val="17"/>
    <w:qFormat/>
    <w:uiPriority w:val="99"/>
    <w:rPr>
      <w:rFonts w:ascii="宋体" w:eastAsia="宋体"/>
      <w:color w:val="000000"/>
      <w:kern w:val="2"/>
      <w:sz w:val="21"/>
      <w:u w:val="none" w:color="000000"/>
      <w:lang w:val="en-US" w:eastAsia="zh-CN" w:bidi="ar-SA"/>
    </w:rPr>
  </w:style>
  <w:style w:type="character" w:customStyle="1" w:styleId="62">
    <w:name w:val="日期 字符"/>
    <w:link w:val="18"/>
    <w:qFormat/>
    <w:uiPriority w:val="0"/>
    <w:rPr>
      <w:rFonts w:ascii="Arial" w:hAnsi="Arial" w:eastAsia="仿宋_GB2312"/>
      <w:color w:val="000000"/>
      <w:kern w:val="2"/>
      <w:sz w:val="32"/>
      <w:u w:val="none" w:color="000000"/>
    </w:rPr>
  </w:style>
  <w:style w:type="character" w:customStyle="1" w:styleId="63">
    <w:name w:val="正文文本缩进 2 字符"/>
    <w:link w:val="19"/>
    <w:autoRedefine/>
    <w:qFormat/>
    <w:uiPriority w:val="0"/>
    <w:rPr>
      <w:kern w:val="2"/>
      <w:sz w:val="21"/>
      <w:szCs w:val="24"/>
    </w:rPr>
  </w:style>
  <w:style w:type="character" w:customStyle="1" w:styleId="64">
    <w:name w:val="批注框文本 字符"/>
    <w:link w:val="21"/>
    <w:qFormat/>
    <w:uiPriority w:val="0"/>
    <w:rPr>
      <w:kern w:val="2"/>
      <w:sz w:val="18"/>
      <w:szCs w:val="18"/>
    </w:rPr>
  </w:style>
  <w:style w:type="character" w:customStyle="1" w:styleId="65">
    <w:name w:val="页脚 字符"/>
    <w:link w:val="22"/>
    <w:autoRedefine/>
    <w:qFormat/>
    <w:locked/>
    <w:uiPriority w:val="0"/>
    <w:rPr>
      <w:kern w:val="2"/>
      <w:sz w:val="18"/>
      <w:szCs w:val="18"/>
    </w:rPr>
  </w:style>
  <w:style w:type="character" w:customStyle="1" w:styleId="66">
    <w:name w:val="页眉 字符"/>
    <w:link w:val="24"/>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qFormat/>
    <w:uiPriority w:val="0"/>
    <w:rPr>
      <w:rFonts w:hint="eastAsia" w:ascii="宋体" w:hAnsi="宋体" w:eastAsia="宋体" w:cs="宋体"/>
      <w:color w:val="000000"/>
      <w:sz w:val="18"/>
      <w:szCs w:val="18"/>
      <w:u w:val="none"/>
    </w:rPr>
  </w:style>
  <w:style w:type="character" w:customStyle="1" w:styleId="76">
    <w:name w:val="font161"/>
    <w:qFormat/>
    <w:uiPriority w:val="0"/>
    <w:rPr>
      <w:rFonts w:hint="eastAsia" w:ascii="宋体" w:hAnsi="宋体" w:eastAsia="宋体" w:cs="宋体"/>
      <w:b/>
      <w:bCs/>
      <w:color w:val="333333"/>
      <w:sz w:val="27"/>
      <w:szCs w:val="27"/>
      <w:u w:val="none"/>
    </w:rPr>
  </w:style>
  <w:style w:type="character" w:customStyle="1" w:styleId="77">
    <w:name w:val="first-child"/>
    <w:qFormat/>
    <w:uiPriority w:val="0"/>
  </w:style>
  <w:style w:type="character" w:customStyle="1" w:styleId="78">
    <w:name w:val="【正文】 Char"/>
    <w:link w:val="79"/>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qFormat/>
    <w:uiPriority w:val="0"/>
    <w:rPr>
      <w:rFonts w:ascii="仿宋" w:hAnsi="仿宋" w:eastAsia="仿宋" w:cs="仿宋"/>
      <w:color w:val="000000"/>
      <w:sz w:val="24"/>
      <w:szCs w:val="24"/>
      <w:u w:val="none"/>
    </w:rPr>
  </w:style>
  <w:style w:type="character" w:customStyle="1" w:styleId="81">
    <w:name w:val="font181"/>
    <w:qFormat/>
    <w:uiPriority w:val="0"/>
    <w:rPr>
      <w:rFonts w:hint="eastAsia" w:ascii="宋体" w:hAnsi="宋体" w:eastAsia="宋体" w:cs="宋体"/>
      <w:color w:val="1A66B3"/>
      <w:sz w:val="18"/>
      <w:szCs w:val="18"/>
      <w:u w:val="none"/>
    </w:rPr>
  </w:style>
  <w:style w:type="character" w:customStyle="1" w:styleId="82">
    <w:name w:val="hover3"/>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qFormat/>
    <w:uiPriority w:val="0"/>
    <w:rPr>
      <w:rFonts w:hint="default" w:ascii="Verdana" w:hAnsi="Verdana" w:cs="Verdana"/>
      <w:color w:val="000000"/>
      <w:sz w:val="18"/>
      <w:szCs w:val="18"/>
      <w:u w:val="none"/>
    </w:rPr>
  </w:style>
  <w:style w:type="character" w:customStyle="1" w:styleId="85">
    <w:name w:val="hover"/>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qFormat/>
    <w:uiPriority w:val="0"/>
    <w:rPr>
      <w:color w:val="2590EB"/>
    </w:rPr>
  </w:style>
  <w:style w:type="character" w:customStyle="1" w:styleId="88">
    <w:name w:val="hover1"/>
    <w:qFormat/>
    <w:uiPriority w:val="0"/>
    <w:rPr>
      <w:color w:val="2590EB"/>
    </w:rPr>
  </w:style>
  <w:style w:type="character" w:customStyle="1" w:styleId="89">
    <w:name w:val="first-child1"/>
    <w:autoRedefine/>
    <w:qFormat/>
    <w:uiPriority w:val="0"/>
  </w:style>
  <w:style w:type="character" w:customStyle="1" w:styleId="90">
    <w:name w:val="selected"/>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qFormat/>
    <w:uiPriority w:val="0"/>
    <w:pPr>
      <w:spacing w:line="312" w:lineRule="auto"/>
      <w:ind w:firstLine="420" w:firstLineChars="200"/>
    </w:pPr>
    <w:rPr>
      <w:rFonts w:ascii="Calibri" w:hAnsi="Calibri"/>
      <w:szCs w:val="22"/>
    </w:rPr>
  </w:style>
  <w:style w:type="character" w:customStyle="1" w:styleId="95">
    <w:name w:val="displayarti"/>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qFormat/>
    <w:uiPriority w:val="0"/>
    <w:pPr>
      <w:numPr>
        <w:ilvl w:val="0"/>
        <w:numId w:val="5"/>
      </w:numPr>
      <w:spacing w:line="200" w:lineRule="atLeast"/>
    </w:pPr>
    <w:rPr>
      <w:rFonts w:eastAsia="仿宋"/>
      <w:sz w:val="28"/>
    </w:rPr>
  </w:style>
  <w:style w:type="paragraph" w:customStyle="1" w:styleId="102">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3">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qFormat/>
    <w:uiPriority w:val="0"/>
    <w:pPr>
      <w:spacing w:line="360" w:lineRule="auto"/>
      <w:jc w:val="center"/>
    </w:pPr>
    <w:rPr>
      <w:rFonts w:ascii="Times New Roman" w:hAnsi="Times New Roman" w:cs="Times New Roman"/>
      <w:b/>
      <w:sz w:val="30"/>
      <w:szCs w:val="30"/>
    </w:rPr>
  </w:style>
  <w:style w:type="paragraph" w:customStyle="1" w:styleId="106">
    <w:name w:val=" Char Char Char Char"/>
    <w:basedOn w:val="1"/>
    <w:qFormat/>
    <w:uiPriority w:val="0"/>
    <w:rPr>
      <w:rFonts w:ascii="Tahoma" w:hAnsi="Tahoma"/>
      <w:sz w:val="24"/>
      <w:szCs w:val="20"/>
    </w:rPr>
  </w:style>
  <w:style w:type="paragraph" w:customStyle="1" w:styleId="107">
    <w:name w:val="_Style 4"/>
    <w:basedOn w:val="1"/>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1">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eastAsia="宋体" w:cs="宋体"/>
      <w:lang w:val="zh-CN" w:eastAsia="zh-CN" w:bidi="zh-CN"/>
    </w:rPr>
  </w:style>
  <w:style w:type="paragraph" w:customStyle="1" w:styleId="113">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qFormat/>
    <w:uiPriority w:val="34"/>
    <w:pPr>
      <w:ind w:firstLine="420" w:firstLineChars="200"/>
    </w:pPr>
  </w:style>
  <w:style w:type="paragraph" w:customStyle="1" w:styleId="115">
    <w:name w:val="Char Char Char Char Char Char Char1 Char"/>
    <w:basedOn w:val="1"/>
    <w:qFormat/>
    <w:uiPriority w:val="0"/>
    <w:rPr>
      <w:rFonts w:ascii="Tahoma" w:hAnsi="Tahoma"/>
      <w:sz w:val="24"/>
      <w:szCs w:val="20"/>
    </w:rPr>
  </w:style>
  <w:style w:type="paragraph" w:styleId="116">
    <w:name w:val="List Paragraph"/>
    <w:basedOn w:val="1"/>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正文缩进1"/>
    <w:basedOn w:val="1"/>
    <w:next w:val="12"/>
    <w:qFormat/>
    <w:uiPriority w:val="0"/>
    <w:pPr>
      <w:spacing w:line="360" w:lineRule="atLeast"/>
      <w:ind w:firstLine="482"/>
    </w:pPr>
    <w:rPr>
      <w:sz w:val="24"/>
    </w:rPr>
  </w:style>
  <w:style w:type="paragraph" w:customStyle="1" w:styleId="121">
    <w:name w:val="标题3-副本"/>
    <w:basedOn w:val="26"/>
    <w:qFormat/>
    <w:uiPriority w:val="0"/>
    <w:pPr>
      <w:numPr>
        <w:ilvl w:val="0"/>
        <w:numId w:val="0"/>
      </w:numPr>
      <w:ind w:left="840"/>
    </w:pPr>
  </w:style>
  <w:style w:type="paragraph" w:customStyle="1" w:styleId="122">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3">
    <w:name w:val="_Style 2"/>
    <w:basedOn w:val="1"/>
    <w:qFormat/>
    <w:uiPriority w:val="0"/>
  </w:style>
  <w:style w:type="paragraph" w:customStyle="1" w:styleId="124">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5">
    <w:name w:val="xl31"/>
    <w:basedOn w:val="1"/>
    <w:qFormat/>
    <w:uiPriority w:val="0"/>
    <w:pPr>
      <w:widowControl/>
      <w:spacing w:before="100" w:beforeAutospacing="1" w:after="100" w:afterAutospacing="1"/>
      <w:jc w:val="center"/>
    </w:pPr>
    <w:rPr>
      <w:b/>
      <w:bCs/>
      <w:kern w:val="0"/>
      <w:sz w:val="28"/>
      <w:szCs w:val="28"/>
    </w:rPr>
  </w:style>
  <w:style w:type="paragraph" w:customStyle="1" w:styleId="126">
    <w:name w:val=" Char"/>
    <w:basedOn w:val="1"/>
    <w:autoRedefine/>
    <w:qFormat/>
    <w:uiPriority w:val="0"/>
  </w:style>
  <w:style w:type="paragraph" w:customStyle="1" w:styleId="12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8">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9">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0">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1">
    <w:name w:val="num"/>
    <w:basedOn w:val="38"/>
    <w:autoRedefine/>
    <w:qFormat/>
    <w:uiPriority w:val="0"/>
    <w:rPr>
      <w:b/>
      <w:bCs/>
      <w:color w:val="FF7800"/>
    </w:rPr>
  </w:style>
  <w:style w:type="character" w:customStyle="1" w:styleId="132">
    <w:name w:val="a-desc"/>
    <w:basedOn w:val="38"/>
    <w:autoRedefine/>
    <w:qFormat/>
    <w:uiPriority w:val="0"/>
    <w:rPr>
      <w:color w:val="315EFB"/>
    </w:rPr>
  </w:style>
  <w:style w:type="character" w:customStyle="1" w:styleId="133">
    <w:name w:val="bg"/>
    <w:basedOn w:val="38"/>
    <w:autoRedefine/>
    <w:qFormat/>
    <w:uiPriority w:val="0"/>
    <w:rPr>
      <w:shd w:val="clear" w:color="auto" w:fill="000000"/>
    </w:rPr>
  </w:style>
  <w:style w:type="character" w:customStyle="1" w:styleId="134">
    <w:name w:val="bg1"/>
    <w:basedOn w:val="38"/>
    <w:qFormat/>
    <w:uiPriority w:val="0"/>
    <w:rPr>
      <w:shd w:val="clear" w:color="auto" w:fill="000000"/>
    </w:rPr>
  </w:style>
  <w:style w:type="character" w:customStyle="1" w:styleId="135">
    <w:name w:val="bg2"/>
    <w:basedOn w:val="38"/>
    <w:qFormat/>
    <w:uiPriority w:val="0"/>
    <w:rPr>
      <w:shd w:val="clear" w:color="auto" w:fill="000000"/>
    </w:rPr>
  </w:style>
  <w:style w:type="character" w:customStyle="1" w:styleId="136">
    <w:name w:val="iknow-qb-ad-sou-icon"/>
    <w:basedOn w:val="38"/>
    <w:autoRedefine/>
    <w:qFormat/>
    <w:uiPriority w:val="0"/>
  </w:style>
  <w:style w:type="character" w:customStyle="1" w:styleId="137">
    <w:name w:val="del-btn"/>
    <w:basedOn w:val="38"/>
    <w:autoRedefine/>
    <w:qFormat/>
    <w:uiPriority w:val="0"/>
  </w:style>
  <w:style w:type="character" w:customStyle="1" w:styleId="138">
    <w:name w:val="del-btn1"/>
    <w:basedOn w:val="38"/>
    <w:qFormat/>
    <w:uiPriority w:val="0"/>
  </w:style>
  <w:style w:type="character" w:customStyle="1" w:styleId="139">
    <w:name w:val="del-btn2"/>
    <w:basedOn w:val="38"/>
    <w:qFormat/>
    <w:uiPriority w:val="0"/>
  </w:style>
  <w:style w:type="character" w:customStyle="1" w:styleId="140">
    <w:name w:val="answer-title"/>
    <w:basedOn w:val="38"/>
    <w:qFormat/>
    <w:uiPriority w:val="0"/>
  </w:style>
  <w:style w:type="character" w:customStyle="1" w:styleId="141">
    <w:name w:val="new-icon2"/>
    <w:basedOn w:val="38"/>
    <w:qFormat/>
    <w:uiPriority w:val="0"/>
  </w:style>
  <w:style w:type="character" w:customStyle="1" w:styleId="142">
    <w:name w:val="new-icon3"/>
    <w:basedOn w:val="38"/>
    <w:qFormat/>
    <w:uiPriority w:val="0"/>
  </w:style>
  <w:style w:type="character" w:customStyle="1" w:styleId="143">
    <w:name w:val="green"/>
    <w:basedOn w:val="38"/>
    <w:qFormat/>
    <w:uiPriority w:val="0"/>
    <w:rPr>
      <w:color w:val="3B6FFF"/>
    </w:rPr>
  </w:style>
  <w:style w:type="character" w:customStyle="1" w:styleId="144">
    <w:name w:val="green1"/>
    <w:basedOn w:val="38"/>
    <w:autoRedefine/>
    <w:qFormat/>
    <w:uiPriority w:val="0"/>
    <w:rPr>
      <w:color w:val="3B6FFF"/>
    </w:rPr>
  </w:style>
  <w:style w:type="character" w:customStyle="1" w:styleId="145">
    <w:name w:val="green2"/>
    <w:basedOn w:val="38"/>
    <w:qFormat/>
    <w:uiPriority w:val="0"/>
    <w:rPr>
      <w:color w:val="4DC86F"/>
    </w:rPr>
  </w:style>
  <w:style w:type="character" w:customStyle="1" w:styleId="146">
    <w:name w:val="green3"/>
    <w:basedOn w:val="38"/>
    <w:qFormat/>
    <w:uiPriority w:val="0"/>
    <w:rPr>
      <w:color w:val="4DC86F"/>
    </w:rPr>
  </w:style>
  <w:style w:type="character" w:customStyle="1" w:styleId="147">
    <w:name w:val="answer-title2"/>
    <w:basedOn w:val="38"/>
    <w:qFormat/>
    <w:uiPriority w:val="0"/>
  </w:style>
  <w:style w:type="character" w:customStyle="1" w:styleId="148">
    <w:name w:val="new-icon"/>
    <w:basedOn w:val="38"/>
    <w:qFormat/>
    <w:uiPriority w:val="0"/>
  </w:style>
  <w:style w:type="character" w:customStyle="1" w:styleId="149">
    <w:name w:val="new-icon1"/>
    <w:basedOn w:val="38"/>
    <w:qFormat/>
    <w:uiPriority w:val="0"/>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1">
    <w:name w:val="status"/>
    <w:basedOn w:val="38"/>
    <w:qFormat/>
    <w:uiPriority w:val="0"/>
    <w:rPr>
      <w:color w:val="0776DD"/>
    </w:rPr>
  </w:style>
  <w:style w:type="character" w:customStyle="1" w:styleId="152">
    <w:name w:val="layui-layer-tabnow"/>
    <w:basedOn w:val="38"/>
    <w:qFormat/>
    <w:uiPriority w:val="0"/>
    <w:rPr>
      <w:bdr w:val="single" w:color="CCCCCC" w:sz="6" w:space="0"/>
      <w:shd w:val="clear" w:fill="FFFFFF"/>
    </w:rPr>
  </w:style>
  <w:style w:type="character" w:customStyle="1" w:styleId="153">
    <w:name w:val="timeaxis"/>
    <w:basedOn w:val="38"/>
    <w:qFormat/>
    <w:uiPriority w:val="0"/>
  </w:style>
  <w:style w:type="character" w:customStyle="1" w:styleId="154">
    <w:name w:val="time"/>
    <w:basedOn w:val="38"/>
    <w:qFormat/>
    <w:uiPriority w:val="0"/>
  </w:style>
  <w:style w:type="character" w:customStyle="1" w:styleId="155">
    <w:name w:val="room"/>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18062</Words>
  <Characters>19631</Characters>
  <Lines>358</Lines>
  <Paragraphs>100</Paragraphs>
  <TotalTime>9</TotalTime>
  <ScaleCrop>false</ScaleCrop>
  <LinksUpToDate>false</LinksUpToDate>
  <CharactersWithSpaces>24669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2025-07-10T00:35:00Z</cp:lastPrinted>
  <dcterms:modified xsi:type="dcterms:W3CDTF">2026-06-18T02:08:45Z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E7A78CAC309E4466ACA5EBE3BFEEE557_13</vt:lpwstr>
  </property>
  <property fmtid="{D5CDD505-2E9C-101B-9397-08002B2CF9AE}" pid="4" name="KSOTemplateDocerSaveRecord">
    <vt:lpwstr>eyJoZGlkIjoiZmQ5MGI3YTdkMjVkZTZjM2ZjZTQ5YjMxYTJjZjRlOWEiLCJ1c2VySWQiOiIzNjE4MjQ5In0=</vt:lpwstr>
  </property>
</Properties>
</file>